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6.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1E955" w14:textId="69FFB425" w:rsidR="00E83E35" w:rsidRDefault="00E83E35" w:rsidP="00E83E35">
      <w:pPr>
        <w:pStyle w:val="Subhead"/>
        <w:spacing w:before="0" w:after="240"/>
      </w:pPr>
      <w:r w:rsidRPr="00E83E35">
        <w:t>Manatū Hauora</w:t>
      </w:r>
    </w:p>
    <w:p w14:paraId="11455161" w14:textId="04D1AA33" w:rsidR="00C86248" w:rsidRPr="00926083" w:rsidRDefault="00E83E35" w:rsidP="00926083">
      <w:pPr>
        <w:pStyle w:val="Title"/>
      </w:pPr>
      <w:r>
        <w:t>Annual Report</w:t>
      </w:r>
    </w:p>
    <w:p w14:paraId="2B4FAC6A" w14:textId="77DB9220" w:rsidR="00C05132" w:rsidRDefault="00E83E35" w:rsidP="00E83E35">
      <w:pPr>
        <w:pStyle w:val="Subhead"/>
        <w:spacing w:before="600"/>
      </w:pPr>
      <w:r w:rsidRPr="00E83E35">
        <w:t>for the year ended 30 June 2022</w:t>
      </w:r>
    </w:p>
    <w:p w14:paraId="3F3D8BA2" w14:textId="77777777" w:rsidR="00E83E35" w:rsidRDefault="00E83E35" w:rsidP="00A06BE4">
      <w:pPr>
        <w:rPr>
          <w:rFonts w:ascii="Segoe UI Semibold" w:hAnsi="Segoe UI Semibold" w:cs="Segoe UI Semibold"/>
          <w:sz w:val="28"/>
          <w:szCs w:val="26"/>
        </w:rPr>
      </w:pPr>
    </w:p>
    <w:p w14:paraId="4438B349" w14:textId="77777777" w:rsidR="00E83E35" w:rsidRDefault="00E83E35" w:rsidP="00A06BE4">
      <w:pPr>
        <w:rPr>
          <w:rFonts w:ascii="Segoe UI Semibold" w:hAnsi="Segoe UI Semibold" w:cs="Segoe UI Semibold"/>
          <w:sz w:val="28"/>
          <w:szCs w:val="26"/>
        </w:rPr>
      </w:pPr>
    </w:p>
    <w:p w14:paraId="6057C675" w14:textId="77777777" w:rsidR="00E83E35" w:rsidRDefault="00E83E35" w:rsidP="00E83E35">
      <w:pPr>
        <w:ind w:right="2693"/>
        <w:rPr>
          <w:rFonts w:ascii="Segoe UI Semibold" w:hAnsi="Segoe UI Semibold" w:cs="Segoe UI Semibold"/>
          <w:sz w:val="28"/>
          <w:szCs w:val="26"/>
        </w:rPr>
      </w:pPr>
    </w:p>
    <w:p w14:paraId="5C1CCC9F" w14:textId="7E7B6ED4" w:rsidR="00C05132" w:rsidRDefault="00E83E35" w:rsidP="00E83E35">
      <w:pPr>
        <w:ind w:right="2693"/>
      </w:pPr>
      <w:r w:rsidRPr="00E83E35">
        <w:rPr>
          <w:rFonts w:ascii="Segoe UI Semibold" w:hAnsi="Segoe UI Semibold" w:cs="Segoe UI Semibold"/>
          <w:sz w:val="28"/>
          <w:szCs w:val="26"/>
        </w:rPr>
        <w:t>Presented to the House of Representatives pursuant to section 44 of the Public Finance Act 1989</w:t>
      </w:r>
    </w:p>
    <w:p w14:paraId="57E2CB79" w14:textId="77777777" w:rsidR="00142954" w:rsidRPr="00142954" w:rsidRDefault="00142954" w:rsidP="00142954">
      <w:pPr>
        <w:sectPr w:rsidR="00142954" w:rsidRPr="00142954" w:rsidSect="005A79E5">
          <w:headerReference w:type="default" r:id="rId11"/>
          <w:footerReference w:type="default" r:id="rId12"/>
          <w:pgSz w:w="11907" w:h="16834" w:code="9"/>
          <w:pgMar w:top="5670" w:right="1134" w:bottom="1134" w:left="1134" w:header="567" w:footer="851" w:gutter="0"/>
          <w:pgNumType w:start="1"/>
          <w:cols w:space="720"/>
        </w:sectPr>
      </w:pPr>
    </w:p>
    <w:p w14:paraId="358CE3BA" w14:textId="15C61C95" w:rsidR="00A80363" w:rsidRPr="00C05132" w:rsidRDefault="00A80363" w:rsidP="00A63DFF">
      <w:pPr>
        <w:pStyle w:val="Imprint"/>
        <w:spacing w:before="1200"/>
        <w:rPr>
          <w:rFonts w:cs="Segoe UI"/>
        </w:rPr>
      </w:pPr>
      <w:r w:rsidRPr="00C05132">
        <w:rPr>
          <w:rFonts w:cs="Segoe UI"/>
        </w:rPr>
        <w:lastRenderedPageBreak/>
        <w:t xml:space="preserve">Citation: </w:t>
      </w:r>
      <w:r w:rsidR="00442C1C" w:rsidRPr="00C05132">
        <w:rPr>
          <w:rFonts w:cs="Segoe UI"/>
        </w:rPr>
        <w:t xml:space="preserve">Ministry of Health. </w:t>
      </w:r>
      <w:r w:rsidR="00E83E35">
        <w:rPr>
          <w:rFonts w:cs="Segoe UI"/>
        </w:rPr>
        <w:t>2022</w:t>
      </w:r>
      <w:r w:rsidR="00442C1C" w:rsidRPr="00C05132">
        <w:rPr>
          <w:rFonts w:cs="Segoe UI"/>
        </w:rPr>
        <w:t xml:space="preserve">. </w:t>
      </w:r>
      <w:r w:rsidR="00E83E35" w:rsidRPr="00E83E35">
        <w:rPr>
          <w:rFonts w:cs="Segoe UI"/>
          <w:i/>
        </w:rPr>
        <w:t>Annual Report for the Year Ended 30 June 2022.</w:t>
      </w:r>
      <w:r w:rsidR="00442C1C" w:rsidRPr="00C05132">
        <w:rPr>
          <w:rFonts w:cs="Segoe UI"/>
        </w:rPr>
        <w:t xml:space="preserve"> Wellington: Ministry of Health.</w:t>
      </w:r>
    </w:p>
    <w:p w14:paraId="7909192E" w14:textId="383B117B" w:rsidR="00C86248" w:rsidRDefault="00C86248">
      <w:pPr>
        <w:pStyle w:val="Imprint"/>
      </w:pPr>
      <w:r>
        <w:t xml:space="preserve">Published in </w:t>
      </w:r>
      <w:r w:rsidR="00E83E35">
        <w:t>October 2022</w:t>
      </w:r>
      <w:r w:rsidR="00A63DFF">
        <w:t xml:space="preserve"> </w:t>
      </w:r>
      <w:r>
        <w:t>by the</w:t>
      </w:r>
      <w:r w:rsidR="00442C1C">
        <w:t xml:space="preserve"> </w:t>
      </w:r>
      <w:r>
        <w:t>Ministry of Health</w:t>
      </w:r>
      <w:r>
        <w:br/>
        <w:t>PO Box 5013, Wellington</w:t>
      </w:r>
      <w:r w:rsidR="00A80363">
        <w:t xml:space="preserve"> 614</w:t>
      </w:r>
      <w:r w:rsidR="006041F0">
        <w:t>0</w:t>
      </w:r>
      <w:r>
        <w:t xml:space="preserve">, </w:t>
      </w:r>
      <w:r w:rsidR="00571223">
        <w:t>New Zealand</w:t>
      </w:r>
    </w:p>
    <w:p w14:paraId="6D17E5E8" w14:textId="5A1D1F7E" w:rsidR="00082CD6" w:rsidRPr="009C0F2D" w:rsidRDefault="00D863D0" w:rsidP="00082CD6">
      <w:pPr>
        <w:pStyle w:val="Imprint"/>
      </w:pPr>
      <w:r>
        <w:t>ISBN</w:t>
      </w:r>
      <w:r w:rsidR="00442C1C">
        <w:t xml:space="preserve"> </w:t>
      </w:r>
      <w:r w:rsidR="00E83E35" w:rsidRPr="00E83E35">
        <w:t>978-1-99-110081-8 (print)</w:t>
      </w:r>
      <w:r w:rsidR="009A42D5">
        <w:br/>
        <w:t xml:space="preserve">ISBN </w:t>
      </w:r>
      <w:r w:rsidR="00E83E35" w:rsidRPr="00E83E35">
        <w:t>978-1-99-110082-5 (online)</w:t>
      </w:r>
      <w:r w:rsidR="00082CD6">
        <w:br/>
      </w:r>
      <w:r w:rsidR="00082CD6" w:rsidRPr="009C0F2D">
        <w:t xml:space="preserve">HP </w:t>
      </w:r>
      <w:r w:rsidR="00E83E35">
        <w:t>8612</w:t>
      </w:r>
    </w:p>
    <w:p w14:paraId="48DBDA36" w14:textId="77777777" w:rsidR="00C86248" w:rsidRDefault="008C64C4" w:rsidP="00A63DFF">
      <w:r>
        <w:rPr>
          <w:noProof/>
          <w:lang w:eastAsia="en-NZ"/>
        </w:rPr>
        <w:drawing>
          <wp:inline distT="0" distB="0" distL="0" distR="0" wp14:anchorId="6EF4539D" wp14:editId="7E07F24C">
            <wp:extent cx="1216825" cy="576270"/>
            <wp:effectExtent l="0" t="0" r="2540" b="0"/>
            <wp:docPr id="2" name="Picture 2" descr="Ministry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istry of Health logo"/>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16825" cy="576270"/>
                    </a:xfrm>
                    <a:prstGeom prst="rect">
                      <a:avLst/>
                    </a:prstGeom>
                    <a:noFill/>
                    <a:ln>
                      <a:noFill/>
                    </a:ln>
                  </pic:spPr>
                </pic:pic>
              </a:graphicData>
            </a:graphic>
          </wp:inline>
        </w:drawing>
      </w:r>
    </w:p>
    <w:p w14:paraId="354F16DF" w14:textId="77777777" w:rsidR="00A63DFF" w:rsidRDefault="00A63DFF" w:rsidP="00A63DFF">
      <w:pPr>
        <w:pStyle w:val="Imprint"/>
        <w:spacing w:before="240" w:after="480"/>
      </w:pPr>
      <w:r>
        <w:t>This document is available at health.govt.nz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6061"/>
      </w:tblGrid>
      <w:tr w:rsidR="00A63DFF" w:rsidRPr="00A63DFF" w14:paraId="3FC6B2D2" w14:textId="77777777" w:rsidTr="00A63DFF">
        <w:trPr>
          <w:cantSplit/>
        </w:trPr>
        <w:tc>
          <w:tcPr>
            <w:tcW w:w="1526" w:type="dxa"/>
          </w:tcPr>
          <w:p w14:paraId="362D26E7" w14:textId="77777777" w:rsidR="00A63DFF" w:rsidRPr="00A63DFF" w:rsidRDefault="00A63DFF" w:rsidP="00A63DFF">
            <w:pPr>
              <w:rPr>
                <w:rFonts w:cs="Segoe UI"/>
                <w:sz w:val="15"/>
                <w:szCs w:val="15"/>
              </w:rPr>
            </w:pPr>
            <w:r w:rsidRPr="00A63DFF">
              <w:rPr>
                <w:rFonts w:cs="Segoe UI"/>
                <w:b/>
                <w:noProof/>
                <w:sz w:val="15"/>
                <w:szCs w:val="15"/>
                <w:lang w:eastAsia="en-NZ"/>
              </w:rPr>
              <w:drawing>
                <wp:inline distT="0" distB="0" distL="0" distR="0" wp14:anchorId="4BFD7476" wp14:editId="5569ABBB">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7D3A471A" w14:textId="77777777" w:rsidR="00A63DFF" w:rsidRPr="00A63DFF" w:rsidRDefault="00A63DFF" w:rsidP="00A63DFF">
            <w:pPr>
              <w:rPr>
                <w:rFonts w:cs="Segoe UI"/>
                <w:sz w:val="15"/>
                <w:szCs w:val="15"/>
              </w:rPr>
            </w:pPr>
            <w:r w:rsidRPr="00A63DFF">
              <w:rPr>
                <w:rFonts w:cs="Segoe UI"/>
                <w:sz w:val="15"/>
                <w:szCs w:val="15"/>
              </w:rPr>
              <w:t xml:space="preserve">This work is licensed under the Creative Commons Attribution 4.0 International licence. In essence, </w:t>
            </w:r>
            <w:r w:rsidRPr="00A63DFF">
              <w:rPr>
                <w:rFonts w:cs="Segoe UI"/>
                <w:bCs/>
                <w:sz w:val="15"/>
                <w:szCs w:val="15"/>
              </w:rPr>
              <w:t xml:space="preserve">you are free to: </w:t>
            </w:r>
            <w:r w:rsidRPr="00A63DFF">
              <w:rPr>
                <w:rFonts w:cs="Segoe UI"/>
                <w:sz w:val="15"/>
                <w:szCs w:val="15"/>
              </w:rPr>
              <w:t xml:space="preserve">share ie, copy and redistribute the material in any medium or format; adapt ie, remix, transform and build upon the material. </w:t>
            </w:r>
            <w:r w:rsidRPr="00A63DFF">
              <w:rPr>
                <w:rFonts w:cs="Segoe UI"/>
                <w:bCs/>
                <w:sz w:val="15"/>
                <w:szCs w:val="15"/>
              </w:rPr>
              <w:t>You must give appropriate credit, provide a link to the licence and indicate if changes were made.</w:t>
            </w:r>
          </w:p>
        </w:tc>
      </w:tr>
    </w:tbl>
    <w:p w14:paraId="44C6FE3A" w14:textId="77777777" w:rsidR="007E74F1" w:rsidRPr="001F45A7" w:rsidRDefault="007E74F1" w:rsidP="00A63DFF"/>
    <w:p w14:paraId="2113CC0B" w14:textId="77777777" w:rsidR="00C86248" w:rsidRDefault="00C86248">
      <w:pPr>
        <w:jc w:val="center"/>
        <w:sectPr w:rsidR="00C86248" w:rsidSect="00C05132">
          <w:footerReference w:type="even" r:id="rId15"/>
          <w:footerReference w:type="default" r:id="rId16"/>
          <w:pgSz w:w="11907" w:h="16834" w:code="9"/>
          <w:pgMar w:top="1701" w:right="2268" w:bottom="1134" w:left="2268" w:header="0" w:footer="0" w:gutter="0"/>
          <w:cols w:space="720"/>
          <w:vAlign w:val="bottom"/>
        </w:sectPr>
      </w:pPr>
    </w:p>
    <w:p w14:paraId="0F8774BA" w14:textId="1E2E5D68" w:rsidR="00032C0A" w:rsidRDefault="00E83E35" w:rsidP="001D3E4E">
      <w:pPr>
        <w:pStyle w:val="Heading1"/>
        <w:spacing w:before="0"/>
      </w:pPr>
      <w:bookmarkStart w:id="1" w:name="_Toc405792991"/>
      <w:bookmarkStart w:id="2" w:name="_Toc405793224"/>
      <w:bookmarkStart w:id="3" w:name="_Toc117264911"/>
      <w:r w:rsidRPr="00E83E35">
        <w:lastRenderedPageBreak/>
        <w:t>A message from the Director-General</w:t>
      </w:r>
      <w:bookmarkEnd w:id="3"/>
    </w:p>
    <w:p w14:paraId="32DB8CFB" w14:textId="779BA8EC" w:rsidR="00E83E35" w:rsidRDefault="00E83E35" w:rsidP="00E83E35">
      <w:pPr>
        <w:rPr>
          <w:spacing w:val="-5"/>
        </w:rPr>
      </w:pPr>
      <w:r w:rsidRPr="00E83E35">
        <w:rPr>
          <w:spacing w:val="-5"/>
        </w:rPr>
        <w:t>Kia ora koutou katoa</w:t>
      </w:r>
    </w:p>
    <w:p w14:paraId="29AC54EE" w14:textId="77777777" w:rsidR="00E83E35" w:rsidRPr="00E83E35" w:rsidRDefault="00E83E35" w:rsidP="00E83E35">
      <w:pPr>
        <w:rPr>
          <w:spacing w:val="-5"/>
        </w:rPr>
      </w:pPr>
    </w:p>
    <w:p w14:paraId="2BBC4D8E" w14:textId="5D3C4AF2" w:rsidR="00E83E35" w:rsidRDefault="00E83E35" w:rsidP="00E83E35">
      <w:pPr>
        <w:rPr>
          <w:spacing w:val="-5"/>
        </w:rPr>
      </w:pPr>
      <w:r w:rsidRPr="00E83E35">
        <w:rPr>
          <w:spacing w:val="-5"/>
        </w:rPr>
        <w:t>It is my pleasure to present the Manatū Hauora | Ministry of Health 2021/2022 Annual Report.</w:t>
      </w:r>
    </w:p>
    <w:p w14:paraId="6D13FDF4" w14:textId="77777777" w:rsidR="00E83E35" w:rsidRPr="00E83E35" w:rsidRDefault="00E83E35" w:rsidP="00E83E35">
      <w:pPr>
        <w:rPr>
          <w:spacing w:val="-5"/>
        </w:rPr>
      </w:pPr>
    </w:p>
    <w:p w14:paraId="71F8084A" w14:textId="330263E4" w:rsidR="00E83E35" w:rsidRDefault="00E83E35" w:rsidP="00E83E35">
      <w:pPr>
        <w:rPr>
          <w:spacing w:val="-5"/>
        </w:rPr>
      </w:pPr>
      <w:r w:rsidRPr="00E83E35">
        <w:rPr>
          <w:spacing w:val="-5"/>
        </w:rPr>
        <w:t>Whilst only a few months into the role of Director-General, it gives me great pride to see the progress and achievements over the last year, and I am excited about the opportunities ahead.</w:t>
      </w:r>
    </w:p>
    <w:p w14:paraId="7DBEEB2E" w14:textId="77777777" w:rsidR="00E83E35" w:rsidRPr="00E83E35" w:rsidRDefault="00E83E35" w:rsidP="00E83E35">
      <w:pPr>
        <w:rPr>
          <w:spacing w:val="-5"/>
        </w:rPr>
      </w:pPr>
    </w:p>
    <w:p w14:paraId="5362F891" w14:textId="77777777" w:rsidR="00E83E35" w:rsidRPr="00E83E35" w:rsidRDefault="00E83E35" w:rsidP="00E83E35">
      <w:pPr>
        <w:rPr>
          <w:spacing w:val="-5"/>
        </w:rPr>
      </w:pPr>
      <w:r w:rsidRPr="00E83E35">
        <w:rPr>
          <w:spacing w:val="-5"/>
        </w:rPr>
        <w:t>It is incredibly humbling to see the vast array of work undertaken by teams within the Ministry, and a chance to reflect on how this mahi improves health outcomes for people and whānau across Aotearoa. The Ministry values of kaitiakitanga, whakapono, manaakitanga and kōkiri ngātahi are evident and woven through every aspect of our work.</w:t>
      </w:r>
    </w:p>
    <w:p w14:paraId="16E6ABEB" w14:textId="77777777" w:rsidR="00E83E35" w:rsidRPr="00E83E35" w:rsidRDefault="00E83E35" w:rsidP="00E83E35">
      <w:pPr>
        <w:rPr>
          <w:spacing w:val="-5"/>
        </w:rPr>
      </w:pPr>
      <w:r w:rsidRPr="00E83E35">
        <w:rPr>
          <w:spacing w:val="-5"/>
        </w:rPr>
        <w:t xml:space="preserve"> </w:t>
      </w:r>
    </w:p>
    <w:p w14:paraId="76982563" w14:textId="77292282" w:rsidR="00E83E35" w:rsidRDefault="00E83E35" w:rsidP="00E83E35">
      <w:pPr>
        <w:rPr>
          <w:spacing w:val="-5"/>
        </w:rPr>
      </w:pPr>
      <w:r w:rsidRPr="00E83E35">
        <w:rPr>
          <w:spacing w:val="-5"/>
        </w:rPr>
        <w:t>I would like to also acknowledge the wider health and disability sector. The selfless</w:t>
      </w:r>
      <w:r>
        <w:rPr>
          <w:spacing w:val="-5"/>
        </w:rPr>
        <w:t xml:space="preserve"> </w:t>
      </w:r>
      <w:r w:rsidRPr="00E83E35">
        <w:rPr>
          <w:spacing w:val="-5"/>
        </w:rPr>
        <w:t>dedication, expertise, and kotahitanga you have shown throughout this period</w:t>
      </w:r>
      <w:r>
        <w:rPr>
          <w:spacing w:val="-5"/>
        </w:rPr>
        <w:t xml:space="preserve"> </w:t>
      </w:r>
      <w:r w:rsidRPr="00E83E35">
        <w:rPr>
          <w:spacing w:val="-5"/>
        </w:rPr>
        <w:t>of significant change and uncertainty is admirable.</w:t>
      </w:r>
    </w:p>
    <w:p w14:paraId="1DB550E8" w14:textId="77777777" w:rsidR="00E83E35" w:rsidRPr="00E83E35" w:rsidRDefault="00E83E35" w:rsidP="00E83E35">
      <w:pPr>
        <w:rPr>
          <w:spacing w:val="-5"/>
        </w:rPr>
      </w:pPr>
    </w:p>
    <w:p w14:paraId="07D58BA0" w14:textId="77777777" w:rsidR="00E83E35" w:rsidRDefault="00E83E35" w:rsidP="00E83E35">
      <w:pPr>
        <w:rPr>
          <w:spacing w:val="-5"/>
        </w:rPr>
      </w:pPr>
      <w:r w:rsidRPr="00E83E35">
        <w:rPr>
          <w:spacing w:val="-5"/>
        </w:rPr>
        <w:t>We are entering a new era of health in Aotearoa, with a once-in-a-lifetime</w:t>
      </w:r>
      <w:r>
        <w:rPr>
          <w:spacing w:val="-5"/>
        </w:rPr>
        <w:t xml:space="preserve"> </w:t>
      </w:r>
      <w:r w:rsidRPr="00E83E35">
        <w:rPr>
          <w:spacing w:val="-5"/>
        </w:rPr>
        <w:t>opportunity to put equity front and centre. Manatū Hauora is well placed to continue its role as steward of the health system, and build on the progress so far to support the vision of pae ora – healthy futures for all.</w:t>
      </w:r>
    </w:p>
    <w:p w14:paraId="73ADD8E9" w14:textId="77777777" w:rsidR="00E83E35" w:rsidRDefault="00E83E35" w:rsidP="00E83E35">
      <w:pPr>
        <w:rPr>
          <w:spacing w:val="-5"/>
        </w:rPr>
      </w:pPr>
    </w:p>
    <w:p w14:paraId="7A2083F4" w14:textId="052B92DD" w:rsidR="00E83E35" w:rsidRPr="00E83E35" w:rsidRDefault="00E83E35" w:rsidP="00E83E35">
      <w:pPr>
        <w:rPr>
          <w:spacing w:val="-5"/>
        </w:rPr>
      </w:pPr>
      <w:r w:rsidRPr="00E83E35">
        <w:rPr>
          <w:spacing w:val="-5"/>
        </w:rPr>
        <w:t>Ngā mihi maioha,</w:t>
      </w:r>
    </w:p>
    <w:p w14:paraId="6EFD4421" w14:textId="77777777" w:rsidR="00E83E35" w:rsidRDefault="00E83E35" w:rsidP="00E83E35">
      <w:pPr>
        <w:rPr>
          <w:spacing w:val="-5"/>
        </w:rPr>
      </w:pPr>
    </w:p>
    <w:p w14:paraId="6B9E5822" w14:textId="77777777" w:rsidR="00E83E35" w:rsidRDefault="00E83E35" w:rsidP="00E83E35">
      <w:pPr>
        <w:rPr>
          <w:spacing w:val="-5"/>
        </w:rPr>
      </w:pPr>
      <w:r w:rsidRPr="00E83E35">
        <w:rPr>
          <w:spacing w:val="-5"/>
        </w:rPr>
        <w:t xml:space="preserve">Professor Diana Sarfati </w:t>
      </w:r>
    </w:p>
    <w:p w14:paraId="3C70FAF9" w14:textId="6F675E6C" w:rsidR="00D662F8" w:rsidRDefault="00E83E35" w:rsidP="00E83E35">
      <w:r w:rsidRPr="00E83E35">
        <w:rPr>
          <w:spacing w:val="-5"/>
        </w:rPr>
        <w:t>Director-General of Health</w:t>
      </w:r>
    </w:p>
    <w:p w14:paraId="5558ECEF" w14:textId="77777777" w:rsidR="00571223" w:rsidRDefault="00571223" w:rsidP="0046362D">
      <w:pPr>
        <w:sectPr w:rsidR="00571223" w:rsidSect="001D3E4E">
          <w:headerReference w:type="even" r:id="rId17"/>
          <w:headerReference w:type="default" r:id="rId18"/>
          <w:footerReference w:type="even" r:id="rId19"/>
          <w:footerReference w:type="default" r:id="rId20"/>
          <w:pgSz w:w="11907" w:h="16840" w:code="9"/>
          <w:pgMar w:top="1418" w:right="1701" w:bottom="1134" w:left="1843" w:header="284" w:footer="425" w:gutter="284"/>
          <w:pgNumType w:fmt="lowerRoman"/>
          <w:cols w:space="720"/>
        </w:sectPr>
      </w:pPr>
    </w:p>
    <w:p w14:paraId="4F867BCB" w14:textId="77777777" w:rsidR="00032C0A" w:rsidRDefault="00032C0A" w:rsidP="0046362D"/>
    <w:p w14:paraId="10DEF49F" w14:textId="5C7FE5E1" w:rsidR="00E83E35" w:rsidRDefault="00E83E35" w:rsidP="00A76481">
      <w:pPr>
        <w:pStyle w:val="Heading8"/>
      </w:pPr>
      <w:r w:rsidRPr="00795BE0">
        <w:t>He kupu nā te Tumu Whakarae</w:t>
      </w:r>
    </w:p>
    <w:p w14:paraId="545B3B45" w14:textId="17767770" w:rsidR="00E83E35" w:rsidRDefault="00E83E35" w:rsidP="00E83E35">
      <w:r>
        <w:t>Kia ora koutou katoa</w:t>
      </w:r>
    </w:p>
    <w:p w14:paraId="3C1FA5C0" w14:textId="77777777" w:rsidR="00E83E35" w:rsidRDefault="00E83E35" w:rsidP="00E83E35"/>
    <w:p w14:paraId="4AFDB928" w14:textId="5655BC46" w:rsidR="00E83E35" w:rsidRDefault="00E83E35" w:rsidP="00E83E35">
      <w:r>
        <w:t xml:space="preserve">Tēnei au e whakarewa atu nei i te Pūrongo ā-Tau 2021/2022 mō </w:t>
      </w:r>
      <w:r w:rsidR="00811D2A">
        <w:t>t</w:t>
      </w:r>
      <w:r>
        <w:t>e Manatū Hauora.</w:t>
      </w:r>
    </w:p>
    <w:p w14:paraId="544EF979" w14:textId="77777777" w:rsidR="00E83E35" w:rsidRDefault="00E83E35" w:rsidP="00E83E35"/>
    <w:p w14:paraId="02B50D60" w14:textId="77777777" w:rsidR="00E83E35" w:rsidRDefault="00E83E35" w:rsidP="00E83E35">
      <w:r>
        <w:t>Ahakoa e torutoru noa ngā mārama e noho nei au i te tūranga o te Tumu</w:t>
      </w:r>
    </w:p>
    <w:p w14:paraId="76CEC72E" w14:textId="3213B27C" w:rsidR="00E83E35" w:rsidRDefault="00E83E35" w:rsidP="00E83E35">
      <w:r>
        <w:t>Whakarae, e poho kererū atu ana au ki ngā kokenga, ki ngā whakatutukihanga kua taea i te tau ka hori, e hīkaka ana anō te ngākau ki ngā āheinga kei te pae e tata mai rā.</w:t>
      </w:r>
    </w:p>
    <w:p w14:paraId="38B31A16" w14:textId="77777777" w:rsidR="00E83E35" w:rsidRDefault="00E83E35" w:rsidP="00E83E35"/>
    <w:p w14:paraId="75BC2F77" w14:textId="77777777" w:rsidR="00E83E35" w:rsidRDefault="00E83E35" w:rsidP="00E83E35">
      <w:r>
        <w:t>Ka ngākau whakaiti atu ki ngā kaupapa huhua kua tutuki i tēnā tīma, i tēnā tīma o te Manatū, kia mārama ai te hono o ēnei kaupapa ki te ora o te motu e piki nei, e pakari ake nei, huri noa i Aotearoa. Ko ngā uara o te Manatū ēnei, ko te kaitiakitanga, ko te whakapono, ko te manaakitanga me te kōkiri ngātahi, e āta kitea ana, e āta kōtuia ana i roto i ā tātou mahi.</w:t>
      </w:r>
    </w:p>
    <w:p w14:paraId="4F75CD75" w14:textId="77777777" w:rsidR="00E83E35" w:rsidRDefault="00E83E35" w:rsidP="00E83E35">
      <w:r>
        <w:t xml:space="preserve"> </w:t>
      </w:r>
    </w:p>
    <w:p w14:paraId="48D0F642" w14:textId="38FC1347" w:rsidR="00E83E35" w:rsidRDefault="00E83E35" w:rsidP="00E83E35">
      <w:r>
        <w:t>Me mihi atu ki te rāngai hauora, hunga hauā, whānui nei. Mōu i manawa nui mai, i ū mārika mai, i whakaatu atu i te tohungatanga me te kotahitanga, mō ēnei i whakatinanahia e koutou i tēnei wā o te hurihuri, o te mōhio kore, ka whakamīharo atu.</w:t>
      </w:r>
    </w:p>
    <w:p w14:paraId="397C6AED" w14:textId="77777777" w:rsidR="00E83E35" w:rsidRDefault="00E83E35" w:rsidP="00E83E35"/>
    <w:p w14:paraId="13841ED1" w14:textId="1BBADE70" w:rsidR="00E83E35" w:rsidRDefault="00E83E35" w:rsidP="00E83E35">
      <w:r>
        <w:t xml:space="preserve">Kua kuhu atu tātou ki te anamata o te hauora i Aotearoa, ki tētahi āheinga rerenga tahi nei ki konei whakamatuahia ai tēnei mea, te mana taurite. E tika ana kia noho mai </w:t>
      </w:r>
      <w:r w:rsidR="00811D2A">
        <w:t>t</w:t>
      </w:r>
      <w:r>
        <w:t xml:space="preserve">e Manatū Hauora hei kaitiaki mō ngā ratonga hauora, kia tutuki tonu atu ai ngā whanaketanga kua tīmata nei, hei tautoko anō i a </w:t>
      </w:r>
      <w:r w:rsidR="00811D2A">
        <w:t>p</w:t>
      </w:r>
      <w:r>
        <w:t xml:space="preserve">ae </w:t>
      </w:r>
      <w:r w:rsidR="00811D2A">
        <w:t>o</w:t>
      </w:r>
      <w:r>
        <w:t>ra – kia ora ai te anamata o te katoa.</w:t>
      </w:r>
    </w:p>
    <w:p w14:paraId="3CC3E8E3" w14:textId="77777777" w:rsidR="00E83E35" w:rsidRDefault="00E83E35" w:rsidP="00E83E35"/>
    <w:p w14:paraId="5D692FD2" w14:textId="77777777" w:rsidR="00E83E35" w:rsidRDefault="00E83E35" w:rsidP="00E83E35">
      <w:r>
        <w:t xml:space="preserve">Ngā mihi maioha </w:t>
      </w:r>
    </w:p>
    <w:p w14:paraId="2101D93F" w14:textId="77777777" w:rsidR="00E83E35" w:rsidRDefault="00E83E35" w:rsidP="00E83E35"/>
    <w:p w14:paraId="4E9EED6D" w14:textId="275C7504" w:rsidR="00E83E35" w:rsidRDefault="00E83E35" w:rsidP="00E83E35">
      <w:r>
        <w:t>Ahorangi Diana Sarfati</w:t>
      </w:r>
    </w:p>
    <w:p w14:paraId="27E8E327" w14:textId="77777777" w:rsidR="00197427" w:rsidRDefault="00E83E35" w:rsidP="00E83E35">
      <w:r>
        <w:t>Tumu Whakarae mō te Hauora</w:t>
      </w:r>
    </w:p>
    <w:p w14:paraId="543762A3" w14:textId="77777777" w:rsidR="00E83E35" w:rsidRDefault="00E83E35" w:rsidP="00E83E35"/>
    <w:p w14:paraId="23F3657D" w14:textId="77777777" w:rsidR="00E83E35" w:rsidRDefault="00E83E35" w:rsidP="00E83E35">
      <w:pPr>
        <w:sectPr w:rsidR="00E83E35" w:rsidSect="00795BE0">
          <w:footerReference w:type="even" r:id="rId21"/>
          <w:footerReference w:type="default" r:id="rId22"/>
          <w:pgSz w:w="11907" w:h="16840" w:code="9"/>
          <w:pgMar w:top="1134" w:right="1701" w:bottom="1134" w:left="1843" w:header="284" w:footer="425" w:gutter="284"/>
          <w:pgNumType w:fmt="lowerRoman"/>
          <w:cols w:space="720"/>
        </w:sectPr>
      </w:pPr>
    </w:p>
    <w:p w14:paraId="3CF839C7" w14:textId="77777777" w:rsidR="00E83E35" w:rsidRDefault="00E83E35" w:rsidP="00E83E35">
      <w:pPr>
        <w:pStyle w:val="Heading1"/>
        <w:spacing w:before="0"/>
      </w:pPr>
      <w:bookmarkStart w:id="4" w:name="_Toc117264912"/>
      <w:r>
        <w:lastRenderedPageBreak/>
        <w:t>Farewell reflections from our former Director- General</w:t>
      </w:r>
      <w:bookmarkEnd w:id="4"/>
    </w:p>
    <w:p w14:paraId="746805CD" w14:textId="0A13B61C" w:rsidR="00E83E35" w:rsidRDefault="00E83E35" w:rsidP="00E83E35">
      <w:r>
        <w:t>Kia ora koutou katoa</w:t>
      </w:r>
    </w:p>
    <w:p w14:paraId="313DF796" w14:textId="77777777" w:rsidR="00E83E35" w:rsidRDefault="00E83E35" w:rsidP="00E83E35"/>
    <w:p w14:paraId="55B37897" w14:textId="77777777" w:rsidR="00E83E35" w:rsidRDefault="00E83E35" w:rsidP="00E83E35">
      <w:r>
        <w:t>This was another extraordinary year. While we continued to navigate the challenges of the ongoing COVID-19 pandemic, New Zealand’s healthcare system delivered</w:t>
      </w:r>
    </w:p>
    <w:p w14:paraId="61262114" w14:textId="77777777" w:rsidR="00E83E35" w:rsidRDefault="00E83E35" w:rsidP="00E83E35">
      <w:r>
        <w:t>a wide range of care to many New Zealanders and we helped to lay the foundations for the Government’s health reforms.</w:t>
      </w:r>
    </w:p>
    <w:p w14:paraId="0ECFEF82" w14:textId="77777777" w:rsidR="00E83E35" w:rsidRPr="00795BE0" w:rsidRDefault="00E83E35" w:rsidP="00795BE0">
      <w:pPr>
        <w:pStyle w:val="Heading9"/>
      </w:pPr>
      <w:r w:rsidRPr="00795BE0">
        <w:t>Responding to the COVID-19 pandemic</w:t>
      </w:r>
    </w:p>
    <w:p w14:paraId="5A240FA3" w14:textId="314FFDCD" w:rsidR="00E83E35" w:rsidRDefault="00E83E35" w:rsidP="00E83E35">
      <w:r>
        <w:t>New Zealand’s response to the ongoing COVID-19 pandemic continues to be one of the best in the world. During 2021/22, we successfully delivered on the most complex vaccination programme in our history achieving high coverage rates across the population.</w:t>
      </w:r>
    </w:p>
    <w:p w14:paraId="64C85FD0" w14:textId="77777777" w:rsidR="00E83E35" w:rsidRDefault="00E83E35" w:rsidP="00E83E35"/>
    <w:p w14:paraId="19D0B6DE" w14:textId="16F729E6" w:rsidR="00E83E35" w:rsidRDefault="00E83E35" w:rsidP="00E83E35">
      <w:r>
        <w:t>Our health system responded admirably to the pandemic and the range of additional challenges that resulted. As all countries have experienced, there has been significantly increased pressure on our system and in particular the workforce. I would like to take this opportunity to sincerely thank all health and disability workers for their professionalism, commitment and sheer hard work.</w:t>
      </w:r>
    </w:p>
    <w:p w14:paraId="230F2A68" w14:textId="77777777" w:rsidR="00E83E35" w:rsidRDefault="00E83E35" w:rsidP="00E83E35"/>
    <w:p w14:paraId="770429D4" w14:textId="77777777" w:rsidR="00E83E35" w:rsidRDefault="00E83E35" w:rsidP="00E83E35">
      <w:r>
        <w:t>As the situation and science evolved, so too did our response - the launch of the Care in the Community programme is an example of an innovative response to</w:t>
      </w:r>
    </w:p>
    <w:p w14:paraId="38965552" w14:textId="2AE77722" w:rsidR="00E83E35" w:rsidRDefault="00E83E35" w:rsidP="00E83E35">
      <w:r>
        <w:t>the pandemic. The programme protected people, their whānau and our hospital system by enabling people to safely self- isolate and access health, welfare and</w:t>
      </w:r>
      <w:r w:rsidR="00795BE0">
        <w:t xml:space="preserve"> </w:t>
      </w:r>
      <w:r>
        <w:t xml:space="preserve"> </w:t>
      </w:r>
    </w:p>
    <w:p w14:paraId="7A53EF7F" w14:textId="0CD21644" w:rsidR="00E83E35" w:rsidRDefault="00E83E35" w:rsidP="00E83E35">
      <w:r>
        <w:t>accommodation support through local care coordination hubs.</w:t>
      </w:r>
    </w:p>
    <w:p w14:paraId="72ACEA0B" w14:textId="77777777" w:rsidR="00795BE0" w:rsidRDefault="00795BE0" w:rsidP="00E83E35"/>
    <w:p w14:paraId="0117CAA2" w14:textId="77777777" w:rsidR="00E83E35" w:rsidRDefault="00E83E35" w:rsidP="00E83E35">
      <w:r>
        <w:t>Our testing and surveillance regime evolved rapidly and with the introduction of Rapid Antigen Tests and technology to support self-notification of results, people were able to test easily and frequently and then isolate if positive.</w:t>
      </w:r>
    </w:p>
    <w:p w14:paraId="08C5671F" w14:textId="77777777" w:rsidR="00E83E35" w:rsidRPr="00795BE0" w:rsidRDefault="00E83E35" w:rsidP="00795BE0">
      <w:pPr>
        <w:pStyle w:val="Heading9"/>
      </w:pPr>
      <w:r w:rsidRPr="00795BE0">
        <w:t>Health reforms</w:t>
      </w:r>
    </w:p>
    <w:p w14:paraId="1811C192" w14:textId="6E9BA2CD" w:rsidR="00E83E35" w:rsidRDefault="00E83E35" w:rsidP="00E83E35">
      <w:r>
        <w:t>As part of our contribution to the health reforms, we’ve focused on ensuring we deliver well on our role as steward of the health system and establish strong relationships with Te Whatu Ora and Te Aka Whai Ora.</w:t>
      </w:r>
    </w:p>
    <w:p w14:paraId="63C18795" w14:textId="77777777" w:rsidR="00795BE0" w:rsidRDefault="00795BE0" w:rsidP="00E83E35"/>
    <w:p w14:paraId="7C3BAA95" w14:textId="127B5BBD" w:rsidR="00E83E35" w:rsidRDefault="00E83E35" w:rsidP="00E83E35">
      <w:r>
        <w:lastRenderedPageBreak/>
        <w:t>I would like to acknowledge the huge amount of work put in by people across Manatū Hauora, and the wider health and disability system to ensure a smooth and successful implementation of the reforms.</w:t>
      </w:r>
    </w:p>
    <w:p w14:paraId="217B17C3" w14:textId="77777777" w:rsidR="00795BE0" w:rsidRDefault="00795BE0" w:rsidP="00E83E35"/>
    <w:p w14:paraId="180C0297" w14:textId="77777777" w:rsidR="00E83E35" w:rsidRDefault="00E83E35" w:rsidP="00E83E35">
      <w:r>
        <w:t>We know this is very much the start and the transformation of the health system will require partnership, time and effort. The goal – Pae Ora – is clear, and is about ensuring equitable access to, experience of and outcomes from care for all New Zealanders to support their health and broader wellbeing.</w:t>
      </w:r>
    </w:p>
    <w:p w14:paraId="1FCC1EAB" w14:textId="77777777" w:rsidR="00E83E35" w:rsidRPr="00795BE0" w:rsidRDefault="00E83E35" w:rsidP="00795BE0">
      <w:pPr>
        <w:pStyle w:val="Heading9"/>
      </w:pPr>
      <w:r w:rsidRPr="00795BE0">
        <w:t>Other areas of work</w:t>
      </w:r>
    </w:p>
    <w:p w14:paraId="7B673789" w14:textId="66996021" w:rsidR="00E83E35" w:rsidRDefault="00E83E35" w:rsidP="00E83E35">
      <w:r>
        <w:t>The Ministry sustained a large non- COVID-19 work programme. Among other things, we developed a long-term pathway for mental health and addiction services and continued to increase services through the access and choice</w:t>
      </w:r>
      <w:r w:rsidR="00795BE0">
        <w:t xml:space="preserve"> </w:t>
      </w:r>
      <w:r>
        <w:t>programme; managed and expanded national cancer screening services; and implemented Ngā Parewa, the updated health and disability services standard. Following clear public support for Assisted Dying, we put in place the services and range of safeguards needed to enable safe access to this new service.</w:t>
      </w:r>
    </w:p>
    <w:p w14:paraId="2509CE12" w14:textId="77777777" w:rsidR="00795BE0" w:rsidRDefault="00795BE0" w:rsidP="00E83E35"/>
    <w:p w14:paraId="41CA7B68" w14:textId="77777777" w:rsidR="00E83E35" w:rsidRDefault="00E83E35" w:rsidP="00E83E35">
      <w:r>
        <w:t>We’ve also worked across the system to support DHBs and improve physical infrastructure – significant projects that opened this year were Te Nīkau Hospital</w:t>
      </w:r>
    </w:p>
    <w:p w14:paraId="0FED0958" w14:textId="77777777" w:rsidR="00E83E35" w:rsidRDefault="00E83E35" w:rsidP="00E83E35">
      <w:r>
        <w:t>and Health Centre in Greymouth, Waipapa Hospital in Christchurch and Taiao Ora</w:t>
      </w:r>
    </w:p>
    <w:p w14:paraId="138C302A" w14:textId="77777777" w:rsidR="00E83E35" w:rsidRDefault="00E83E35" w:rsidP="00E83E35">
      <w:r>
        <w:t>– the integrated stroke unit at Auckland Hospital. Work also commenced on the new Dunedin Hospital build – the largest ever health infrastructure project ever undertaken in New Zealand. We have also overseen significant investment in data and digital infrastructure, much of it in support of the COVID-19 response with a view to creating a significant legacy for the system.</w:t>
      </w:r>
    </w:p>
    <w:p w14:paraId="042081C5" w14:textId="77777777" w:rsidR="00E83E35" w:rsidRDefault="00E83E35" w:rsidP="00E83E35">
      <w:r>
        <w:t xml:space="preserve"> </w:t>
      </w:r>
    </w:p>
    <w:p w14:paraId="6E1F131E" w14:textId="77777777" w:rsidR="00E83E35" w:rsidRDefault="00E83E35" w:rsidP="00E83E35">
      <w:r>
        <w:t>Ko tō tātou waka, he waka eke noa, we are all in this together, without exception.</w:t>
      </w:r>
    </w:p>
    <w:p w14:paraId="392D5AB6" w14:textId="77777777" w:rsidR="00E83E35" w:rsidRPr="00795BE0" w:rsidRDefault="00E83E35" w:rsidP="00795BE0">
      <w:pPr>
        <w:pStyle w:val="Heading9"/>
      </w:pPr>
      <w:r w:rsidRPr="00795BE0">
        <w:t>Farewell</w:t>
      </w:r>
    </w:p>
    <w:p w14:paraId="1BFDD8DA" w14:textId="04335A97" w:rsidR="00E83E35" w:rsidRDefault="00E83E35" w:rsidP="00E83E35">
      <w:r>
        <w:t>My term as Director-General of Health and Chief Executive of the Ministry of Health ended on 29 July 2022. It has been a privilege to serve New Zealanders as the Director-General of Health at this time and I can say without reservation that it has been the best job I have ever held.</w:t>
      </w:r>
    </w:p>
    <w:p w14:paraId="4127025C" w14:textId="77777777" w:rsidR="00795BE0" w:rsidRDefault="00795BE0" w:rsidP="00E83E35"/>
    <w:p w14:paraId="7474E9C6" w14:textId="13EDE409" w:rsidR="00E83E35" w:rsidRDefault="00E83E35" w:rsidP="00E83E35">
      <w:r>
        <w:t>I am pleased to be handing over to Dr Diana Sarfati who is well placed to lead the Ministry as it refines and develops its role as the Government’s chief advisor on health and steward of the health system.</w:t>
      </w:r>
    </w:p>
    <w:p w14:paraId="2851FAAC" w14:textId="77777777" w:rsidR="00795BE0" w:rsidRDefault="00795BE0" w:rsidP="00E83E35"/>
    <w:p w14:paraId="4439552E" w14:textId="10926369" w:rsidR="00E83E35" w:rsidRDefault="00E83E35" w:rsidP="00E83E35">
      <w:r>
        <w:t>Ngā mihi,</w:t>
      </w:r>
    </w:p>
    <w:p w14:paraId="5AFC5A68" w14:textId="77777777" w:rsidR="00795BE0" w:rsidRDefault="00795BE0" w:rsidP="00E83E35"/>
    <w:p w14:paraId="6685901D" w14:textId="77777777" w:rsidR="00E83E35" w:rsidRDefault="00E83E35" w:rsidP="00E83E35">
      <w:r>
        <w:t>Dr Ashley Bloomfield</w:t>
      </w:r>
    </w:p>
    <w:p w14:paraId="16FBF00F" w14:textId="77777777" w:rsidR="00795BE0" w:rsidRDefault="00E83E35" w:rsidP="00E83E35">
      <w:pPr>
        <w:sectPr w:rsidR="00795BE0" w:rsidSect="0078658E">
          <w:pgSz w:w="11907" w:h="16840" w:code="9"/>
          <w:pgMar w:top="1418" w:right="1701" w:bottom="1134" w:left="1843" w:header="284" w:footer="425" w:gutter="284"/>
          <w:pgNumType w:fmt="lowerRoman"/>
          <w:cols w:space="720"/>
        </w:sectPr>
      </w:pPr>
      <w:r>
        <w:t>Former Director-General of Health</w:t>
      </w:r>
    </w:p>
    <w:p w14:paraId="6FD5516F" w14:textId="77777777" w:rsidR="00795BE0" w:rsidRDefault="00795BE0" w:rsidP="00795BE0">
      <w:pPr>
        <w:pStyle w:val="Heading8"/>
      </w:pPr>
      <w:r>
        <w:lastRenderedPageBreak/>
        <w:t>He huritao nā te Tumu Whakarae o Mua</w:t>
      </w:r>
    </w:p>
    <w:p w14:paraId="13C1F0A9" w14:textId="77777777" w:rsidR="00795BE0" w:rsidRDefault="00795BE0" w:rsidP="00795BE0">
      <w:r>
        <w:t>Kia ora koutou katoa.</w:t>
      </w:r>
    </w:p>
    <w:p w14:paraId="3C5E5487" w14:textId="77777777" w:rsidR="00795BE0" w:rsidRDefault="00795BE0" w:rsidP="00795BE0"/>
    <w:p w14:paraId="123A3932" w14:textId="0840E358" w:rsidR="00795BE0" w:rsidRDefault="00795BE0" w:rsidP="00795BE0">
      <w:r>
        <w:t>He tau whakamīharo anō tēnei. I a tātou e whakatere tonu nei kia puta i ngā au</w:t>
      </w:r>
    </w:p>
    <w:p w14:paraId="5EB0F6AC" w14:textId="77777777" w:rsidR="00795BE0" w:rsidRDefault="00795BE0" w:rsidP="00795BE0">
      <w:r>
        <w:t>parata o te urutā Kowheori-19, i rite tonu tā te pūnaha whakarato hauora tiaki i te tini o te tangata i Aotearoa, ā, ka whai wāhi atu anō mātou ki te whakatakoto i ngā whakahounga hauora nā te Kāwanatanga i tohu.</w:t>
      </w:r>
    </w:p>
    <w:p w14:paraId="45F41793" w14:textId="77777777" w:rsidR="00795BE0" w:rsidRDefault="00795BE0" w:rsidP="00795BE0">
      <w:pPr>
        <w:pStyle w:val="Heading9"/>
      </w:pPr>
      <w:r>
        <w:t>Hei kaupare i te urutā Kowheori-19</w:t>
      </w:r>
    </w:p>
    <w:p w14:paraId="6EC8E831" w14:textId="1A174FD0" w:rsidR="00795BE0" w:rsidRDefault="00795BE0" w:rsidP="00795BE0">
      <w:r>
        <w:t>E mōhiotia ana te kounga o tā Aotearoa huarahi karo i te urutā Kowheori-19, puta noa i te ao. I ēnei tau 2021/2022, ka kōkiritia e tātou tētahi hōtaka whāngai rongoā ārai mate, ko tōna nui kātahi anō nei ka kitea i konei, me tōna whātoro atu anō ki ngā tōpito huhua o te motu.</w:t>
      </w:r>
    </w:p>
    <w:p w14:paraId="0B5D8D9F" w14:textId="77777777" w:rsidR="00795BE0" w:rsidRDefault="00795BE0" w:rsidP="00795BE0"/>
    <w:p w14:paraId="5D75D8E2" w14:textId="3CC069D5" w:rsidR="00795BE0" w:rsidRDefault="00795BE0" w:rsidP="00795BE0">
      <w:r>
        <w:t>Me whakahīhī ka tika ki te kounga o tā te pūnaha whakarato hauora karo i te urutā, i ngā tini wero anō hoki i puta mai nō muri. Pērā anō i ngā whenua katoa, he nui ngā taumaha kua ūhia ki runga i ō tātou ratonga hauora, otirā, ki ō tātou kaiwhakarato ake. Me āta whakatakoto i aku mihi ki ngā kaiwhakarato hauora, kaiwhakarato hunga hauā, i te ngaio rawa, i te ū mārika, i te whakapau kaha ki ngā mahi.</w:t>
      </w:r>
    </w:p>
    <w:p w14:paraId="3CA8EC17" w14:textId="77777777" w:rsidR="00795BE0" w:rsidRDefault="00795BE0" w:rsidP="00795BE0"/>
    <w:p w14:paraId="0D0E4F30" w14:textId="77777777" w:rsidR="00795BE0" w:rsidRDefault="00795BE0" w:rsidP="00795BE0">
      <w:r>
        <w:t>Ka puta mai he tūāhua, ka tipu mai he mōhio, ka whai atu anō tā tātou kaupare</w:t>
      </w:r>
    </w:p>
    <w:p w14:paraId="29DE9A81" w14:textId="4808221C" w:rsidR="00795BE0" w:rsidRDefault="00795BE0" w:rsidP="00795BE0">
      <w:r>
        <w:t>– ko te rewanga o Care in the Community te whakatauira ake i te kaupapa rangatira hei karo i te urutā. Nā tā rātou hōtaka i tiakina ai te tokomaha, ō rātou whānau, me ō tātou hōhipera, i taea ai te noho taratahi me te kimi tonu i ngā āwhina ā-hauora, ā-oranga, ā-whare, kua whakatōpūngia ki ō rātou hau kāinga.</w:t>
      </w:r>
    </w:p>
    <w:p w14:paraId="5BDA1802" w14:textId="77777777" w:rsidR="00795BE0" w:rsidRDefault="00795BE0" w:rsidP="00795BE0">
      <w:r>
        <w:t xml:space="preserve"> </w:t>
      </w:r>
    </w:p>
    <w:p w14:paraId="58D7FA10" w14:textId="77777777" w:rsidR="00795BE0" w:rsidRDefault="00795BE0" w:rsidP="00795BE0">
      <w:r>
        <w:t>I tere hangā mai ā tātou mahere kimi, mātakitaki patuero, ā, ka hau mai</w:t>
      </w:r>
    </w:p>
    <w:p w14:paraId="70C42798" w14:textId="652D16A4" w:rsidR="00795BE0" w:rsidRDefault="00795BE0" w:rsidP="00795BE0">
      <w:r>
        <w:t>ko te Mata Whakaari Paturopi me te hangarau tautoko i tā te tangata tohu mai i tōna whakataunga ake, i māmā ai te whakamātau ka hiahiatia ana, me te noho taratahi mēnā i pāngia.</w:t>
      </w:r>
    </w:p>
    <w:p w14:paraId="302FD6D9" w14:textId="77777777" w:rsidR="00795BE0" w:rsidRDefault="00795BE0" w:rsidP="00795BE0">
      <w:pPr>
        <w:pStyle w:val="Heading9"/>
      </w:pPr>
      <w:r>
        <w:t>Ngā whakahou i te ao hauora</w:t>
      </w:r>
    </w:p>
    <w:p w14:paraId="06D247C8" w14:textId="5C9A8F13" w:rsidR="00795BE0" w:rsidRDefault="00795BE0" w:rsidP="00795BE0">
      <w:r>
        <w:t>Hei whakatutuki i te wāhi ki a mātou i roto i ngā whakahou i te ao hauora, kua āta whai mātou kia tika tā mātou tiaki i te pūnaha hauora, kia rena ai te taura here ki Te Whatu Ora, ki Te Aka Whai Ora anō hoki.</w:t>
      </w:r>
    </w:p>
    <w:p w14:paraId="306FC297" w14:textId="77777777" w:rsidR="00795BE0" w:rsidRDefault="00795BE0" w:rsidP="00795BE0"/>
    <w:p w14:paraId="4C1876FB" w14:textId="738A918F" w:rsidR="00795BE0" w:rsidRDefault="00795BE0" w:rsidP="00795BE0">
      <w:r>
        <w:t xml:space="preserve">Me mihi atu au ki ngā kaha i whakapauria ai e te tini o </w:t>
      </w:r>
      <w:r w:rsidR="00CF6C0F">
        <w:t>t</w:t>
      </w:r>
      <w:r>
        <w:t>e Manatū Hauora, me te whānui anō hoki o te pūnaha whakarato hauora, whakarato hunga hauā i ngāwari ai te whakatū i ēnei whakahounga.</w:t>
      </w:r>
    </w:p>
    <w:p w14:paraId="54CF5CC9" w14:textId="7B36865F" w:rsidR="00795BE0" w:rsidRDefault="00795BE0" w:rsidP="00795BE0">
      <w:r>
        <w:lastRenderedPageBreak/>
        <w:t>E mōhio ana mātou he tīmatatanga noa tēnei, ā, e tutuki ai tēnei kaupapa me taipoto, me whakapau hāora, me whakapau kaha. Ko te whāinga – arā, ko Pae Ora - e mārama ana, kia kotahi ai, kia kounga ai tā tātou tiaki i te hauora o Ngāi Aotearoa, hei tautoko i tā rātou hauora, mauri anō hoki.</w:t>
      </w:r>
    </w:p>
    <w:p w14:paraId="75CDF5E0" w14:textId="77777777" w:rsidR="00795BE0" w:rsidRDefault="00795BE0" w:rsidP="00795BE0"/>
    <w:p w14:paraId="32277EDC" w14:textId="77777777" w:rsidR="00795BE0" w:rsidRDefault="00795BE0" w:rsidP="00795BE0">
      <w:r>
        <w:t>Ko tō tātou waka, he waka eke noa, kotahi anake taua waka, e kore e rerekē ake.</w:t>
      </w:r>
    </w:p>
    <w:p w14:paraId="303A90B8" w14:textId="77777777" w:rsidR="00795BE0" w:rsidRDefault="00795BE0" w:rsidP="00795BE0">
      <w:pPr>
        <w:pStyle w:val="Heading9"/>
      </w:pPr>
      <w:r>
        <w:t>He kaupapa anō i tutuki</w:t>
      </w:r>
    </w:p>
    <w:p w14:paraId="1196175A" w14:textId="71121904" w:rsidR="00795BE0" w:rsidRDefault="00795BE0" w:rsidP="00795BE0">
      <w:r>
        <w:t>Kua pīkauria tonutia e te Manatū ētahi atu kaupapa kāore he pānga ki te Kowheori-19. I tua atu i ētahi kaupapa atu anō, kua paraia he huarahi mau roa hei hāpai i te tiaki hinegaro, i te patu wawara hoki, kua whakakahangia anō ēnei ratonga mā te Access and Choice Programme; kua whānui ake te whakarato  i te motu ki ngā ratonga rapu mate pukupuku; kua whakatūria a Ngā Parewa, te paearu hou hei whakarato i te hunga hauā. I te mārama rawa o te kite e tautoko ana te motu i te mate whakaahuru, i whakatakotohia he ritenga e haumaru ai te tono i tēnei ratonga.</w:t>
      </w:r>
    </w:p>
    <w:p w14:paraId="5E56ABBB" w14:textId="77777777" w:rsidR="00795BE0" w:rsidRDefault="00795BE0" w:rsidP="00795BE0"/>
    <w:p w14:paraId="460A9536" w14:textId="77777777" w:rsidR="00795BE0" w:rsidRDefault="00795BE0" w:rsidP="00795BE0">
      <w:r>
        <w:t>Kua whānui anō hoki tā tātou tautoko i ngā poari hauora ā-rohe e toka ai te hanga</w:t>
      </w:r>
    </w:p>
    <w:p w14:paraId="0943F7E2" w14:textId="3173950C" w:rsidR="00795BE0" w:rsidRDefault="00795BE0" w:rsidP="00795BE0">
      <w:r>
        <w:t>– ko ētahi kawa i tāia ai i tēnei tau, ko te whare hauora o Te Nīkau ki Māwhera, ko Te Hōhipera o Waipapa ki Ōtautahi, me Taiao Ora – te whare mate roro ohotata ki Te Hōhipera o Tāmaki. I tīmata mai rā te hanga i Te Hōhipera o Ōtepoti – kātahi anō ka kitea tētahi hanganga pēnei te nui i te ao hauora o Aotearoa nei. Kua whakapaua anō he pūtea nui ki te tiaki raraunga, tiaki matihiko, ko te nuinga i whakapaua ki te karo i te Kowheori-19, engari kia mau roa ai aua hua, haere ake nei.</w:t>
      </w:r>
    </w:p>
    <w:p w14:paraId="23BE3F3F" w14:textId="77777777" w:rsidR="00795BE0" w:rsidRDefault="00795BE0" w:rsidP="00795BE0">
      <w:pPr>
        <w:pStyle w:val="Heading9"/>
      </w:pPr>
      <w:r>
        <w:t>Poroaki</w:t>
      </w:r>
    </w:p>
    <w:p w14:paraId="6EB2C5F7" w14:textId="3B27D3F0" w:rsidR="00795BE0" w:rsidRDefault="00795BE0" w:rsidP="00795BE0">
      <w:r>
        <w:t xml:space="preserve">Ka mutu taku noho hei Tumu Whakarae, hei Tumuaki hoki o </w:t>
      </w:r>
      <w:r w:rsidR="00F7039B">
        <w:t>t</w:t>
      </w:r>
      <w:r>
        <w:t>e Manatū Hauora, hei te 29 Hūrae 2022. Anō te hōnore nui i riro māku e ārahi a Aotearoa hei Tumu Whakarae mō te Hauora i tēnei wā, me te ngāwari o te whakahua atu ko tēnei tūranga mahi te tūranga rawe katoa kua whakanōhia e au.</w:t>
      </w:r>
    </w:p>
    <w:p w14:paraId="2A2D865F" w14:textId="77777777" w:rsidR="00795BE0" w:rsidRDefault="00795BE0" w:rsidP="00795BE0"/>
    <w:p w14:paraId="5B61839F" w14:textId="01097426" w:rsidR="00795BE0" w:rsidRDefault="00795BE0" w:rsidP="00795BE0">
      <w:r>
        <w:t xml:space="preserve">E koa ana au kua riro tēnei tūranga i a Tākuta Diana Sarfati, ka toa rawa tana ārahi i </w:t>
      </w:r>
      <w:r w:rsidR="00F7039B">
        <w:t>t</w:t>
      </w:r>
      <w:r>
        <w:t>e Manatū kia koi ai te mata, kia tipu tonu ai ia hei kaitohutohu matua ki te Kāwanatanga, mō te hauora, mō te tiaki anō i te pūnaha hauora.</w:t>
      </w:r>
    </w:p>
    <w:p w14:paraId="2983292B" w14:textId="77777777" w:rsidR="00795BE0" w:rsidRDefault="00795BE0" w:rsidP="00795BE0"/>
    <w:p w14:paraId="4703645F" w14:textId="27CF1257" w:rsidR="00795BE0" w:rsidRDefault="00795BE0" w:rsidP="00795BE0">
      <w:r>
        <w:t>Ngā mihi,</w:t>
      </w:r>
    </w:p>
    <w:p w14:paraId="4DFF6487" w14:textId="77777777" w:rsidR="00795BE0" w:rsidRDefault="00795BE0" w:rsidP="00795BE0"/>
    <w:p w14:paraId="682E62C8" w14:textId="77777777" w:rsidR="00795BE0" w:rsidRDefault="00795BE0" w:rsidP="00795BE0">
      <w:r>
        <w:t>Tākuta Ashley Bloomfield</w:t>
      </w:r>
    </w:p>
    <w:p w14:paraId="7547F4F5" w14:textId="0F4A5F84" w:rsidR="00E83E35" w:rsidRDefault="00795BE0" w:rsidP="00795BE0">
      <w:pPr>
        <w:sectPr w:rsidR="00E83E35" w:rsidSect="0078658E">
          <w:pgSz w:w="11907" w:h="16840" w:code="9"/>
          <w:pgMar w:top="1418" w:right="1701" w:bottom="1134" w:left="1843" w:header="284" w:footer="425" w:gutter="284"/>
          <w:pgNumType w:fmt="lowerRoman"/>
          <w:cols w:space="720"/>
        </w:sectPr>
      </w:pPr>
      <w:r>
        <w:t xml:space="preserve">Tumu Whakarae </w:t>
      </w:r>
      <w:r w:rsidR="00F7039B">
        <w:t xml:space="preserve">o Mua </w:t>
      </w:r>
      <w:r>
        <w:t>mō te Hauora</w:t>
      </w:r>
    </w:p>
    <w:p w14:paraId="648D4F84" w14:textId="7394B83A" w:rsidR="00C86248" w:rsidRDefault="00C86248" w:rsidP="00025A6F">
      <w:pPr>
        <w:pStyle w:val="IntroHead"/>
      </w:pPr>
      <w:r>
        <w:lastRenderedPageBreak/>
        <w:t>Contents</w:t>
      </w:r>
      <w:bookmarkEnd w:id="1"/>
      <w:bookmarkEnd w:id="2"/>
      <w:r w:rsidR="00ED2498">
        <w:t xml:space="preserve"> | </w:t>
      </w:r>
      <w:r w:rsidR="00ED2498" w:rsidRPr="00ED2498">
        <w:rPr>
          <w:b w:val="0"/>
          <w:bCs/>
        </w:rPr>
        <w:t>Ngā Kōrero</w:t>
      </w:r>
    </w:p>
    <w:p w14:paraId="6F1FBF50" w14:textId="3BD5FE62" w:rsidR="00D53D58" w:rsidRDefault="00D53D58">
      <w:pPr>
        <w:pStyle w:val="TOC1"/>
        <w:rPr>
          <w:rFonts w:asciiTheme="minorHAnsi" w:eastAsiaTheme="minorEastAsia" w:hAnsiTheme="minorHAnsi" w:cstheme="minorBidi"/>
          <w:noProof/>
          <w:sz w:val="22"/>
          <w:szCs w:val="22"/>
          <w:lang w:eastAsia="en-NZ"/>
        </w:rPr>
      </w:pPr>
      <w:r>
        <w:rPr>
          <w:b/>
        </w:rPr>
        <w:fldChar w:fldCharType="begin"/>
      </w:r>
      <w:r>
        <w:rPr>
          <w:b/>
        </w:rPr>
        <w:instrText xml:space="preserve"> TOC \o "1-3" \h \z \u </w:instrText>
      </w:r>
      <w:r>
        <w:rPr>
          <w:b/>
        </w:rPr>
        <w:fldChar w:fldCharType="separate"/>
      </w:r>
      <w:hyperlink w:anchor="_Toc117264911" w:history="1">
        <w:r w:rsidRPr="00CC71BC">
          <w:rPr>
            <w:rStyle w:val="Hyperlink"/>
            <w:noProof/>
          </w:rPr>
          <w:t>A message from the Director-General</w:t>
        </w:r>
        <w:r>
          <w:rPr>
            <w:noProof/>
            <w:webHidden/>
          </w:rPr>
          <w:tab/>
        </w:r>
        <w:r>
          <w:rPr>
            <w:noProof/>
            <w:webHidden/>
          </w:rPr>
          <w:fldChar w:fldCharType="begin"/>
        </w:r>
        <w:r>
          <w:rPr>
            <w:noProof/>
            <w:webHidden/>
          </w:rPr>
          <w:instrText xml:space="preserve"> PAGEREF _Toc117264911 \h </w:instrText>
        </w:r>
        <w:r>
          <w:rPr>
            <w:noProof/>
            <w:webHidden/>
          </w:rPr>
        </w:r>
        <w:r>
          <w:rPr>
            <w:noProof/>
            <w:webHidden/>
          </w:rPr>
          <w:fldChar w:fldCharType="separate"/>
        </w:r>
        <w:r>
          <w:rPr>
            <w:noProof/>
            <w:webHidden/>
          </w:rPr>
          <w:t>iii</w:t>
        </w:r>
        <w:r>
          <w:rPr>
            <w:noProof/>
            <w:webHidden/>
          </w:rPr>
          <w:fldChar w:fldCharType="end"/>
        </w:r>
      </w:hyperlink>
    </w:p>
    <w:p w14:paraId="2FFB61C4" w14:textId="7ACDC5CA" w:rsidR="00D53D58" w:rsidRDefault="00D53D58">
      <w:pPr>
        <w:pStyle w:val="TOC1"/>
        <w:rPr>
          <w:rFonts w:asciiTheme="minorHAnsi" w:eastAsiaTheme="minorEastAsia" w:hAnsiTheme="minorHAnsi" w:cstheme="minorBidi"/>
          <w:noProof/>
          <w:sz w:val="22"/>
          <w:szCs w:val="22"/>
          <w:lang w:eastAsia="en-NZ"/>
        </w:rPr>
      </w:pPr>
      <w:hyperlink w:anchor="_Toc117264912" w:history="1">
        <w:r w:rsidRPr="00CC71BC">
          <w:rPr>
            <w:rStyle w:val="Hyperlink"/>
            <w:noProof/>
          </w:rPr>
          <w:t>Farewell reflections from our former Director- General</w:t>
        </w:r>
        <w:r>
          <w:rPr>
            <w:noProof/>
            <w:webHidden/>
          </w:rPr>
          <w:tab/>
        </w:r>
        <w:r>
          <w:rPr>
            <w:noProof/>
            <w:webHidden/>
          </w:rPr>
          <w:fldChar w:fldCharType="begin"/>
        </w:r>
        <w:r>
          <w:rPr>
            <w:noProof/>
            <w:webHidden/>
          </w:rPr>
          <w:instrText xml:space="preserve"> PAGEREF _Toc117264912 \h </w:instrText>
        </w:r>
        <w:r>
          <w:rPr>
            <w:noProof/>
            <w:webHidden/>
          </w:rPr>
        </w:r>
        <w:r>
          <w:rPr>
            <w:noProof/>
            <w:webHidden/>
          </w:rPr>
          <w:fldChar w:fldCharType="separate"/>
        </w:r>
        <w:r>
          <w:rPr>
            <w:noProof/>
            <w:webHidden/>
          </w:rPr>
          <w:t>v</w:t>
        </w:r>
        <w:r>
          <w:rPr>
            <w:noProof/>
            <w:webHidden/>
          </w:rPr>
          <w:fldChar w:fldCharType="end"/>
        </w:r>
      </w:hyperlink>
    </w:p>
    <w:p w14:paraId="59E25FDD" w14:textId="006FFCBF" w:rsidR="00D53D58" w:rsidRDefault="00D53D58">
      <w:pPr>
        <w:pStyle w:val="TOC1"/>
        <w:rPr>
          <w:rFonts w:asciiTheme="minorHAnsi" w:eastAsiaTheme="minorEastAsia" w:hAnsiTheme="minorHAnsi" w:cstheme="minorBidi"/>
          <w:noProof/>
          <w:sz w:val="22"/>
          <w:szCs w:val="22"/>
          <w:lang w:eastAsia="en-NZ"/>
        </w:rPr>
      </w:pPr>
      <w:hyperlink w:anchor="_Toc117264913" w:history="1">
        <w:r w:rsidRPr="00CC71BC">
          <w:rPr>
            <w:rStyle w:val="Hyperlink"/>
            <w:noProof/>
          </w:rPr>
          <w:t xml:space="preserve">Who we are and what we do | </w:t>
        </w:r>
        <w:r w:rsidRPr="00CC71BC">
          <w:rPr>
            <w:rStyle w:val="Hyperlink"/>
            <w:bCs/>
            <w:noProof/>
          </w:rPr>
          <w:t>Ko mātou, me ā mātou mahi</w:t>
        </w:r>
        <w:r>
          <w:rPr>
            <w:noProof/>
            <w:webHidden/>
          </w:rPr>
          <w:tab/>
        </w:r>
        <w:r>
          <w:rPr>
            <w:noProof/>
            <w:webHidden/>
          </w:rPr>
          <w:fldChar w:fldCharType="begin"/>
        </w:r>
        <w:r>
          <w:rPr>
            <w:noProof/>
            <w:webHidden/>
          </w:rPr>
          <w:instrText xml:space="preserve"> PAGEREF _Toc117264913 \h </w:instrText>
        </w:r>
        <w:r>
          <w:rPr>
            <w:noProof/>
            <w:webHidden/>
          </w:rPr>
        </w:r>
        <w:r>
          <w:rPr>
            <w:noProof/>
            <w:webHidden/>
          </w:rPr>
          <w:fldChar w:fldCharType="separate"/>
        </w:r>
        <w:r>
          <w:rPr>
            <w:noProof/>
            <w:webHidden/>
          </w:rPr>
          <w:t>1</w:t>
        </w:r>
        <w:r>
          <w:rPr>
            <w:noProof/>
            <w:webHidden/>
          </w:rPr>
          <w:fldChar w:fldCharType="end"/>
        </w:r>
      </w:hyperlink>
    </w:p>
    <w:p w14:paraId="5C847BF2" w14:textId="2D855492" w:rsidR="00D53D58" w:rsidRDefault="00D53D58">
      <w:pPr>
        <w:pStyle w:val="TOC2"/>
        <w:rPr>
          <w:rFonts w:asciiTheme="minorHAnsi" w:eastAsiaTheme="minorEastAsia" w:hAnsiTheme="minorHAnsi" w:cstheme="minorBidi"/>
          <w:noProof/>
          <w:szCs w:val="22"/>
          <w:lang w:eastAsia="en-NZ"/>
        </w:rPr>
      </w:pPr>
      <w:hyperlink w:anchor="_Toc117264914" w:history="1">
        <w:r w:rsidRPr="00CC71BC">
          <w:rPr>
            <w:rStyle w:val="Hyperlink"/>
            <w:noProof/>
          </w:rPr>
          <w:t>About Manatū Hauora</w:t>
        </w:r>
        <w:r>
          <w:rPr>
            <w:noProof/>
            <w:webHidden/>
          </w:rPr>
          <w:tab/>
        </w:r>
        <w:r>
          <w:rPr>
            <w:noProof/>
            <w:webHidden/>
          </w:rPr>
          <w:fldChar w:fldCharType="begin"/>
        </w:r>
        <w:r>
          <w:rPr>
            <w:noProof/>
            <w:webHidden/>
          </w:rPr>
          <w:instrText xml:space="preserve"> PAGEREF _Toc117264914 \h </w:instrText>
        </w:r>
        <w:r>
          <w:rPr>
            <w:noProof/>
            <w:webHidden/>
          </w:rPr>
        </w:r>
        <w:r>
          <w:rPr>
            <w:noProof/>
            <w:webHidden/>
          </w:rPr>
          <w:fldChar w:fldCharType="separate"/>
        </w:r>
        <w:r>
          <w:rPr>
            <w:noProof/>
            <w:webHidden/>
          </w:rPr>
          <w:t>1</w:t>
        </w:r>
        <w:r>
          <w:rPr>
            <w:noProof/>
            <w:webHidden/>
          </w:rPr>
          <w:fldChar w:fldCharType="end"/>
        </w:r>
      </w:hyperlink>
    </w:p>
    <w:p w14:paraId="6193EADF" w14:textId="286CD281" w:rsidR="00D53D58" w:rsidRDefault="00D53D58">
      <w:pPr>
        <w:pStyle w:val="TOC3"/>
        <w:rPr>
          <w:rFonts w:asciiTheme="minorHAnsi" w:eastAsiaTheme="minorEastAsia" w:hAnsiTheme="minorHAnsi" w:cstheme="minorBidi"/>
          <w:noProof/>
          <w:sz w:val="22"/>
          <w:szCs w:val="22"/>
          <w:lang w:eastAsia="en-NZ"/>
        </w:rPr>
      </w:pPr>
      <w:hyperlink w:anchor="_Toc117264915" w:history="1">
        <w:r w:rsidRPr="00CC71BC">
          <w:rPr>
            <w:rStyle w:val="Hyperlink"/>
            <w:noProof/>
          </w:rPr>
          <w:t>Our kaitiaki responsibilities</w:t>
        </w:r>
        <w:r>
          <w:rPr>
            <w:noProof/>
            <w:webHidden/>
          </w:rPr>
          <w:tab/>
        </w:r>
        <w:r>
          <w:rPr>
            <w:noProof/>
            <w:webHidden/>
          </w:rPr>
          <w:fldChar w:fldCharType="begin"/>
        </w:r>
        <w:r>
          <w:rPr>
            <w:noProof/>
            <w:webHidden/>
          </w:rPr>
          <w:instrText xml:space="preserve"> PAGEREF _Toc117264915 \h </w:instrText>
        </w:r>
        <w:r>
          <w:rPr>
            <w:noProof/>
            <w:webHidden/>
          </w:rPr>
        </w:r>
        <w:r>
          <w:rPr>
            <w:noProof/>
            <w:webHidden/>
          </w:rPr>
          <w:fldChar w:fldCharType="separate"/>
        </w:r>
        <w:r>
          <w:rPr>
            <w:noProof/>
            <w:webHidden/>
          </w:rPr>
          <w:t>1</w:t>
        </w:r>
        <w:r>
          <w:rPr>
            <w:noProof/>
            <w:webHidden/>
          </w:rPr>
          <w:fldChar w:fldCharType="end"/>
        </w:r>
      </w:hyperlink>
    </w:p>
    <w:p w14:paraId="02A665CD" w14:textId="18A91C05" w:rsidR="00D53D58" w:rsidRDefault="00D53D58">
      <w:pPr>
        <w:pStyle w:val="TOC3"/>
        <w:rPr>
          <w:rFonts w:asciiTheme="minorHAnsi" w:eastAsiaTheme="minorEastAsia" w:hAnsiTheme="minorHAnsi" w:cstheme="minorBidi"/>
          <w:noProof/>
          <w:sz w:val="22"/>
          <w:szCs w:val="22"/>
          <w:lang w:eastAsia="en-NZ"/>
        </w:rPr>
      </w:pPr>
      <w:hyperlink w:anchor="_Toc117264916" w:history="1">
        <w:r w:rsidRPr="00CC71BC">
          <w:rPr>
            <w:rStyle w:val="Hyperlink"/>
            <w:noProof/>
          </w:rPr>
          <w:t>Vote Health</w:t>
        </w:r>
        <w:r>
          <w:rPr>
            <w:noProof/>
            <w:webHidden/>
          </w:rPr>
          <w:tab/>
        </w:r>
        <w:r>
          <w:rPr>
            <w:noProof/>
            <w:webHidden/>
          </w:rPr>
          <w:fldChar w:fldCharType="begin"/>
        </w:r>
        <w:r>
          <w:rPr>
            <w:noProof/>
            <w:webHidden/>
          </w:rPr>
          <w:instrText xml:space="preserve"> PAGEREF _Toc117264916 \h </w:instrText>
        </w:r>
        <w:r>
          <w:rPr>
            <w:noProof/>
            <w:webHidden/>
          </w:rPr>
        </w:r>
        <w:r>
          <w:rPr>
            <w:noProof/>
            <w:webHidden/>
          </w:rPr>
          <w:fldChar w:fldCharType="separate"/>
        </w:r>
        <w:r>
          <w:rPr>
            <w:noProof/>
            <w:webHidden/>
          </w:rPr>
          <w:t>2</w:t>
        </w:r>
        <w:r>
          <w:rPr>
            <w:noProof/>
            <w:webHidden/>
          </w:rPr>
          <w:fldChar w:fldCharType="end"/>
        </w:r>
      </w:hyperlink>
    </w:p>
    <w:p w14:paraId="449C1575" w14:textId="21CFB14D" w:rsidR="00D53D58" w:rsidRDefault="00D53D58">
      <w:pPr>
        <w:pStyle w:val="TOC3"/>
        <w:rPr>
          <w:rFonts w:asciiTheme="minorHAnsi" w:eastAsiaTheme="minorEastAsia" w:hAnsiTheme="minorHAnsi" w:cstheme="minorBidi"/>
          <w:noProof/>
          <w:sz w:val="22"/>
          <w:szCs w:val="22"/>
          <w:lang w:eastAsia="en-NZ"/>
        </w:rPr>
      </w:pPr>
      <w:hyperlink w:anchor="_Toc117264917" w:history="1">
        <w:r w:rsidRPr="00CC71BC">
          <w:rPr>
            <w:rStyle w:val="Hyperlink"/>
            <w:noProof/>
          </w:rPr>
          <w:t>Our priorities for the health and disability system</w:t>
        </w:r>
        <w:r>
          <w:rPr>
            <w:noProof/>
            <w:webHidden/>
          </w:rPr>
          <w:tab/>
        </w:r>
        <w:r>
          <w:rPr>
            <w:noProof/>
            <w:webHidden/>
          </w:rPr>
          <w:fldChar w:fldCharType="begin"/>
        </w:r>
        <w:r>
          <w:rPr>
            <w:noProof/>
            <w:webHidden/>
          </w:rPr>
          <w:instrText xml:space="preserve"> PAGEREF _Toc117264917 \h </w:instrText>
        </w:r>
        <w:r>
          <w:rPr>
            <w:noProof/>
            <w:webHidden/>
          </w:rPr>
        </w:r>
        <w:r>
          <w:rPr>
            <w:noProof/>
            <w:webHidden/>
          </w:rPr>
          <w:fldChar w:fldCharType="separate"/>
        </w:r>
        <w:r>
          <w:rPr>
            <w:noProof/>
            <w:webHidden/>
          </w:rPr>
          <w:t>2</w:t>
        </w:r>
        <w:r>
          <w:rPr>
            <w:noProof/>
            <w:webHidden/>
          </w:rPr>
          <w:fldChar w:fldCharType="end"/>
        </w:r>
      </w:hyperlink>
    </w:p>
    <w:p w14:paraId="32EFF4E3" w14:textId="0C7C0777" w:rsidR="00D53D58" w:rsidRDefault="00D53D58">
      <w:pPr>
        <w:pStyle w:val="TOC3"/>
        <w:rPr>
          <w:rFonts w:asciiTheme="minorHAnsi" w:eastAsiaTheme="minorEastAsia" w:hAnsiTheme="minorHAnsi" w:cstheme="minorBidi"/>
          <w:noProof/>
          <w:sz w:val="22"/>
          <w:szCs w:val="22"/>
          <w:lang w:eastAsia="en-NZ"/>
        </w:rPr>
      </w:pPr>
      <w:hyperlink w:anchor="_Toc117264918" w:history="1">
        <w:r w:rsidRPr="00CC71BC">
          <w:rPr>
            <w:rStyle w:val="Hyperlink"/>
            <w:noProof/>
          </w:rPr>
          <w:t>Our Values | Ngā Uaratanga</w:t>
        </w:r>
        <w:r>
          <w:rPr>
            <w:noProof/>
            <w:webHidden/>
          </w:rPr>
          <w:tab/>
        </w:r>
        <w:r>
          <w:rPr>
            <w:noProof/>
            <w:webHidden/>
          </w:rPr>
          <w:fldChar w:fldCharType="begin"/>
        </w:r>
        <w:r>
          <w:rPr>
            <w:noProof/>
            <w:webHidden/>
          </w:rPr>
          <w:instrText xml:space="preserve"> PAGEREF _Toc117264918 \h </w:instrText>
        </w:r>
        <w:r>
          <w:rPr>
            <w:noProof/>
            <w:webHidden/>
          </w:rPr>
        </w:r>
        <w:r>
          <w:rPr>
            <w:noProof/>
            <w:webHidden/>
          </w:rPr>
          <w:fldChar w:fldCharType="separate"/>
        </w:r>
        <w:r>
          <w:rPr>
            <w:noProof/>
            <w:webHidden/>
          </w:rPr>
          <w:t>5</w:t>
        </w:r>
        <w:r>
          <w:rPr>
            <w:noProof/>
            <w:webHidden/>
          </w:rPr>
          <w:fldChar w:fldCharType="end"/>
        </w:r>
      </w:hyperlink>
    </w:p>
    <w:p w14:paraId="3A92689B" w14:textId="7ECFCF84" w:rsidR="00D53D58" w:rsidRDefault="00D53D58">
      <w:pPr>
        <w:pStyle w:val="TOC3"/>
        <w:rPr>
          <w:rFonts w:asciiTheme="minorHAnsi" w:eastAsiaTheme="minorEastAsia" w:hAnsiTheme="minorHAnsi" w:cstheme="minorBidi"/>
          <w:noProof/>
          <w:sz w:val="22"/>
          <w:szCs w:val="22"/>
          <w:lang w:eastAsia="en-NZ"/>
        </w:rPr>
      </w:pPr>
      <w:hyperlink w:anchor="_Toc117264919" w:history="1">
        <w:r w:rsidRPr="00CC71BC">
          <w:rPr>
            <w:rStyle w:val="Hyperlink"/>
            <w:noProof/>
          </w:rPr>
          <w:t>Our strategy | Tā Tātou Rautaki</w:t>
        </w:r>
        <w:r>
          <w:rPr>
            <w:noProof/>
            <w:webHidden/>
          </w:rPr>
          <w:tab/>
        </w:r>
        <w:r>
          <w:rPr>
            <w:noProof/>
            <w:webHidden/>
          </w:rPr>
          <w:fldChar w:fldCharType="begin"/>
        </w:r>
        <w:r>
          <w:rPr>
            <w:noProof/>
            <w:webHidden/>
          </w:rPr>
          <w:instrText xml:space="preserve"> PAGEREF _Toc117264919 \h </w:instrText>
        </w:r>
        <w:r>
          <w:rPr>
            <w:noProof/>
            <w:webHidden/>
          </w:rPr>
        </w:r>
        <w:r>
          <w:rPr>
            <w:noProof/>
            <w:webHidden/>
          </w:rPr>
          <w:fldChar w:fldCharType="separate"/>
        </w:r>
        <w:r>
          <w:rPr>
            <w:noProof/>
            <w:webHidden/>
          </w:rPr>
          <w:t>6</w:t>
        </w:r>
        <w:r>
          <w:rPr>
            <w:noProof/>
            <w:webHidden/>
          </w:rPr>
          <w:fldChar w:fldCharType="end"/>
        </w:r>
      </w:hyperlink>
    </w:p>
    <w:p w14:paraId="1DC3C85E" w14:textId="5939B55B" w:rsidR="00D53D58" w:rsidRDefault="00D53D58">
      <w:pPr>
        <w:pStyle w:val="TOC1"/>
        <w:rPr>
          <w:rFonts w:asciiTheme="minorHAnsi" w:eastAsiaTheme="minorEastAsia" w:hAnsiTheme="minorHAnsi" w:cstheme="minorBidi"/>
          <w:noProof/>
          <w:sz w:val="22"/>
          <w:szCs w:val="22"/>
          <w:lang w:eastAsia="en-NZ"/>
        </w:rPr>
      </w:pPr>
      <w:hyperlink w:anchor="_Toc117264920" w:history="1">
        <w:r w:rsidRPr="00CC71BC">
          <w:rPr>
            <w:rStyle w:val="Hyperlink"/>
            <w:noProof/>
          </w:rPr>
          <w:t>Our continued response to the COVID-19 pandemic | Tā mātou kaupare tonu i te urutā Kowheori-19</w:t>
        </w:r>
        <w:r>
          <w:rPr>
            <w:noProof/>
            <w:webHidden/>
          </w:rPr>
          <w:tab/>
        </w:r>
        <w:r>
          <w:rPr>
            <w:noProof/>
            <w:webHidden/>
          </w:rPr>
          <w:fldChar w:fldCharType="begin"/>
        </w:r>
        <w:r>
          <w:rPr>
            <w:noProof/>
            <w:webHidden/>
          </w:rPr>
          <w:instrText xml:space="preserve"> PAGEREF _Toc117264920 \h </w:instrText>
        </w:r>
        <w:r>
          <w:rPr>
            <w:noProof/>
            <w:webHidden/>
          </w:rPr>
        </w:r>
        <w:r>
          <w:rPr>
            <w:noProof/>
            <w:webHidden/>
          </w:rPr>
          <w:fldChar w:fldCharType="separate"/>
        </w:r>
        <w:r>
          <w:rPr>
            <w:noProof/>
            <w:webHidden/>
          </w:rPr>
          <w:t>7</w:t>
        </w:r>
        <w:r>
          <w:rPr>
            <w:noProof/>
            <w:webHidden/>
          </w:rPr>
          <w:fldChar w:fldCharType="end"/>
        </w:r>
      </w:hyperlink>
    </w:p>
    <w:p w14:paraId="7AEA919E" w14:textId="32833917" w:rsidR="00D53D58" w:rsidRDefault="00D53D58">
      <w:pPr>
        <w:pStyle w:val="TOC2"/>
        <w:rPr>
          <w:rFonts w:asciiTheme="minorHAnsi" w:eastAsiaTheme="minorEastAsia" w:hAnsiTheme="minorHAnsi" w:cstheme="minorBidi"/>
          <w:noProof/>
          <w:szCs w:val="22"/>
          <w:lang w:eastAsia="en-NZ"/>
        </w:rPr>
      </w:pPr>
      <w:hyperlink w:anchor="_Toc117264921" w:history="1">
        <w:r w:rsidRPr="00CC71BC">
          <w:rPr>
            <w:rStyle w:val="Hyperlink"/>
            <w:noProof/>
            <w:w w:val="105"/>
          </w:rPr>
          <w:t xml:space="preserve">COVID-19 information at a glance | </w:t>
        </w:r>
        <w:r w:rsidRPr="00CC71BC">
          <w:rPr>
            <w:rStyle w:val="Hyperlink"/>
            <w:bCs/>
            <w:noProof/>
            <w:w w:val="105"/>
          </w:rPr>
          <w:t>He whakarāpopoto kōrero mō te Kowheori-19</w:t>
        </w:r>
        <w:r>
          <w:rPr>
            <w:noProof/>
            <w:webHidden/>
          </w:rPr>
          <w:tab/>
        </w:r>
        <w:r>
          <w:rPr>
            <w:noProof/>
            <w:webHidden/>
          </w:rPr>
          <w:fldChar w:fldCharType="begin"/>
        </w:r>
        <w:r>
          <w:rPr>
            <w:noProof/>
            <w:webHidden/>
          </w:rPr>
          <w:instrText xml:space="preserve"> PAGEREF _Toc117264921 \h </w:instrText>
        </w:r>
        <w:r>
          <w:rPr>
            <w:noProof/>
            <w:webHidden/>
          </w:rPr>
        </w:r>
        <w:r>
          <w:rPr>
            <w:noProof/>
            <w:webHidden/>
          </w:rPr>
          <w:fldChar w:fldCharType="separate"/>
        </w:r>
        <w:r>
          <w:rPr>
            <w:noProof/>
            <w:webHidden/>
          </w:rPr>
          <w:t>8</w:t>
        </w:r>
        <w:r>
          <w:rPr>
            <w:noProof/>
            <w:webHidden/>
          </w:rPr>
          <w:fldChar w:fldCharType="end"/>
        </w:r>
      </w:hyperlink>
    </w:p>
    <w:p w14:paraId="13E14194" w14:textId="214BA64D" w:rsidR="00D53D58" w:rsidRDefault="00D53D58">
      <w:pPr>
        <w:pStyle w:val="TOC2"/>
        <w:rPr>
          <w:rFonts w:asciiTheme="minorHAnsi" w:eastAsiaTheme="minorEastAsia" w:hAnsiTheme="minorHAnsi" w:cstheme="minorBidi"/>
          <w:noProof/>
          <w:szCs w:val="22"/>
          <w:lang w:eastAsia="en-NZ"/>
        </w:rPr>
      </w:pPr>
      <w:hyperlink w:anchor="_Toc117264922" w:history="1">
        <w:r w:rsidRPr="00CC71BC">
          <w:rPr>
            <w:rStyle w:val="Hyperlink"/>
            <w:rFonts w:eastAsia="Arial Unicode MS"/>
            <w:noProof/>
          </w:rPr>
          <w:t xml:space="preserve">Leading the COVID-19 health response in Aotearoa New Zealand | </w:t>
        </w:r>
        <w:r w:rsidRPr="00CC71BC">
          <w:rPr>
            <w:rStyle w:val="Hyperlink"/>
            <w:rFonts w:eastAsia="Arial Unicode MS"/>
            <w:bCs/>
            <w:noProof/>
          </w:rPr>
          <w:t>Te ārahi i te kaupare i te Kowheori-19 i Aotearoa</w:t>
        </w:r>
        <w:r>
          <w:rPr>
            <w:noProof/>
            <w:webHidden/>
          </w:rPr>
          <w:tab/>
        </w:r>
        <w:r>
          <w:rPr>
            <w:noProof/>
            <w:webHidden/>
          </w:rPr>
          <w:fldChar w:fldCharType="begin"/>
        </w:r>
        <w:r>
          <w:rPr>
            <w:noProof/>
            <w:webHidden/>
          </w:rPr>
          <w:instrText xml:space="preserve"> PAGEREF _Toc117264922 \h </w:instrText>
        </w:r>
        <w:r>
          <w:rPr>
            <w:noProof/>
            <w:webHidden/>
          </w:rPr>
        </w:r>
        <w:r>
          <w:rPr>
            <w:noProof/>
            <w:webHidden/>
          </w:rPr>
          <w:fldChar w:fldCharType="separate"/>
        </w:r>
        <w:r>
          <w:rPr>
            <w:noProof/>
            <w:webHidden/>
          </w:rPr>
          <w:t>10</w:t>
        </w:r>
        <w:r>
          <w:rPr>
            <w:noProof/>
            <w:webHidden/>
          </w:rPr>
          <w:fldChar w:fldCharType="end"/>
        </w:r>
      </w:hyperlink>
    </w:p>
    <w:p w14:paraId="439D82E3" w14:textId="298A91AD" w:rsidR="00D53D58" w:rsidRDefault="00D53D58">
      <w:pPr>
        <w:pStyle w:val="TOC3"/>
        <w:rPr>
          <w:rFonts w:asciiTheme="minorHAnsi" w:eastAsiaTheme="minorEastAsia" w:hAnsiTheme="minorHAnsi" w:cstheme="minorBidi"/>
          <w:noProof/>
          <w:sz w:val="22"/>
          <w:szCs w:val="22"/>
          <w:lang w:eastAsia="en-NZ"/>
        </w:rPr>
      </w:pPr>
      <w:hyperlink w:anchor="_Toc117264923" w:history="1">
        <w:r w:rsidRPr="00CC71BC">
          <w:rPr>
            <w:rStyle w:val="Hyperlink"/>
            <w:noProof/>
          </w:rPr>
          <w:t>Responding to and managing the Delta and Omicron community outbreaks</w:t>
        </w:r>
        <w:r>
          <w:rPr>
            <w:noProof/>
            <w:webHidden/>
          </w:rPr>
          <w:tab/>
        </w:r>
        <w:r>
          <w:rPr>
            <w:noProof/>
            <w:webHidden/>
          </w:rPr>
          <w:fldChar w:fldCharType="begin"/>
        </w:r>
        <w:r>
          <w:rPr>
            <w:noProof/>
            <w:webHidden/>
          </w:rPr>
          <w:instrText xml:space="preserve"> PAGEREF _Toc117264923 \h </w:instrText>
        </w:r>
        <w:r>
          <w:rPr>
            <w:noProof/>
            <w:webHidden/>
          </w:rPr>
        </w:r>
        <w:r>
          <w:rPr>
            <w:noProof/>
            <w:webHidden/>
          </w:rPr>
          <w:fldChar w:fldCharType="separate"/>
        </w:r>
        <w:r>
          <w:rPr>
            <w:noProof/>
            <w:webHidden/>
          </w:rPr>
          <w:t>11</w:t>
        </w:r>
        <w:r>
          <w:rPr>
            <w:noProof/>
            <w:webHidden/>
          </w:rPr>
          <w:fldChar w:fldCharType="end"/>
        </w:r>
      </w:hyperlink>
    </w:p>
    <w:p w14:paraId="0CB31A2E" w14:textId="66401681" w:rsidR="00D53D58" w:rsidRDefault="00D53D58">
      <w:pPr>
        <w:pStyle w:val="TOC3"/>
        <w:rPr>
          <w:rFonts w:asciiTheme="minorHAnsi" w:eastAsiaTheme="minorEastAsia" w:hAnsiTheme="minorHAnsi" w:cstheme="minorBidi"/>
          <w:noProof/>
          <w:sz w:val="22"/>
          <w:szCs w:val="22"/>
          <w:lang w:eastAsia="en-NZ"/>
        </w:rPr>
      </w:pPr>
      <w:hyperlink w:anchor="_Toc117264924" w:history="1">
        <w:r w:rsidRPr="00CC71BC">
          <w:rPr>
            <w:rStyle w:val="Hyperlink"/>
            <w:noProof/>
          </w:rPr>
          <w:t>Timeline: Contact tracing and testing responses</w:t>
        </w:r>
        <w:r>
          <w:rPr>
            <w:noProof/>
            <w:webHidden/>
          </w:rPr>
          <w:tab/>
        </w:r>
        <w:r>
          <w:rPr>
            <w:noProof/>
            <w:webHidden/>
          </w:rPr>
          <w:fldChar w:fldCharType="begin"/>
        </w:r>
        <w:r>
          <w:rPr>
            <w:noProof/>
            <w:webHidden/>
          </w:rPr>
          <w:instrText xml:space="preserve"> PAGEREF _Toc117264924 \h </w:instrText>
        </w:r>
        <w:r>
          <w:rPr>
            <w:noProof/>
            <w:webHidden/>
          </w:rPr>
        </w:r>
        <w:r>
          <w:rPr>
            <w:noProof/>
            <w:webHidden/>
          </w:rPr>
          <w:fldChar w:fldCharType="separate"/>
        </w:r>
        <w:r>
          <w:rPr>
            <w:noProof/>
            <w:webHidden/>
          </w:rPr>
          <w:t>12</w:t>
        </w:r>
        <w:r>
          <w:rPr>
            <w:noProof/>
            <w:webHidden/>
          </w:rPr>
          <w:fldChar w:fldCharType="end"/>
        </w:r>
      </w:hyperlink>
    </w:p>
    <w:p w14:paraId="4E0016C6" w14:textId="7C446F3C" w:rsidR="00D53D58" w:rsidRDefault="00D53D58">
      <w:pPr>
        <w:pStyle w:val="TOC3"/>
        <w:rPr>
          <w:rFonts w:asciiTheme="minorHAnsi" w:eastAsiaTheme="minorEastAsia" w:hAnsiTheme="minorHAnsi" w:cstheme="minorBidi"/>
          <w:noProof/>
          <w:sz w:val="22"/>
          <w:szCs w:val="22"/>
          <w:lang w:eastAsia="en-NZ"/>
        </w:rPr>
      </w:pPr>
      <w:hyperlink w:anchor="_Toc117264925" w:history="1">
        <w:r w:rsidRPr="00CC71BC">
          <w:rPr>
            <w:rStyle w:val="Hyperlink"/>
            <w:noProof/>
          </w:rPr>
          <w:t>Exploring the use of other medicines to treat COVID-19</w:t>
        </w:r>
        <w:r>
          <w:rPr>
            <w:noProof/>
            <w:webHidden/>
          </w:rPr>
          <w:tab/>
        </w:r>
        <w:r>
          <w:rPr>
            <w:noProof/>
            <w:webHidden/>
          </w:rPr>
          <w:fldChar w:fldCharType="begin"/>
        </w:r>
        <w:r>
          <w:rPr>
            <w:noProof/>
            <w:webHidden/>
          </w:rPr>
          <w:instrText xml:space="preserve"> PAGEREF _Toc117264925 \h </w:instrText>
        </w:r>
        <w:r>
          <w:rPr>
            <w:noProof/>
            <w:webHidden/>
          </w:rPr>
        </w:r>
        <w:r>
          <w:rPr>
            <w:noProof/>
            <w:webHidden/>
          </w:rPr>
          <w:fldChar w:fldCharType="separate"/>
        </w:r>
        <w:r>
          <w:rPr>
            <w:noProof/>
            <w:webHidden/>
          </w:rPr>
          <w:t>14</w:t>
        </w:r>
        <w:r>
          <w:rPr>
            <w:noProof/>
            <w:webHidden/>
          </w:rPr>
          <w:fldChar w:fldCharType="end"/>
        </w:r>
      </w:hyperlink>
    </w:p>
    <w:p w14:paraId="74768F61" w14:textId="30F5245E" w:rsidR="00D53D58" w:rsidRDefault="00D53D58">
      <w:pPr>
        <w:pStyle w:val="TOC3"/>
        <w:rPr>
          <w:rFonts w:asciiTheme="minorHAnsi" w:eastAsiaTheme="minorEastAsia" w:hAnsiTheme="minorHAnsi" w:cstheme="minorBidi"/>
          <w:noProof/>
          <w:sz w:val="22"/>
          <w:szCs w:val="22"/>
          <w:lang w:eastAsia="en-NZ"/>
        </w:rPr>
      </w:pPr>
      <w:hyperlink w:anchor="_Toc117264926" w:history="1">
        <w:r w:rsidRPr="00CC71BC">
          <w:rPr>
            <w:rStyle w:val="Hyperlink"/>
            <w:noProof/>
          </w:rPr>
          <w:t>Delivering the COVID-19 National Immunisation Programme</w:t>
        </w:r>
        <w:r>
          <w:rPr>
            <w:noProof/>
            <w:webHidden/>
          </w:rPr>
          <w:tab/>
        </w:r>
        <w:r>
          <w:rPr>
            <w:noProof/>
            <w:webHidden/>
          </w:rPr>
          <w:fldChar w:fldCharType="begin"/>
        </w:r>
        <w:r>
          <w:rPr>
            <w:noProof/>
            <w:webHidden/>
          </w:rPr>
          <w:instrText xml:space="preserve"> PAGEREF _Toc117264926 \h </w:instrText>
        </w:r>
        <w:r>
          <w:rPr>
            <w:noProof/>
            <w:webHidden/>
          </w:rPr>
        </w:r>
        <w:r>
          <w:rPr>
            <w:noProof/>
            <w:webHidden/>
          </w:rPr>
          <w:fldChar w:fldCharType="separate"/>
        </w:r>
        <w:r>
          <w:rPr>
            <w:noProof/>
            <w:webHidden/>
          </w:rPr>
          <w:t>15</w:t>
        </w:r>
        <w:r>
          <w:rPr>
            <w:noProof/>
            <w:webHidden/>
          </w:rPr>
          <w:fldChar w:fldCharType="end"/>
        </w:r>
      </w:hyperlink>
    </w:p>
    <w:p w14:paraId="03677A32" w14:textId="420739C3" w:rsidR="00D53D58" w:rsidRDefault="00D53D58">
      <w:pPr>
        <w:pStyle w:val="TOC3"/>
        <w:rPr>
          <w:rFonts w:asciiTheme="minorHAnsi" w:eastAsiaTheme="minorEastAsia" w:hAnsiTheme="minorHAnsi" w:cstheme="minorBidi"/>
          <w:noProof/>
          <w:sz w:val="22"/>
          <w:szCs w:val="22"/>
          <w:lang w:eastAsia="en-NZ"/>
        </w:rPr>
      </w:pPr>
      <w:hyperlink w:anchor="_Toc117264927" w:history="1">
        <w:r w:rsidRPr="00CC71BC">
          <w:rPr>
            <w:rStyle w:val="Hyperlink"/>
            <w:noProof/>
          </w:rPr>
          <w:t>Supporting our Pacific neighbours: COVID-19 preparedness and response in Polynesia and Fiji</w:t>
        </w:r>
        <w:r>
          <w:rPr>
            <w:noProof/>
            <w:webHidden/>
          </w:rPr>
          <w:tab/>
        </w:r>
        <w:r>
          <w:rPr>
            <w:noProof/>
            <w:webHidden/>
          </w:rPr>
          <w:fldChar w:fldCharType="begin"/>
        </w:r>
        <w:r>
          <w:rPr>
            <w:noProof/>
            <w:webHidden/>
          </w:rPr>
          <w:instrText xml:space="preserve"> PAGEREF _Toc117264927 \h </w:instrText>
        </w:r>
        <w:r>
          <w:rPr>
            <w:noProof/>
            <w:webHidden/>
          </w:rPr>
        </w:r>
        <w:r>
          <w:rPr>
            <w:noProof/>
            <w:webHidden/>
          </w:rPr>
          <w:fldChar w:fldCharType="separate"/>
        </w:r>
        <w:r>
          <w:rPr>
            <w:noProof/>
            <w:webHidden/>
          </w:rPr>
          <w:t>16</w:t>
        </w:r>
        <w:r>
          <w:rPr>
            <w:noProof/>
            <w:webHidden/>
          </w:rPr>
          <w:fldChar w:fldCharType="end"/>
        </w:r>
      </w:hyperlink>
    </w:p>
    <w:p w14:paraId="33C790AE" w14:textId="2C14349C" w:rsidR="00D53D58" w:rsidRDefault="00D53D58">
      <w:pPr>
        <w:pStyle w:val="TOC3"/>
        <w:rPr>
          <w:rFonts w:asciiTheme="minorHAnsi" w:eastAsiaTheme="minorEastAsia" w:hAnsiTheme="minorHAnsi" w:cstheme="minorBidi"/>
          <w:noProof/>
          <w:sz w:val="22"/>
          <w:szCs w:val="22"/>
          <w:lang w:eastAsia="en-NZ"/>
        </w:rPr>
      </w:pPr>
      <w:hyperlink w:anchor="_Toc117264928" w:history="1">
        <w:r w:rsidRPr="00CC71BC">
          <w:rPr>
            <w:rStyle w:val="Hyperlink"/>
            <w:noProof/>
          </w:rPr>
          <w:t>Demonstrating our commitment to achieving equitable outcomes</w:t>
        </w:r>
        <w:r>
          <w:rPr>
            <w:noProof/>
            <w:webHidden/>
          </w:rPr>
          <w:tab/>
        </w:r>
        <w:r>
          <w:rPr>
            <w:noProof/>
            <w:webHidden/>
          </w:rPr>
          <w:fldChar w:fldCharType="begin"/>
        </w:r>
        <w:r>
          <w:rPr>
            <w:noProof/>
            <w:webHidden/>
          </w:rPr>
          <w:instrText xml:space="preserve"> PAGEREF _Toc117264928 \h </w:instrText>
        </w:r>
        <w:r>
          <w:rPr>
            <w:noProof/>
            <w:webHidden/>
          </w:rPr>
        </w:r>
        <w:r>
          <w:rPr>
            <w:noProof/>
            <w:webHidden/>
          </w:rPr>
          <w:fldChar w:fldCharType="separate"/>
        </w:r>
        <w:r>
          <w:rPr>
            <w:noProof/>
            <w:webHidden/>
          </w:rPr>
          <w:t>18</w:t>
        </w:r>
        <w:r>
          <w:rPr>
            <w:noProof/>
            <w:webHidden/>
          </w:rPr>
          <w:fldChar w:fldCharType="end"/>
        </w:r>
      </w:hyperlink>
    </w:p>
    <w:p w14:paraId="0A0625C0" w14:textId="6DD8F324" w:rsidR="00D53D58" w:rsidRDefault="00D53D58">
      <w:pPr>
        <w:pStyle w:val="TOC1"/>
        <w:rPr>
          <w:rFonts w:asciiTheme="minorHAnsi" w:eastAsiaTheme="minorEastAsia" w:hAnsiTheme="minorHAnsi" w:cstheme="minorBidi"/>
          <w:noProof/>
          <w:sz w:val="22"/>
          <w:szCs w:val="22"/>
          <w:lang w:eastAsia="en-NZ"/>
        </w:rPr>
      </w:pPr>
      <w:hyperlink w:anchor="_Toc117264929" w:history="1">
        <w:r w:rsidRPr="00CC71BC">
          <w:rPr>
            <w:rStyle w:val="Hyperlink"/>
            <w:rFonts w:eastAsia="Arial Unicode MS"/>
            <w:noProof/>
          </w:rPr>
          <w:t xml:space="preserve">Our performance story | </w:t>
        </w:r>
        <w:r w:rsidRPr="00CC71BC">
          <w:rPr>
            <w:rStyle w:val="Hyperlink"/>
            <w:rFonts w:eastAsia="Arial Unicode MS"/>
            <w:bCs/>
            <w:noProof/>
          </w:rPr>
          <w:t>Tā tātou taki haere i a tātou</w:t>
        </w:r>
        <w:r>
          <w:rPr>
            <w:noProof/>
            <w:webHidden/>
          </w:rPr>
          <w:tab/>
        </w:r>
        <w:r>
          <w:rPr>
            <w:noProof/>
            <w:webHidden/>
          </w:rPr>
          <w:fldChar w:fldCharType="begin"/>
        </w:r>
        <w:r>
          <w:rPr>
            <w:noProof/>
            <w:webHidden/>
          </w:rPr>
          <w:instrText xml:space="preserve"> PAGEREF _Toc117264929 \h </w:instrText>
        </w:r>
        <w:r>
          <w:rPr>
            <w:noProof/>
            <w:webHidden/>
          </w:rPr>
        </w:r>
        <w:r>
          <w:rPr>
            <w:noProof/>
            <w:webHidden/>
          </w:rPr>
          <w:fldChar w:fldCharType="separate"/>
        </w:r>
        <w:r>
          <w:rPr>
            <w:noProof/>
            <w:webHidden/>
          </w:rPr>
          <w:t>23</w:t>
        </w:r>
        <w:r>
          <w:rPr>
            <w:noProof/>
            <w:webHidden/>
          </w:rPr>
          <w:fldChar w:fldCharType="end"/>
        </w:r>
      </w:hyperlink>
    </w:p>
    <w:p w14:paraId="28E2F59E" w14:textId="657F5D46" w:rsidR="00D53D58" w:rsidRDefault="00D53D58">
      <w:pPr>
        <w:pStyle w:val="TOC2"/>
        <w:rPr>
          <w:rFonts w:asciiTheme="minorHAnsi" w:eastAsiaTheme="minorEastAsia" w:hAnsiTheme="minorHAnsi" w:cstheme="minorBidi"/>
          <w:noProof/>
          <w:szCs w:val="22"/>
          <w:lang w:eastAsia="en-NZ"/>
        </w:rPr>
      </w:pPr>
      <w:hyperlink w:anchor="_Toc117264930" w:history="1">
        <w:r w:rsidRPr="00CC71BC">
          <w:rPr>
            <w:rStyle w:val="Hyperlink"/>
            <w:rFonts w:eastAsia="Arial Unicode MS"/>
            <w:noProof/>
          </w:rPr>
          <w:t xml:space="preserve">2021/22 operations at a glance |  </w:t>
        </w:r>
        <w:r w:rsidRPr="00CC71BC">
          <w:rPr>
            <w:rStyle w:val="Hyperlink"/>
            <w:rFonts w:eastAsia="Arial Unicode MS"/>
            <w:bCs/>
            <w:noProof/>
          </w:rPr>
          <w:t>He whakarāpopoto i te 2021/22</w:t>
        </w:r>
        <w:r>
          <w:rPr>
            <w:noProof/>
            <w:webHidden/>
          </w:rPr>
          <w:tab/>
        </w:r>
        <w:r>
          <w:rPr>
            <w:noProof/>
            <w:webHidden/>
          </w:rPr>
          <w:fldChar w:fldCharType="begin"/>
        </w:r>
        <w:r>
          <w:rPr>
            <w:noProof/>
            <w:webHidden/>
          </w:rPr>
          <w:instrText xml:space="preserve"> PAGEREF _Toc117264930 \h </w:instrText>
        </w:r>
        <w:r>
          <w:rPr>
            <w:noProof/>
            <w:webHidden/>
          </w:rPr>
        </w:r>
        <w:r>
          <w:rPr>
            <w:noProof/>
            <w:webHidden/>
          </w:rPr>
          <w:fldChar w:fldCharType="separate"/>
        </w:r>
        <w:r>
          <w:rPr>
            <w:noProof/>
            <w:webHidden/>
          </w:rPr>
          <w:t>23</w:t>
        </w:r>
        <w:r>
          <w:rPr>
            <w:noProof/>
            <w:webHidden/>
          </w:rPr>
          <w:fldChar w:fldCharType="end"/>
        </w:r>
      </w:hyperlink>
    </w:p>
    <w:p w14:paraId="25F57116" w14:textId="162F25F9" w:rsidR="00D53D58" w:rsidRDefault="00D53D58">
      <w:pPr>
        <w:pStyle w:val="TOC2"/>
        <w:rPr>
          <w:rFonts w:asciiTheme="minorHAnsi" w:eastAsiaTheme="minorEastAsia" w:hAnsiTheme="minorHAnsi" w:cstheme="minorBidi"/>
          <w:noProof/>
          <w:szCs w:val="22"/>
          <w:lang w:eastAsia="en-NZ"/>
        </w:rPr>
      </w:pPr>
      <w:hyperlink w:anchor="_Toc117264931" w:history="1">
        <w:r w:rsidRPr="00CC71BC">
          <w:rPr>
            <w:rStyle w:val="Hyperlink"/>
            <w:rFonts w:eastAsia="Arial Unicode MS"/>
            <w:noProof/>
          </w:rPr>
          <w:t xml:space="preserve">Our achievements | </w:t>
        </w:r>
        <w:r w:rsidRPr="00CC71BC">
          <w:rPr>
            <w:rStyle w:val="Hyperlink"/>
            <w:rFonts w:eastAsia="Arial Unicode MS"/>
            <w:bCs/>
            <w:noProof/>
          </w:rPr>
          <w:t>Ā mātou ekenga</w:t>
        </w:r>
        <w:r>
          <w:rPr>
            <w:noProof/>
            <w:webHidden/>
          </w:rPr>
          <w:tab/>
        </w:r>
        <w:r>
          <w:rPr>
            <w:noProof/>
            <w:webHidden/>
          </w:rPr>
          <w:fldChar w:fldCharType="begin"/>
        </w:r>
        <w:r>
          <w:rPr>
            <w:noProof/>
            <w:webHidden/>
          </w:rPr>
          <w:instrText xml:space="preserve"> PAGEREF _Toc117264931 \h </w:instrText>
        </w:r>
        <w:r>
          <w:rPr>
            <w:noProof/>
            <w:webHidden/>
          </w:rPr>
        </w:r>
        <w:r>
          <w:rPr>
            <w:noProof/>
            <w:webHidden/>
          </w:rPr>
          <w:fldChar w:fldCharType="separate"/>
        </w:r>
        <w:r>
          <w:rPr>
            <w:noProof/>
            <w:webHidden/>
          </w:rPr>
          <w:t>24</w:t>
        </w:r>
        <w:r>
          <w:rPr>
            <w:noProof/>
            <w:webHidden/>
          </w:rPr>
          <w:fldChar w:fldCharType="end"/>
        </w:r>
      </w:hyperlink>
    </w:p>
    <w:p w14:paraId="540025CB" w14:textId="7ECBB9F8" w:rsidR="00D53D58" w:rsidRDefault="00D53D58">
      <w:pPr>
        <w:pStyle w:val="TOC3"/>
        <w:tabs>
          <w:tab w:val="left" w:pos="1100"/>
        </w:tabs>
        <w:rPr>
          <w:rFonts w:asciiTheme="minorHAnsi" w:eastAsiaTheme="minorEastAsia" w:hAnsiTheme="minorHAnsi" w:cstheme="minorBidi"/>
          <w:noProof/>
          <w:sz w:val="22"/>
          <w:szCs w:val="22"/>
          <w:lang w:eastAsia="en-NZ"/>
        </w:rPr>
      </w:pPr>
      <w:hyperlink w:anchor="_Toc117264932" w:history="1">
        <w:r w:rsidRPr="00CC71BC">
          <w:rPr>
            <w:rStyle w:val="Hyperlink"/>
            <w:noProof/>
          </w:rPr>
          <w:t>1.</w:t>
        </w:r>
        <w:r>
          <w:rPr>
            <w:rFonts w:asciiTheme="minorHAnsi" w:eastAsiaTheme="minorEastAsia" w:hAnsiTheme="minorHAnsi" w:cstheme="minorBidi"/>
            <w:noProof/>
            <w:sz w:val="22"/>
            <w:szCs w:val="22"/>
            <w:lang w:eastAsia="en-NZ"/>
          </w:rPr>
          <w:tab/>
        </w:r>
        <w:r w:rsidRPr="00CC71BC">
          <w:rPr>
            <w:rStyle w:val="Hyperlink"/>
            <w:noProof/>
          </w:rPr>
          <w:t>Improving health equity for all people in New Zealand</w:t>
        </w:r>
        <w:r>
          <w:rPr>
            <w:noProof/>
            <w:webHidden/>
          </w:rPr>
          <w:tab/>
        </w:r>
        <w:r>
          <w:rPr>
            <w:noProof/>
            <w:webHidden/>
          </w:rPr>
          <w:fldChar w:fldCharType="begin"/>
        </w:r>
        <w:r>
          <w:rPr>
            <w:noProof/>
            <w:webHidden/>
          </w:rPr>
          <w:instrText xml:space="preserve"> PAGEREF _Toc117264932 \h </w:instrText>
        </w:r>
        <w:r>
          <w:rPr>
            <w:noProof/>
            <w:webHidden/>
          </w:rPr>
        </w:r>
        <w:r>
          <w:rPr>
            <w:noProof/>
            <w:webHidden/>
          </w:rPr>
          <w:fldChar w:fldCharType="separate"/>
        </w:r>
        <w:r>
          <w:rPr>
            <w:noProof/>
            <w:webHidden/>
          </w:rPr>
          <w:t>25</w:t>
        </w:r>
        <w:r>
          <w:rPr>
            <w:noProof/>
            <w:webHidden/>
          </w:rPr>
          <w:fldChar w:fldCharType="end"/>
        </w:r>
      </w:hyperlink>
    </w:p>
    <w:p w14:paraId="24B6BD8E" w14:textId="1EDBA734" w:rsidR="00D53D58" w:rsidRDefault="00D53D58">
      <w:pPr>
        <w:pStyle w:val="TOC3"/>
        <w:tabs>
          <w:tab w:val="left" w:pos="1100"/>
        </w:tabs>
        <w:rPr>
          <w:rFonts w:asciiTheme="minorHAnsi" w:eastAsiaTheme="minorEastAsia" w:hAnsiTheme="minorHAnsi" w:cstheme="minorBidi"/>
          <w:noProof/>
          <w:sz w:val="22"/>
          <w:szCs w:val="22"/>
          <w:lang w:eastAsia="en-NZ"/>
        </w:rPr>
      </w:pPr>
      <w:hyperlink w:anchor="_Toc117264933" w:history="1">
        <w:r w:rsidRPr="00CC71BC">
          <w:rPr>
            <w:rStyle w:val="Hyperlink"/>
            <w:noProof/>
          </w:rPr>
          <w:t xml:space="preserve">2. </w:t>
        </w:r>
        <w:r>
          <w:rPr>
            <w:rFonts w:asciiTheme="minorHAnsi" w:eastAsiaTheme="minorEastAsia" w:hAnsiTheme="minorHAnsi" w:cstheme="minorBidi"/>
            <w:noProof/>
            <w:sz w:val="22"/>
            <w:szCs w:val="22"/>
            <w:lang w:eastAsia="en-NZ"/>
          </w:rPr>
          <w:tab/>
        </w:r>
        <w:r w:rsidRPr="00CC71BC">
          <w:rPr>
            <w:rStyle w:val="Hyperlink"/>
            <w:noProof/>
          </w:rPr>
          <w:t>Making New Zealand’s health and disability systems and services safe and sustainable</w:t>
        </w:r>
        <w:r>
          <w:rPr>
            <w:noProof/>
            <w:webHidden/>
          </w:rPr>
          <w:tab/>
        </w:r>
        <w:r>
          <w:rPr>
            <w:noProof/>
            <w:webHidden/>
          </w:rPr>
          <w:fldChar w:fldCharType="begin"/>
        </w:r>
        <w:r>
          <w:rPr>
            <w:noProof/>
            <w:webHidden/>
          </w:rPr>
          <w:instrText xml:space="preserve"> PAGEREF _Toc117264933 \h </w:instrText>
        </w:r>
        <w:r>
          <w:rPr>
            <w:noProof/>
            <w:webHidden/>
          </w:rPr>
        </w:r>
        <w:r>
          <w:rPr>
            <w:noProof/>
            <w:webHidden/>
          </w:rPr>
          <w:fldChar w:fldCharType="separate"/>
        </w:r>
        <w:r>
          <w:rPr>
            <w:noProof/>
            <w:webHidden/>
          </w:rPr>
          <w:t>34</w:t>
        </w:r>
        <w:r>
          <w:rPr>
            <w:noProof/>
            <w:webHidden/>
          </w:rPr>
          <w:fldChar w:fldCharType="end"/>
        </w:r>
      </w:hyperlink>
    </w:p>
    <w:p w14:paraId="1192BE24" w14:textId="480E5972" w:rsidR="00D53D58" w:rsidRDefault="00D53D58">
      <w:pPr>
        <w:pStyle w:val="TOC3"/>
        <w:tabs>
          <w:tab w:val="left" w:pos="1100"/>
        </w:tabs>
        <w:rPr>
          <w:rFonts w:asciiTheme="minorHAnsi" w:eastAsiaTheme="minorEastAsia" w:hAnsiTheme="minorHAnsi" w:cstheme="minorBidi"/>
          <w:noProof/>
          <w:sz w:val="22"/>
          <w:szCs w:val="22"/>
          <w:lang w:eastAsia="en-NZ"/>
        </w:rPr>
      </w:pPr>
      <w:hyperlink w:anchor="_Toc117264934" w:history="1">
        <w:r w:rsidRPr="00CC71BC">
          <w:rPr>
            <w:rStyle w:val="Hyperlink"/>
            <w:noProof/>
          </w:rPr>
          <w:t>3.</w:t>
        </w:r>
        <w:r>
          <w:rPr>
            <w:rFonts w:asciiTheme="minorHAnsi" w:eastAsiaTheme="minorEastAsia" w:hAnsiTheme="minorHAnsi" w:cstheme="minorBidi"/>
            <w:noProof/>
            <w:sz w:val="22"/>
            <w:szCs w:val="22"/>
            <w:lang w:eastAsia="en-NZ"/>
          </w:rPr>
          <w:tab/>
        </w:r>
        <w:r w:rsidRPr="00CC71BC">
          <w:rPr>
            <w:rStyle w:val="Hyperlink"/>
            <w:noProof/>
          </w:rPr>
          <w:t>Creating an integrated, collaborative and innovative health and disability system</w:t>
        </w:r>
        <w:r>
          <w:rPr>
            <w:noProof/>
            <w:webHidden/>
          </w:rPr>
          <w:tab/>
        </w:r>
        <w:r>
          <w:rPr>
            <w:noProof/>
            <w:webHidden/>
          </w:rPr>
          <w:fldChar w:fldCharType="begin"/>
        </w:r>
        <w:r>
          <w:rPr>
            <w:noProof/>
            <w:webHidden/>
          </w:rPr>
          <w:instrText xml:space="preserve"> PAGEREF _Toc117264934 \h </w:instrText>
        </w:r>
        <w:r>
          <w:rPr>
            <w:noProof/>
            <w:webHidden/>
          </w:rPr>
        </w:r>
        <w:r>
          <w:rPr>
            <w:noProof/>
            <w:webHidden/>
          </w:rPr>
          <w:fldChar w:fldCharType="separate"/>
        </w:r>
        <w:r>
          <w:rPr>
            <w:noProof/>
            <w:webHidden/>
          </w:rPr>
          <w:t>38</w:t>
        </w:r>
        <w:r>
          <w:rPr>
            <w:noProof/>
            <w:webHidden/>
          </w:rPr>
          <w:fldChar w:fldCharType="end"/>
        </w:r>
      </w:hyperlink>
    </w:p>
    <w:p w14:paraId="45951E7B" w14:textId="0A6D3816" w:rsidR="00D53D58" w:rsidRDefault="00D53D58">
      <w:pPr>
        <w:pStyle w:val="TOC3"/>
        <w:tabs>
          <w:tab w:val="left" w:pos="1100"/>
        </w:tabs>
        <w:rPr>
          <w:rFonts w:asciiTheme="minorHAnsi" w:eastAsiaTheme="minorEastAsia" w:hAnsiTheme="minorHAnsi" w:cstheme="minorBidi"/>
          <w:noProof/>
          <w:sz w:val="22"/>
          <w:szCs w:val="22"/>
          <w:lang w:eastAsia="en-NZ"/>
        </w:rPr>
      </w:pPr>
      <w:hyperlink w:anchor="_Toc117264935" w:history="1">
        <w:r w:rsidRPr="00CC71BC">
          <w:rPr>
            <w:rStyle w:val="Hyperlink"/>
            <w:noProof/>
          </w:rPr>
          <w:t>4.</w:t>
        </w:r>
        <w:r>
          <w:rPr>
            <w:rFonts w:asciiTheme="minorHAnsi" w:eastAsiaTheme="minorEastAsia" w:hAnsiTheme="minorHAnsi" w:cstheme="minorBidi"/>
            <w:noProof/>
            <w:sz w:val="22"/>
            <w:szCs w:val="22"/>
            <w:lang w:eastAsia="en-NZ"/>
          </w:rPr>
          <w:tab/>
        </w:r>
        <w:r w:rsidRPr="00CC71BC">
          <w:rPr>
            <w:rStyle w:val="Hyperlink"/>
            <w:noProof/>
          </w:rPr>
          <w:t>Providing support and advice focused on the person’s needs, for all people in New Zealand</w:t>
        </w:r>
        <w:r>
          <w:rPr>
            <w:noProof/>
            <w:webHidden/>
          </w:rPr>
          <w:tab/>
        </w:r>
        <w:r>
          <w:rPr>
            <w:noProof/>
            <w:webHidden/>
          </w:rPr>
          <w:fldChar w:fldCharType="begin"/>
        </w:r>
        <w:r>
          <w:rPr>
            <w:noProof/>
            <w:webHidden/>
          </w:rPr>
          <w:instrText xml:space="preserve"> PAGEREF _Toc117264935 \h </w:instrText>
        </w:r>
        <w:r>
          <w:rPr>
            <w:noProof/>
            <w:webHidden/>
          </w:rPr>
        </w:r>
        <w:r>
          <w:rPr>
            <w:noProof/>
            <w:webHidden/>
          </w:rPr>
          <w:fldChar w:fldCharType="separate"/>
        </w:r>
        <w:r>
          <w:rPr>
            <w:noProof/>
            <w:webHidden/>
          </w:rPr>
          <w:t>41</w:t>
        </w:r>
        <w:r>
          <w:rPr>
            <w:noProof/>
            <w:webHidden/>
          </w:rPr>
          <w:fldChar w:fldCharType="end"/>
        </w:r>
      </w:hyperlink>
    </w:p>
    <w:p w14:paraId="04BF1F64" w14:textId="00986CDB" w:rsidR="00D53D58" w:rsidRDefault="00D53D58">
      <w:pPr>
        <w:pStyle w:val="TOC1"/>
        <w:rPr>
          <w:rFonts w:asciiTheme="minorHAnsi" w:eastAsiaTheme="minorEastAsia" w:hAnsiTheme="minorHAnsi" w:cstheme="minorBidi"/>
          <w:noProof/>
          <w:sz w:val="22"/>
          <w:szCs w:val="22"/>
          <w:lang w:eastAsia="en-NZ"/>
        </w:rPr>
      </w:pPr>
      <w:hyperlink w:anchor="_Toc117264936" w:history="1">
        <w:r w:rsidRPr="00CC71BC">
          <w:rPr>
            <w:rStyle w:val="Hyperlink"/>
            <w:rFonts w:eastAsia="Arial Unicode MS"/>
            <w:noProof/>
          </w:rPr>
          <w:t xml:space="preserve">How we manage our business | </w:t>
        </w:r>
        <w:r w:rsidRPr="00CC71BC">
          <w:rPr>
            <w:rStyle w:val="Hyperlink"/>
            <w:rFonts w:eastAsia="Arial Unicode MS"/>
            <w:bCs/>
            <w:noProof/>
          </w:rPr>
          <w:t>Tā mātou whakahaere i a mātou</w:t>
        </w:r>
        <w:r>
          <w:rPr>
            <w:noProof/>
            <w:webHidden/>
          </w:rPr>
          <w:tab/>
        </w:r>
        <w:r>
          <w:rPr>
            <w:noProof/>
            <w:webHidden/>
          </w:rPr>
          <w:fldChar w:fldCharType="begin"/>
        </w:r>
        <w:r>
          <w:rPr>
            <w:noProof/>
            <w:webHidden/>
          </w:rPr>
          <w:instrText xml:space="preserve"> PAGEREF _Toc117264936 \h </w:instrText>
        </w:r>
        <w:r>
          <w:rPr>
            <w:noProof/>
            <w:webHidden/>
          </w:rPr>
        </w:r>
        <w:r>
          <w:rPr>
            <w:noProof/>
            <w:webHidden/>
          </w:rPr>
          <w:fldChar w:fldCharType="separate"/>
        </w:r>
        <w:r>
          <w:rPr>
            <w:noProof/>
            <w:webHidden/>
          </w:rPr>
          <w:t>46</w:t>
        </w:r>
        <w:r>
          <w:rPr>
            <w:noProof/>
            <w:webHidden/>
          </w:rPr>
          <w:fldChar w:fldCharType="end"/>
        </w:r>
      </w:hyperlink>
    </w:p>
    <w:p w14:paraId="3323F67A" w14:textId="512C2940" w:rsidR="00D53D58" w:rsidRDefault="00D53D58">
      <w:pPr>
        <w:pStyle w:val="TOC2"/>
        <w:rPr>
          <w:rFonts w:asciiTheme="minorHAnsi" w:eastAsiaTheme="minorEastAsia" w:hAnsiTheme="minorHAnsi" w:cstheme="minorBidi"/>
          <w:noProof/>
          <w:szCs w:val="22"/>
          <w:lang w:eastAsia="en-NZ"/>
        </w:rPr>
      </w:pPr>
      <w:hyperlink w:anchor="_Toc117264937" w:history="1">
        <w:r w:rsidRPr="00CC71BC">
          <w:rPr>
            <w:rStyle w:val="Hyperlink"/>
            <w:rFonts w:eastAsia="Arial Unicode MS"/>
            <w:noProof/>
          </w:rPr>
          <w:t xml:space="preserve">Making the Ministry a great place to work | </w:t>
        </w:r>
        <w:r w:rsidRPr="00CC71BC">
          <w:rPr>
            <w:rStyle w:val="Hyperlink"/>
            <w:rFonts w:eastAsia="Arial Unicode MS"/>
            <w:bCs/>
            <w:noProof/>
          </w:rPr>
          <w:t>Kia rangatira te Manatū hei wāhi mahi</w:t>
        </w:r>
        <w:r>
          <w:rPr>
            <w:noProof/>
            <w:webHidden/>
          </w:rPr>
          <w:tab/>
        </w:r>
        <w:r>
          <w:rPr>
            <w:noProof/>
            <w:webHidden/>
          </w:rPr>
          <w:fldChar w:fldCharType="begin"/>
        </w:r>
        <w:r>
          <w:rPr>
            <w:noProof/>
            <w:webHidden/>
          </w:rPr>
          <w:instrText xml:space="preserve"> PAGEREF _Toc117264937 \h </w:instrText>
        </w:r>
        <w:r>
          <w:rPr>
            <w:noProof/>
            <w:webHidden/>
          </w:rPr>
        </w:r>
        <w:r>
          <w:rPr>
            <w:noProof/>
            <w:webHidden/>
          </w:rPr>
          <w:fldChar w:fldCharType="separate"/>
        </w:r>
        <w:r>
          <w:rPr>
            <w:noProof/>
            <w:webHidden/>
          </w:rPr>
          <w:t>46</w:t>
        </w:r>
        <w:r>
          <w:rPr>
            <w:noProof/>
            <w:webHidden/>
          </w:rPr>
          <w:fldChar w:fldCharType="end"/>
        </w:r>
      </w:hyperlink>
    </w:p>
    <w:p w14:paraId="05B3742D" w14:textId="532FA86F" w:rsidR="00D53D58" w:rsidRDefault="00D53D58">
      <w:pPr>
        <w:pStyle w:val="TOC3"/>
        <w:rPr>
          <w:rFonts w:asciiTheme="minorHAnsi" w:eastAsiaTheme="minorEastAsia" w:hAnsiTheme="minorHAnsi" w:cstheme="minorBidi"/>
          <w:noProof/>
          <w:sz w:val="22"/>
          <w:szCs w:val="22"/>
          <w:lang w:eastAsia="en-NZ"/>
        </w:rPr>
      </w:pPr>
      <w:hyperlink w:anchor="_Toc117264938" w:history="1">
        <w:r w:rsidRPr="00CC71BC">
          <w:rPr>
            <w:rStyle w:val="Hyperlink"/>
            <w:noProof/>
          </w:rPr>
          <w:t>Our commitment to Papa Pounamu | Tā mātou taurangi atu ki Te Papa Pounamu</w:t>
        </w:r>
        <w:r>
          <w:rPr>
            <w:noProof/>
            <w:webHidden/>
          </w:rPr>
          <w:tab/>
        </w:r>
        <w:r>
          <w:rPr>
            <w:noProof/>
            <w:webHidden/>
          </w:rPr>
          <w:fldChar w:fldCharType="begin"/>
        </w:r>
        <w:r>
          <w:rPr>
            <w:noProof/>
            <w:webHidden/>
          </w:rPr>
          <w:instrText xml:space="preserve"> PAGEREF _Toc117264938 \h </w:instrText>
        </w:r>
        <w:r>
          <w:rPr>
            <w:noProof/>
            <w:webHidden/>
          </w:rPr>
        </w:r>
        <w:r>
          <w:rPr>
            <w:noProof/>
            <w:webHidden/>
          </w:rPr>
          <w:fldChar w:fldCharType="separate"/>
        </w:r>
        <w:r>
          <w:rPr>
            <w:noProof/>
            <w:webHidden/>
          </w:rPr>
          <w:t>50</w:t>
        </w:r>
        <w:r>
          <w:rPr>
            <w:noProof/>
            <w:webHidden/>
          </w:rPr>
          <w:fldChar w:fldCharType="end"/>
        </w:r>
      </w:hyperlink>
    </w:p>
    <w:p w14:paraId="507C8B42" w14:textId="012FEAA1" w:rsidR="00D53D58" w:rsidRDefault="00D53D58">
      <w:pPr>
        <w:pStyle w:val="TOC1"/>
        <w:rPr>
          <w:rFonts w:asciiTheme="minorHAnsi" w:eastAsiaTheme="minorEastAsia" w:hAnsiTheme="minorHAnsi" w:cstheme="minorBidi"/>
          <w:noProof/>
          <w:sz w:val="22"/>
          <w:szCs w:val="22"/>
          <w:lang w:eastAsia="en-NZ"/>
        </w:rPr>
      </w:pPr>
      <w:hyperlink w:anchor="_Toc117264939" w:history="1">
        <w:r w:rsidRPr="00CC71BC">
          <w:rPr>
            <w:rStyle w:val="Hyperlink"/>
            <w:rFonts w:eastAsia="Arial Unicode MS"/>
            <w:noProof/>
          </w:rPr>
          <w:t xml:space="preserve">Our people | </w:t>
        </w:r>
        <w:r w:rsidRPr="00CC71BC">
          <w:rPr>
            <w:rStyle w:val="Hyperlink"/>
            <w:rFonts w:eastAsia="Arial Unicode MS"/>
            <w:bCs/>
            <w:noProof/>
          </w:rPr>
          <w:t>Ko mātou</w:t>
        </w:r>
        <w:r>
          <w:rPr>
            <w:noProof/>
            <w:webHidden/>
          </w:rPr>
          <w:tab/>
        </w:r>
        <w:r>
          <w:rPr>
            <w:noProof/>
            <w:webHidden/>
          </w:rPr>
          <w:fldChar w:fldCharType="begin"/>
        </w:r>
        <w:r>
          <w:rPr>
            <w:noProof/>
            <w:webHidden/>
          </w:rPr>
          <w:instrText xml:space="preserve"> PAGEREF _Toc117264939 \h </w:instrText>
        </w:r>
        <w:r>
          <w:rPr>
            <w:noProof/>
            <w:webHidden/>
          </w:rPr>
        </w:r>
        <w:r>
          <w:rPr>
            <w:noProof/>
            <w:webHidden/>
          </w:rPr>
          <w:fldChar w:fldCharType="separate"/>
        </w:r>
        <w:r>
          <w:rPr>
            <w:noProof/>
            <w:webHidden/>
          </w:rPr>
          <w:t>53</w:t>
        </w:r>
        <w:r>
          <w:rPr>
            <w:noProof/>
            <w:webHidden/>
          </w:rPr>
          <w:fldChar w:fldCharType="end"/>
        </w:r>
      </w:hyperlink>
    </w:p>
    <w:p w14:paraId="54F7438F" w14:textId="405953F5" w:rsidR="00D53D58" w:rsidRDefault="00D53D58">
      <w:pPr>
        <w:pStyle w:val="TOC2"/>
        <w:rPr>
          <w:rFonts w:asciiTheme="minorHAnsi" w:eastAsiaTheme="minorEastAsia" w:hAnsiTheme="minorHAnsi" w:cstheme="minorBidi"/>
          <w:noProof/>
          <w:szCs w:val="22"/>
          <w:lang w:eastAsia="en-NZ"/>
        </w:rPr>
      </w:pPr>
      <w:hyperlink w:anchor="_Toc117264940" w:history="1">
        <w:r w:rsidRPr="00CC71BC">
          <w:rPr>
            <w:rStyle w:val="Hyperlink"/>
            <w:rFonts w:eastAsia="Arial Unicode MS"/>
            <w:noProof/>
          </w:rPr>
          <w:t>Snapshot as at 30 June 2022</w:t>
        </w:r>
        <w:r>
          <w:rPr>
            <w:noProof/>
            <w:webHidden/>
          </w:rPr>
          <w:tab/>
        </w:r>
        <w:r>
          <w:rPr>
            <w:noProof/>
            <w:webHidden/>
          </w:rPr>
          <w:fldChar w:fldCharType="begin"/>
        </w:r>
        <w:r>
          <w:rPr>
            <w:noProof/>
            <w:webHidden/>
          </w:rPr>
          <w:instrText xml:space="preserve"> PAGEREF _Toc117264940 \h </w:instrText>
        </w:r>
        <w:r>
          <w:rPr>
            <w:noProof/>
            <w:webHidden/>
          </w:rPr>
        </w:r>
        <w:r>
          <w:rPr>
            <w:noProof/>
            <w:webHidden/>
          </w:rPr>
          <w:fldChar w:fldCharType="separate"/>
        </w:r>
        <w:r>
          <w:rPr>
            <w:noProof/>
            <w:webHidden/>
          </w:rPr>
          <w:t>53</w:t>
        </w:r>
        <w:r>
          <w:rPr>
            <w:noProof/>
            <w:webHidden/>
          </w:rPr>
          <w:fldChar w:fldCharType="end"/>
        </w:r>
      </w:hyperlink>
    </w:p>
    <w:p w14:paraId="2CE7A3F6" w14:textId="522E359D" w:rsidR="00D53D58" w:rsidRDefault="00D53D58">
      <w:pPr>
        <w:pStyle w:val="TOC3"/>
        <w:rPr>
          <w:rFonts w:asciiTheme="minorHAnsi" w:eastAsiaTheme="minorEastAsia" w:hAnsiTheme="minorHAnsi" w:cstheme="minorBidi"/>
          <w:noProof/>
          <w:sz w:val="22"/>
          <w:szCs w:val="22"/>
          <w:lang w:eastAsia="en-NZ"/>
        </w:rPr>
      </w:pPr>
      <w:hyperlink w:anchor="_Toc117264941" w:history="1">
        <w:r w:rsidRPr="00CC71BC">
          <w:rPr>
            <w:rStyle w:val="Hyperlink"/>
            <w:noProof/>
          </w:rPr>
          <w:t>Modernising the Ministry</w:t>
        </w:r>
        <w:r>
          <w:rPr>
            <w:noProof/>
            <w:webHidden/>
          </w:rPr>
          <w:tab/>
        </w:r>
        <w:r>
          <w:rPr>
            <w:noProof/>
            <w:webHidden/>
          </w:rPr>
          <w:fldChar w:fldCharType="begin"/>
        </w:r>
        <w:r>
          <w:rPr>
            <w:noProof/>
            <w:webHidden/>
          </w:rPr>
          <w:instrText xml:space="preserve"> PAGEREF _Toc117264941 \h </w:instrText>
        </w:r>
        <w:r>
          <w:rPr>
            <w:noProof/>
            <w:webHidden/>
          </w:rPr>
        </w:r>
        <w:r>
          <w:rPr>
            <w:noProof/>
            <w:webHidden/>
          </w:rPr>
          <w:fldChar w:fldCharType="separate"/>
        </w:r>
        <w:r>
          <w:rPr>
            <w:noProof/>
            <w:webHidden/>
          </w:rPr>
          <w:t>57</w:t>
        </w:r>
        <w:r>
          <w:rPr>
            <w:noProof/>
            <w:webHidden/>
          </w:rPr>
          <w:fldChar w:fldCharType="end"/>
        </w:r>
      </w:hyperlink>
    </w:p>
    <w:p w14:paraId="4D89D421" w14:textId="1EB8C371" w:rsidR="00D53D58" w:rsidRDefault="00D53D58">
      <w:pPr>
        <w:pStyle w:val="TOC1"/>
        <w:rPr>
          <w:rFonts w:asciiTheme="minorHAnsi" w:eastAsiaTheme="minorEastAsia" w:hAnsiTheme="minorHAnsi" w:cstheme="minorBidi"/>
          <w:noProof/>
          <w:sz w:val="22"/>
          <w:szCs w:val="22"/>
          <w:lang w:eastAsia="en-NZ"/>
        </w:rPr>
      </w:pPr>
      <w:hyperlink w:anchor="_Toc117264942" w:history="1">
        <w:r w:rsidRPr="00CC71BC">
          <w:rPr>
            <w:rStyle w:val="Hyperlink"/>
            <w:rFonts w:eastAsia="Arial Unicode MS"/>
            <w:noProof/>
          </w:rPr>
          <w:t xml:space="preserve">Our statements of service performance | </w:t>
        </w:r>
        <w:r w:rsidRPr="00CC71BC">
          <w:rPr>
            <w:rStyle w:val="Hyperlink"/>
            <w:rFonts w:eastAsia="Arial Unicode MS"/>
            <w:bCs/>
            <w:noProof/>
          </w:rPr>
          <w:t>Ō mātou pūrongo pūtea</w:t>
        </w:r>
        <w:r>
          <w:rPr>
            <w:noProof/>
            <w:webHidden/>
          </w:rPr>
          <w:tab/>
        </w:r>
        <w:r>
          <w:rPr>
            <w:noProof/>
            <w:webHidden/>
          </w:rPr>
          <w:fldChar w:fldCharType="begin"/>
        </w:r>
        <w:r>
          <w:rPr>
            <w:noProof/>
            <w:webHidden/>
          </w:rPr>
          <w:instrText xml:space="preserve"> PAGEREF _Toc117264942 \h </w:instrText>
        </w:r>
        <w:r>
          <w:rPr>
            <w:noProof/>
            <w:webHidden/>
          </w:rPr>
        </w:r>
        <w:r>
          <w:rPr>
            <w:noProof/>
            <w:webHidden/>
          </w:rPr>
          <w:fldChar w:fldCharType="separate"/>
        </w:r>
        <w:r>
          <w:rPr>
            <w:noProof/>
            <w:webHidden/>
          </w:rPr>
          <w:t>59</w:t>
        </w:r>
        <w:r>
          <w:rPr>
            <w:noProof/>
            <w:webHidden/>
          </w:rPr>
          <w:fldChar w:fldCharType="end"/>
        </w:r>
      </w:hyperlink>
    </w:p>
    <w:p w14:paraId="3B9BE5EF" w14:textId="5676663B" w:rsidR="00D53D58" w:rsidRDefault="00D53D58">
      <w:pPr>
        <w:pStyle w:val="TOC2"/>
        <w:rPr>
          <w:rFonts w:asciiTheme="minorHAnsi" w:eastAsiaTheme="minorEastAsia" w:hAnsiTheme="minorHAnsi" w:cstheme="minorBidi"/>
          <w:noProof/>
          <w:szCs w:val="22"/>
          <w:lang w:eastAsia="en-NZ"/>
        </w:rPr>
      </w:pPr>
      <w:hyperlink w:anchor="_Toc117264943" w:history="1">
        <w:r w:rsidRPr="00CC71BC">
          <w:rPr>
            <w:rStyle w:val="Hyperlink"/>
            <w:rFonts w:eastAsia="Arial Unicode MS"/>
            <w:noProof/>
          </w:rPr>
          <w:t>Performance of Manatū Hauora</w:t>
        </w:r>
        <w:r>
          <w:rPr>
            <w:noProof/>
            <w:webHidden/>
          </w:rPr>
          <w:tab/>
        </w:r>
        <w:r>
          <w:rPr>
            <w:noProof/>
            <w:webHidden/>
          </w:rPr>
          <w:fldChar w:fldCharType="begin"/>
        </w:r>
        <w:r>
          <w:rPr>
            <w:noProof/>
            <w:webHidden/>
          </w:rPr>
          <w:instrText xml:space="preserve"> PAGEREF _Toc117264943 \h </w:instrText>
        </w:r>
        <w:r>
          <w:rPr>
            <w:noProof/>
            <w:webHidden/>
          </w:rPr>
        </w:r>
        <w:r>
          <w:rPr>
            <w:noProof/>
            <w:webHidden/>
          </w:rPr>
          <w:fldChar w:fldCharType="separate"/>
        </w:r>
        <w:r>
          <w:rPr>
            <w:noProof/>
            <w:webHidden/>
          </w:rPr>
          <w:t>59</w:t>
        </w:r>
        <w:r>
          <w:rPr>
            <w:noProof/>
            <w:webHidden/>
          </w:rPr>
          <w:fldChar w:fldCharType="end"/>
        </w:r>
      </w:hyperlink>
    </w:p>
    <w:p w14:paraId="66D0C389" w14:textId="6F6C78B5" w:rsidR="00D53D58" w:rsidRDefault="00D53D58">
      <w:pPr>
        <w:pStyle w:val="TOC3"/>
        <w:rPr>
          <w:rFonts w:asciiTheme="minorHAnsi" w:eastAsiaTheme="minorEastAsia" w:hAnsiTheme="minorHAnsi" w:cstheme="minorBidi"/>
          <w:noProof/>
          <w:sz w:val="22"/>
          <w:szCs w:val="22"/>
          <w:lang w:eastAsia="en-NZ"/>
        </w:rPr>
      </w:pPr>
      <w:hyperlink w:anchor="_Toc117264944" w:history="1">
        <w:r w:rsidRPr="00CC71BC">
          <w:rPr>
            <w:rStyle w:val="Hyperlink"/>
            <w:noProof/>
          </w:rPr>
          <w:t>Policy Advice and Related Services</w:t>
        </w:r>
        <w:r>
          <w:rPr>
            <w:noProof/>
            <w:webHidden/>
          </w:rPr>
          <w:tab/>
        </w:r>
        <w:r>
          <w:rPr>
            <w:noProof/>
            <w:webHidden/>
          </w:rPr>
          <w:fldChar w:fldCharType="begin"/>
        </w:r>
        <w:r>
          <w:rPr>
            <w:noProof/>
            <w:webHidden/>
          </w:rPr>
          <w:instrText xml:space="preserve"> PAGEREF _Toc117264944 \h </w:instrText>
        </w:r>
        <w:r>
          <w:rPr>
            <w:noProof/>
            <w:webHidden/>
          </w:rPr>
        </w:r>
        <w:r>
          <w:rPr>
            <w:noProof/>
            <w:webHidden/>
          </w:rPr>
          <w:fldChar w:fldCharType="separate"/>
        </w:r>
        <w:r>
          <w:rPr>
            <w:noProof/>
            <w:webHidden/>
          </w:rPr>
          <w:t>60</w:t>
        </w:r>
        <w:r>
          <w:rPr>
            <w:noProof/>
            <w:webHidden/>
          </w:rPr>
          <w:fldChar w:fldCharType="end"/>
        </w:r>
      </w:hyperlink>
    </w:p>
    <w:p w14:paraId="71EA4412" w14:textId="28322171" w:rsidR="00D53D58" w:rsidRDefault="00D53D58">
      <w:pPr>
        <w:pStyle w:val="TOC3"/>
        <w:rPr>
          <w:rFonts w:asciiTheme="minorHAnsi" w:eastAsiaTheme="minorEastAsia" w:hAnsiTheme="minorHAnsi" w:cstheme="minorBidi"/>
          <w:noProof/>
          <w:sz w:val="22"/>
          <w:szCs w:val="22"/>
          <w:lang w:eastAsia="en-NZ"/>
        </w:rPr>
      </w:pPr>
      <w:hyperlink w:anchor="_Toc117264945" w:history="1">
        <w:r w:rsidRPr="00CC71BC">
          <w:rPr>
            <w:rStyle w:val="Hyperlink"/>
            <w:noProof/>
          </w:rPr>
          <w:t>Health Sector Information Systems</w:t>
        </w:r>
        <w:r>
          <w:rPr>
            <w:noProof/>
            <w:webHidden/>
          </w:rPr>
          <w:tab/>
        </w:r>
        <w:r>
          <w:rPr>
            <w:noProof/>
            <w:webHidden/>
          </w:rPr>
          <w:fldChar w:fldCharType="begin"/>
        </w:r>
        <w:r>
          <w:rPr>
            <w:noProof/>
            <w:webHidden/>
          </w:rPr>
          <w:instrText xml:space="preserve"> PAGEREF _Toc117264945 \h </w:instrText>
        </w:r>
        <w:r>
          <w:rPr>
            <w:noProof/>
            <w:webHidden/>
          </w:rPr>
        </w:r>
        <w:r>
          <w:rPr>
            <w:noProof/>
            <w:webHidden/>
          </w:rPr>
          <w:fldChar w:fldCharType="separate"/>
        </w:r>
        <w:r>
          <w:rPr>
            <w:noProof/>
            <w:webHidden/>
          </w:rPr>
          <w:t>61</w:t>
        </w:r>
        <w:r>
          <w:rPr>
            <w:noProof/>
            <w:webHidden/>
          </w:rPr>
          <w:fldChar w:fldCharType="end"/>
        </w:r>
      </w:hyperlink>
    </w:p>
    <w:p w14:paraId="4342568F" w14:textId="4DEDED9C" w:rsidR="00D53D58" w:rsidRDefault="00D53D58">
      <w:pPr>
        <w:pStyle w:val="TOC3"/>
        <w:rPr>
          <w:rFonts w:asciiTheme="minorHAnsi" w:eastAsiaTheme="minorEastAsia" w:hAnsiTheme="minorHAnsi" w:cstheme="minorBidi"/>
          <w:noProof/>
          <w:sz w:val="22"/>
          <w:szCs w:val="22"/>
          <w:lang w:eastAsia="en-NZ"/>
        </w:rPr>
      </w:pPr>
      <w:hyperlink w:anchor="_Toc117264946" w:history="1">
        <w:r w:rsidRPr="00CC71BC">
          <w:rPr>
            <w:rStyle w:val="Hyperlink"/>
            <w:noProof/>
          </w:rPr>
          <w:t>Managing the Purchase of Services</w:t>
        </w:r>
        <w:r>
          <w:rPr>
            <w:noProof/>
            <w:webHidden/>
          </w:rPr>
          <w:tab/>
        </w:r>
        <w:r>
          <w:rPr>
            <w:noProof/>
            <w:webHidden/>
          </w:rPr>
          <w:fldChar w:fldCharType="begin"/>
        </w:r>
        <w:r>
          <w:rPr>
            <w:noProof/>
            <w:webHidden/>
          </w:rPr>
          <w:instrText xml:space="preserve"> PAGEREF _Toc117264946 \h </w:instrText>
        </w:r>
        <w:r>
          <w:rPr>
            <w:noProof/>
            <w:webHidden/>
          </w:rPr>
        </w:r>
        <w:r>
          <w:rPr>
            <w:noProof/>
            <w:webHidden/>
          </w:rPr>
          <w:fldChar w:fldCharType="separate"/>
        </w:r>
        <w:r>
          <w:rPr>
            <w:noProof/>
            <w:webHidden/>
          </w:rPr>
          <w:t>63</w:t>
        </w:r>
        <w:r>
          <w:rPr>
            <w:noProof/>
            <w:webHidden/>
          </w:rPr>
          <w:fldChar w:fldCharType="end"/>
        </w:r>
      </w:hyperlink>
    </w:p>
    <w:p w14:paraId="62FF74B4" w14:textId="720BBA51" w:rsidR="00D53D58" w:rsidRDefault="00D53D58">
      <w:pPr>
        <w:pStyle w:val="TOC3"/>
        <w:rPr>
          <w:rFonts w:asciiTheme="minorHAnsi" w:eastAsiaTheme="minorEastAsia" w:hAnsiTheme="minorHAnsi" w:cstheme="minorBidi"/>
          <w:noProof/>
          <w:sz w:val="22"/>
          <w:szCs w:val="22"/>
          <w:lang w:eastAsia="en-NZ"/>
        </w:rPr>
      </w:pPr>
      <w:hyperlink w:anchor="_Toc117264947" w:history="1">
        <w:r w:rsidRPr="00CC71BC">
          <w:rPr>
            <w:rStyle w:val="Hyperlink"/>
            <w:noProof/>
          </w:rPr>
          <w:t>Payment Services</w:t>
        </w:r>
        <w:r>
          <w:rPr>
            <w:noProof/>
            <w:webHidden/>
          </w:rPr>
          <w:tab/>
        </w:r>
        <w:r>
          <w:rPr>
            <w:noProof/>
            <w:webHidden/>
          </w:rPr>
          <w:fldChar w:fldCharType="begin"/>
        </w:r>
        <w:r>
          <w:rPr>
            <w:noProof/>
            <w:webHidden/>
          </w:rPr>
          <w:instrText xml:space="preserve"> PAGEREF _Toc117264947 \h </w:instrText>
        </w:r>
        <w:r>
          <w:rPr>
            <w:noProof/>
            <w:webHidden/>
          </w:rPr>
        </w:r>
        <w:r>
          <w:rPr>
            <w:noProof/>
            <w:webHidden/>
          </w:rPr>
          <w:fldChar w:fldCharType="separate"/>
        </w:r>
        <w:r>
          <w:rPr>
            <w:noProof/>
            <w:webHidden/>
          </w:rPr>
          <w:t>65</w:t>
        </w:r>
        <w:r>
          <w:rPr>
            <w:noProof/>
            <w:webHidden/>
          </w:rPr>
          <w:fldChar w:fldCharType="end"/>
        </w:r>
      </w:hyperlink>
    </w:p>
    <w:p w14:paraId="7D2D058A" w14:textId="72DF12CE" w:rsidR="00D53D58" w:rsidRDefault="00D53D58">
      <w:pPr>
        <w:pStyle w:val="TOC3"/>
        <w:rPr>
          <w:rFonts w:asciiTheme="minorHAnsi" w:eastAsiaTheme="minorEastAsia" w:hAnsiTheme="minorHAnsi" w:cstheme="minorBidi"/>
          <w:noProof/>
          <w:sz w:val="22"/>
          <w:szCs w:val="22"/>
          <w:lang w:eastAsia="en-NZ"/>
        </w:rPr>
      </w:pPr>
      <w:hyperlink w:anchor="_Toc117264948" w:history="1">
        <w:r w:rsidRPr="00CC71BC">
          <w:rPr>
            <w:rStyle w:val="Hyperlink"/>
            <w:noProof/>
          </w:rPr>
          <w:t>Regulatory and Enforcement Services</w:t>
        </w:r>
        <w:r>
          <w:rPr>
            <w:noProof/>
            <w:webHidden/>
          </w:rPr>
          <w:tab/>
        </w:r>
        <w:r>
          <w:rPr>
            <w:noProof/>
            <w:webHidden/>
          </w:rPr>
          <w:fldChar w:fldCharType="begin"/>
        </w:r>
        <w:r>
          <w:rPr>
            <w:noProof/>
            <w:webHidden/>
          </w:rPr>
          <w:instrText xml:space="preserve"> PAGEREF _Toc117264948 \h </w:instrText>
        </w:r>
        <w:r>
          <w:rPr>
            <w:noProof/>
            <w:webHidden/>
          </w:rPr>
        </w:r>
        <w:r>
          <w:rPr>
            <w:noProof/>
            <w:webHidden/>
          </w:rPr>
          <w:fldChar w:fldCharType="separate"/>
        </w:r>
        <w:r>
          <w:rPr>
            <w:noProof/>
            <w:webHidden/>
          </w:rPr>
          <w:t>66</w:t>
        </w:r>
        <w:r>
          <w:rPr>
            <w:noProof/>
            <w:webHidden/>
          </w:rPr>
          <w:fldChar w:fldCharType="end"/>
        </w:r>
      </w:hyperlink>
    </w:p>
    <w:p w14:paraId="433A6B68" w14:textId="42F5CC37" w:rsidR="00D53D58" w:rsidRDefault="00D53D58">
      <w:pPr>
        <w:pStyle w:val="TOC3"/>
        <w:rPr>
          <w:rFonts w:asciiTheme="minorHAnsi" w:eastAsiaTheme="minorEastAsia" w:hAnsiTheme="minorHAnsi" w:cstheme="minorBidi"/>
          <w:noProof/>
          <w:sz w:val="22"/>
          <w:szCs w:val="22"/>
          <w:lang w:eastAsia="en-NZ"/>
        </w:rPr>
      </w:pPr>
      <w:hyperlink w:anchor="_Toc117264949" w:history="1">
        <w:r w:rsidRPr="00CC71BC">
          <w:rPr>
            <w:rStyle w:val="Hyperlink"/>
            <w:noProof/>
          </w:rPr>
          <w:t>Sector Planning and Performance</w:t>
        </w:r>
        <w:r>
          <w:rPr>
            <w:noProof/>
            <w:webHidden/>
          </w:rPr>
          <w:tab/>
        </w:r>
        <w:r>
          <w:rPr>
            <w:noProof/>
            <w:webHidden/>
          </w:rPr>
          <w:fldChar w:fldCharType="begin"/>
        </w:r>
        <w:r>
          <w:rPr>
            <w:noProof/>
            <w:webHidden/>
          </w:rPr>
          <w:instrText xml:space="preserve"> PAGEREF _Toc117264949 \h </w:instrText>
        </w:r>
        <w:r>
          <w:rPr>
            <w:noProof/>
            <w:webHidden/>
          </w:rPr>
        </w:r>
        <w:r>
          <w:rPr>
            <w:noProof/>
            <w:webHidden/>
          </w:rPr>
          <w:fldChar w:fldCharType="separate"/>
        </w:r>
        <w:r>
          <w:rPr>
            <w:noProof/>
            <w:webHidden/>
          </w:rPr>
          <w:t>68</w:t>
        </w:r>
        <w:r>
          <w:rPr>
            <w:noProof/>
            <w:webHidden/>
          </w:rPr>
          <w:fldChar w:fldCharType="end"/>
        </w:r>
      </w:hyperlink>
    </w:p>
    <w:p w14:paraId="33373A64" w14:textId="014EA044" w:rsidR="00D53D58" w:rsidRDefault="00D53D58">
      <w:pPr>
        <w:pStyle w:val="TOC3"/>
        <w:rPr>
          <w:rFonts w:asciiTheme="minorHAnsi" w:eastAsiaTheme="minorEastAsia" w:hAnsiTheme="minorHAnsi" w:cstheme="minorBidi"/>
          <w:noProof/>
          <w:sz w:val="22"/>
          <w:szCs w:val="22"/>
          <w:lang w:eastAsia="en-NZ"/>
        </w:rPr>
      </w:pPr>
      <w:hyperlink w:anchor="_Toc117264950" w:history="1">
        <w:r w:rsidRPr="00CC71BC">
          <w:rPr>
            <w:rStyle w:val="Hyperlink"/>
            <w:noProof/>
          </w:rPr>
          <w:t>Health and Disability System Reform</w:t>
        </w:r>
        <w:r>
          <w:rPr>
            <w:noProof/>
            <w:webHidden/>
          </w:rPr>
          <w:tab/>
        </w:r>
        <w:r>
          <w:rPr>
            <w:noProof/>
            <w:webHidden/>
          </w:rPr>
          <w:fldChar w:fldCharType="begin"/>
        </w:r>
        <w:r>
          <w:rPr>
            <w:noProof/>
            <w:webHidden/>
          </w:rPr>
          <w:instrText xml:space="preserve"> PAGEREF _Toc117264950 \h </w:instrText>
        </w:r>
        <w:r>
          <w:rPr>
            <w:noProof/>
            <w:webHidden/>
          </w:rPr>
        </w:r>
        <w:r>
          <w:rPr>
            <w:noProof/>
            <w:webHidden/>
          </w:rPr>
          <w:fldChar w:fldCharType="separate"/>
        </w:r>
        <w:r>
          <w:rPr>
            <w:noProof/>
            <w:webHidden/>
          </w:rPr>
          <w:t>70</w:t>
        </w:r>
        <w:r>
          <w:rPr>
            <w:noProof/>
            <w:webHidden/>
          </w:rPr>
          <w:fldChar w:fldCharType="end"/>
        </w:r>
      </w:hyperlink>
    </w:p>
    <w:p w14:paraId="68C7DE59" w14:textId="01D5B91D" w:rsidR="00D53D58" w:rsidRDefault="00D53D58">
      <w:pPr>
        <w:pStyle w:val="TOC3"/>
        <w:rPr>
          <w:rFonts w:asciiTheme="minorHAnsi" w:eastAsiaTheme="minorEastAsia" w:hAnsiTheme="minorHAnsi" w:cstheme="minorBidi"/>
          <w:noProof/>
          <w:sz w:val="22"/>
          <w:szCs w:val="22"/>
          <w:lang w:eastAsia="en-NZ"/>
        </w:rPr>
      </w:pPr>
      <w:hyperlink w:anchor="_Toc117264951" w:history="1">
        <w:r w:rsidRPr="00CC71BC">
          <w:rPr>
            <w:rStyle w:val="Hyperlink"/>
            <w:noProof/>
          </w:rPr>
          <w:t>National Response to COVID-19 Across the Health Sector</w:t>
        </w:r>
        <w:r>
          <w:rPr>
            <w:noProof/>
            <w:webHidden/>
          </w:rPr>
          <w:tab/>
        </w:r>
        <w:r>
          <w:rPr>
            <w:noProof/>
            <w:webHidden/>
          </w:rPr>
          <w:fldChar w:fldCharType="begin"/>
        </w:r>
        <w:r>
          <w:rPr>
            <w:noProof/>
            <w:webHidden/>
          </w:rPr>
          <w:instrText xml:space="preserve"> PAGEREF _Toc117264951 \h </w:instrText>
        </w:r>
        <w:r>
          <w:rPr>
            <w:noProof/>
            <w:webHidden/>
          </w:rPr>
        </w:r>
        <w:r>
          <w:rPr>
            <w:noProof/>
            <w:webHidden/>
          </w:rPr>
          <w:fldChar w:fldCharType="separate"/>
        </w:r>
        <w:r>
          <w:rPr>
            <w:noProof/>
            <w:webHidden/>
          </w:rPr>
          <w:t>73</w:t>
        </w:r>
        <w:r>
          <w:rPr>
            <w:noProof/>
            <w:webHidden/>
          </w:rPr>
          <w:fldChar w:fldCharType="end"/>
        </w:r>
      </w:hyperlink>
    </w:p>
    <w:p w14:paraId="56A9FC3C" w14:textId="0F0762EE" w:rsidR="00D53D58" w:rsidRDefault="00D53D58">
      <w:pPr>
        <w:pStyle w:val="TOC3"/>
        <w:rPr>
          <w:rFonts w:asciiTheme="minorHAnsi" w:eastAsiaTheme="minorEastAsia" w:hAnsiTheme="minorHAnsi" w:cstheme="minorBidi"/>
          <w:noProof/>
          <w:sz w:val="22"/>
          <w:szCs w:val="22"/>
          <w:lang w:eastAsia="en-NZ"/>
        </w:rPr>
      </w:pPr>
      <w:hyperlink w:anchor="_Toc117264952" w:history="1">
        <w:r w:rsidRPr="00CC71BC">
          <w:rPr>
            <w:rStyle w:val="Hyperlink"/>
            <w:noProof/>
          </w:rPr>
          <w:t>Implementing the COVID-19 Vaccine Strategy</w:t>
        </w:r>
        <w:r>
          <w:rPr>
            <w:noProof/>
            <w:webHidden/>
          </w:rPr>
          <w:tab/>
        </w:r>
        <w:r>
          <w:rPr>
            <w:noProof/>
            <w:webHidden/>
          </w:rPr>
          <w:fldChar w:fldCharType="begin"/>
        </w:r>
        <w:r>
          <w:rPr>
            <w:noProof/>
            <w:webHidden/>
          </w:rPr>
          <w:instrText xml:space="preserve"> PAGEREF _Toc117264952 \h </w:instrText>
        </w:r>
        <w:r>
          <w:rPr>
            <w:noProof/>
            <w:webHidden/>
          </w:rPr>
        </w:r>
        <w:r>
          <w:rPr>
            <w:noProof/>
            <w:webHidden/>
          </w:rPr>
          <w:fldChar w:fldCharType="separate"/>
        </w:r>
        <w:r>
          <w:rPr>
            <w:noProof/>
            <w:webHidden/>
          </w:rPr>
          <w:t>76</w:t>
        </w:r>
        <w:r>
          <w:rPr>
            <w:noProof/>
            <w:webHidden/>
          </w:rPr>
          <w:fldChar w:fldCharType="end"/>
        </w:r>
      </w:hyperlink>
    </w:p>
    <w:p w14:paraId="523E65F5" w14:textId="38E2BF4B" w:rsidR="00D53D58" w:rsidRDefault="00D53D58">
      <w:pPr>
        <w:pStyle w:val="TOC3"/>
        <w:rPr>
          <w:rFonts w:asciiTheme="minorHAnsi" w:eastAsiaTheme="minorEastAsia" w:hAnsiTheme="minorHAnsi" w:cstheme="minorBidi"/>
          <w:noProof/>
          <w:sz w:val="22"/>
          <w:szCs w:val="22"/>
          <w:lang w:eastAsia="en-NZ"/>
        </w:rPr>
      </w:pPr>
      <w:hyperlink w:anchor="_Toc117264953" w:history="1">
        <w:r w:rsidRPr="00CC71BC">
          <w:rPr>
            <w:rStyle w:val="Hyperlink"/>
            <w:noProof/>
          </w:rPr>
          <w:t>Additional performance information: COVID-19 vaccinations and mortality</w:t>
        </w:r>
        <w:r>
          <w:rPr>
            <w:noProof/>
            <w:webHidden/>
          </w:rPr>
          <w:tab/>
        </w:r>
        <w:r>
          <w:rPr>
            <w:noProof/>
            <w:webHidden/>
          </w:rPr>
          <w:fldChar w:fldCharType="begin"/>
        </w:r>
        <w:r>
          <w:rPr>
            <w:noProof/>
            <w:webHidden/>
          </w:rPr>
          <w:instrText xml:space="preserve"> PAGEREF _Toc117264953 \h </w:instrText>
        </w:r>
        <w:r>
          <w:rPr>
            <w:noProof/>
            <w:webHidden/>
          </w:rPr>
        </w:r>
        <w:r>
          <w:rPr>
            <w:noProof/>
            <w:webHidden/>
          </w:rPr>
          <w:fldChar w:fldCharType="separate"/>
        </w:r>
        <w:r>
          <w:rPr>
            <w:noProof/>
            <w:webHidden/>
          </w:rPr>
          <w:t>78</w:t>
        </w:r>
        <w:r>
          <w:rPr>
            <w:noProof/>
            <w:webHidden/>
          </w:rPr>
          <w:fldChar w:fldCharType="end"/>
        </w:r>
      </w:hyperlink>
    </w:p>
    <w:p w14:paraId="3EDA51E1" w14:textId="3D122E4D" w:rsidR="00D53D58" w:rsidRDefault="00D53D58">
      <w:pPr>
        <w:pStyle w:val="TOC3"/>
        <w:rPr>
          <w:rFonts w:asciiTheme="minorHAnsi" w:eastAsiaTheme="minorEastAsia" w:hAnsiTheme="minorHAnsi" w:cstheme="minorBidi"/>
          <w:noProof/>
          <w:sz w:val="22"/>
          <w:szCs w:val="22"/>
          <w:lang w:eastAsia="en-NZ"/>
        </w:rPr>
      </w:pPr>
      <w:hyperlink w:anchor="_Toc117264954" w:history="1">
        <w:r w:rsidRPr="00CC71BC">
          <w:rPr>
            <w:rStyle w:val="Hyperlink"/>
            <w:noProof/>
          </w:rPr>
          <w:t>COVID-19 vaccine doses administered by dose type and year</w:t>
        </w:r>
        <w:r>
          <w:rPr>
            <w:noProof/>
            <w:webHidden/>
          </w:rPr>
          <w:tab/>
        </w:r>
        <w:r>
          <w:rPr>
            <w:noProof/>
            <w:webHidden/>
          </w:rPr>
          <w:fldChar w:fldCharType="begin"/>
        </w:r>
        <w:r>
          <w:rPr>
            <w:noProof/>
            <w:webHidden/>
          </w:rPr>
          <w:instrText xml:space="preserve"> PAGEREF _Toc117264954 \h </w:instrText>
        </w:r>
        <w:r>
          <w:rPr>
            <w:noProof/>
            <w:webHidden/>
          </w:rPr>
        </w:r>
        <w:r>
          <w:rPr>
            <w:noProof/>
            <w:webHidden/>
          </w:rPr>
          <w:fldChar w:fldCharType="separate"/>
        </w:r>
        <w:r>
          <w:rPr>
            <w:noProof/>
            <w:webHidden/>
          </w:rPr>
          <w:t>80</w:t>
        </w:r>
        <w:r>
          <w:rPr>
            <w:noProof/>
            <w:webHidden/>
          </w:rPr>
          <w:fldChar w:fldCharType="end"/>
        </w:r>
      </w:hyperlink>
    </w:p>
    <w:p w14:paraId="5883F177" w14:textId="0037D8A2" w:rsidR="00D53D58" w:rsidRDefault="00D53D58">
      <w:pPr>
        <w:pStyle w:val="TOC3"/>
        <w:rPr>
          <w:rFonts w:asciiTheme="minorHAnsi" w:eastAsiaTheme="minorEastAsia" w:hAnsiTheme="minorHAnsi" w:cstheme="minorBidi"/>
          <w:noProof/>
          <w:sz w:val="22"/>
          <w:szCs w:val="22"/>
          <w:lang w:eastAsia="en-NZ"/>
        </w:rPr>
      </w:pPr>
      <w:hyperlink w:anchor="_Toc117264955" w:history="1">
        <w:r w:rsidRPr="00CC71BC">
          <w:rPr>
            <w:rStyle w:val="Hyperlink"/>
            <w:noProof/>
          </w:rPr>
          <w:t>COVID-19 people vaccinated by age group</w:t>
        </w:r>
        <w:r>
          <w:rPr>
            <w:noProof/>
            <w:webHidden/>
          </w:rPr>
          <w:tab/>
        </w:r>
        <w:r>
          <w:rPr>
            <w:noProof/>
            <w:webHidden/>
          </w:rPr>
          <w:fldChar w:fldCharType="begin"/>
        </w:r>
        <w:r>
          <w:rPr>
            <w:noProof/>
            <w:webHidden/>
          </w:rPr>
          <w:instrText xml:space="preserve"> PAGEREF _Toc117264955 \h </w:instrText>
        </w:r>
        <w:r>
          <w:rPr>
            <w:noProof/>
            <w:webHidden/>
          </w:rPr>
        </w:r>
        <w:r>
          <w:rPr>
            <w:noProof/>
            <w:webHidden/>
          </w:rPr>
          <w:fldChar w:fldCharType="separate"/>
        </w:r>
        <w:r>
          <w:rPr>
            <w:noProof/>
            <w:webHidden/>
          </w:rPr>
          <w:t>81</w:t>
        </w:r>
        <w:r>
          <w:rPr>
            <w:noProof/>
            <w:webHidden/>
          </w:rPr>
          <w:fldChar w:fldCharType="end"/>
        </w:r>
      </w:hyperlink>
    </w:p>
    <w:p w14:paraId="58D33C11" w14:textId="22D6D103" w:rsidR="00D53D58" w:rsidRDefault="00D53D58">
      <w:pPr>
        <w:pStyle w:val="TOC3"/>
        <w:rPr>
          <w:rFonts w:asciiTheme="minorHAnsi" w:eastAsiaTheme="minorEastAsia" w:hAnsiTheme="minorHAnsi" w:cstheme="minorBidi"/>
          <w:noProof/>
          <w:sz w:val="22"/>
          <w:szCs w:val="22"/>
          <w:lang w:eastAsia="en-NZ"/>
        </w:rPr>
      </w:pPr>
      <w:hyperlink w:anchor="_Toc117264956" w:history="1">
        <w:r w:rsidRPr="00CC71BC">
          <w:rPr>
            <w:rStyle w:val="Hyperlink"/>
            <w:noProof/>
          </w:rPr>
          <w:t>COVID-19 vaccine doses administered by ethnicity</w:t>
        </w:r>
        <w:r>
          <w:rPr>
            <w:noProof/>
            <w:webHidden/>
          </w:rPr>
          <w:tab/>
        </w:r>
        <w:r>
          <w:rPr>
            <w:noProof/>
            <w:webHidden/>
          </w:rPr>
          <w:fldChar w:fldCharType="begin"/>
        </w:r>
        <w:r>
          <w:rPr>
            <w:noProof/>
            <w:webHidden/>
          </w:rPr>
          <w:instrText xml:space="preserve"> PAGEREF _Toc117264956 \h </w:instrText>
        </w:r>
        <w:r>
          <w:rPr>
            <w:noProof/>
            <w:webHidden/>
          </w:rPr>
        </w:r>
        <w:r>
          <w:rPr>
            <w:noProof/>
            <w:webHidden/>
          </w:rPr>
          <w:fldChar w:fldCharType="separate"/>
        </w:r>
        <w:r>
          <w:rPr>
            <w:noProof/>
            <w:webHidden/>
          </w:rPr>
          <w:t>83</w:t>
        </w:r>
        <w:r>
          <w:rPr>
            <w:noProof/>
            <w:webHidden/>
          </w:rPr>
          <w:fldChar w:fldCharType="end"/>
        </w:r>
      </w:hyperlink>
    </w:p>
    <w:p w14:paraId="3AB45036" w14:textId="43B49419" w:rsidR="00D53D58" w:rsidRDefault="00D53D58">
      <w:pPr>
        <w:pStyle w:val="TOC3"/>
        <w:rPr>
          <w:rFonts w:asciiTheme="minorHAnsi" w:eastAsiaTheme="minorEastAsia" w:hAnsiTheme="minorHAnsi" w:cstheme="minorBidi"/>
          <w:noProof/>
          <w:sz w:val="22"/>
          <w:szCs w:val="22"/>
          <w:lang w:eastAsia="en-NZ"/>
        </w:rPr>
      </w:pPr>
      <w:hyperlink w:anchor="_Toc117264957" w:history="1">
        <w:r w:rsidRPr="00CC71BC">
          <w:rPr>
            <w:rStyle w:val="Hyperlink"/>
            <w:noProof/>
          </w:rPr>
          <w:t>COVID-19 people vaccinated by ethnicity</w:t>
        </w:r>
        <w:r>
          <w:rPr>
            <w:noProof/>
            <w:webHidden/>
          </w:rPr>
          <w:tab/>
        </w:r>
        <w:r>
          <w:rPr>
            <w:noProof/>
            <w:webHidden/>
          </w:rPr>
          <w:fldChar w:fldCharType="begin"/>
        </w:r>
        <w:r>
          <w:rPr>
            <w:noProof/>
            <w:webHidden/>
          </w:rPr>
          <w:instrText xml:space="preserve"> PAGEREF _Toc117264957 \h </w:instrText>
        </w:r>
        <w:r>
          <w:rPr>
            <w:noProof/>
            <w:webHidden/>
          </w:rPr>
        </w:r>
        <w:r>
          <w:rPr>
            <w:noProof/>
            <w:webHidden/>
          </w:rPr>
          <w:fldChar w:fldCharType="separate"/>
        </w:r>
        <w:r>
          <w:rPr>
            <w:noProof/>
            <w:webHidden/>
          </w:rPr>
          <w:t>83</w:t>
        </w:r>
        <w:r>
          <w:rPr>
            <w:noProof/>
            <w:webHidden/>
          </w:rPr>
          <w:fldChar w:fldCharType="end"/>
        </w:r>
      </w:hyperlink>
    </w:p>
    <w:p w14:paraId="32760102" w14:textId="24EF9598" w:rsidR="00D53D58" w:rsidRDefault="00D53D58">
      <w:pPr>
        <w:pStyle w:val="TOC3"/>
        <w:rPr>
          <w:rFonts w:asciiTheme="minorHAnsi" w:eastAsiaTheme="minorEastAsia" w:hAnsiTheme="minorHAnsi" w:cstheme="minorBidi"/>
          <w:noProof/>
          <w:sz w:val="22"/>
          <w:szCs w:val="22"/>
          <w:lang w:eastAsia="en-NZ"/>
        </w:rPr>
      </w:pPr>
      <w:hyperlink w:anchor="_Toc117264958" w:history="1">
        <w:r w:rsidRPr="00CC71BC">
          <w:rPr>
            <w:rStyle w:val="Hyperlink"/>
            <w:noProof/>
          </w:rPr>
          <w:t>Comparison of HSU 2021 to the Stats NZ projected resident population</w:t>
        </w:r>
        <w:r>
          <w:rPr>
            <w:noProof/>
            <w:webHidden/>
          </w:rPr>
          <w:tab/>
        </w:r>
        <w:r>
          <w:rPr>
            <w:noProof/>
            <w:webHidden/>
          </w:rPr>
          <w:fldChar w:fldCharType="begin"/>
        </w:r>
        <w:r>
          <w:rPr>
            <w:noProof/>
            <w:webHidden/>
          </w:rPr>
          <w:instrText xml:space="preserve"> PAGEREF _Toc117264958 \h </w:instrText>
        </w:r>
        <w:r>
          <w:rPr>
            <w:noProof/>
            <w:webHidden/>
          </w:rPr>
        </w:r>
        <w:r>
          <w:rPr>
            <w:noProof/>
            <w:webHidden/>
          </w:rPr>
          <w:fldChar w:fldCharType="separate"/>
        </w:r>
        <w:r>
          <w:rPr>
            <w:noProof/>
            <w:webHidden/>
          </w:rPr>
          <w:t>86</w:t>
        </w:r>
        <w:r>
          <w:rPr>
            <w:noProof/>
            <w:webHidden/>
          </w:rPr>
          <w:fldChar w:fldCharType="end"/>
        </w:r>
      </w:hyperlink>
    </w:p>
    <w:p w14:paraId="741177F3" w14:textId="23DE7BAD" w:rsidR="00D53D58" w:rsidRDefault="00D53D58">
      <w:pPr>
        <w:pStyle w:val="TOC3"/>
        <w:rPr>
          <w:rFonts w:asciiTheme="minorHAnsi" w:eastAsiaTheme="minorEastAsia" w:hAnsiTheme="minorHAnsi" w:cstheme="minorBidi"/>
          <w:noProof/>
          <w:sz w:val="22"/>
          <w:szCs w:val="22"/>
          <w:lang w:eastAsia="en-NZ"/>
        </w:rPr>
      </w:pPr>
      <w:hyperlink w:anchor="_Toc117264959" w:history="1">
        <w:r w:rsidRPr="00CC71BC">
          <w:rPr>
            <w:rStyle w:val="Hyperlink"/>
            <w:noProof/>
          </w:rPr>
          <w:t>COVID-19 mortality rates</w:t>
        </w:r>
        <w:r>
          <w:rPr>
            <w:noProof/>
            <w:webHidden/>
          </w:rPr>
          <w:tab/>
        </w:r>
        <w:r>
          <w:rPr>
            <w:noProof/>
            <w:webHidden/>
          </w:rPr>
          <w:fldChar w:fldCharType="begin"/>
        </w:r>
        <w:r>
          <w:rPr>
            <w:noProof/>
            <w:webHidden/>
          </w:rPr>
          <w:instrText xml:space="preserve"> PAGEREF _Toc117264959 \h </w:instrText>
        </w:r>
        <w:r>
          <w:rPr>
            <w:noProof/>
            <w:webHidden/>
          </w:rPr>
        </w:r>
        <w:r>
          <w:rPr>
            <w:noProof/>
            <w:webHidden/>
          </w:rPr>
          <w:fldChar w:fldCharType="separate"/>
        </w:r>
        <w:r>
          <w:rPr>
            <w:noProof/>
            <w:webHidden/>
          </w:rPr>
          <w:t>87</w:t>
        </w:r>
        <w:r>
          <w:rPr>
            <w:noProof/>
            <w:webHidden/>
          </w:rPr>
          <w:fldChar w:fldCharType="end"/>
        </w:r>
      </w:hyperlink>
    </w:p>
    <w:p w14:paraId="5D339764" w14:textId="5576F515" w:rsidR="00D53D58" w:rsidRDefault="00D53D58">
      <w:pPr>
        <w:pStyle w:val="TOC3"/>
        <w:rPr>
          <w:rFonts w:asciiTheme="minorHAnsi" w:eastAsiaTheme="minorEastAsia" w:hAnsiTheme="minorHAnsi" w:cstheme="minorBidi"/>
          <w:noProof/>
          <w:sz w:val="22"/>
          <w:szCs w:val="22"/>
          <w:lang w:eastAsia="en-NZ"/>
        </w:rPr>
      </w:pPr>
      <w:hyperlink w:anchor="_Toc117264960" w:history="1">
        <w:r w:rsidRPr="00CC71BC">
          <w:rPr>
            <w:rStyle w:val="Hyperlink"/>
            <w:noProof/>
          </w:rPr>
          <w:t>Ministry of Health – Capital Expenditure</w:t>
        </w:r>
        <w:r>
          <w:rPr>
            <w:noProof/>
            <w:webHidden/>
          </w:rPr>
          <w:tab/>
        </w:r>
        <w:r>
          <w:rPr>
            <w:noProof/>
            <w:webHidden/>
          </w:rPr>
          <w:fldChar w:fldCharType="begin"/>
        </w:r>
        <w:r>
          <w:rPr>
            <w:noProof/>
            <w:webHidden/>
          </w:rPr>
          <w:instrText xml:space="preserve"> PAGEREF _Toc117264960 \h </w:instrText>
        </w:r>
        <w:r>
          <w:rPr>
            <w:noProof/>
            <w:webHidden/>
          </w:rPr>
        </w:r>
        <w:r>
          <w:rPr>
            <w:noProof/>
            <w:webHidden/>
          </w:rPr>
          <w:fldChar w:fldCharType="separate"/>
        </w:r>
        <w:r>
          <w:rPr>
            <w:noProof/>
            <w:webHidden/>
          </w:rPr>
          <w:t>90</w:t>
        </w:r>
        <w:r>
          <w:rPr>
            <w:noProof/>
            <w:webHidden/>
          </w:rPr>
          <w:fldChar w:fldCharType="end"/>
        </w:r>
      </w:hyperlink>
    </w:p>
    <w:p w14:paraId="1F43C9BF" w14:textId="4D60BBBF" w:rsidR="00D53D58" w:rsidRDefault="00D53D58">
      <w:pPr>
        <w:pStyle w:val="TOC1"/>
        <w:rPr>
          <w:rFonts w:asciiTheme="minorHAnsi" w:eastAsiaTheme="minorEastAsia" w:hAnsiTheme="minorHAnsi" w:cstheme="minorBidi"/>
          <w:noProof/>
          <w:sz w:val="22"/>
          <w:szCs w:val="22"/>
          <w:lang w:eastAsia="en-NZ"/>
        </w:rPr>
      </w:pPr>
      <w:hyperlink w:anchor="_Toc117264961" w:history="1">
        <w:r w:rsidRPr="00CC71BC">
          <w:rPr>
            <w:rStyle w:val="Hyperlink"/>
            <w:rFonts w:eastAsia="Arial Unicode MS"/>
            <w:noProof/>
          </w:rPr>
          <w:t xml:space="preserve">Financial statements | </w:t>
        </w:r>
        <w:r w:rsidRPr="00CC71BC">
          <w:rPr>
            <w:rStyle w:val="Hyperlink"/>
            <w:rFonts w:eastAsia="Arial Unicode MS"/>
            <w:bCs/>
            <w:noProof/>
          </w:rPr>
          <w:t>Ngā taurangi pūtea</w:t>
        </w:r>
        <w:r>
          <w:rPr>
            <w:noProof/>
            <w:webHidden/>
          </w:rPr>
          <w:tab/>
        </w:r>
        <w:r>
          <w:rPr>
            <w:noProof/>
            <w:webHidden/>
          </w:rPr>
          <w:fldChar w:fldCharType="begin"/>
        </w:r>
        <w:r>
          <w:rPr>
            <w:noProof/>
            <w:webHidden/>
          </w:rPr>
          <w:instrText xml:space="preserve"> PAGEREF _Toc117264961 \h </w:instrText>
        </w:r>
        <w:r>
          <w:rPr>
            <w:noProof/>
            <w:webHidden/>
          </w:rPr>
        </w:r>
        <w:r>
          <w:rPr>
            <w:noProof/>
            <w:webHidden/>
          </w:rPr>
          <w:fldChar w:fldCharType="separate"/>
        </w:r>
        <w:r>
          <w:rPr>
            <w:noProof/>
            <w:webHidden/>
          </w:rPr>
          <w:t>92</w:t>
        </w:r>
        <w:r>
          <w:rPr>
            <w:noProof/>
            <w:webHidden/>
          </w:rPr>
          <w:fldChar w:fldCharType="end"/>
        </w:r>
      </w:hyperlink>
    </w:p>
    <w:p w14:paraId="069F65E1" w14:textId="04CA3631" w:rsidR="00D53D58" w:rsidRDefault="00D53D58">
      <w:pPr>
        <w:pStyle w:val="TOC2"/>
        <w:rPr>
          <w:rFonts w:asciiTheme="minorHAnsi" w:eastAsiaTheme="minorEastAsia" w:hAnsiTheme="minorHAnsi" w:cstheme="minorBidi"/>
          <w:noProof/>
          <w:szCs w:val="22"/>
          <w:lang w:eastAsia="en-NZ"/>
        </w:rPr>
      </w:pPr>
      <w:hyperlink w:anchor="_Toc117264962" w:history="1">
        <w:r w:rsidRPr="00CC71BC">
          <w:rPr>
            <w:rStyle w:val="Hyperlink"/>
            <w:rFonts w:eastAsia="Arial Unicode MS"/>
            <w:noProof/>
          </w:rPr>
          <w:t xml:space="preserve">Statement of Responsibility | </w:t>
        </w:r>
        <w:r w:rsidRPr="00CC71BC">
          <w:rPr>
            <w:rStyle w:val="Hyperlink"/>
            <w:rFonts w:eastAsia="Arial Unicode MS"/>
            <w:bCs/>
            <w:noProof/>
          </w:rPr>
          <w:t>Kupu Whakaū Haepapa</w:t>
        </w:r>
        <w:r>
          <w:rPr>
            <w:noProof/>
            <w:webHidden/>
          </w:rPr>
          <w:tab/>
        </w:r>
        <w:r>
          <w:rPr>
            <w:noProof/>
            <w:webHidden/>
          </w:rPr>
          <w:fldChar w:fldCharType="begin"/>
        </w:r>
        <w:r>
          <w:rPr>
            <w:noProof/>
            <w:webHidden/>
          </w:rPr>
          <w:instrText xml:space="preserve"> PAGEREF _Toc117264962 \h </w:instrText>
        </w:r>
        <w:r>
          <w:rPr>
            <w:noProof/>
            <w:webHidden/>
          </w:rPr>
        </w:r>
        <w:r>
          <w:rPr>
            <w:noProof/>
            <w:webHidden/>
          </w:rPr>
          <w:fldChar w:fldCharType="separate"/>
        </w:r>
        <w:r>
          <w:rPr>
            <w:noProof/>
            <w:webHidden/>
          </w:rPr>
          <w:t>92</w:t>
        </w:r>
        <w:r>
          <w:rPr>
            <w:noProof/>
            <w:webHidden/>
          </w:rPr>
          <w:fldChar w:fldCharType="end"/>
        </w:r>
      </w:hyperlink>
    </w:p>
    <w:p w14:paraId="2C1412C6" w14:textId="1A089586" w:rsidR="00D53D58" w:rsidRDefault="00D53D58">
      <w:pPr>
        <w:pStyle w:val="TOC2"/>
        <w:rPr>
          <w:rFonts w:asciiTheme="minorHAnsi" w:eastAsiaTheme="minorEastAsia" w:hAnsiTheme="minorHAnsi" w:cstheme="minorBidi"/>
          <w:noProof/>
          <w:szCs w:val="22"/>
          <w:lang w:eastAsia="en-NZ"/>
        </w:rPr>
      </w:pPr>
      <w:hyperlink w:anchor="_Toc117264963" w:history="1">
        <w:r w:rsidRPr="00CC71BC">
          <w:rPr>
            <w:rStyle w:val="Hyperlink"/>
            <w:rFonts w:eastAsia="Arial Unicode MS"/>
            <w:noProof/>
          </w:rPr>
          <w:t>Independent Auditors Report</w:t>
        </w:r>
        <w:r>
          <w:rPr>
            <w:noProof/>
            <w:webHidden/>
          </w:rPr>
          <w:tab/>
        </w:r>
        <w:r>
          <w:rPr>
            <w:noProof/>
            <w:webHidden/>
          </w:rPr>
          <w:fldChar w:fldCharType="begin"/>
        </w:r>
        <w:r>
          <w:rPr>
            <w:noProof/>
            <w:webHidden/>
          </w:rPr>
          <w:instrText xml:space="preserve"> PAGEREF _Toc117264963 \h </w:instrText>
        </w:r>
        <w:r>
          <w:rPr>
            <w:noProof/>
            <w:webHidden/>
          </w:rPr>
        </w:r>
        <w:r>
          <w:rPr>
            <w:noProof/>
            <w:webHidden/>
          </w:rPr>
          <w:fldChar w:fldCharType="separate"/>
        </w:r>
        <w:r>
          <w:rPr>
            <w:noProof/>
            <w:webHidden/>
          </w:rPr>
          <w:t>93</w:t>
        </w:r>
        <w:r>
          <w:rPr>
            <w:noProof/>
            <w:webHidden/>
          </w:rPr>
          <w:fldChar w:fldCharType="end"/>
        </w:r>
      </w:hyperlink>
    </w:p>
    <w:p w14:paraId="19210BF3" w14:textId="1442ACA9" w:rsidR="00D53D58" w:rsidRDefault="00D53D58">
      <w:pPr>
        <w:pStyle w:val="TOC3"/>
        <w:rPr>
          <w:rFonts w:asciiTheme="minorHAnsi" w:eastAsiaTheme="minorEastAsia" w:hAnsiTheme="minorHAnsi" w:cstheme="minorBidi"/>
          <w:noProof/>
          <w:sz w:val="22"/>
          <w:szCs w:val="22"/>
          <w:lang w:eastAsia="en-NZ"/>
        </w:rPr>
      </w:pPr>
      <w:hyperlink w:anchor="_Toc117264964" w:history="1">
        <w:r w:rsidRPr="00CC71BC">
          <w:rPr>
            <w:rStyle w:val="Hyperlink"/>
            <w:noProof/>
          </w:rPr>
          <w:t>Statement of comprehensive revenue and expense for the year ended 30 June 2022</w:t>
        </w:r>
        <w:r>
          <w:rPr>
            <w:noProof/>
            <w:webHidden/>
          </w:rPr>
          <w:tab/>
        </w:r>
        <w:r>
          <w:rPr>
            <w:noProof/>
            <w:webHidden/>
          </w:rPr>
          <w:fldChar w:fldCharType="begin"/>
        </w:r>
        <w:r>
          <w:rPr>
            <w:noProof/>
            <w:webHidden/>
          </w:rPr>
          <w:instrText xml:space="preserve"> PAGEREF _Toc117264964 \h </w:instrText>
        </w:r>
        <w:r>
          <w:rPr>
            <w:noProof/>
            <w:webHidden/>
          </w:rPr>
        </w:r>
        <w:r>
          <w:rPr>
            <w:noProof/>
            <w:webHidden/>
          </w:rPr>
          <w:fldChar w:fldCharType="separate"/>
        </w:r>
        <w:r>
          <w:rPr>
            <w:noProof/>
            <w:webHidden/>
          </w:rPr>
          <w:t>98</w:t>
        </w:r>
        <w:r>
          <w:rPr>
            <w:noProof/>
            <w:webHidden/>
          </w:rPr>
          <w:fldChar w:fldCharType="end"/>
        </w:r>
      </w:hyperlink>
    </w:p>
    <w:p w14:paraId="23D430D6" w14:textId="704C2065" w:rsidR="00D53D58" w:rsidRDefault="00D53D58">
      <w:pPr>
        <w:pStyle w:val="TOC3"/>
        <w:rPr>
          <w:rFonts w:asciiTheme="minorHAnsi" w:eastAsiaTheme="minorEastAsia" w:hAnsiTheme="minorHAnsi" w:cstheme="minorBidi"/>
          <w:noProof/>
          <w:sz w:val="22"/>
          <w:szCs w:val="22"/>
          <w:lang w:eastAsia="en-NZ"/>
        </w:rPr>
      </w:pPr>
      <w:hyperlink w:anchor="_Toc117264965" w:history="1">
        <w:r w:rsidRPr="00CC71BC">
          <w:rPr>
            <w:rStyle w:val="Hyperlink"/>
            <w:noProof/>
          </w:rPr>
          <w:t>Statement of financial position as at 30 June 2022</w:t>
        </w:r>
        <w:r>
          <w:rPr>
            <w:noProof/>
            <w:webHidden/>
          </w:rPr>
          <w:tab/>
        </w:r>
        <w:r>
          <w:rPr>
            <w:noProof/>
            <w:webHidden/>
          </w:rPr>
          <w:fldChar w:fldCharType="begin"/>
        </w:r>
        <w:r>
          <w:rPr>
            <w:noProof/>
            <w:webHidden/>
          </w:rPr>
          <w:instrText xml:space="preserve"> PAGEREF _Toc117264965 \h </w:instrText>
        </w:r>
        <w:r>
          <w:rPr>
            <w:noProof/>
            <w:webHidden/>
          </w:rPr>
        </w:r>
        <w:r>
          <w:rPr>
            <w:noProof/>
            <w:webHidden/>
          </w:rPr>
          <w:fldChar w:fldCharType="separate"/>
        </w:r>
        <w:r>
          <w:rPr>
            <w:noProof/>
            <w:webHidden/>
          </w:rPr>
          <w:t>99</w:t>
        </w:r>
        <w:r>
          <w:rPr>
            <w:noProof/>
            <w:webHidden/>
          </w:rPr>
          <w:fldChar w:fldCharType="end"/>
        </w:r>
      </w:hyperlink>
    </w:p>
    <w:p w14:paraId="1E624721" w14:textId="02DF0BCD" w:rsidR="00D53D58" w:rsidRDefault="00D53D58">
      <w:pPr>
        <w:pStyle w:val="TOC3"/>
        <w:rPr>
          <w:rFonts w:asciiTheme="minorHAnsi" w:eastAsiaTheme="minorEastAsia" w:hAnsiTheme="minorHAnsi" w:cstheme="minorBidi"/>
          <w:noProof/>
          <w:sz w:val="22"/>
          <w:szCs w:val="22"/>
          <w:lang w:eastAsia="en-NZ"/>
        </w:rPr>
      </w:pPr>
      <w:hyperlink w:anchor="_Toc117264966" w:history="1">
        <w:r w:rsidRPr="00CC71BC">
          <w:rPr>
            <w:rStyle w:val="Hyperlink"/>
            <w:noProof/>
          </w:rPr>
          <w:t>Statement of changes in equity for the year ended 30 June 2022</w:t>
        </w:r>
        <w:r>
          <w:rPr>
            <w:noProof/>
            <w:webHidden/>
          </w:rPr>
          <w:tab/>
        </w:r>
        <w:r>
          <w:rPr>
            <w:noProof/>
            <w:webHidden/>
          </w:rPr>
          <w:fldChar w:fldCharType="begin"/>
        </w:r>
        <w:r>
          <w:rPr>
            <w:noProof/>
            <w:webHidden/>
          </w:rPr>
          <w:instrText xml:space="preserve"> PAGEREF _Toc117264966 \h </w:instrText>
        </w:r>
        <w:r>
          <w:rPr>
            <w:noProof/>
            <w:webHidden/>
          </w:rPr>
        </w:r>
        <w:r>
          <w:rPr>
            <w:noProof/>
            <w:webHidden/>
          </w:rPr>
          <w:fldChar w:fldCharType="separate"/>
        </w:r>
        <w:r>
          <w:rPr>
            <w:noProof/>
            <w:webHidden/>
          </w:rPr>
          <w:t>100</w:t>
        </w:r>
        <w:r>
          <w:rPr>
            <w:noProof/>
            <w:webHidden/>
          </w:rPr>
          <w:fldChar w:fldCharType="end"/>
        </w:r>
      </w:hyperlink>
    </w:p>
    <w:p w14:paraId="3B4F781B" w14:textId="4A0AEAB0" w:rsidR="00D53D58" w:rsidRDefault="00D53D58">
      <w:pPr>
        <w:pStyle w:val="TOC3"/>
        <w:rPr>
          <w:rFonts w:asciiTheme="minorHAnsi" w:eastAsiaTheme="minorEastAsia" w:hAnsiTheme="minorHAnsi" w:cstheme="minorBidi"/>
          <w:noProof/>
          <w:sz w:val="22"/>
          <w:szCs w:val="22"/>
          <w:lang w:eastAsia="en-NZ"/>
        </w:rPr>
      </w:pPr>
      <w:hyperlink w:anchor="_Toc117264967" w:history="1">
        <w:r w:rsidRPr="00CC71BC">
          <w:rPr>
            <w:rStyle w:val="Hyperlink"/>
            <w:noProof/>
          </w:rPr>
          <w:t>Statement of cash flows for the year ended 30 June 2022</w:t>
        </w:r>
        <w:r>
          <w:rPr>
            <w:noProof/>
            <w:webHidden/>
          </w:rPr>
          <w:tab/>
        </w:r>
        <w:r>
          <w:rPr>
            <w:noProof/>
            <w:webHidden/>
          </w:rPr>
          <w:fldChar w:fldCharType="begin"/>
        </w:r>
        <w:r>
          <w:rPr>
            <w:noProof/>
            <w:webHidden/>
          </w:rPr>
          <w:instrText xml:space="preserve"> PAGEREF _Toc117264967 \h </w:instrText>
        </w:r>
        <w:r>
          <w:rPr>
            <w:noProof/>
            <w:webHidden/>
          </w:rPr>
        </w:r>
        <w:r>
          <w:rPr>
            <w:noProof/>
            <w:webHidden/>
          </w:rPr>
          <w:fldChar w:fldCharType="separate"/>
        </w:r>
        <w:r>
          <w:rPr>
            <w:noProof/>
            <w:webHidden/>
          </w:rPr>
          <w:t>101</w:t>
        </w:r>
        <w:r>
          <w:rPr>
            <w:noProof/>
            <w:webHidden/>
          </w:rPr>
          <w:fldChar w:fldCharType="end"/>
        </w:r>
      </w:hyperlink>
    </w:p>
    <w:p w14:paraId="72BF89B5" w14:textId="711E8763" w:rsidR="00D53D58" w:rsidRDefault="00D53D58">
      <w:pPr>
        <w:pStyle w:val="TOC3"/>
        <w:rPr>
          <w:rFonts w:asciiTheme="minorHAnsi" w:eastAsiaTheme="minorEastAsia" w:hAnsiTheme="minorHAnsi" w:cstheme="minorBidi"/>
          <w:noProof/>
          <w:sz w:val="22"/>
          <w:szCs w:val="22"/>
          <w:lang w:eastAsia="en-NZ"/>
        </w:rPr>
      </w:pPr>
      <w:hyperlink w:anchor="_Toc117264968" w:history="1">
        <w:r w:rsidRPr="00CC71BC">
          <w:rPr>
            <w:rStyle w:val="Hyperlink"/>
            <w:noProof/>
          </w:rPr>
          <w:t>Statement of contingent liabilities and contingent assets as at 30 June 2022</w:t>
        </w:r>
        <w:r>
          <w:rPr>
            <w:noProof/>
            <w:webHidden/>
          </w:rPr>
          <w:tab/>
        </w:r>
        <w:r>
          <w:rPr>
            <w:noProof/>
            <w:webHidden/>
          </w:rPr>
          <w:fldChar w:fldCharType="begin"/>
        </w:r>
        <w:r>
          <w:rPr>
            <w:noProof/>
            <w:webHidden/>
          </w:rPr>
          <w:instrText xml:space="preserve"> PAGEREF _Toc117264968 \h </w:instrText>
        </w:r>
        <w:r>
          <w:rPr>
            <w:noProof/>
            <w:webHidden/>
          </w:rPr>
        </w:r>
        <w:r>
          <w:rPr>
            <w:noProof/>
            <w:webHidden/>
          </w:rPr>
          <w:fldChar w:fldCharType="separate"/>
        </w:r>
        <w:r>
          <w:rPr>
            <w:noProof/>
            <w:webHidden/>
          </w:rPr>
          <w:t>105</w:t>
        </w:r>
        <w:r>
          <w:rPr>
            <w:noProof/>
            <w:webHidden/>
          </w:rPr>
          <w:fldChar w:fldCharType="end"/>
        </w:r>
      </w:hyperlink>
    </w:p>
    <w:p w14:paraId="3912E628" w14:textId="3D96A209" w:rsidR="00D53D58" w:rsidRDefault="00D53D58">
      <w:pPr>
        <w:pStyle w:val="TOC3"/>
        <w:rPr>
          <w:rFonts w:asciiTheme="minorHAnsi" w:eastAsiaTheme="minorEastAsia" w:hAnsiTheme="minorHAnsi" w:cstheme="minorBidi"/>
          <w:noProof/>
          <w:sz w:val="22"/>
          <w:szCs w:val="22"/>
          <w:lang w:eastAsia="en-NZ"/>
        </w:rPr>
      </w:pPr>
      <w:hyperlink w:anchor="_Toc117264969" w:history="1">
        <w:r w:rsidRPr="00CC71BC">
          <w:rPr>
            <w:rStyle w:val="Hyperlink"/>
            <w:noProof/>
          </w:rPr>
          <w:t>Notes to the financial statements for the year ended 30 June 2022</w:t>
        </w:r>
        <w:r>
          <w:rPr>
            <w:noProof/>
            <w:webHidden/>
          </w:rPr>
          <w:tab/>
        </w:r>
        <w:r>
          <w:rPr>
            <w:noProof/>
            <w:webHidden/>
          </w:rPr>
          <w:fldChar w:fldCharType="begin"/>
        </w:r>
        <w:r>
          <w:rPr>
            <w:noProof/>
            <w:webHidden/>
          </w:rPr>
          <w:instrText xml:space="preserve"> PAGEREF _Toc117264969 \h </w:instrText>
        </w:r>
        <w:r>
          <w:rPr>
            <w:noProof/>
            <w:webHidden/>
          </w:rPr>
        </w:r>
        <w:r>
          <w:rPr>
            <w:noProof/>
            <w:webHidden/>
          </w:rPr>
          <w:fldChar w:fldCharType="separate"/>
        </w:r>
        <w:r>
          <w:rPr>
            <w:noProof/>
            <w:webHidden/>
          </w:rPr>
          <w:t>105</w:t>
        </w:r>
        <w:r>
          <w:rPr>
            <w:noProof/>
            <w:webHidden/>
          </w:rPr>
          <w:fldChar w:fldCharType="end"/>
        </w:r>
      </w:hyperlink>
    </w:p>
    <w:p w14:paraId="25145AAF" w14:textId="2DEB0684" w:rsidR="00D53D58" w:rsidRDefault="00D53D58">
      <w:pPr>
        <w:pStyle w:val="TOC2"/>
        <w:rPr>
          <w:rFonts w:asciiTheme="minorHAnsi" w:eastAsiaTheme="minorEastAsia" w:hAnsiTheme="minorHAnsi" w:cstheme="minorBidi"/>
          <w:noProof/>
          <w:szCs w:val="22"/>
          <w:lang w:eastAsia="en-NZ"/>
        </w:rPr>
      </w:pPr>
      <w:hyperlink w:anchor="_Toc117264970" w:history="1">
        <w:r w:rsidRPr="00CC71BC">
          <w:rPr>
            <w:rStyle w:val="Hyperlink"/>
            <w:rFonts w:eastAsia="Arial Unicode MS"/>
            <w:noProof/>
          </w:rPr>
          <w:t>Non-departmental statements and schedules for the year ended 30 June 2022</w:t>
        </w:r>
        <w:r>
          <w:rPr>
            <w:noProof/>
            <w:webHidden/>
          </w:rPr>
          <w:tab/>
        </w:r>
        <w:r>
          <w:rPr>
            <w:noProof/>
            <w:webHidden/>
          </w:rPr>
          <w:fldChar w:fldCharType="begin"/>
        </w:r>
        <w:r>
          <w:rPr>
            <w:noProof/>
            <w:webHidden/>
          </w:rPr>
          <w:instrText xml:space="preserve"> PAGEREF _Toc117264970 \h </w:instrText>
        </w:r>
        <w:r>
          <w:rPr>
            <w:noProof/>
            <w:webHidden/>
          </w:rPr>
        </w:r>
        <w:r>
          <w:rPr>
            <w:noProof/>
            <w:webHidden/>
          </w:rPr>
          <w:fldChar w:fldCharType="separate"/>
        </w:r>
        <w:r>
          <w:rPr>
            <w:noProof/>
            <w:webHidden/>
          </w:rPr>
          <w:t>135</w:t>
        </w:r>
        <w:r>
          <w:rPr>
            <w:noProof/>
            <w:webHidden/>
          </w:rPr>
          <w:fldChar w:fldCharType="end"/>
        </w:r>
      </w:hyperlink>
    </w:p>
    <w:p w14:paraId="18E7B05C" w14:textId="49BE83C4" w:rsidR="00D53D58" w:rsidRDefault="00D53D58">
      <w:pPr>
        <w:pStyle w:val="TOC3"/>
        <w:rPr>
          <w:rFonts w:asciiTheme="minorHAnsi" w:eastAsiaTheme="minorEastAsia" w:hAnsiTheme="minorHAnsi" w:cstheme="minorBidi"/>
          <w:noProof/>
          <w:sz w:val="22"/>
          <w:szCs w:val="22"/>
          <w:lang w:eastAsia="en-NZ"/>
        </w:rPr>
      </w:pPr>
      <w:hyperlink w:anchor="_Toc117264971" w:history="1">
        <w:r w:rsidRPr="00CC71BC">
          <w:rPr>
            <w:rStyle w:val="Hyperlink"/>
            <w:noProof/>
          </w:rPr>
          <w:t>Statement of non-departmental expenses for the year ended 30 June 2022</w:t>
        </w:r>
        <w:r>
          <w:rPr>
            <w:noProof/>
            <w:webHidden/>
          </w:rPr>
          <w:tab/>
        </w:r>
        <w:r>
          <w:rPr>
            <w:noProof/>
            <w:webHidden/>
          </w:rPr>
          <w:fldChar w:fldCharType="begin"/>
        </w:r>
        <w:r>
          <w:rPr>
            <w:noProof/>
            <w:webHidden/>
          </w:rPr>
          <w:instrText xml:space="preserve"> PAGEREF _Toc117264971 \h </w:instrText>
        </w:r>
        <w:r>
          <w:rPr>
            <w:noProof/>
            <w:webHidden/>
          </w:rPr>
        </w:r>
        <w:r>
          <w:rPr>
            <w:noProof/>
            <w:webHidden/>
          </w:rPr>
          <w:fldChar w:fldCharType="separate"/>
        </w:r>
        <w:r>
          <w:rPr>
            <w:noProof/>
            <w:webHidden/>
          </w:rPr>
          <w:t>136</w:t>
        </w:r>
        <w:r>
          <w:rPr>
            <w:noProof/>
            <w:webHidden/>
          </w:rPr>
          <w:fldChar w:fldCharType="end"/>
        </w:r>
      </w:hyperlink>
    </w:p>
    <w:p w14:paraId="0B658986" w14:textId="7019982C" w:rsidR="00D53D58" w:rsidRDefault="00D53D58">
      <w:pPr>
        <w:pStyle w:val="TOC3"/>
        <w:rPr>
          <w:rFonts w:asciiTheme="minorHAnsi" w:eastAsiaTheme="minorEastAsia" w:hAnsiTheme="minorHAnsi" w:cstheme="minorBidi"/>
          <w:noProof/>
          <w:sz w:val="22"/>
          <w:szCs w:val="22"/>
          <w:lang w:eastAsia="en-NZ"/>
        </w:rPr>
      </w:pPr>
      <w:hyperlink w:anchor="_Toc117264972" w:history="1">
        <w:r w:rsidRPr="00CC71BC">
          <w:rPr>
            <w:rStyle w:val="Hyperlink"/>
            <w:noProof/>
          </w:rPr>
          <w:t>Schedule of non-departmental revenue and capital receipts for the year ended 30 June 2022</w:t>
        </w:r>
        <w:r>
          <w:rPr>
            <w:noProof/>
            <w:webHidden/>
          </w:rPr>
          <w:tab/>
        </w:r>
        <w:r>
          <w:rPr>
            <w:noProof/>
            <w:webHidden/>
          </w:rPr>
          <w:fldChar w:fldCharType="begin"/>
        </w:r>
        <w:r>
          <w:rPr>
            <w:noProof/>
            <w:webHidden/>
          </w:rPr>
          <w:instrText xml:space="preserve"> PAGEREF _Toc117264972 \h </w:instrText>
        </w:r>
        <w:r>
          <w:rPr>
            <w:noProof/>
            <w:webHidden/>
          </w:rPr>
        </w:r>
        <w:r>
          <w:rPr>
            <w:noProof/>
            <w:webHidden/>
          </w:rPr>
          <w:fldChar w:fldCharType="separate"/>
        </w:r>
        <w:r>
          <w:rPr>
            <w:noProof/>
            <w:webHidden/>
          </w:rPr>
          <w:t>137</w:t>
        </w:r>
        <w:r>
          <w:rPr>
            <w:noProof/>
            <w:webHidden/>
          </w:rPr>
          <w:fldChar w:fldCharType="end"/>
        </w:r>
      </w:hyperlink>
    </w:p>
    <w:p w14:paraId="515993D3" w14:textId="439DF151" w:rsidR="00D53D58" w:rsidRDefault="00D53D58">
      <w:pPr>
        <w:pStyle w:val="TOC3"/>
        <w:rPr>
          <w:rFonts w:asciiTheme="minorHAnsi" w:eastAsiaTheme="minorEastAsia" w:hAnsiTheme="minorHAnsi" w:cstheme="minorBidi"/>
          <w:noProof/>
          <w:sz w:val="22"/>
          <w:szCs w:val="22"/>
          <w:lang w:eastAsia="en-NZ"/>
        </w:rPr>
      </w:pPr>
      <w:hyperlink w:anchor="_Toc117264973" w:history="1">
        <w:r w:rsidRPr="00CC71BC">
          <w:rPr>
            <w:rStyle w:val="Hyperlink"/>
            <w:noProof/>
          </w:rPr>
          <w:t>Schedule of non-departmental assets and liabilities as at 30 June 2022</w:t>
        </w:r>
        <w:r>
          <w:rPr>
            <w:noProof/>
            <w:webHidden/>
          </w:rPr>
          <w:tab/>
        </w:r>
        <w:r>
          <w:rPr>
            <w:noProof/>
            <w:webHidden/>
          </w:rPr>
          <w:fldChar w:fldCharType="begin"/>
        </w:r>
        <w:r>
          <w:rPr>
            <w:noProof/>
            <w:webHidden/>
          </w:rPr>
          <w:instrText xml:space="preserve"> PAGEREF _Toc117264973 \h </w:instrText>
        </w:r>
        <w:r>
          <w:rPr>
            <w:noProof/>
            <w:webHidden/>
          </w:rPr>
        </w:r>
        <w:r>
          <w:rPr>
            <w:noProof/>
            <w:webHidden/>
          </w:rPr>
          <w:fldChar w:fldCharType="separate"/>
        </w:r>
        <w:r>
          <w:rPr>
            <w:noProof/>
            <w:webHidden/>
          </w:rPr>
          <w:t>138</w:t>
        </w:r>
        <w:r>
          <w:rPr>
            <w:noProof/>
            <w:webHidden/>
          </w:rPr>
          <w:fldChar w:fldCharType="end"/>
        </w:r>
      </w:hyperlink>
    </w:p>
    <w:p w14:paraId="7488DDB1" w14:textId="1D4B93B3" w:rsidR="00D53D58" w:rsidRDefault="00D53D58">
      <w:pPr>
        <w:pStyle w:val="TOC3"/>
        <w:rPr>
          <w:rFonts w:asciiTheme="minorHAnsi" w:eastAsiaTheme="minorEastAsia" w:hAnsiTheme="minorHAnsi" w:cstheme="minorBidi"/>
          <w:noProof/>
          <w:sz w:val="22"/>
          <w:szCs w:val="22"/>
          <w:lang w:eastAsia="en-NZ"/>
        </w:rPr>
      </w:pPr>
      <w:hyperlink w:anchor="_Toc117264974" w:history="1">
        <w:r w:rsidRPr="00CC71BC">
          <w:rPr>
            <w:rStyle w:val="Hyperlink"/>
            <w:noProof/>
          </w:rPr>
          <w:t>Schedule of non-departmental commitments as at 30 June 2022</w:t>
        </w:r>
        <w:r>
          <w:rPr>
            <w:noProof/>
            <w:webHidden/>
          </w:rPr>
          <w:tab/>
        </w:r>
        <w:r>
          <w:rPr>
            <w:noProof/>
            <w:webHidden/>
          </w:rPr>
          <w:fldChar w:fldCharType="begin"/>
        </w:r>
        <w:r>
          <w:rPr>
            <w:noProof/>
            <w:webHidden/>
          </w:rPr>
          <w:instrText xml:space="preserve"> PAGEREF _Toc117264974 \h </w:instrText>
        </w:r>
        <w:r>
          <w:rPr>
            <w:noProof/>
            <w:webHidden/>
          </w:rPr>
        </w:r>
        <w:r>
          <w:rPr>
            <w:noProof/>
            <w:webHidden/>
          </w:rPr>
          <w:fldChar w:fldCharType="separate"/>
        </w:r>
        <w:r>
          <w:rPr>
            <w:noProof/>
            <w:webHidden/>
          </w:rPr>
          <w:t>139</w:t>
        </w:r>
        <w:r>
          <w:rPr>
            <w:noProof/>
            <w:webHidden/>
          </w:rPr>
          <w:fldChar w:fldCharType="end"/>
        </w:r>
      </w:hyperlink>
    </w:p>
    <w:p w14:paraId="41ADB98D" w14:textId="6DA0A3CD" w:rsidR="00D53D58" w:rsidRDefault="00D53D58">
      <w:pPr>
        <w:pStyle w:val="TOC3"/>
        <w:rPr>
          <w:rFonts w:asciiTheme="minorHAnsi" w:eastAsiaTheme="minorEastAsia" w:hAnsiTheme="minorHAnsi" w:cstheme="minorBidi"/>
          <w:noProof/>
          <w:sz w:val="22"/>
          <w:szCs w:val="22"/>
          <w:lang w:eastAsia="en-NZ"/>
        </w:rPr>
      </w:pPr>
      <w:hyperlink w:anchor="_Toc117264975" w:history="1">
        <w:r w:rsidRPr="00CC71BC">
          <w:rPr>
            <w:rStyle w:val="Hyperlink"/>
            <w:noProof/>
          </w:rPr>
          <w:t>Schedule of non-departmental contingent liabilities and contingent assets as at 30 June 2022</w:t>
        </w:r>
        <w:r>
          <w:rPr>
            <w:noProof/>
            <w:webHidden/>
          </w:rPr>
          <w:tab/>
        </w:r>
        <w:r>
          <w:rPr>
            <w:noProof/>
            <w:webHidden/>
          </w:rPr>
          <w:fldChar w:fldCharType="begin"/>
        </w:r>
        <w:r>
          <w:rPr>
            <w:noProof/>
            <w:webHidden/>
          </w:rPr>
          <w:instrText xml:space="preserve"> PAGEREF _Toc117264975 \h </w:instrText>
        </w:r>
        <w:r>
          <w:rPr>
            <w:noProof/>
            <w:webHidden/>
          </w:rPr>
        </w:r>
        <w:r>
          <w:rPr>
            <w:noProof/>
            <w:webHidden/>
          </w:rPr>
          <w:fldChar w:fldCharType="separate"/>
        </w:r>
        <w:r>
          <w:rPr>
            <w:noProof/>
            <w:webHidden/>
          </w:rPr>
          <w:t>139</w:t>
        </w:r>
        <w:r>
          <w:rPr>
            <w:noProof/>
            <w:webHidden/>
          </w:rPr>
          <w:fldChar w:fldCharType="end"/>
        </w:r>
      </w:hyperlink>
    </w:p>
    <w:p w14:paraId="40B41F94" w14:textId="1B4C865F" w:rsidR="00D53D58" w:rsidRDefault="00D53D58">
      <w:pPr>
        <w:pStyle w:val="TOC3"/>
        <w:rPr>
          <w:rFonts w:asciiTheme="minorHAnsi" w:eastAsiaTheme="minorEastAsia" w:hAnsiTheme="minorHAnsi" w:cstheme="minorBidi"/>
          <w:noProof/>
          <w:sz w:val="22"/>
          <w:szCs w:val="22"/>
          <w:lang w:eastAsia="en-NZ"/>
        </w:rPr>
      </w:pPr>
      <w:hyperlink w:anchor="_Toc117264976" w:history="1">
        <w:r w:rsidRPr="00CC71BC">
          <w:rPr>
            <w:rStyle w:val="Hyperlink"/>
            <w:noProof/>
          </w:rPr>
          <w:t>Problem Gambling Revenue Report for the year ended 30 June 2022</w:t>
        </w:r>
        <w:r>
          <w:rPr>
            <w:noProof/>
            <w:webHidden/>
          </w:rPr>
          <w:tab/>
        </w:r>
        <w:r>
          <w:rPr>
            <w:noProof/>
            <w:webHidden/>
          </w:rPr>
          <w:fldChar w:fldCharType="begin"/>
        </w:r>
        <w:r>
          <w:rPr>
            <w:noProof/>
            <w:webHidden/>
          </w:rPr>
          <w:instrText xml:space="preserve"> PAGEREF _Toc117264976 \h </w:instrText>
        </w:r>
        <w:r>
          <w:rPr>
            <w:noProof/>
            <w:webHidden/>
          </w:rPr>
        </w:r>
        <w:r>
          <w:rPr>
            <w:noProof/>
            <w:webHidden/>
          </w:rPr>
          <w:fldChar w:fldCharType="separate"/>
        </w:r>
        <w:r>
          <w:rPr>
            <w:noProof/>
            <w:webHidden/>
          </w:rPr>
          <w:t>140</w:t>
        </w:r>
        <w:r>
          <w:rPr>
            <w:noProof/>
            <w:webHidden/>
          </w:rPr>
          <w:fldChar w:fldCharType="end"/>
        </w:r>
      </w:hyperlink>
    </w:p>
    <w:p w14:paraId="592C43EF" w14:textId="6176AD0A" w:rsidR="00D53D58" w:rsidRDefault="00D53D58">
      <w:pPr>
        <w:pStyle w:val="TOC3"/>
        <w:rPr>
          <w:rFonts w:asciiTheme="minorHAnsi" w:eastAsiaTheme="minorEastAsia" w:hAnsiTheme="minorHAnsi" w:cstheme="minorBidi"/>
          <w:noProof/>
          <w:sz w:val="22"/>
          <w:szCs w:val="22"/>
          <w:lang w:eastAsia="en-NZ"/>
        </w:rPr>
      </w:pPr>
      <w:hyperlink w:anchor="_Toc117264977" w:history="1">
        <w:r w:rsidRPr="00CC71BC">
          <w:rPr>
            <w:rStyle w:val="Hyperlink"/>
            <w:noProof/>
          </w:rPr>
          <w:t>Notes to the non-departmental statements and schedules</w:t>
        </w:r>
        <w:r>
          <w:rPr>
            <w:noProof/>
            <w:webHidden/>
          </w:rPr>
          <w:tab/>
        </w:r>
        <w:r>
          <w:rPr>
            <w:noProof/>
            <w:webHidden/>
          </w:rPr>
          <w:fldChar w:fldCharType="begin"/>
        </w:r>
        <w:r>
          <w:rPr>
            <w:noProof/>
            <w:webHidden/>
          </w:rPr>
          <w:instrText xml:space="preserve"> PAGEREF _Toc117264977 \h </w:instrText>
        </w:r>
        <w:r>
          <w:rPr>
            <w:noProof/>
            <w:webHidden/>
          </w:rPr>
        </w:r>
        <w:r>
          <w:rPr>
            <w:noProof/>
            <w:webHidden/>
          </w:rPr>
          <w:fldChar w:fldCharType="separate"/>
        </w:r>
        <w:r>
          <w:rPr>
            <w:noProof/>
            <w:webHidden/>
          </w:rPr>
          <w:t>141</w:t>
        </w:r>
        <w:r>
          <w:rPr>
            <w:noProof/>
            <w:webHidden/>
          </w:rPr>
          <w:fldChar w:fldCharType="end"/>
        </w:r>
      </w:hyperlink>
    </w:p>
    <w:p w14:paraId="1237197E" w14:textId="7CEDA029" w:rsidR="00D53D58" w:rsidRDefault="00D53D58">
      <w:pPr>
        <w:pStyle w:val="TOC3"/>
        <w:rPr>
          <w:rFonts w:asciiTheme="minorHAnsi" w:eastAsiaTheme="minorEastAsia" w:hAnsiTheme="minorHAnsi" w:cstheme="minorBidi"/>
          <w:noProof/>
          <w:sz w:val="22"/>
          <w:szCs w:val="22"/>
          <w:lang w:eastAsia="en-NZ"/>
        </w:rPr>
      </w:pPr>
      <w:hyperlink w:anchor="_Toc117264978" w:history="1">
        <w:r w:rsidRPr="00CC71BC">
          <w:rPr>
            <w:rStyle w:val="Hyperlink"/>
            <w:noProof/>
          </w:rPr>
          <w:t>Statement of expenses and capital expenditure incurred without, or in excess of, appropriation or other authority for the year ended 30 June 2022</w:t>
        </w:r>
        <w:r>
          <w:rPr>
            <w:noProof/>
            <w:webHidden/>
          </w:rPr>
          <w:tab/>
        </w:r>
        <w:r>
          <w:rPr>
            <w:noProof/>
            <w:webHidden/>
          </w:rPr>
          <w:fldChar w:fldCharType="begin"/>
        </w:r>
        <w:r>
          <w:rPr>
            <w:noProof/>
            <w:webHidden/>
          </w:rPr>
          <w:instrText xml:space="preserve"> PAGEREF _Toc117264978 \h </w:instrText>
        </w:r>
        <w:r>
          <w:rPr>
            <w:noProof/>
            <w:webHidden/>
          </w:rPr>
        </w:r>
        <w:r>
          <w:rPr>
            <w:noProof/>
            <w:webHidden/>
          </w:rPr>
          <w:fldChar w:fldCharType="separate"/>
        </w:r>
        <w:r>
          <w:rPr>
            <w:noProof/>
            <w:webHidden/>
          </w:rPr>
          <w:t>152</w:t>
        </w:r>
        <w:r>
          <w:rPr>
            <w:noProof/>
            <w:webHidden/>
          </w:rPr>
          <w:fldChar w:fldCharType="end"/>
        </w:r>
      </w:hyperlink>
    </w:p>
    <w:p w14:paraId="66D9BF4D" w14:textId="65A8F1AE" w:rsidR="00D53D58" w:rsidRDefault="00D53D58">
      <w:pPr>
        <w:pStyle w:val="TOC3"/>
        <w:rPr>
          <w:rFonts w:asciiTheme="minorHAnsi" w:eastAsiaTheme="minorEastAsia" w:hAnsiTheme="minorHAnsi" w:cstheme="minorBidi"/>
          <w:noProof/>
          <w:sz w:val="22"/>
          <w:szCs w:val="22"/>
          <w:lang w:eastAsia="en-NZ"/>
        </w:rPr>
      </w:pPr>
      <w:hyperlink w:anchor="_Toc117264979" w:history="1">
        <w:r w:rsidRPr="00CC71BC">
          <w:rPr>
            <w:rStyle w:val="Hyperlink"/>
            <w:noProof/>
          </w:rPr>
          <w:t>Statement of departmental capital injections for the year ended 30 June 2022</w:t>
        </w:r>
        <w:r>
          <w:rPr>
            <w:noProof/>
            <w:webHidden/>
          </w:rPr>
          <w:tab/>
        </w:r>
        <w:r>
          <w:rPr>
            <w:noProof/>
            <w:webHidden/>
          </w:rPr>
          <w:fldChar w:fldCharType="begin"/>
        </w:r>
        <w:r>
          <w:rPr>
            <w:noProof/>
            <w:webHidden/>
          </w:rPr>
          <w:instrText xml:space="preserve"> PAGEREF _Toc117264979 \h </w:instrText>
        </w:r>
        <w:r>
          <w:rPr>
            <w:noProof/>
            <w:webHidden/>
          </w:rPr>
        </w:r>
        <w:r>
          <w:rPr>
            <w:noProof/>
            <w:webHidden/>
          </w:rPr>
          <w:fldChar w:fldCharType="separate"/>
        </w:r>
        <w:r>
          <w:rPr>
            <w:noProof/>
            <w:webHidden/>
          </w:rPr>
          <w:t>152</w:t>
        </w:r>
        <w:r>
          <w:rPr>
            <w:noProof/>
            <w:webHidden/>
          </w:rPr>
          <w:fldChar w:fldCharType="end"/>
        </w:r>
      </w:hyperlink>
    </w:p>
    <w:p w14:paraId="4A8CE695" w14:textId="53332752" w:rsidR="00D53D58" w:rsidRDefault="00D53D58">
      <w:pPr>
        <w:pStyle w:val="TOC1"/>
        <w:rPr>
          <w:rFonts w:asciiTheme="minorHAnsi" w:eastAsiaTheme="minorEastAsia" w:hAnsiTheme="minorHAnsi" w:cstheme="minorBidi"/>
          <w:noProof/>
          <w:sz w:val="22"/>
          <w:szCs w:val="22"/>
          <w:lang w:eastAsia="en-NZ"/>
        </w:rPr>
      </w:pPr>
      <w:hyperlink w:anchor="_Toc117264980" w:history="1">
        <w:r w:rsidRPr="00CC71BC">
          <w:rPr>
            <w:rStyle w:val="Hyperlink"/>
            <w:rFonts w:eastAsia="Arial Unicode MS"/>
            <w:noProof/>
          </w:rPr>
          <w:t xml:space="preserve">Appendices | </w:t>
        </w:r>
        <w:r w:rsidRPr="00CC71BC">
          <w:rPr>
            <w:rStyle w:val="Hyperlink"/>
            <w:rFonts w:eastAsia="Arial Unicode MS"/>
            <w:bCs/>
            <w:noProof/>
          </w:rPr>
          <w:t>Ngā āpitihanga</w:t>
        </w:r>
        <w:r>
          <w:rPr>
            <w:noProof/>
            <w:webHidden/>
          </w:rPr>
          <w:tab/>
        </w:r>
        <w:r>
          <w:rPr>
            <w:noProof/>
            <w:webHidden/>
          </w:rPr>
          <w:fldChar w:fldCharType="begin"/>
        </w:r>
        <w:r>
          <w:rPr>
            <w:noProof/>
            <w:webHidden/>
          </w:rPr>
          <w:instrText xml:space="preserve"> PAGEREF _Toc117264980 \h </w:instrText>
        </w:r>
        <w:r>
          <w:rPr>
            <w:noProof/>
            <w:webHidden/>
          </w:rPr>
        </w:r>
        <w:r>
          <w:rPr>
            <w:noProof/>
            <w:webHidden/>
          </w:rPr>
          <w:fldChar w:fldCharType="separate"/>
        </w:r>
        <w:r>
          <w:rPr>
            <w:noProof/>
            <w:webHidden/>
          </w:rPr>
          <w:t>153</w:t>
        </w:r>
        <w:r>
          <w:rPr>
            <w:noProof/>
            <w:webHidden/>
          </w:rPr>
          <w:fldChar w:fldCharType="end"/>
        </w:r>
      </w:hyperlink>
    </w:p>
    <w:p w14:paraId="1A76B467" w14:textId="1F80B0EF" w:rsidR="00D53D58" w:rsidRDefault="00D53D58">
      <w:pPr>
        <w:pStyle w:val="TOC2"/>
        <w:rPr>
          <w:rFonts w:asciiTheme="minorHAnsi" w:eastAsiaTheme="minorEastAsia" w:hAnsiTheme="minorHAnsi" w:cstheme="minorBidi"/>
          <w:noProof/>
          <w:szCs w:val="22"/>
          <w:lang w:eastAsia="en-NZ"/>
        </w:rPr>
      </w:pPr>
      <w:hyperlink w:anchor="_Toc117264981" w:history="1">
        <w:r w:rsidRPr="00CC71BC">
          <w:rPr>
            <w:rStyle w:val="Hyperlink"/>
            <w:rFonts w:eastAsia="Arial Unicode MS"/>
            <w:noProof/>
          </w:rPr>
          <w:t>Appendix 1: Statement of strategic intentions (2021-2025) – Outcome measure results</w:t>
        </w:r>
        <w:r>
          <w:rPr>
            <w:noProof/>
            <w:webHidden/>
          </w:rPr>
          <w:tab/>
        </w:r>
        <w:r>
          <w:rPr>
            <w:noProof/>
            <w:webHidden/>
          </w:rPr>
          <w:fldChar w:fldCharType="begin"/>
        </w:r>
        <w:r>
          <w:rPr>
            <w:noProof/>
            <w:webHidden/>
          </w:rPr>
          <w:instrText xml:space="preserve"> PAGEREF _Toc117264981 \h </w:instrText>
        </w:r>
        <w:r>
          <w:rPr>
            <w:noProof/>
            <w:webHidden/>
          </w:rPr>
        </w:r>
        <w:r>
          <w:rPr>
            <w:noProof/>
            <w:webHidden/>
          </w:rPr>
          <w:fldChar w:fldCharType="separate"/>
        </w:r>
        <w:r>
          <w:rPr>
            <w:noProof/>
            <w:webHidden/>
          </w:rPr>
          <w:t>153</w:t>
        </w:r>
        <w:r>
          <w:rPr>
            <w:noProof/>
            <w:webHidden/>
          </w:rPr>
          <w:fldChar w:fldCharType="end"/>
        </w:r>
      </w:hyperlink>
    </w:p>
    <w:p w14:paraId="56F397D4" w14:textId="559D0971" w:rsidR="00D53D58" w:rsidRDefault="00D53D58">
      <w:pPr>
        <w:pStyle w:val="TOC2"/>
        <w:rPr>
          <w:rFonts w:asciiTheme="minorHAnsi" w:eastAsiaTheme="minorEastAsia" w:hAnsiTheme="minorHAnsi" w:cstheme="minorBidi"/>
          <w:noProof/>
          <w:szCs w:val="22"/>
          <w:lang w:eastAsia="en-NZ"/>
        </w:rPr>
      </w:pPr>
      <w:hyperlink w:anchor="_Toc117264982" w:history="1">
        <w:r w:rsidRPr="00CC71BC">
          <w:rPr>
            <w:rStyle w:val="Hyperlink"/>
            <w:rFonts w:eastAsia="Arial Unicode MS"/>
            <w:noProof/>
          </w:rPr>
          <w:t>Appendix 2: Health system indicator framework – High-level indicators</w:t>
        </w:r>
        <w:r>
          <w:rPr>
            <w:noProof/>
            <w:webHidden/>
          </w:rPr>
          <w:tab/>
        </w:r>
        <w:r>
          <w:rPr>
            <w:noProof/>
            <w:webHidden/>
          </w:rPr>
          <w:fldChar w:fldCharType="begin"/>
        </w:r>
        <w:r>
          <w:rPr>
            <w:noProof/>
            <w:webHidden/>
          </w:rPr>
          <w:instrText xml:space="preserve"> PAGEREF _Toc117264982 \h </w:instrText>
        </w:r>
        <w:r>
          <w:rPr>
            <w:noProof/>
            <w:webHidden/>
          </w:rPr>
        </w:r>
        <w:r>
          <w:rPr>
            <w:noProof/>
            <w:webHidden/>
          </w:rPr>
          <w:fldChar w:fldCharType="separate"/>
        </w:r>
        <w:r>
          <w:rPr>
            <w:noProof/>
            <w:webHidden/>
          </w:rPr>
          <w:t>157</w:t>
        </w:r>
        <w:r>
          <w:rPr>
            <w:noProof/>
            <w:webHidden/>
          </w:rPr>
          <w:fldChar w:fldCharType="end"/>
        </w:r>
      </w:hyperlink>
    </w:p>
    <w:p w14:paraId="5A1473A2" w14:textId="769C15A0" w:rsidR="00D53D58" w:rsidRDefault="00D53D58">
      <w:pPr>
        <w:pStyle w:val="TOC2"/>
        <w:rPr>
          <w:rFonts w:asciiTheme="minorHAnsi" w:eastAsiaTheme="minorEastAsia" w:hAnsiTheme="minorHAnsi" w:cstheme="minorBidi"/>
          <w:noProof/>
          <w:szCs w:val="22"/>
          <w:lang w:eastAsia="en-NZ"/>
        </w:rPr>
      </w:pPr>
      <w:hyperlink w:anchor="_Toc117264983" w:history="1">
        <w:r w:rsidRPr="00CC71BC">
          <w:rPr>
            <w:rStyle w:val="Hyperlink"/>
            <w:noProof/>
          </w:rPr>
          <w:t>Appendix 3: Delegation of functions or powers</w:t>
        </w:r>
        <w:r>
          <w:rPr>
            <w:noProof/>
            <w:webHidden/>
          </w:rPr>
          <w:tab/>
        </w:r>
        <w:r>
          <w:rPr>
            <w:noProof/>
            <w:webHidden/>
          </w:rPr>
          <w:fldChar w:fldCharType="begin"/>
        </w:r>
        <w:r>
          <w:rPr>
            <w:noProof/>
            <w:webHidden/>
          </w:rPr>
          <w:instrText xml:space="preserve"> PAGEREF _Toc117264983 \h </w:instrText>
        </w:r>
        <w:r>
          <w:rPr>
            <w:noProof/>
            <w:webHidden/>
          </w:rPr>
        </w:r>
        <w:r>
          <w:rPr>
            <w:noProof/>
            <w:webHidden/>
          </w:rPr>
          <w:fldChar w:fldCharType="separate"/>
        </w:r>
        <w:r>
          <w:rPr>
            <w:noProof/>
            <w:webHidden/>
          </w:rPr>
          <w:t>165</w:t>
        </w:r>
        <w:r>
          <w:rPr>
            <w:noProof/>
            <w:webHidden/>
          </w:rPr>
          <w:fldChar w:fldCharType="end"/>
        </w:r>
      </w:hyperlink>
    </w:p>
    <w:p w14:paraId="5DA502F7" w14:textId="6A79D3C7" w:rsidR="00D53D58" w:rsidRDefault="00D53D58">
      <w:pPr>
        <w:pStyle w:val="TOC2"/>
        <w:rPr>
          <w:rFonts w:asciiTheme="minorHAnsi" w:eastAsiaTheme="minorEastAsia" w:hAnsiTheme="minorHAnsi" w:cstheme="minorBidi"/>
          <w:noProof/>
          <w:szCs w:val="22"/>
          <w:lang w:eastAsia="en-NZ"/>
        </w:rPr>
      </w:pPr>
      <w:hyperlink w:anchor="_Toc117264984" w:history="1">
        <w:r w:rsidRPr="00CC71BC">
          <w:rPr>
            <w:rStyle w:val="Hyperlink"/>
            <w:noProof/>
          </w:rPr>
          <w:t>Appendix 4: Legal and regulatory framework</w:t>
        </w:r>
        <w:r>
          <w:rPr>
            <w:noProof/>
            <w:webHidden/>
          </w:rPr>
          <w:tab/>
        </w:r>
        <w:r>
          <w:rPr>
            <w:noProof/>
            <w:webHidden/>
          </w:rPr>
          <w:fldChar w:fldCharType="begin"/>
        </w:r>
        <w:r>
          <w:rPr>
            <w:noProof/>
            <w:webHidden/>
          </w:rPr>
          <w:instrText xml:space="preserve"> PAGEREF _Toc117264984 \h </w:instrText>
        </w:r>
        <w:r>
          <w:rPr>
            <w:noProof/>
            <w:webHidden/>
          </w:rPr>
        </w:r>
        <w:r>
          <w:rPr>
            <w:noProof/>
            <w:webHidden/>
          </w:rPr>
          <w:fldChar w:fldCharType="separate"/>
        </w:r>
        <w:r>
          <w:rPr>
            <w:noProof/>
            <w:webHidden/>
          </w:rPr>
          <w:t>166</w:t>
        </w:r>
        <w:r>
          <w:rPr>
            <w:noProof/>
            <w:webHidden/>
          </w:rPr>
          <w:fldChar w:fldCharType="end"/>
        </w:r>
      </w:hyperlink>
    </w:p>
    <w:p w14:paraId="1E6F93E6" w14:textId="5B8049E0" w:rsidR="00D53D58" w:rsidRDefault="00D53D58">
      <w:pPr>
        <w:pStyle w:val="TOC2"/>
        <w:rPr>
          <w:rFonts w:asciiTheme="minorHAnsi" w:eastAsiaTheme="minorEastAsia" w:hAnsiTheme="minorHAnsi" w:cstheme="minorBidi"/>
          <w:noProof/>
          <w:szCs w:val="22"/>
          <w:lang w:eastAsia="en-NZ"/>
        </w:rPr>
      </w:pPr>
      <w:hyperlink w:anchor="_Toc117264985" w:history="1">
        <w:r w:rsidRPr="00CC71BC">
          <w:rPr>
            <w:rStyle w:val="Hyperlink"/>
            <w:noProof/>
          </w:rPr>
          <w:t>Appendix 5: Asset performance indicators</w:t>
        </w:r>
        <w:r>
          <w:rPr>
            <w:noProof/>
            <w:webHidden/>
          </w:rPr>
          <w:tab/>
        </w:r>
        <w:r>
          <w:rPr>
            <w:noProof/>
            <w:webHidden/>
          </w:rPr>
          <w:fldChar w:fldCharType="begin"/>
        </w:r>
        <w:r>
          <w:rPr>
            <w:noProof/>
            <w:webHidden/>
          </w:rPr>
          <w:instrText xml:space="preserve"> PAGEREF _Toc117264985 \h </w:instrText>
        </w:r>
        <w:r>
          <w:rPr>
            <w:noProof/>
            <w:webHidden/>
          </w:rPr>
        </w:r>
        <w:r>
          <w:rPr>
            <w:noProof/>
            <w:webHidden/>
          </w:rPr>
          <w:fldChar w:fldCharType="separate"/>
        </w:r>
        <w:r>
          <w:rPr>
            <w:noProof/>
            <w:webHidden/>
          </w:rPr>
          <w:t>170</w:t>
        </w:r>
        <w:r>
          <w:rPr>
            <w:noProof/>
            <w:webHidden/>
          </w:rPr>
          <w:fldChar w:fldCharType="end"/>
        </w:r>
      </w:hyperlink>
    </w:p>
    <w:p w14:paraId="3989B40C" w14:textId="26EAE1DA" w:rsidR="00D53D58" w:rsidRDefault="00D53D58">
      <w:pPr>
        <w:pStyle w:val="TOC2"/>
        <w:rPr>
          <w:rFonts w:asciiTheme="minorHAnsi" w:eastAsiaTheme="minorEastAsia" w:hAnsiTheme="minorHAnsi" w:cstheme="minorBidi"/>
          <w:noProof/>
          <w:szCs w:val="22"/>
          <w:lang w:eastAsia="en-NZ"/>
        </w:rPr>
      </w:pPr>
      <w:hyperlink w:anchor="_Toc117264986" w:history="1">
        <w:r w:rsidRPr="00CC71BC">
          <w:rPr>
            <w:rStyle w:val="Hyperlink"/>
            <w:noProof/>
          </w:rPr>
          <w:t>Appendix 6: Committees</w:t>
        </w:r>
        <w:r>
          <w:rPr>
            <w:noProof/>
            <w:webHidden/>
          </w:rPr>
          <w:tab/>
        </w:r>
        <w:r>
          <w:rPr>
            <w:noProof/>
            <w:webHidden/>
          </w:rPr>
          <w:fldChar w:fldCharType="begin"/>
        </w:r>
        <w:r>
          <w:rPr>
            <w:noProof/>
            <w:webHidden/>
          </w:rPr>
          <w:instrText xml:space="preserve"> PAGEREF _Toc117264986 \h </w:instrText>
        </w:r>
        <w:r>
          <w:rPr>
            <w:noProof/>
            <w:webHidden/>
          </w:rPr>
        </w:r>
        <w:r>
          <w:rPr>
            <w:noProof/>
            <w:webHidden/>
          </w:rPr>
          <w:fldChar w:fldCharType="separate"/>
        </w:r>
        <w:r>
          <w:rPr>
            <w:noProof/>
            <w:webHidden/>
          </w:rPr>
          <w:t>172</w:t>
        </w:r>
        <w:r>
          <w:rPr>
            <w:noProof/>
            <w:webHidden/>
          </w:rPr>
          <w:fldChar w:fldCharType="end"/>
        </w:r>
      </w:hyperlink>
    </w:p>
    <w:p w14:paraId="72CD13DD" w14:textId="7AEF818B" w:rsidR="00D53D58" w:rsidRDefault="00D53D58">
      <w:pPr>
        <w:pStyle w:val="TOC2"/>
        <w:rPr>
          <w:rFonts w:asciiTheme="minorHAnsi" w:eastAsiaTheme="minorEastAsia" w:hAnsiTheme="minorHAnsi" w:cstheme="minorBidi"/>
          <w:noProof/>
          <w:szCs w:val="22"/>
          <w:lang w:eastAsia="en-NZ"/>
        </w:rPr>
      </w:pPr>
      <w:hyperlink w:anchor="_Toc117264987" w:history="1">
        <w:r w:rsidRPr="00CC71BC">
          <w:rPr>
            <w:rStyle w:val="Hyperlink"/>
            <w:noProof/>
          </w:rPr>
          <w:t>Appendix 7: Substance Addiction (Compulsory Assessment and Treatment) Act 2017</w:t>
        </w:r>
        <w:r>
          <w:rPr>
            <w:noProof/>
            <w:webHidden/>
          </w:rPr>
          <w:tab/>
        </w:r>
        <w:r>
          <w:rPr>
            <w:noProof/>
            <w:webHidden/>
          </w:rPr>
          <w:fldChar w:fldCharType="begin"/>
        </w:r>
        <w:r>
          <w:rPr>
            <w:noProof/>
            <w:webHidden/>
          </w:rPr>
          <w:instrText xml:space="preserve"> PAGEREF _Toc117264987 \h </w:instrText>
        </w:r>
        <w:r>
          <w:rPr>
            <w:noProof/>
            <w:webHidden/>
          </w:rPr>
        </w:r>
        <w:r>
          <w:rPr>
            <w:noProof/>
            <w:webHidden/>
          </w:rPr>
          <w:fldChar w:fldCharType="separate"/>
        </w:r>
        <w:r>
          <w:rPr>
            <w:noProof/>
            <w:webHidden/>
          </w:rPr>
          <w:t>177</w:t>
        </w:r>
        <w:r>
          <w:rPr>
            <w:noProof/>
            <w:webHidden/>
          </w:rPr>
          <w:fldChar w:fldCharType="end"/>
        </w:r>
      </w:hyperlink>
    </w:p>
    <w:p w14:paraId="407FE784" w14:textId="19525F1B" w:rsidR="00D53D58" w:rsidRDefault="00D53D58">
      <w:pPr>
        <w:pStyle w:val="TOC2"/>
        <w:rPr>
          <w:rFonts w:asciiTheme="minorHAnsi" w:eastAsiaTheme="minorEastAsia" w:hAnsiTheme="minorHAnsi" w:cstheme="minorBidi"/>
          <w:noProof/>
          <w:szCs w:val="22"/>
          <w:lang w:eastAsia="en-NZ"/>
        </w:rPr>
      </w:pPr>
      <w:hyperlink w:anchor="_Toc117264988" w:history="1">
        <w:r w:rsidRPr="00CC71BC">
          <w:rPr>
            <w:rStyle w:val="Hyperlink"/>
            <w:noProof/>
          </w:rPr>
          <w:t>Appendix 8: Carbon Neutral Government Plan – Greenhouse gas emissions 2021/22</w:t>
        </w:r>
        <w:r>
          <w:rPr>
            <w:noProof/>
            <w:webHidden/>
          </w:rPr>
          <w:tab/>
        </w:r>
        <w:r>
          <w:rPr>
            <w:noProof/>
            <w:webHidden/>
          </w:rPr>
          <w:fldChar w:fldCharType="begin"/>
        </w:r>
        <w:r>
          <w:rPr>
            <w:noProof/>
            <w:webHidden/>
          </w:rPr>
          <w:instrText xml:space="preserve"> PAGEREF _Toc117264988 \h </w:instrText>
        </w:r>
        <w:r>
          <w:rPr>
            <w:noProof/>
            <w:webHidden/>
          </w:rPr>
        </w:r>
        <w:r>
          <w:rPr>
            <w:noProof/>
            <w:webHidden/>
          </w:rPr>
          <w:fldChar w:fldCharType="separate"/>
        </w:r>
        <w:r>
          <w:rPr>
            <w:noProof/>
            <w:webHidden/>
          </w:rPr>
          <w:t>179</w:t>
        </w:r>
        <w:r>
          <w:rPr>
            <w:noProof/>
            <w:webHidden/>
          </w:rPr>
          <w:fldChar w:fldCharType="end"/>
        </w:r>
      </w:hyperlink>
    </w:p>
    <w:p w14:paraId="05E191E4" w14:textId="0A451890" w:rsidR="00D53D58" w:rsidRDefault="00D53D58">
      <w:pPr>
        <w:pStyle w:val="TOC1"/>
        <w:rPr>
          <w:rFonts w:asciiTheme="minorHAnsi" w:eastAsiaTheme="minorEastAsia" w:hAnsiTheme="minorHAnsi" w:cstheme="minorBidi"/>
          <w:noProof/>
          <w:sz w:val="22"/>
          <w:szCs w:val="22"/>
          <w:lang w:eastAsia="en-NZ"/>
        </w:rPr>
      </w:pPr>
      <w:hyperlink w:anchor="_Toc117264989" w:history="1">
        <w:r w:rsidRPr="00CC71BC">
          <w:rPr>
            <w:rStyle w:val="Hyperlink"/>
            <w:noProof/>
            <w:lang w:eastAsia="en-US"/>
          </w:rPr>
          <w:t xml:space="preserve">Te Aho o Te Kahu | </w:t>
        </w:r>
        <w:r w:rsidRPr="00CC71BC">
          <w:rPr>
            <w:rStyle w:val="Hyperlink"/>
            <w:bCs/>
            <w:noProof/>
            <w:lang w:eastAsia="en-US"/>
          </w:rPr>
          <w:t>Cancer Control Agency Annual Report 2021/22</w:t>
        </w:r>
        <w:r>
          <w:rPr>
            <w:noProof/>
            <w:webHidden/>
          </w:rPr>
          <w:tab/>
        </w:r>
        <w:r>
          <w:rPr>
            <w:noProof/>
            <w:webHidden/>
          </w:rPr>
          <w:fldChar w:fldCharType="begin"/>
        </w:r>
        <w:r>
          <w:rPr>
            <w:noProof/>
            <w:webHidden/>
          </w:rPr>
          <w:instrText xml:space="preserve"> PAGEREF _Toc117264989 \h </w:instrText>
        </w:r>
        <w:r>
          <w:rPr>
            <w:noProof/>
            <w:webHidden/>
          </w:rPr>
        </w:r>
        <w:r>
          <w:rPr>
            <w:noProof/>
            <w:webHidden/>
          </w:rPr>
          <w:fldChar w:fldCharType="separate"/>
        </w:r>
        <w:r>
          <w:rPr>
            <w:noProof/>
            <w:webHidden/>
          </w:rPr>
          <w:t>181</w:t>
        </w:r>
        <w:r>
          <w:rPr>
            <w:noProof/>
            <w:webHidden/>
          </w:rPr>
          <w:fldChar w:fldCharType="end"/>
        </w:r>
      </w:hyperlink>
    </w:p>
    <w:p w14:paraId="39A690A0" w14:textId="0A8DC617" w:rsidR="00D53D58" w:rsidRDefault="00D53D58">
      <w:pPr>
        <w:pStyle w:val="TOC2"/>
        <w:rPr>
          <w:rFonts w:asciiTheme="minorHAnsi" w:eastAsiaTheme="minorEastAsia" w:hAnsiTheme="minorHAnsi" w:cstheme="minorBidi"/>
          <w:noProof/>
          <w:szCs w:val="22"/>
          <w:lang w:eastAsia="en-NZ"/>
        </w:rPr>
      </w:pPr>
      <w:hyperlink w:anchor="_Toc117264990" w:history="1">
        <w:r w:rsidRPr="00CC71BC">
          <w:rPr>
            <w:rStyle w:val="Hyperlink"/>
            <w:noProof/>
            <w:lang w:eastAsia="en-US"/>
          </w:rPr>
          <w:t xml:space="preserve">He mihi | </w:t>
        </w:r>
        <w:r w:rsidRPr="00CC71BC">
          <w:rPr>
            <w:rStyle w:val="Hyperlink"/>
            <w:bCs/>
            <w:noProof/>
            <w:lang w:eastAsia="en-US"/>
          </w:rPr>
          <w:t>Chief Executive foreword</w:t>
        </w:r>
        <w:r>
          <w:rPr>
            <w:noProof/>
            <w:webHidden/>
          </w:rPr>
          <w:tab/>
        </w:r>
        <w:r>
          <w:rPr>
            <w:noProof/>
            <w:webHidden/>
          </w:rPr>
          <w:fldChar w:fldCharType="begin"/>
        </w:r>
        <w:r>
          <w:rPr>
            <w:noProof/>
            <w:webHidden/>
          </w:rPr>
          <w:instrText xml:space="preserve"> PAGEREF _Toc117264990 \h </w:instrText>
        </w:r>
        <w:r>
          <w:rPr>
            <w:noProof/>
            <w:webHidden/>
          </w:rPr>
        </w:r>
        <w:r>
          <w:rPr>
            <w:noProof/>
            <w:webHidden/>
          </w:rPr>
          <w:fldChar w:fldCharType="separate"/>
        </w:r>
        <w:r>
          <w:rPr>
            <w:noProof/>
            <w:webHidden/>
          </w:rPr>
          <w:t>182</w:t>
        </w:r>
        <w:r>
          <w:rPr>
            <w:noProof/>
            <w:webHidden/>
          </w:rPr>
          <w:fldChar w:fldCharType="end"/>
        </w:r>
      </w:hyperlink>
    </w:p>
    <w:p w14:paraId="460717D3" w14:textId="397DC61A" w:rsidR="00D53D58" w:rsidRDefault="00D53D58">
      <w:pPr>
        <w:pStyle w:val="TOC2"/>
        <w:rPr>
          <w:rFonts w:asciiTheme="minorHAnsi" w:eastAsiaTheme="minorEastAsia" w:hAnsiTheme="minorHAnsi" w:cstheme="minorBidi"/>
          <w:noProof/>
          <w:szCs w:val="22"/>
          <w:lang w:eastAsia="en-NZ"/>
        </w:rPr>
      </w:pPr>
      <w:hyperlink w:anchor="_Toc117264991" w:history="1">
        <w:r w:rsidRPr="00CC71BC">
          <w:rPr>
            <w:rStyle w:val="Hyperlink"/>
            <w:noProof/>
            <w:lang w:eastAsia="en-US"/>
          </w:rPr>
          <w:t>Anei mātou | Who we are</w:t>
        </w:r>
        <w:r>
          <w:rPr>
            <w:noProof/>
            <w:webHidden/>
          </w:rPr>
          <w:tab/>
        </w:r>
        <w:r>
          <w:rPr>
            <w:noProof/>
            <w:webHidden/>
          </w:rPr>
          <w:fldChar w:fldCharType="begin"/>
        </w:r>
        <w:r>
          <w:rPr>
            <w:noProof/>
            <w:webHidden/>
          </w:rPr>
          <w:instrText xml:space="preserve"> PAGEREF _Toc117264991 \h </w:instrText>
        </w:r>
        <w:r>
          <w:rPr>
            <w:noProof/>
            <w:webHidden/>
          </w:rPr>
        </w:r>
        <w:r>
          <w:rPr>
            <w:noProof/>
            <w:webHidden/>
          </w:rPr>
          <w:fldChar w:fldCharType="separate"/>
        </w:r>
        <w:r>
          <w:rPr>
            <w:noProof/>
            <w:webHidden/>
          </w:rPr>
          <w:t>184</w:t>
        </w:r>
        <w:r>
          <w:rPr>
            <w:noProof/>
            <w:webHidden/>
          </w:rPr>
          <w:fldChar w:fldCharType="end"/>
        </w:r>
      </w:hyperlink>
    </w:p>
    <w:p w14:paraId="1929E15B" w14:textId="5307A3EE" w:rsidR="00D53D58" w:rsidRDefault="00D53D58">
      <w:pPr>
        <w:pStyle w:val="TOC2"/>
        <w:rPr>
          <w:rFonts w:asciiTheme="minorHAnsi" w:eastAsiaTheme="minorEastAsia" w:hAnsiTheme="minorHAnsi" w:cstheme="minorBidi"/>
          <w:noProof/>
          <w:szCs w:val="22"/>
          <w:lang w:eastAsia="en-NZ"/>
        </w:rPr>
      </w:pPr>
      <w:hyperlink w:anchor="_Toc117264992" w:history="1">
        <w:r w:rsidRPr="00CC71BC">
          <w:rPr>
            <w:rStyle w:val="Hyperlink"/>
            <w:noProof/>
            <w:lang w:eastAsia="en-US"/>
          </w:rPr>
          <w:t xml:space="preserve">Ō mātou takune | </w:t>
        </w:r>
        <w:r w:rsidRPr="00CC71BC">
          <w:rPr>
            <w:rStyle w:val="Hyperlink"/>
            <w:bCs/>
            <w:noProof/>
            <w:lang w:eastAsia="en-US"/>
          </w:rPr>
          <w:t>Our intentions for 2021/22</w:t>
        </w:r>
        <w:r>
          <w:rPr>
            <w:noProof/>
            <w:webHidden/>
          </w:rPr>
          <w:tab/>
        </w:r>
        <w:r>
          <w:rPr>
            <w:noProof/>
            <w:webHidden/>
          </w:rPr>
          <w:fldChar w:fldCharType="begin"/>
        </w:r>
        <w:r>
          <w:rPr>
            <w:noProof/>
            <w:webHidden/>
          </w:rPr>
          <w:instrText xml:space="preserve"> PAGEREF _Toc117264992 \h </w:instrText>
        </w:r>
        <w:r>
          <w:rPr>
            <w:noProof/>
            <w:webHidden/>
          </w:rPr>
        </w:r>
        <w:r>
          <w:rPr>
            <w:noProof/>
            <w:webHidden/>
          </w:rPr>
          <w:fldChar w:fldCharType="separate"/>
        </w:r>
        <w:r>
          <w:rPr>
            <w:noProof/>
            <w:webHidden/>
          </w:rPr>
          <w:t>190</w:t>
        </w:r>
        <w:r>
          <w:rPr>
            <w:noProof/>
            <w:webHidden/>
          </w:rPr>
          <w:fldChar w:fldCharType="end"/>
        </w:r>
      </w:hyperlink>
    </w:p>
    <w:p w14:paraId="76B72284" w14:textId="664F64E9" w:rsidR="00D53D58" w:rsidRDefault="00D53D58">
      <w:pPr>
        <w:pStyle w:val="TOC2"/>
        <w:rPr>
          <w:rFonts w:asciiTheme="minorHAnsi" w:eastAsiaTheme="minorEastAsia" w:hAnsiTheme="minorHAnsi" w:cstheme="minorBidi"/>
          <w:noProof/>
          <w:szCs w:val="22"/>
          <w:lang w:eastAsia="en-NZ"/>
        </w:rPr>
      </w:pPr>
      <w:hyperlink w:anchor="_Toc117264993" w:history="1">
        <w:r w:rsidRPr="00CC71BC">
          <w:rPr>
            <w:rStyle w:val="Hyperlink"/>
            <w:noProof/>
          </w:rPr>
          <w:t xml:space="preserve">Ā mātou whakatutukitanga | </w:t>
        </w:r>
        <w:r w:rsidRPr="00CC71BC">
          <w:rPr>
            <w:rStyle w:val="Hyperlink"/>
            <w:bCs/>
            <w:noProof/>
          </w:rPr>
          <w:t>What we have achieved</w:t>
        </w:r>
        <w:r>
          <w:rPr>
            <w:noProof/>
            <w:webHidden/>
          </w:rPr>
          <w:tab/>
        </w:r>
        <w:r>
          <w:rPr>
            <w:noProof/>
            <w:webHidden/>
          </w:rPr>
          <w:fldChar w:fldCharType="begin"/>
        </w:r>
        <w:r>
          <w:rPr>
            <w:noProof/>
            <w:webHidden/>
          </w:rPr>
          <w:instrText xml:space="preserve"> PAGEREF _Toc117264993 \h </w:instrText>
        </w:r>
        <w:r>
          <w:rPr>
            <w:noProof/>
            <w:webHidden/>
          </w:rPr>
        </w:r>
        <w:r>
          <w:rPr>
            <w:noProof/>
            <w:webHidden/>
          </w:rPr>
          <w:fldChar w:fldCharType="separate"/>
        </w:r>
        <w:r>
          <w:rPr>
            <w:noProof/>
            <w:webHidden/>
          </w:rPr>
          <w:t>193</w:t>
        </w:r>
        <w:r>
          <w:rPr>
            <w:noProof/>
            <w:webHidden/>
          </w:rPr>
          <w:fldChar w:fldCharType="end"/>
        </w:r>
      </w:hyperlink>
    </w:p>
    <w:p w14:paraId="6AB42693" w14:textId="6A105095" w:rsidR="00D53D58" w:rsidRDefault="00D53D58">
      <w:pPr>
        <w:pStyle w:val="TOC2"/>
        <w:rPr>
          <w:rFonts w:asciiTheme="minorHAnsi" w:eastAsiaTheme="minorEastAsia" w:hAnsiTheme="minorHAnsi" w:cstheme="minorBidi"/>
          <w:noProof/>
          <w:szCs w:val="22"/>
          <w:lang w:eastAsia="en-NZ"/>
        </w:rPr>
      </w:pPr>
      <w:hyperlink w:anchor="_Toc117264994" w:history="1">
        <w:r w:rsidRPr="00CC71BC">
          <w:rPr>
            <w:rStyle w:val="Hyperlink"/>
            <w:noProof/>
            <w:lang w:eastAsia="en-US"/>
          </w:rPr>
          <w:t xml:space="preserve">Tauākī Haepapa | </w:t>
        </w:r>
        <w:r w:rsidRPr="00CC71BC">
          <w:rPr>
            <w:rStyle w:val="Hyperlink"/>
            <w:bCs/>
            <w:noProof/>
            <w:lang w:eastAsia="en-US"/>
          </w:rPr>
          <w:t>Statement of responsibility</w:t>
        </w:r>
        <w:r>
          <w:rPr>
            <w:noProof/>
            <w:webHidden/>
          </w:rPr>
          <w:tab/>
        </w:r>
        <w:r>
          <w:rPr>
            <w:noProof/>
            <w:webHidden/>
          </w:rPr>
          <w:fldChar w:fldCharType="begin"/>
        </w:r>
        <w:r>
          <w:rPr>
            <w:noProof/>
            <w:webHidden/>
          </w:rPr>
          <w:instrText xml:space="preserve"> PAGEREF _Toc117264994 \h </w:instrText>
        </w:r>
        <w:r>
          <w:rPr>
            <w:noProof/>
            <w:webHidden/>
          </w:rPr>
        </w:r>
        <w:r>
          <w:rPr>
            <w:noProof/>
            <w:webHidden/>
          </w:rPr>
          <w:fldChar w:fldCharType="separate"/>
        </w:r>
        <w:r>
          <w:rPr>
            <w:noProof/>
            <w:webHidden/>
          </w:rPr>
          <w:t>216</w:t>
        </w:r>
        <w:r>
          <w:rPr>
            <w:noProof/>
            <w:webHidden/>
          </w:rPr>
          <w:fldChar w:fldCharType="end"/>
        </w:r>
      </w:hyperlink>
    </w:p>
    <w:p w14:paraId="1C38C2BA" w14:textId="1CAF76D1" w:rsidR="00D53D58" w:rsidRDefault="00D53D58">
      <w:pPr>
        <w:pStyle w:val="TOC1"/>
        <w:rPr>
          <w:rFonts w:asciiTheme="minorHAnsi" w:eastAsiaTheme="minorEastAsia" w:hAnsiTheme="minorHAnsi" w:cstheme="minorBidi"/>
          <w:noProof/>
          <w:sz w:val="22"/>
          <w:szCs w:val="22"/>
          <w:lang w:eastAsia="en-NZ"/>
        </w:rPr>
      </w:pPr>
      <w:hyperlink w:anchor="_Toc117264995" w:history="1">
        <w:r w:rsidRPr="00CC71BC">
          <w:rPr>
            <w:rStyle w:val="Hyperlink"/>
            <w:noProof/>
            <w:lang w:eastAsia="en-US"/>
          </w:rPr>
          <w:t>Interim Health New Zealand Annual Report 2021/2022</w:t>
        </w:r>
        <w:r>
          <w:rPr>
            <w:noProof/>
            <w:webHidden/>
          </w:rPr>
          <w:tab/>
        </w:r>
        <w:r>
          <w:rPr>
            <w:noProof/>
            <w:webHidden/>
          </w:rPr>
          <w:fldChar w:fldCharType="begin"/>
        </w:r>
        <w:r>
          <w:rPr>
            <w:noProof/>
            <w:webHidden/>
          </w:rPr>
          <w:instrText xml:space="preserve"> PAGEREF _Toc117264995 \h </w:instrText>
        </w:r>
        <w:r>
          <w:rPr>
            <w:noProof/>
            <w:webHidden/>
          </w:rPr>
        </w:r>
        <w:r>
          <w:rPr>
            <w:noProof/>
            <w:webHidden/>
          </w:rPr>
          <w:fldChar w:fldCharType="separate"/>
        </w:r>
        <w:r>
          <w:rPr>
            <w:noProof/>
            <w:webHidden/>
          </w:rPr>
          <w:t>217</w:t>
        </w:r>
        <w:r>
          <w:rPr>
            <w:noProof/>
            <w:webHidden/>
          </w:rPr>
          <w:fldChar w:fldCharType="end"/>
        </w:r>
      </w:hyperlink>
    </w:p>
    <w:p w14:paraId="48930D92" w14:textId="6270F121" w:rsidR="00D53D58" w:rsidRDefault="00D53D58">
      <w:pPr>
        <w:pStyle w:val="TOC2"/>
        <w:rPr>
          <w:rFonts w:asciiTheme="minorHAnsi" w:eastAsiaTheme="minorEastAsia" w:hAnsiTheme="minorHAnsi" w:cstheme="minorBidi"/>
          <w:noProof/>
          <w:szCs w:val="22"/>
          <w:lang w:eastAsia="en-NZ"/>
        </w:rPr>
      </w:pPr>
      <w:hyperlink w:anchor="_Toc117264996" w:history="1">
        <w:r w:rsidRPr="00CC71BC">
          <w:rPr>
            <w:rStyle w:val="Hyperlink"/>
            <w:noProof/>
            <w:lang w:eastAsia="en-US"/>
          </w:rPr>
          <w:t>Introduction from the Chief Executive</w:t>
        </w:r>
        <w:r>
          <w:rPr>
            <w:noProof/>
            <w:webHidden/>
          </w:rPr>
          <w:tab/>
        </w:r>
        <w:r>
          <w:rPr>
            <w:noProof/>
            <w:webHidden/>
          </w:rPr>
          <w:fldChar w:fldCharType="begin"/>
        </w:r>
        <w:r>
          <w:rPr>
            <w:noProof/>
            <w:webHidden/>
          </w:rPr>
          <w:instrText xml:space="preserve"> PAGEREF _Toc117264996 \h </w:instrText>
        </w:r>
        <w:r>
          <w:rPr>
            <w:noProof/>
            <w:webHidden/>
          </w:rPr>
        </w:r>
        <w:r>
          <w:rPr>
            <w:noProof/>
            <w:webHidden/>
          </w:rPr>
          <w:fldChar w:fldCharType="separate"/>
        </w:r>
        <w:r>
          <w:rPr>
            <w:noProof/>
            <w:webHidden/>
          </w:rPr>
          <w:t>218</w:t>
        </w:r>
        <w:r>
          <w:rPr>
            <w:noProof/>
            <w:webHidden/>
          </w:rPr>
          <w:fldChar w:fldCharType="end"/>
        </w:r>
      </w:hyperlink>
    </w:p>
    <w:p w14:paraId="4C7C7620" w14:textId="43D31050" w:rsidR="00D53D58" w:rsidRDefault="00D53D58">
      <w:pPr>
        <w:pStyle w:val="TOC2"/>
        <w:rPr>
          <w:rFonts w:asciiTheme="minorHAnsi" w:eastAsiaTheme="minorEastAsia" w:hAnsiTheme="minorHAnsi" w:cstheme="minorBidi"/>
          <w:noProof/>
          <w:szCs w:val="22"/>
          <w:lang w:eastAsia="en-NZ"/>
        </w:rPr>
      </w:pPr>
      <w:hyperlink w:anchor="_Toc117264997" w:history="1">
        <w:r w:rsidRPr="00CC71BC">
          <w:rPr>
            <w:rStyle w:val="Hyperlink"/>
            <w:noProof/>
            <w:lang w:eastAsia="en-US"/>
          </w:rPr>
          <w:t>Who we are and our role</w:t>
        </w:r>
        <w:r>
          <w:rPr>
            <w:noProof/>
            <w:webHidden/>
          </w:rPr>
          <w:tab/>
        </w:r>
        <w:r>
          <w:rPr>
            <w:noProof/>
            <w:webHidden/>
          </w:rPr>
          <w:fldChar w:fldCharType="begin"/>
        </w:r>
        <w:r>
          <w:rPr>
            <w:noProof/>
            <w:webHidden/>
          </w:rPr>
          <w:instrText xml:space="preserve"> PAGEREF _Toc117264997 \h </w:instrText>
        </w:r>
        <w:r>
          <w:rPr>
            <w:noProof/>
            <w:webHidden/>
          </w:rPr>
        </w:r>
        <w:r>
          <w:rPr>
            <w:noProof/>
            <w:webHidden/>
          </w:rPr>
          <w:fldChar w:fldCharType="separate"/>
        </w:r>
        <w:r>
          <w:rPr>
            <w:noProof/>
            <w:webHidden/>
          </w:rPr>
          <w:t>219</w:t>
        </w:r>
        <w:r>
          <w:rPr>
            <w:noProof/>
            <w:webHidden/>
          </w:rPr>
          <w:fldChar w:fldCharType="end"/>
        </w:r>
      </w:hyperlink>
    </w:p>
    <w:p w14:paraId="5DCC8C87" w14:textId="4475EC39" w:rsidR="00D53D58" w:rsidRDefault="00D53D58">
      <w:pPr>
        <w:pStyle w:val="TOC3"/>
        <w:rPr>
          <w:rFonts w:asciiTheme="minorHAnsi" w:eastAsiaTheme="minorEastAsia" w:hAnsiTheme="minorHAnsi" w:cstheme="minorBidi"/>
          <w:noProof/>
          <w:sz w:val="22"/>
          <w:szCs w:val="22"/>
          <w:lang w:eastAsia="en-NZ"/>
        </w:rPr>
      </w:pPr>
      <w:hyperlink w:anchor="_Toc117264998" w:history="1">
        <w:r w:rsidRPr="00CC71BC">
          <w:rPr>
            <w:rStyle w:val="Hyperlink"/>
            <w:noProof/>
            <w:lang w:eastAsia="en-US"/>
          </w:rPr>
          <w:t>Vision</w:t>
        </w:r>
        <w:r>
          <w:rPr>
            <w:noProof/>
            <w:webHidden/>
          </w:rPr>
          <w:tab/>
        </w:r>
        <w:r>
          <w:rPr>
            <w:noProof/>
            <w:webHidden/>
          </w:rPr>
          <w:fldChar w:fldCharType="begin"/>
        </w:r>
        <w:r>
          <w:rPr>
            <w:noProof/>
            <w:webHidden/>
          </w:rPr>
          <w:instrText xml:space="preserve"> PAGEREF _Toc117264998 \h </w:instrText>
        </w:r>
        <w:r>
          <w:rPr>
            <w:noProof/>
            <w:webHidden/>
          </w:rPr>
        </w:r>
        <w:r>
          <w:rPr>
            <w:noProof/>
            <w:webHidden/>
          </w:rPr>
          <w:fldChar w:fldCharType="separate"/>
        </w:r>
        <w:r>
          <w:rPr>
            <w:noProof/>
            <w:webHidden/>
          </w:rPr>
          <w:t>219</w:t>
        </w:r>
        <w:r>
          <w:rPr>
            <w:noProof/>
            <w:webHidden/>
          </w:rPr>
          <w:fldChar w:fldCharType="end"/>
        </w:r>
      </w:hyperlink>
    </w:p>
    <w:p w14:paraId="0B380E42" w14:textId="41011DF5" w:rsidR="00D53D58" w:rsidRDefault="00D53D58">
      <w:pPr>
        <w:pStyle w:val="TOC3"/>
        <w:rPr>
          <w:rFonts w:asciiTheme="minorHAnsi" w:eastAsiaTheme="minorEastAsia" w:hAnsiTheme="minorHAnsi" w:cstheme="minorBidi"/>
          <w:noProof/>
          <w:sz w:val="22"/>
          <w:szCs w:val="22"/>
          <w:lang w:eastAsia="en-NZ"/>
        </w:rPr>
      </w:pPr>
      <w:hyperlink w:anchor="_Toc117264999" w:history="1">
        <w:r w:rsidRPr="00CC71BC">
          <w:rPr>
            <w:rStyle w:val="Hyperlink"/>
            <w:noProof/>
            <w:lang w:eastAsia="en-US"/>
          </w:rPr>
          <w:t>Our people</w:t>
        </w:r>
        <w:r>
          <w:rPr>
            <w:noProof/>
            <w:webHidden/>
          </w:rPr>
          <w:tab/>
        </w:r>
        <w:r>
          <w:rPr>
            <w:noProof/>
            <w:webHidden/>
          </w:rPr>
          <w:fldChar w:fldCharType="begin"/>
        </w:r>
        <w:r>
          <w:rPr>
            <w:noProof/>
            <w:webHidden/>
          </w:rPr>
          <w:instrText xml:space="preserve"> PAGEREF _Toc117264999 \h </w:instrText>
        </w:r>
        <w:r>
          <w:rPr>
            <w:noProof/>
            <w:webHidden/>
          </w:rPr>
        </w:r>
        <w:r>
          <w:rPr>
            <w:noProof/>
            <w:webHidden/>
          </w:rPr>
          <w:fldChar w:fldCharType="separate"/>
        </w:r>
        <w:r>
          <w:rPr>
            <w:noProof/>
            <w:webHidden/>
          </w:rPr>
          <w:t>220</w:t>
        </w:r>
        <w:r>
          <w:rPr>
            <w:noProof/>
            <w:webHidden/>
          </w:rPr>
          <w:fldChar w:fldCharType="end"/>
        </w:r>
      </w:hyperlink>
    </w:p>
    <w:p w14:paraId="0087AD15" w14:textId="0CAC6B7A" w:rsidR="00D53D58" w:rsidRDefault="00D53D58">
      <w:pPr>
        <w:pStyle w:val="TOC3"/>
        <w:rPr>
          <w:rFonts w:asciiTheme="minorHAnsi" w:eastAsiaTheme="minorEastAsia" w:hAnsiTheme="minorHAnsi" w:cstheme="minorBidi"/>
          <w:noProof/>
          <w:sz w:val="22"/>
          <w:szCs w:val="22"/>
          <w:lang w:eastAsia="en-NZ"/>
        </w:rPr>
      </w:pPr>
      <w:hyperlink w:anchor="_Toc117265000" w:history="1">
        <w:r w:rsidRPr="00CC71BC">
          <w:rPr>
            <w:rStyle w:val="Hyperlink"/>
            <w:noProof/>
            <w:lang w:eastAsia="en-US"/>
          </w:rPr>
          <w:t>Policies and processes</w:t>
        </w:r>
        <w:r>
          <w:rPr>
            <w:noProof/>
            <w:webHidden/>
          </w:rPr>
          <w:tab/>
        </w:r>
        <w:r>
          <w:rPr>
            <w:noProof/>
            <w:webHidden/>
          </w:rPr>
          <w:fldChar w:fldCharType="begin"/>
        </w:r>
        <w:r>
          <w:rPr>
            <w:noProof/>
            <w:webHidden/>
          </w:rPr>
          <w:instrText xml:space="preserve"> PAGEREF _Toc117265000 \h </w:instrText>
        </w:r>
        <w:r>
          <w:rPr>
            <w:noProof/>
            <w:webHidden/>
          </w:rPr>
        </w:r>
        <w:r>
          <w:rPr>
            <w:noProof/>
            <w:webHidden/>
          </w:rPr>
          <w:fldChar w:fldCharType="separate"/>
        </w:r>
        <w:r>
          <w:rPr>
            <w:noProof/>
            <w:webHidden/>
          </w:rPr>
          <w:t>220</w:t>
        </w:r>
        <w:r>
          <w:rPr>
            <w:noProof/>
            <w:webHidden/>
          </w:rPr>
          <w:fldChar w:fldCharType="end"/>
        </w:r>
      </w:hyperlink>
    </w:p>
    <w:p w14:paraId="7007AD75" w14:textId="7F365402" w:rsidR="00D53D58" w:rsidRDefault="00D53D58">
      <w:pPr>
        <w:pStyle w:val="TOC3"/>
        <w:rPr>
          <w:rFonts w:asciiTheme="minorHAnsi" w:eastAsiaTheme="minorEastAsia" w:hAnsiTheme="minorHAnsi" w:cstheme="minorBidi"/>
          <w:noProof/>
          <w:sz w:val="22"/>
          <w:szCs w:val="22"/>
          <w:lang w:eastAsia="en-NZ"/>
        </w:rPr>
      </w:pPr>
      <w:hyperlink w:anchor="_Toc117265001" w:history="1">
        <w:r w:rsidRPr="00CC71BC">
          <w:rPr>
            <w:rStyle w:val="Hyperlink"/>
            <w:noProof/>
            <w:lang w:eastAsia="en-US"/>
          </w:rPr>
          <w:t>What we have achieved</w:t>
        </w:r>
        <w:r>
          <w:rPr>
            <w:noProof/>
            <w:webHidden/>
          </w:rPr>
          <w:tab/>
        </w:r>
        <w:r>
          <w:rPr>
            <w:noProof/>
            <w:webHidden/>
          </w:rPr>
          <w:fldChar w:fldCharType="begin"/>
        </w:r>
        <w:r>
          <w:rPr>
            <w:noProof/>
            <w:webHidden/>
          </w:rPr>
          <w:instrText xml:space="preserve"> PAGEREF _Toc117265001 \h </w:instrText>
        </w:r>
        <w:r>
          <w:rPr>
            <w:noProof/>
            <w:webHidden/>
          </w:rPr>
        </w:r>
        <w:r>
          <w:rPr>
            <w:noProof/>
            <w:webHidden/>
          </w:rPr>
          <w:fldChar w:fldCharType="separate"/>
        </w:r>
        <w:r>
          <w:rPr>
            <w:noProof/>
            <w:webHidden/>
          </w:rPr>
          <w:t>220</w:t>
        </w:r>
        <w:r>
          <w:rPr>
            <w:noProof/>
            <w:webHidden/>
          </w:rPr>
          <w:fldChar w:fldCharType="end"/>
        </w:r>
      </w:hyperlink>
    </w:p>
    <w:p w14:paraId="71964F7F" w14:textId="657FADD6" w:rsidR="00D53D58" w:rsidRDefault="00D53D58">
      <w:pPr>
        <w:pStyle w:val="TOC3"/>
        <w:rPr>
          <w:rFonts w:asciiTheme="minorHAnsi" w:eastAsiaTheme="minorEastAsia" w:hAnsiTheme="minorHAnsi" w:cstheme="minorBidi"/>
          <w:noProof/>
          <w:sz w:val="22"/>
          <w:szCs w:val="22"/>
          <w:lang w:eastAsia="en-NZ"/>
        </w:rPr>
      </w:pPr>
      <w:hyperlink w:anchor="_Toc117265002" w:history="1">
        <w:r w:rsidRPr="00CC71BC">
          <w:rPr>
            <w:rStyle w:val="Hyperlink"/>
            <w:noProof/>
            <w:lang w:eastAsia="en-US"/>
          </w:rPr>
          <w:t>Accountability and oversight</w:t>
        </w:r>
        <w:r>
          <w:rPr>
            <w:noProof/>
            <w:webHidden/>
          </w:rPr>
          <w:tab/>
        </w:r>
        <w:r>
          <w:rPr>
            <w:noProof/>
            <w:webHidden/>
          </w:rPr>
          <w:fldChar w:fldCharType="begin"/>
        </w:r>
        <w:r>
          <w:rPr>
            <w:noProof/>
            <w:webHidden/>
          </w:rPr>
          <w:instrText xml:space="preserve"> PAGEREF _Toc117265002 \h </w:instrText>
        </w:r>
        <w:r>
          <w:rPr>
            <w:noProof/>
            <w:webHidden/>
          </w:rPr>
        </w:r>
        <w:r>
          <w:rPr>
            <w:noProof/>
            <w:webHidden/>
          </w:rPr>
          <w:fldChar w:fldCharType="separate"/>
        </w:r>
        <w:r>
          <w:rPr>
            <w:noProof/>
            <w:webHidden/>
          </w:rPr>
          <w:t>220</w:t>
        </w:r>
        <w:r>
          <w:rPr>
            <w:noProof/>
            <w:webHidden/>
          </w:rPr>
          <w:fldChar w:fldCharType="end"/>
        </w:r>
      </w:hyperlink>
    </w:p>
    <w:p w14:paraId="2E74B964" w14:textId="542B3ADF" w:rsidR="00D53D58" w:rsidRDefault="00D53D58">
      <w:pPr>
        <w:pStyle w:val="TOC3"/>
        <w:rPr>
          <w:rFonts w:asciiTheme="minorHAnsi" w:eastAsiaTheme="minorEastAsia" w:hAnsiTheme="minorHAnsi" w:cstheme="minorBidi"/>
          <w:noProof/>
          <w:sz w:val="22"/>
          <w:szCs w:val="22"/>
          <w:lang w:eastAsia="en-NZ"/>
        </w:rPr>
      </w:pPr>
      <w:hyperlink w:anchor="_Toc117265003" w:history="1">
        <w:r w:rsidRPr="00CC71BC">
          <w:rPr>
            <w:rStyle w:val="Hyperlink"/>
            <w:noProof/>
            <w:lang w:eastAsia="en-US"/>
          </w:rPr>
          <w:t>Strategic approach to interim Health New Zealand’s functions</w:t>
        </w:r>
        <w:r>
          <w:rPr>
            <w:noProof/>
            <w:webHidden/>
          </w:rPr>
          <w:tab/>
        </w:r>
        <w:r>
          <w:rPr>
            <w:noProof/>
            <w:webHidden/>
          </w:rPr>
          <w:fldChar w:fldCharType="begin"/>
        </w:r>
        <w:r>
          <w:rPr>
            <w:noProof/>
            <w:webHidden/>
          </w:rPr>
          <w:instrText xml:space="preserve"> PAGEREF _Toc117265003 \h </w:instrText>
        </w:r>
        <w:r>
          <w:rPr>
            <w:noProof/>
            <w:webHidden/>
          </w:rPr>
        </w:r>
        <w:r>
          <w:rPr>
            <w:noProof/>
            <w:webHidden/>
          </w:rPr>
          <w:fldChar w:fldCharType="separate"/>
        </w:r>
        <w:r>
          <w:rPr>
            <w:noProof/>
            <w:webHidden/>
          </w:rPr>
          <w:t>221</w:t>
        </w:r>
        <w:r>
          <w:rPr>
            <w:noProof/>
            <w:webHidden/>
          </w:rPr>
          <w:fldChar w:fldCharType="end"/>
        </w:r>
      </w:hyperlink>
    </w:p>
    <w:p w14:paraId="4EF90DB7" w14:textId="227E5E2C" w:rsidR="00D53D58" w:rsidRDefault="00D53D58">
      <w:pPr>
        <w:pStyle w:val="TOC3"/>
        <w:rPr>
          <w:rFonts w:asciiTheme="minorHAnsi" w:eastAsiaTheme="minorEastAsia" w:hAnsiTheme="minorHAnsi" w:cstheme="minorBidi"/>
          <w:noProof/>
          <w:sz w:val="22"/>
          <w:szCs w:val="22"/>
          <w:lang w:eastAsia="en-NZ"/>
        </w:rPr>
      </w:pPr>
      <w:hyperlink w:anchor="_Toc117265004" w:history="1">
        <w:r w:rsidRPr="00CC71BC">
          <w:rPr>
            <w:rStyle w:val="Hyperlink"/>
            <w:noProof/>
            <w:lang w:eastAsia="en-US"/>
          </w:rPr>
          <w:t>Key expectations and deliverables</w:t>
        </w:r>
        <w:r>
          <w:rPr>
            <w:noProof/>
            <w:webHidden/>
          </w:rPr>
          <w:tab/>
        </w:r>
        <w:r>
          <w:rPr>
            <w:noProof/>
            <w:webHidden/>
          </w:rPr>
          <w:fldChar w:fldCharType="begin"/>
        </w:r>
        <w:r>
          <w:rPr>
            <w:noProof/>
            <w:webHidden/>
          </w:rPr>
          <w:instrText xml:space="preserve"> PAGEREF _Toc117265004 \h </w:instrText>
        </w:r>
        <w:r>
          <w:rPr>
            <w:noProof/>
            <w:webHidden/>
          </w:rPr>
        </w:r>
        <w:r>
          <w:rPr>
            <w:noProof/>
            <w:webHidden/>
          </w:rPr>
          <w:fldChar w:fldCharType="separate"/>
        </w:r>
        <w:r>
          <w:rPr>
            <w:noProof/>
            <w:webHidden/>
          </w:rPr>
          <w:t>222</w:t>
        </w:r>
        <w:r>
          <w:rPr>
            <w:noProof/>
            <w:webHidden/>
          </w:rPr>
          <w:fldChar w:fldCharType="end"/>
        </w:r>
      </w:hyperlink>
    </w:p>
    <w:p w14:paraId="438FFDE5" w14:textId="1682C0C5" w:rsidR="00D53D58" w:rsidRDefault="00D53D58">
      <w:pPr>
        <w:pStyle w:val="TOC2"/>
        <w:rPr>
          <w:rFonts w:asciiTheme="minorHAnsi" w:eastAsiaTheme="minorEastAsia" w:hAnsiTheme="minorHAnsi" w:cstheme="minorBidi"/>
          <w:noProof/>
          <w:szCs w:val="22"/>
          <w:lang w:eastAsia="en-NZ"/>
        </w:rPr>
      </w:pPr>
      <w:hyperlink w:anchor="_Toc117265005" w:history="1">
        <w:r w:rsidRPr="00CC71BC">
          <w:rPr>
            <w:rStyle w:val="Hyperlink"/>
            <w:noProof/>
            <w:lang w:eastAsia="en-US"/>
          </w:rPr>
          <w:t>Statement of Responsibility</w:t>
        </w:r>
        <w:r>
          <w:rPr>
            <w:noProof/>
            <w:webHidden/>
          </w:rPr>
          <w:tab/>
        </w:r>
        <w:r>
          <w:rPr>
            <w:noProof/>
            <w:webHidden/>
          </w:rPr>
          <w:fldChar w:fldCharType="begin"/>
        </w:r>
        <w:r>
          <w:rPr>
            <w:noProof/>
            <w:webHidden/>
          </w:rPr>
          <w:instrText xml:space="preserve"> PAGEREF _Toc117265005 \h </w:instrText>
        </w:r>
        <w:r>
          <w:rPr>
            <w:noProof/>
            <w:webHidden/>
          </w:rPr>
        </w:r>
        <w:r>
          <w:rPr>
            <w:noProof/>
            <w:webHidden/>
          </w:rPr>
          <w:fldChar w:fldCharType="separate"/>
        </w:r>
        <w:r>
          <w:rPr>
            <w:noProof/>
            <w:webHidden/>
          </w:rPr>
          <w:t>228</w:t>
        </w:r>
        <w:r>
          <w:rPr>
            <w:noProof/>
            <w:webHidden/>
          </w:rPr>
          <w:fldChar w:fldCharType="end"/>
        </w:r>
      </w:hyperlink>
    </w:p>
    <w:p w14:paraId="060C20EC" w14:textId="627CF103" w:rsidR="00D53D58" w:rsidRDefault="00D53D58">
      <w:pPr>
        <w:pStyle w:val="TOC1"/>
        <w:rPr>
          <w:rFonts w:asciiTheme="minorHAnsi" w:eastAsiaTheme="minorEastAsia" w:hAnsiTheme="minorHAnsi" w:cstheme="minorBidi"/>
          <w:noProof/>
          <w:sz w:val="22"/>
          <w:szCs w:val="22"/>
          <w:lang w:eastAsia="en-NZ"/>
        </w:rPr>
      </w:pPr>
      <w:hyperlink w:anchor="_Toc117265006" w:history="1">
        <w:r w:rsidRPr="00CC71BC">
          <w:rPr>
            <w:rStyle w:val="Hyperlink"/>
            <w:noProof/>
          </w:rPr>
          <w:t>Interim Māori Health Authority Te Mana Hauora Māori Annual Report  2021-2022</w:t>
        </w:r>
        <w:r>
          <w:rPr>
            <w:noProof/>
            <w:webHidden/>
          </w:rPr>
          <w:tab/>
        </w:r>
        <w:r>
          <w:rPr>
            <w:noProof/>
            <w:webHidden/>
          </w:rPr>
          <w:fldChar w:fldCharType="begin"/>
        </w:r>
        <w:r>
          <w:rPr>
            <w:noProof/>
            <w:webHidden/>
          </w:rPr>
          <w:instrText xml:space="preserve"> PAGEREF _Toc117265006 \h </w:instrText>
        </w:r>
        <w:r>
          <w:rPr>
            <w:noProof/>
            <w:webHidden/>
          </w:rPr>
        </w:r>
        <w:r>
          <w:rPr>
            <w:noProof/>
            <w:webHidden/>
          </w:rPr>
          <w:fldChar w:fldCharType="separate"/>
        </w:r>
        <w:r>
          <w:rPr>
            <w:noProof/>
            <w:webHidden/>
          </w:rPr>
          <w:t>229</w:t>
        </w:r>
        <w:r>
          <w:rPr>
            <w:noProof/>
            <w:webHidden/>
          </w:rPr>
          <w:fldChar w:fldCharType="end"/>
        </w:r>
      </w:hyperlink>
    </w:p>
    <w:p w14:paraId="1A57B256" w14:textId="20662651" w:rsidR="00D53D58" w:rsidRDefault="00D53D58">
      <w:pPr>
        <w:pStyle w:val="TOC2"/>
        <w:rPr>
          <w:rFonts w:asciiTheme="minorHAnsi" w:eastAsiaTheme="minorEastAsia" w:hAnsiTheme="minorHAnsi" w:cstheme="minorBidi"/>
          <w:noProof/>
          <w:szCs w:val="22"/>
          <w:lang w:eastAsia="en-NZ"/>
        </w:rPr>
      </w:pPr>
      <w:hyperlink w:anchor="_Toc117265007" w:history="1">
        <w:r w:rsidRPr="00CC71BC">
          <w:rPr>
            <w:rStyle w:val="Hyperlink"/>
            <w:noProof/>
          </w:rPr>
          <w:t>A message from the Chief Executive</w:t>
        </w:r>
        <w:r>
          <w:rPr>
            <w:noProof/>
            <w:webHidden/>
          </w:rPr>
          <w:tab/>
        </w:r>
        <w:r>
          <w:rPr>
            <w:noProof/>
            <w:webHidden/>
          </w:rPr>
          <w:fldChar w:fldCharType="begin"/>
        </w:r>
        <w:r>
          <w:rPr>
            <w:noProof/>
            <w:webHidden/>
          </w:rPr>
          <w:instrText xml:space="preserve"> PAGEREF _Toc117265007 \h </w:instrText>
        </w:r>
        <w:r>
          <w:rPr>
            <w:noProof/>
            <w:webHidden/>
          </w:rPr>
        </w:r>
        <w:r>
          <w:rPr>
            <w:noProof/>
            <w:webHidden/>
          </w:rPr>
          <w:fldChar w:fldCharType="separate"/>
        </w:r>
        <w:r>
          <w:rPr>
            <w:noProof/>
            <w:webHidden/>
          </w:rPr>
          <w:t>230</w:t>
        </w:r>
        <w:r>
          <w:rPr>
            <w:noProof/>
            <w:webHidden/>
          </w:rPr>
          <w:fldChar w:fldCharType="end"/>
        </w:r>
      </w:hyperlink>
    </w:p>
    <w:p w14:paraId="3161545A" w14:textId="112FDD4A" w:rsidR="00D53D58" w:rsidRDefault="00D53D58">
      <w:pPr>
        <w:pStyle w:val="TOC2"/>
        <w:rPr>
          <w:rFonts w:asciiTheme="minorHAnsi" w:eastAsiaTheme="minorEastAsia" w:hAnsiTheme="minorHAnsi" w:cstheme="minorBidi"/>
          <w:noProof/>
          <w:szCs w:val="22"/>
          <w:lang w:eastAsia="en-NZ"/>
        </w:rPr>
      </w:pPr>
      <w:hyperlink w:anchor="_Toc117265008" w:history="1">
        <w:r w:rsidRPr="00CC71BC">
          <w:rPr>
            <w:rStyle w:val="Hyperlink"/>
            <w:noProof/>
          </w:rPr>
          <w:t>Nau mai rā ki interim Māori Health Authority</w:t>
        </w:r>
        <w:r>
          <w:rPr>
            <w:noProof/>
            <w:webHidden/>
          </w:rPr>
          <w:tab/>
        </w:r>
        <w:r>
          <w:rPr>
            <w:noProof/>
            <w:webHidden/>
          </w:rPr>
          <w:fldChar w:fldCharType="begin"/>
        </w:r>
        <w:r>
          <w:rPr>
            <w:noProof/>
            <w:webHidden/>
          </w:rPr>
          <w:instrText xml:space="preserve"> PAGEREF _Toc117265008 \h </w:instrText>
        </w:r>
        <w:r>
          <w:rPr>
            <w:noProof/>
            <w:webHidden/>
          </w:rPr>
        </w:r>
        <w:r>
          <w:rPr>
            <w:noProof/>
            <w:webHidden/>
          </w:rPr>
          <w:fldChar w:fldCharType="separate"/>
        </w:r>
        <w:r>
          <w:rPr>
            <w:noProof/>
            <w:webHidden/>
          </w:rPr>
          <w:t>230</w:t>
        </w:r>
        <w:r>
          <w:rPr>
            <w:noProof/>
            <w:webHidden/>
          </w:rPr>
          <w:fldChar w:fldCharType="end"/>
        </w:r>
      </w:hyperlink>
    </w:p>
    <w:p w14:paraId="7DEDC2A1" w14:textId="46AA7674" w:rsidR="00D53D58" w:rsidRDefault="00D53D58">
      <w:pPr>
        <w:pStyle w:val="TOC2"/>
        <w:rPr>
          <w:rFonts w:asciiTheme="minorHAnsi" w:eastAsiaTheme="minorEastAsia" w:hAnsiTheme="minorHAnsi" w:cstheme="minorBidi"/>
          <w:noProof/>
          <w:szCs w:val="22"/>
          <w:lang w:eastAsia="en-NZ"/>
        </w:rPr>
      </w:pPr>
      <w:hyperlink w:anchor="_Toc117265009" w:history="1">
        <w:r w:rsidRPr="00CC71BC">
          <w:rPr>
            <w:rStyle w:val="Hyperlink"/>
            <w:noProof/>
          </w:rPr>
          <w:t>Who we are and what we achieved</w:t>
        </w:r>
        <w:r>
          <w:rPr>
            <w:noProof/>
            <w:webHidden/>
          </w:rPr>
          <w:tab/>
        </w:r>
        <w:r>
          <w:rPr>
            <w:noProof/>
            <w:webHidden/>
          </w:rPr>
          <w:fldChar w:fldCharType="begin"/>
        </w:r>
        <w:r>
          <w:rPr>
            <w:noProof/>
            <w:webHidden/>
          </w:rPr>
          <w:instrText xml:space="preserve"> PAGEREF _Toc117265009 \h </w:instrText>
        </w:r>
        <w:r>
          <w:rPr>
            <w:noProof/>
            <w:webHidden/>
          </w:rPr>
        </w:r>
        <w:r>
          <w:rPr>
            <w:noProof/>
            <w:webHidden/>
          </w:rPr>
          <w:fldChar w:fldCharType="separate"/>
        </w:r>
        <w:r>
          <w:rPr>
            <w:noProof/>
            <w:webHidden/>
          </w:rPr>
          <w:t>231</w:t>
        </w:r>
        <w:r>
          <w:rPr>
            <w:noProof/>
            <w:webHidden/>
          </w:rPr>
          <w:fldChar w:fldCharType="end"/>
        </w:r>
      </w:hyperlink>
    </w:p>
    <w:p w14:paraId="255094B3" w14:textId="169FA8A1" w:rsidR="00D53D58" w:rsidRDefault="00D53D58">
      <w:pPr>
        <w:pStyle w:val="TOC3"/>
        <w:rPr>
          <w:rFonts w:asciiTheme="minorHAnsi" w:eastAsiaTheme="minorEastAsia" w:hAnsiTheme="minorHAnsi" w:cstheme="minorBidi"/>
          <w:noProof/>
          <w:sz w:val="22"/>
          <w:szCs w:val="22"/>
          <w:lang w:eastAsia="en-NZ"/>
        </w:rPr>
      </w:pPr>
      <w:hyperlink w:anchor="_Toc117265010" w:history="1">
        <w:r w:rsidRPr="00CC71BC">
          <w:rPr>
            <w:rStyle w:val="Hyperlink"/>
            <w:noProof/>
          </w:rPr>
          <w:t>Our functions</w:t>
        </w:r>
        <w:r>
          <w:rPr>
            <w:noProof/>
            <w:webHidden/>
          </w:rPr>
          <w:tab/>
        </w:r>
        <w:r>
          <w:rPr>
            <w:noProof/>
            <w:webHidden/>
          </w:rPr>
          <w:fldChar w:fldCharType="begin"/>
        </w:r>
        <w:r>
          <w:rPr>
            <w:noProof/>
            <w:webHidden/>
          </w:rPr>
          <w:instrText xml:space="preserve"> PAGEREF _Toc117265010 \h </w:instrText>
        </w:r>
        <w:r>
          <w:rPr>
            <w:noProof/>
            <w:webHidden/>
          </w:rPr>
        </w:r>
        <w:r>
          <w:rPr>
            <w:noProof/>
            <w:webHidden/>
          </w:rPr>
          <w:fldChar w:fldCharType="separate"/>
        </w:r>
        <w:r>
          <w:rPr>
            <w:noProof/>
            <w:webHidden/>
          </w:rPr>
          <w:t>231</w:t>
        </w:r>
        <w:r>
          <w:rPr>
            <w:noProof/>
            <w:webHidden/>
          </w:rPr>
          <w:fldChar w:fldCharType="end"/>
        </w:r>
      </w:hyperlink>
    </w:p>
    <w:p w14:paraId="1F655465" w14:textId="2FC7AFD4" w:rsidR="00D53D58" w:rsidRDefault="00D53D58">
      <w:pPr>
        <w:pStyle w:val="TOC3"/>
        <w:rPr>
          <w:rFonts w:asciiTheme="minorHAnsi" w:eastAsiaTheme="minorEastAsia" w:hAnsiTheme="minorHAnsi" w:cstheme="minorBidi"/>
          <w:noProof/>
          <w:sz w:val="22"/>
          <w:szCs w:val="22"/>
          <w:lang w:eastAsia="en-NZ"/>
        </w:rPr>
      </w:pPr>
      <w:hyperlink w:anchor="_Toc117265011" w:history="1">
        <w:r w:rsidRPr="00CC71BC">
          <w:rPr>
            <w:rStyle w:val="Hyperlink"/>
            <w:noProof/>
          </w:rPr>
          <w:t>Our people</w:t>
        </w:r>
        <w:r>
          <w:rPr>
            <w:noProof/>
            <w:webHidden/>
          </w:rPr>
          <w:tab/>
        </w:r>
        <w:r>
          <w:rPr>
            <w:noProof/>
            <w:webHidden/>
          </w:rPr>
          <w:fldChar w:fldCharType="begin"/>
        </w:r>
        <w:r>
          <w:rPr>
            <w:noProof/>
            <w:webHidden/>
          </w:rPr>
          <w:instrText xml:space="preserve"> PAGEREF _Toc117265011 \h </w:instrText>
        </w:r>
        <w:r>
          <w:rPr>
            <w:noProof/>
            <w:webHidden/>
          </w:rPr>
        </w:r>
        <w:r>
          <w:rPr>
            <w:noProof/>
            <w:webHidden/>
          </w:rPr>
          <w:fldChar w:fldCharType="separate"/>
        </w:r>
        <w:r>
          <w:rPr>
            <w:noProof/>
            <w:webHidden/>
          </w:rPr>
          <w:t>232</w:t>
        </w:r>
        <w:r>
          <w:rPr>
            <w:noProof/>
            <w:webHidden/>
          </w:rPr>
          <w:fldChar w:fldCharType="end"/>
        </w:r>
      </w:hyperlink>
    </w:p>
    <w:p w14:paraId="0D637778" w14:textId="2853F287" w:rsidR="00D53D58" w:rsidRDefault="00D53D58">
      <w:pPr>
        <w:pStyle w:val="TOC3"/>
        <w:rPr>
          <w:rFonts w:asciiTheme="minorHAnsi" w:eastAsiaTheme="minorEastAsia" w:hAnsiTheme="minorHAnsi" w:cstheme="minorBidi"/>
          <w:noProof/>
          <w:sz w:val="22"/>
          <w:szCs w:val="22"/>
          <w:lang w:eastAsia="en-NZ"/>
        </w:rPr>
      </w:pPr>
      <w:hyperlink w:anchor="_Toc117265012" w:history="1">
        <w:r w:rsidRPr="00CC71BC">
          <w:rPr>
            <w:rStyle w:val="Hyperlink"/>
            <w:noProof/>
          </w:rPr>
          <w:t>Policies and processes</w:t>
        </w:r>
        <w:r>
          <w:rPr>
            <w:noProof/>
            <w:webHidden/>
          </w:rPr>
          <w:tab/>
        </w:r>
        <w:r>
          <w:rPr>
            <w:noProof/>
            <w:webHidden/>
          </w:rPr>
          <w:fldChar w:fldCharType="begin"/>
        </w:r>
        <w:r>
          <w:rPr>
            <w:noProof/>
            <w:webHidden/>
          </w:rPr>
          <w:instrText xml:space="preserve"> PAGEREF _Toc117265012 \h </w:instrText>
        </w:r>
        <w:r>
          <w:rPr>
            <w:noProof/>
            <w:webHidden/>
          </w:rPr>
        </w:r>
        <w:r>
          <w:rPr>
            <w:noProof/>
            <w:webHidden/>
          </w:rPr>
          <w:fldChar w:fldCharType="separate"/>
        </w:r>
        <w:r>
          <w:rPr>
            <w:noProof/>
            <w:webHidden/>
          </w:rPr>
          <w:t>232</w:t>
        </w:r>
        <w:r>
          <w:rPr>
            <w:noProof/>
            <w:webHidden/>
          </w:rPr>
          <w:fldChar w:fldCharType="end"/>
        </w:r>
      </w:hyperlink>
    </w:p>
    <w:p w14:paraId="3BEAE2BA" w14:textId="6FB09007" w:rsidR="00D53D58" w:rsidRDefault="00D53D58">
      <w:pPr>
        <w:pStyle w:val="TOC3"/>
        <w:rPr>
          <w:rFonts w:asciiTheme="minorHAnsi" w:eastAsiaTheme="minorEastAsia" w:hAnsiTheme="minorHAnsi" w:cstheme="minorBidi"/>
          <w:noProof/>
          <w:sz w:val="22"/>
          <w:szCs w:val="22"/>
          <w:lang w:eastAsia="en-NZ"/>
        </w:rPr>
      </w:pPr>
      <w:hyperlink w:anchor="_Toc117265013" w:history="1">
        <w:r w:rsidRPr="00CC71BC">
          <w:rPr>
            <w:rStyle w:val="Hyperlink"/>
            <w:noProof/>
          </w:rPr>
          <w:t>Governance and Partners</w:t>
        </w:r>
        <w:r>
          <w:rPr>
            <w:noProof/>
            <w:webHidden/>
          </w:rPr>
          <w:tab/>
        </w:r>
        <w:r>
          <w:rPr>
            <w:noProof/>
            <w:webHidden/>
          </w:rPr>
          <w:fldChar w:fldCharType="begin"/>
        </w:r>
        <w:r>
          <w:rPr>
            <w:noProof/>
            <w:webHidden/>
          </w:rPr>
          <w:instrText xml:space="preserve"> PAGEREF _Toc117265013 \h </w:instrText>
        </w:r>
        <w:r>
          <w:rPr>
            <w:noProof/>
            <w:webHidden/>
          </w:rPr>
        </w:r>
        <w:r>
          <w:rPr>
            <w:noProof/>
            <w:webHidden/>
          </w:rPr>
          <w:fldChar w:fldCharType="separate"/>
        </w:r>
        <w:r>
          <w:rPr>
            <w:noProof/>
            <w:webHidden/>
          </w:rPr>
          <w:t>232</w:t>
        </w:r>
        <w:r>
          <w:rPr>
            <w:noProof/>
            <w:webHidden/>
          </w:rPr>
          <w:fldChar w:fldCharType="end"/>
        </w:r>
      </w:hyperlink>
    </w:p>
    <w:p w14:paraId="3D08D2E3" w14:textId="3FFCED8B" w:rsidR="00D53D58" w:rsidRDefault="00D53D58">
      <w:pPr>
        <w:pStyle w:val="TOC3"/>
        <w:rPr>
          <w:rFonts w:asciiTheme="minorHAnsi" w:eastAsiaTheme="minorEastAsia" w:hAnsiTheme="minorHAnsi" w:cstheme="minorBidi"/>
          <w:noProof/>
          <w:sz w:val="22"/>
          <w:szCs w:val="22"/>
          <w:lang w:eastAsia="en-NZ"/>
        </w:rPr>
      </w:pPr>
      <w:hyperlink w:anchor="_Toc117265014" w:history="1">
        <w:r w:rsidRPr="00CC71BC">
          <w:rPr>
            <w:rStyle w:val="Hyperlink"/>
            <w:noProof/>
          </w:rPr>
          <w:t>Performance against our deliverables</w:t>
        </w:r>
        <w:r>
          <w:rPr>
            <w:noProof/>
            <w:webHidden/>
          </w:rPr>
          <w:tab/>
        </w:r>
        <w:r>
          <w:rPr>
            <w:noProof/>
            <w:webHidden/>
          </w:rPr>
          <w:fldChar w:fldCharType="begin"/>
        </w:r>
        <w:r>
          <w:rPr>
            <w:noProof/>
            <w:webHidden/>
          </w:rPr>
          <w:instrText xml:space="preserve"> PAGEREF _Toc117265014 \h </w:instrText>
        </w:r>
        <w:r>
          <w:rPr>
            <w:noProof/>
            <w:webHidden/>
          </w:rPr>
        </w:r>
        <w:r>
          <w:rPr>
            <w:noProof/>
            <w:webHidden/>
          </w:rPr>
          <w:fldChar w:fldCharType="separate"/>
        </w:r>
        <w:r>
          <w:rPr>
            <w:noProof/>
            <w:webHidden/>
          </w:rPr>
          <w:t>233</w:t>
        </w:r>
        <w:r>
          <w:rPr>
            <w:noProof/>
            <w:webHidden/>
          </w:rPr>
          <w:fldChar w:fldCharType="end"/>
        </w:r>
      </w:hyperlink>
    </w:p>
    <w:p w14:paraId="168F15B9" w14:textId="349288C1" w:rsidR="00D53D58" w:rsidRDefault="00D53D58">
      <w:pPr>
        <w:pStyle w:val="TOC3"/>
        <w:rPr>
          <w:rFonts w:asciiTheme="minorHAnsi" w:eastAsiaTheme="minorEastAsia" w:hAnsiTheme="minorHAnsi" w:cstheme="minorBidi"/>
          <w:noProof/>
          <w:sz w:val="22"/>
          <w:szCs w:val="22"/>
          <w:lang w:eastAsia="en-NZ"/>
        </w:rPr>
      </w:pPr>
      <w:hyperlink w:anchor="_Toc117265015" w:history="1">
        <w:r w:rsidRPr="00CC71BC">
          <w:rPr>
            <w:rStyle w:val="Hyperlink"/>
            <w:noProof/>
          </w:rPr>
          <w:t>Key relationships</w:t>
        </w:r>
        <w:r>
          <w:rPr>
            <w:noProof/>
            <w:webHidden/>
          </w:rPr>
          <w:tab/>
        </w:r>
        <w:r>
          <w:rPr>
            <w:noProof/>
            <w:webHidden/>
          </w:rPr>
          <w:fldChar w:fldCharType="begin"/>
        </w:r>
        <w:r>
          <w:rPr>
            <w:noProof/>
            <w:webHidden/>
          </w:rPr>
          <w:instrText xml:space="preserve"> PAGEREF _Toc117265015 \h </w:instrText>
        </w:r>
        <w:r>
          <w:rPr>
            <w:noProof/>
            <w:webHidden/>
          </w:rPr>
        </w:r>
        <w:r>
          <w:rPr>
            <w:noProof/>
            <w:webHidden/>
          </w:rPr>
          <w:fldChar w:fldCharType="separate"/>
        </w:r>
        <w:r>
          <w:rPr>
            <w:noProof/>
            <w:webHidden/>
          </w:rPr>
          <w:t>235</w:t>
        </w:r>
        <w:r>
          <w:rPr>
            <w:noProof/>
            <w:webHidden/>
          </w:rPr>
          <w:fldChar w:fldCharType="end"/>
        </w:r>
      </w:hyperlink>
    </w:p>
    <w:p w14:paraId="0A412A16" w14:textId="4CFCC509" w:rsidR="00D53D58" w:rsidRDefault="00D53D58">
      <w:pPr>
        <w:pStyle w:val="TOC3"/>
        <w:rPr>
          <w:rFonts w:asciiTheme="minorHAnsi" w:eastAsiaTheme="minorEastAsia" w:hAnsiTheme="minorHAnsi" w:cstheme="minorBidi"/>
          <w:noProof/>
          <w:sz w:val="22"/>
          <w:szCs w:val="22"/>
          <w:lang w:eastAsia="en-NZ"/>
        </w:rPr>
      </w:pPr>
      <w:hyperlink w:anchor="_Toc117265016" w:history="1">
        <w:r w:rsidRPr="00CC71BC">
          <w:rPr>
            <w:rStyle w:val="Hyperlink"/>
            <w:noProof/>
          </w:rPr>
          <w:t>Performance against Treasury’s Assessment of Performance.</w:t>
        </w:r>
        <w:r>
          <w:rPr>
            <w:noProof/>
            <w:webHidden/>
          </w:rPr>
          <w:tab/>
        </w:r>
        <w:r>
          <w:rPr>
            <w:noProof/>
            <w:webHidden/>
          </w:rPr>
          <w:fldChar w:fldCharType="begin"/>
        </w:r>
        <w:r>
          <w:rPr>
            <w:noProof/>
            <w:webHidden/>
          </w:rPr>
          <w:instrText xml:space="preserve"> PAGEREF _Toc117265016 \h </w:instrText>
        </w:r>
        <w:r>
          <w:rPr>
            <w:noProof/>
            <w:webHidden/>
          </w:rPr>
        </w:r>
        <w:r>
          <w:rPr>
            <w:noProof/>
            <w:webHidden/>
          </w:rPr>
          <w:fldChar w:fldCharType="separate"/>
        </w:r>
        <w:r>
          <w:rPr>
            <w:noProof/>
            <w:webHidden/>
          </w:rPr>
          <w:t>238</w:t>
        </w:r>
        <w:r>
          <w:rPr>
            <w:noProof/>
            <w:webHidden/>
          </w:rPr>
          <w:fldChar w:fldCharType="end"/>
        </w:r>
      </w:hyperlink>
    </w:p>
    <w:p w14:paraId="00F8333C" w14:textId="3465C142" w:rsidR="00D53D58" w:rsidRDefault="00D53D58">
      <w:pPr>
        <w:pStyle w:val="TOC2"/>
        <w:rPr>
          <w:rFonts w:asciiTheme="minorHAnsi" w:eastAsiaTheme="minorEastAsia" w:hAnsiTheme="minorHAnsi" w:cstheme="minorBidi"/>
          <w:noProof/>
          <w:szCs w:val="22"/>
          <w:lang w:eastAsia="en-NZ"/>
        </w:rPr>
      </w:pPr>
      <w:hyperlink w:anchor="_Toc117265017" w:history="1">
        <w:r w:rsidRPr="00CC71BC">
          <w:rPr>
            <w:rStyle w:val="Hyperlink"/>
            <w:noProof/>
          </w:rPr>
          <w:t>Statement of Responsibility</w:t>
        </w:r>
        <w:r>
          <w:rPr>
            <w:noProof/>
            <w:webHidden/>
          </w:rPr>
          <w:tab/>
        </w:r>
        <w:r>
          <w:rPr>
            <w:noProof/>
            <w:webHidden/>
          </w:rPr>
          <w:fldChar w:fldCharType="begin"/>
        </w:r>
        <w:r>
          <w:rPr>
            <w:noProof/>
            <w:webHidden/>
          </w:rPr>
          <w:instrText xml:space="preserve"> PAGEREF _Toc117265017 \h </w:instrText>
        </w:r>
        <w:r>
          <w:rPr>
            <w:noProof/>
            <w:webHidden/>
          </w:rPr>
        </w:r>
        <w:r>
          <w:rPr>
            <w:noProof/>
            <w:webHidden/>
          </w:rPr>
          <w:fldChar w:fldCharType="separate"/>
        </w:r>
        <w:r>
          <w:rPr>
            <w:noProof/>
            <w:webHidden/>
          </w:rPr>
          <w:t>240</w:t>
        </w:r>
        <w:r>
          <w:rPr>
            <w:noProof/>
            <w:webHidden/>
          </w:rPr>
          <w:fldChar w:fldCharType="end"/>
        </w:r>
      </w:hyperlink>
    </w:p>
    <w:p w14:paraId="133A9219" w14:textId="4CD242D6" w:rsidR="00C86248" w:rsidRDefault="00D53D58">
      <w:r>
        <w:rPr>
          <w:rFonts w:ascii="Segoe UI Semibold" w:hAnsi="Segoe UI Semibold"/>
          <w:b/>
          <w:sz w:val="24"/>
        </w:rPr>
        <w:fldChar w:fldCharType="end"/>
      </w:r>
    </w:p>
    <w:p w14:paraId="03333094" w14:textId="77777777" w:rsidR="001D3E4E" w:rsidRDefault="001D3E4E" w:rsidP="003A5FEA">
      <w:pPr>
        <w:sectPr w:rsidR="001D3E4E" w:rsidSect="0078658E">
          <w:headerReference w:type="even" r:id="rId23"/>
          <w:headerReference w:type="default" r:id="rId24"/>
          <w:footerReference w:type="even" r:id="rId25"/>
          <w:footerReference w:type="default" r:id="rId26"/>
          <w:pgSz w:w="11907" w:h="16840" w:code="9"/>
          <w:pgMar w:top="1418" w:right="1701" w:bottom="1134" w:left="1843" w:header="284" w:footer="425" w:gutter="284"/>
          <w:pgNumType w:fmt="lowerRoman"/>
          <w:cols w:space="720"/>
        </w:sectPr>
      </w:pPr>
    </w:p>
    <w:p w14:paraId="5DDB57FC" w14:textId="77777777" w:rsidR="001D3E4E" w:rsidRDefault="001D3E4E" w:rsidP="003A5FEA"/>
    <w:p w14:paraId="35C47CE2" w14:textId="77777777" w:rsidR="001D3E4E" w:rsidRDefault="00ED2498" w:rsidP="00ED2498">
      <w:pPr>
        <w:pStyle w:val="Heading1"/>
        <w:spacing w:before="0"/>
        <w:rPr>
          <w:b w:val="0"/>
          <w:bCs/>
        </w:rPr>
      </w:pPr>
      <w:bookmarkStart w:id="5" w:name="_Toc117264913"/>
      <w:r>
        <w:t xml:space="preserve">Who we are and what we do | </w:t>
      </w:r>
      <w:r w:rsidRPr="00ED2498">
        <w:rPr>
          <w:b w:val="0"/>
          <w:bCs/>
        </w:rPr>
        <w:t>Ko mātou, me ā mātou mahi</w:t>
      </w:r>
      <w:bookmarkEnd w:id="5"/>
    </w:p>
    <w:p w14:paraId="07BF97BF" w14:textId="77777777" w:rsidR="00ED2498" w:rsidRDefault="00ED2498" w:rsidP="00ED2498">
      <w:pPr>
        <w:pStyle w:val="Heading2"/>
      </w:pPr>
      <w:bookmarkStart w:id="6" w:name="_Toc117264914"/>
      <w:r>
        <w:t>About Manatū Hauora</w:t>
      </w:r>
      <w:bookmarkEnd w:id="6"/>
    </w:p>
    <w:p w14:paraId="5C2D22EC" w14:textId="54D92AF8" w:rsidR="00ED2498" w:rsidRDefault="00ED2498" w:rsidP="00ED2498">
      <w:r>
        <w:t>Manatū Hauora (the Ministry of Health) is the chief steward of the health system. Our shared vision is an Aotearoa where all people live longer in good health, have improved quality of life, and where there is equity in outcomes between all groups.</w:t>
      </w:r>
    </w:p>
    <w:p w14:paraId="2A525B10" w14:textId="77777777" w:rsidR="00ED2498" w:rsidRDefault="00ED2498" w:rsidP="00ED2498"/>
    <w:p w14:paraId="4AA19BD7" w14:textId="77777777" w:rsidR="00ED2498" w:rsidRDefault="00ED2498" w:rsidP="00ED2498">
      <w:r>
        <w:t>Manatū Hauora makes sure the health system operates fairly and equitably to deliver pae ora (healthy futures) for New Zealanders.</w:t>
      </w:r>
    </w:p>
    <w:p w14:paraId="34E4545C" w14:textId="77777777" w:rsidR="00ED2498" w:rsidRDefault="00ED2498" w:rsidP="00ED2498"/>
    <w:p w14:paraId="360728B6" w14:textId="77777777" w:rsidR="00ED2498" w:rsidRDefault="00ED2498" w:rsidP="00ED2498">
      <w:r>
        <w:t>Aotearoa New Zealand moved to a new national health system on 1 July 2022 with the introduction of the Pae Ora (Healthy Futures) Act 2022. Under the changes, the Ministry’s role as kaitiaki of the health system has been strengthened, with other functions transferred to new entities such as Te Whatu Ora (Health New Zealand) and Te Aka Whai Ora (the Māori Health Authority). This annual report refers to the Ministry’s role, priorities and achievements during 2021/22, prior to the enactment of the new legislation.</w:t>
      </w:r>
    </w:p>
    <w:p w14:paraId="007825F7" w14:textId="77777777" w:rsidR="00ED2498" w:rsidRDefault="00ED2498" w:rsidP="008B4723">
      <w:pPr>
        <w:pStyle w:val="Heading3"/>
      </w:pPr>
      <w:bookmarkStart w:id="7" w:name="_Toc117264915"/>
      <w:r>
        <w:t>Our kaitiaki responsibilities</w:t>
      </w:r>
      <w:bookmarkEnd w:id="7"/>
    </w:p>
    <w:p w14:paraId="1C552BE1" w14:textId="77777777" w:rsidR="00ED2498" w:rsidRDefault="00ED2498" w:rsidP="00ED2498">
      <w:r>
        <w:t>During 2021/22, as kaitaki of the health and disability system, we:</w:t>
      </w:r>
    </w:p>
    <w:p w14:paraId="0A812498" w14:textId="226DDC74" w:rsidR="00ED2498" w:rsidRDefault="00ED2498" w:rsidP="00ED2498">
      <w:pPr>
        <w:pStyle w:val="Bullet"/>
      </w:pPr>
      <w:r>
        <w:t>provided free and frank advice about effective interventions</w:t>
      </w:r>
    </w:p>
    <w:p w14:paraId="17658FA2" w14:textId="463C84D9" w:rsidR="00ED2498" w:rsidRDefault="00ED2498" w:rsidP="00ED2498">
      <w:pPr>
        <w:pStyle w:val="Bullet"/>
      </w:pPr>
      <w:r>
        <w:t>provided clinical and sector leadership</w:t>
      </w:r>
    </w:p>
    <w:p w14:paraId="2E4402B9" w14:textId="0792CAE2" w:rsidR="00ED2498" w:rsidRDefault="00ED2498" w:rsidP="00ED2498">
      <w:pPr>
        <w:pStyle w:val="Bullet"/>
      </w:pPr>
      <w:r>
        <w:t>funded an array of national services (including disability support services and public health services)</w:t>
      </w:r>
    </w:p>
    <w:p w14:paraId="02292C45" w14:textId="69F69D75" w:rsidR="00ED2498" w:rsidRDefault="00ED2498" w:rsidP="00ED2498">
      <w:pPr>
        <w:pStyle w:val="Bullet"/>
      </w:pPr>
      <w:r>
        <w:t>legislated (including developing new legislation)</w:t>
      </w:r>
    </w:p>
    <w:p w14:paraId="0093FF9E" w14:textId="5D549FAC" w:rsidR="00ED2498" w:rsidRDefault="00ED2498" w:rsidP="00ED2498">
      <w:pPr>
        <w:pStyle w:val="Bullet"/>
      </w:pPr>
      <w:r>
        <w:t>regulated, enforced, measured, monitored and evaluated</w:t>
      </w:r>
    </w:p>
    <w:p w14:paraId="791E3858" w14:textId="71A20C7C" w:rsidR="00ED2498" w:rsidRDefault="00ED2498" w:rsidP="00ED2498">
      <w:pPr>
        <w:pStyle w:val="Bullet"/>
      </w:pPr>
      <w:r>
        <w:t>•provided ongoing reviews of evidence about effective interventions requirements</w:t>
      </w:r>
    </w:p>
    <w:p w14:paraId="1764913D" w14:textId="75ADCB72" w:rsidR="00ED2498" w:rsidRDefault="00ED2498" w:rsidP="00ED2498">
      <w:pPr>
        <w:pStyle w:val="Bullet"/>
      </w:pPr>
      <w:r>
        <w:t>ensured that we met Aotearoa New Zealand’s international health and disability obligations.</w:t>
      </w:r>
    </w:p>
    <w:p w14:paraId="5A77ECFB" w14:textId="77777777" w:rsidR="00ED2498" w:rsidRDefault="00ED2498" w:rsidP="00ED2498"/>
    <w:p w14:paraId="0824A203" w14:textId="7EE96295" w:rsidR="00ED2498" w:rsidRDefault="00ED2498" w:rsidP="00ED2498">
      <w:r>
        <w:t>As at 30 June 2022, we employed over 800 staff based in 6 locations across Aotearoa New Zealand. Our people worked on a wide range of activities covering policy, regulation, operational matters, readiness and response, innovation, improvement and clinical development to support the health and disability sector.</w:t>
      </w:r>
    </w:p>
    <w:p w14:paraId="00680032" w14:textId="77777777" w:rsidR="00ED2498" w:rsidRDefault="00ED2498" w:rsidP="008B4723">
      <w:pPr>
        <w:pStyle w:val="Heading3"/>
      </w:pPr>
      <w:bookmarkStart w:id="8" w:name="_Toc117264916"/>
      <w:r>
        <w:lastRenderedPageBreak/>
        <w:t>Vote Health</w:t>
      </w:r>
      <w:bookmarkEnd w:id="8"/>
    </w:p>
    <w:p w14:paraId="09B6FA46" w14:textId="7CDBEB03" w:rsidR="00ED2498" w:rsidRDefault="00ED2498" w:rsidP="00ED2498">
      <w:r>
        <w:t>Vote Health was and continues to be the main source of funding for the health and disability system in Aotearoa, which includes Manatū Hauora. In 2021/22 Aotearoa New Zealand’s DHBs carried out most of the day-to-day business of the health and disability system and administered more than two-thirds of the Vote.</w:t>
      </w:r>
    </w:p>
    <w:p w14:paraId="2928CE22" w14:textId="77777777" w:rsidR="00ED2498" w:rsidRDefault="00ED2498" w:rsidP="00ED2498"/>
    <w:p w14:paraId="4BAC03CE" w14:textId="1BD3D897" w:rsidR="00ED2498" w:rsidRDefault="00ED2498" w:rsidP="00ED2498">
      <w:r>
        <w:t>This included funding for:</w:t>
      </w:r>
    </w:p>
    <w:p w14:paraId="211ACE67" w14:textId="38BCA9FD" w:rsidR="00ED2498" w:rsidRDefault="00ED2498" w:rsidP="00ED2498">
      <w:pPr>
        <w:pStyle w:val="Bullet"/>
      </w:pPr>
      <w:r>
        <w:t>primary health care</w:t>
      </w:r>
    </w:p>
    <w:p w14:paraId="1C6D13B8" w14:textId="710D83F2" w:rsidR="00ED2498" w:rsidRDefault="00ED2498" w:rsidP="00ED2498">
      <w:pPr>
        <w:pStyle w:val="Bullet"/>
      </w:pPr>
      <w:r>
        <w:t>hospital services</w:t>
      </w:r>
    </w:p>
    <w:p w14:paraId="1F9A4C91" w14:textId="44EF1067" w:rsidR="00ED2498" w:rsidRDefault="00ED2498" w:rsidP="00ED2498">
      <w:pPr>
        <w:pStyle w:val="Bullet"/>
      </w:pPr>
      <w:r>
        <w:t>public health services</w:t>
      </w:r>
    </w:p>
    <w:p w14:paraId="7D781E87" w14:textId="36EA5CD0" w:rsidR="00ED2498" w:rsidRDefault="00ED2498" w:rsidP="00ED2498">
      <w:pPr>
        <w:pStyle w:val="Bullet"/>
      </w:pPr>
      <w:r>
        <w:t>aged care services</w:t>
      </w:r>
    </w:p>
    <w:p w14:paraId="34581651" w14:textId="47DDCF96" w:rsidR="00ED2498" w:rsidRDefault="00ED2498" w:rsidP="00ED2498">
      <w:pPr>
        <w:pStyle w:val="Bullet"/>
      </w:pPr>
      <w:r>
        <w:t>services from non-governmental health providers, including Māori and Pacific providers.</w:t>
      </w:r>
    </w:p>
    <w:p w14:paraId="0FD7D302" w14:textId="77777777" w:rsidR="00ED2498" w:rsidRDefault="00ED2498" w:rsidP="00ED2498"/>
    <w:p w14:paraId="3AA6D5E1" w14:textId="65C6BAAF" w:rsidR="00ED2498" w:rsidRDefault="00ED2498" w:rsidP="00ED2498">
      <w:r>
        <w:t>Almost 17% went of the remaining part of the Vote, towards delivering other health and disability services.</w:t>
      </w:r>
    </w:p>
    <w:p w14:paraId="13F4A5F1" w14:textId="77777777" w:rsidR="00ED2498" w:rsidRDefault="00ED2498" w:rsidP="00ED2498"/>
    <w:p w14:paraId="2D67E4F1" w14:textId="2B8EC447" w:rsidR="00ED2498" w:rsidRDefault="00ED2498" w:rsidP="00ED2498">
      <w:r>
        <w:t>Over 15% of the Vote in 2021/22 was for the health response to COVID-19.</w:t>
      </w:r>
    </w:p>
    <w:p w14:paraId="1F0C9456" w14:textId="77777777" w:rsidR="00ED2498" w:rsidRDefault="00ED2498" w:rsidP="00ED2498"/>
    <w:p w14:paraId="05C6C0FB" w14:textId="77777777" w:rsidR="00ED2498" w:rsidRDefault="00ED2498" w:rsidP="00ED2498">
      <w:r>
        <w:t>Over 1% of the Vote provided support, oversight, governance and development with the aim of maintaining and enhancing the quality and delivery of the sector. Just over 1% of the Vote was for Ministry operating costs.</w:t>
      </w:r>
    </w:p>
    <w:p w14:paraId="34E5FEFA" w14:textId="77777777" w:rsidR="00ED2498" w:rsidRDefault="00ED2498" w:rsidP="008B4723">
      <w:pPr>
        <w:pStyle w:val="Heading3"/>
      </w:pPr>
      <w:bookmarkStart w:id="9" w:name="_Toc117264917"/>
      <w:r>
        <w:t>Our priorities for the health and disability system</w:t>
      </w:r>
      <w:bookmarkEnd w:id="9"/>
    </w:p>
    <w:p w14:paraId="76739396" w14:textId="77777777" w:rsidR="00ED2498" w:rsidRDefault="00ED2498" w:rsidP="00ED2498">
      <w:r>
        <w:t>During 2021/22 our priorities included:</w:t>
      </w:r>
    </w:p>
    <w:p w14:paraId="4AF1C85E" w14:textId="5A42E3D2" w:rsidR="00ED2498" w:rsidRDefault="00ED2498" w:rsidP="00ED2498">
      <w:pPr>
        <w:pStyle w:val="Bullet"/>
      </w:pPr>
      <w:r>
        <w:t>the Government’s COVID-19 response</w:t>
      </w:r>
    </w:p>
    <w:p w14:paraId="38A0A720" w14:textId="2AC090AE" w:rsidR="00ED2498" w:rsidRDefault="00ED2498" w:rsidP="00ED2498">
      <w:pPr>
        <w:pStyle w:val="Bullet"/>
      </w:pPr>
      <w:r>
        <w:t>the health and disability system reforms</w:t>
      </w:r>
    </w:p>
    <w:p w14:paraId="06383C76" w14:textId="68DC84AC" w:rsidR="00ED2498" w:rsidRDefault="00ED2498" w:rsidP="00ED2498">
      <w:pPr>
        <w:pStyle w:val="Bullet"/>
      </w:pPr>
      <w:r>
        <w:t>improving child wellbeing</w:t>
      </w:r>
    </w:p>
    <w:p w14:paraId="3674396F" w14:textId="5456305B" w:rsidR="00ED2498" w:rsidRDefault="00ED2498" w:rsidP="00ED2498">
      <w:pPr>
        <w:pStyle w:val="Bullet"/>
      </w:pPr>
      <w:r>
        <w:t>improving mental health through preventative measures</w:t>
      </w:r>
    </w:p>
    <w:p w14:paraId="23CC2481" w14:textId="0C37FAE2" w:rsidR="00ED2498" w:rsidRDefault="00ED2498" w:rsidP="00ED2498">
      <w:pPr>
        <w:pStyle w:val="Bullet"/>
      </w:pPr>
      <w:r>
        <w:t>improving wellbeing through preventative measures</w:t>
      </w:r>
    </w:p>
    <w:p w14:paraId="69A11FC9" w14:textId="1A428DFE" w:rsidR="00ED2498" w:rsidRDefault="00ED2498" w:rsidP="00ED2498">
      <w:pPr>
        <w:pStyle w:val="Bullet"/>
      </w:pPr>
      <w:r>
        <w:t>creating a strong and equitable public health system</w:t>
      </w:r>
    </w:p>
    <w:p w14:paraId="654D4154" w14:textId="064E1674" w:rsidR="00ED2498" w:rsidRDefault="00ED2498" w:rsidP="00ED2498">
      <w:pPr>
        <w:pStyle w:val="Bullet"/>
      </w:pPr>
      <w:r>
        <w:t>providing better primary health care</w:t>
      </w:r>
    </w:p>
    <w:p w14:paraId="5FD00F27" w14:textId="7041A01E" w:rsidR="00ED2498" w:rsidRDefault="00ED2498" w:rsidP="00ED2498">
      <w:pPr>
        <w:pStyle w:val="Bullet"/>
      </w:pPr>
      <w:r>
        <w:t>ensuring a financially sustainable health system.</w:t>
      </w:r>
    </w:p>
    <w:p w14:paraId="4BE22AA0" w14:textId="77777777" w:rsidR="00ED2498" w:rsidRDefault="00ED2498" w:rsidP="00600AD4">
      <w:pPr>
        <w:pStyle w:val="Heading4"/>
      </w:pPr>
      <w:r>
        <w:t>COVID-19 response</w:t>
      </w:r>
    </w:p>
    <w:p w14:paraId="3E8A25B3" w14:textId="77777777" w:rsidR="00ED2498" w:rsidRDefault="00ED2498" w:rsidP="00ED2498">
      <w:r>
        <w:t>We continued to support the Government’s ongoing public health response to the COVID-19 pandemic. Some focus areas of the response included:</w:t>
      </w:r>
    </w:p>
    <w:p w14:paraId="54D51B3E" w14:textId="00317718" w:rsidR="00ED2498" w:rsidRDefault="00ED2498" w:rsidP="00ED2498">
      <w:pPr>
        <w:pStyle w:val="Bullet"/>
      </w:pPr>
      <w:r>
        <w:t>coordinating the incident response</w:t>
      </w:r>
    </w:p>
    <w:p w14:paraId="0E8303DA" w14:textId="4DA095DE" w:rsidR="00ED2498" w:rsidRDefault="00ED2498" w:rsidP="00ED2498">
      <w:pPr>
        <w:pStyle w:val="Bullet"/>
      </w:pPr>
      <w:r>
        <w:t>testing and contact tracing</w:t>
      </w:r>
    </w:p>
    <w:p w14:paraId="53376C01" w14:textId="7E58D26C" w:rsidR="00ED2498" w:rsidRDefault="00ED2498" w:rsidP="00ED2498">
      <w:pPr>
        <w:pStyle w:val="Bullet"/>
      </w:pPr>
      <w:r>
        <w:t>managing supply chains for vaccinations and medicines</w:t>
      </w:r>
    </w:p>
    <w:p w14:paraId="103749D8" w14:textId="3D47DD25" w:rsidR="00ED2498" w:rsidRDefault="00ED2498" w:rsidP="00ED2498">
      <w:pPr>
        <w:pStyle w:val="Bullet"/>
      </w:pPr>
      <w:r>
        <w:lastRenderedPageBreak/>
        <w:t>vaccination and immunisation programmes</w:t>
      </w:r>
    </w:p>
    <w:p w14:paraId="2D807DCE" w14:textId="5A63A639" w:rsidR="00ED2498" w:rsidRDefault="00ED2498" w:rsidP="00ED2498">
      <w:pPr>
        <w:pStyle w:val="Bullet"/>
      </w:pPr>
      <w:r>
        <w:t>staying on top of emerging science and evidence</w:t>
      </w:r>
    </w:p>
    <w:p w14:paraId="35670D85" w14:textId="054D96B9" w:rsidR="00ED2498" w:rsidRDefault="00ED2498" w:rsidP="00ED2498">
      <w:pPr>
        <w:pStyle w:val="Bullet"/>
      </w:pPr>
      <w:r>
        <w:t>health at the border (including managed isolation and quarantine)</w:t>
      </w:r>
    </w:p>
    <w:p w14:paraId="4D7E7E4F" w14:textId="52032A37" w:rsidR="00ED2498" w:rsidRDefault="00ED2498" w:rsidP="00ED2498">
      <w:pPr>
        <w:pStyle w:val="Bullet"/>
      </w:pPr>
      <w:r>
        <w:t>working on the future strategy and response frameworks for Aotearoa.</w:t>
      </w:r>
    </w:p>
    <w:p w14:paraId="08C0721F" w14:textId="77777777" w:rsidR="00ED2498" w:rsidRDefault="00ED2498" w:rsidP="00600AD4">
      <w:pPr>
        <w:pStyle w:val="Heading4"/>
      </w:pPr>
      <w:r>
        <w:t>Health and disability system reforms</w:t>
      </w:r>
    </w:p>
    <w:p w14:paraId="59E6C56F" w14:textId="77777777" w:rsidR="00ED2498" w:rsidRDefault="00ED2498" w:rsidP="00ED2498">
      <w:r>
        <w:t>In 2021/22, we worked with the Health and Disability Review Transition Unit (the</w:t>
      </w:r>
    </w:p>
    <w:p w14:paraId="053119AE" w14:textId="77777777" w:rsidR="00ED2498" w:rsidRDefault="00ED2498" w:rsidP="00ED2498">
      <w:r>
        <w:t>Transition Unit; from within the Department of the Prime Minister and Cabinet)</w:t>
      </w:r>
    </w:p>
    <w:p w14:paraId="47B2E055" w14:textId="5E775BC4" w:rsidR="00ED2498" w:rsidRDefault="00ED2498" w:rsidP="00ED2498">
      <w:r>
        <w:t>to develop a joint work programme progressing the system reforms. The Transition Unit led the actions from the Health and Disability System Review.</w:t>
      </w:r>
    </w:p>
    <w:p w14:paraId="24085B9A" w14:textId="77777777" w:rsidR="00ED2498" w:rsidRDefault="00ED2498" w:rsidP="00ED2498"/>
    <w:p w14:paraId="3454F898" w14:textId="77777777" w:rsidR="00ED2498" w:rsidRDefault="00ED2498" w:rsidP="00ED2498">
      <w:r>
        <w:t>Working with the Transition Unit, we:</w:t>
      </w:r>
    </w:p>
    <w:p w14:paraId="3AD19F48" w14:textId="228431FA" w:rsidR="00ED2498" w:rsidRDefault="00ED2498" w:rsidP="00ED2498">
      <w:pPr>
        <w:pStyle w:val="Bullet"/>
      </w:pPr>
      <w:r>
        <w:t>developed the Pae Ora (Healthy Futures) Bill (which became law on 1 July 2022)</w:t>
      </w:r>
    </w:p>
    <w:p w14:paraId="16D8729D" w14:textId="30F4DFBB" w:rsidR="00ED2498" w:rsidRDefault="00ED2498" w:rsidP="00ED2498">
      <w:pPr>
        <w:pStyle w:val="Bullet"/>
      </w:pPr>
      <w:r>
        <w:t>provided Cabinet with policy advice</w:t>
      </w:r>
    </w:p>
    <w:p w14:paraId="08B1A244" w14:textId="1FA28A0A" w:rsidR="00ED2498" w:rsidRDefault="00ED2498" w:rsidP="00ED2498">
      <w:pPr>
        <w:pStyle w:val="Bullet"/>
      </w:pPr>
      <w:r>
        <w:t>developed the Government Policy Statement</w:t>
      </w:r>
    </w:p>
    <w:p w14:paraId="21AACB25" w14:textId="5C5F2A63" w:rsidR="00ED2498" w:rsidRDefault="00ED2498" w:rsidP="00ED2498">
      <w:pPr>
        <w:pStyle w:val="Bullet"/>
      </w:pPr>
      <w:r>
        <w:t>planned and implemented our Ministry’s new operating model, including the public health system transformation.</w:t>
      </w:r>
    </w:p>
    <w:p w14:paraId="316C60CC" w14:textId="77777777" w:rsidR="00ED2498" w:rsidRDefault="00ED2498" w:rsidP="00ED2498"/>
    <w:p w14:paraId="30400603" w14:textId="49EA0270" w:rsidR="00ED2498" w:rsidRDefault="00ED2498" w:rsidP="00ED2498">
      <w:r>
        <w:t>In September 2021, the interim agencies Interim Health New Zealand and Interim Māori Health Authority | Te Mana Hauora Māori were established. These agencies worked with us and the Transition Unit so that we were ready for the reforms on</w:t>
      </w:r>
    </w:p>
    <w:p w14:paraId="23336414" w14:textId="25CA5158" w:rsidR="00ED2498" w:rsidRDefault="00ED2498" w:rsidP="00ED2498">
      <w:r>
        <w:t>1 July 2022.</w:t>
      </w:r>
    </w:p>
    <w:p w14:paraId="5D9F71A3" w14:textId="77777777" w:rsidR="00ED2498" w:rsidRDefault="00ED2498" w:rsidP="00ED2498"/>
    <w:p w14:paraId="2B2C8B3A" w14:textId="77777777" w:rsidR="00ED2498" w:rsidRDefault="00ED2498" w:rsidP="00ED2498">
      <w:r>
        <w:t>The Minister of Health, agreed as appropriation Minister to direct under section 7C(2)I(i) of the Public Finance Act 1989, to the Departmental Agency Chief Executives to use the relevant categories of the Health and Disability Systems Reform multi-category appropriation, to clearly delineate the accountabilities of the interim agencies, alongside any funding decisions around localities networks and developing new Hauora Māori programmes. Accordingly, during 2021/22 the Interim Chief executives of the interim Health New Zealand and Interim Māori Health Authority departmental agencies were responsible (instead of the Ministry of Health, as the appropriation administrator) to the Minister of Health for what was achieved with those expenses.</w:t>
      </w:r>
    </w:p>
    <w:p w14:paraId="203AB109" w14:textId="77777777" w:rsidR="00ED2498" w:rsidRDefault="00ED2498" w:rsidP="00ED2498"/>
    <w:p w14:paraId="1F81DF10" w14:textId="2E7C139C" w:rsidR="00ED2498" w:rsidRDefault="00ED2498" w:rsidP="00ED2498">
      <w:r>
        <w:t>We set up Interim Health New Zealand and Te Mana Hauora Māori | Interim Māori Health Agency as departmental agencies within Manatū Hauora on 1 September 2021.</w:t>
      </w:r>
    </w:p>
    <w:p w14:paraId="69091CDD" w14:textId="77777777" w:rsidR="00ED2498" w:rsidRDefault="00ED2498" w:rsidP="00ED2498"/>
    <w:p w14:paraId="545736F6" w14:textId="1DA53848" w:rsidR="00ED2498" w:rsidRDefault="00ED2498" w:rsidP="00ED2498">
      <w:r>
        <w:t>This made it easier to appoint staff to the interim agencies, including the Chief Executives in mid-February 2022. It also allowed the interim agencies to develop their operating models and prepare the interim New Zealand Health Plan and the New Zealand Health Charter.</w:t>
      </w:r>
    </w:p>
    <w:p w14:paraId="666CEE82" w14:textId="77777777" w:rsidR="00ED2498" w:rsidRDefault="00ED2498" w:rsidP="00ED2498"/>
    <w:p w14:paraId="30E46684" w14:textId="77777777" w:rsidR="00ED2498" w:rsidRDefault="00ED2498" w:rsidP="00ED2498">
      <w:r>
        <w:t>We transferred Ministry functions to the interim agencies along with staff.</w:t>
      </w:r>
    </w:p>
    <w:p w14:paraId="453DA60D" w14:textId="7C06CE95" w:rsidR="00ED2498" w:rsidRDefault="00ED2498" w:rsidP="00ED2498">
      <w:r>
        <w:t>The Ministry of Health led the work to determine which functions would transfer, working with the interim agencies to agree which functions would transfer and how the functions fit in the interim agencies’ operating models.</w:t>
      </w:r>
    </w:p>
    <w:p w14:paraId="2C3036C5" w14:textId="77777777" w:rsidR="00ED2498" w:rsidRDefault="00ED2498" w:rsidP="00ED2498"/>
    <w:p w14:paraId="6918213A" w14:textId="50B1FB28" w:rsidR="00ED2498" w:rsidRDefault="00ED2498" w:rsidP="00ED2498">
      <w:r>
        <w:lastRenderedPageBreak/>
        <w:t>The Joint Transitional Leaders Group made the final agreement of function transfers. This Group consisted of the Director- General of Health, Chief Executives of the interim agencies, and the Lead of the Transition Unit at the Department of the Prime Minister and Cabinet.</w:t>
      </w:r>
    </w:p>
    <w:p w14:paraId="56FD1455" w14:textId="77777777" w:rsidR="00ED2498" w:rsidRDefault="00ED2498" w:rsidP="00ED2498"/>
    <w:p w14:paraId="5DBFAC79" w14:textId="77777777" w:rsidR="00ED2498" w:rsidRDefault="00ED2498" w:rsidP="00ED2498">
      <w:r>
        <w:t>Whaikaha | Ministry of Disabled People was established on 1 July 2022. Whaikaha takes on most functions delivered by the Disability directorate within the Ministry of Health, as well as taking on new responsibilities.</w:t>
      </w:r>
    </w:p>
    <w:p w14:paraId="259B8EFF" w14:textId="77777777" w:rsidR="00ED2498" w:rsidRDefault="00ED2498" w:rsidP="00ED2498">
      <w:r>
        <w:t xml:space="preserve"> </w:t>
      </w:r>
    </w:p>
    <w:p w14:paraId="5BC9850C" w14:textId="3230B209" w:rsidR="00ED2498" w:rsidRDefault="00ED2498" w:rsidP="00ED2498">
      <w:r>
        <w:t>Between 1 March and 1 July 2022, 1,560 full- time staff</w:t>
      </w:r>
      <w:r>
        <w:rPr>
          <w:rStyle w:val="FootnoteReference"/>
        </w:rPr>
        <w:footnoteReference w:id="1"/>
      </w:r>
      <w:r>
        <w:t xml:space="preserve"> transferred from the Ministry of Health to Interim Health New Zealand, Te Mana Hauora Māori and Whaikaha.</w:t>
      </w:r>
    </w:p>
    <w:p w14:paraId="5D0205B2" w14:textId="77777777" w:rsidR="00ED2498" w:rsidRDefault="00ED2498" w:rsidP="00A3388F">
      <w:pPr>
        <w:pStyle w:val="Heading4"/>
        <w:spacing w:before="320"/>
      </w:pPr>
      <w:r>
        <w:t>Improving child wellbeing</w:t>
      </w:r>
    </w:p>
    <w:p w14:paraId="31A16837" w14:textId="659A1244" w:rsidR="00ED2498" w:rsidRDefault="00ED2498" w:rsidP="00ED2498">
      <w:r>
        <w:t>We continued to deliver on the priorities in the Child and Youth Wellbeing Strategy.</w:t>
      </w:r>
      <w:r>
        <w:rPr>
          <w:rStyle w:val="FootnoteReference"/>
        </w:rPr>
        <w:footnoteReference w:id="2"/>
      </w:r>
      <w:r>
        <w:t xml:space="preserve"> This included work areas from the Government’s response to the Well Child Tamariki Ora Review.</w:t>
      </w:r>
    </w:p>
    <w:p w14:paraId="5167088C" w14:textId="77777777" w:rsidR="00ED2498" w:rsidRDefault="00ED2498" w:rsidP="00ED2498"/>
    <w:p w14:paraId="1827C4B3" w14:textId="77777777" w:rsidR="00ED2498" w:rsidRDefault="00ED2498" w:rsidP="00ED2498">
      <w:r>
        <w:t>In 2021/22 we:</w:t>
      </w:r>
    </w:p>
    <w:p w14:paraId="48B1BBC7" w14:textId="70F01717" w:rsidR="00ED2498" w:rsidRDefault="00ED2498" w:rsidP="00ED2498">
      <w:pPr>
        <w:pStyle w:val="Bullet"/>
      </w:pPr>
      <w:r>
        <w:t>provided mental health support for primary and intermediate school students</w:t>
      </w:r>
    </w:p>
    <w:p w14:paraId="657D9656" w14:textId="75E6CB51" w:rsidR="00ED2498" w:rsidRDefault="00ED2498" w:rsidP="00ED2498">
      <w:pPr>
        <w:pStyle w:val="Bullet"/>
      </w:pPr>
      <w:r>
        <w:t>expanded access to primary mental health and addiction support services</w:t>
      </w:r>
    </w:p>
    <w:p w14:paraId="1DFD414D" w14:textId="1779443D" w:rsidR="00ED2498" w:rsidRDefault="00ED2498" w:rsidP="00ED2498">
      <w:pPr>
        <w:pStyle w:val="Bullet"/>
      </w:pPr>
      <w:r>
        <w:t>improved oral health care for children and young people.</w:t>
      </w:r>
    </w:p>
    <w:p w14:paraId="17BEFB92" w14:textId="77777777" w:rsidR="00ED2498" w:rsidRDefault="00ED2498" w:rsidP="00A3388F">
      <w:pPr>
        <w:pStyle w:val="Heading4"/>
        <w:spacing w:before="320"/>
      </w:pPr>
      <w:r>
        <w:t>Improving mental health through preventative measures</w:t>
      </w:r>
    </w:p>
    <w:p w14:paraId="0254CBD8" w14:textId="62B34F03" w:rsidR="00ED2498" w:rsidRDefault="00ED2498" w:rsidP="00ED2498">
      <w:r>
        <w:t>We progressed work to roll out consistent mental health services across the country, while reflecting the specific needs of local communities. Improving access and choice of primary mental health and addiction services helps ensure New Zealanders can access support when – and where – they need it.</w:t>
      </w:r>
    </w:p>
    <w:p w14:paraId="0A1CD179" w14:textId="77777777" w:rsidR="00ED2498" w:rsidRDefault="00ED2498" w:rsidP="00A3388F">
      <w:pPr>
        <w:pStyle w:val="Heading4"/>
        <w:spacing w:before="320"/>
      </w:pPr>
      <w:r>
        <w:t>Improving wellbeing through preventative measures</w:t>
      </w:r>
    </w:p>
    <w:p w14:paraId="0E9CC4B0" w14:textId="77777777" w:rsidR="00ED2498" w:rsidRDefault="00ED2498" w:rsidP="00ED2498">
      <w:r>
        <w:t>In 2021/22 we:</w:t>
      </w:r>
    </w:p>
    <w:p w14:paraId="659F759D" w14:textId="77777777" w:rsidR="00ED2498" w:rsidRDefault="00ED2498" w:rsidP="00ED2498">
      <w:pPr>
        <w:pStyle w:val="Bullet"/>
      </w:pPr>
      <w:r>
        <w:t>progressed actions under the cross- agency Aotearoa New Zealand Homelessness Action Plan (led by the Ministry of Housing and Urban Development)</w:t>
      </w:r>
      <w:r>
        <w:rPr>
          <w:rStyle w:val="FootnoteReference"/>
        </w:rPr>
        <w:footnoteReference w:id="3"/>
      </w:r>
    </w:p>
    <w:p w14:paraId="034E88B0" w14:textId="303E90E9" w:rsidR="00E678B5" w:rsidRDefault="00E678B5" w:rsidP="00E678B5">
      <w:pPr>
        <w:pStyle w:val="Bullet"/>
      </w:pPr>
      <w:r>
        <w:t>worked as part of the Joint Venture for Family Violence and Sexual Violence to develop a preventions-based approach to family and sexual violence.</w:t>
      </w:r>
      <w:r>
        <w:rPr>
          <w:rStyle w:val="FootnoteReference"/>
        </w:rPr>
        <w:footnoteReference w:id="4"/>
      </w:r>
    </w:p>
    <w:p w14:paraId="76DE7677" w14:textId="77777777" w:rsidR="00E678B5" w:rsidRDefault="00E678B5" w:rsidP="00E678B5">
      <w:pPr>
        <w:pStyle w:val="Bullet"/>
      </w:pPr>
      <w:r>
        <w:t>increased access to our national screening programmes for detectable diseases</w:t>
      </w:r>
    </w:p>
    <w:p w14:paraId="4F73ABB8" w14:textId="77777777" w:rsidR="00E678B5" w:rsidRDefault="00E678B5" w:rsidP="00E678B5">
      <w:pPr>
        <w:pStyle w:val="Bullet"/>
      </w:pPr>
      <w:r>
        <w:t>controlled the purchase of tobacco- related products.</w:t>
      </w:r>
    </w:p>
    <w:p w14:paraId="4FA142E6" w14:textId="77777777" w:rsidR="00E678B5" w:rsidRDefault="00E678B5" w:rsidP="00600AD4">
      <w:pPr>
        <w:pStyle w:val="Heading4"/>
      </w:pPr>
      <w:r>
        <w:lastRenderedPageBreak/>
        <w:t>Providing better primary health care</w:t>
      </w:r>
    </w:p>
    <w:p w14:paraId="50CC08D5" w14:textId="42CBDA64" w:rsidR="00E678B5" w:rsidRDefault="00E678B5" w:rsidP="00E678B5">
      <w:r>
        <w:t>We continued programmes to help us make sure health professionals have the tools they need. For example, we are developing standardised population health data for health professionals to use to plan and take action.</w:t>
      </w:r>
    </w:p>
    <w:p w14:paraId="28A89AEA" w14:textId="32EC4168" w:rsidR="00E678B5" w:rsidRDefault="00E678B5" w:rsidP="00600AD4">
      <w:pPr>
        <w:pStyle w:val="Heading4"/>
      </w:pPr>
      <w:r>
        <w:t>Ensuring a financially sustainable health system</w:t>
      </w:r>
    </w:p>
    <w:p w14:paraId="674BD7E6" w14:textId="2C96098D" w:rsidR="00E678B5" w:rsidRDefault="00E678B5" w:rsidP="00E678B5">
      <w:r>
        <w:t>We are committed to prioritising the sustainability of health system services.</w:t>
      </w:r>
    </w:p>
    <w:p w14:paraId="12F926BD" w14:textId="77777777" w:rsidR="00E678B5" w:rsidRDefault="00E678B5" w:rsidP="00E678B5"/>
    <w:p w14:paraId="3F6F2F92" w14:textId="77777777" w:rsidR="00E678B5" w:rsidRDefault="00E678B5" w:rsidP="00E678B5">
      <w:r>
        <w:t>In 2021/22 we worked with DHBs to ensure a long-term view that protects their assets and facilities. The approach aimed to promote trust in our health and disability system by assuring the quality, safety and coverage of health and disability services.</w:t>
      </w:r>
    </w:p>
    <w:p w14:paraId="46E47A9F" w14:textId="77777777" w:rsidR="00E678B5" w:rsidRPr="00E678B5" w:rsidRDefault="00E678B5" w:rsidP="008B4723">
      <w:pPr>
        <w:pStyle w:val="Heading3"/>
      </w:pPr>
      <w:bookmarkStart w:id="10" w:name="_Toc117264918"/>
      <w:r w:rsidRPr="00E678B5">
        <w:t>Our Values | Ngā Uaratanga</w:t>
      </w:r>
      <w:bookmarkEnd w:id="10"/>
    </w:p>
    <w:p w14:paraId="44C03DF5" w14:textId="77777777" w:rsidR="00E678B5" w:rsidRDefault="00E678B5" w:rsidP="00E678B5">
      <w:r>
        <w:t>Our organisational culture is guided by our values and informed by our rich history, current context and experience of how we work together to solve problems and deliver on our strategy.</w:t>
      </w:r>
    </w:p>
    <w:p w14:paraId="1E15AED5" w14:textId="732D55E2" w:rsidR="00E678B5" w:rsidRDefault="00E678B5" w:rsidP="00E678B5">
      <w:r>
        <w:t xml:space="preserve"> </w:t>
      </w:r>
    </w:p>
    <w:p w14:paraId="5A542BE7" w14:textId="77777777" w:rsidR="00E678B5" w:rsidRDefault="00E678B5" w:rsidP="00E678B5">
      <w:r>
        <w:t>Our collectively chosen values guide how we work together within the Ministry, for example, in our recruitment processes, our induction programme and our performance and development systems. Our values also guide how we work across the health and disability sector, with our public sector colleagues and with communities.</w:t>
      </w:r>
    </w:p>
    <w:p w14:paraId="5E3C56C8" w14:textId="77777777" w:rsidR="00E20701" w:rsidRDefault="00E20701" w:rsidP="00E678B5"/>
    <w:p w14:paraId="089259E8" w14:textId="77777777" w:rsidR="00E20701" w:rsidRDefault="00E20701" w:rsidP="00E678B5">
      <w:r>
        <w:rPr>
          <w:noProof/>
        </w:rPr>
        <w:drawing>
          <wp:inline distT="0" distB="0" distL="0" distR="0" wp14:anchorId="0813A5AD" wp14:editId="577AC146">
            <wp:extent cx="5130165" cy="2718435"/>
            <wp:effectExtent l="0" t="0" r="0" b="5715"/>
            <wp:docPr id="7" name="Picture 7" descr="Our Ministry values: Manaakitanga, Kaitiakitanga, Whakapono, Kōkiri ngāta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ur Ministry values: Manaakitanga, Kaitiakitanga, Whakapono, Kōkiri ngātahi"/>
                    <pic:cNvPicPr/>
                  </pic:nvPicPr>
                  <pic:blipFill>
                    <a:blip r:embed="rId27">
                      <a:extLst>
                        <a:ext uri="{28A0092B-C50C-407E-A947-70E740481C1C}">
                          <a14:useLocalDpi xmlns:a14="http://schemas.microsoft.com/office/drawing/2010/main" val="0"/>
                        </a:ext>
                      </a:extLst>
                    </a:blip>
                    <a:stretch>
                      <a:fillRect/>
                    </a:stretch>
                  </pic:blipFill>
                  <pic:spPr>
                    <a:xfrm>
                      <a:off x="0" y="0"/>
                      <a:ext cx="5130165" cy="2718435"/>
                    </a:xfrm>
                    <a:prstGeom prst="rect">
                      <a:avLst/>
                    </a:prstGeom>
                  </pic:spPr>
                </pic:pic>
              </a:graphicData>
            </a:graphic>
          </wp:inline>
        </w:drawing>
      </w:r>
    </w:p>
    <w:p w14:paraId="3230DCDC" w14:textId="77777777" w:rsidR="00E20701" w:rsidRDefault="00E20701" w:rsidP="00E678B5"/>
    <w:p w14:paraId="6B10E022" w14:textId="77777777" w:rsidR="00E20701" w:rsidRDefault="00E20701" w:rsidP="008B4723">
      <w:pPr>
        <w:pStyle w:val="Heading3"/>
        <w:sectPr w:rsidR="00E20701" w:rsidSect="00ED2498">
          <w:footerReference w:type="even" r:id="rId28"/>
          <w:pgSz w:w="11907" w:h="16840" w:code="9"/>
          <w:pgMar w:top="1418" w:right="1701" w:bottom="1134" w:left="1843" w:header="284" w:footer="425" w:gutter="284"/>
          <w:pgNumType w:start="1"/>
          <w:cols w:space="720"/>
        </w:sectPr>
      </w:pPr>
    </w:p>
    <w:p w14:paraId="755A05A6" w14:textId="4197792F" w:rsidR="00E20701" w:rsidRDefault="00E20701" w:rsidP="008B4723">
      <w:pPr>
        <w:pStyle w:val="Heading3"/>
      </w:pPr>
      <w:bookmarkStart w:id="11" w:name="_Toc117264919"/>
      <w:r>
        <w:lastRenderedPageBreak/>
        <w:t>Our strategy | Tā Tātou Rautaki</w:t>
      </w:r>
      <w:bookmarkEnd w:id="11"/>
    </w:p>
    <w:p w14:paraId="652CFC69" w14:textId="77777777" w:rsidR="00354135" w:rsidRDefault="00E20701" w:rsidP="00E20701">
      <w:r>
        <w:t xml:space="preserve">Our organisational strategy Tā Tātou Rautaki sets out how we have worked towards pae ora | healthy futures. </w:t>
      </w:r>
    </w:p>
    <w:p w14:paraId="61A55D74" w14:textId="77777777" w:rsidR="00354135" w:rsidRDefault="00354135" w:rsidP="00E20701"/>
    <w:p w14:paraId="5A578341" w14:textId="3219C0C1" w:rsidR="00E20701" w:rsidRDefault="00E20701" w:rsidP="00E20701">
      <w:r w:rsidRPr="00E20701">
        <w:t>In 2022-23 we will update our strategy Tā Tātou Rautaki. We will also update our Strategic Intentions 2021–2025</w:t>
      </w:r>
      <w:r w:rsidR="00354135">
        <w:rPr>
          <w:rStyle w:val="FootnoteReference"/>
        </w:rPr>
        <w:footnoteReference w:id="5"/>
      </w:r>
      <w:r w:rsidRPr="00E20701">
        <w:t xml:space="preserve"> to redefine our strategic objectives.</w:t>
      </w:r>
    </w:p>
    <w:p w14:paraId="0723DEEF" w14:textId="1FFF0B20" w:rsidR="00354135" w:rsidRDefault="00354135" w:rsidP="00E20701"/>
    <w:p w14:paraId="165A9841" w14:textId="7E711949" w:rsidR="00354135" w:rsidRDefault="00354135" w:rsidP="00E20701">
      <w:r>
        <w:rPr>
          <w:noProof/>
        </w:rPr>
        <w:drawing>
          <wp:inline distT="0" distB="0" distL="0" distR="0" wp14:anchorId="53E408A5" wp14:editId="26E265EA">
            <wp:extent cx="5130165" cy="6577965"/>
            <wp:effectExtent l="0" t="0" r="0" b="0"/>
            <wp:docPr id="2084" name="Picture 2084" descr="Pae Ora Healthy futures: We live longer in good health. We have improved quality of life. We have health equity for Māori and all other people. Tā Tātou: Our Strategy: Our purpose: Kaitiaki of the health and disability system in Aotearoa New Zealand; Our mission: a fair, effective and sustainable system that people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 name="Picture 2084" descr="Pae Ora Healthy futures: We live longer in good health. We have improved quality of life. We have health equity for Māori and all other people. Tā Tātou: Our Strategy: Our purpose: Kaitiaki of the health and disability system in Aotearoa New Zealand; Our mission: a fair, effective and sustainable system that people trust."/>
                    <pic:cNvPicPr/>
                  </pic:nvPicPr>
                  <pic:blipFill>
                    <a:blip r:embed="rId29">
                      <a:extLst>
                        <a:ext uri="{28A0092B-C50C-407E-A947-70E740481C1C}">
                          <a14:useLocalDpi xmlns:a14="http://schemas.microsoft.com/office/drawing/2010/main" val="0"/>
                        </a:ext>
                      </a:extLst>
                    </a:blip>
                    <a:stretch>
                      <a:fillRect/>
                    </a:stretch>
                  </pic:blipFill>
                  <pic:spPr>
                    <a:xfrm>
                      <a:off x="0" y="0"/>
                      <a:ext cx="5130165" cy="6577965"/>
                    </a:xfrm>
                    <a:prstGeom prst="rect">
                      <a:avLst/>
                    </a:prstGeom>
                  </pic:spPr>
                </pic:pic>
              </a:graphicData>
            </a:graphic>
          </wp:inline>
        </w:drawing>
      </w:r>
    </w:p>
    <w:p w14:paraId="66D5A3DA" w14:textId="77777777" w:rsidR="00354135" w:rsidRDefault="00354135" w:rsidP="00E20701"/>
    <w:p w14:paraId="42CB3D8F" w14:textId="062C26B5" w:rsidR="00354135" w:rsidRPr="00ED2498" w:rsidRDefault="00354135" w:rsidP="00E20701">
      <w:pPr>
        <w:sectPr w:rsidR="00354135" w:rsidRPr="00ED2498" w:rsidSect="00C26282">
          <w:pgSz w:w="11907" w:h="16840" w:code="9"/>
          <w:pgMar w:top="1418" w:right="1701" w:bottom="1134" w:left="1843" w:header="284" w:footer="425" w:gutter="284"/>
          <w:cols w:space="720"/>
        </w:sectPr>
      </w:pPr>
    </w:p>
    <w:p w14:paraId="7351A6F0" w14:textId="412EA56A" w:rsidR="007755E3" w:rsidRDefault="00C26282" w:rsidP="007755E3">
      <w:pPr>
        <w:pStyle w:val="Heading1"/>
        <w:spacing w:before="0"/>
        <w:rPr>
          <w:bCs/>
        </w:rPr>
      </w:pPr>
      <w:bookmarkStart w:id="12" w:name="_Toc117264920"/>
      <w:r w:rsidRPr="00C26282">
        <w:lastRenderedPageBreak/>
        <w:t xml:space="preserve">Our continued response to the COVID-19 pandemic | </w:t>
      </w:r>
      <w:r w:rsidRPr="007755E3">
        <w:rPr>
          <w:b w:val="0"/>
        </w:rPr>
        <w:t xml:space="preserve">Tā </w:t>
      </w:r>
      <w:r w:rsidR="0033090A">
        <w:rPr>
          <w:b w:val="0"/>
        </w:rPr>
        <w:t>m</w:t>
      </w:r>
      <w:r w:rsidRPr="007755E3">
        <w:rPr>
          <w:b w:val="0"/>
        </w:rPr>
        <w:t>ātou kaupare tonu i te urutā Kowheori-19</w:t>
      </w:r>
      <w:bookmarkEnd w:id="12"/>
    </w:p>
    <w:p w14:paraId="4C242203" w14:textId="77777777" w:rsidR="00982F4D" w:rsidRDefault="00982F4D" w:rsidP="007755E3">
      <w:pPr>
        <w:pStyle w:val="Heading2"/>
        <w:rPr>
          <w:w w:val="105"/>
        </w:rPr>
        <w:sectPr w:rsidR="00982F4D" w:rsidSect="00C26282">
          <w:footerReference w:type="even" r:id="rId30"/>
          <w:footerReference w:type="default" r:id="rId31"/>
          <w:pgSz w:w="11907" w:h="16840" w:code="9"/>
          <w:pgMar w:top="1418" w:right="1701" w:bottom="1134" w:left="1843" w:header="284" w:footer="425" w:gutter="284"/>
          <w:cols w:space="720"/>
        </w:sectPr>
      </w:pPr>
    </w:p>
    <w:p w14:paraId="27CE47F6" w14:textId="7B24C19A" w:rsidR="009A42D5" w:rsidRDefault="007755E3" w:rsidP="007755E3">
      <w:pPr>
        <w:pStyle w:val="Heading2"/>
        <w:rPr>
          <w:b w:val="0"/>
          <w:bCs/>
          <w:w w:val="105"/>
        </w:rPr>
      </w:pPr>
      <w:bookmarkStart w:id="13" w:name="_Toc117264921"/>
      <w:r w:rsidRPr="007755E3">
        <w:rPr>
          <w:w w:val="105"/>
        </w:rPr>
        <w:lastRenderedPageBreak/>
        <w:t>COVID-19 information at a glance |</w:t>
      </w:r>
      <w:r>
        <w:rPr>
          <w:w w:val="105"/>
        </w:rPr>
        <w:t xml:space="preserve"> </w:t>
      </w:r>
      <w:r w:rsidRPr="007755E3">
        <w:rPr>
          <w:b w:val="0"/>
          <w:bCs/>
          <w:w w:val="105"/>
        </w:rPr>
        <w:t>He whakarāpopoto kōrero mō te Kowheori-19</w:t>
      </w:r>
      <w:bookmarkEnd w:id="13"/>
    </w:p>
    <w:p w14:paraId="6C710FD6" w14:textId="6618DAF2" w:rsidR="007755E3" w:rsidRDefault="007755E3" w:rsidP="007755E3">
      <w:pPr>
        <w:rPr>
          <w:rFonts w:eastAsia="Arial Unicode MS"/>
        </w:rPr>
      </w:pPr>
      <w:r>
        <w:rPr>
          <w:noProof/>
        </w:rPr>
        <w:drawing>
          <wp:inline distT="0" distB="0" distL="0" distR="0" wp14:anchorId="44BB4E10" wp14:editId="541DB230">
            <wp:extent cx="5248275" cy="5559710"/>
            <wp:effectExtent l="0" t="0" r="0" b="3175"/>
            <wp:docPr id="2085" name="Picture 2085" descr="Diagram with key statistics such as 786,330 contacts reached; 4,006 exposure events logged; 972,840 cases interview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 name="Picture 2085" descr="Diagram with key statistics such as 786,330 contacts reached; 4,006 exposure events logged; 972,840 cases interviewed"/>
                    <pic:cNvPicPr/>
                  </pic:nvPicPr>
                  <pic:blipFill>
                    <a:blip r:embed="rId32">
                      <a:extLst>
                        <a:ext uri="{28A0092B-C50C-407E-A947-70E740481C1C}">
                          <a14:useLocalDpi xmlns:a14="http://schemas.microsoft.com/office/drawing/2010/main" val="0"/>
                        </a:ext>
                      </a:extLst>
                    </a:blip>
                    <a:stretch>
                      <a:fillRect/>
                    </a:stretch>
                  </pic:blipFill>
                  <pic:spPr>
                    <a:xfrm>
                      <a:off x="0" y="0"/>
                      <a:ext cx="5248275" cy="5559710"/>
                    </a:xfrm>
                    <a:prstGeom prst="rect">
                      <a:avLst/>
                    </a:prstGeom>
                  </pic:spPr>
                </pic:pic>
              </a:graphicData>
            </a:graphic>
          </wp:inline>
        </w:drawing>
      </w:r>
    </w:p>
    <w:p w14:paraId="1DCECC4C" w14:textId="77777777" w:rsidR="007755E3" w:rsidRDefault="007755E3" w:rsidP="007755E3">
      <w:pPr>
        <w:rPr>
          <w:rFonts w:eastAsia="Arial Unicode MS"/>
        </w:rPr>
        <w:sectPr w:rsidR="007755E3" w:rsidSect="00C26282">
          <w:pgSz w:w="11907" w:h="16840" w:code="9"/>
          <w:pgMar w:top="1418" w:right="1701" w:bottom="1134" w:left="1843" w:header="284" w:footer="425" w:gutter="284"/>
          <w:cols w:space="720"/>
        </w:sectPr>
      </w:pPr>
    </w:p>
    <w:p w14:paraId="6294766A" w14:textId="59969268" w:rsidR="007755E3" w:rsidRDefault="007755E3" w:rsidP="007755E3">
      <w:pPr>
        <w:rPr>
          <w:rFonts w:eastAsia="Arial Unicode MS"/>
        </w:rPr>
      </w:pPr>
      <w:r>
        <w:rPr>
          <w:noProof/>
        </w:rPr>
        <w:lastRenderedPageBreak/>
        <w:drawing>
          <wp:inline distT="0" distB="0" distL="0" distR="0" wp14:anchorId="5070AAED" wp14:editId="68BC649A">
            <wp:extent cx="5098415" cy="5834161"/>
            <wp:effectExtent l="0" t="0" r="6985" b="0"/>
            <wp:docPr id="2086" name="Picture 2086" descr="Diagram with statistics such as more than 56,000 users trained to use COVID-19 plat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 name="Picture 2086" descr="Diagram with statistics such as more than 56,000 users trained to use COVID-19 platforms"/>
                    <pic:cNvPicPr/>
                  </pic:nvPicPr>
                  <pic:blipFill rotWithShape="1">
                    <a:blip r:embed="rId33">
                      <a:extLst>
                        <a:ext uri="{28A0092B-C50C-407E-A947-70E740481C1C}">
                          <a14:useLocalDpi xmlns:a14="http://schemas.microsoft.com/office/drawing/2010/main" val="0"/>
                        </a:ext>
                      </a:extLst>
                    </a:blip>
                    <a:srcRect t="746"/>
                    <a:stretch/>
                  </pic:blipFill>
                  <pic:spPr bwMode="auto">
                    <a:xfrm>
                      <a:off x="0" y="0"/>
                      <a:ext cx="5098618" cy="5834393"/>
                    </a:xfrm>
                    <a:prstGeom prst="rect">
                      <a:avLst/>
                    </a:prstGeom>
                    <a:ln>
                      <a:noFill/>
                    </a:ln>
                    <a:extLst>
                      <a:ext uri="{53640926-AAD7-44D8-BBD7-CCE9431645EC}">
                        <a14:shadowObscured xmlns:a14="http://schemas.microsoft.com/office/drawing/2010/main"/>
                      </a:ext>
                    </a:extLst>
                  </pic:spPr>
                </pic:pic>
              </a:graphicData>
            </a:graphic>
          </wp:inline>
        </w:drawing>
      </w:r>
    </w:p>
    <w:p w14:paraId="007B77C1" w14:textId="1BADD4AC" w:rsidR="00673D8A" w:rsidRDefault="00673D8A" w:rsidP="007755E3">
      <w:pPr>
        <w:rPr>
          <w:rFonts w:eastAsia="Arial Unicode MS"/>
        </w:rPr>
      </w:pPr>
    </w:p>
    <w:p w14:paraId="6EF9F4B7" w14:textId="77777777" w:rsidR="00673D8A" w:rsidRDefault="00673D8A" w:rsidP="007755E3">
      <w:pPr>
        <w:rPr>
          <w:rFonts w:eastAsia="Arial Unicode MS"/>
        </w:rPr>
        <w:sectPr w:rsidR="00673D8A" w:rsidSect="00C26282">
          <w:pgSz w:w="11907" w:h="16840" w:code="9"/>
          <w:pgMar w:top="1418" w:right="1701" w:bottom="1134" w:left="1843" w:header="284" w:footer="425" w:gutter="284"/>
          <w:cols w:space="720"/>
        </w:sectPr>
      </w:pPr>
    </w:p>
    <w:p w14:paraId="76C48EBE" w14:textId="0F8308C9" w:rsidR="00673D8A" w:rsidRDefault="00673D8A" w:rsidP="00673D8A">
      <w:pPr>
        <w:pStyle w:val="Heading2"/>
        <w:spacing w:before="0" w:after="240"/>
        <w:rPr>
          <w:rFonts w:eastAsia="Arial Unicode MS"/>
          <w:b w:val="0"/>
          <w:bCs/>
        </w:rPr>
      </w:pPr>
      <w:bookmarkStart w:id="14" w:name="_Toc117264922"/>
      <w:r w:rsidRPr="00673D8A">
        <w:rPr>
          <w:rFonts w:eastAsia="Arial Unicode MS"/>
        </w:rPr>
        <w:lastRenderedPageBreak/>
        <w:t xml:space="preserve">Leading the COVID-19 health response in Aotearoa New Zealand | </w:t>
      </w:r>
      <w:r w:rsidRPr="00673D8A">
        <w:rPr>
          <w:rFonts w:eastAsia="Arial Unicode MS"/>
          <w:b w:val="0"/>
          <w:bCs/>
        </w:rPr>
        <w:t>Te ārahi i te kaupare i te Kowheori-19 i Aotearoa</w:t>
      </w:r>
      <w:bookmarkEnd w:id="14"/>
    </w:p>
    <w:p w14:paraId="30F4B21B" w14:textId="1BFB653E" w:rsidR="00673D8A" w:rsidRDefault="00673D8A" w:rsidP="00673D8A">
      <w:pPr>
        <w:rPr>
          <w:rFonts w:eastAsia="Arial Unicode MS"/>
        </w:rPr>
      </w:pPr>
      <w:r w:rsidRPr="00673D8A">
        <w:rPr>
          <w:rFonts w:eastAsia="Arial Unicode MS"/>
        </w:rPr>
        <w:t>The COVID-19 response has continued to be one of the most important public health responses nationally and internationally. We are committed to keeping everybody safe and achieving equitable outcomes for the people of Aotearoa New Zealand.</w:t>
      </w:r>
    </w:p>
    <w:p w14:paraId="1667B12D" w14:textId="0893C428" w:rsidR="00673D8A" w:rsidRDefault="00673D8A" w:rsidP="00673D8A">
      <w:pPr>
        <w:rPr>
          <w:rFonts w:eastAsia="Arial Unicode MS"/>
        </w:rPr>
      </w:pPr>
    </w:p>
    <w:p w14:paraId="2C971DB3" w14:textId="233A638C" w:rsidR="00673D8A" w:rsidRDefault="00673D8A" w:rsidP="00673D8A">
      <w:pPr>
        <w:rPr>
          <w:rFonts w:eastAsia="Arial Unicode MS"/>
        </w:rPr>
      </w:pPr>
      <w:r w:rsidRPr="00673D8A">
        <w:rPr>
          <w:rFonts w:eastAsia="Arial Unicode MS"/>
        </w:rPr>
        <w:t>Our public health priorities shaped the response to the COVID-19 pandemic in Aotearoa New Zealand. The Government revised its elimination strategy and the Alert Level system in late 2021, taking into account the new context of a highly vaccinated population and emerging variants of concern. The COVID-19</w:t>
      </w:r>
      <w:r>
        <w:rPr>
          <w:rFonts w:eastAsia="Arial Unicode MS"/>
        </w:rPr>
        <w:t xml:space="preserve"> </w:t>
      </w:r>
      <w:r w:rsidRPr="00673D8A">
        <w:rPr>
          <w:rFonts w:eastAsia="Arial Unicode MS"/>
        </w:rPr>
        <w:t>Protection Framework (CPF) replaced the earlier framework.</w:t>
      </w:r>
    </w:p>
    <w:p w14:paraId="1209C6AE" w14:textId="77777777" w:rsidR="00673D8A" w:rsidRPr="00673D8A" w:rsidRDefault="00673D8A" w:rsidP="00673D8A">
      <w:pPr>
        <w:rPr>
          <w:rFonts w:eastAsia="Arial Unicode MS"/>
        </w:rPr>
      </w:pPr>
    </w:p>
    <w:p w14:paraId="3C5B2F7F" w14:textId="77777777" w:rsidR="00673D8A" w:rsidRPr="00673D8A" w:rsidRDefault="00673D8A" w:rsidP="00673D8A">
      <w:pPr>
        <w:rPr>
          <w:rFonts w:eastAsia="Arial Unicode MS"/>
        </w:rPr>
      </w:pPr>
      <w:r w:rsidRPr="00673D8A">
        <w:rPr>
          <w:rFonts w:eastAsia="Arial Unicode MS"/>
        </w:rPr>
        <w:t>The CPF helped in implementing increased deployment of testing, digital technology and vaccination and in promoting mask use. The principles of the CPF allowed us</w:t>
      </w:r>
    </w:p>
    <w:p w14:paraId="113A0251" w14:textId="1C17CC5E" w:rsidR="00673D8A" w:rsidRDefault="00673D8A" w:rsidP="00673D8A">
      <w:pPr>
        <w:rPr>
          <w:rFonts w:eastAsia="Arial Unicode MS"/>
        </w:rPr>
      </w:pPr>
      <w:r w:rsidRPr="00673D8A">
        <w:rPr>
          <w:rFonts w:eastAsia="Arial Unicode MS"/>
        </w:rPr>
        <w:t>to promote equity, to reduce the impact of COVID-19 on our most vulnerable populations and to protect the health system.</w:t>
      </w:r>
    </w:p>
    <w:p w14:paraId="5807ECBE" w14:textId="77777777" w:rsidR="00673D8A" w:rsidRPr="00673D8A" w:rsidRDefault="00673D8A" w:rsidP="00673D8A">
      <w:pPr>
        <w:rPr>
          <w:rFonts w:eastAsia="Arial Unicode MS"/>
        </w:rPr>
      </w:pPr>
    </w:p>
    <w:p w14:paraId="79779578" w14:textId="77777777" w:rsidR="00673D8A" w:rsidRPr="00673D8A" w:rsidRDefault="00673D8A" w:rsidP="00673D8A">
      <w:pPr>
        <w:rPr>
          <w:rFonts w:eastAsia="Arial Unicode MS"/>
        </w:rPr>
      </w:pPr>
      <w:r w:rsidRPr="00673D8A">
        <w:rPr>
          <w:rFonts w:eastAsia="Arial Unicode MS"/>
        </w:rPr>
        <w:t>This strategy – alongside the Omicron response plan – guided the shift</w:t>
      </w:r>
    </w:p>
    <w:p w14:paraId="60D018A6" w14:textId="2710431D" w:rsidR="00673D8A" w:rsidRPr="00673D8A" w:rsidRDefault="00673D8A" w:rsidP="00673D8A">
      <w:pPr>
        <w:rPr>
          <w:rFonts w:eastAsia="Arial Unicode MS"/>
        </w:rPr>
      </w:pPr>
      <w:r w:rsidRPr="00673D8A">
        <w:rPr>
          <w:rFonts w:eastAsia="Arial Unicode MS"/>
        </w:rPr>
        <w:t>from ‘elimination’ to ‘protection and minimisation’. It allowed us to implement a ‘care in the community’ model and</w:t>
      </w:r>
      <w:r>
        <w:rPr>
          <w:rFonts w:eastAsia="Arial Unicode MS"/>
        </w:rPr>
        <w:t xml:space="preserve"> </w:t>
      </w:r>
      <w:r w:rsidRPr="00673D8A">
        <w:rPr>
          <w:rFonts w:eastAsia="Arial Unicode MS"/>
        </w:rPr>
        <w:t>enabled New Zealanders to reconnect with the world.</w:t>
      </w:r>
    </w:p>
    <w:p w14:paraId="2A4E846E" w14:textId="77777777" w:rsidR="00673D8A" w:rsidRPr="00673D8A" w:rsidRDefault="00673D8A" w:rsidP="00673D8A">
      <w:pPr>
        <w:rPr>
          <w:rFonts w:eastAsia="Arial Unicode MS"/>
        </w:rPr>
      </w:pPr>
      <w:r w:rsidRPr="00673D8A">
        <w:rPr>
          <w:rFonts w:eastAsia="Arial Unicode MS"/>
        </w:rPr>
        <w:t xml:space="preserve"> </w:t>
      </w:r>
    </w:p>
    <w:p w14:paraId="213B278F" w14:textId="77777777" w:rsidR="00673D8A" w:rsidRPr="00673D8A" w:rsidRDefault="00673D8A" w:rsidP="00673D8A">
      <w:pPr>
        <w:rPr>
          <w:rFonts w:eastAsia="Arial Unicode MS"/>
        </w:rPr>
      </w:pPr>
      <w:r w:rsidRPr="00673D8A">
        <w:rPr>
          <w:rFonts w:eastAsia="Arial Unicode MS"/>
        </w:rPr>
        <w:t>Our most effective tool was the COVID-19 vaccination programme. We had never before attempted an immunisation programme of this scale and complexity, yet the programme achieved vaccination of more than 90% of eligible New Zealanders.</w:t>
      </w:r>
    </w:p>
    <w:p w14:paraId="25DA1261" w14:textId="77777777" w:rsidR="00673D8A" w:rsidRDefault="00673D8A" w:rsidP="00673D8A">
      <w:pPr>
        <w:rPr>
          <w:rFonts w:eastAsia="Arial Unicode MS"/>
        </w:rPr>
      </w:pPr>
    </w:p>
    <w:p w14:paraId="75696A3E" w14:textId="39FFDE3E" w:rsidR="00673D8A" w:rsidRDefault="00673D8A" w:rsidP="00673D8A">
      <w:pPr>
        <w:rPr>
          <w:rFonts w:eastAsia="Arial Unicode MS"/>
        </w:rPr>
      </w:pPr>
      <w:r w:rsidRPr="00673D8A">
        <w:rPr>
          <w:rFonts w:eastAsia="Arial Unicode MS"/>
        </w:rPr>
        <w:t>These vaccination rates reduced hospitalisation and mortality rates, enabling the health and disability system to better manage COVID-19.</w:t>
      </w:r>
    </w:p>
    <w:p w14:paraId="27FDC38C" w14:textId="77777777" w:rsidR="00673D8A" w:rsidRPr="00673D8A" w:rsidRDefault="00673D8A" w:rsidP="00673D8A">
      <w:pPr>
        <w:rPr>
          <w:rFonts w:eastAsia="Arial Unicode MS"/>
        </w:rPr>
      </w:pPr>
    </w:p>
    <w:p w14:paraId="27D8E915" w14:textId="5CE0349D" w:rsidR="00673D8A" w:rsidRDefault="00673D8A" w:rsidP="00673D8A">
      <w:pPr>
        <w:rPr>
          <w:rFonts w:eastAsia="Arial Unicode MS"/>
        </w:rPr>
      </w:pPr>
      <w:r w:rsidRPr="00673D8A">
        <w:rPr>
          <w:rFonts w:eastAsia="Arial Unicode MS"/>
        </w:rPr>
        <w:t>We relied on science and the latest data from both here and overseas with the aim of protecting New Zealanders and our health system. Our COVID-19 response succeeded because we had a unified response across all government agencies, and our public health units and district health boards (DHBs).</w:t>
      </w:r>
    </w:p>
    <w:p w14:paraId="204F65FF" w14:textId="21089DE3" w:rsidR="00871C9D" w:rsidRDefault="00871C9D" w:rsidP="00673D8A">
      <w:pPr>
        <w:rPr>
          <w:rFonts w:eastAsia="Arial Unicode MS"/>
        </w:rPr>
      </w:pPr>
    </w:p>
    <w:p w14:paraId="629DD46C" w14:textId="64C6AA33" w:rsidR="00871C9D" w:rsidRDefault="00871C9D" w:rsidP="00871C9D">
      <w:pPr>
        <w:rPr>
          <w:rFonts w:eastAsia="Arial Unicode MS"/>
        </w:rPr>
      </w:pPr>
      <w:r w:rsidRPr="00871C9D">
        <w:rPr>
          <w:rFonts w:eastAsia="Arial Unicode MS"/>
        </w:rPr>
        <w:t>Over the 2021/22 year, we continued to provide a dedicated health response to the challenges of COVID-19.</w:t>
      </w:r>
      <w:r>
        <w:rPr>
          <w:rFonts w:eastAsia="Arial Unicode MS"/>
        </w:rPr>
        <w:t xml:space="preserve"> </w:t>
      </w:r>
      <w:r w:rsidRPr="00871C9D">
        <w:rPr>
          <w:rFonts w:eastAsia="Arial Unicode MS"/>
        </w:rPr>
        <w:t>We worked hard to coordinate immunisations and to provide integrated, whānau-centred care in the community.</w:t>
      </w:r>
    </w:p>
    <w:p w14:paraId="347C54BF" w14:textId="20CC04A5" w:rsidR="00871C9D" w:rsidRDefault="00871C9D" w:rsidP="00871C9D">
      <w:pPr>
        <w:rPr>
          <w:rFonts w:eastAsia="Arial Unicode MS"/>
        </w:rPr>
      </w:pPr>
    </w:p>
    <w:p w14:paraId="36C01E13" w14:textId="543534B6" w:rsidR="00871C9D" w:rsidRPr="00871C9D" w:rsidRDefault="00871C9D" w:rsidP="00871C9D">
      <w:pPr>
        <w:rPr>
          <w:rFonts w:eastAsia="Arial Unicode MS"/>
        </w:rPr>
      </w:pPr>
      <w:r w:rsidRPr="00871C9D">
        <w:rPr>
          <w:rFonts w:eastAsia="Arial Unicode MS"/>
        </w:rPr>
        <w:t>We continued to provide a dedicated and agile health response to the unprecedented challenges of COVID-19.</w:t>
      </w:r>
      <w:r>
        <w:rPr>
          <w:rFonts w:eastAsia="Arial Unicode MS"/>
        </w:rPr>
        <w:t xml:space="preserve"> </w:t>
      </w:r>
      <w:r w:rsidRPr="00871C9D">
        <w:rPr>
          <w:rFonts w:eastAsia="Arial Unicode MS"/>
        </w:rPr>
        <w:t>We faced outbreaks of 2 different variants, supported the government’s shift from its elimination strategy to one of protection and minimisation, implemented our biggest-ever national immunisation programme and supported the reopening of our borders to the rest of the world.</w:t>
      </w:r>
    </w:p>
    <w:p w14:paraId="7A185940" w14:textId="21687E92" w:rsidR="00871C9D" w:rsidRPr="00871C9D" w:rsidRDefault="00871C9D" w:rsidP="008B4723">
      <w:pPr>
        <w:pStyle w:val="Heading3"/>
      </w:pPr>
      <w:bookmarkStart w:id="15" w:name="_Toc117264923"/>
      <w:r w:rsidRPr="00871C9D">
        <w:lastRenderedPageBreak/>
        <w:t>Responding to and managing the Delta and</w:t>
      </w:r>
      <w:r>
        <w:t xml:space="preserve"> </w:t>
      </w:r>
      <w:r w:rsidRPr="00871C9D">
        <w:t>Omicron community outbreaks</w:t>
      </w:r>
      <w:bookmarkEnd w:id="15"/>
    </w:p>
    <w:p w14:paraId="0B679D32" w14:textId="7D87EB4A" w:rsidR="00871C9D" w:rsidRPr="00871C9D" w:rsidRDefault="00871C9D" w:rsidP="00871C9D">
      <w:pPr>
        <w:rPr>
          <w:rFonts w:eastAsia="Arial Unicode MS"/>
        </w:rPr>
      </w:pPr>
      <w:r w:rsidRPr="00871C9D">
        <w:rPr>
          <w:rFonts w:eastAsia="Arial Unicode MS"/>
        </w:rPr>
        <w:t>On 17 August 2021, after over 100 days of no community transmission of COVID-19, the first Delta case was detected in the community</w:t>
      </w:r>
      <w:r>
        <w:rPr>
          <w:rFonts w:eastAsia="Arial Unicode MS"/>
        </w:rPr>
        <w:t xml:space="preserve"> </w:t>
      </w:r>
      <w:r w:rsidRPr="00871C9D">
        <w:rPr>
          <w:rFonts w:eastAsia="Arial Unicode MS"/>
        </w:rPr>
        <w:t>in Aotearoa. Because this variant was more severe and had a higher transmission risk, the motu (country) went into an immediate lockdown.</w:t>
      </w:r>
    </w:p>
    <w:p w14:paraId="210635EC" w14:textId="77777777" w:rsidR="00871C9D" w:rsidRPr="00871C9D" w:rsidRDefault="00871C9D" w:rsidP="00871C9D">
      <w:pPr>
        <w:rPr>
          <w:rFonts w:eastAsia="Arial Unicode MS"/>
        </w:rPr>
      </w:pPr>
    </w:p>
    <w:p w14:paraId="0E80C408" w14:textId="757715F3" w:rsidR="00871C9D" w:rsidRDefault="00871C9D" w:rsidP="00871C9D">
      <w:pPr>
        <w:rPr>
          <w:rFonts w:eastAsia="Arial Unicode MS"/>
        </w:rPr>
      </w:pPr>
      <w:r w:rsidRPr="00871C9D">
        <w:rPr>
          <w:rFonts w:eastAsia="Arial Unicode MS"/>
        </w:rPr>
        <w:t>In August 2021, the first community case of the Delta variant in Aotearoa was detected. At the time, approximately 18% of the population was fully vaccinated, and the government was pursuing an elimination strategy under the Alert Level settings. An immediate national lockdown</w:t>
      </w:r>
      <w:r>
        <w:rPr>
          <w:rFonts w:eastAsia="Arial Unicode MS"/>
        </w:rPr>
        <w:t xml:space="preserve"> </w:t>
      </w:r>
      <w:r w:rsidRPr="00871C9D">
        <w:rPr>
          <w:rFonts w:eastAsia="Arial Unicode MS"/>
        </w:rPr>
        <w:t>was imposed – the first in over a year – and we quickly mobilised our response, with testing, contact tracing and border settings kicking into gear.</w:t>
      </w:r>
    </w:p>
    <w:p w14:paraId="74920C60" w14:textId="77777777" w:rsidR="00871C9D" w:rsidRPr="00871C9D" w:rsidRDefault="00871C9D" w:rsidP="00871C9D">
      <w:pPr>
        <w:rPr>
          <w:rFonts w:eastAsia="Arial Unicode MS"/>
        </w:rPr>
      </w:pPr>
    </w:p>
    <w:p w14:paraId="7CED2A57" w14:textId="77777777" w:rsidR="00871C9D" w:rsidRPr="00871C9D" w:rsidRDefault="00871C9D" w:rsidP="00871C9D">
      <w:pPr>
        <w:rPr>
          <w:rFonts w:eastAsia="Arial Unicode MS"/>
        </w:rPr>
      </w:pPr>
      <w:r w:rsidRPr="00871C9D">
        <w:rPr>
          <w:rFonts w:eastAsia="Arial Unicode MS"/>
        </w:rPr>
        <w:t>While in the first month we managed to largely contain the outbreak, Delta</w:t>
      </w:r>
    </w:p>
    <w:p w14:paraId="317E37BA" w14:textId="77777777" w:rsidR="00871C9D" w:rsidRPr="00871C9D" w:rsidRDefault="00871C9D" w:rsidP="00871C9D">
      <w:pPr>
        <w:rPr>
          <w:rFonts w:eastAsia="Arial Unicode MS"/>
        </w:rPr>
      </w:pPr>
      <w:r w:rsidRPr="00871C9D">
        <w:rPr>
          <w:rFonts w:eastAsia="Arial Unicode MS"/>
        </w:rPr>
        <w:t>eventually began to spread in hard-to- reach populations, and by mid-September community cases had reached over 1,000 in total. We scaled systems and services</w:t>
      </w:r>
    </w:p>
    <w:p w14:paraId="522CB89B" w14:textId="77777777" w:rsidR="00871C9D" w:rsidRPr="00871C9D" w:rsidRDefault="00871C9D" w:rsidP="00871C9D">
      <w:pPr>
        <w:rPr>
          <w:rFonts w:eastAsia="Arial Unicode MS"/>
        </w:rPr>
      </w:pPr>
      <w:r w:rsidRPr="00871C9D">
        <w:rPr>
          <w:rFonts w:eastAsia="Arial Unicode MS"/>
        </w:rPr>
        <w:t>to support contact tracing and case investigation at pace and supported the implementation of new public health measures to suppress transmission.</w:t>
      </w:r>
    </w:p>
    <w:p w14:paraId="18B2EA94" w14:textId="21F1BDE1" w:rsidR="00871C9D" w:rsidRDefault="00871C9D" w:rsidP="00871C9D">
      <w:pPr>
        <w:rPr>
          <w:rFonts w:eastAsia="Arial Unicode MS"/>
        </w:rPr>
      </w:pPr>
      <w:r w:rsidRPr="00871C9D">
        <w:rPr>
          <w:rFonts w:eastAsia="Arial Unicode MS"/>
        </w:rPr>
        <w:t>While working to contain the outbreak, we also implemented our biggest drive to immunise the population.</w:t>
      </w:r>
    </w:p>
    <w:p w14:paraId="520E3615" w14:textId="77777777" w:rsidR="00871C9D" w:rsidRPr="00871C9D" w:rsidRDefault="00871C9D" w:rsidP="00871C9D">
      <w:pPr>
        <w:rPr>
          <w:rFonts w:eastAsia="Arial Unicode MS"/>
        </w:rPr>
      </w:pPr>
    </w:p>
    <w:p w14:paraId="22DDE232" w14:textId="063D9933" w:rsidR="00871C9D" w:rsidRDefault="00871C9D" w:rsidP="00871C9D">
      <w:pPr>
        <w:rPr>
          <w:rFonts w:eastAsia="Arial Unicode MS"/>
        </w:rPr>
      </w:pPr>
      <w:r w:rsidRPr="00871C9D">
        <w:rPr>
          <w:rFonts w:eastAsia="Arial Unicode MS"/>
        </w:rPr>
        <w:t>Cases continued to rise into October and, as our health system faced immense pressures, it quickly became apparent that we needed a new model for managing Delta. By this time, however, we were well into our immunisation programme and had a largely vaccinated population.</w:t>
      </w:r>
    </w:p>
    <w:p w14:paraId="042AFDA4" w14:textId="77777777" w:rsidR="00871C9D" w:rsidRPr="00871C9D" w:rsidRDefault="00871C9D" w:rsidP="00871C9D">
      <w:pPr>
        <w:rPr>
          <w:rFonts w:eastAsia="Arial Unicode MS"/>
        </w:rPr>
      </w:pPr>
    </w:p>
    <w:p w14:paraId="4038F416" w14:textId="342D31A3" w:rsidR="00871C9D" w:rsidRDefault="00871C9D" w:rsidP="00871C9D">
      <w:pPr>
        <w:rPr>
          <w:rFonts w:eastAsia="Arial Unicode MS"/>
        </w:rPr>
      </w:pPr>
      <w:r w:rsidRPr="00871C9D">
        <w:rPr>
          <w:rFonts w:eastAsia="Arial Unicode MS"/>
        </w:rPr>
        <w:t>The Government signalled the move from its elimination strategy to one of suppression with a focus on vaccinations and a move to caring for community cases in the home. In response, we developed a new care in the community model, bringing together clinical, health and welfare supports grounded in a pro- equity approach, to provide integrated and wrap-around care to individuals and</w:t>
      </w:r>
      <w:r>
        <w:rPr>
          <w:rFonts w:eastAsia="Arial Unicode MS"/>
        </w:rPr>
        <w:t xml:space="preserve"> </w:t>
      </w:r>
      <w:r w:rsidRPr="00871C9D">
        <w:rPr>
          <w:rFonts w:eastAsia="Arial Unicode MS"/>
        </w:rPr>
        <w:t>their whānau in the community at the local level.</w:t>
      </w:r>
    </w:p>
    <w:p w14:paraId="44D605D1" w14:textId="77777777" w:rsidR="00871C9D" w:rsidRPr="00871C9D" w:rsidRDefault="00871C9D" w:rsidP="00871C9D">
      <w:pPr>
        <w:rPr>
          <w:rFonts w:eastAsia="Arial Unicode MS"/>
        </w:rPr>
      </w:pPr>
    </w:p>
    <w:p w14:paraId="4DDAFEF0" w14:textId="61AA0754" w:rsidR="00871C9D" w:rsidRDefault="00871C9D" w:rsidP="00871C9D">
      <w:pPr>
        <w:rPr>
          <w:rFonts w:eastAsia="Arial Unicode MS"/>
        </w:rPr>
      </w:pPr>
      <w:r w:rsidRPr="00871C9D">
        <w:rPr>
          <w:rFonts w:eastAsia="Arial Unicode MS"/>
        </w:rPr>
        <w:t>In December 2021, Aotearoa shifted away from its elimination strategy to the COVID-19 Protection Framework, acknowledging the impacts of COVID-19 had changed because we had a highly vaccinated population.</w:t>
      </w:r>
    </w:p>
    <w:p w14:paraId="52E80AA4" w14:textId="2AED0959" w:rsidR="00871C9D" w:rsidRDefault="00871C9D" w:rsidP="00871C9D">
      <w:pPr>
        <w:rPr>
          <w:rFonts w:eastAsia="Arial Unicode MS"/>
        </w:rPr>
      </w:pPr>
    </w:p>
    <w:p w14:paraId="628C7804" w14:textId="2CA2D8C5" w:rsidR="00871C9D" w:rsidRDefault="00871C9D" w:rsidP="00871C9D">
      <w:pPr>
        <w:rPr>
          <w:rFonts w:eastAsia="Arial Unicode MS"/>
        </w:rPr>
      </w:pPr>
      <w:r w:rsidRPr="00871C9D">
        <w:rPr>
          <w:rFonts w:eastAsia="Arial Unicode MS"/>
        </w:rPr>
        <w:t>On 16 December 2021, the first Omicron case was reported in Aotearoa. Compared with Delta, Omicron was predicted to spread at an unprecedented pace in the community.</w:t>
      </w:r>
    </w:p>
    <w:p w14:paraId="7E62B755" w14:textId="2C2039CE" w:rsidR="00871C9D" w:rsidRDefault="00871C9D" w:rsidP="00871C9D">
      <w:pPr>
        <w:rPr>
          <w:rFonts w:eastAsia="Arial Unicode MS"/>
        </w:rPr>
      </w:pPr>
    </w:p>
    <w:p w14:paraId="14D8D1DF" w14:textId="5ECDF186" w:rsidR="00871C9D" w:rsidRPr="00871C9D" w:rsidRDefault="00871C9D" w:rsidP="00871C9D">
      <w:pPr>
        <w:rPr>
          <w:rFonts w:eastAsia="Arial Unicode MS"/>
        </w:rPr>
      </w:pPr>
      <w:r w:rsidRPr="00871C9D">
        <w:rPr>
          <w:rFonts w:eastAsia="Arial Unicode MS"/>
        </w:rPr>
        <w:t>We responded rapidly with an Omicron response strategy that saw significant operational changes across testing, case investigation and contact tracing.</w:t>
      </w:r>
      <w:r>
        <w:rPr>
          <w:rFonts w:eastAsia="Arial Unicode MS"/>
        </w:rPr>
        <w:t xml:space="preserve"> </w:t>
      </w:r>
      <w:r w:rsidRPr="00871C9D">
        <w:rPr>
          <w:rFonts w:eastAsia="Arial Unicode MS"/>
        </w:rPr>
        <w:t>We shifted to using rapid antigen tests (RATs), developed a case self-registration portal for positive RAT results, and made stepwise changes to testing and isolation</w:t>
      </w:r>
      <w:r>
        <w:rPr>
          <w:rFonts w:eastAsia="Arial Unicode MS"/>
        </w:rPr>
        <w:t xml:space="preserve"> </w:t>
      </w:r>
      <w:r w:rsidRPr="00871C9D">
        <w:rPr>
          <w:rFonts w:eastAsia="Arial Unicode MS"/>
        </w:rPr>
        <w:t>requirements for cases, household contacts and close contacts.</w:t>
      </w:r>
    </w:p>
    <w:p w14:paraId="5CF81CA5" w14:textId="1DB79047" w:rsidR="00871C9D" w:rsidRDefault="00871C9D" w:rsidP="00871C9D">
      <w:pPr>
        <w:rPr>
          <w:rFonts w:eastAsia="Arial Unicode MS"/>
        </w:rPr>
      </w:pPr>
      <w:r w:rsidRPr="00871C9D">
        <w:rPr>
          <w:rFonts w:eastAsia="Arial Unicode MS"/>
        </w:rPr>
        <w:lastRenderedPageBreak/>
        <w:t>There was a focus on encouraging the public to get booster vaccines. The period between receiving the second dose and the booster was reduced from 6 months to 4 months, improving vaccine coverage.</w:t>
      </w:r>
    </w:p>
    <w:p w14:paraId="2626AB2B" w14:textId="77777777" w:rsidR="00871C9D" w:rsidRPr="00871C9D" w:rsidRDefault="00871C9D" w:rsidP="00871C9D">
      <w:pPr>
        <w:rPr>
          <w:rFonts w:eastAsia="Arial Unicode MS"/>
        </w:rPr>
      </w:pPr>
    </w:p>
    <w:p w14:paraId="6B566C79" w14:textId="34814D04" w:rsidR="00871C9D" w:rsidRDefault="00871C9D" w:rsidP="00871C9D">
      <w:pPr>
        <w:rPr>
          <w:rFonts w:eastAsia="Arial Unicode MS"/>
        </w:rPr>
      </w:pPr>
      <w:r w:rsidRPr="00871C9D">
        <w:rPr>
          <w:rFonts w:eastAsia="Arial Unicode MS"/>
        </w:rPr>
        <w:t>This strategy has continuously evolved and improved, informed by evidence and data, together with the insights and voices of those with lived experience and those responding to and supporting communities on the ground.</w:t>
      </w:r>
    </w:p>
    <w:p w14:paraId="2EFB6038" w14:textId="27B7F660" w:rsidR="00871C9D" w:rsidRPr="009A11E7" w:rsidRDefault="00871C9D" w:rsidP="008B4723">
      <w:pPr>
        <w:pStyle w:val="Heading3"/>
      </w:pPr>
      <w:bookmarkStart w:id="16" w:name="_Toc117264924"/>
      <w:r w:rsidRPr="009A11E7">
        <w:t>Timeline: Contact tracing and testing responses</w:t>
      </w:r>
      <w:bookmarkEnd w:id="16"/>
    </w:p>
    <w:p w14:paraId="048A0038" w14:textId="77777777" w:rsidR="00134318" w:rsidRPr="00134318" w:rsidRDefault="00134318" w:rsidP="00600AD4">
      <w:pPr>
        <w:pStyle w:val="Heading4"/>
      </w:pPr>
      <w:r w:rsidRPr="00134318">
        <w:t>Burst call centre (August 2021)</w:t>
      </w:r>
    </w:p>
    <w:p w14:paraId="3D370F47" w14:textId="4D467F54" w:rsidR="00134318" w:rsidRDefault="00134318" w:rsidP="00134318">
      <w:pPr>
        <w:rPr>
          <w:rFonts w:eastAsia="Arial Unicode MS"/>
        </w:rPr>
      </w:pPr>
      <w:r w:rsidRPr="00134318">
        <w:rPr>
          <w:rFonts w:eastAsia="Arial Unicode MS"/>
        </w:rPr>
        <w:t>In August 2021, the National Investigation and Tracing Centre used existing call providers to scale up our contact tracing service, standing up an additional call centre to meet the surge in contacts resulting from the Delta outbreak. In total, 12 government agencies and one external call provider came together to provide contact tracing resources.</w:t>
      </w:r>
    </w:p>
    <w:p w14:paraId="248F8D10" w14:textId="77777777" w:rsidR="00134318" w:rsidRPr="00134318" w:rsidRDefault="00134318" w:rsidP="00134318">
      <w:pPr>
        <w:rPr>
          <w:rFonts w:eastAsia="Arial Unicode MS"/>
        </w:rPr>
      </w:pPr>
    </w:p>
    <w:p w14:paraId="0451F3B5" w14:textId="77777777" w:rsidR="00134318" w:rsidRPr="00134318" w:rsidRDefault="00134318" w:rsidP="00134318">
      <w:pPr>
        <w:rPr>
          <w:rFonts w:eastAsia="Arial Unicode MS"/>
        </w:rPr>
      </w:pPr>
      <w:r w:rsidRPr="00134318">
        <w:rPr>
          <w:rFonts w:eastAsia="Arial Unicode MS"/>
        </w:rPr>
        <w:t>The all-of-government contact tracing centre was set up in 48 hours, with the team responsible for calling contacts of COVID-19 cases. Over a 2-week period, this additional contact tracing centre made 6,566 successful calls, informing New Zealanders of their potential exposure to COVID-19 and giving them advice they could follow to control the spread as quickly as possible.</w:t>
      </w:r>
    </w:p>
    <w:p w14:paraId="56FF2338" w14:textId="77777777" w:rsidR="00134318" w:rsidRPr="00134318" w:rsidRDefault="00134318" w:rsidP="00600AD4">
      <w:pPr>
        <w:pStyle w:val="Heading4"/>
      </w:pPr>
      <w:r w:rsidRPr="00134318">
        <w:t>Technology (August 2021 onwards)</w:t>
      </w:r>
    </w:p>
    <w:p w14:paraId="14F70B97" w14:textId="77777777" w:rsidR="00134318" w:rsidRPr="00134318" w:rsidRDefault="00134318" w:rsidP="00134318">
      <w:pPr>
        <w:rPr>
          <w:rFonts w:eastAsia="Arial Unicode MS"/>
        </w:rPr>
      </w:pPr>
      <w:r w:rsidRPr="00134318">
        <w:rPr>
          <w:rFonts w:eastAsia="Arial Unicode MS"/>
        </w:rPr>
        <w:t>To manage the extent of this outbreak, digital contact tracing tools were rapidly deployed to assist the response, including the NZ COVID-19 Tracer app and the Locations of Interest website. The use of both of these tools increased significantly during this period and these tools were improved and updated throughout the outbreak.</w:t>
      </w:r>
    </w:p>
    <w:p w14:paraId="64845713" w14:textId="77777777" w:rsidR="00134318" w:rsidRPr="00134318" w:rsidRDefault="00134318" w:rsidP="00600AD4">
      <w:pPr>
        <w:pStyle w:val="Heading4"/>
      </w:pPr>
      <w:r w:rsidRPr="00134318">
        <w:t>Testing response to Delta (August 2021)</w:t>
      </w:r>
    </w:p>
    <w:p w14:paraId="51D2D1A3" w14:textId="1FC1382D" w:rsidR="00134318" w:rsidRDefault="00134318" w:rsidP="00134318">
      <w:pPr>
        <w:rPr>
          <w:rFonts w:eastAsia="Arial Unicode MS"/>
        </w:rPr>
      </w:pPr>
      <w:r w:rsidRPr="00134318">
        <w:rPr>
          <w:rFonts w:eastAsia="Arial Unicode MS"/>
        </w:rPr>
        <w:t>In August 2021 the first community Delta case was identified in Auckland. A key part of our response was to set up multiple community testing centres to help with the increase in testing demand. We also pushed out personal protective equipment (PPE) from the</w:t>
      </w:r>
      <w:r>
        <w:rPr>
          <w:rFonts w:eastAsia="Arial Unicode MS"/>
        </w:rPr>
        <w:t xml:space="preserve"> </w:t>
      </w:r>
      <w:r w:rsidRPr="00134318">
        <w:rPr>
          <w:rFonts w:eastAsia="Arial Unicode MS"/>
        </w:rPr>
        <w:t xml:space="preserve">warehouses to meet the increased demand for it. Labs and DHBs were notified to expect an increase in testing demand after Alert Level restrictions began, and testing requirements put in place for people crossing the Alert Level boundaries. </w:t>
      </w:r>
    </w:p>
    <w:p w14:paraId="7DD3EE65" w14:textId="5294E7A5" w:rsidR="00134318" w:rsidRDefault="00134318" w:rsidP="00134318">
      <w:pPr>
        <w:rPr>
          <w:rFonts w:eastAsia="Arial Unicode MS"/>
        </w:rPr>
      </w:pPr>
      <w:r w:rsidRPr="00134318">
        <w:rPr>
          <w:rFonts w:eastAsia="Arial Unicode MS"/>
        </w:rPr>
        <w:t>We set up multiple saliva drop- off stations at workplaces and close to the boundaries.</w:t>
      </w:r>
    </w:p>
    <w:p w14:paraId="358781DA" w14:textId="77777777" w:rsidR="00134318" w:rsidRPr="00134318" w:rsidRDefault="00134318" w:rsidP="00134318">
      <w:pPr>
        <w:rPr>
          <w:rFonts w:eastAsia="Arial Unicode MS"/>
        </w:rPr>
      </w:pPr>
    </w:p>
    <w:p w14:paraId="466D9A8B" w14:textId="2A8D6B07" w:rsidR="00134318" w:rsidRDefault="00134318" w:rsidP="00134318">
      <w:pPr>
        <w:rPr>
          <w:rFonts w:eastAsia="Arial Unicode MS"/>
        </w:rPr>
      </w:pPr>
      <w:r w:rsidRPr="00134318">
        <w:rPr>
          <w:rFonts w:eastAsia="Arial Unicode MS"/>
        </w:rPr>
        <w:t>In October, working with the private sector we began a RAT pilot. This successful pilot led the way for the distribution of RATs later in 2022.</w:t>
      </w:r>
    </w:p>
    <w:p w14:paraId="0E4FB56D" w14:textId="77777777" w:rsidR="00134318" w:rsidRPr="00134318" w:rsidRDefault="00134318" w:rsidP="00134318">
      <w:pPr>
        <w:rPr>
          <w:rFonts w:eastAsia="Arial Unicode MS"/>
        </w:rPr>
      </w:pPr>
    </w:p>
    <w:p w14:paraId="75CE9817" w14:textId="77777777" w:rsidR="00134318" w:rsidRPr="00134318" w:rsidRDefault="00134318" w:rsidP="00134318">
      <w:pPr>
        <w:rPr>
          <w:rFonts w:eastAsia="Arial Unicode MS"/>
        </w:rPr>
      </w:pPr>
      <w:r w:rsidRPr="00134318">
        <w:rPr>
          <w:rFonts w:eastAsia="Arial Unicode MS"/>
        </w:rPr>
        <w:t>Demand for polymerase chain reaction (PCR) testing was highest during the Delta outbreak, when up to 50,000 tests a day occurred. All the regions successfully stood up extra testing sites and focused on specific areas that had outbreaks.</w:t>
      </w:r>
    </w:p>
    <w:p w14:paraId="11ADA325" w14:textId="77777777" w:rsidR="00134318" w:rsidRPr="00134318" w:rsidRDefault="00134318" w:rsidP="00600AD4">
      <w:pPr>
        <w:pStyle w:val="Heading4"/>
      </w:pPr>
      <w:r w:rsidRPr="00134318">
        <w:lastRenderedPageBreak/>
        <w:t>Border operation response to Delta (17 August 2021)</w:t>
      </w:r>
    </w:p>
    <w:p w14:paraId="4D586E6D" w14:textId="22EFCDD2" w:rsidR="00134318" w:rsidRDefault="00134318" w:rsidP="00134318">
      <w:pPr>
        <w:rPr>
          <w:rFonts w:eastAsia="Arial Unicode MS"/>
        </w:rPr>
      </w:pPr>
      <w:r w:rsidRPr="00134318">
        <w:rPr>
          <w:rFonts w:eastAsia="Arial Unicode MS"/>
        </w:rPr>
        <w:t>On 17 August 2021, following an outbreak of the Delta variant, the country moved to Alert Level 4. On 31 August, Auckland and Northland remained at Alert Level 4 while the rest of Aotearoa, south of Auckland, moved down to Alert Level 3. This split in Alert Levels saw the establishment of a regional boundary and as a result, travel between different Alert Levels became restricted.</w:t>
      </w:r>
    </w:p>
    <w:p w14:paraId="64B7C61B" w14:textId="77777777" w:rsidR="00134318" w:rsidRPr="00134318" w:rsidRDefault="00134318" w:rsidP="00134318">
      <w:pPr>
        <w:rPr>
          <w:rFonts w:eastAsia="Arial Unicode MS"/>
        </w:rPr>
      </w:pPr>
    </w:p>
    <w:p w14:paraId="549116F9" w14:textId="7937EB52" w:rsidR="00134318" w:rsidRDefault="00134318" w:rsidP="00134318">
      <w:pPr>
        <w:rPr>
          <w:rFonts w:eastAsia="Arial Unicode MS"/>
        </w:rPr>
      </w:pPr>
      <w:r w:rsidRPr="00134318">
        <w:rPr>
          <w:rFonts w:eastAsia="Arial Unicode MS"/>
        </w:rPr>
        <w:t>The Health Order Exemptions team worked closely with the Data and Digital team to establish a system for assessing exemption requests to allow interregional travel. This work included managing a surge workforce of assessors all trained remotely and working within their own lockdown requirements.</w:t>
      </w:r>
    </w:p>
    <w:p w14:paraId="714BB01B" w14:textId="77777777" w:rsidR="00134318" w:rsidRPr="00134318" w:rsidRDefault="00134318" w:rsidP="00134318">
      <w:pPr>
        <w:rPr>
          <w:rFonts w:eastAsia="Arial Unicode MS"/>
        </w:rPr>
      </w:pPr>
    </w:p>
    <w:p w14:paraId="5D2B4451" w14:textId="7FAFFDCE" w:rsidR="00134318" w:rsidRDefault="00134318" w:rsidP="00134318">
      <w:pPr>
        <w:rPr>
          <w:rFonts w:eastAsia="Arial Unicode MS"/>
        </w:rPr>
      </w:pPr>
      <w:r w:rsidRPr="00134318">
        <w:rPr>
          <w:rFonts w:eastAsia="Arial Unicode MS"/>
        </w:rPr>
        <w:t>In partnership with the Ministry of Business, Innovation and Employment (MBIE), the Ministry delivered projects that continually improved and refined the efficiency and quality of the health services delivered within Managed Isolation and Quarantine (MIQ).</w:t>
      </w:r>
    </w:p>
    <w:p w14:paraId="1DA8CDBC" w14:textId="77777777" w:rsidR="00134318" w:rsidRPr="00134318" w:rsidRDefault="00134318" w:rsidP="00134318">
      <w:pPr>
        <w:rPr>
          <w:rFonts w:eastAsia="Arial Unicode MS"/>
        </w:rPr>
      </w:pPr>
    </w:p>
    <w:p w14:paraId="5FE8CCE9" w14:textId="77777777" w:rsidR="00134318" w:rsidRPr="00134318" w:rsidRDefault="00134318" w:rsidP="00134318">
      <w:pPr>
        <w:rPr>
          <w:rFonts w:eastAsia="Arial Unicode MS"/>
        </w:rPr>
      </w:pPr>
      <w:r w:rsidRPr="00134318">
        <w:rPr>
          <w:rFonts w:eastAsia="Arial Unicode MS"/>
        </w:rPr>
        <w:t>On 16 December 2021, preparation for the arrival of the Omicron variant in Aotearoa began by putting in place a range of new precautionary measures. From 24 December 2021, the length of MIQ was extended to 10 days and other new public health measures.</w:t>
      </w:r>
    </w:p>
    <w:p w14:paraId="0109FFA8" w14:textId="77777777" w:rsidR="00134318" w:rsidRPr="00134318" w:rsidRDefault="00134318" w:rsidP="00600AD4">
      <w:pPr>
        <w:pStyle w:val="Heading4"/>
      </w:pPr>
      <w:r w:rsidRPr="00134318">
        <w:t>National Case Investigation Service (November 2021)</w:t>
      </w:r>
    </w:p>
    <w:p w14:paraId="77A190EB" w14:textId="77777777" w:rsidR="00134318" w:rsidRPr="00134318" w:rsidRDefault="00134318" w:rsidP="00134318">
      <w:pPr>
        <w:rPr>
          <w:rFonts w:eastAsia="Arial Unicode MS"/>
        </w:rPr>
      </w:pPr>
      <w:r w:rsidRPr="00134318">
        <w:rPr>
          <w:rFonts w:eastAsia="Arial Unicode MS"/>
        </w:rPr>
        <w:t>Recognising we needed the ability to scale up our national case investigation capacity, we established the National Case Investigation Service in November 2021. Having a focused case investigation service provided greater system capacity as well as improving efficiencies and enabling public health units to focus on high-risk cases and exposure events.</w:t>
      </w:r>
    </w:p>
    <w:p w14:paraId="0C416CC1" w14:textId="77777777" w:rsidR="00134318" w:rsidRPr="00134318" w:rsidRDefault="00134318" w:rsidP="00600AD4">
      <w:pPr>
        <w:pStyle w:val="Heading4"/>
      </w:pPr>
      <w:r w:rsidRPr="00134318">
        <w:t>Testing response to Omicron (Mid-January 2022)</w:t>
      </w:r>
    </w:p>
    <w:p w14:paraId="44F5DDFD" w14:textId="6FE96F8C" w:rsidR="00134318" w:rsidRDefault="00134318" w:rsidP="00134318">
      <w:pPr>
        <w:rPr>
          <w:rFonts w:eastAsia="Arial Unicode MS"/>
        </w:rPr>
      </w:pPr>
      <w:r w:rsidRPr="00134318">
        <w:rPr>
          <w:rFonts w:eastAsia="Arial Unicode MS"/>
        </w:rPr>
        <w:t>In mid-January, in response to the increasing prevalence worldwide of the Omicron variant, Manatū Hauora prepared a new Testing Plan. The Testing Plan aligned with the Government’s Omicron Response Plan, which would see RATs become the main testing method in phase 3 of the Omicron response.</w:t>
      </w:r>
    </w:p>
    <w:p w14:paraId="69694E49" w14:textId="77777777" w:rsidR="00134318" w:rsidRPr="00134318" w:rsidRDefault="00134318" w:rsidP="00134318">
      <w:pPr>
        <w:rPr>
          <w:rFonts w:eastAsia="Arial Unicode MS"/>
        </w:rPr>
      </w:pPr>
    </w:p>
    <w:p w14:paraId="3D87840A" w14:textId="7230A045" w:rsidR="00134318" w:rsidRPr="00134318" w:rsidRDefault="00134318" w:rsidP="00134318">
      <w:pPr>
        <w:rPr>
          <w:rFonts w:eastAsia="Arial Unicode MS"/>
        </w:rPr>
      </w:pPr>
      <w:r w:rsidRPr="00134318">
        <w:rPr>
          <w:rFonts w:eastAsia="Arial Unicode MS"/>
        </w:rPr>
        <w:t>The Testing Plan recognised that, with the Omicron variant outbreak, eliminating COVID-19 would no longer be viable, given expected case numbers were between 5,000 and 50,000</w:t>
      </w:r>
      <w:r>
        <w:rPr>
          <w:rFonts w:eastAsia="Arial Unicode MS"/>
        </w:rPr>
        <w:t xml:space="preserve"> </w:t>
      </w:r>
      <w:r w:rsidRPr="00134318">
        <w:rPr>
          <w:rFonts w:eastAsia="Arial Unicode MS"/>
        </w:rPr>
        <w:t>a day, and that prioritising PCR testing would be essential. Under the new Testing Plan, the purpose of testing shifted away from detecting cases to protecting priority populations from severe disease and/or death, ensuring equity and limiting the impact on society by protecting critical infrastructure.</w:t>
      </w:r>
    </w:p>
    <w:p w14:paraId="12E141C9" w14:textId="77777777" w:rsidR="00134318" w:rsidRPr="00134318" w:rsidRDefault="00134318" w:rsidP="00600AD4">
      <w:pPr>
        <w:pStyle w:val="Heading4"/>
      </w:pPr>
      <w:r w:rsidRPr="00134318">
        <w:t>Contact tracing response to Omicron (February 2022)</w:t>
      </w:r>
    </w:p>
    <w:p w14:paraId="66A580CD" w14:textId="77777777" w:rsidR="00134318" w:rsidRPr="00134318" w:rsidRDefault="00134318" w:rsidP="00134318">
      <w:pPr>
        <w:rPr>
          <w:rFonts w:eastAsia="Arial Unicode MS"/>
        </w:rPr>
      </w:pPr>
      <w:r w:rsidRPr="00134318">
        <w:rPr>
          <w:rFonts w:eastAsia="Arial Unicode MS"/>
        </w:rPr>
        <w:t xml:space="preserve">The case investigation and contact tracing service underwent comprehensive operational change to manage the number of cases resulting from the Omicron </w:t>
      </w:r>
      <w:r w:rsidRPr="00134318">
        <w:rPr>
          <w:rFonts w:eastAsia="Arial Unicode MS"/>
        </w:rPr>
        <w:lastRenderedPageBreak/>
        <w:t>outbreak. During February and March, significant work went into preparing new technology enablers to support the high case volume and align with the Government’s COVID-19 Protection Framework. Changes included implementing technology for people to self-report RAT results and an online contact tracing form that digitally enabled communities could use for self-management.</w:t>
      </w:r>
    </w:p>
    <w:p w14:paraId="764B2EEE" w14:textId="77777777" w:rsidR="00134318" w:rsidRPr="00134318" w:rsidRDefault="00134318" w:rsidP="00600AD4">
      <w:pPr>
        <w:pStyle w:val="Heading4"/>
      </w:pPr>
      <w:r w:rsidRPr="00134318">
        <w:t>Border operations response to Omicron (March 2022)</w:t>
      </w:r>
    </w:p>
    <w:p w14:paraId="6A0CFFEB" w14:textId="6E05EBAA" w:rsidR="00134318" w:rsidRDefault="00134318" w:rsidP="00134318">
      <w:pPr>
        <w:rPr>
          <w:rFonts w:eastAsia="Arial Unicode MS"/>
        </w:rPr>
      </w:pPr>
      <w:r w:rsidRPr="00134318">
        <w:rPr>
          <w:rFonts w:eastAsia="Arial Unicode MS"/>
        </w:rPr>
        <w:t>Once the Omicron variant became established in the community and led to a rapid rise in the number of community cases, MIQ settings (ie, the requirements related to entering MIQ from the border for a certain length of time) were progressively reduced to keep the strength of the requirements proportional with the community response. Throughout</w:t>
      </w:r>
      <w:r>
        <w:rPr>
          <w:rFonts w:eastAsia="Arial Unicode MS"/>
        </w:rPr>
        <w:t xml:space="preserve"> </w:t>
      </w:r>
      <w:r w:rsidRPr="00134318">
        <w:rPr>
          <w:rFonts w:eastAsia="Arial Unicode MS"/>
        </w:rPr>
        <w:t>the first wave of the Omicron outbreak, MIQ facilities served as isolation facilities for community cases that could not safely self-isolate at home or in other accommodation.</w:t>
      </w:r>
    </w:p>
    <w:p w14:paraId="742ED19D" w14:textId="77777777" w:rsidR="00134318" w:rsidRPr="00134318" w:rsidRDefault="00134318" w:rsidP="00134318">
      <w:pPr>
        <w:rPr>
          <w:rFonts w:eastAsia="Arial Unicode MS"/>
        </w:rPr>
      </w:pPr>
    </w:p>
    <w:p w14:paraId="0FC2C49F" w14:textId="77777777" w:rsidR="00134318" w:rsidRPr="00134318" w:rsidRDefault="00134318" w:rsidP="00134318">
      <w:pPr>
        <w:rPr>
          <w:rFonts w:eastAsia="Arial Unicode MS"/>
        </w:rPr>
      </w:pPr>
      <w:r w:rsidRPr="00134318">
        <w:rPr>
          <w:rFonts w:eastAsia="Arial Unicode MS"/>
        </w:rPr>
        <w:t>On 10 March 2022, the formal decommissioning process of MIQ facilities began. At first, a small number of facilities remained open to respond to demand for isolation</w:t>
      </w:r>
    </w:p>
    <w:p w14:paraId="57739398" w14:textId="2530CFAF" w:rsidR="00134318" w:rsidRDefault="00134318" w:rsidP="00134318">
      <w:pPr>
        <w:rPr>
          <w:rFonts w:eastAsia="Arial Unicode MS"/>
        </w:rPr>
      </w:pPr>
      <w:r w:rsidRPr="00134318">
        <w:rPr>
          <w:rFonts w:eastAsia="Arial Unicode MS"/>
        </w:rPr>
        <w:t>accommodation for community cases. As this demand from the community became very low, the final MIQ facilities were deactivated on 30 June 2022.</w:t>
      </w:r>
    </w:p>
    <w:p w14:paraId="2A48AF11" w14:textId="77777777" w:rsidR="009A11E7" w:rsidRPr="009A11E7" w:rsidRDefault="009A11E7" w:rsidP="008B4723">
      <w:pPr>
        <w:pStyle w:val="Heading3"/>
      </w:pPr>
      <w:bookmarkStart w:id="17" w:name="_Toc117264925"/>
      <w:r w:rsidRPr="009A11E7">
        <w:t>Exploring the use of other medicines to treat COVID-19</w:t>
      </w:r>
      <w:bookmarkEnd w:id="17"/>
    </w:p>
    <w:p w14:paraId="2527EA79" w14:textId="70F6CDC1" w:rsidR="009A11E7" w:rsidRPr="009A11E7" w:rsidRDefault="009A11E7" w:rsidP="009A11E7">
      <w:pPr>
        <w:rPr>
          <w:rFonts w:eastAsia="Arial Unicode MS"/>
        </w:rPr>
      </w:pPr>
      <w:r w:rsidRPr="009A11E7">
        <w:rPr>
          <w:rFonts w:eastAsia="Arial Unicode MS"/>
        </w:rPr>
        <w:t>As global experience with treating COVID-19 grew, so did knowledge about how to provide effective treatment for</w:t>
      </w:r>
      <w:r>
        <w:rPr>
          <w:rFonts w:eastAsia="Arial Unicode MS"/>
        </w:rPr>
        <w:t xml:space="preserve"> </w:t>
      </w:r>
      <w:r w:rsidRPr="009A11E7">
        <w:rPr>
          <w:rFonts w:eastAsia="Arial Unicode MS"/>
        </w:rPr>
        <w:t>severe COVID-19 and which patient groups needed treatment most. Global demand for effective treatments was high and supplies were often short.</w:t>
      </w:r>
    </w:p>
    <w:p w14:paraId="0AA15B97" w14:textId="77777777" w:rsidR="009A11E7" w:rsidRDefault="009A11E7" w:rsidP="009A11E7">
      <w:pPr>
        <w:rPr>
          <w:rFonts w:eastAsia="Arial Unicode MS"/>
        </w:rPr>
      </w:pPr>
    </w:p>
    <w:p w14:paraId="075AEDC4" w14:textId="474058F4" w:rsidR="009A11E7" w:rsidRPr="009A11E7" w:rsidRDefault="009A11E7" w:rsidP="009A11E7">
      <w:pPr>
        <w:rPr>
          <w:rFonts w:eastAsia="Arial Unicode MS"/>
        </w:rPr>
      </w:pPr>
      <w:r w:rsidRPr="009A11E7">
        <w:rPr>
          <w:rFonts w:eastAsia="Arial Unicode MS"/>
        </w:rPr>
        <w:t>The Ministry led a cross-sector approach in which:</w:t>
      </w:r>
    </w:p>
    <w:p w14:paraId="46602875" w14:textId="67D57EEE" w:rsidR="009A11E7" w:rsidRPr="009A11E7" w:rsidRDefault="009A11E7" w:rsidP="009A11E7">
      <w:pPr>
        <w:pStyle w:val="Bullet"/>
        <w:rPr>
          <w:rFonts w:eastAsia="Arial Unicode MS"/>
        </w:rPr>
      </w:pPr>
      <w:r w:rsidRPr="009A11E7">
        <w:rPr>
          <w:rFonts w:eastAsia="Arial Unicode MS"/>
        </w:rPr>
        <w:t>the Ministry’s COVID-19 Science and Technical Advisory team conducted horizon scanning and initial product assessment on a rolling basis to synthesise emerging evidence on therapeutic products in development</w:t>
      </w:r>
    </w:p>
    <w:p w14:paraId="72C68D6D" w14:textId="49D91514" w:rsidR="009A11E7" w:rsidRPr="00F870AE" w:rsidRDefault="009A11E7" w:rsidP="009A11E7">
      <w:pPr>
        <w:pStyle w:val="Bullet"/>
        <w:rPr>
          <w:rFonts w:eastAsia="Arial Unicode MS"/>
        </w:rPr>
      </w:pPr>
      <w:r w:rsidRPr="00F870AE">
        <w:rPr>
          <w:rFonts w:eastAsia="Arial Unicode MS"/>
        </w:rPr>
        <w:t>the Ministry’s COVID-19 Therapeutics</w:t>
      </w:r>
      <w:r w:rsidR="00F870AE" w:rsidRPr="00F870AE">
        <w:rPr>
          <w:rFonts w:eastAsia="Arial Unicode MS"/>
        </w:rPr>
        <w:t xml:space="preserve"> </w:t>
      </w:r>
      <w:r w:rsidRPr="00F870AE">
        <w:rPr>
          <w:rFonts w:eastAsia="Arial Unicode MS"/>
        </w:rPr>
        <w:t>Technical Advisory Group (the Therapeutics TAG) reviewed emerging evidence and potential for clinical use in Aotearoa</w:t>
      </w:r>
    </w:p>
    <w:p w14:paraId="361BC40C" w14:textId="35C07C27" w:rsidR="009A11E7" w:rsidRPr="009A11E7" w:rsidRDefault="009A11E7" w:rsidP="009A11E7">
      <w:pPr>
        <w:pStyle w:val="Bullet"/>
        <w:rPr>
          <w:rFonts w:eastAsia="Arial Unicode MS"/>
        </w:rPr>
      </w:pPr>
      <w:r w:rsidRPr="009A11E7">
        <w:rPr>
          <w:rFonts w:eastAsia="Arial Unicode MS"/>
        </w:rPr>
        <w:t>Pharmac reviewed evidence on the risks, benefits, efficacy and safety of therapeutic products with potential use in Aotearoa to clinically evaluate treatments, make funding decisions and determine access criteria</w:t>
      </w:r>
    </w:p>
    <w:p w14:paraId="623CC5BE" w14:textId="073C8F14" w:rsidR="009A11E7" w:rsidRPr="009A11E7" w:rsidRDefault="009A11E7" w:rsidP="009A11E7">
      <w:pPr>
        <w:pStyle w:val="Bullet"/>
        <w:rPr>
          <w:rFonts w:eastAsia="Arial Unicode MS"/>
        </w:rPr>
      </w:pPr>
      <w:r w:rsidRPr="009A11E7">
        <w:rPr>
          <w:rFonts w:eastAsia="Arial Unicode MS"/>
        </w:rPr>
        <w:t>Pharmac undertook supply chain facilitation and contract management, using COVID-19 funds to acquire supplies for clinical use in Aotearoa, and working with suppliers to ensure they meet regulatory obligations</w:t>
      </w:r>
    </w:p>
    <w:p w14:paraId="2DA686CC" w14:textId="0174AD56" w:rsidR="009A11E7" w:rsidRDefault="009A11E7" w:rsidP="009A11E7">
      <w:pPr>
        <w:pStyle w:val="Bullet"/>
        <w:rPr>
          <w:rFonts w:eastAsia="Arial Unicode MS"/>
        </w:rPr>
      </w:pPr>
      <w:r w:rsidRPr="009A11E7">
        <w:rPr>
          <w:rFonts w:eastAsia="Arial Unicode MS"/>
        </w:rPr>
        <w:t>the Therapeutics TAG provided information on up-to-date clinical guidance about using therapeutics.</w:t>
      </w:r>
    </w:p>
    <w:p w14:paraId="742A60E1" w14:textId="1A25B8CA" w:rsidR="008B4723" w:rsidRDefault="008B4723" w:rsidP="008B4723">
      <w:pPr>
        <w:rPr>
          <w:rFonts w:eastAsia="Arial Unicode MS"/>
        </w:rPr>
      </w:pPr>
    </w:p>
    <w:p w14:paraId="2F9AFB82" w14:textId="77777777" w:rsidR="008B4723" w:rsidRPr="008B4723" w:rsidRDefault="008B4723" w:rsidP="008B4723">
      <w:pPr>
        <w:pStyle w:val="Heading3"/>
      </w:pPr>
      <w:bookmarkStart w:id="18" w:name="_Toc117264926"/>
      <w:r w:rsidRPr="008B4723">
        <w:lastRenderedPageBreak/>
        <w:t>Delivering the COVID-19 National Immunisation Programme</w:t>
      </w:r>
      <w:bookmarkEnd w:id="18"/>
    </w:p>
    <w:p w14:paraId="67AF82B7" w14:textId="63EFBB29" w:rsidR="008B4723" w:rsidRDefault="008B4723" w:rsidP="008B4723">
      <w:pPr>
        <w:rPr>
          <w:rFonts w:eastAsia="Arial Unicode MS"/>
        </w:rPr>
      </w:pPr>
      <w:r w:rsidRPr="008B4723">
        <w:rPr>
          <w:rFonts w:eastAsia="Arial Unicode MS"/>
        </w:rPr>
        <w:t>In 2021, Aotearoa embarked on the largest vaccination programme in its history, aiming to provide 4.2 million eligible people with the opportunity to be double- vaccinated against COVID-19 by the end of the year.</w:t>
      </w:r>
    </w:p>
    <w:p w14:paraId="7EEBFE84" w14:textId="77777777" w:rsidR="008B4723" w:rsidRPr="008B4723" w:rsidRDefault="008B4723" w:rsidP="008B4723">
      <w:pPr>
        <w:rPr>
          <w:rFonts w:eastAsia="Arial Unicode MS"/>
        </w:rPr>
      </w:pPr>
    </w:p>
    <w:p w14:paraId="5336942D" w14:textId="3E8FFA00" w:rsidR="008B4723" w:rsidRDefault="008B4723" w:rsidP="008B4723">
      <w:pPr>
        <w:rPr>
          <w:rFonts w:eastAsia="Arial Unicode MS"/>
        </w:rPr>
      </w:pPr>
      <w:r w:rsidRPr="008B4723">
        <w:rPr>
          <w:rFonts w:eastAsia="Arial Unicode MS"/>
        </w:rPr>
        <w:t>Tasked with building an operational approach to deliver on this goal throughout 2021 and 2022, we dedicated significant resources and health system infrastructure to designing and delivering this vaccination programme.</w:t>
      </w:r>
    </w:p>
    <w:p w14:paraId="3476A925" w14:textId="77777777" w:rsidR="008B4723" w:rsidRPr="008B4723" w:rsidRDefault="008B4723" w:rsidP="008B4723">
      <w:pPr>
        <w:rPr>
          <w:rFonts w:eastAsia="Arial Unicode MS"/>
        </w:rPr>
      </w:pPr>
    </w:p>
    <w:p w14:paraId="666D7448" w14:textId="52384780" w:rsidR="008B4723" w:rsidRDefault="008B4723" w:rsidP="008B4723">
      <w:pPr>
        <w:rPr>
          <w:rFonts w:eastAsia="Arial Unicode MS"/>
        </w:rPr>
      </w:pPr>
      <w:r w:rsidRPr="008B4723">
        <w:rPr>
          <w:rFonts w:eastAsia="Arial Unicode MS"/>
        </w:rPr>
        <w:t>The first COVID-19 vaccinations were administered on 19 February 2021. Vaccines were then progressively rolled out to the population using a sequencing framework that prioritised the people most at risk of contracting COVID-19 and of experiencing a poor health outcome from infection.</w:t>
      </w:r>
      <w:r>
        <w:rPr>
          <w:rFonts w:eastAsia="Arial Unicode MS"/>
        </w:rPr>
        <w:t xml:space="preserve"> </w:t>
      </w:r>
      <w:r w:rsidRPr="008B4723">
        <w:rPr>
          <w:rFonts w:eastAsia="Arial Unicode MS"/>
        </w:rPr>
        <w:t>This framework meant that when supply was initially limited, vaccinations were delivered to those most at risk.</w:t>
      </w:r>
    </w:p>
    <w:p w14:paraId="541BD0F1" w14:textId="77777777" w:rsidR="008B4723" w:rsidRPr="008B4723" w:rsidRDefault="008B4723" w:rsidP="008B4723">
      <w:pPr>
        <w:rPr>
          <w:rFonts w:eastAsia="Arial Unicode MS"/>
        </w:rPr>
      </w:pPr>
    </w:p>
    <w:p w14:paraId="1012D317" w14:textId="4A2B866A" w:rsidR="008B4723" w:rsidRDefault="008B4723" w:rsidP="008B4723">
      <w:pPr>
        <w:rPr>
          <w:rFonts w:eastAsia="Arial Unicode MS"/>
        </w:rPr>
      </w:pPr>
      <w:r w:rsidRPr="008B4723">
        <w:rPr>
          <w:rFonts w:eastAsia="Arial Unicode MS"/>
        </w:rPr>
        <w:t>By 30 June 2022, 95 percent of the population over the age of 12 were double vaccinated, and 73 percent of the eligible population over the age of 18 had received a third ‘booster’ dose.</w:t>
      </w:r>
    </w:p>
    <w:p w14:paraId="02D07AAF" w14:textId="77777777" w:rsidR="008B4723" w:rsidRPr="008B4723" w:rsidRDefault="008B4723" w:rsidP="008B4723">
      <w:pPr>
        <w:rPr>
          <w:rFonts w:eastAsia="Arial Unicode MS"/>
        </w:rPr>
      </w:pPr>
    </w:p>
    <w:p w14:paraId="3D38C02B" w14:textId="77777777" w:rsidR="008B4723" w:rsidRPr="008B4723" w:rsidRDefault="008B4723" w:rsidP="008B4723">
      <w:pPr>
        <w:rPr>
          <w:rFonts w:eastAsia="Arial Unicode MS"/>
        </w:rPr>
      </w:pPr>
      <w:r w:rsidRPr="008B4723">
        <w:rPr>
          <w:rFonts w:eastAsia="Arial Unicode MS"/>
        </w:rPr>
        <w:t>By the end of 2021, Aotearoa was one of the world’s most highly vaccinated countries for COVID-19, sitting in the top half of the group of OECD nations.</w:t>
      </w:r>
    </w:p>
    <w:p w14:paraId="45310EE8" w14:textId="77777777" w:rsidR="008B4723" w:rsidRPr="008B4723" w:rsidRDefault="008B4723" w:rsidP="00600AD4">
      <w:pPr>
        <w:pStyle w:val="Heading4"/>
      </w:pPr>
      <w:r w:rsidRPr="008B4723">
        <w:t>Meeting the needs of disabled people through priority vaccinations</w:t>
      </w:r>
    </w:p>
    <w:p w14:paraId="0615B998" w14:textId="77777777" w:rsidR="008B4723" w:rsidRPr="008B4723" w:rsidRDefault="008B4723" w:rsidP="008B4723">
      <w:pPr>
        <w:rPr>
          <w:rFonts w:eastAsia="Arial Unicode MS"/>
        </w:rPr>
      </w:pPr>
      <w:r w:rsidRPr="008B4723">
        <w:rPr>
          <w:rFonts w:eastAsia="Arial Unicode MS"/>
        </w:rPr>
        <w:t>We worked hard to improve and prioritise health services to better support disabled people as part of our COVID-19 response.</w:t>
      </w:r>
    </w:p>
    <w:p w14:paraId="0A7DB17F" w14:textId="77777777" w:rsidR="008B4723" w:rsidRPr="008B4723" w:rsidRDefault="008B4723" w:rsidP="008B4723">
      <w:pPr>
        <w:rPr>
          <w:rFonts w:eastAsia="Arial Unicode MS"/>
        </w:rPr>
      </w:pPr>
      <w:r w:rsidRPr="008B4723">
        <w:rPr>
          <w:rFonts w:eastAsia="Arial Unicode MS"/>
        </w:rPr>
        <w:t xml:space="preserve"> </w:t>
      </w:r>
    </w:p>
    <w:p w14:paraId="130F0E3C" w14:textId="77777777" w:rsidR="008B4723" w:rsidRPr="008B4723" w:rsidRDefault="008B4723" w:rsidP="008B4723">
      <w:pPr>
        <w:rPr>
          <w:rFonts w:eastAsia="Arial Unicode MS"/>
        </w:rPr>
      </w:pPr>
      <w:r w:rsidRPr="008B4723">
        <w:rPr>
          <w:rFonts w:eastAsia="Arial Unicode MS"/>
        </w:rPr>
        <w:t>The Ministry established a $4 million transport fund to support equitable access to vaccination services for disabled people and stood up a disability-focused phone and text service through Whakarongorau Aotearoa. People with lived experience and whānau whaikaha | family of disabled people were the staff of this service,</w:t>
      </w:r>
    </w:p>
    <w:p w14:paraId="43A1D702" w14:textId="12FF4DD0" w:rsidR="008B4723" w:rsidRDefault="008B4723" w:rsidP="008B4723">
      <w:pPr>
        <w:rPr>
          <w:rFonts w:eastAsia="Arial Unicode MS"/>
        </w:rPr>
      </w:pPr>
      <w:r w:rsidRPr="008B4723">
        <w:rPr>
          <w:rFonts w:eastAsia="Arial Unicode MS"/>
        </w:rPr>
        <w:t>which disabled people could use to ask questions, book transport and request home vaccinations through DHBs.</w:t>
      </w:r>
    </w:p>
    <w:p w14:paraId="6758EDEB" w14:textId="77777777" w:rsidR="008B4723" w:rsidRPr="008B4723" w:rsidRDefault="008B4723" w:rsidP="008B4723">
      <w:pPr>
        <w:rPr>
          <w:rFonts w:eastAsia="Arial Unicode MS"/>
        </w:rPr>
      </w:pPr>
    </w:p>
    <w:p w14:paraId="32C23EF2" w14:textId="59AC3A8B" w:rsidR="008B4723" w:rsidRDefault="008B4723" w:rsidP="008B4723">
      <w:pPr>
        <w:rPr>
          <w:rFonts w:eastAsia="Arial Unicode MS"/>
        </w:rPr>
      </w:pPr>
      <w:r w:rsidRPr="008B4723">
        <w:rPr>
          <w:rFonts w:eastAsia="Arial Unicode MS"/>
        </w:rPr>
        <w:t>We worked with our Disability Immunisation Advisory Group, Tātou Whaikaha, to identify disability-specific factors we needed to consider in our immunisation roll-out and operational action plans for our COVID-19 response. Tātou Whaikaha supported us to develop and design processes, campaigns and actions that met the needs of our disabled populations and support them adequately during our response.</w:t>
      </w:r>
    </w:p>
    <w:p w14:paraId="3F4ECF19" w14:textId="77777777" w:rsidR="008B4723" w:rsidRPr="008B4723" w:rsidRDefault="008B4723" w:rsidP="008B4723">
      <w:pPr>
        <w:rPr>
          <w:rFonts w:eastAsia="Arial Unicode MS"/>
        </w:rPr>
      </w:pPr>
    </w:p>
    <w:p w14:paraId="342ED7C1" w14:textId="7DFB5EFD" w:rsidR="008B4723" w:rsidRDefault="008B4723" w:rsidP="008B4723">
      <w:pPr>
        <w:rPr>
          <w:rFonts w:eastAsia="Arial Unicode MS"/>
        </w:rPr>
      </w:pPr>
      <w:r w:rsidRPr="008B4723">
        <w:rPr>
          <w:rFonts w:eastAsia="Arial Unicode MS"/>
        </w:rPr>
        <w:t>We commissioned the Social Wellbeing Agency to create disability indicators on COVID-19 vaccination coverage for disabled people. Analysis of vaccination uptake rates for disabled people was</w:t>
      </w:r>
      <w:r>
        <w:rPr>
          <w:rFonts w:eastAsia="Arial Unicode MS"/>
        </w:rPr>
        <w:t xml:space="preserve"> </w:t>
      </w:r>
      <w:r w:rsidRPr="008B4723">
        <w:rPr>
          <w:rFonts w:eastAsia="Arial Unicode MS"/>
        </w:rPr>
        <w:t>completed in December 2021 and updated to include children in March 2022. We shared the results of this analysis with</w:t>
      </w:r>
      <w:r>
        <w:rPr>
          <w:rFonts w:eastAsia="Arial Unicode MS"/>
        </w:rPr>
        <w:t xml:space="preserve"> </w:t>
      </w:r>
      <w:r w:rsidRPr="008B4723">
        <w:rPr>
          <w:rFonts w:eastAsia="Arial Unicode MS"/>
        </w:rPr>
        <w:t>our delivery partners, including DHBs, to help inform service delivery and outbreak activities.</w:t>
      </w:r>
    </w:p>
    <w:p w14:paraId="2F78027A" w14:textId="2A03D1D2" w:rsidR="008B4723" w:rsidRDefault="008B4723" w:rsidP="008B4723">
      <w:pPr>
        <w:rPr>
          <w:rFonts w:eastAsia="Arial Unicode MS"/>
        </w:rPr>
      </w:pPr>
    </w:p>
    <w:p w14:paraId="69FAC774" w14:textId="419A4F6F" w:rsidR="008B4723" w:rsidRPr="008B4723" w:rsidRDefault="008B4723" w:rsidP="008B4723">
      <w:pPr>
        <w:pStyle w:val="Heading3"/>
      </w:pPr>
      <w:bookmarkStart w:id="19" w:name="_Toc117264927"/>
      <w:r w:rsidRPr="008B4723">
        <w:lastRenderedPageBreak/>
        <w:t>Supporting our Pacific neighbours: COVID-19 preparedness and response in Polynesia and Fiji</w:t>
      </w:r>
      <w:bookmarkEnd w:id="19"/>
    </w:p>
    <w:p w14:paraId="46E08FEC" w14:textId="3704F4E7" w:rsidR="008B4723" w:rsidRPr="008B4723" w:rsidRDefault="008B4723" w:rsidP="008B4723">
      <w:pPr>
        <w:rPr>
          <w:rFonts w:eastAsia="Arial Unicode MS"/>
        </w:rPr>
      </w:pPr>
      <w:r w:rsidRPr="008B4723">
        <w:rPr>
          <w:rFonts w:eastAsia="Arial Unicode MS"/>
        </w:rPr>
        <w:t>The Polynesian Health Corridors (PHC) programme, a partnership with the Ministry of Foreign Affairs and Trade, and Polynesian countries, focused on helping</w:t>
      </w:r>
      <w:r>
        <w:rPr>
          <w:rFonts w:eastAsia="Arial Unicode MS"/>
        </w:rPr>
        <w:t xml:space="preserve"> </w:t>
      </w:r>
      <w:r w:rsidRPr="008B4723">
        <w:rPr>
          <w:rFonts w:eastAsia="Arial Unicode MS"/>
        </w:rPr>
        <w:t xml:space="preserve"> </w:t>
      </w:r>
    </w:p>
    <w:p w14:paraId="2FFE3404" w14:textId="77777777" w:rsidR="008B4723" w:rsidRPr="008B4723" w:rsidRDefault="008B4723" w:rsidP="008B4723">
      <w:pPr>
        <w:rPr>
          <w:rFonts w:eastAsia="Arial Unicode MS"/>
        </w:rPr>
      </w:pPr>
      <w:r w:rsidRPr="008B4723">
        <w:rPr>
          <w:rFonts w:eastAsia="Arial Unicode MS"/>
        </w:rPr>
        <w:t>to prepare countries for pandemics, specifically COVID-19, by:</w:t>
      </w:r>
    </w:p>
    <w:p w14:paraId="461E4AC7" w14:textId="07178BFE" w:rsidR="008B4723" w:rsidRPr="008B4723" w:rsidRDefault="008B4723" w:rsidP="008B4723">
      <w:pPr>
        <w:pStyle w:val="Bullet"/>
        <w:rPr>
          <w:rFonts w:eastAsia="Arial Unicode MS"/>
        </w:rPr>
      </w:pPr>
      <w:r w:rsidRPr="008B4723">
        <w:rPr>
          <w:rFonts w:eastAsia="Arial Unicode MS"/>
        </w:rPr>
        <w:t>strengthening outbreak management systems</w:t>
      </w:r>
    </w:p>
    <w:p w14:paraId="13279F85" w14:textId="37A04884" w:rsidR="008B4723" w:rsidRPr="008B4723" w:rsidRDefault="008B4723" w:rsidP="008B4723">
      <w:pPr>
        <w:pStyle w:val="Bullet"/>
        <w:rPr>
          <w:rFonts w:eastAsia="Arial Unicode MS"/>
        </w:rPr>
      </w:pPr>
      <w:r w:rsidRPr="008B4723">
        <w:rPr>
          <w:rFonts w:eastAsia="Arial Unicode MS"/>
        </w:rPr>
        <w:t>planning for and supporting the COVID-19 vaccine roll-out.</w:t>
      </w:r>
    </w:p>
    <w:p w14:paraId="2D4B9590" w14:textId="77777777" w:rsidR="008B4723" w:rsidRDefault="008B4723" w:rsidP="008B4723">
      <w:pPr>
        <w:rPr>
          <w:rFonts w:eastAsia="Arial Unicode MS"/>
        </w:rPr>
      </w:pPr>
    </w:p>
    <w:p w14:paraId="721F6204" w14:textId="2D62405A" w:rsidR="008B4723" w:rsidRPr="008B4723" w:rsidRDefault="008B4723" w:rsidP="008B4723">
      <w:pPr>
        <w:rPr>
          <w:rFonts w:eastAsia="Arial Unicode MS"/>
        </w:rPr>
      </w:pPr>
      <w:r w:rsidRPr="008B4723">
        <w:rPr>
          <w:rFonts w:eastAsia="Arial Unicode MS"/>
        </w:rPr>
        <w:t>Vaccine planning and delivery were at the forefront of PHC’s support to Polynesia during the year.</w:t>
      </w:r>
    </w:p>
    <w:p w14:paraId="17F482DD" w14:textId="77777777" w:rsidR="008B4723" w:rsidRDefault="008B4723" w:rsidP="008B4723">
      <w:pPr>
        <w:rPr>
          <w:rFonts w:eastAsia="Arial Unicode MS"/>
        </w:rPr>
      </w:pPr>
    </w:p>
    <w:p w14:paraId="39003634" w14:textId="47B5791F" w:rsidR="008B4723" w:rsidRPr="008B4723" w:rsidRDefault="008B4723" w:rsidP="008B4723">
      <w:pPr>
        <w:rPr>
          <w:rFonts w:eastAsia="Arial Unicode MS"/>
        </w:rPr>
      </w:pPr>
      <w:r w:rsidRPr="008B4723">
        <w:rPr>
          <w:rFonts w:eastAsia="Arial Unicode MS"/>
        </w:rPr>
        <w:t>The PHC programme worked closely with a wide range of stakeholders including (but not limited to):</w:t>
      </w:r>
    </w:p>
    <w:p w14:paraId="582C4161" w14:textId="1C1063C0" w:rsidR="008B4723" w:rsidRPr="008B4723" w:rsidRDefault="008B4723" w:rsidP="008B4723">
      <w:pPr>
        <w:pStyle w:val="Bullet"/>
        <w:rPr>
          <w:rFonts w:eastAsia="Arial Unicode MS"/>
        </w:rPr>
      </w:pPr>
      <w:r w:rsidRPr="008B4723">
        <w:rPr>
          <w:rFonts w:eastAsia="Arial Unicode MS"/>
        </w:rPr>
        <w:t>the governments of the Cook Islands, Niue, Tokelau, Tonga, Tuvalu and Samoa</w:t>
      </w:r>
    </w:p>
    <w:p w14:paraId="34D513EF" w14:textId="23A3499E" w:rsidR="008B4723" w:rsidRPr="008B4723" w:rsidRDefault="008B4723" w:rsidP="008B4723">
      <w:pPr>
        <w:pStyle w:val="Bullet"/>
        <w:rPr>
          <w:rFonts w:eastAsia="Arial Unicode MS"/>
        </w:rPr>
      </w:pPr>
      <w:r w:rsidRPr="008B4723">
        <w:rPr>
          <w:rFonts w:eastAsia="Arial Unicode MS"/>
        </w:rPr>
        <w:t>Ministry of Foreign Affairs and Trade</w:t>
      </w:r>
    </w:p>
    <w:p w14:paraId="6D6A8EAA" w14:textId="61815D36" w:rsidR="008B4723" w:rsidRPr="008B4723" w:rsidRDefault="008B4723" w:rsidP="008B4723">
      <w:pPr>
        <w:pStyle w:val="Bullet"/>
        <w:rPr>
          <w:rFonts w:eastAsia="Arial Unicode MS"/>
        </w:rPr>
      </w:pPr>
      <w:r w:rsidRPr="008B4723">
        <w:rPr>
          <w:rFonts w:eastAsia="Arial Unicode MS"/>
        </w:rPr>
        <w:t>New Zealand Defence Force</w:t>
      </w:r>
    </w:p>
    <w:p w14:paraId="2BEFFD9B" w14:textId="03448EF4" w:rsidR="008B4723" w:rsidRPr="008B4723" w:rsidRDefault="008B4723" w:rsidP="008B4723">
      <w:pPr>
        <w:pStyle w:val="Bullet"/>
        <w:rPr>
          <w:rFonts w:eastAsia="Arial Unicode MS"/>
        </w:rPr>
      </w:pPr>
      <w:r w:rsidRPr="008B4723">
        <w:rPr>
          <w:rFonts w:eastAsia="Arial Unicode MS"/>
        </w:rPr>
        <w:t>Medsafe</w:t>
      </w:r>
    </w:p>
    <w:p w14:paraId="30E0E1E0" w14:textId="6A0F15B6" w:rsidR="008B4723" w:rsidRPr="008B4723" w:rsidRDefault="008B4723" w:rsidP="008B4723">
      <w:pPr>
        <w:pStyle w:val="Bullet"/>
        <w:rPr>
          <w:rFonts w:eastAsia="Arial Unicode MS"/>
        </w:rPr>
      </w:pPr>
      <w:r w:rsidRPr="008B4723">
        <w:rPr>
          <w:rFonts w:eastAsia="Arial Unicode MS"/>
        </w:rPr>
        <w:t>Centre for Adverse Reaction and Monitoring</w:t>
      </w:r>
    </w:p>
    <w:p w14:paraId="3E461B8D" w14:textId="0385E859" w:rsidR="008B4723" w:rsidRPr="008B4723" w:rsidRDefault="008B4723" w:rsidP="008B4723">
      <w:pPr>
        <w:pStyle w:val="Bullet"/>
        <w:rPr>
          <w:rFonts w:eastAsia="Arial Unicode MS"/>
        </w:rPr>
      </w:pPr>
      <w:r w:rsidRPr="008B4723">
        <w:rPr>
          <w:rFonts w:eastAsia="Arial Unicode MS"/>
        </w:rPr>
        <w:t>Immunisation Advisory Centre</w:t>
      </w:r>
    </w:p>
    <w:p w14:paraId="229BCD83" w14:textId="0A25BB15" w:rsidR="008B4723" w:rsidRPr="008B4723" w:rsidRDefault="008B4723" w:rsidP="008B4723">
      <w:pPr>
        <w:pStyle w:val="Bullet"/>
        <w:rPr>
          <w:rFonts w:eastAsia="Arial Unicode MS"/>
        </w:rPr>
      </w:pPr>
      <w:r w:rsidRPr="008B4723">
        <w:rPr>
          <w:rFonts w:eastAsia="Arial Unicode MS"/>
        </w:rPr>
        <w:t>Kuehne &amp; Nagel</w:t>
      </w:r>
    </w:p>
    <w:p w14:paraId="4E27D389" w14:textId="1FE5DA6F" w:rsidR="008B4723" w:rsidRPr="008B4723" w:rsidRDefault="008B4723" w:rsidP="008B4723">
      <w:pPr>
        <w:pStyle w:val="Bullet"/>
        <w:rPr>
          <w:rFonts w:eastAsia="Arial Unicode MS"/>
        </w:rPr>
      </w:pPr>
      <w:r w:rsidRPr="008B4723">
        <w:rPr>
          <w:rFonts w:eastAsia="Arial Unicode MS"/>
        </w:rPr>
        <w:t>United Nations Children’s Fund (UNICEF)</w:t>
      </w:r>
    </w:p>
    <w:p w14:paraId="68EB0A68" w14:textId="351A7B48" w:rsidR="008B4723" w:rsidRPr="008B4723" w:rsidRDefault="008B4723" w:rsidP="008B4723">
      <w:pPr>
        <w:pStyle w:val="Bullet"/>
        <w:rPr>
          <w:rFonts w:eastAsia="Arial Unicode MS"/>
        </w:rPr>
      </w:pPr>
      <w:r w:rsidRPr="008B4723">
        <w:rPr>
          <w:rFonts w:eastAsia="Arial Unicode MS"/>
        </w:rPr>
        <w:t>The World Health Organisation (WHO).</w:t>
      </w:r>
    </w:p>
    <w:p w14:paraId="75BAB328" w14:textId="77777777" w:rsidR="008B4723" w:rsidRDefault="008B4723" w:rsidP="008B4723">
      <w:pPr>
        <w:rPr>
          <w:rFonts w:eastAsia="Arial Unicode MS"/>
        </w:rPr>
      </w:pPr>
    </w:p>
    <w:p w14:paraId="1BFB173E" w14:textId="53F83FF6" w:rsidR="008B4723" w:rsidRPr="008B4723" w:rsidRDefault="008B4723" w:rsidP="008B4723">
      <w:pPr>
        <w:rPr>
          <w:rFonts w:eastAsia="Arial Unicode MS"/>
        </w:rPr>
      </w:pPr>
      <w:r w:rsidRPr="008B4723">
        <w:rPr>
          <w:rFonts w:eastAsia="Arial Unicode MS"/>
        </w:rPr>
        <w:t>Its overarching aim was to support the 6 Polynesian countries and Fiji so they</w:t>
      </w:r>
    </w:p>
    <w:p w14:paraId="0AB768BD" w14:textId="59B2FC1E" w:rsidR="008B4723" w:rsidRDefault="008B4723" w:rsidP="008B4723">
      <w:pPr>
        <w:rPr>
          <w:rFonts w:eastAsia="Arial Unicode MS"/>
        </w:rPr>
      </w:pPr>
      <w:r w:rsidRPr="008B4723">
        <w:rPr>
          <w:rFonts w:eastAsia="Arial Unicode MS"/>
        </w:rPr>
        <w:t>were well positioned to deliver a safe and effective pandemic response.</w:t>
      </w:r>
    </w:p>
    <w:p w14:paraId="427EF23A" w14:textId="77777777" w:rsidR="008B4723" w:rsidRPr="008B4723" w:rsidRDefault="008B4723" w:rsidP="008B4723">
      <w:pPr>
        <w:rPr>
          <w:rFonts w:eastAsia="Arial Unicode MS"/>
        </w:rPr>
      </w:pPr>
    </w:p>
    <w:p w14:paraId="79414AE9" w14:textId="4B41DA07" w:rsidR="008B4723" w:rsidRDefault="008B4723" w:rsidP="008B4723">
      <w:pPr>
        <w:rPr>
          <w:rFonts w:eastAsia="Arial Unicode MS"/>
        </w:rPr>
      </w:pPr>
      <w:r w:rsidRPr="008B4723">
        <w:rPr>
          <w:rFonts w:eastAsia="Arial Unicode MS"/>
        </w:rPr>
        <w:t>In extending its support to Fiji, the PHC programme procured and delivered 7,000 doses of paediatric Pfizer vaccine and 52,560 adult doses for those aged 12–14 years. PHC also led a technical</w:t>
      </w:r>
      <w:r>
        <w:rPr>
          <w:rFonts w:eastAsia="Arial Unicode MS"/>
        </w:rPr>
        <w:t xml:space="preserve"> </w:t>
      </w:r>
      <w:r w:rsidRPr="008B4723">
        <w:rPr>
          <w:rFonts w:eastAsia="Arial Unicode MS"/>
        </w:rPr>
        <w:t>assistance mission to Suva, along with the Immunisation Advisory Centre, to support and train Fiji’s vaccinator workforce in June 2022.</w:t>
      </w:r>
    </w:p>
    <w:p w14:paraId="385616BC" w14:textId="77777777" w:rsidR="008B4723" w:rsidRPr="008B4723" w:rsidRDefault="008B4723" w:rsidP="008B4723">
      <w:pPr>
        <w:rPr>
          <w:rFonts w:eastAsia="Arial Unicode MS"/>
        </w:rPr>
      </w:pPr>
    </w:p>
    <w:p w14:paraId="58E3C32E" w14:textId="77777777" w:rsidR="008B4723" w:rsidRPr="008B4723" w:rsidRDefault="008B4723" w:rsidP="008B4723">
      <w:pPr>
        <w:rPr>
          <w:rFonts w:eastAsia="Arial Unicode MS"/>
        </w:rPr>
      </w:pPr>
      <w:r w:rsidRPr="008B4723">
        <w:rPr>
          <w:rFonts w:eastAsia="Arial Unicode MS"/>
        </w:rPr>
        <w:t>Through the work across the entire programme, Polynesian countries achieved vaccination rates that were world leading.</w:t>
      </w:r>
    </w:p>
    <w:p w14:paraId="34C3A356" w14:textId="77777777" w:rsidR="008B4723" w:rsidRPr="008B4723" w:rsidRDefault="008B4723" w:rsidP="008B4723">
      <w:pPr>
        <w:rPr>
          <w:rFonts w:eastAsia="Arial Unicode MS"/>
        </w:rPr>
      </w:pPr>
      <w:r w:rsidRPr="008B4723">
        <w:rPr>
          <w:rFonts w:eastAsia="Arial Unicode MS"/>
        </w:rPr>
        <w:t xml:space="preserve"> </w:t>
      </w:r>
    </w:p>
    <w:p w14:paraId="409D2D77" w14:textId="7ACABFC9" w:rsidR="008B4723" w:rsidRDefault="008B4723" w:rsidP="008B4723">
      <w:pPr>
        <w:rPr>
          <w:rFonts w:eastAsia="Arial Unicode MS"/>
        </w:rPr>
      </w:pPr>
      <w:r w:rsidRPr="008B4723">
        <w:rPr>
          <w:rFonts w:eastAsia="Arial Unicode MS"/>
        </w:rPr>
        <w:t>In addition to vaccine support, PHC provided Niue, the Cook Islands and Fiji with on-the-ground technical assistance, infection prevention and control training, and case investigation and contact tracing workshops. It also participated</w:t>
      </w:r>
      <w:r>
        <w:rPr>
          <w:rFonts w:eastAsia="Arial Unicode MS"/>
        </w:rPr>
        <w:t xml:space="preserve"> </w:t>
      </w:r>
      <w:r w:rsidRPr="008B4723">
        <w:rPr>
          <w:rFonts w:eastAsia="Arial Unicode MS"/>
        </w:rPr>
        <w:t>in community and public sector engagements to strengthen outbreak preparedness.</w:t>
      </w:r>
    </w:p>
    <w:p w14:paraId="4F2C866B" w14:textId="77777777" w:rsidR="008B4723" w:rsidRPr="008B4723" w:rsidRDefault="008B4723" w:rsidP="008B4723">
      <w:pPr>
        <w:rPr>
          <w:rFonts w:eastAsia="Arial Unicode MS"/>
        </w:rPr>
      </w:pPr>
    </w:p>
    <w:p w14:paraId="68E5F4A9" w14:textId="7A2D8F35" w:rsidR="008B4723" w:rsidRDefault="008B4723" w:rsidP="008B4723">
      <w:pPr>
        <w:rPr>
          <w:rFonts w:eastAsia="Arial Unicode MS"/>
        </w:rPr>
      </w:pPr>
      <w:r w:rsidRPr="008B4723">
        <w:rPr>
          <w:rFonts w:eastAsia="Arial Unicode MS"/>
        </w:rPr>
        <w:t>Testing capability was central to the COVID-19 response, protecting Pacific communities against COVID-19. The PHC provided 217,040 RATs to Polynesian countries.</w:t>
      </w:r>
    </w:p>
    <w:p w14:paraId="40DBEA60" w14:textId="4FBB441C" w:rsidR="008B4723" w:rsidRDefault="008B4723" w:rsidP="008B4723">
      <w:pPr>
        <w:rPr>
          <w:rFonts w:eastAsia="Arial Unicode MS"/>
        </w:rPr>
      </w:pPr>
    </w:p>
    <w:p w14:paraId="5E30BAD7" w14:textId="77777777" w:rsidR="008B4723" w:rsidRPr="008B4723" w:rsidRDefault="008B4723" w:rsidP="008B4723">
      <w:pPr>
        <w:rPr>
          <w:rFonts w:eastAsia="Arial Unicode MS"/>
        </w:rPr>
      </w:pPr>
    </w:p>
    <w:p w14:paraId="6F953469" w14:textId="280A6CEB" w:rsidR="008B4723" w:rsidRDefault="008B4723" w:rsidP="009163D8">
      <w:pPr>
        <w:pStyle w:val="Heading6"/>
        <w:ind w:left="0" w:firstLine="0"/>
      </w:pPr>
      <w:r w:rsidRPr="008B4723">
        <w:lastRenderedPageBreak/>
        <w:t xml:space="preserve">Number of rapid antigen tests donated to Polynesian countries, </w:t>
      </w:r>
      <w:r w:rsidR="00F870AE">
        <w:br/>
      </w:r>
      <w:r w:rsidRPr="008B4723">
        <w:t>February 2021 – June 2022</w:t>
      </w:r>
    </w:p>
    <w:p w14:paraId="23E839B0" w14:textId="50157736" w:rsidR="008B4723" w:rsidRDefault="008B4723" w:rsidP="008B4723">
      <w:pPr>
        <w:rPr>
          <w:rFonts w:eastAsia="Arial Unicode MS"/>
          <w:b/>
          <w:bCs/>
        </w:rPr>
      </w:pPr>
      <w:r>
        <w:rPr>
          <w:noProof/>
        </w:rPr>
        <w:drawing>
          <wp:inline distT="0" distB="0" distL="0" distR="0" wp14:anchorId="26D2FDF1" wp14:editId="71644314">
            <wp:extent cx="2947917" cy="5328161"/>
            <wp:effectExtent l="0" t="0" r="5080" b="6350"/>
            <wp:docPr id="2087" name="Picture 2087" descr="Infographic with statistics such as 357,690 doses of paediatric and adult Pfizer COVID-19 vaccine delivered across Polynesia and Fiji since Apri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 name="Picture 2087" descr="Infographic with statistics such as 357,690 doses of paediatric and adult Pfizer COVID-19 vaccine delivered across Polynesia and Fiji since April 2021"/>
                    <pic:cNvPicPr/>
                  </pic:nvPicPr>
                  <pic:blipFill>
                    <a:blip r:embed="rId34">
                      <a:extLst>
                        <a:ext uri="{28A0092B-C50C-407E-A947-70E740481C1C}">
                          <a14:useLocalDpi xmlns:a14="http://schemas.microsoft.com/office/drawing/2010/main" val="0"/>
                        </a:ext>
                      </a:extLst>
                    </a:blip>
                    <a:stretch>
                      <a:fillRect/>
                    </a:stretch>
                  </pic:blipFill>
                  <pic:spPr>
                    <a:xfrm>
                      <a:off x="0" y="0"/>
                      <a:ext cx="2950745" cy="5333272"/>
                    </a:xfrm>
                    <a:prstGeom prst="rect">
                      <a:avLst/>
                    </a:prstGeom>
                  </pic:spPr>
                </pic:pic>
              </a:graphicData>
            </a:graphic>
          </wp:inline>
        </w:drawing>
      </w:r>
    </w:p>
    <w:p w14:paraId="628B416F" w14:textId="13E23C8A" w:rsidR="008B4723" w:rsidRDefault="008B4723" w:rsidP="008B4723">
      <w:pPr>
        <w:rPr>
          <w:rFonts w:eastAsia="Arial Unicode MS"/>
          <w:b/>
          <w:bCs/>
        </w:rPr>
      </w:pPr>
    </w:p>
    <w:tbl>
      <w:tblPr>
        <w:tblW w:w="0" w:type="auto"/>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969"/>
        <w:gridCol w:w="3969"/>
      </w:tblGrid>
      <w:tr w:rsidR="008B4723" w:rsidRPr="008B4723" w14:paraId="58CFB4F1" w14:textId="77777777" w:rsidTr="00F870AE">
        <w:trPr>
          <w:trHeight w:val="380"/>
        </w:trPr>
        <w:tc>
          <w:tcPr>
            <w:tcW w:w="3969" w:type="dxa"/>
            <w:tcBorders>
              <w:top w:val="nil"/>
              <w:bottom w:val="nil"/>
            </w:tcBorders>
            <w:shd w:val="clear" w:color="auto" w:fill="D9D9D9" w:themeFill="background1" w:themeFillShade="D9"/>
          </w:tcPr>
          <w:p w14:paraId="3B89D6EE" w14:textId="77777777" w:rsidR="008B4723" w:rsidRPr="008B4723" w:rsidRDefault="008B4723" w:rsidP="008B4723">
            <w:pPr>
              <w:pStyle w:val="TableText"/>
              <w:rPr>
                <w:rFonts w:cs="Segoe UI"/>
                <w:b/>
                <w:bCs/>
              </w:rPr>
            </w:pPr>
            <w:r w:rsidRPr="008B4723">
              <w:rPr>
                <w:rFonts w:cs="Segoe UI"/>
                <w:b/>
                <w:bCs/>
                <w:w w:val="110"/>
              </w:rPr>
              <w:t>Country</w:t>
            </w:r>
          </w:p>
        </w:tc>
        <w:tc>
          <w:tcPr>
            <w:tcW w:w="3969" w:type="dxa"/>
            <w:tcBorders>
              <w:top w:val="nil"/>
              <w:bottom w:val="nil"/>
            </w:tcBorders>
            <w:shd w:val="clear" w:color="auto" w:fill="D9D9D9" w:themeFill="background1" w:themeFillShade="D9"/>
          </w:tcPr>
          <w:p w14:paraId="3207302B" w14:textId="77777777" w:rsidR="008B4723" w:rsidRPr="008B4723" w:rsidRDefault="008B4723" w:rsidP="00F870AE">
            <w:pPr>
              <w:pStyle w:val="TableText"/>
              <w:jc w:val="right"/>
              <w:rPr>
                <w:rFonts w:cs="Segoe UI"/>
                <w:b/>
                <w:bCs/>
              </w:rPr>
            </w:pPr>
            <w:r w:rsidRPr="008B4723">
              <w:rPr>
                <w:rFonts w:cs="Segoe UI"/>
                <w:b/>
                <w:bCs/>
                <w:w w:val="105"/>
              </w:rPr>
              <w:t>Total</w:t>
            </w:r>
            <w:r w:rsidRPr="008B4723">
              <w:rPr>
                <w:rFonts w:cs="Segoe UI"/>
                <w:b/>
                <w:bCs/>
                <w:spacing w:val="9"/>
                <w:w w:val="105"/>
              </w:rPr>
              <w:t xml:space="preserve"> </w:t>
            </w:r>
            <w:r w:rsidRPr="008B4723">
              <w:rPr>
                <w:rFonts w:cs="Segoe UI"/>
                <w:b/>
                <w:bCs/>
                <w:w w:val="105"/>
              </w:rPr>
              <w:t>RATs</w:t>
            </w:r>
            <w:r w:rsidRPr="008B4723">
              <w:rPr>
                <w:rFonts w:cs="Segoe UI"/>
                <w:b/>
                <w:bCs/>
                <w:spacing w:val="9"/>
                <w:w w:val="105"/>
              </w:rPr>
              <w:t xml:space="preserve"> </w:t>
            </w:r>
            <w:r w:rsidRPr="008B4723">
              <w:rPr>
                <w:rFonts w:cs="Segoe UI"/>
                <w:b/>
                <w:bCs/>
                <w:w w:val="105"/>
              </w:rPr>
              <w:t>donated</w:t>
            </w:r>
          </w:p>
        </w:tc>
      </w:tr>
      <w:tr w:rsidR="008B4723" w14:paraId="4802D344" w14:textId="77777777" w:rsidTr="00F870AE">
        <w:trPr>
          <w:trHeight w:val="380"/>
        </w:trPr>
        <w:tc>
          <w:tcPr>
            <w:tcW w:w="3969" w:type="dxa"/>
            <w:tcBorders>
              <w:top w:val="nil"/>
            </w:tcBorders>
          </w:tcPr>
          <w:p w14:paraId="335D5ACB" w14:textId="77777777" w:rsidR="008B4723" w:rsidRPr="008B4723" w:rsidRDefault="008B4723" w:rsidP="008B4723">
            <w:pPr>
              <w:pStyle w:val="TableText"/>
              <w:rPr>
                <w:rFonts w:cs="Segoe UI"/>
              </w:rPr>
            </w:pPr>
            <w:r w:rsidRPr="008B4723">
              <w:rPr>
                <w:rFonts w:cs="Segoe UI"/>
                <w:w w:val="105"/>
              </w:rPr>
              <w:t>Cook</w:t>
            </w:r>
            <w:r w:rsidRPr="008B4723">
              <w:rPr>
                <w:rFonts w:cs="Segoe UI"/>
                <w:spacing w:val="-7"/>
                <w:w w:val="105"/>
              </w:rPr>
              <w:t xml:space="preserve"> </w:t>
            </w:r>
            <w:r w:rsidRPr="008B4723">
              <w:rPr>
                <w:rFonts w:cs="Segoe UI"/>
                <w:w w:val="105"/>
              </w:rPr>
              <w:t>Islands</w:t>
            </w:r>
          </w:p>
        </w:tc>
        <w:tc>
          <w:tcPr>
            <w:tcW w:w="3969" w:type="dxa"/>
            <w:tcBorders>
              <w:top w:val="nil"/>
            </w:tcBorders>
          </w:tcPr>
          <w:p w14:paraId="1F70DE09" w14:textId="77777777" w:rsidR="008B4723" w:rsidRPr="008B4723" w:rsidRDefault="008B4723" w:rsidP="00F870AE">
            <w:pPr>
              <w:pStyle w:val="TableText"/>
              <w:jc w:val="right"/>
              <w:rPr>
                <w:rFonts w:cs="Segoe UI"/>
              </w:rPr>
            </w:pPr>
            <w:r w:rsidRPr="008B4723">
              <w:rPr>
                <w:rFonts w:cs="Segoe UI"/>
              </w:rPr>
              <w:t>31,680</w:t>
            </w:r>
          </w:p>
        </w:tc>
      </w:tr>
      <w:tr w:rsidR="008B4723" w14:paraId="38ACE955" w14:textId="77777777" w:rsidTr="00F870AE">
        <w:trPr>
          <w:trHeight w:val="380"/>
        </w:trPr>
        <w:tc>
          <w:tcPr>
            <w:tcW w:w="3969" w:type="dxa"/>
          </w:tcPr>
          <w:p w14:paraId="2F6FA2EF" w14:textId="77777777" w:rsidR="008B4723" w:rsidRPr="008B4723" w:rsidRDefault="008B4723" w:rsidP="008B4723">
            <w:pPr>
              <w:pStyle w:val="TableText"/>
              <w:rPr>
                <w:rFonts w:cs="Segoe UI"/>
              </w:rPr>
            </w:pPr>
            <w:r w:rsidRPr="008B4723">
              <w:rPr>
                <w:rFonts w:cs="Segoe UI"/>
              </w:rPr>
              <w:t>Niue</w:t>
            </w:r>
          </w:p>
        </w:tc>
        <w:tc>
          <w:tcPr>
            <w:tcW w:w="3969" w:type="dxa"/>
          </w:tcPr>
          <w:p w14:paraId="68CA6C62" w14:textId="77777777" w:rsidR="008B4723" w:rsidRPr="008B4723" w:rsidRDefault="008B4723" w:rsidP="00F870AE">
            <w:pPr>
              <w:pStyle w:val="TableText"/>
              <w:jc w:val="right"/>
              <w:rPr>
                <w:rFonts w:cs="Segoe UI"/>
              </w:rPr>
            </w:pPr>
            <w:r w:rsidRPr="008B4723">
              <w:rPr>
                <w:rFonts w:cs="Segoe UI"/>
                <w:w w:val="105"/>
              </w:rPr>
              <w:t>4,740</w:t>
            </w:r>
          </w:p>
        </w:tc>
      </w:tr>
      <w:tr w:rsidR="008B4723" w14:paraId="1FBA6FEF" w14:textId="77777777" w:rsidTr="00F870AE">
        <w:trPr>
          <w:trHeight w:val="380"/>
        </w:trPr>
        <w:tc>
          <w:tcPr>
            <w:tcW w:w="3969" w:type="dxa"/>
          </w:tcPr>
          <w:p w14:paraId="5C8033C6" w14:textId="77777777" w:rsidR="008B4723" w:rsidRPr="008B4723" w:rsidRDefault="008B4723" w:rsidP="008B4723">
            <w:pPr>
              <w:pStyle w:val="TableText"/>
              <w:rPr>
                <w:rFonts w:cs="Segoe UI"/>
              </w:rPr>
            </w:pPr>
            <w:r w:rsidRPr="008B4723">
              <w:rPr>
                <w:rFonts w:cs="Segoe UI"/>
                <w:w w:val="105"/>
              </w:rPr>
              <w:t>Samoa</w:t>
            </w:r>
          </w:p>
        </w:tc>
        <w:tc>
          <w:tcPr>
            <w:tcW w:w="3969" w:type="dxa"/>
          </w:tcPr>
          <w:p w14:paraId="3D4F213A" w14:textId="77777777" w:rsidR="008B4723" w:rsidRPr="008B4723" w:rsidRDefault="008B4723" w:rsidP="00F870AE">
            <w:pPr>
              <w:pStyle w:val="TableText"/>
              <w:jc w:val="right"/>
              <w:rPr>
                <w:rFonts w:cs="Segoe UI"/>
              </w:rPr>
            </w:pPr>
            <w:r w:rsidRPr="008B4723">
              <w:rPr>
                <w:rFonts w:cs="Segoe UI"/>
              </w:rPr>
              <w:t>91,720</w:t>
            </w:r>
          </w:p>
        </w:tc>
      </w:tr>
      <w:tr w:rsidR="008B4723" w14:paraId="00A6AA45" w14:textId="77777777" w:rsidTr="00F870AE">
        <w:trPr>
          <w:trHeight w:val="380"/>
        </w:trPr>
        <w:tc>
          <w:tcPr>
            <w:tcW w:w="3969" w:type="dxa"/>
          </w:tcPr>
          <w:p w14:paraId="4E64F0B3" w14:textId="77777777" w:rsidR="008B4723" w:rsidRPr="008B4723" w:rsidRDefault="008B4723" w:rsidP="008B4723">
            <w:pPr>
              <w:pStyle w:val="TableText"/>
              <w:rPr>
                <w:rFonts w:cs="Segoe UI"/>
              </w:rPr>
            </w:pPr>
            <w:r w:rsidRPr="008B4723">
              <w:rPr>
                <w:rFonts w:cs="Segoe UI"/>
                <w:w w:val="105"/>
              </w:rPr>
              <w:t>Tokelau</w:t>
            </w:r>
          </w:p>
        </w:tc>
        <w:tc>
          <w:tcPr>
            <w:tcW w:w="3969" w:type="dxa"/>
          </w:tcPr>
          <w:p w14:paraId="1172EACE" w14:textId="77777777" w:rsidR="008B4723" w:rsidRPr="008B4723" w:rsidRDefault="008B4723" w:rsidP="00F870AE">
            <w:pPr>
              <w:pStyle w:val="TableText"/>
              <w:jc w:val="right"/>
              <w:rPr>
                <w:rFonts w:cs="Segoe UI"/>
              </w:rPr>
            </w:pPr>
            <w:r w:rsidRPr="008B4723">
              <w:rPr>
                <w:rFonts w:cs="Segoe UI"/>
                <w:w w:val="110"/>
              </w:rPr>
              <w:t>6,840</w:t>
            </w:r>
          </w:p>
        </w:tc>
      </w:tr>
      <w:tr w:rsidR="008B4723" w14:paraId="41947813" w14:textId="77777777" w:rsidTr="00F870AE">
        <w:trPr>
          <w:trHeight w:val="380"/>
        </w:trPr>
        <w:tc>
          <w:tcPr>
            <w:tcW w:w="3969" w:type="dxa"/>
          </w:tcPr>
          <w:p w14:paraId="14DECCD8" w14:textId="77777777" w:rsidR="008B4723" w:rsidRPr="008B4723" w:rsidRDefault="008B4723" w:rsidP="008B4723">
            <w:pPr>
              <w:pStyle w:val="TableText"/>
              <w:rPr>
                <w:rFonts w:cs="Segoe UI"/>
              </w:rPr>
            </w:pPr>
            <w:r w:rsidRPr="008B4723">
              <w:rPr>
                <w:rFonts w:cs="Segoe UI"/>
                <w:w w:val="105"/>
              </w:rPr>
              <w:t>Tonga</w:t>
            </w:r>
          </w:p>
        </w:tc>
        <w:tc>
          <w:tcPr>
            <w:tcW w:w="3969" w:type="dxa"/>
          </w:tcPr>
          <w:p w14:paraId="426541A7" w14:textId="77777777" w:rsidR="008B4723" w:rsidRPr="008B4723" w:rsidRDefault="008B4723" w:rsidP="00F870AE">
            <w:pPr>
              <w:pStyle w:val="TableText"/>
              <w:jc w:val="right"/>
              <w:rPr>
                <w:rFonts w:cs="Segoe UI"/>
              </w:rPr>
            </w:pPr>
            <w:r w:rsidRPr="008B4723">
              <w:rPr>
                <w:rFonts w:cs="Segoe UI"/>
                <w:w w:val="105"/>
              </w:rPr>
              <w:t>73,240</w:t>
            </w:r>
          </w:p>
        </w:tc>
      </w:tr>
      <w:tr w:rsidR="008B4723" w14:paraId="324DBD76" w14:textId="77777777" w:rsidTr="00F870AE">
        <w:trPr>
          <w:trHeight w:val="380"/>
        </w:trPr>
        <w:tc>
          <w:tcPr>
            <w:tcW w:w="3969" w:type="dxa"/>
          </w:tcPr>
          <w:p w14:paraId="77CF4F4F" w14:textId="77777777" w:rsidR="008B4723" w:rsidRPr="008B4723" w:rsidRDefault="008B4723" w:rsidP="008B4723">
            <w:pPr>
              <w:pStyle w:val="TableText"/>
              <w:rPr>
                <w:rFonts w:cs="Segoe UI"/>
              </w:rPr>
            </w:pPr>
            <w:r w:rsidRPr="008B4723">
              <w:rPr>
                <w:rFonts w:cs="Segoe UI"/>
                <w:w w:val="105"/>
              </w:rPr>
              <w:t>Tuvalu</w:t>
            </w:r>
          </w:p>
        </w:tc>
        <w:tc>
          <w:tcPr>
            <w:tcW w:w="3969" w:type="dxa"/>
          </w:tcPr>
          <w:p w14:paraId="672284CE" w14:textId="77777777" w:rsidR="008B4723" w:rsidRPr="008B4723" w:rsidRDefault="008B4723" w:rsidP="00F870AE">
            <w:pPr>
              <w:pStyle w:val="TableText"/>
              <w:jc w:val="right"/>
              <w:rPr>
                <w:rFonts w:cs="Segoe UI"/>
              </w:rPr>
            </w:pPr>
            <w:r w:rsidRPr="008B4723">
              <w:rPr>
                <w:rFonts w:cs="Segoe UI"/>
                <w:w w:val="105"/>
              </w:rPr>
              <w:t>8,820</w:t>
            </w:r>
          </w:p>
        </w:tc>
      </w:tr>
      <w:tr w:rsidR="008B4723" w14:paraId="51F5F079" w14:textId="77777777" w:rsidTr="00F870AE">
        <w:trPr>
          <w:trHeight w:val="375"/>
        </w:trPr>
        <w:tc>
          <w:tcPr>
            <w:tcW w:w="3969" w:type="dxa"/>
          </w:tcPr>
          <w:p w14:paraId="6B6A1D8C" w14:textId="77777777" w:rsidR="008B4723" w:rsidRPr="008B4723" w:rsidRDefault="008B4723" w:rsidP="008B4723">
            <w:pPr>
              <w:pStyle w:val="TableText"/>
              <w:rPr>
                <w:rFonts w:cs="Segoe UI"/>
                <w:b/>
                <w:bCs/>
              </w:rPr>
            </w:pPr>
            <w:r w:rsidRPr="008B4723">
              <w:rPr>
                <w:rFonts w:cs="Segoe UI"/>
                <w:b/>
                <w:bCs/>
                <w:w w:val="110"/>
              </w:rPr>
              <w:t>Grand</w:t>
            </w:r>
            <w:r w:rsidRPr="008B4723">
              <w:rPr>
                <w:rFonts w:cs="Segoe UI"/>
                <w:b/>
                <w:bCs/>
                <w:spacing w:val="-14"/>
                <w:w w:val="110"/>
              </w:rPr>
              <w:t xml:space="preserve"> </w:t>
            </w:r>
            <w:r w:rsidRPr="008B4723">
              <w:rPr>
                <w:rFonts w:cs="Segoe UI"/>
                <w:b/>
                <w:bCs/>
                <w:w w:val="110"/>
              </w:rPr>
              <w:t>total</w:t>
            </w:r>
          </w:p>
        </w:tc>
        <w:tc>
          <w:tcPr>
            <w:tcW w:w="3969" w:type="dxa"/>
          </w:tcPr>
          <w:p w14:paraId="60FC8136" w14:textId="77777777" w:rsidR="008B4723" w:rsidRPr="008B4723" w:rsidRDefault="008B4723" w:rsidP="00F870AE">
            <w:pPr>
              <w:pStyle w:val="TableText"/>
              <w:jc w:val="right"/>
              <w:rPr>
                <w:rFonts w:cs="Segoe UI"/>
                <w:b/>
                <w:bCs/>
              </w:rPr>
            </w:pPr>
            <w:r w:rsidRPr="008B4723">
              <w:rPr>
                <w:rFonts w:cs="Segoe UI"/>
                <w:b/>
                <w:bCs/>
                <w:w w:val="105"/>
              </w:rPr>
              <w:t>217,040</w:t>
            </w:r>
          </w:p>
        </w:tc>
      </w:tr>
    </w:tbl>
    <w:p w14:paraId="6939371F" w14:textId="0EAEB036" w:rsidR="008B4723" w:rsidRDefault="008B4723" w:rsidP="008B4723">
      <w:pPr>
        <w:rPr>
          <w:rFonts w:eastAsia="Arial Unicode MS"/>
          <w:b/>
          <w:bCs/>
        </w:rPr>
      </w:pPr>
    </w:p>
    <w:p w14:paraId="3AEB41F9" w14:textId="77777777" w:rsidR="008B4723" w:rsidRDefault="008B4723" w:rsidP="008B4723">
      <w:pPr>
        <w:rPr>
          <w:rFonts w:eastAsia="Arial Unicode MS"/>
          <w:b/>
          <w:bCs/>
        </w:rPr>
        <w:sectPr w:rsidR="008B4723" w:rsidSect="00C26282">
          <w:pgSz w:w="11907" w:h="16840" w:code="9"/>
          <w:pgMar w:top="1418" w:right="1701" w:bottom="1134" w:left="1843" w:header="284" w:footer="425" w:gutter="284"/>
          <w:cols w:space="720"/>
        </w:sectPr>
      </w:pPr>
    </w:p>
    <w:p w14:paraId="34CA7CCC" w14:textId="77777777" w:rsidR="008B4723" w:rsidRPr="008B4723" w:rsidRDefault="008B4723" w:rsidP="008B4723">
      <w:pPr>
        <w:pStyle w:val="Heading3"/>
        <w:spacing w:before="0"/>
      </w:pPr>
      <w:bookmarkStart w:id="20" w:name="_Toc117264928"/>
      <w:r w:rsidRPr="008B4723">
        <w:lastRenderedPageBreak/>
        <w:t>Demonstrating our commitment to achieving equitable outcomes</w:t>
      </w:r>
      <w:bookmarkEnd w:id="20"/>
    </w:p>
    <w:p w14:paraId="572266CA" w14:textId="7759BA74" w:rsidR="008B4723" w:rsidRDefault="008B4723" w:rsidP="008B4723">
      <w:pPr>
        <w:rPr>
          <w:rFonts w:eastAsia="Arial Unicode MS"/>
        </w:rPr>
      </w:pPr>
      <w:r w:rsidRPr="008B4723">
        <w:rPr>
          <w:rFonts w:eastAsia="Arial Unicode MS"/>
        </w:rPr>
        <w:t>Equity for Māori, Pacific, disabled people, and ethnic communities was at the centre of the COVID-19 vaccination programme design and implementation.</w:t>
      </w:r>
    </w:p>
    <w:p w14:paraId="4852EDAD" w14:textId="77777777" w:rsidR="008B4723" w:rsidRPr="008B4723" w:rsidRDefault="008B4723" w:rsidP="008B4723">
      <w:pPr>
        <w:rPr>
          <w:rFonts w:eastAsia="Arial Unicode MS"/>
        </w:rPr>
      </w:pPr>
    </w:p>
    <w:p w14:paraId="5DCE3490" w14:textId="3074D14D" w:rsidR="008B4723" w:rsidRDefault="008B4723" w:rsidP="008B4723">
      <w:pPr>
        <w:rPr>
          <w:rFonts w:eastAsia="Arial Unicode MS"/>
        </w:rPr>
      </w:pPr>
      <w:r w:rsidRPr="008B4723">
        <w:rPr>
          <w:rFonts w:eastAsia="Arial Unicode MS"/>
        </w:rPr>
        <w:t>A significant amount of work went into responding rapidly to the challenges of COVID-19, including mobilising systems, services and support to meet the needs of priority populations and deliver equitable health outcomes. We especially acknowledge the significant contribution that iwi, Māori and Pacific providers, as well as our frontline workforce, made (and continue to make) during this response.</w:t>
      </w:r>
    </w:p>
    <w:p w14:paraId="0C8E4D72" w14:textId="77777777" w:rsidR="008B4723" w:rsidRPr="008B4723" w:rsidRDefault="008B4723" w:rsidP="008B4723">
      <w:pPr>
        <w:rPr>
          <w:rFonts w:eastAsia="Arial Unicode MS"/>
        </w:rPr>
      </w:pPr>
    </w:p>
    <w:p w14:paraId="4AC368B4" w14:textId="4A3DB30E" w:rsidR="008B4723" w:rsidRDefault="008B4723" w:rsidP="008B4723">
      <w:pPr>
        <w:rPr>
          <w:rFonts w:eastAsia="Arial Unicode MS"/>
        </w:rPr>
      </w:pPr>
      <w:r w:rsidRPr="008B4723">
        <w:rPr>
          <w:rFonts w:eastAsia="Arial Unicode MS"/>
        </w:rPr>
        <w:t>Locally led solutions helped drive equitable outcomes, supported communities and improved resilience.</w:t>
      </w:r>
    </w:p>
    <w:p w14:paraId="3C0AF31B" w14:textId="77777777" w:rsidR="008B4723" w:rsidRPr="008B4723" w:rsidRDefault="008B4723" w:rsidP="008B4723">
      <w:pPr>
        <w:rPr>
          <w:rFonts w:eastAsia="Arial Unicode MS"/>
        </w:rPr>
      </w:pPr>
    </w:p>
    <w:p w14:paraId="4594ACEA" w14:textId="0B1D368B" w:rsidR="008B4723" w:rsidRDefault="008B4723" w:rsidP="008B4723">
      <w:pPr>
        <w:rPr>
          <w:rFonts w:eastAsia="Arial Unicode MS"/>
        </w:rPr>
      </w:pPr>
      <w:r w:rsidRPr="008B4723">
        <w:rPr>
          <w:rFonts w:eastAsia="Arial Unicode MS"/>
        </w:rPr>
        <w:t>Over the year we worked directly with other agencies, engaged frequently with communities and providers, and worked with equity advisory groups to inform a pro-equity COVID-19 response.</w:t>
      </w:r>
    </w:p>
    <w:p w14:paraId="7AC21CE7" w14:textId="77777777" w:rsidR="008B4723" w:rsidRPr="008B4723" w:rsidRDefault="008B4723" w:rsidP="008B4723">
      <w:pPr>
        <w:rPr>
          <w:rFonts w:eastAsia="Arial Unicode MS"/>
        </w:rPr>
      </w:pPr>
    </w:p>
    <w:p w14:paraId="0B554BAF" w14:textId="6C5191AF" w:rsidR="008B4723" w:rsidRDefault="008B4723" w:rsidP="008B4723">
      <w:pPr>
        <w:rPr>
          <w:rFonts w:eastAsia="Arial Unicode MS"/>
        </w:rPr>
      </w:pPr>
      <w:r w:rsidRPr="008B4723">
        <w:rPr>
          <w:rFonts w:eastAsia="Arial Unicode MS"/>
        </w:rPr>
        <w:t>Engagement between the National Immunisation Programme equity regional account managers, DHBs and local Māori health providers led to the planning and</w:t>
      </w:r>
      <w:r>
        <w:rPr>
          <w:rFonts w:eastAsia="Arial Unicode MS"/>
        </w:rPr>
        <w:t xml:space="preserve"> </w:t>
      </w:r>
      <w:r w:rsidRPr="008B4723">
        <w:rPr>
          <w:rFonts w:eastAsia="Arial Unicode MS"/>
        </w:rPr>
        <w:t>delivery of a range of vaccination events, including vaccination sprint events held in Tairāwhiti, Bay of Plenty and South Auckland.</w:t>
      </w:r>
    </w:p>
    <w:p w14:paraId="55FD1C39" w14:textId="77777777" w:rsidR="008B4723" w:rsidRPr="008B4723" w:rsidRDefault="008B4723" w:rsidP="008B4723">
      <w:pPr>
        <w:rPr>
          <w:rFonts w:eastAsia="Arial Unicode MS"/>
        </w:rPr>
      </w:pPr>
    </w:p>
    <w:p w14:paraId="598A95A9" w14:textId="39328914" w:rsidR="008B4723" w:rsidRDefault="008B4723" w:rsidP="008B4723">
      <w:pPr>
        <w:rPr>
          <w:rFonts w:eastAsia="Arial Unicode MS"/>
        </w:rPr>
      </w:pPr>
      <w:r w:rsidRPr="008B4723">
        <w:rPr>
          <w:rFonts w:eastAsia="Arial Unicode MS"/>
        </w:rPr>
        <w:t>As a result of our close working relationship with the Ministry for Pacific Peoples, we created an effective mechanism to hear from Pacific communities directly through their national, regional and ethnic-specific Zoom fono. These engagements helped us to promote ethnic-specific communication across Pacific communities, leading to</w:t>
      </w:r>
      <w:r w:rsidR="008F524E">
        <w:rPr>
          <w:rFonts w:eastAsia="Arial Unicode MS"/>
        </w:rPr>
        <w:t xml:space="preserve"> </w:t>
      </w:r>
      <w:r w:rsidRPr="008B4723">
        <w:rPr>
          <w:rFonts w:eastAsia="Arial Unicode MS"/>
        </w:rPr>
        <w:t>an ongoing high level of compliance with public health guidance, including on vaccination and testing measures.</w:t>
      </w:r>
      <w:r>
        <w:rPr>
          <w:rFonts w:eastAsia="Arial Unicode MS"/>
        </w:rPr>
        <w:t xml:space="preserve"> </w:t>
      </w:r>
      <w:r w:rsidRPr="008B4723">
        <w:rPr>
          <w:rFonts w:eastAsia="Arial Unicode MS"/>
        </w:rPr>
        <w:t>Importantly, we were also able to engage with Pacific peoples considered hard to reach.</w:t>
      </w:r>
    </w:p>
    <w:p w14:paraId="43EBE0A4" w14:textId="77777777" w:rsidR="008B4723" w:rsidRPr="008B4723" w:rsidRDefault="008B4723" w:rsidP="008B4723">
      <w:pPr>
        <w:rPr>
          <w:rFonts w:eastAsia="Arial Unicode MS"/>
        </w:rPr>
      </w:pPr>
    </w:p>
    <w:p w14:paraId="349C5F78" w14:textId="77777777" w:rsidR="008B4723" w:rsidRPr="008B4723" w:rsidRDefault="008B4723" w:rsidP="008B4723">
      <w:pPr>
        <w:rPr>
          <w:rFonts w:eastAsia="Arial Unicode MS"/>
        </w:rPr>
      </w:pPr>
      <w:r w:rsidRPr="008B4723">
        <w:rPr>
          <w:rFonts w:eastAsia="Arial Unicode MS"/>
        </w:rPr>
        <w:t>Ongoing engagement with our lived experience group, Te Kōtuku e Rere, supported us to design and develop approaches that connect with rural Māori, Pacific, mental health and addiction, and disabled populations.</w:t>
      </w:r>
    </w:p>
    <w:p w14:paraId="6E0747B9" w14:textId="77777777" w:rsidR="008B4723" w:rsidRPr="008B4723" w:rsidRDefault="008B4723" w:rsidP="00600AD4">
      <w:pPr>
        <w:pStyle w:val="Heading4"/>
      </w:pPr>
      <w:r w:rsidRPr="008B4723">
        <w:t>COVID-19 Māori health response</w:t>
      </w:r>
    </w:p>
    <w:p w14:paraId="3C5DB17C" w14:textId="61F824A3" w:rsidR="008B4723" w:rsidRDefault="008B4723" w:rsidP="008B4723">
      <w:pPr>
        <w:rPr>
          <w:rFonts w:eastAsia="Arial Unicode MS"/>
        </w:rPr>
      </w:pPr>
      <w:r w:rsidRPr="008B4723">
        <w:rPr>
          <w:rFonts w:eastAsia="Arial Unicode MS"/>
        </w:rPr>
        <w:t>In July 2021, the Ministry conducted an internal review of the COVID-19 Māori health response. This review highlighted 3 pillars that were essential to this response across 2020 and 2021, and</w:t>
      </w:r>
      <w:r>
        <w:rPr>
          <w:rFonts w:eastAsia="Arial Unicode MS"/>
        </w:rPr>
        <w:t xml:space="preserve"> </w:t>
      </w:r>
      <w:r w:rsidRPr="008B4723">
        <w:rPr>
          <w:rFonts w:eastAsia="Arial Unicode MS"/>
        </w:rPr>
        <w:t>through which funding has been allocated.</w:t>
      </w:r>
    </w:p>
    <w:p w14:paraId="07A26805" w14:textId="77777777" w:rsidR="008B4723" w:rsidRPr="008B4723" w:rsidRDefault="008B4723" w:rsidP="008B4723">
      <w:pPr>
        <w:rPr>
          <w:rFonts w:eastAsia="Arial Unicode MS"/>
        </w:rPr>
      </w:pPr>
    </w:p>
    <w:p w14:paraId="5BC45FE8" w14:textId="64B7736E" w:rsidR="008B4723" w:rsidRDefault="008B4723" w:rsidP="008B4723">
      <w:pPr>
        <w:rPr>
          <w:rFonts w:eastAsia="Arial Unicode MS"/>
        </w:rPr>
      </w:pPr>
      <w:r w:rsidRPr="008B4723">
        <w:rPr>
          <w:rFonts w:eastAsia="Arial Unicode MS"/>
        </w:rPr>
        <w:t>Following this, the Ministry published the COVID-19 Māori Health Protection Plan in December 2021. The plan provided an updated monitoring framework to guide the health and disability system actions</w:t>
      </w:r>
      <w:r>
        <w:rPr>
          <w:rFonts w:eastAsia="Arial Unicode MS"/>
        </w:rPr>
        <w:t xml:space="preserve"> </w:t>
      </w:r>
      <w:r w:rsidRPr="008B4723">
        <w:rPr>
          <w:rFonts w:eastAsia="Arial Unicode MS"/>
        </w:rPr>
        <w:t>for Māori through the COVID-19 response in the short to medium term. Informed by Te Tiriti o Waitangi, it aimed to protect whānau, hapū, iwi and hapori Māori from</w:t>
      </w:r>
      <w:r>
        <w:rPr>
          <w:rFonts w:eastAsia="Arial Unicode MS"/>
        </w:rPr>
        <w:t xml:space="preserve"> </w:t>
      </w:r>
      <w:r w:rsidRPr="008B4723">
        <w:rPr>
          <w:rFonts w:eastAsia="Arial Unicode MS"/>
        </w:rPr>
        <w:t>the impacts of COVID-19 by preventing and mitigating those impacts.</w:t>
      </w:r>
    </w:p>
    <w:p w14:paraId="6CD431A1" w14:textId="77777777" w:rsidR="008B4723" w:rsidRPr="008B4723" w:rsidRDefault="008B4723" w:rsidP="008B4723">
      <w:pPr>
        <w:rPr>
          <w:rFonts w:eastAsia="Arial Unicode MS"/>
        </w:rPr>
      </w:pPr>
    </w:p>
    <w:p w14:paraId="69EAF562" w14:textId="15E41A05" w:rsidR="008B4723" w:rsidRDefault="008B4723" w:rsidP="008B4723">
      <w:pPr>
        <w:rPr>
          <w:rFonts w:eastAsia="Arial Unicode MS"/>
        </w:rPr>
      </w:pPr>
      <w:r w:rsidRPr="008B4723">
        <w:rPr>
          <w:rFonts w:eastAsia="Arial Unicode MS"/>
        </w:rPr>
        <w:lastRenderedPageBreak/>
        <w:t>As part of the COVID-19 Māori health response, the Ministry published an</w:t>
      </w:r>
      <w:r>
        <w:rPr>
          <w:rFonts w:eastAsia="Arial Unicode MS"/>
        </w:rPr>
        <w:t xml:space="preserve"> </w:t>
      </w:r>
      <w:r w:rsidRPr="008B4723">
        <w:rPr>
          <w:rFonts w:eastAsia="Arial Unicode MS"/>
        </w:rPr>
        <w:t>evaluation of the Māori Influenza Vaccination Programme, which provided insight into the impact of the programme on Māori influenza (flu) rates and equity.</w:t>
      </w:r>
    </w:p>
    <w:p w14:paraId="75D4B2F9" w14:textId="77777777" w:rsidR="008B4723" w:rsidRPr="008B4723" w:rsidRDefault="008B4723" w:rsidP="00600AD4">
      <w:pPr>
        <w:pStyle w:val="Heading4"/>
      </w:pPr>
      <w:r w:rsidRPr="008B4723">
        <w:t>Meeting Māori aspirations: Partnership, investing in service providers, and data sharing</w:t>
      </w:r>
    </w:p>
    <w:p w14:paraId="7BE2FCC1" w14:textId="6B9F1CAF" w:rsidR="008B4723" w:rsidRDefault="008B4723" w:rsidP="008B4723">
      <w:pPr>
        <w:rPr>
          <w:rFonts w:eastAsia="Arial Unicode MS"/>
        </w:rPr>
      </w:pPr>
      <w:r w:rsidRPr="008B4723">
        <w:rPr>
          <w:rFonts w:eastAsia="Arial Unicode MS"/>
        </w:rPr>
        <w:t>The Ministry partnered with Māori health providers, local iwi, kura kaupapa communities, DHBs, local communities and whānau to design initiatives to increase vaccination uptake.</w:t>
      </w:r>
    </w:p>
    <w:p w14:paraId="521C4B1A" w14:textId="77777777" w:rsidR="008B4723" w:rsidRPr="008B4723" w:rsidRDefault="008B4723" w:rsidP="008B4723">
      <w:pPr>
        <w:rPr>
          <w:rFonts w:eastAsia="Arial Unicode MS"/>
        </w:rPr>
      </w:pPr>
    </w:p>
    <w:p w14:paraId="4E077385" w14:textId="227A0315" w:rsidR="008B4723" w:rsidRDefault="008B4723" w:rsidP="008B4723">
      <w:pPr>
        <w:rPr>
          <w:rFonts w:eastAsia="Arial Unicode MS"/>
        </w:rPr>
      </w:pPr>
      <w:r w:rsidRPr="008B4723">
        <w:rPr>
          <w:rFonts w:eastAsia="Arial Unicode MS"/>
        </w:rPr>
        <w:t>The Ministry also partnered with iwi Māori and Māori providers to establish care coordination hubs under the Care in the Community programme. Some regions established iwi-based hubs, where iwi- Māori took the lead to provide responsive support to their communities.</w:t>
      </w:r>
    </w:p>
    <w:p w14:paraId="3DD4FFEA" w14:textId="77777777" w:rsidR="008B4723" w:rsidRPr="008B4723" w:rsidRDefault="008B4723" w:rsidP="008B4723">
      <w:pPr>
        <w:rPr>
          <w:rFonts w:eastAsia="Arial Unicode MS"/>
        </w:rPr>
      </w:pPr>
    </w:p>
    <w:p w14:paraId="655D3856" w14:textId="49121EE9" w:rsidR="008B4723" w:rsidRDefault="008B4723" w:rsidP="008B4723">
      <w:pPr>
        <w:rPr>
          <w:rFonts w:eastAsia="Arial Unicode MS"/>
        </w:rPr>
      </w:pPr>
      <w:r w:rsidRPr="008B4723">
        <w:rPr>
          <w:rFonts w:eastAsia="Arial Unicode MS"/>
        </w:rPr>
        <w:t>An additional $29.6 million was allocated to support Māori health and disability providers to extend the reach of their services for whānau in response to the Omicron outbreak. A focus area for</w:t>
      </w:r>
      <w:r>
        <w:rPr>
          <w:rFonts w:eastAsia="Arial Unicode MS"/>
        </w:rPr>
        <w:t xml:space="preserve"> </w:t>
      </w:r>
      <w:r w:rsidRPr="008B4723">
        <w:rPr>
          <w:rFonts w:eastAsia="Arial Unicode MS"/>
        </w:rPr>
        <w:t>this funding was to provide training, requalify staff who could return to the workforce easily and establish back- up arrangements to maintain services through the Omicron response and vaccination efforts.</w:t>
      </w:r>
    </w:p>
    <w:p w14:paraId="5738B499" w14:textId="77777777" w:rsidR="008B4723" w:rsidRPr="008B4723" w:rsidRDefault="008B4723" w:rsidP="008B4723">
      <w:pPr>
        <w:rPr>
          <w:rFonts w:eastAsia="Arial Unicode MS"/>
        </w:rPr>
      </w:pPr>
    </w:p>
    <w:p w14:paraId="7B8C9869" w14:textId="60EBBB65" w:rsidR="008B4723" w:rsidRDefault="008B4723" w:rsidP="008B4723">
      <w:pPr>
        <w:rPr>
          <w:rFonts w:eastAsia="Arial Unicode MS"/>
        </w:rPr>
      </w:pPr>
      <w:r w:rsidRPr="008B4723">
        <w:rPr>
          <w:rFonts w:eastAsia="Arial Unicode MS"/>
        </w:rPr>
        <w:t>The Ministry collaborated internally and externally to improve equity data collection and sharing. We improved</w:t>
      </w:r>
      <w:r>
        <w:rPr>
          <w:rFonts w:eastAsia="Arial Unicode MS"/>
        </w:rPr>
        <w:t xml:space="preserve"> </w:t>
      </w:r>
      <w:r w:rsidRPr="008B4723">
        <w:rPr>
          <w:rFonts w:eastAsia="Arial Unicode MS"/>
        </w:rPr>
        <w:t>our reporting to focus on the underlying causes of inequities that affect Māori, particularly in relation to housing.</w:t>
      </w:r>
    </w:p>
    <w:p w14:paraId="4E80F4D2" w14:textId="77777777" w:rsidR="008B4723" w:rsidRPr="008B4723" w:rsidRDefault="008B4723" w:rsidP="008B4723">
      <w:pPr>
        <w:rPr>
          <w:rFonts w:eastAsia="Arial Unicode MS"/>
        </w:rPr>
      </w:pPr>
    </w:p>
    <w:p w14:paraId="5BBFF159" w14:textId="77777777" w:rsidR="008B4723" w:rsidRPr="008B4723" w:rsidRDefault="008B4723" w:rsidP="008B4723">
      <w:pPr>
        <w:rPr>
          <w:rFonts w:eastAsia="Arial Unicode MS"/>
        </w:rPr>
      </w:pPr>
      <w:r w:rsidRPr="008B4723">
        <w:rPr>
          <w:rFonts w:eastAsia="Arial Unicode MS"/>
        </w:rPr>
        <w:t>From February 2022, the Ministry produced Māori and Pacific COVID-19 data weekly reports.</w:t>
      </w:r>
    </w:p>
    <w:p w14:paraId="675A6FFF" w14:textId="73842D18" w:rsidR="008B4723" w:rsidRPr="008B4723" w:rsidRDefault="008B4723" w:rsidP="008B4723">
      <w:pPr>
        <w:pStyle w:val="Heading5"/>
      </w:pPr>
      <w:r w:rsidRPr="008B4723">
        <w:t>Vaccination data sharing</w:t>
      </w:r>
    </w:p>
    <w:p w14:paraId="13876B45" w14:textId="30C2EE67" w:rsidR="008B4723" w:rsidRDefault="008B4723" w:rsidP="008B4723">
      <w:pPr>
        <w:rPr>
          <w:rFonts w:eastAsia="Arial Unicode MS"/>
        </w:rPr>
      </w:pPr>
      <w:r w:rsidRPr="008B4723">
        <w:rPr>
          <w:rFonts w:eastAsia="Arial Unicode MS"/>
        </w:rPr>
        <w:t>The Ministry began activities to share COVID-19 vaccination data with Māori, iwi and hauora service providers in November 2021. The purpose was to enable communities to support the delivery of the COVID-19 vaccination programmes locally.</w:t>
      </w:r>
    </w:p>
    <w:p w14:paraId="4140A27C" w14:textId="77777777" w:rsidR="008B4723" w:rsidRPr="008B4723" w:rsidRDefault="008B4723" w:rsidP="008B4723">
      <w:pPr>
        <w:rPr>
          <w:rFonts w:eastAsia="Arial Unicode MS"/>
        </w:rPr>
      </w:pPr>
    </w:p>
    <w:p w14:paraId="0633BE4C" w14:textId="7ACA3A06" w:rsidR="008B4723" w:rsidRDefault="008B4723" w:rsidP="008B4723">
      <w:pPr>
        <w:rPr>
          <w:rFonts w:eastAsia="Arial Unicode MS"/>
        </w:rPr>
      </w:pPr>
      <w:r w:rsidRPr="008B4723">
        <w:rPr>
          <w:rFonts w:eastAsia="Arial Unicode MS"/>
        </w:rPr>
        <w:t>To ensure the programme was appropriately responsive to Te Tiriti o Waitangi and the recommendations in the Waitangi Tribunal Haumaru</w:t>
      </w:r>
      <w:r>
        <w:rPr>
          <w:rFonts w:eastAsia="Arial Unicode MS"/>
        </w:rPr>
        <w:t xml:space="preserve"> </w:t>
      </w:r>
      <w:r w:rsidRPr="008B4723">
        <w:rPr>
          <w:rFonts w:eastAsia="Arial Unicode MS"/>
        </w:rPr>
        <w:t>COVID-19 Priority Report, the data-sharing agreements included a clause stating that resourcing and support for this purpose would be available.</w:t>
      </w:r>
    </w:p>
    <w:p w14:paraId="3B20F3E3" w14:textId="77777777" w:rsidR="008B4723" w:rsidRPr="008B4723" w:rsidRDefault="008B4723" w:rsidP="008B4723">
      <w:pPr>
        <w:rPr>
          <w:rFonts w:eastAsia="Arial Unicode MS"/>
        </w:rPr>
      </w:pPr>
    </w:p>
    <w:p w14:paraId="0A181213" w14:textId="77777777" w:rsidR="008B4723" w:rsidRPr="008B4723" w:rsidRDefault="008B4723" w:rsidP="008B4723">
      <w:pPr>
        <w:rPr>
          <w:rFonts w:eastAsia="Arial Unicode MS"/>
        </w:rPr>
      </w:pPr>
      <w:r w:rsidRPr="008B4723">
        <w:rPr>
          <w:rFonts w:eastAsia="Arial Unicode MS"/>
        </w:rPr>
        <w:t>To support this mahi, in December 2021 we established a pool of funding to enable partners to increase their technical capacity and capability.</w:t>
      </w:r>
    </w:p>
    <w:p w14:paraId="587A19AC" w14:textId="77777777" w:rsidR="008B4723" w:rsidRPr="008B4723" w:rsidRDefault="008B4723" w:rsidP="00600AD4">
      <w:pPr>
        <w:pStyle w:val="Heading4"/>
      </w:pPr>
      <w:r w:rsidRPr="008B4723">
        <w:t>Meeting the additional service needs of our disabled people</w:t>
      </w:r>
    </w:p>
    <w:p w14:paraId="5F37D338" w14:textId="7A39211B" w:rsidR="008B4723" w:rsidRDefault="008B4723" w:rsidP="008B4723">
      <w:pPr>
        <w:rPr>
          <w:rFonts w:eastAsia="Arial Unicode MS"/>
        </w:rPr>
      </w:pPr>
      <w:r w:rsidRPr="008B4723">
        <w:rPr>
          <w:rFonts w:eastAsia="Arial Unicode MS"/>
        </w:rPr>
        <w:t>Through hui with disabled people and representative groups, the Ministry heard the voices of disabled people.</w:t>
      </w:r>
    </w:p>
    <w:p w14:paraId="7CB7FA3F" w14:textId="77777777" w:rsidR="008B4723" w:rsidRPr="008B4723" w:rsidRDefault="008B4723" w:rsidP="008B4723">
      <w:pPr>
        <w:rPr>
          <w:rFonts w:eastAsia="Arial Unicode MS"/>
        </w:rPr>
      </w:pPr>
    </w:p>
    <w:p w14:paraId="7BAEEF38" w14:textId="62C19E54" w:rsidR="008B4723" w:rsidRDefault="008B4723" w:rsidP="008B4723">
      <w:pPr>
        <w:rPr>
          <w:rFonts w:eastAsia="Arial Unicode MS"/>
        </w:rPr>
      </w:pPr>
      <w:r w:rsidRPr="008B4723">
        <w:rPr>
          <w:rFonts w:eastAsia="Arial Unicode MS"/>
        </w:rPr>
        <w:lastRenderedPageBreak/>
        <w:t>This approach led to changes such as making PPE easier to access for disability funded providers and giving them good access to relevant guidance that they could use to support disabled people with the highest needs and maintain service continuity.</w:t>
      </w:r>
    </w:p>
    <w:p w14:paraId="38E3E318" w14:textId="77777777" w:rsidR="008F524E" w:rsidRPr="008B4723" w:rsidRDefault="008F524E" w:rsidP="008B4723">
      <w:pPr>
        <w:rPr>
          <w:rFonts w:eastAsia="Arial Unicode MS"/>
        </w:rPr>
      </w:pPr>
    </w:p>
    <w:p w14:paraId="33469F20" w14:textId="711EBC5D" w:rsidR="008B4723" w:rsidRDefault="008B4723" w:rsidP="008B4723">
      <w:pPr>
        <w:rPr>
          <w:rFonts w:eastAsia="Arial Unicode MS"/>
        </w:rPr>
      </w:pPr>
      <w:r w:rsidRPr="008B4723">
        <w:rPr>
          <w:rFonts w:eastAsia="Arial Unicode MS"/>
        </w:rPr>
        <w:t>The Ministry gave disability providers financial certainty through additional financial support in the form of</w:t>
      </w:r>
      <w:r>
        <w:rPr>
          <w:rFonts w:eastAsia="Arial Unicode MS"/>
        </w:rPr>
        <w:t xml:space="preserve"> </w:t>
      </w:r>
      <w:r w:rsidRPr="008B4723">
        <w:rPr>
          <w:rFonts w:eastAsia="Arial Unicode MS"/>
        </w:rPr>
        <w:t>$19.3 million surety payments. This surety extended to disabled people and whānau who manage their own budgets. The Ministry funded the storage, supply and distribution of PPE for these people and their whānau, providing them with good access to PPE.</w:t>
      </w:r>
    </w:p>
    <w:p w14:paraId="432D2DC0" w14:textId="77777777" w:rsidR="008B4723" w:rsidRPr="008B4723" w:rsidRDefault="008B4723" w:rsidP="008B4723">
      <w:pPr>
        <w:rPr>
          <w:rFonts w:eastAsia="Arial Unicode MS"/>
        </w:rPr>
      </w:pPr>
    </w:p>
    <w:p w14:paraId="48588236" w14:textId="77777777" w:rsidR="008B4723" w:rsidRPr="008B4723" w:rsidRDefault="008B4723" w:rsidP="008B4723">
      <w:pPr>
        <w:rPr>
          <w:rFonts w:eastAsia="Arial Unicode MS"/>
        </w:rPr>
      </w:pPr>
      <w:r w:rsidRPr="008B4723">
        <w:rPr>
          <w:rFonts w:eastAsia="Arial Unicode MS"/>
        </w:rPr>
        <w:t>As a response to COVID-19 and its impacts on disabled people and their whānau, we</w:t>
      </w:r>
      <w:r>
        <w:rPr>
          <w:rFonts w:eastAsia="Arial Unicode MS"/>
        </w:rPr>
        <w:t xml:space="preserve"> </w:t>
      </w:r>
      <w:r w:rsidRPr="008B4723">
        <w:rPr>
          <w:rFonts w:eastAsia="Arial Unicode MS"/>
        </w:rPr>
        <w:t>made access to respite more flexible. For example, disabled people could use Carer Support and Individualised Funding to pay family | whānau | āiga, including those living in the same household, for providing support.</w:t>
      </w:r>
    </w:p>
    <w:p w14:paraId="068837D3" w14:textId="77777777" w:rsidR="008B4723" w:rsidRPr="008B4723" w:rsidRDefault="008B4723" w:rsidP="00600AD4">
      <w:pPr>
        <w:pStyle w:val="Heading4"/>
      </w:pPr>
      <w:r w:rsidRPr="008B4723">
        <w:t>Supporting our local Pacific communities</w:t>
      </w:r>
    </w:p>
    <w:p w14:paraId="32D243D7" w14:textId="77777777" w:rsidR="008B4723" w:rsidRPr="008B4723" w:rsidRDefault="008B4723" w:rsidP="008B4723">
      <w:pPr>
        <w:rPr>
          <w:rFonts w:eastAsia="Arial Unicode MS"/>
        </w:rPr>
      </w:pPr>
      <w:r w:rsidRPr="008B4723">
        <w:rPr>
          <w:rFonts w:eastAsia="Arial Unicode MS"/>
        </w:rPr>
        <w:t>The Ministry had a pivotal role in leading and coordinating the Pacific health and disability sector to achieve equitable health outcomes for Pacific peoples in Aotearoa.</w:t>
      </w:r>
    </w:p>
    <w:p w14:paraId="25A05ABD" w14:textId="77777777" w:rsidR="008F524E" w:rsidRDefault="008F524E" w:rsidP="008B4723">
      <w:pPr>
        <w:rPr>
          <w:rFonts w:eastAsia="Arial Unicode MS"/>
        </w:rPr>
      </w:pPr>
    </w:p>
    <w:p w14:paraId="47814CB2" w14:textId="198BDCBF" w:rsidR="008B4723" w:rsidRPr="008B4723" w:rsidRDefault="008B4723" w:rsidP="008B4723">
      <w:pPr>
        <w:rPr>
          <w:rFonts w:eastAsia="Arial Unicode MS"/>
        </w:rPr>
      </w:pPr>
      <w:r w:rsidRPr="008B4723">
        <w:rPr>
          <w:rFonts w:eastAsia="Arial Unicode MS"/>
        </w:rPr>
        <w:t>In 2021/22, in leading the Pacific COVID-19 response, we:</w:t>
      </w:r>
    </w:p>
    <w:p w14:paraId="46682E57" w14:textId="6E9119FB" w:rsidR="008B4723" w:rsidRPr="008B4723" w:rsidRDefault="008B4723" w:rsidP="008B4723">
      <w:pPr>
        <w:pStyle w:val="Bullet"/>
        <w:rPr>
          <w:rFonts w:eastAsia="Arial Unicode MS"/>
        </w:rPr>
      </w:pPr>
      <w:r w:rsidRPr="008B4723">
        <w:rPr>
          <w:rFonts w:eastAsia="Arial Unicode MS"/>
        </w:rPr>
        <w:t>successfully sustained the capacity of Pacific health providers to deliver community-led response activities across 2 major outbreaks</w:t>
      </w:r>
    </w:p>
    <w:p w14:paraId="25C6AC1B" w14:textId="15FD73FD" w:rsidR="008B4723" w:rsidRPr="008B4723" w:rsidRDefault="008B4723" w:rsidP="008B4723">
      <w:pPr>
        <w:pStyle w:val="Bullet"/>
        <w:rPr>
          <w:rFonts w:eastAsia="Arial Unicode MS"/>
        </w:rPr>
      </w:pPr>
      <w:r w:rsidRPr="008B4723">
        <w:rPr>
          <w:rFonts w:eastAsia="Arial Unicode MS"/>
        </w:rPr>
        <w:t>published high-quality research on Pacific peoples’ experiences of COVID-19 to support service planning and design</w:t>
      </w:r>
    </w:p>
    <w:p w14:paraId="51C53BE2" w14:textId="2FB88FDF" w:rsidR="008B4723" w:rsidRPr="008B4723" w:rsidRDefault="008B4723" w:rsidP="008B4723">
      <w:pPr>
        <w:pStyle w:val="Bullet"/>
        <w:rPr>
          <w:rFonts w:eastAsia="Arial Unicode MS"/>
        </w:rPr>
      </w:pPr>
      <w:r w:rsidRPr="008B4723">
        <w:rPr>
          <w:rFonts w:eastAsia="Arial Unicode MS"/>
        </w:rPr>
        <w:t>provided health information, guidance and communications in a culturally appropriate, consistent and timely way for Pacific communities.</w:t>
      </w:r>
    </w:p>
    <w:p w14:paraId="16973029" w14:textId="77777777" w:rsidR="008B4723" w:rsidRPr="008B4723" w:rsidRDefault="008B4723" w:rsidP="008B4723">
      <w:pPr>
        <w:rPr>
          <w:rFonts w:eastAsia="Arial Unicode MS"/>
        </w:rPr>
      </w:pPr>
      <w:r w:rsidRPr="008B4723">
        <w:rPr>
          <w:rFonts w:eastAsia="Arial Unicode MS"/>
        </w:rPr>
        <w:t xml:space="preserve"> </w:t>
      </w:r>
    </w:p>
    <w:p w14:paraId="411F4D51" w14:textId="77777777" w:rsidR="008B4723" w:rsidRPr="008B4723" w:rsidRDefault="008B4723" w:rsidP="008B4723">
      <w:pPr>
        <w:rPr>
          <w:rFonts w:eastAsia="Arial Unicode MS"/>
        </w:rPr>
      </w:pPr>
      <w:r w:rsidRPr="008B4723">
        <w:rPr>
          <w:rFonts w:eastAsia="Arial Unicode MS"/>
        </w:rPr>
        <w:t>The Ministry’s Testing team created an Advancing Equitable Access 8-point action plan to address testing inequities for Māori, Pacific, disability and at-risk groups. Rural and ethnic minority communities were included in the at-risk group focus.</w:t>
      </w:r>
    </w:p>
    <w:p w14:paraId="68E5EDA5" w14:textId="77777777" w:rsidR="008B4723" w:rsidRPr="008B4723" w:rsidRDefault="008B4723" w:rsidP="008B4723">
      <w:pPr>
        <w:pStyle w:val="Heading5"/>
      </w:pPr>
      <w:r w:rsidRPr="008B4723">
        <w:t>Supporting our rural people during the COVID-19 response</w:t>
      </w:r>
    </w:p>
    <w:p w14:paraId="57DACF3F" w14:textId="77777777" w:rsidR="008B4723" w:rsidRPr="008B4723" w:rsidRDefault="008B4723" w:rsidP="008B4723">
      <w:pPr>
        <w:rPr>
          <w:rFonts w:eastAsia="Arial Unicode MS"/>
        </w:rPr>
      </w:pPr>
      <w:r w:rsidRPr="008B4723">
        <w:rPr>
          <w:rFonts w:eastAsia="Arial Unicode MS"/>
        </w:rPr>
        <w:t>The map below shows the distribution of RAT collection sites across Aotearoa New Zealand. In total, 96.5% of the population were within a 20-minute drive of</w:t>
      </w:r>
    </w:p>
    <w:p w14:paraId="004D8AD8" w14:textId="567419A7" w:rsidR="008B4723" w:rsidRDefault="008B4723" w:rsidP="008B4723">
      <w:pPr>
        <w:rPr>
          <w:rFonts w:eastAsia="Arial Unicode MS"/>
        </w:rPr>
      </w:pPr>
      <w:r w:rsidRPr="008B4723">
        <w:rPr>
          <w:rFonts w:eastAsia="Arial Unicode MS"/>
        </w:rPr>
        <w:t>a collection site.</w:t>
      </w:r>
    </w:p>
    <w:p w14:paraId="3F090BFC" w14:textId="77777777" w:rsidR="008B4723" w:rsidRPr="008B4723" w:rsidRDefault="008B4723" w:rsidP="008B4723">
      <w:pPr>
        <w:rPr>
          <w:rFonts w:eastAsia="Arial Unicode MS"/>
        </w:rPr>
      </w:pPr>
    </w:p>
    <w:p w14:paraId="1A66F8C8" w14:textId="60BB93F8" w:rsidR="008B4723" w:rsidRDefault="008B4723" w:rsidP="008B4723">
      <w:pPr>
        <w:rPr>
          <w:rFonts w:eastAsia="Arial Unicode MS"/>
        </w:rPr>
      </w:pPr>
      <w:r w:rsidRPr="008B4723">
        <w:rPr>
          <w:rFonts w:eastAsia="Arial Unicode MS"/>
        </w:rPr>
        <w:t>A surge in cases created pressure on the distribution warehouse and courier network. At these times, the Māori</w:t>
      </w:r>
      <w:r>
        <w:rPr>
          <w:rFonts w:eastAsia="Arial Unicode MS"/>
        </w:rPr>
        <w:t xml:space="preserve"> </w:t>
      </w:r>
      <w:r w:rsidRPr="008B4723">
        <w:rPr>
          <w:rFonts w:eastAsia="Arial Unicode MS"/>
        </w:rPr>
        <w:t>Provider Distribution Channel coordinated urgent delivery. The 29 lead iwi-Māori providers who made up this channel were positioned all over the motu and were connected to over 1,000 community partners, including communities in rural/ remote settings.</w:t>
      </w:r>
    </w:p>
    <w:p w14:paraId="17286E88" w14:textId="77777777" w:rsidR="008B4723" w:rsidRPr="008B4723" w:rsidRDefault="008B4723" w:rsidP="008B4723">
      <w:pPr>
        <w:rPr>
          <w:rFonts w:eastAsia="Arial Unicode MS"/>
        </w:rPr>
      </w:pPr>
    </w:p>
    <w:p w14:paraId="5EAAC116" w14:textId="1F46ACA0" w:rsidR="008B4723" w:rsidRDefault="008B4723" w:rsidP="008B4723">
      <w:pPr>
        <w:rPr>
          <w:rFonts w:eastAsia="Arial Unicode MS"/>
        </w:rPr>
      </w:pPr>
      <w:r w:rsidRPr="008B4723">
        <w:rPr>
          <w:rFonts w:eastAsia="Arial Unicode MS"/>
        </w:rPr>
        <w:t>The channel service began in April 2022 and, due to the success of its outreach, the contract has been extended to September.</w:t>
      </w:r>
    </w:p>
    <w:p w14:paraId="346683A7" w14:textId="77777777" w:rsidR="008B4723" w:rsidRPr="008B4723" w:rsidRDefault="008B4723" w:rsidP="008B4723">
      <w:pPr>
        <w:pStyle w:val="Heading5"/>
      </w:pPr>
      <w:r w:rsidRPr="008B4723">
        <w:lastRenderedPageBreak/>
        <w:t>Ethnic communities</w:t>
      </w:r>
    </w:p>
    <w:p w14:paraId="251D6182" w14:textId="7ABAA93E" w:rsidR="008B4723" w:rsidRDefault="008B4723" w:rsidP="008B4723">
      <w:pPr>
        <w:rPr>
          <w:rFonts w:eastAsia="Arial Unicode MS"/>
        </w:rPr>
      </w:pPr>
      <w:r w:rsidRPr="008B4723">
        <w:rPr>
          <w:rFonts w:eastAsia="Arial Unicode MS"/>
        </w:rPr>
        <w:t>Ethnic communities include migrants and refugees. Making up 20% of the population of Aotearoa, these diverse,</w:t>
      </w:r>
      <w:r>
        <w:rPr>
          <w:rFonts w:eastAsia="Arial Unicode MS"/>
        </w:rPr>
        <w:t xml:space="preserve"> </w:t>
      </w:r>
      <w:r w:rsidRPr="008B4723">
        <w:rPr>
          <w:rFonts w:eastAsia="Arial Unicode MS"/>
        </w:rPr>
        <w:t>ethnic communities include African, Asian, continental European, Latin American and Middle Eastern cultures.</w:t>
      </w:r>
    </w:p>
    <w:p w14:paraId="65FBB39F" w14:textId="77777777" w:rsidR="008B4723" w:rsidRPr="008B4723" w:rsidRDefault="008B4723" w:rsidP="008B4723">
      <w:pPr>
        <w:rPr>
          <w:rFonts w:eastAsia="Arial Unicode MS"/>
        </w:rPr>
      </w:pPr>
    </w:p>
    <w:p w14:paraId="73327597" w14:textId="77777777" w:rsidR="008B4723" w:rsidRPr="008B4723" w:rsidRDefault="008B4723" w:rsidP="008B4723">
      <w:pPr>
        <w:rPr>
          <w:rFonts w:eastAsia="Arial Unicode MS"/>
        </w:rPr>
      </w:pPr>
      <w:r w:rsidRPr="008B4723">
        <w:rPr>
          <w:rFonts w:eastAsia="Arial Unicode MS"/>
        </w:rPr>
        <w:t>The health network for ethnic communities was not as developed as for the Māori</w:t>
      </w:r>
    </w:p>
    <w:p w14:paraId="71D618FD" w14:textId="0426BD99" w:rsidR="008B4723" w:rsidRDefault="008B4723" w:rsidP="008B4723">
      <w:pPr>
        <w:rPr>
          <w:rFonts w:eastAsia="Arial Unicode MS"/>
        </w:rPr>
      </w:pPr>
      <w:r w:rsidRPr="008B4723">
        <w:rPr>
          <w:rFonts w:eastAsia="Arial Unicode MS"/>
        </w:rPr>
        <w:t>and Pacific Health and disability provider space. For this reason, we needed to focus more on developing cross-sector relationships through the Ministry of Ethnic Communities and Ministry of Social Development to reach their community partner network.</w:t>
      </w:r>
    </w:p>
    <w:p w14:paraId="5D443A19" w14:textId="77777777" w:rsidR="008B4723" w:rsidRPr="008B4723" w:rsidRDefault="008B4723" w:rsidP="008B4723">
      <w:pPr>
        <w:rPr>
          <w:rFonts w:eastAsia="Arial Unicode MS"/>
        </w:rPr>
      </w:pPr>
    </w:p>
    <w:p w14:paraId="630910B2" w14:textId="46BAAAF1" w:rsidR="008B4723" w:rsidRPr="008B4723" w:rsidRDefault="008B4723" w:rsidP="008B4723">
      <w:pPr>
        <w:rPr>
          <w:rFonts w:eastAsia="Arial Unicode MS"/>
        </w:rPr>
      </w:pPr>
      <w:r w:rsidRPr="008B4723">
        <w:rPr>
          <w:rFonts w:eastAsia="Arial Unicode MS"/>
        </w:rPr>
        <w:t>We worked with the community partner network (over 40 groups, trusts and providers) and Ministry of Social Development ethnic community</w:t>
      </w:r>
      <w:r>
        <w:rPr>
          <w:rFonts w:eastAsia="Arial Unicode MS"/>
        </w:rPr>
        <w:t xml:space="preserve"> </w:t>
      </w:r>
      <w:r w:rsidRPr="008B4723">
        <w:rPr>
          <w:rFonts w:eastAsia="Arial Unicode MS"/>
        </w:rPr>
        <w:t>connectors to distribute masks and RATs.</w:t>
      </w:r>
    </w:p>
    <w:p w14:paraId="6DD26902" w14:textId="77777777" w:rsidR="008B4723" w:rsidRPr="008B4723" w:rsidRDefault="008B4723" w:rsidP="00600AD4">
      <w:pPr>
        <w:pStyle w:val="Heading4"/>
      </w:pPr>
      <w:r w:rsidRPr="008B4723">
        <w:t>Collaborating with other agencies during the response</w:t>
      </w:r>
    </w:p>
    <w:p w14:paraId="3C136498" w14:textId="0FC34F32" w:rsidR="008B4723" w:rsidRDefault="008B4723" w:rsidP="008B4723">
      <w:pPr>
        <w:rPr>
          <w:rFonts w:eastAsia="Arial Unicode MS"/>
        </w:rPr>
      </w:pPr>
      <w:r w:rsidRPr="008B4723">
        <w:rPr>
          <w:rFonts w:eastAsia="Arial Unicode MS"/>
        </w:rPr>
        <w:t>We collaborated across government with agencies, organisations and groups to achieve an effective, robust and equitable response to COVID-19. This was done in part through various channels, ranging from the Border Executive Board to independent advisory groups, that were established to deliver high-quality leadership and advice to our ongoing COVID-19 response.</w:t>
      </w:r>
    </w:p>
    <w:p w14:paraId="52C1DD4C" w14:textId="77777777" w:rsidR="00600AD4" w:rsidRPr="008B4723" w:rsidRDefault="00600AD4" w:rsidP="008B4723">
      <w:pPr>
        <w:rPr>
          <w:rFonts w:eastAsia="Arial Unicode MS"/>
        </w:rPr>
      </w:pPr>
    </w:p>
    <w:p w14:paraId="4F06E03A" w14:textId="77777777" w:rsidR="008B4723" w:rsidRPr="008B4723" w:rsidRDefault="008B4723" w:rsidP="008B4723">
      <w:pPr>
        <w:rPr>
          <w:rFonts w:eastAsia="Arial Unicode MS"/>
        </w:rPr>
      </w:pPr>
      <w:r w:rsidRPr="008B4723">
        <w:rPr>
          <w:rFonts w:eastAsia="Arial Unicode MS"/>
        </w:rPr>
        <w:t>This cooperation also included our key cross-government partners, such as:</w:t>
      </w:r>
    </w:p>
    <w:p w14:paraId="55D4F613" w14:textId="4E8C1F02" w:rsidR="008B4723" w:rsidRPr="008B4723" w:rsidRDefault="008B4723" w:rsidP="00600AD4">
      <w:pPr>
        <w:pStyle w:val="Bullet"/>
        <w:rPr>
          <w:rFonts w:eastAsia="Arial Unicode MS"/>
        </w:rPr>
      </w:pPr>
      <w:r w:rsidRPr="008B4723">
        <w:rPr>
          <w:rFonts w:eastAsia="Arial Unicode MS"/>
        </w:rPr>
        <w:t>the Department of the Prime Minister and Cabinet</w:t>
      </w:r>
    </w:p>
    <w:p w14:paraId="65F10B0B" w14:textId="215DDDE5" w:rsidR="008B4723" w:rsidRPr="008B4723" w:rsidRDefault="008B4723" w:rsidP="00600AD4">
      <w:pPr>
        <w:pStyle w:val="Bullet"/>
        <w:rPr>
          <w:rFonts w:eastAsia="Arial Unicode MS"/>
        </w:rPr>
      </w:pPr>
      <w:r w:rsidRPr="008B4723">
        <w:rPr>
          <w:rFonts w:eastAsia="Arial Unicode MS"/>
        </w:rPr>
        <w:t>the Ministry of Business, Innovation and Employment</w:t>
      </w:r>
    </w:p>
    <w:p w14:paraId="6B41A486" w14:textId="5A0A0FA2" w:rsidR="008B4723" w:rsidRPr="008B4723" w:rsidRDefault="008B4723" w:rsidP="00600AD4">
      <w:pPr>
        <w:pStyle w:val="Bullet"/>
        <w:rPr>
          <w:rFonts w:eastAsia="Arial Unicode MS"/>
        </w:rPr>
      </w:pPr>
      <w:r w:rsidRPr="008B4723">
        <w:rPr>
          <w:rFonts w:eastAsia="Arial Unicode MS"/>
        </w:rPr>
        <w:t>Ministry of Foreign Affairs and Trade</w:t>
      </w:r>
    </w:p>
    <w:p w14:paraId="5051885D" w14:textId="4CD52285" w:rsidR="008B4723" w:rsidRPr="008B4723" w:rsidRDefault="008B4723" w:rsidP="00600AD4">
      <w:pPr>
        <w:pStyle w:val="Bullet"/>
        <w:rPr>
          <w:rFonts w:eastAsia="Arial Unicode MS"/>
        </w:rPr>
      </w:pPr>
      <w:r w:rsidRPr="008B4723">
        <w:rPr>
          <w:rFonts w:eastAsia="Arial Unicode MS"/>
        </w:rPr>
        <w:t>Ministry of Social Development</w:t>
      </w:r>
    </w:p>
    <w:p w14:paraId="62E92FF9" w14:textId="612852AA" w:rsidR="008B4723" w:rsidRPr="008B4723" w:rsidRDefault="008B4723" w:rsidP="00600AD4">
      <w:pPr>
        <w:pStyle w:val="Bullet"/>
        <w:rPr>
          <w:rFonts w:eastAsia="Arial Unicode MS"/>
        </w:rPr>
      </w:pPr>
      <w:r w:rsidRPr="008B4723">
        <w:rPr>
          <w:rFonts w:eastAsia="Arial Unicode MS"/>
        </w:rPr>
        <w:t>Ministry of Education</w:t>
      </w:r>
    </w:p>
    <w:p w14:paraId="54E289E7" w14:textId="48416683" w:rsidR="008B4723" w:rsidRPr="008B4723" w:rsidRDefault="008B4723" w:rsidP="00600AD4">
      <w:pPr>
        <w:pStyle w:val="Bullet"/>
        <w:rPr>
          <w:rFonts w:eastAsia="Arial Unicode MS"/>
        </w:rPr>
      </w:pPr>
      <w:r w:rsidRPr="008B4723">
        <w:rPr>
          <w:rFonts w:eastAsia="Arial Unicode MS"/>
        </w:rPr>
        <w:t>New Zealand Police,</w:t>
      </w:r>
    </w:p>
    <w:p w14:paraId="11D14F44" w14:textId="65297A43" w:rsidR="008B4723" w:rsidRPr="008B4723" w:rsidRDefault="008B4723" w:rsidP="00600AD4">
      <w:pPr>
        <w:pStyle w:val="Bullet"/>
        <w:rPr>
          <w:rFonts w:eastAsia="Arial Unicode MS"/>
        </w:rPr>
      </w:pPr>
      <w:r w:rsidRPr="008B4723">
        <w:rPr>
          <w:rFonts w:eastAsia="Arial Unicode MS"/>
        </w:rPr>
        <w:t>New Zealand Customs Service</w:t>
      </w:r>
    </w:p>
    <w:p w14:paraId="25DAB035" w14:textId="6CBF5EC8" w:rsidR="008B4723" w:rsidRPr="008B4723" w:rsidRDefault="008B4723" w:rsidP="00600AD4">
      <w:pPr>
        <w:pStyle w:val="Bullet"/>
        <w:rPr>
          <w:rFonts w:eastAsia="Arial Unicode MS"/>
        </w:rPr>
      </w:pPr>
      <w:r w:rsidRPr="008B4723">
        <w:rPr>
          <w:rFonts w:eastAsia="Arial Unicode MS"/>
        </w:rPr>
        <w:t>the Chief Coroner.</w:t>
      </w:r>
    </w:p>
    <w:p w14:paraId="2788A371" w14:textId="77777777" w:rsidR="00600AD4" w:rsidRDefault="00600AD4" w:rsidP="008B4723">
      <w:pPr>
        <w:rPr>
          <w:rFonts w:eastAsia="Arial Unicode MS"/>
        </w:rPr>
      </w:pPr>
    </w:p>
    <w:p w14:paraId="51A6A630" w14:textId="3FF2E30B" w:rsidR="008B4723" w:rsidRDefault="008B4723" w:rsidP="008B4723">
      <w:pPr>
        <w:rPr>
          <w:rFonts w:eastAsia="Arial Unicode MS"/>
        </w:rPr>
      </w:pPr>
      <w:r w:rsidRPr="008B4723">
        <w:rPr>
          <w:rFonts w:eastAsia="Arial Unicode MS"/>
        </w:rPr>
        <w:t>All of these partners supported the response to the pandemic both domestically and at the border to protect New Zealanders.</w:t>
      </w:r>
    </w:p>
    <w:p w14:paraId="63FCF14A" w14:textId="77777777" w:rsidR="00600AD4" w:rsidRPr="008B4723" w:rsidRDefault="00600AD4" w:rsidP="008B4723">
      <w:pPr>
        <w:rPr>
          <w:rFonts w:eastAsia="Arial Unicode MS"/>
        </w:rPr>
      </w:pPr>
    </w:p>
    <w:p w14:paraId="01425D7A" w14:textId="79C18AFB" w:rsidR="008B4723" w:rsidRDefault="008B4723" w:rsidP="008B4723">
      <w:pPr>
        <w:rPr>
          <w:rFonts w:eastAsia="Arial Unicode MS"/>
        </w:rPr>
      </w:pPr>
      <w:r w:rsidRPr="008B4723">
        <w:rPr>
          <w:rFonts w:eastAsia="Arial Unicode MS"/>
        </w:rPr>
        <w:t>These joint ventures included successful reviews of COVID-19 at the maritime border along with New Zealand Customs and in MIQ facilities with MBIE. As a result of both reviews, we and our partners made recommendations to inform system-wide improvements.</w:t>
      </w:r>
    </w:p>
    <w:p w14:paraId="10FDBCFE" w14:textId="77777777" w:rsidR="00600AD4" w:rsidRPr="008B4723" w:rsidRDefault="00600AD4" w:rsidP="008B4723">
      <w:pPr>
        <w:rPr>
          <w:rFonts w:eastAsia="Arial Unicode MS"/>
        </w:rPr>
      </w:pPr>
    </w:p>
    <w:p w14:paraId="6D363A7F" w14:textId="4FFCB416" w:rsidR="008B4723" w:rsidRDefault="008B4723" w:rsidP="008B4723">
      <w:pPr>
        <w:rPr>
          <w:rFonts w:eastAsia="Arial Unicode MS"/>
        </w:rPr>
      </w:pPr>
      <w:r w:rsidRPr="008B4723">
        <w:rPr>
          <w:rFonts w:eastAsia="Arial Unicode MS"/>
        </w:rPr>
        <w:t>Many operational activities required the network of government agencies to work together. For example, we needed</w:t>
      </w:r>
      <w:r w:rsidR="00600AD4">
        <w:rPr>
          <w:rFonts w:eastAsia="Arial Unicode MS"/>
        </w:rPr>
        <w:t xml:space="preserve"> </w:t>
      </w:r>
      <w:r w:rsidRPr="008B4723">
        <w:rPr>
          <w:rFonts w:eastAsia="Arial Unicode MS"/>
        </w:rPr>
        <w:t>to cooperate over the service of the MIQ facilities, Care in the Community model and the roll-out of RATs nationwide, all of which played important roles in protecting New Zealanders and minimising the impact of widespread COVID-19.</w:t>
      </w:r>
    </w:p>
    <w:p w14:paraId="2C9587BC" w14:textId="77777777" w:rsidR="00600AD4" w:rsidRPr="008B4723" w:rsidRDefault="00600AD4" w:rsidP="008B4723">
      <w:pPr>
        <w:rPr>
          <w:rFonts w:eastAsia="Arial Unicode MS"/>
        </w:rPr>
      </w:pPr>
    </w:p>
    <w:p w14:paraId="546F08CE" w14:textId="7F8505AB" w:rsidR="008B4723" w:rsidRDefault="008B4723" w:rsidP="008B4723">
      <w:pPr>
        <w:rPr>
          <w:rFonts w:eastAsia="Arial Unicode MS"/>
        </w:rPr>
      </w:pPr>
      <w:r w:rsidRPr="008B4723">
        <w:rPr>
          <w:rFonts w:eastAsia="Arial Unicode MS"/>
        </w:rPr>
        <w:lastRenderedPageBreak/>
        <w:t>In addition, the successful delivery of crucial work programmes that were integral to bringing back normality to Aotearoa required a huge effort across agencies, including Manatū Hauora. One such programme was the Reconnecting New Zealanders to the World approach, which saw a phased reopening of our borders.</w:t>
      </w:r>
    </w:p>
    <w:p w14:paraId="2D37712D" w14:textId="77777777" w:rsidR="00600AD4" w:rsidRPr="008B4723" w:rsidRDefault="00600AD4" w:rsidP="008B4723">
      <w:pPr>
        <w:rPr>
          <w:rFonts w:eastAsia="Arial Unicode MS"/>
        </w:rPr>
      </w:pPr>
    </w:p>
    <w:p w14:paraId="42B1AB9D" w14:textId="77777777" w:rsidR="008B4723" w:rsidRPr="008B4723" w:rsidRDefault="008B4723" w:rsidP="008B4723">
      <w:pPr>
        <w:rPr>
          <w:rFonts w:eastAsia="Arial Unicode MS"/>
        </w:rPr>
      </w:pPr>
      <w:r w:rsidRPr="008B4723">
        <w:rPr>
          <w:rFonts w:eastAsia="Arial Unicode MS"/>
        </w:rPr>
        <w:t>Our work in partnership with agencies and groups was pivotal to the delivery of our operations that have been essential to the COVID-19 response in Aotearoa.</w:t>
      </w:r>
    </w:p>
    <w:p w14:paraId="35118BA4" w14:textId="42FD8F28" w:rsidR="008B4723" w:rsidRPr="00600AD4" w:rsidRDefault="008B4723" w:rsidP="00600AD4">
      <w:pPr>
        <w:pStyle w:val="Heading4"/>
      </w:pPr>
      <w:r w:rsidRPr="00600AD4">
        <w:t>Planned care: Managing COVID-19 effects</w:t>
      </w:r>
      <w:r w:rsidR="00600AD4" w:rsidRPr="00600AD4">
        <w:t xml:space="preserve"> </w:t>
      </w:r>
    </w:p>
    <w:p w14:paraId="7D58898C" w14:textId="1D6B43D0" w:rsidR="00600AD4" w:rsidRDefault="008B4723" w:rsidP="00600AD4">
      <w:pPr>
        <w:rPr>
          <w:rFonts w:eastAsia="Arial Unicode MS"/>
        </w:rPr>
      </w:pPr>
      <w:r w:rsidRPr="008B4723">
        <w:rPr>
          <w:rFonts w:eastAsia="Arial Unicode MS"/>
        </w:rPr>
        <w:t>The COVID-19 outbreak and the emergence of long COVID significantly affected planned care delivery in 2021/22. However, planned care services continued, giving priority to patients with the highest</w:t>
      </w:r>
      <w:r w:rsidR="00600AD4">
        <w:rPr>
          <w:rFonts w:eastAsia="Arial Unicode MS"/>
        </w:rPr>
        <w:t xml:space="preserve"> </w:t>
      </w:r>
      <w:r w:rsidR="00600AD4" w:rsidRPr="00600AD4">
        <w:rPr>
          <w:rFonts w:eastAsia="Arial Unicode MS"/>
        </w:rPr>
        <w:t>clinical need and urgency, including cancer cases.</w:t>
      </w:r>
    </w:p>
    <w:p w14:paraId="371533F1" w14:textId="77777777" w:rsidR="00600AD4" w:rsidRPr="00600AD4" w:rsidRDefault="00600AD4" w:rsidP="00600AD4">
      <w:pPr>
        <w:rPr>
          <w:rFonts w:eastAsia="Arial Unicode MS"/>
        </w:rPr>
      </w:pPr>
    </w:p>
    <w:p w14:paraId="002C9952" w14:textId="21B4541F" w:rsidR="00600AD4" w:rsidRDefault="00600AD4" w:rsidP="00600AD4">
      <w:pPr>
        <w:rPr>
          <w:rFonts w:eastAsia="Arial Unicode MS"/>
        </w:rPr>
      </w:pPr>
      <w:r w:rsidRPr="00600AD4">
        <w:rPr>
          <w:rFonts w:eastAsia="Arial Unicode MS"/>
        </w:rPr>
        <w:t>In Budget 2020, Cabinet approved $282.5 million over 3 years for initiatives to reduce planned care waiting lists. It decided on the 3-year timeframe as it acknowledged the recovery process would not be straightforward, given the continued</w:t>
      </w:r>
      <w:r>
        <w:rPr>
          <w:rFonts w:eastAsia="Arial Unicode MS"/>
        </w:rPr>
        <w:t xml:space="preserve"> </w:t>
      </w:r>
      <w:r w:rsidRPr="00600AD4">
        <w:rPr>
          <w:rFonts w:eastAsia="Arial Unicode MS"/>
        </w:rPr>
        <w:t>risk that COVID-19 presents to service provision.</w:t>
      </w:r>
    </w:p>
    <w:p w14:paraId="1E0BE488" w14:textId="77777777" w:rsidR="00600AD4" w:rsidRPr="00600AD4" w:rsidRDefault="00600AD4" w:rsidP="00600AD4">
      <w:pPr>
        <w:rPr>
          <w:rFonts w:eastAsia="Arial Unicode MS"/>
        </w:rPr>
      </w:pPr>
    </w:p>
    <w:p w14:paraId="4A028899" w14:textId="494B02E2" w:rsidR="00600AD4" w:rsidRDefault="00600AD4" w:rsidP="00600AD4">
      <w:pPr>
        <w:rPr>
          <w:rFonts w:eastAsia="Arial Unicode MS"/>
        </w:rPr>
      </w:pPr>
      <w:r w:rsidRPr="00600AD4">
        <w:rPr>
          <w:rFonts w:eastAsia="Arial Unicode MS"/>
        </w:rPr>
        <w:t>The Ministry supported a flexible approach to this funding in 2021/22. DHBs provided targeted plans for how they would use the funding for the year to reduce waiting lists and increase delivery.</w:t>
      </w:r>
    </w:p>
    <w:p w14:paraId="5DBA6AE5" w14:textId="77777777" w:rsidR="00600AD4" w:rsidRPr="00600AD4" w:rsidRDefault="00600AD4" w:rsidP="00600AD4">
      <w:pPr>
        <w:rPr>
          <w:rFonts w:eastAsia="Arial Unicode MS"/>
        </w:rPr>
      </w:pPr>
    </w:p>
    <w:p w14:paraId="613EB3F0" w14:textId="1BE5DBEA" w:rsidR="00600AD4" w:rsidRDefault="00600AD4" w:rsidP="00600AD4">
      <w:pPr>
        <w:rPr>
          <w:rFonts w:eastAsia="Arial Unicode MS"/>
        </w:rPr>
      </w:pPr>
      <w:r w:rsidRPr="00600AD4">
        <w:rPr>
          <w:rFonts w:eastAsia="Arial Unicode MS"/>
        </w:rPr>
        <w:t>In 2021/22, $10 million was allocated to 63 improvement projects. A proportion of this funding was to be distributed each</w:t>
      </w:r>
      <w:r>
        <w:rPr>
          <w:rFonts w:eastAsia="Arial Unicode MS"/>
        </w:rPr>
        <w:t xml:space="preserve"> </w:t>
      </w:r>
      <w:r w:rsidRPr="00600AD4">
        <w:rPr>
          <w:rFonts w:eastAsia="Arial Unicode MS"/>
        </w:rPr>
        <w:t>year for service improvement projects to futureproof our health service, improve workforce planning and reduce inequities in health outcomes.</w:t>
      </w:r>
    </w:p>
    <w:p w14:paraId="5C326A43" w14:textId="77777777" w:rsidR="00600AD4" w:rsidRPr="00600AD4" w:rsidRDefault="00600AD4" w:rsidP="00600AD4">
      <w:pPr>
        <w:rPr>
          <w:rFonts w:eastAsia="Arial Unicode MS"/>
        </w:rPr>
      </w:pPr>
    </w:p>
    <w:p w14:paraId="3D89F89F" w14:textId="15236668" w:rsidR="00600AD4" w:rsidRDefault="00600AD4" w:rsidP="00600AD4">
      <w:pPr>
        <w:rPr>
          <w:rFonts w:eastAsia="Arial Unicode MS"/>
        </w:rPr>
      </w:pPr>
      <w:r w:rsidRPr="00600AD4">
        <w:rPr>
          <w:rFonts w:eastAsia="Arial Unicode MS"/>
        </w:rPr>
        <w:t>While the COVID-19 response delayed some projects, 47 of 69 year one (2020/21) projects are now complete. An evaluation is under way to determine which projects are worthy of national spread or expansion to other regions.</w:t>
      </w:r>
    </w:p>
    <w:p w14:paraId="0A1C6400" w14:textId="77777777" w:rsidR="00600AD4" w:rsidRPr="00600AD4" w:rsidRDefault="00600AD4" w:rsidP="00600AD4">
      <w:pPr>
        <w:rPr>
          <w:rFonts w:eastAsia="Arial Unicode MS"/>
        </w:rPr>
      </w:pPr>
    </w:p>
    <w:p w14:paraId="36E1E9A1" w14:textId="77777777" w:rsidR="00791102" w:rsidRDefault="00600AD4" w:rsidP="00600AD4">
      <w:pPr>
        <w:rPr>
          <w:rFonts w:eastAsia="Arial Unicode MS"/>
        </w:rPr>
        <w:sectPr w:rsidR="00791102" w:rsidSect="00C26282">
          <w:pgSz w:w="11907" w:h="16840" w:code="9"/>
          <w:pgMar w:top="1418" w:right="1701" w:bottom="1134" w:left="1843" w:header="284" w:footer="425" w:gutter="284"/>
          <w:cols w:space="720"/>
        </w:sectPr>
      </w:pPr>
      <w:r w:rsidRPr="00600AD4">
        <w:rPr>
          <w:rFonts w:eastAsia="Arial Unicode MS"/>
        </w:rPr>
        <w:t>The Ministry also connected with the DHBs regularly throughout 2021/22 to discuss the impacts of the outbreak on planned care. Aspects considered included the regional context, waiting lists and restrictions within the DHBs such as capacity and workforce constraints, including realignment of workforce due to staff absences.</w:t>
      </w:r>
    </w:p>
    <w:p w14:paraId="602D9639" w14:textId="639A43F9" w:rsidR="008B4723" w:rsidRDefault="00791102" w:rsidP="00791102">
      <w:pPr>
        <w:pStyle w:val="Heading1"/>
        <w:spacing w:before="0"/>
        <w:rPr>
          <w:rFonts w:eastAsia="Arial Unicode MS"/>
          <w:b w:val="0"/>
          <w:bCs/>
        </w:rPr>
      </w:pPr>
      <w:bookmarkStart w:id="21" w:name="_Toc117264929"/>
      <w:r w:rsidRPr="00791102">
        <w:rPr>
          <w:rFonts w:eastAsia="Arial Unicode MS"/>
        </w:rPr>
        <w:lastRenderedPageBreak/>
        <w:t>Our performance</w:t>
      </w:r>
      <w:r>
        <w:rPr>
          <w:rFonts w:eastAsia="Arial Unicode MS"/>
        </w:rPr>
        <w:t xml:space="preserve"> </w:t>
      </w:r>
      <w:r w:rsidRPr="00791102">
        <w:rPr>
          <w:rFonts w:eastAsia="Arial Unicode MS"/>
        </w:rPr>
        <w:t xml:space="preserve">story | </w:t>
      </w:r>
      <w:r w:rsidRPr="00791102">
        <w:rPr>
          <w:rFonts w:eastAsia="Arial Unicode MS"/>
          <w:b w:val="0"/>
          <w:bCs/>
        </w:rPr>
        <w:t xml:space="preserve">Tā </w:t>
      </w:r>
      <w:r w:rsidR="00F157E9">
        <w:rPr>
          <w:rFonts w:eastAsia="Arial Unicode MS"/>
          <w:b w:val="0"/>
          <w:bCs/>
        </w:rPr>
        <w:t>t</w:t>
      </w:r>
      <w:r w:rsidRPr="00791102">
        <w:rPr>
          <w:rFonts w:eastAsia="Arial Unicode MS"/>
          <w:b w:val="0"/>
          <w:bCs/>
        </w:rPr>
        <w:t xml:space="preserve">ātou </w:t>
      </w:r>
      <w:r w:rsidR="00F157E9">
        <w:rPr>
          <w:rFonts w:eastAsia="Arial Unicode MS"/>
          <w:b w:val="0"/>
          <w:bCs/>
        </w:rPr>
        <w:t>t</w:t>
      </w:r>
      <w:r w:rsidRPr="00791102">
        <w:rPr>
          <w:rFonts w:eastAsia="Arial Unicode MS"/>
          <w:b w:val="0"/>
          <w:bCs/>
        </w:rPr>
        <w:t xml:space="preserve">aki </w:t>
      </w:r>
      <w:r w:rsidR="00F157E9">
        <w:rPr>
          <w:rFonts w:eastAsia="Arial Unicode MS"/>
          <w:b w:val="0"/>
          <w:bCs/>
        </w:rPr>
        <w:t>h</w:t>
      </w:r>
      <w:r w:rsidRPr="00791102">
        <w:rPr>
          <w:rFonts w:eastAsia="Arial Unicode MS"/>
          <w:b w:val="0"/>
          <w:bCs/>
        </w:rPr>
        <w:t xml:space="preserve">aere </w:t>
      </w:r>
      <w:r w:rsidR="007F1DDB">
        <w:rPr>
          <w:rFonts w:eastAsia="Arial Unicode MS"/>
          <w:b w:val="0"/>
          <w:bCs/>
        </w:rPr>
        <w:t>i a</w:t>
      </w:r>
      <w:r w:rsidRPr="00791102">
        <w:rPr>
          <w:rFonts w:eastAsia="Arial Unicode MS"/>
          <w:b w:val="0"/>
          <w:bCs/>
        </w:rPr>
        <w:t xml:space="preserve"> </w:t>
      </w:r>
      <w:r w:rsidR="00EE651B">
        <w:rPr>
          <w:rFonts w:eastAsia="Arial Unicode MS"/>
          <w:b w:val="0"/>
          <w:bCs/>
        </w:rPr>
        <w:t>t</w:t>
      </w:r>
      <w:r w:rsidRPr="00791102">
        <w:rPr>
          <w:rFonts w:eastAsia="Arial Unicode MS"/>
          <w:b w:val="0"/>
          <w:bCs/>
        </w:rPr>
        <w:t>ātou</w:t>
      </w:r>
      <w:bookmarkEnd w:id="21"/>
    </w:p>
    <w:p w14:paraId="342F9E52" w14:textId="6758D713" w:rsidR="00791102" w:rsidRDefault="00791102" w:rsidP="00791102">
      <w:pPr>
        <w:pStyle w:val="Heading2"/>
        <w:rPr>
          <w:rFonts w:eastAsia="Arial Unicode MS"/>
          <w:b w:val="0"/>
          <w:bCs/>
        </w:rPr>
      </w:pPr>
      <w:bookmarkStart w:id="22" w:name="_Toc117264930"/>
      <w:r w:rsidRPr="00791102">
        <w:rPr>
          <w:rFonts w:eastAsia="Arial Unicode MS"/>
        </w:rPr>
        <w:t>2021/22 operations at a glance</w:t>
      </w:r>
      <w:r>
        <w:rPr>
          <w:rFonts w:eastAsia="Arial Unicode MS"/>
        </w:rPr>
        <w:t xml:space="preserve"> | </w:t>
      </w:r>
      <w:r>
        <w:rPr>
          <w:rFonts w:eastAsia="Arial Unicode MS"/>
        </w:rPr>
        <w:br/>
      </w:r>
      <w:r w:rsidRPr="00791102">
        <w:rPr>
          <w:rFonts w:eastAsia="Arial Unicode MS"/>
          <w:b w:val="0"/>
          <w:bCs/>
        </w:rPr>
        <w:t xml:space="preserve">He whakarāpopoto i </w:t>
      </w:r>
      <w:r w:rsidR="006E1D11">
        <w:rPr>
          <w:rFonts w:eastAsia="Arial Unicode MS"/>
          <w:b w:val="0"/>
          <w:bCs/>
        </w:rPr>
        <w:t>te</w:t>
      </w:r>
      <w:r w:rsidRPr="00791102">
        <w:rPr>
          <w:rFonts w:eastAsia="Arial Unicode MS"/>
          <w:b w:val="0"/>
          <w:bCs/>
        </w:rPr>
        <w:t xml:space="preserve"> 2021/22</w:t>
      </w:r>
      <w:bookmarkEnd w:id="22"/>
    </w:p>
    <w:p w14:paraId="5A49B498" w14:textId="7B46C878" w:rsidR="00791102" w:rsidRDefault="00791102" w:rsidP="00791102">
      <w:pPr>
        <w:rPr>
          <w:rFonts w:eastAsia="Arial Unicode MS"/>
        </w:rPr>
      </w:pPr>
      <w:r>
        <w:rPr>
          <w:noProof/>
        </w:rPr>
        <w:drawing>
          <wp:inline distT="0" distB="0" distL="0" distR="0" wp14:anchorId="14BD2E78" wp14:editId="3051BE0B">
            <wp:extent cx="5130165" cy="4387215"/>
            <wp:effectExtent l="0" t="0" r="0" b="0"/>
            <wp:docPr id="2088" name="Picture 2088" descr="Diagram with statistics such as nearly 800,000 telehealth calls, texts, emails and webchats answ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 name="Picture 2088" descr="Diagram with statistics such as nearly 800,000 telehealth calls, texts, emails and webchats answered"/>
                    <pic:cNvPicPr/>
                  </pic:nvPicPr>
                  <pic:blipFill>
                    <a:blip r:embed="rId35">
                      <a:extLst>
                        <a:ext uri="{28A0092B-C50C-407E-A947-70E740481C1C}">
                          <a14:useLocalDpi xmlns:a14="http://schemas.microsoft.com/office/drawing/2010/main" val="0"/>
                        </a:ext>
                      </a:extLst>
                    </a:blip>
                    <a:stretch>
                      <a:fillRect/>
                    </a:stretch>
                  </pic:blipFill>
                  <pic:spPr>
                    <a:xfrm>
                      <a:off x="0" y="0"/>
                      <a:ext cx="5130165" cy="4387215"/>
                    </a:xfrm>
                    <a:prstGeom prst="rect">
                      <a:avLst/>
                    </a:prstGeom>
                  </pic:spPr>
                </pic:pic>
              </a:graphicData>
            </a:graphic>
          </wp:inline>
        </w:drawing>
      </w:r>
    </w:p>
    <w:p w14:paraId="65858C57" w14:textId="32C76A28" w:rsidR="00791102" w:rsidRDefault="00791102" w:rsidP="00791102">
      <w:pPr>
        <w:rPr>
          <w:rFonts w:eastAsia="Arial Unicode MS"/>
        </w:rPr>
      </w:pPr>
    </w:p>
    <w:p w14:paraId="2D71A485" w14:textId="77777777" w:rsidR="00791102" w:rsidRDefault="00791102" w:rsidP="00791102">
      <w:pPr>
        <w:rPr>
          <w:rFonts w:eastAsia="Arial Unicode MS"/>
        </w:rPr>
        <w:sectPr w:rsidR="00791102" w:rsidSect="00C26282">
          <w:pgSz w:w="11907" w:h="16840" w:code="9"/>
          <w:pgMar w:top="1418" w:right="1701" w:bottom="1134" w:left="1843" w:header="284" w:footer="425" w:gutter="284"/>
          <w:cols w:space="720"/>
        </w:sectPr>
      </w:pPr>
    </w:p>
    <w:p w14:paraId="274049E3" w14:textId="7AE5FA84" w:rsidR="00791102" w:rsidRDefault="00791102" w:rsidP="00791102">
      <w:pPr>
        <w:rPr>
          <w:rFonts w:eastAsia="Arial Unicode MS"/>
        </w:rPr>
      </w:pPr>
      <w:r w:rsidRPr="00791102">
        <w:rPr>
          <w:noProof/>
        </w:rPr>
        <w:lastRenderedPageBreak/>
        <w:drawing>
          <wp:inline distT="0" distB="0" distL="0" distR="0" wp14:anchorId="6A4C2F7E" wp14:editId="5DD1774A">
            <wp:extent cx="5171115" cy="4449758"/>
            <wp:effectExtent l="0" t="0" r="0" b="8255"/>
            <wp:docPr id="2089" name="Picture 2089" descr="Diagram with statistics such as 1.422 million influenza vaccines distribu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 name="Picture 2089" descr="Diagram with statistics such as 1.422 million influenza vaccines distributed"/>
                    <pic:cNvPicPr/>
                  </pic:nvPicPr>
                  <pic:blipFill>
                    <a:blip r:embed="rId36">
                      <a:extLst>
                        <a:ext uri="{28A0092B-C50C-407E-A947-70E740481C1C}">
                          <a14:useLocalDpi xmlns:a14="http://schemas.microsoft.com/office/drawing/2010/main" val="0"/>
                        </a:ext>
                      </a:extLst>
                    </a:blip>
                    <a:stretch>
                      <a:fillRect/>
                    </a:stretch>
                  </pic:blipFill>
                  <pic:spPr>
                    <a:xfrm>
                      <a:off x="0" y="0"/>
                      <a:ext cx="5173059" cy="4451431"/>
                    </a:xfrm>
                    <a:prstGeom prst="rect">
                      <a:avLst/>
                    </a:prstGeom>
                  </pic:spPr>
                </pic:pic>
              </a:graphicData>
            </a:graphic>
          </wp:inline>
        </w:drawing>
      </w:r>
    </w:p>
    <w:p w14:paraId="180E0E99" w14:textId="34294815" w:rsidR="00791102" w:rsidRDefault="00791102" w:rsidP="00791102">
      <w:pPr>
        <w:pStyle w:val="Heading2"/>
        <w:rPr>
          <w:rFonts w:eastAsia="Arial Unicode MS"/>
          <w:b w:val="0"/>
          <w:bCs/>
        </w:rPr>
      </w:pPr>
      <w:bookmarkStart w:id="23" w:name="_Toc117264931"/>
      <w:r w:rsidRPr="00791102">
        <w:rPr>
          <w:rFonts w:eastAsia="Arial Unicode MS"/>
        </w:rPr>
        <w:t xml:space="preserve">Our achievements | </w:t>
      </w:r>
      <w:r w:rsidRPr="00791102">
        <w:rPr>
          <w:rFonts w:eastAsia="Arial Unicode MS"/>
          <w:b w:val="0"/>
          <w:bCs/>
        </w:rPr>
        <w:t>Ā mātou ekenga</w:t>
      </w:r>
      <w:bookmarkEnd w:id="23"/>
    </w:p>
    <w:p w14:paraId="45321FCC" w14:textId="77777777" w:rsidR="00791102" w:rsidRPr="00791102" w:rsidRDefault="00791102" w:rsidP="00791102">
      <w:pPr>
        <w:rPr>
          <w:rFonts w:eastAsia="Arial Unicode MS"/>
        </w:rPr>
      </w:pPr>
      <w:r w:rsidRPr="00791102">
        <w:rPr>
          <w:rFonts w:eastAsia="Arial Unicode MS"/>
        </w:rPr>
        <w:t>Our organisational strategy, Tā Tātau Rautaki, lists four outcomes that helped shape and frame our work during 2021/22.</w:t>
      </w:r>
    </w:p>
    <w:p w14:paraId="2EFAB2FF" w14:textId="77777777" w:rsidR="00791102" w:rsidRPr="00791102" w:rsidRDefault="00791102" w:rsidP="00791102">
      <w:pPr>
        <w:rPr>
          <w:rFonts w:eastAsia="Arial Unicode MS"/>
        </w:rPr>
      </w:pPr>
    </w:p>
    <w:p w14:paraId="54F8A6C3" w14:textId="4C2F4F9E" w:rsidR="00791102" w:rsidRPr="00791102" w:rsidRDefault="00791102" w:rsidP="00791102">
      <w:pPr>
        <w:rPr>
          <w:rFonts w:eastAsia="Arial Unicode MS"/>
        </w:rPr>
      </w:pPr>
      <w:r w:rsidRPr="00791102">
        <w:rPr>
          <w:rFonts w:eastAsia="Arial Unicode MS"/>
        </w:rPr>
        <w:t xml:space="preserve"> These outcomes included a focus on equity, sustainability, collaboration and people-centred services:</w:t>
      </w:r>
    </w:p>
    <w:p w14:paraId="6222694B" w14:textId="50429E4B" w:rsidR="00791102" w:rsidRPr="00791102" w:rsidRDefault="00791102" w:rsidP="00791102">
      <w:pPr>
        <w:pStyle w:val="Number"/>
        <w:rPr>
          <w:rFonts w:eastAsia="Arial Unicode MS"/>
        </w:rPr>
      </w:pPr>
      <w:r>
        <w:rPr>
          <w:rFonts w:eastAsia="Arial Unicode MS"/>
        </w:rPr>
        <w:t>I</w:t>
      </w:r>
      <w:r w:rsidRPr="00791102">
        <w:rPr>
          <w:rFonts w:eastAsia="Arial Unicode MS"/>
        </w:rPr>
        <w:t>mproved equity in health outcomes and independence for Māori and all other people.</w:t>
      </w:r>
    </w:p>
    <w:p w14:paraId="5D2E5602" w14:textId="1C8A5705" w:rsidR="00791102" w:rsidRPr="00791102" w:rsidRDefault="00791102" w:rsidP="00791102">
      <w:pPr>
        <w:pStyle w:val="Number"/>
        <w:rPr>
          <w:rFonts w:eastAsia="Arial Unicode MS"/>
        </w:rPr>
      </w:pPr>
      <w:r w:rsidRPr="00791102">
        <w:rPr>
          <w:rFonts w:eastAsia="Arial Unicode MS"/>
        </w:rPr>
        <w:t>Sustainable and safe health and disability services.</w:t>
      </w:r>
    </w:p>
    <w:p w14:paraId="4A4BFE30" w14:textId="6560B014" w:rsidR="00791102" w:rsidRPr="00791102" w:rsidRDefault="00791102" w:rsidP="00791102">
      <w:pPr>
        <w:pStyle w:val="Number"/>
        <w:rPr>
          <w:rFonts w:eastAsia="Arial Unicode MS"/>
        </w:rPr>
      </w:pPr>
      <w:r w:rsidRPr="00791102">
        <w:rPr>
          <w:rFonts w:eastAsia="Arial Unicode MS"/>
        </w:rPr>
        <w:t>An integrated, collaborative and innovative health and disability system.</w:t>
      </w:r>
    </w:p>
    <w:p w14:paraId="60634C7B" w14:textId="176C8541" w:rsidR="00791102" w:rsidRPr="00791102" w:rsidRDefault="00791102" w:rsidP="00791102">
      <w:pPr>
        <w:pStyle w:val="Number"/>
        <w:rPr>
          <w:rFonts w:eastAsia="Arial Unicode MS"/>
        </w:rPr>
      </w:pPr>
      <w:r w:rsidRPr="00791102">
        <w:rPr>
          <w:rFonts w:eastAsia="Arial Unicode MS"/>
        </w:rPr>
        <w:t>People-centred services, support and advice that meet the needs of everyone.</w:t>
      </w:r>
    </w:p>
    <w:p w14:paraId="08790EF5" w14:textId="77777777" w:rsidR="00791102" w:rsidRDefault="00791102" w:rsidP="00791102">
      <w:pPr>
        <w:rPr>
          <w:rFonts w:eastAsia="Arial Unicode MS"/>
        </w:rPr>
      </w:pPr>
    </w:p>
    <w:p w14:paraId="303B1A3B" w14:textId="77777777" w:rsidR="00A036B1" w:rsidRDefault="00791102" w:rsidP="00791102">
      <w:pPr>
        <w:rPr>
          <w:rFonts w:eastAsia="Arial Unicode MS"/>
        </w:rPr>
        <w:sectPr w:rsidR="00A036B1" w:rsidSect="00C26282">
          <w:pgSz w:w="11907" w:h="16840" w:code="9"/>
          <w:pgMar w:top="1418" w:right="1701" w:bottom="1134" w:left="1843" w:header="284" w:footer="425" w:gutter="284"/>
          <w:cols w:space="720"/>
        </w:sectPr>
      </w:pPr>
      <w:r w:rsidRPr="00791102">
        <w:rPr>
          <w:rFonts w:eastAsia="Arial Unicode MS"/>
        </w:rPr>
        <w:t>The stories that follow demonstrate the variety, depth and breadth of our mahi during the year, within the context of these four areas.</w:t>
      </w:r>
    </w:p>
    <w:p w14:paraId="186B57B1" w14:textId="77777777" w:rsidR="00A036B1" w:rsidRPr="00216075" w:rsidRDefault="00A036B1" w:rsidP="00216075">
      <w:pPr>
        <w:pStyle w:val="Heading3"/>
        <w:spacing w:before="0"/>
        <w:ind w:left="709" w:hanging="709"/>
      </w:pPr>
      <w:bookmarkStart w:id="24" w:name="_Toc117264932"/>
      <w:r w:rsidRPr="00216075">
        <w:lastRenderedPageBreak/>
        <w:t>1.</w:t>
      </w:r>
      <w:r w:rsidRPr="00216075">
        <w:tab/>
        <w:t>Improving health equity for all people in New Zealand</w:t>
      </w:r>
      <w:bookmarkEnd w:id="24"/>
    </w:p>
    <w:p w14:paraId="0EA9972E" w14:textId="1DC96C21" w:rsidR="00A036B1" w:rsidRDefault="00A036B1" w:rsidP="00A036B1">
      <w:pPr>
        <w:rPr>
          <w:rFonts w:eastAsia="Arial Unicode MS"/>
        </w:rPr>
      </w:pPr>
      <w:r w:rsidRPr="00A036B1">
        <w:rPr>
          <w:rFonts w:eastAsia="Arial Unicode MS"/>
        </w:rPr>
        <w:t>We identifed where people faced inequities in health outcomes and created innovative approaches to address them.</w:t>
      </w:r>
    </w:p>
    <w:p w14:paraId="5345F0E6" w14:textId="77777777" w:rsidR="00A036B1" w:rsidRPr="00A036B1" w:rsidRDefault="00A036B1" w:rsidP="00A036B1">
      <w:pPr>
        <w:rPr>
          <w:rFonts w:eastAsia="Arial Unicode MS"/>
        </w:rPr>
      </w:pPr>
    </w:p>
    <w:p w14:paraId="1B1984DF" w14:textId="77777777" w:rsidR="00A036B1" w:rsidRPr="00A036B1" w:rsidRDefault="00A036B1" w:rsidP="00A036B1">
      <w:pPr>
        <w:rPr>
          <w:rFonts w:eastAsia="Arial Unicode MS"/>
        </w:rPr>
      </w:pPr>
      <w:r w:rsidRPr="00A036B1">
        <w:rPr>
          <w:rFonts w:eastAsia="Arial Unicode MS"/>
        </w:rPr>
        <w:t>People have differences in health and independence that not only are avoidable, but are unfair and unjust. Addressing those differences involves prioritising the health and independence of Māori and other groups who experience inequities, and working together to address the social, economic cultural and environmental determinants of health.</w:t>
      </w:r>
    </w:p>
    <w:p w14:paraId="3D0B2B97" w14:textId="77777777" w:rsidR="00A036B1" w:rsidRPr="00A036B1" w:rsidRDefault="00A036B1" w:rsidP="00A036B1">
      <w:pPr>
        <w:pStyle w:val="Heading4"/>
      </w:pPr>
      <w:r w:rsidRPr="00A036B1">
        <w:t>Māori–Crown Partnerships</w:t>
      </w:r>
    </w:p>
    <w:p w14:paraId="7A93EB63" w14:textId="1F2D24B2" w:rsidR="00A036B1" w:rsidRDefault="00A036B1" w:rsidP="00A036B1">
      <w:pPr>
        <w:rPr>
          <w:rFonts w:eastAsia="Arial Unicode MS"/>
        </w:rPr>
      </w:pPr>
      <w:r w:rsidRPr="00A036B1">
        <w:rPr>
          <w:rFonts w:eastAsia="Arial Unicode MS"/>
        </w:rPr>
        <w:t>Māori–Crown Partnerships envisions a health and disability system where</w:t>
      </w:r>
      <w:r>
        <w:rPr>
          <w:rFonts w:eastAsia="Arial Unicode MS"/>
        </w:rPr>
        <w:t xml:space="preserve"> </w:t>
      </w:r>
      <w:r w:rsidRPr="00A036B1">
        <w:rPr>
          <w:rFonts w:eastAsia="Arial Unicode MS"/>
        </w:rPr>
        <w:t>meaningful Māori–Crown relations reflect true partnership, at all levels of the system. Māori health development is increasingly led by iwi and hapū, and relationships are built on mutual trust and confidence.</w:t>
      </w:r>
    </w:p>
    <w:p w14:paraId="21E58FDE" w14:textId="77777777" w:rsidR="00A036B1" w:rsidRPr="00A036B1" w:rsidRDefault="00A036B1" w:rsidP="00A036B1">
      <w:pPr>
        <w:rPr>
          <w:rFonts w:eastAsia="Arial Unicode MS"/>
        </w:rPr>
      </w:pPr>
    </w:p>
    <w:p w14:paraId="17BA33F9" w14:textId="77777777" w:rsidR="00A036B1" w:rsidRPr="00A036B1" w:rsidRDefault="00A036B1" w:rsidP="00A036B1">
      <w:pPr>
        <w:rPr>
          <w:rFonts w:eastAsia="Arial Unicode MS"/>
        </w:rPr>
      </w:pPr>
      <w:r w:rsidRPr="00A036B1">
        <w:rPr>
          <w:rFonts w:eastAsia="Arial Unicode MS"/>
        </w:rPr>
        <w:t>In 2021/22, we continued to support new and improved relationships with various iwi and Māori groups. We held both Hui Whakaoranga and Wānanga Hauora events across Aotearoa. We also made significant contributions to the drafting of the Pae Ora (Healthy Futures) Bill, which will strengthen the health system’s relationships with iwi and Māori groups.</w:t>
      </w:r>
    </w:p>
    <w:p w14:paraId="5D688670" w14:textId="77777777" w:rsidR="00A036B1" w:rsidRPr="00A036B1" w:rsidRDefault="00A036B1" w:rsidP="00A036B1">
      <w:pPr>
        <w:pStyle w:val="Heading4"/>
      </w:pPr>
      <w:r w:rsidRPr="00A036B1">
        <w:t>We progressed Whakamaua: Māori Health Action Plan 2020–2025</w:t>
      </w:r>
    </w:p>
    <w:p w14:paraId="0DFA4C42" w14:textId="77777777" w:rsidR="00A036B1" w:rsidRPr="00A036B1" w:rsidRDefault="00A036B1" w:rsidP="00A036B1">
      <w:pPr>
        <w:rPr>
          <w:rFonts w:eastAsia="Arial Unicode MS"/>
        </w:rPr>
      </w:pPr>
      <w:r w:rsidRPr="00A036B1">
        <w:rPr>
          <w:rFonts w:eastAsia="Arial Unicode MS"/>
        </w:rPr>
        <w:t>Whakamaua: Māori Health Action Plan 2020–2025 puts He Korowai Oranga: Māori Health Strategy into practice. It establishes the system settings necessary to meet obligations under Te Tiriti and achieve the aims of the health and disability system reforms to advance Māori health and wellbeing.</w:t>
      </w:r>
    </w:p>
    <w:p w14:paraId="564C4416" w14:textId="77777777" w:rsidR="00A036B1" w:rsidRPr="00A036B1" w:rsidRDefault="00A036B1" w:rsidP="00A036B1">
      <w:pPr>
        <w:rPr>
          <w:rFonts w:eastAsia="Arial Unicode MS"/>
        </w:rPr>
      </w:pPr>
      <w:r w:rsidRPr="00A036B1">
        <w:rPr>
          <w:rFonts w:eastAsia="Arial Unicode MS"/>
        </w:rPr>
        <w:t xml:space="preserve"> </w:t>
      </w:r>
    </w:p>
    <w:p w14:paraId="46DCDE1A" w14:textId="77777777" w:rsidR="00A036B1" w:rsidRPr="00A036B1" w:rsidRDefault="00A036B1" w:rsidP="00A036B1">
      <w:pPr>
        <w:rPr>
          <w:rFonts w:eastAsia="Arial Unicode MS"/>
        </w:rPr>
      </w:pPr>
      <w:r w:rsidRPr="00A036B1">
        <w:rPr>
          <w:rFonts w:eastAsia="Arial Unicode MS"/>
        </w:rPr>
        <w:t>Whakamaua sets out 46 actions to achieve the outcomes that He Korowai Oranga seeks. In 2021/22, we implemented 42 of those actions, while we will begin work on the remaining 4 in 2022/23.</w:t>
      </w:r>
    </w:p>
    <w:p w14:paraId="165C5CB0" w14:textId="77777777" w:rsidR="00A036B1" w:rsidRDefault="00A036B1" w:rsidP="00A036B1">
      <w:pPr>
        <w:pStyle w:val="Heading5"/>
      </w:pPr>
      <w:r w:rsidRPr="00A036B1">
        <w:t xml:space="preserve">Monitoring Whakamaua </w:t>
      </w:r>
    </w:p>
    <w:p w14:paraId="22416AAE" w14:textId="7ECCEAE5" w:rsidR="00A036B1" w:rsidRPr="00A036B1" w:rsidRDefault="00A036B1" w:rsidP="00A036B1">
      <w:pPr>
        <w:rPr>
          <w:rFonts w:eastAsia="Arial Unicode MS"/>
        </w:rPr>
      </w:pPr>
      <w:r w:rsidRPr="00A036B1">
        <w:rPr>
          <w:rFonts w:eastAsia="Arial Unicode MS"/>
        </w:rPr>
        <w:t>Whakamaua contains a monitoring framework that has 3 interrelated components:</w:t>
      </w:r>
    </w:p>
    <w:p w14:paraId="42A669E1" w14:textId="7DA43682" w:rsidR="00A036B1" w:rsidRPr="00A036B1" w:rsidRDefault="00A036B1" w:rsidP="008A439D">
      <w:pPr>
        <w:pStyle w:val="Number"/>
        <w:numPr>
          <w:ilvl w:val="0"/>
          <w:numId w:val="6"/>
        </w:numPr>
        <w:rPr>
          <w:rFonts w:eastAsia="Arial Unicode MS"/>
        </w:rPr>
      </w:pPr>
      <w:r w:rsidRPr="00A036B1">
        <w:rPr>
          <w:rFonts w:eastAsia="Arial Unicode MS"/>
        </w:rPr>
        <w:t>monitoring the delivery of actions</w:t>
      </w:r>
    </w:p>
    <w:p w14:paraId="0538C052" w14:textId="14BE797F" w:rsidR="00A036B1" w:rsidRPr="00A036B1" w:rsidRDefault="00A036B1" w:rsidP="008A439D">
      <w:pPr>
        <w:pStyle w:val="Number"/>
        <w:numPr>
          <w:ilvl w:val="0"/>
          <w:numId w:val="6"/>
        </w:numPr>
        <w:rPr>
          <w:rFonts w:eastAsia="Arial Unicode MS"/>
        </w:rPr>
      </w:pPr>
      <w:r w:rsidRPr="00A036B1">
        <w:rPr>
          <w:rFonts w:eastAsia="Arial Unicode MS"/>
        </w:rPr>
        <w:t>reporting on a set of quantitative indicators</w:t>
      </w:r>
    </w:p>
    <w:p w14:paraId="6D36CC9F" w14:textId="46A5ACC5" w:rsidR="00A036B1" w:rsidRPr="00A036B1" w:rsidRDefault="00A036B1" w:rsidP="008A439D">
      <w:pPr>
        <w:pStyle w:val="Number"/>
        <w:numPr>
          <w:ilvl w:val="0"/>
          <w:numId w:val="6"/>
        </w:numPr>
        <w:rPr>
          <w:rFonts w:eastAsia="Arial Unicode MS"/>
        </w:rPr>
      </w:pPr>
      <w:r w:rsidRPr="00A036B1">
        <w:rPr>
          <w:rFonts w:eastAsia="Arial Unicode MS"/>
        </w:rPr>
        <w:t>commissioning an independent evaluation into the overall delivery of the plan.</w:t>
      </w:r>
    </w:p>
    <w:p w14:paraId="602C50A2" w14:textId="77777777" w:rsidR="00A036B1" w:rsidRDefault="00A036B1" w:rsidP="00A036B1">
      <w:pPr>
        <w:rPr>
          <w:rFonts w:eastAsia="Arial Unicode MS"/>
        </w:rPr>
      </w:pPr>
    </w:p>
    <w:p w14:paraId="6A54F0DC" w14:textId="5CE1DEC7" w:rsidR="00A036B1" w:rsidRPr="00A036B1" w:rsidRDefault="00A036B1" w:rsidP="00A036B1">
      <w:pPr>
        <w:rPr>
          <w:rFonts w:eastAsia="Arial Unicode MS"/>
        </w:rPr>
      </w:pPr>
      <w:r w:rsidRPr="00A036B1">
        <w:rPr>
          <w:rFonts w:eastAsia="Arial Unicode MS"/>
        </w:rPr>
        <w:t>The insights gained from this monitoring will create an important feedback loop that will be used to identify and address any problems that occur in implementing Whakamaua, and to make changes and improvements as required.</w:t>
      </w:r>
    </w:p>
    <w:p w14:paraId="57A926ED" w14:textId="759F080F" w:rsidR="00A036B1" w:rsidRDefault="00A036B1" w:rsidP="00A036B1">
      <w:pPr>
        <w:rPr>
          <w:rFonts w:eastAsia="Arial Unicode MS"/>
        </w:rPr>
      </w:pPr>
      <w:r w:rsidRPr="00A036B1">
        <w:rPr>
          <w:rFonts w:eastAsia="Arial Unicode MS"/>
        </w:rPr>
        <w:lastRenderedPageBreak/>
        <w:t>At the end of 2021, the Ministry published an interactive web tool showing a statistical overview of the 13 initial quantitative measures for Whakamaua. The dashboard can be accessed online.</w:t>
      </w:r>
      <w:r w:rsidR="00CE34E8">
        <w:rPr>
          <w:rStyle w:val="FootnoteReference"/>
          <w:rFonts w:eastAsia="Arial Unicode MS"/>
        </w:rPr>
        <w:footnoteReference w:id="6"/>
      </w:r>
    </w:p>
    <w:p w14:paraId="0F47275F" w14:textId="77777777" w:rsidR="00A036B1" w:rsidRPr="00A036B1" w:rsidRDefault="00A036B1" w:rsidP="00CE34E8">
      <w:pPr>
        <w:pStyle w:val="Heading4"/>
      </w:pPr>
      <w:r w:rsidRPr="00A036B1">
        <w:t>Addressing racism  in the health and disability system – Ao Mai te Rā</w:t>
      </w:r>
    </w:p>
    <w:p w14:paraId="37BE0FC0" w14:textId="77777777" w:rsidR="00A036B1" w:rsidRPr="00A036B1" w:rsidRDefault="00A036B1" w:rsidP="00A036B1">
      <w:pPr>
        <w:rPr>
          <w:rFonts w:eastAsia="Arial Unicode MS"/>
        </w:rPr>
      </w:pPr>
      <w:r w:rsidRPr="00A036B1">
        <w:rPr>
          <w:rFonts w:eastAsia="Arial Unicode MS"/>
        </w:rPr>
        <w:t>Ao Mai te Rā: the Anti-Racism Kaupapa is an action-oriented initiative to support the way the health sector understands, reacts and responds to and addresses racism</w:t>
      </w:r>
    </w:p>
    <w:p w14:paraId="2EBF1C28" w14:textId="7D8FB313" w:rsidR="00791102" w:rsidRDefault="00A036B1" w:rsidP="00A036B1">
      <w:pPr>
        <w:rPr>
          <w:rFonts w:eastAsia="Arial Unicode MS"/>
        </w:rPr>
      </w:pPr>
      <w:r w:rsidRPr="00A036B1">
        <w:rPr>
          <w:rFonts w:eastAsia="Arial Unicode MS"/>
        </w:rPr>
        <w:t>in all its forms. Ao Mai Te Rā consists of 2 phases that we will implement over the lifespan of Whakamaua: Māori Health Action Plan 2020–2025.</w:t>
      </w:r>
    </w:p>
    <w:p w14:paraId="0CD5E6B4" w14:textId="0500322E" w:rsidR="00CE34E8" w:rsidRDefault="00CE34E8" w:rsidP="00A036B1">
      <w:pPr>
        <w:rPr>
          <w:rFonts w:eastAsia="Arial Unicode MS"/>
        </w:rPr>
      </w:pPr>
    </w:p>
    <w:p w14:paraId="58815C01" w14:textId="77777777" w:rsidR="00CE34E8" w:rsidRPr="00CE34E8" w:rsidRDefault="00CE34E8" w:rsidP="00CE34E8">
      <w:pPr>
        <w:rPr>
          <w:rFonts w:eastAsia="Arial Unicode MS"/>
        </w:rPr>
      </w:pPr>
      <w:r w:rsidRPr="00CE34E8">
        <w:rPr>
          <w:rFonts w:eastAsia="Arial Unicode MS"/>
        </w:rPr>
        <w:t>Phase one, the discovery phase, began in April 2021. As part of this, we released several outputs that provide the health system with guidance and initial tools for change. These include:</w:t>
      </w:r>
    </w:p>
    <w:p w14:paraId="75B38454" w14:textId="686CFDAE" w:rsidR="00CE34E8" w:rsidRPr="00CE34E8" w:rsidRDefault="00CE34E8" w:rsidP="008A439D">
      <w:pPr>
        <w:pStyle w:val="Number"/>
        <w:numPr>
          <w:ilvl w:val="0"/>
          <w:numId w:val="7"/>
        </w:numPr>
        <w:rPr>
          <w:rFonts w:eastAsia="Arial Unicode MS"/>
        </w:rPr>
      </w:pPr>
      <w:r w:rsidRPr="00CE34E8">
        <w:rPr>
          <w:rFonts w:eastAsia="Arial Unicode MS"/>
        </w:rPr>
        <w:t>a social and digital anti-racism communications campaign specifically for the health system context</w:t>
      </w:r>
    </w:p>
    <w:p w14:paraId="02E86EEC" w14:textId="7309F5F5" w:rsidR="00CE34E8" w:rsidRPr="00CE34E8" w:rsidRDefault="00CE34E8" w:rsidP="008A439D">
      <w:pPr>
        <w:pStyle w:val="Number"/>
        <w:numPr>
          <w:ilvl w:val="0"/>
          <w:numId w:val="7"/>
        </w:numPr>
        <w:rPr>
          <w:rFonts w:eastAsia="Arial Unicode MS"/>
        </w:rPr>
      </w:pPr>
      <w:r w:rsidRPr="00CE34E8">
        <w:rPr>
          <w:rFonts w:eastAsia="Arial Unicode MS"/>
        </w:rPr>
        <w:t>a position statement, associated literature review and set of working definitions for racism and anti-racism in the health system</w:t>
      </w:r>
    </w:p>
    <w:p w14:paraId="29F4167F" w14:textId="3143E99A" w:rsidR="00CE34E8" w:rsidRPr="00CE34E8" w:rsidRDefault="00CE34E8" w:rsidP="008A439D">
      <w:pPr>
        <w:pStyle w:val="Number"/>
        <w:numPr>
          <w:ilvl w:val="0"/>
          <w:numId w:val="7"/>
        </w:numPr>
        <w:rPr>
          <w:rFonts w:eastAsia="Arial Unicode MS"/>
        </w:rPr>
      </w:pPr>
      <w:r w:rsidRPr="00CE34E8">
        <w:rPr>
          <w:rFonts w:eastAsia="Arial Unicode MS"/>
        </w:rPr>
        <w:t>an anti-racism maturity model (or road map of action) that identifies the key levers for change</w:t>
      </w:r>
    </w:p>
    <w:p w14:paraId="140FD9E9" w14:textId="4ABE87E5" w:rsidR="00CE34E8" w:rsidRPr="00CE34E8" w:rsidRDefault="00CE34E8" w:rsidP="008A439D">
      <w:pPr>
        <w:pStyle w:val="Number"/>
        <w:numPr>
          <w:ilvl w:val="0"/>
          <w:numId w:val="7"/>
        </w:numPr>
        <w:rPr>
          <w:rFonts w:eastAsia="Arial Unicode MS"/>
        </w:rPr>
      </w:pPr>
      <w:r w:rsidRPr="00CE34E8">
        <w:rPr>
          <w:rFonts w:eastAsia="Arial Unicode MS"/>
        </w:rPr>
        <w:t>a series of case studies on good or best-practice anti-racism action already under way in the system.</w:t>
      </w:r>
    </w:p>
    <w:p w14:paraId="3F278CF9" w14:textId="77777777" w:rsidR="00CE34E8" w:rsidRPr="00CE34E8" w:rsidRDefault="00CE34E8" w:rsidP="00CE34E8">
      <w:pPr>
        <w:pStyle w:val="Heading4"/>
      </w:pPr>
      <w:r w:rsidRPr="00CE34E8">
        <w:t>Hui Whakaoranga 2021 summary report</w:t>
      </w:r>
    </w:p>
    <w:p w14:paraId="6B57F150" w14:textId="45E42879" w:rsidR="00CE34E8" w:rsidRDefault="00CE34E8" w:rsidP="00CE34E8">
      <w:pPr>
        <w:rPr>
          <w:rFonts w:eastAsia="Arial Unicode MS"/>
        </w:rPr>
      </w:pPr>
      <w:r w:rsidRPr="00CE34E8">
        <w:rPr>
          <w:rFonts w:eastAsia="Arial Unicode MS"/>
        </w:rPr>
        <w:t>Early in 2022, we published the Hui Whakaoranga 2021 summary report.</w:t>
      </w:r>
      <w:r>
        <w:rPr>
          <w:rStyle w:val="FootnoteReference"/>
          <w:rFonts w:eastAsia="Arial Unicode MS"/>
        </w:rPr>
        <w:footnoteReference w:id="7"/>
      </w:r>
      <w:r w:rsidRPr="00CE34E8">
        <w:rPr>
          <w:rFonts w:eastAsia="Arial Unicode MS"/>
        </w:rPr>
        <w:t xml:space="preserve"> It provides a high-level summary of the key themes and insights from kōrero captured across the hui.</w:t>
      </w:r>
    </w:p>
    <w:p w14:paraId="0D6E273D" w14:textId="77777777" w:rsidR="00CE34E8" w:rsidRPr="00CE34E8" w:rsidRDefault="00CE34E8" w:rsidP="00CE34E8">
      <w:pPr>
        <w:rPr>
          <w:rFonts w:eastAsia="Arial Unicode MS"/>
        </w:rPr>
      </w:pPr>
    </w:p>
    <w:p w14:paraId="2C47C950" w14:textId="620F59F2" w:rsidR="00CE34E8" w:rsidRDefault="00CE34E8" w:rsidP="00CE34E8">
      <w:pPr>
        <w:rPr>
          <w:rFonts w:eastAsia="Arial Unicode MS"/>
        </w:rPr>
      </w:pPr>
      <w:r w:rsidRPr="00CE34E8">
        <w:rPr>
          <w:rFonts w:eastAsia="Arial Unicode MS"/>
        </w:rPr>
        <w:t>Hui Whakaoranga recognises our kaitiakitanga | stewardship role and serves as a platform for giving practical effect</w:t>
      </w:r>
      <w:r>
        <w:rPr>
          <w:rFonts w:eastAsia="Arial Unicode MS"/>
        </w:rPr>
        <w:t xml:space="preserve"> </w:t>
      </w:r>
      <w:r w:rsidRPr="00CE34E8">
        <w:rPr>
          <w:rFonts w:eastAsia="Arial Unicode MS"/>
        </w:rPr>
        <w:t>to Te Tiriti – a key action in Whakamaua: Māori Health Action Plan 2020–2025. Hui Whakaoranga 2021 began the process of building effective Tiriti-based partnerships between health sector leaders and their networks at both national and regional levels. These partnerships provide the basis for creating change across a generation.</w:t>
      </w:r>
    </w:p>
    <w:p w14:paraId="01FA71C8" w14:textId="77777777" w:rsidR="00CE34E8" w:rsidRPr="00CE34E8" w:rsidRDefault="00CE34E8" w:rsidP="00CE34E8">
      <w:pPr>
        <w:rPr>
          <w:rFonts w:eastAsia="Arial Unicode MS"/>
        </w:rPr>
      </w:pPr>
    </w:p>
    <w:p w14:paraId="4CE10BF7" w14:textId="7FE20DA2" w:rsidR="00CE34E8" w:rsidRPr="00CE34E8" w:rsidRDefault="00CE34E8" w:rsidP="00CE34E8">
      <w:pPr>
        <w:rPr>
          <w:rFonts w:eastAsia="Arial Unicode MS"/>
        </w:rPr>
      </w:pPr>
      <w:r w:rsidRPr="00CE34E8">
        <w:rPr>
          <w:rFonts w:eastAsia="Arial Unicode MS"/>
        </w:rPr>
        <w:t>In 2021 there were 4 regional hui across the motu | country and one national virtual hui. Participants included representatives</w:t>
      </w:r>
      <w:r>
        <w:rPr>
          <w:rFonts w:eastAsia="Arial Unicode MS"/>
        </w:rPr>
        <w:t xml:space="preserve"> </w:t>
      </w:r>
      <w:r w:rsidRPr="00CE34E8">
        <w:rPr>
          <w:rFonts w:eastAsia="Arial Unicode MS"/>
        </w:rPr>
        <w:t>from iwi, hapū and hapori Māori, and organisations from across the Māori health and disability sector, including Iwi- Māori Partnership Boards, district health boards (DHBs), Māori health providers, and Māori health workforce and government agencies.</w:t>
      </w:r>
    </w:p>
    <w:p w14:paraId="7094E928" w14:textId="77777777" w:rsidR="00CE34E8" w:rsidRPr="00CE34E8" w:rsidRDefault="00CE34E8" w:rsidP="00CE34E8">
      <w:pPr>
        <w:pStyle w:val="Heading4"/>
      </w:pPr>
      <w:r w:rsidRPr="00CE34E8">
        <w:lastRenderedPageBreak/>
        <w:t>Ngā take Tiriti: Wai 2575</w:t>
      </w:r>
    </w:p>
    <w:p w14:paraId="1BC188FD" w14:textId="7C92895A" w:rsidR="00CE34E8" w:rsidRPr="00CE34E8" w:rsidRDefault="00CE34E8" w:rsidP="00CE34E8">
      <w:pPr>
        <w:rPr>
          <w:rFonts w:eastAsia="Arial Unicode MS"/>
        </w:rPr>
      </w:pPr>
      <w:r w:rsidRPr="00CE34E8">
        <w:rPr>
          <w:rFonts w:eastAsia="Arial Unicode MS"/>
        </w:rPr>
        <w:t>Our position statement on Te Tiriti o Waitangi, developed in 2020/21, outlined the updated expression of the Crown’s Te Tiriti obligations in the context of the health and disability system. In doing so, it adopts the principles of Te Tiriti that the Waitangi Tribunal set out in its Hauora Report (on stage one of the Wai 2575 inquiry).</w:t>
      </w:r>
      <w:r>
        <w:rPr>
          <w:rStyle w:val="FootnoteReference"/>
          <w:rFonts w:eastAsia="Arial Unicode MS"/>
        </w:rPr>
        <w:footnoteReference w:id="8"/>
      </w:r>
    </w:p>
    <w:p w14:paraId="6AB10349" w14:textId="77777777" w:rsidR="00CE34E8" w:rsidRPr="00CE34E8" w:rsidRDefault="00CE34E8" w:rsidP="00CE34E8">
      <w:pPr>
        <w:pStyle w:val="Heading5"/>
      </w:pPr>
      <w:r w:rsidRPr="00CE34E8">
        <w:t>Wai 2575: Hauora</w:t>
      </w:r>
    </w:p>
    <w:p w14:paraId="23D7FC43" w14:textId="5D92CC47" w:rsidR="00CE34E8" w:rsidRDefault="00CE34E8" w:rsidP="00CE34E8">
      <w:pPr>
        <w:rPr>
          <w:rFonts w:eastAsia="Arial Unicode MS"/>
        </w:rPr>
      </w:pPr>
      <w:r w:rsidRPr="00CE34E8">
        <w:rPr>
          <w:rFonts w:eastAsia="Arial Unicode MS"/>
        </w:rPr>
        <w:t>Among Māori–Crown Partnerships actions, an explicit priority is to lead and respond to the recommendations of the Hauora Report and to continue to support subsequent stages of the Wai 2575 Health Services and Outcomes Kaupapa Inquiry.</w:t>
      </w:r>
    </w:p>
    <w:p w14:paraId="63B3B44E" w14:textId="77777777" w:rsidR="00CE34E8" w:rsidRPr="00CE34E8" w:rsidRDefault="00CE34E8" w:rsidP="00CE34E8">
      <w:pPr>
        <w:rPr>
          <w:rFonts w:eastAsia="Arial Unicode MS"/>
        </w:rPr>
      </w:pPr>
    </w:p>
    <w:p w14:paraId="2FF549AB" w14:textId="77777777" w:rsidR="00CE34E8" w:rsidRPr="00CE34E8" w:rsidRDefault="00CE34E8" w:rsidP="00CE34E8">
      <w:pPr>
        <w:rPr>
          <w:rFonts w:eastAsia="Arial Unicode MS"/>
        </w:rPr>
      </w:pPr>
      <w:r w:rsidRPr="00CE34E8">
        <w:rPr>
          <w:rFonts w:eastAsia="Arial Unicode MS"/>
        </w:rPr>
        <w:t>In the past year, we saw considerable progress in actioning the Hauora Report recommendations. Examples include:</w:t>
      </w:r>
    </w:p>
    <w:p w14:paraId="7017E8DB" w14:textId="35205EB9" w:rsidR="00CE34E8" w:rsidRPr="00CE34E8" w:rsidRDefault="00CE34E8" w:rsidP="00CE34E8">
      <w:pPr>
        <w:pStyle w:val="Bullet"/>
        <w:rPr>
          <w:rFonts w:eastAsia="Arial Unicode MS"/>
        </w:rPr>
      </w:pPr>
      <w:r w:rsidRPr="00CE34E8">
        <w:rPr>
          <w:rFonts w:eastAsia="Arial Unicode MS"/>
        </w:rPr>
        <w:t>establishing Te Aka Whai Ora</w:t>
      </w:r>
    </w:p>
    <w:p w14:paraId="604CFB30" w14:textId="3DBB4408" w:rsidR="00CE34E8" w:rsidRPr="00CE34E8" w:rsidRDefault="00CE34E8" w:rsidP="00CE34E8">
      <w:pPr>
        <w:pStyle w:val="Bullet"/>
        <w:rPr>
          <w:rFonts w:eastAsia="Arial Unicode MS"/>
        </w:rPr>
      </w:pPr>
      <w:r w:rsidRPr="00CE34E8">
        <w:rPr>
          <w:rFonts w:eastAsia="Arial Unicode MS"/>
        </w:rPr>
        <w:t>strengthening the Treaty and Māori health equity provisions in health legislation (Pae Ora | Healthy Futures) Act 2022)</w:t>
      </w:r>
    </w:p>
    <w:p w14:paraId="044D545B" w14:textId="7790905A" w:rsidR="00CE34E8" w:rsidRPr="00CE34E8" w:rsidRDefault="00CE34E8" w:rsidP="00CE34E8">
      <w:pPr>
        <w:pStyle w:val="Bullet"/>
        <w:rPr>
          <w:rFonts w:eastAsia="Arial Unicode MS"/>
        </w:rPr>
      </w:pPr>
      <w:r w:rsidRPr="00CE34E8">
        <w:rPr>
          <w:rFonts w:eastAsia="Arial Unicode MS"/>
        </w:rPr>
        <w:t>redesigning partnership arrangements, including establishment of Iwi-Māori Partnership Boards.</w:t>
      </w:r>
    </w:p>
    <w:p w14:paraId="25A9DA76" w14:textId="77777777" w:rsidR="00CE34E8" w:rsidRPr="00CE34E8" w:rsidRDefault="00CE34E8" w:rsidP="00CE34E8">
      <w:pPr>
        <w:pStyle w:val="Heading5"/>
      </w:pPr>
      <w:r w:rsidRPr="00CE34E8">
        <w:t>Wai 2575: Haumaru</w:t>
      </w:r>
    </w:p>
    <w:p w14:paraId="274443B6" w14:textId="35CCA246" w:rsidR="00CE34E8" w:rsidRDefault="00CE34E8" w:rsidP="00CE34E8">
      <w:pPr>
        <w:rPr>
          <w:rFonts w:eastAsia="Arial Unicode MS"/>
        </w:rPr>
      </w:pPr>
      <w:r w:rsidRPr="00CE34E8">
        <w:rPr>
          <w:rFonts w:eastAsia="Arial Unicode MS"/>
        </w:rPr>
        <w:t>In December 2021, the Waitangi Tribunal held a priority hearing to inquire into the Crown’s response to the COVID-19</w:t>
      </w:r>
      <w:r>
        <w:rPr>
          <w:rFonts w:eastAsia="Arial Unicode MS"/>
        </w:rPr>
        <w:t xml:space="preserve"> </w:t>
      </w:r>
      <w:r w:rsidRPr="00CE34E8">
        <w:rPr>
          <w:rFonts w:eastAsia="Arial Unicode MS"/>
        </w:rPr>
        <w:t>pandemic, which resulted in the Haumaru</w:t>
      </w:r>
      <w:r>
        <w:rPr>
          <w:rFonts w:eastAsia="Arial Unicode MS"/>
        </w:rPr>
        <w:t xml:space="preserve"> </w:t>
      </w:r>
      <w:r w:rsidRPr="00CE34E8">
        <w:rPr>
          <w:rFonts w:eastAsia="Arial Unicode MS"/>
        </w:rPr>
        <w:t>Report.</w:t>
      </w:r>
      <w:r>
        <w:rPr>
          <w:rStyle w:val="FootnoteReference"/>
          <w:rFonts w:eastAsia="Arial Unicode MS"/>
        </w:rPr>
        <w:footnoteReference w:id="9"/>
      </w:r>
      <w:r w:rsidRPr="00CE34E8">
        <w:rPr>
          <w:rFonts w:eastAsia="Arial Unicode MS"/>
        </w:rPr>
        <w:t xml:space="preserve"> The Ministry has programmes of work to address the findings and</w:t>
      </w:r>
      <w:r>
        <w:rPr>
          <w:rFonts w:eastAsia="Arial Unicode MS"/>
        </w:rPr>
        <w:t xml:space="preserve"> </w:t>
      </w:r>
      <w:r w:rsidRPr="00CE34E8">
        <w:rPr>
          <w:rFonts w:eastAsia="Arial Unicode MS"/>
        </w:rPr>
        <w:t>recommendations in the Haumaru Report.</w:t>
      </w:r>
    </w:p>
    <w:p w14:paraId="067A14CD" w14:textId="77777777" w:rsidR="00CE34E8" w:rsidRPr="00CE34E8" w:rsidRDefault="00CE34E8" w:rsidP="00CE34E8">
      <w:pPr>
        <w:rPr>
          <w:rFonts w:eastAsia="Arial Unicode MS"/>
        </w:rPr>
      </w:pPr>
    </w:p>
    <w:p w14:paraId="00E651CC" w14:textId="77777777" w:rsidR="00CE34E8" w:rsidRPr="00CE34E8" w:rsidRDefault="00CE34E8" w:rsidP="00CE34E8">
      <w:pPr>
        <w:rPr>
          <w:rFonts w:eastAsia="Arial Unicode MS"/>
        </w:rPr>
      </w:pPr>
      <w:r w:rsidRPr="00CE34E8">
        <w:rPr>
          <w:rFonts w:eastAsia="Arial Unicode MS"/>
        </w:rPr>
        <w:t>In several instances, the recommendations relate to significant longer-term work already under way across government, such as work to:</w:t>
      </w:r>
    </w:p>
    <w:p w14:paraId="11F8AA79" w14:textId="590B6CE6" w:rsidR="00CE34E8" w:rsidRPr="00CE34E8" w:rsidRDefault="00CE34E8" w:rsidP="00CE34E8">
      <w:pPr>
        <w:pStyle w:val="Bullet"/>
        <w:rPr>
          <w:rFonts w:eastAsia="Arial Unicode MS"/>
        </w:rPr>
      </w:pPr>
      <w:r w:rsidRPr="00CE34E8">
        <w:rPr>
          <w:rFonts w:eastAsia="Arial Unicode MS"/>
        </w:rPr>
        <w:t>improve the monitoring of Māori health outcomes, including by Te Aka Whai Ora | Māori Health Authority</w:t>
      </w:r>
    </w:p>
    <w:p w14:paraId="0BB09D51" w14:textId="70AF6EB6" w:rsidR="00CE34E8" w:rsidRPr="00CE34E8" w:rsidRDefault="00CE34E8" w:rsidP="00CE34E8">
      <w:pPr>
        <w:pStyle w:val="Bullet"/>
        <w:rPr>
          <w:rFonts w:eastAsia="Arial Unicode MS"/>
        </w:rPr>
      </w:pPr>
      <w:r w:rsidRPr="00CE34E8">
        <w:rPr>
          <w:rFonts w:eastAsia="Arial Unicode MS"/>
        </w:rPr>
        <w:t>strengthen the collection and use of health-related ethnicity and disability data</w:t>
      </w:r>
    </w:p>
    <w:p w14:paraId="118FF4D9" w14:textId="005D26C8" w:rsidR="00CE34E8" w:rsidRPr="00CE34E8" w:rsidRDefault="00CE34E8" w:rsidP="00CE34E8">
      <w:pPr>
        <w:pStyle w:val="Bullet"/>
        <w:rPr>
          <w:rFonts w:eastAsia="Arial Unicode MS"/>
        </w:rPr>
      </w:pPr>
      <w:r w:rsidRPr="00CE34E8">
        <w:rPr>
          <w:rFonts w:eastAsia="Arial Unicode MS"/>
        </w:rPr>
        <w:t>strengthen our data-sharing capability and capacity.</w:t>
      </w:r>
    </w:p>
    <w:p w14:paraId="5AB0DE71" w14:textId="77777777" w:rsidR="00CE34E8" w:rsidRPr="00CE34E8" w:rsidRDefault="00CE34E8" w:rsidP="00CE34E8">
      <w:pPr>
        <w:pStyle w:val="Heading5"/>
      </w:pPr>
      <w:r w:rsidRPr="00CE34E8">
        <w:t>Kaupapa inquiries</w:t>
      </w:r>
    </w:p>
    <w:p w14:paraId="4E5280AF" w14:textId="10A5835A" w:rsidR="00CE34E8" w:rsidRDefault="00CE34E8" w:rsidP="00CE34E8">
      <w:pPr>
        <w:rPr>
          <w:rFonts w:eastAsia="Arial Unicode MS"/>
        </w:rPr>
      </w:pPr>
      <w:r w:rsidRPr="00CE34E8">
        <w:rPr>
          <w:rFonts w:eastAsia="Arial Unicode MS"/>
        </w:rPr>
        <w:t>Manatū Hauora, through our Māori– Crown Relations team, engaged with other Crown agencies who have other active kaupapa inquiries. Those agencies include the Ministry of Housing and Urban Development, Ministry for Women, Ministry of Justice and Te Arawhiti.</w:t>
      </w:r>
    </w:p>
    <w:p w14:paraId="38ACCC1E" w14:textId="77777777" w:rsidR="00CE34E8" w:rsidRPr="00CE34E8" w:rsidRDefault="00CE34E8" w:rsidP="00CE34E8">
      <w:pPr>
        <w:rPr>
          <w:rFonts w:eastAsia="Arial Unicode MS"/>
        </w:rPr>
      </w:pPr>
    </w:p>
    <w:p w14:paraId="2EDC9EDC" w14:textId="4AAAE66D" w:rsidR="00CE34E8" w:rsidRPr="00CE34E8" w:rsidRDefault="00CE34E8" w:rsidP="00CE34E8">
      <w:pPr>
        <w:rPr>
          <w:rFonts w:eastAsia="Arial Unicode MS"/>
        </w:rPr>
      </w:pPr>
      <w:r w:rsidRPr="00CE34E8">
        <w:rPr>
          <w:rFonts w:eastAsia="Arial Unicode MS"/>
        </w:rPr>
        <w:t>Manatū Hauora is one of the Crown parties included in Ngāi Tūhoe: He Tapuae: Service Management Plan 2020 to 2025. The Ministry’s commitments to Ngāi Tūhoe include the commitment to reset and</w:t>
      </w:r>
      <w:r>
        <w:rPr>
          <w:rFonts w:eastAsia="Arial Unicode MS"/>
        </w:rPr>
        <w:t xml:space="preserve"> </w:t>
      </w:r>
      <w:r w:rsidRPr="00CE34E8">
        <w:rPr>
          <w:rFonts w:eastAsia="Arial Unicode MS"/>
        </w:rPr>
        <w:t>then restore the relationship between the Ministry and Ngāi Tūhoe.</w:t>
      </w:r>
    </w:p>
    <w:p w14:paraId="60C72327" w14:textId="77777777" w:rsidR="00CE34E8" w:rsidRPr="00CE34E8" w:rsidRDefault="00CE34E8" w:rsidP="00CE34E8">
      <w:pPr>
        <w:pStyle w:val="Heading4"/>
      </w:pPr>
      <w:r w:rsidRPr="00CE34E8">
        <w:lastRenderedPageBreak/>
        <w:t>Developing data handling protocols to collect iwi affiliation and Māori descent data (Tātai)</w:t>
      </w:r>
    </w:p>
    <w:p w14:paraId="529C8913" w14:textId="45A64D9F" w:rsidR="00CE34E8" w:rsidRPr="00CE34E8" w:rsidRDefault="00CE34E8" w:rsidP="00CE34E8">
      <w:pPr>
        <w:rPr>
          <w:rFonts w:eastAsia="Arial Unicode MS"/>
        </w:rPr>
      </w:pPr>
      <w:r w:rsidRPr="00CE34E8">
        <w:rPr>
          <w:rFonts w:eastAsia="Arial Unicode MS"/>
        </w:rPr>
        <w:t>We began collecting Māori descent and iwi affiliation data through the purpose-built, online portal, Tātai.</w:t>
      </w:r>
      <w:r>
        <w:rPr>
          <w:rStyle w:val="FootnoteReference"/>
          <w:rFonts w:eastAsia="Arial Unicode MS"/>
        </w:rPr>
        <w:footnoteReference w:id="10"/>
      </w:r>
    </w:p>
    <w:p w14:paraId="5A438C0C" w14:textId="77777777" w:rsidR="00CE34E8" w:rsidRPr="00CE34E8" w:rsidRDefault="00CE34E8" w:rsidP="00CE34E8">
      <w:pPr>
        <w:rPr>
          <w:rFonts w:eastAsia="Arial Unicode MS"/>
        </w:rPr>
      </w:pPr>
      <w:r w:rsidRPr="00CE34E8">
        <w:rPr>
          <w:rFonts w:eastAsia="Arial Unicode MS"/>
        </w:rPr>
        <w:t xml:space="preserve"> </w:t>
      </w:r>
    </w:p>
    <w:p w14:paraId="6C6082A5" w14:textId="5DA57780" w:rsidR="00CE34E8" w:rsidRDefault="00CE34E8" w:rsidP="00CE34E8">
      <w:pPr>
        <w:rPr>
          <w:rFonts w:eastAsia="Arial Unicode MS"/>
        </w:rPr>
      </w:pPr>
      <w:r w:rsidRPr="00CE34E8">
        <w:rPr>
          <w:rFonts w:eastAsia="Arial Unicode MS"/>
        </w:rPr>
        <w:t>The COVID-19 pandemic presented an opportunity for the Ministry to initiate this data set collection due to our extensive engagement with Māori during the vaccination roll-out. We delivered the project in partnership with Māori data experts from Te Kāhui Raraunga, on behalf of the Data Iwi Leaders Group, and with advice from Te Puni Kōkiri, the Ministry of Education and Stats NZ.</w:t>
      </w:r>
    </w:p>
    <w:p w14:paraId="2FE653E6" w14:textId="77777777" w:rsidR="00CE34E8" w:rsidRPr="00CE34E8" w:rsidRDefault="00CE34E8" w:rsidP="00CE34E8">
      <w:pPr>
        <w:rPr>
          <w:rFonts w:eastAsia="Arial Unicode MS"/>
        </w:rPr>
      </w:pPr>
    </w:p>
    <w:p w14:paraId="4D80EF6C" w14:textId="17DEC11D" w:rsidR="00CE34E8" w:rsidRPr="00CE34E8" w:rsidRDefault="00CE34E8" w:rsidP="00CE34E8">
      <w:pPr>
        <w:rPr>
          <w:rFonts w:eastAsia="Arial Unicode MS"/>
        </w:rPr>
      </w:pPr>
      <w:r w:rsidRPr="00CE34E8">
        <w:rPr>
          <w:rFonts w:eastAsia="Arial Unicode MS"/>
        </w:rPr>
        <w:t>As well as the online portal, the project developed protocols for collecting Māori descent and iwi affiliation data in the health sector.</w:t>
      </w:r>
      <w:r>
        <w:rPr>
          <w:rStyle w:val="FootnoteReference"/>
          <w:rFonts w:eastAsia="Arial Unicode MS"/>
        </w:rPr>
        <w:footnoteReference w:id="11"/>
      </w:r>
    </w:p>
    <w:p w14:paraId="666DE942" w14:textId="77777777" w:rsidR="00CE34E8" w:rsidRPr="00CE34E8" w:rsidRDefault="00CE34E8" w:rsidP="00CE34E8">
      <w:pPr>
        <w:pStyle w:val="Heading5"/>
      </w:pPr>
      <w:r w:rsidRPr="00CE34E8">
        <w:t>Wānanga Hauora 2021 summary report</w:t>
      </w:r>
    </w:p>
    <w:p w14:paraId="219A7FD1" w14:textId="4E0FB30B" w:rsidR="00CE34E8" w:rsidRDefault="00CE34E8" w:rsidP="00CE34E8">
      <w:pPr>
        <w:rPr>
          <w:rFonts w:eastAsia="Arial Unicode MS"/>
        </w:rPr>
      </w:pPr>
      <w:r w:rsidRPr="00CE34E8">
        <w:rPr>
          <w:rFonts w:eastAsia="Arial Unicode MS"/>
        </w:rPr>
        <w:t>Wānanga Hauora 2021</w:t>
      </w:r>
      <w:r>
        <w:rPr>
          <w:rStyle w:val="FootnoteReference"/>
          <w:rFonts w:eastAsia="Arial Unicode MS"/>
        </w:rPr>
        <w:footnoteReference w:id="12"/>
      </w:r>
      <w:r w:rsidRPr="00CE34E8">
        <w:rPr>
          <w:rFonts w:eastAsia="Arial Unicode MS"/>
        </w:rPr>
        <w:t xml:space="preserve"> responded to a key action in Whakamaua: Māori Health Action Plan 2020–2025 in the priority area of Māori leadership.</w:t>
      </w:r>
    </w:p>
    <w:p w14:paraId="511DE776" w14:textId="77777777" w:rsidR="00CE34E8" w:rsidRPr="00CE34E8" w:rsidRDefault="00CE34E8" w:rsidP="00CE34E8">
      <w:pPr>
        <w:rPr>
          <w:rFonts w:eastAsia="Arial Unicode MS"/>
        </w:rPr>
      </w:pPr>
    </w:p>
    <w:p w14:paraId="3F262B8D" w14:textId="77777777" w:rsidR="00CE34E8" w:rsidRPr="00CE34E8" w:rsidRDefault="00CE34E8" w:rsidP="00CE34E8">
      <w:pPr>
        <w:rPr>
          <w:rFonts w:eastAsia="Arial Unicode MS"/>
        </w:rPr>
      </w:pPr>
      <w:r w:rsidRPr="00CE34E8">
        <w:rPr>
          <w:rFonts w:eastAsia="Arial Unicode MS"/>
        </w:rPr>
        <w:t>Wānanga Hauora 2021 consisted of 4 regional wānanga across the motu and one virtual wānanga between April and August 2021. The wānanga provided opportunities for leadership networking, professional development, and training for DHB members, Iwi-Māori Partnership Board members and Māori health organisation leaders.</w:t>
      </w:r>
    </w:p>
    <w:p w14:paraId="366183A9" w14:textId="77777777" w:rsidR="00CE34E8" w:rsidRPr="00CE34E8" w:rsidRDefault="00CE34E8" w:rsidP="00CE34E8">
      <w:pPr>
        <w:pStyle w:val="Heading5"/>
      </w:pPr>
      <w:r w:rsidRPr="00CE34E8">
        <w:t>Equity by Design</w:t>
      </w:r>
    </w:p>
    <w:p w14:paraId="7391B752" w14:textId="301ECEFD" w:rsidR="00CE34E8" w:rsidRDefault="00CE34E8" w:rsidP="00CE34E8">
      <w:pPr>
        <w:rPr>
          <w:rFonts w:eastAsia="Arial Unicode MS"/>
        </w:rPr>
      </w:pPr>
      <w:r w:rsidRPr="00CE34E8">
        <w:rPr>
          <w:rFonts w:eastAsia="Arial Unicode MS"/>
        </w:rPr>
        <w:t>The Equity by Design project is a partnership between the Ministry (as of 1 July 2022, Te Aka Whai Ora) and the Health Quality &amp; Safety Commission. The goal is to design practical health equity and Te Tiriti solutions that will influence pro-equity and Tiriti-centred thinking, practice and behaviour across the entire health and disability system.</w:t>
      </w:r>
    </w:p>
    <w:p w14:paraId="28F798DA" w14:textId="3DAFADF9" w:rsidR="00DD64CB" w:rsidRDefault="00DD64CB" w:rsidP="00CE34E8">
      <w:pPr>
        <w:rPr>
          <w:rFonts w:eastAsia="Arial Unicode MS"/>
        </w:rPr>
      </w:pPr>
    </w:p>
    <w:p w14:paraId="362EED28" w14:textId="77777777" w:rsidR="00DD64CB" w:rsidRPr="00DD64CB" w:rsidRDefault="00DD64CB" w:rsidP="00DD64CB">
      <w:pPr>
        <w:rPr>
          <w:rFonts w:eastAsia="Arial Unicode MS"/>
        </w:rPr>
      </w:pPr>
      <w:r w:rsidRPr="00DD64CB">
        <w:rPr>
          <w:rFonts w:eastAsia="Arial Unicode MS"/>
        </w:rPr>
        <w:t>Phase one (discovery) of the project engaged over 100 people who work across a diverse range of areas in the health system through system wānanga and empathy interviews. When completed this phase will have produced the following discovery artefacts:</w:t>
      </w:r>
    </w:p>
    <w:p w14:paraId="414CD798" w14:textId="7BF29658" w:rsidR="00DD64CB" w:rsidRPr="00DD64CB" w:rsidRDefault="00DD64CB" w:rsidP="00DD64CB">
      <w:pPr>
        <w:pStyle w:val="Bullet"/>
        <w:rPr>
          <w:rFonts w:eastAsia="Arial Unicode MS"/>
        </w:rPr>
      </w:pPr>
      <w:r w:rsidRPr="00DD64CB">
        <w:rPr>
          <w:rFonts w:eastAsia="Arial Unicode MS"/>
        </w:rPr>
        <w:t>the findings from the Health Equity Assessment Tool (HEAT) review</w:t>
      </w:r>
    </w:p>
    <w:p w14:paraId="3BF7C7AC" w14:textId="29741099" w:rsidR="00DD64CB" w:rsidRPr="00DD64CB" w:rsidRDefault="00DD64CB" w:rsidP="00DD64CB">
      <w:pPr>
        <w:pStyle w:val="Bullet"/>
        <w:rPr>
          <w:rFonts w:eastAsia="Arial Unicode MS"/>
        </w:rPr>
      </w:pPr>
      <w:r w:rsidRPr="00DD64CB">
        <w:rPr>
          <w:rFonts w:eastAsia="Arial Unicode MS"/>
        </w:rPr>
        <w:t>a comprehensive stocktake of existing equity and Tiriti tools</w:t>
      </w:r>
    </w:p>
    <w:p w14:paraId="2BB3E914" w14:textId="72EFF7E5" w:rsidR="00DD64CB" w:rsidRPr="00DD64CB" w:rsidRDefault="00DD64CB" w:rsidP="00DD64CB">
      <w:pPr>
        <w:pStyle w:val="Bullet"/>
        <w:rPr>
          <w:rFonts w:eastAsia="Arial Unicode MS"/>
        </w:rPr>
      </w:pPr>
      <w:r w:rsidRPr="00DD64CB">
        <w:rPr>
          <w:rFonts w:eastAsia="Arial Unicode MS"/>
        </w:rPr>
        <w:t>animated user personas to present the various levels of equity and Tiriti maturity in the system</w:t>
      </w:r>
    </w:p>
    <w:p w14:paraId="300164B5" w14:textId="301F46FF" w:rsidR="00DD64CB" w:rsidRPr="00DD64CB" w:rsidRDefault="00DD64CB" w:rsidP="00DD64CB">
      <w:pPr>
        <w:pStyle w:val="Bullet"/>
        <w:rPr>
          <w:rFonts w:eastAsia="Arial Unicode MS"/>
        </w:rPr>
      </w:pPr>
      <w:r w:rsidRPr="00DD64CB">
        <w:rPr>
          <w:rFonts w:eastAsia="Arial Unicode MS"/>
        </w:rPr>
        <w:t>6 horizon scans to identify future opportunities.</w:t>
      </w:r>
    </w:p>
    <w:p w14:paraId="37014624" w14:textId="29116DF6" w:rsidR="00DD64CB" w:rsidRPr="00DD64CB" w:rsidRDefault="00DD64CB" w:rsidP="00DD64CB">
      <w:pPr>
        <w:pStyle w:val="Heading4"/>
      </w:pPr>
      <w:r w:rsidRPr="00DD64CB">
        <w:lastRenderedPageBreak/>
        <w:t>Establishing fair regional governing boards</w:t>
      </w:r>
      <w:r>
        <w:t xml:space="preserve"> </w:t>
      </w:r>
      <w:r w:rsidRPr="00DD64CB">
        <w:t>that represent all New Zealanders and work collectively toward pae ora</w:t>
      </w:r>
    </w:p>
    <w:p w14:paraId="7D2BEDA6" w14:textId="6966CA72" w:rsidR="00DD64CB" w:rsidRDefault="00DD64CB" w:rsidP="00DD64CB">
      <w:pPr>
        <w:rPr>
          <w:rFonts w:eastAsia="Arial Unicode MS"/>
        </w:rPr>
      </w:pPr>
      <w:r w:rsidRPr="00DD64CB">
        <w:rPr>
          <w:rFonts w:eastAsia="Arial Unicode MS"/>
        </w:rPr>
        <w:t>January 2022 saw the establishment of 4 governance groups representing the Northern, Te Manawa Taki (Midland),</w:t>
      </w:r>
      <w:r>
        <w:rPr>
          <w:rFonts w:eastAsia="Arial Unicode MS"/>
        </w:rPr>
        <w:t xml:space="preserve"> </w:t>
      </w:r>
      <w:r w:rsidRPr="00DD64CB">
        <w:rPr>
          <w:rFonts w:eastAsia="Arial Unicode MS"/>
        </w:rPr>
        <w:t>Central and Southern regions. Their purpose has been to support the growing need for regional solutions to the pandemic response, support a regional approach to ministerial priorities, and maintain the focus on the performance of DHBs at first and then of the new health system structures from 1 July 2022.</w:t>
      </w:r>
    </w:p>
    <w:p w14:paraId="27716A0E" w14:textId="77777777" w:rsidR="00DD64CB" w:rsidRPr="00DD64CB" w:rsidRDefault="00DD64CB" w:rsidP="00DD64CB">
      <w:pPr>
        <w:rPr>
          <w:rFonts w:eastAsia="Arial Unicode MS"/>
        </w:rPr>
      </w:pPr>
    </w:p>
    <w:p w14:paraId="1948EEB8" w14:textId="77777777" w:rsidR="00DD64CB" w:rsidRPr="00DD64CB" w:rsidRDefault="00DD64CB" w:rsidP="00DD64CB">
      <w:pPr>
        <w:rPr>
          <w:rFonts w:eastAsia="Arial Unicode MS"/>
        </w:rPr>
      </w:pPr>
      <w:r w:rsidRPr="00DD64CB">
        <w:rPr>
          <w:rFonts w:eastAsia="Arial Unicode MS"/>
        </w:rPr>
        <w:t>These groups provided an additional level of oversight and governance to the pandemic response. The DHB chairs worked collectively to guide regional</w:t>
      </w:r>
    </w:p>
    <w:p w14:paraId="1DFAD499" w14:textId="77777777" w:rsidR="00DD64CB" w:rsidRPr="00DD64CB" w:rsidRDefault="00DD64CB" w:rsidP="00DD64CB">
      <w:pPr>
        <w:rPr>
          <w:rFonts w:eastAsia="Arial Unicode MS"/>
        </w:rPr>
      </w:pPr>
      <w:r w:rsidRPr="00DD64CB">
        <w:rPr>
          <w:rFonts w:eastAsia="Arial Unicode MS"/>
        </w:rPr>
        <w:t>implementation activity for the response, and to develop regional ways of working.</w:t>
      </w:r>
    </w:p>
    <w:p w14:paraId="3ABABD8F" w14:textId="77777777" w:rsidR="00DD64CB" w:rsidRPr="00DD64CB" w:rsidRDefault="00DD64CB" w:rsidP="00DD64CB">
      <w:pPr>
        <w:pStyle w:val="Heading4"/>
      </w:pPr>
      <w:r w:rsidRPr="00DD64CB">
        <w:t>Health sector negotiations for pay equity</w:t>
      </w:r>
    </w:p>
    <w:p w14:paraId="429D9F33" w14:textId="5E1F42FA" w:rsidR="00DD64CB" w:rsidRPr="00DD64CB" w:rsidRDefault="00DD64CB" w:rsidP="00DD64CB">
      <w:pPr>
        <w:rPr>
          <w:rFonts w:eastAsia="Arial Unicode MS"/>
        </w:rPr>
      </w:pPr>
      <w:r w:rsidRPr="00DD64CB">
        <w:rPr>
          <w:rFonts w:eastAsia="Arial Unicode MS"/>
        </w:rPr>
        <w:t>Four major pay equity claims, covering an estimated 85% of the DHB employed workforce, continued to be progressed</w:t>
      </w:r>
      <w:r>
        <w:rPr>
          <w:rFonts w:eastAsia="Arial Unicode MS"/>
        </w:rPr>
        <w:t xml:space="preserve"> </w:t>
      </w:r>
      <w:r w:rsidRPr="00DD64CB">
        <w:rPr>
          <w:rFonts w:eastAsia="Arial Unicode MS"/>
        </w:rPr>
        <w:t>during the year:</w:t>
      </w:r>
    </w:p>
    <w:p w14:paraId="33F1329B" w14:textId="2CCB847B" w:rsidR="00DD64CB" w:rsidRPr="00DD64CB" w:rsidRDefault="00DD64CB" w:rsidP="00DD64CB">
      <w:pPr>
        <w:pStyle w:val="Bullet"/>
        <w:rPr>
          <w:rFonts w:eastAsia="Arial Unicode MS"/>
        </w:rPr>
      </w:pPr>
      <w:r w:rsidRPr="00DD64CB">
        <w:rPr>
          <w:rFonts w:eastAsia="Arial Unicode MS"/>
        </w:rPr>
        <w:t>administration and clerical workforce</w:t>
      </w:r>
    </w:p>
    <w:p w14:paraId="472F3E4C" w14:textId="0186BCB4" w:rsidR="00DD64CB" w:rsidRPr="00DD64CB" w:rsidRDefault="00DD64CB" w:rsidP="00DD64CB">
      <w:pPr>
        <w:pStyle w:val="Bullet"/>
        <w:rPr>
          <w:rFonts w:eastAsia="Arial Unicode MS"/>
        </w:rPr>
      </w:pPr>
      <w:r w:rsidRPr="00DD64CB">
        <w:rPr>
          <w:rFonts w:eastAsia="Arial Unicode MS"/>
        </w:rPr>
        <w:t>nursing workforce</w:t>
      </w:r>
    </w:p>
    <w:p w14:paraId="7A75C937" w14:textId="494E09FF" w:rsidR="00DD64CB" w:rsidRPr="00DD64CB" w:rsidRDefault="00DD64CB" w:rsidP="00DD64CB">
      <w:pPr>
        <w:pStyle w:val="Bullet"/>
        <w:rPr>
          <w:rFonts w:eastAsia="Arial Unicode MS"/>
        </w:rPr>
      </w:pPr>
      <w:r w:rsidRPr="00DD64CB">
        <w:rPr>
          <w:rFonts w:eastAsia="Arial Unicode MS"/>
        </w:rPr>
        <w:t>midwifery workforce</w:t>
      </w:r>
    </w:p>
    <w:p w14:paraId="13B53A7E" w14:textId="748CB8BA" w:rsidR="00DD64CB" w:rsidRPr="00DD64CB" w:rsidRDefault="00DD64CB" w:rsidP="00DD64CB">
      <w:pPr>
        <w:pStyle w:val="Bullet"/>
        <w:rPr>
          <w:rFonts w:eastAsia="Arial Unicode MS"/>
        </w:rPr>
      </w:pPr>
      <w:r w:rsidRPr="00DD64CB">
        <w:rPr>
          <w:rFonts w:eastAsia="Arial Unicode MS"/>
        </w:rPr>
        <w:t>allied public health, scientific and technical workforce.</w:t>
      </w:r>
    </w:p>
    <w:p w14:paraId="2A91C2D3" w14:textId="77777777" w:rsidR="00DD64CB" w:rsidRPr="00DD64CB" w:rsidRDefault="00DD64CB" w:rsidP="00DD64CB">
      <w:pPr>
        <w:pStyle w:val="Heading5"/>
      </w:pPr>
      <w:r w:rsidRPr="00DD64CB">
        <w:t>Administration and clerical pay equity settlement</w:t>
      </w:r>
    </w:p>
    <w:p w14:paraId="34EBE455" w14:textId="603A28AB" w:rsidR="00DD64CB" w:rsidRDefault="00DD64CB" w:rsidP="00DD64CB">
      <w:pPr>
        <w:rPr>
          <w:rFonts w:eastAsia="Arial Unicode MS"/>
        </w:rPr>
      </w:pPr>
      <w:r w:rsidRPr="00DD64CB">
        <w:rPr>
          <w:rFonts w:eastAsia="Arial Unicode MS"/>
        </w:rPr>
        <w:t>On 16 May 2022, the majority (97%) of union members voted in favour of ratifying the settlement agreement for administration and clerical pay equity.</w:t>
      </w:r>
    </w:p>
    <w:p w14:paraId="323722A1" w14:textId="77777777" w:rsidR="00DD64CB" w:rsidRPr="00DD64CB" w:rsidRDefault="00DD64CB" w:rsidP="00DD64CB">
      <w:pPr>
        <w:rPr>
          <w:rFonts w:eastAsia="Arial Unicode MS"/>
        </w:rPr>
      </w:pPr>
    </w:p>
    <w:p w14:paraId="58A355E3" w14:textId="77777777" w:rsidR="00DD64CB" w:rsidRPr="00DD64CB" w:rsidRDefault="00DD64CB" w:rsidP="00DD64CB">
      <w:pPr>
        <w:rPr>
          <w:rFonts w:eastAsia="Arial Unicode MS"/>
        </w:rPr>
      </w:pPr>
      <w:r w:rsidRPr="00DD64CB">
        <w:rPr>
          <w:rFonts w:eastAsia="Arial Unicode MS"/>
        </w:rPr>
        <w:t>On 7 June 2022, the parties met to sign the settlement agreement, concluding the pay equity claim process. The administration and clerical claim is the first pay equity claim to settle under the amended Equal Pay Act 1972.</w:t>
      </w:r>
    </w:p>
    <w:p w14:paraId="0D22CA79" w14:textId="77777777" w:rsidR="00DD64CB" w:rsidRPr="00DD64CB" w:rsidRDefault="00DD64CB" w:rsidP="00DD64CB">
      <w:pPr>
        <w:pStyle w:val="Heading5"/>
      </w:pPr>
      <w:r w:rsidRPr="00DD64CB">
        <w:t>Nursing pay equity claim</w:t>
      </w:r>
    </w:p>
    <w:p w14:paraId="0ABE31BE" w14:textId="5597B320" w:rsidR="00DD64CB" w:rsidRDefault="00DD64CB" w:rsidP="00DD64CB">
      <w:pPr>
        <w:rPr>
          <w:rFonts w:eastAsia="Arial Unicode MS"/>
        </w:rPr>
      </w:pPr>
      <w:r w:rsidRPr="00DD64CB">
        <w:rPr>
          <w:rFonts w:eastAsia="Arial Unicode MS"/>
        </w:rPr>
        <w:t>In late December 2021, the parties to the nursing pay equity claim reached an agreement in principle to settle the claim. In April 2022, the union parties to the claim released details of the proposed settlement to members and workers covered by the claim.</w:t>
      </w:r>
    </w:p>
    <w:p w14:paraId="37BFC0B2" w14:textId="77777777" w:rsidR="00DD64CB" w:rsidRPr="00DD64CB" w:rsidRDefault="00DD64CB" w:rsidP="00DD64CB">
      <w:pPr>
        <w:rPr>
          <w:rFonts w:eastAsia="Arial Unicode MS"/>
        </w:rPr>
      </w:pPr>
    </w:p>
    <w:p w14:paraId="7E049655" w14:textId="6BB37FC9" w:rsidR="00DD64CB" w:rsidRPr="00DD64CB" w:rsidRDefault="00DD64CB" w:rsidP="00DD64CB">
      <w:pPr>
        <w:rPr>
          <w:rFonts w:eastAsia="Arial Unicode MS"/>
        </w:rPr>
      </w:pPr>
      <w:r w:rsidRPr="00DD64CB">
        <w:rPr>
          <w:rFonts w:eastAsia="Arial Unicode MS"/>
        </w:rPr>
        <w:t>Union members then voted in favour of seeking a determination from the Employment Relations Authority on the</w:t>
      </w:r>
      <w:r>
        <w:rPr>
          <w:rFonts w:eastAsia="Arial Unicode MS"/>
        </w:rPr>
        <w:t xml:space="preserve"> </w:t>
      </w:r>
      <w:r w:rsidRPr="00DD64CB">
        <w:rPr>
          <w:rFonts w:eastAsia="Arial Unicode MS"/>
        </w:rPr>
        <w:t>proposed offer of settlement. Their specific focus was the offer to backdate the pay equity rates to 31 December 2019 (after deduction of any early payments or further base salary adjustments).</w:t>
      </w:r>
    </w:p>
    <w:p w14:paraId="1108395C" w14:textId="77777777" w:rsidR="00DD64CB" w:rsidRPr="00DD64CB" w:rsidRDefault="00DD64CB" w:rsidP="00DD64CB">
      <w:pPr>
        <w:pStyle w:val="Heading5"/>
      </w:pPr>
      <w:r w:rsidRPr="00DD64CB">
        <w:t>Midwifery pay equity</w:t>
      </w:r>
    </w:p>
    <w:p w14:paraId="24BB7664" w14:textId="77777777" w:rsidR="00DD64CB" w:rsidRPr="00DD64CB" w:rsidRDefault="00DD64CB" w:rsidP="00DD64CB">
      <w:pPr>
        <w:rPr>
          <w:rFonts w:eastAsia="Arial Unicode MS"/>
        </w:rPr>
      </w:pPr>
      <w:r w:rsidRPr="00DD64CB">
        <w:rPr>
          <w:rFonts w:eastAsia="Arial Unicode MS"/>
        </w:rPr>
        <w:t xml:space="preserve">The midwifery claim reached the bargaining stage of the pay equity claim process during the year. Progress with discussions slowed as the union parties to this claim were waiting for the outcomes of the Employment Relations Authority proceedings on </w:t>
      </w:r>
      <w:r w:rsidRPr="00DD64CB">
        <w:rPr>
          <w:rFonts w:eastAsia="Arial Unicode MS"/>
        </w:rPr>
        <w:lastRenderedPageBreak/>
        <w:t>the nursing pay equity</w:t>
      </w:r>
      <w:r>
        <w:rPr>
          <w:rFonts w:eastAsia="Arial Unicode MS"/>
        </w:rPr>
        <w:t xml:space="preserve"> </w:t>
      </w:r>
      <w:r w:rsidRPr="00DD64CB">
        <w:rPr>
          <w:rFonts w:eastAsia="Arial Unicode MS"/>
        </w:rPr>
        <w:t>claim. The parties were continuing their discussions and were committed to progressing the negotiations in any way possible.</w:t>
      </w:r>
    </w:p>
    <w:p w14:paraId="46B99958" w14:textId="77777777" w:rsidR="00DD64CB" w:rsidRPr="00DD64CB" w:rsidRDefault="00DD64CB" w:rsidP="00DD64CB">
      <w:pPr>
        <w:pStyle w:val="Heading5"/>
      </w:pPr>
      <w:r w:rsidRPr="00DD64CB">
        <w:t>Allied public health, scientific and technical workforce pay equity claim</w:t>
      </w:r>
    </w:p>
    <w:p w14:paraId="593C9597" w14:textId="0619C71A" w:rsidR="00DD64CB" w:rsidRDefault="00DD64CB" w:rsidP="00DD64CB">
      <w:pPr>
        <w:rPr>
          <w:rFonts w:eastAsia="Arial Unicode MS"/>
        </w:rPr>
      </w:pPr>
      <w:r w:rsidRPr="00DD64CB">
        <w:rPr>
          <w:rFonts w:eastAsia="Arial Unicode MS"/>
        </w:rPr>
        <w:t>This agreement of the allied public health, scientific and technical workforce was at the early work assessment stage during the year. The parties estimated that the work and remuneration assessment would be completed by the end of the 2022 calendar year.</w:t>
      </w:r>
    </w:p>
    <w:p w14:paraId="25F7E2E0" w14:textId="77777777" w:rsidR="00DD64CB" w:rsidRPr="00DD64CB" w:rsidRDefault="00DD64CB" w:rsidP="00DD64CB">
      <w:pPr>
        <w:rPr>
          <w:rFonts w:eastAsia="Arial Unicode MS"/>
        </w:rPr>
      </w:pPr>
    </w:p>
    <w:p w14:paraId="33482FDA" w14:textId="15C372DA" w:rsidR="00DD64CB" w:rsidRPr="00DD64CB" w:rsidRDefault="00DD64CB" w:rsidP="00DD64CB">
      <w:pPr>
        <w:rPr>
          <w:rFonts w:eastAsia="Arial Unicode MS"/>
        </w:rPr>
      </w:pPr>
      <w:r w:rsidRPr="00DD64CB">
        <w:rPr>
          <w:rFonts w:eastAsia="Arial Unicode MS"/>
        </w:rPr>
        <w:t>The claim had not yet established that the workforce it covered had been undervalued historically based on the sex of the workers. The parties had agreed</w:t>
      </w:r>
      <w:r>
        <w:rPr>
          <w:rFonts w:eastAsia="Arial Unicode MS"/>
        </w:rPr>
        <w:t xml:space="preserve"> </w:t>
      </w:r>
      <w:r w:rsidRPr="00DD64CB">
        <w:rPr>
          <w:rFonts w:eastAsia="Arial Unicode MS"/>
        </w:rPr>
        <w:t>to use their best efforts to develop a Memorandum of Understanding that established a work programme and timeline to conclude the pay equity claim by 29 April 2023.</w:t>
      </w:r>
    </w:p>
    <w:p w14:paraId="736084B3" w14:textId="77777777" w:rsidR="00DD64CB" w:rsidRPr="00DD64CB" w:rsidRDefault="00DD64CB" w:rsidP="00DD64CB">
      <w:pPr>
        <w:pStyle w:val="Heading4"/>
      </w:pPr>
      <w:r w:rsidRPr="00DD64CB">
        <w:t>Improving  community water fluoridation coverage</w:t>
      </w:r>
    </w:p>
    <w:p w14:paraId="35AAD926" w14:textId="700B9DDF" w:rsidR="00DD64CB" w:rsidRPr="00DD64CB" w:rsidRDefault="00DD64CB" w:rsidP="00DD64CB">
      <w:pPr>
        <w:rPr>
          <w:rFonts w:eastAsia="Arial Unicode MS"/>
        </w:rPr>
      </w:pPr>
      <w:r w:rsidRPr="00DD64CB">
        <w:rPr>
          <w:rFonts w:eastAsia="Arial Unicode MS"/>
        </w:rPr>
        <w:t>Community water fluoridation is a safe, effective and affordable public health measure to improve oral health. While it benefits everyone, the benefits are greatest for Māori, Pacific peoples and those living in deprived communities.</w:t>
      </w:r>
      <w:r>
        <w:rPr>
          <w:rFonts w:eastAsia="Arial Unicode MS"/>
        </w:rPr>
        <w:t xml:space="preserve"> </w:t>
      </w:r>
      <w:r w:rsidRPr="00DD64CB">
        <w:rPr>
          <w:rFonts w:eastAsia="Arial Unicode MS"/>
        </w:rPr>
        <w:t>A 2016 report found that children and adolescents living in areas with fluoridated drinking-water have a 40% lower incidence of tooth decay across their lifetime.</w:t>
      </w:r>
      <w:r>
        <w:rPr>
          <w:rStyle w:val="FootnoteReference"/>
          <w:rFonts w:eastAsia="Arial Unicode MS"/>
        </w:rPr>
        <w:footnoteReference w:id="13"/>
      </w:r>
    </w:p>
    <w:p w14:paraId="68602F87" w14:textId="77777777" w:rsidR="00DD64CB" w:rsidRDefault="00DD64CB" w:rsidP="00DD64CB">
      <w:pPr>
        <w:rPr>
          <w:rFonts w:eastAsia="Arial Unicode MS"/>
        </w:rPr>
      </w:pPr>
    </w:p>
    <w:p w14:paraId="76596776" w14:textId="403C67A0" w:rsidR="00DD64CB" w:rsidRPr="00DD64CB" w:rsidRDefault="00DD64CB" w:rsidP="00DD64CB">
      <w:pPr>
        <w:rPr>
          <w:rFonts w:eastAsia="Arial Unicode MS"/>
        </w:rPr>
      </w:pPr>
      <w:r w:rsidRPr="00DD64CB">
        <w:rPr>
          <w:rFonts w:eastAsia="Arial Unicode MS"/>
        </w:rPr>
        <w:t>In 2021/22 Manatū Hauora supported the enactment of the Health (Fluoridation</w:t>
      </w:r>
    </w:p>
    <w:p w14:paraId="098F6926" w14:textId="7F2859A5" w:rsidR="00DD64CB" w:rsidRPr="00DD64CB" w:rsidRDefault="00DD64CB" w:rsidP="00DD64CB">
      <w:pPr>
        <w:rPr>
          <w:rFonts w:eastAsia="Arial Unicode MS"/>
        </w:rPr>
      </w:pPr>
      <w:r w:rsidRPr="00DD64CB">
        <w:rPr>
          <w:rFonts w:eastAsia="Arial Unicode MS"/>
        </w:rPr>
        <w:t>of Drinking Water) Amendment Bill 2021, which became Part 5A of the Health Act 1956. The new arrangements, which</w:t>
      </w:r>
      <w:r>
        <w:rPr>
          <w:rFonts w:eastAsia="Arial Unicode MS"/>
        </w:rPr>
        <w:t xml:space="preserve"> </w:t>
      </w:r>
      <w:r w:rsidRPr="00DD64CB">
        <w:rPr>
          <w:rFonts w:eastAsia="Arial Unicode MS"/>
        </w:rPr>
        <w:t>came into force in December 2021, gave the Director-General of Health the power to issue directions to local authorities to fluoridate their drinking water supplies.</w:t>
      </w:r>
    </w:p>
    <w:p w14:paraId="65DFB272" w14:textId="3D2FC956" w:rsidR="00DD64CB" w:rsidRPr="00DD64CB" w:rsidRDefault="00DD64CB" w:rsidP="00DD64CB">
      <w:pPr>
        <w:pStyle w:val="Heading4"/>
      </w:pPr>
      <w:r w:rsidRPr="00DD64CB">
        <w:t>Offering free toothbrushes and fluoride toothpaste</w:t>
      </w:r>
      <w:r>
        <w:t xml:space="preserve"> t</w:t>
      </w:r>
      <w:r w:rsidRPr="00DD64CB">
        <w:t>o preschoolers and their whānau</w:t>
      </w:r>
    </w:p>
    <w:p w14:paraId="51CDADC8" w14:textId="77777777" w:rsidR="00DD64CB" w:rsidRPr="00DD64CB" w:rsidRDefault="00DD64CB" w:rsidP="00DD64CB">
      <w:pPr>
        <w:rPr>
          <w:rFonts w:eastAsia="Arial Unicode MS"/>
        </w:rPr>
      </w:pPr>
      <w:r w:rsidRPr="00DD64CB">
        <w:rPr>
          <w:rFonts w:eastAsia="Arial Unicode MS"/>
        </w:rPr>
        <w:t>Whānau with preschool-age children were able to receive free packs of toothbrushes and fluoride toothpaste through Manatū Hauora’s child oral health promotion initiative. We made this offer because we recognise that the costs of toothpaste and toothbrushes can be a barrier to good oral health self-care.</w:t>
      </w:r>
    </w:p>
    <w:p w14:paraId="5A90C0D9" w14:textId="77777777" w:rsidR="00DD64CB" w:rsidRPr="00DD64CB" w:rsidRDefault="00DD64CB" w:rsidP="00DD64CB">
      <w:pPr>
        <w:pStyle w:val="Heading4"/>
      </w:pPr>
      <w:r w:rsidRPr="00DD64CB">
        <w:t>Launching a world-leading Smokefree Action Plan</w:t>
      </w:r>
    </w:p>
    <w:p w14:paraId="7E4333F2" w14:textId="4AC49B3D" w:rsidR="00DD64CB" w:rsidRDefault="00DD64CB" w:rsidP="00DD64CB">
      <w:pPr>
        <w:rPr>
          <w:rFonts w:eastAsia="Arial Unicode MS"/>
        </w:rPr>
      </w:pPr>
      <w:r w:rsidRPr="00DD64CB">
        <w:rPr>
          <w:rFonts w:eastAsia="Arial Unicode MS"/>
        </w:rPr>
        <w:t>Associate Minister of Health, Hon Dr Ayesha Verrall launched the Smokefree Aotearoa 2025 Action Plan</w:t>
      </w:r>
      <w:r>
        <w:rPr>
          <w:rStyle w:val="FootnoteReference"/>
          <w:rFonts w:eastAsia="Arial Unicode MS"/>
        </w:rPr>
        <w:footnoteReference w:id="14"/>
      </w:r>
      <w:r w:rsidRPr="00DD64CB">
        <w:rPr>
          <w:rFonts w:eastAsia="Arial Unicode MS"/>
        </w:rPr>
        <w:t xml:space="preserve"> on 9 December 2021.</w:t>
      </w:r>
    </w:p>
    <w:p w14:paraId="10023E8D" w14:textId="77777777" w:rsidR="00DD64CB" w:rsidRPr="00DD64CB" w:rsidRDefault="00DD64CB" w:rsidP="00DD64CB">
      <w:pPr>
        <w:rPr>
          <w:rFonts w:eastAsia="Arial Unicode MS"/>
        </w:rPr>
      </w:pPr>
    </w:p>
    <w:p w14:paraId="732CD96D" w14:textId="77777777" w:rsidR="00DD64CB" w:rsidRPr="00DD64CB" w:rsidRDefault="00DD64CB" w:rsidP="00DD64CB">
      <w:pPr>
        <w:rPr>
          <w:rFonts w:eastAsia="Arial Unicode MS"/>
        </w:rPr>
      </w:pPr>
      <w:r w:rsidRPr="00DD64CB">
        <w:rPr>
          <w:rFonts w:eastAsia="Arial Unicode MS"/>
        </w:rPr>
        <w:t>The plan set out a bold goal to achieve a Smokefree Aotearoa for all New Zealanders</w:t>
      </w:r>
    </w:p>
    <w:p w14:paraId="1A9E1706" w14:textId="77777777" w:rsidR="00DD64CB" w:rsidRPr="00DD64CB" w:rsidRDefault="00DD64CB" w:rsidP="00DD64CB">
      <w:pPr>
        <w:rPr>
          <w:rFonts w:eastAsia="Arial Unicode MS"/>
        </w:rPr>
      </w:pPr>
      <w:r w:rsidRPr="00DD64CB">
        <w:rPr>
          <w:rFonts w:eastAsia="Arial Unicode MS"/>
        </w:rPr>
        <w:t>– fewer than 5% of New Zealanders across all population groups smoking daily.</w:t>
      </w:r>
    </w:p>
    <w:p w14:paraId="3DE5EE5D" w14:textId="77777777" w:rsidR="00DD64CB" w:rsidRPr="00DD64CB" w:rsidRDefault="00DD64CB" w:rsidP="00DD64CB">
      <w:pPr>
        <w:rPr>
          <w:rFonts w:eastAsia="Arial Unicode MS"/>
        </w:rPr>
      </w:pPr>
      <w:r w:rsidRPr="00DD64CB">
        <w:rPr>
          <w:rFonts w:eastAsia="Arial Unicode MS"/>
        </w:rPr>
        <w:lastRenderedPageBreak/>
        <w:t>The plan set out 28 actions under 6 focus areas. These actions called for more smoking cessation services, ongoing health promotion and changes to legislation.</w:t>
      </w:r>
    </w:p>
    <w:p w14:paraId="2543F0B9" w14:textId="77777777" w:rsidR="008F524E" w:rsidRDefault="008F524E" w:rsidP="00DD64CB">
      <w:pPr>
        <w:rPr>
          <w:rFonts w:eastAsia="Arial Unicode MS"/>
        </w:rPr>
      </w:pPr>
    </w:p>
    <w:p w14:paraId="38F62D91" w14:textId="13C5C5DA" w:rsidR="00DD64CB" w:rsidRPr="00DD64CB" w:rsidRDefault="00DD64CB" w:rsidP="00DD64CB">
      <w:pPr>
        <w:rPr>
          <w:rFonts w:eastAsia="Arial Unicode MS"/>
        </w:rPr>
      </w:pPr>
      <w:r w:rsidRPr="00DD64CB">
        <w:rPr>
          <w:rFonts w:eastAsia="Arial Unicode MS"/>
        </w:rPr>
        <w:t>In June 2021, the Smokefree Environments and Regulated Products (Smoked Tobacco) Amendment Bill was introduced to the House. Its purpose was to:</w:t>
      </w:r>
    </w:p>
    <w:p w14:paraId="573EEDF7" w14:textId="3C2EE628" w:rsidR="00DD64CB" w:rsidRPr="00DD64CB" w:rsidRDefault="00DD64CB" w:rsidP="00DD64CB">
      <w:pPr>
        <w:pStyle w:val="Bullet"/>
        <w:rPr>
          <w:rFonts w:eastAsia="Arial Unicode MS"/>
        </w:rPr>
      </w:pPr>
      <w:r w:rsidRPr="00DD64CB">
        <w:rPr>
          <w:rFonts w:eastAsia="Arial Unicode MS"/>
        </w:rPr>
        <w:t>significantly reduce the availability of tobacco in retail outlets</w:t>
      </w:r>
    </w:p>
    <w:p w14:paraId="1D2EF6B8" w14:textId="04CE3B25" w:rsidR="001913C6" w:rsidRPr="001913C6" w:rsidRDefault="00DD64CB" w:rsidP="001913C6">
      <w:pPr>
        <w:pStyle w:val="Bullet"/>
        <w:rPr>
          <w:rFonts w:eastAsia="Arial Unicode MS"/>
        </w:rPr>
      </w:pPr>
      <w:r w:rsidRPr="001913C6">
        <w:rPr>
          <w:rFonts w:eastAsia="Arial Unicode MS"/>
        </w:rPr>
        <w:t>prevent young people now and in the following generations from ever taking</w:t>
      </w:r>
      <w:r w:rsidR="001913C6" w:rsidRPr="001913C6">
        <w:rPr>
          <w:rFonts w:eastAsia="Arial Unicode MS"/>
        </w:rPr>
        <w:t xml:space="preserve"> up smoking</w:t>
      </w:r>
    </w:p>
    <w:p w14:paraId="2DBBAD76" w14:textId="30357C6D" w:rsidR="001913C6" w:rsidRPr="001913C6" w:rsidRDefault="001913C6" w:rsidP="001913C6">
      <w:pPr>
        <w:pStyle w:val="Bullet"/>
        <w:rPr>
          <w:rFonts w:eastAsia="Arial Unicode MS"/>
        </w:rPr>
      </w:pPr>
      <w:r w:rsidRPr="001913C6">
        <w:rPr>
          <w:rFonts w:eastAsia="Arial Unicode MS"/>
        </w:rPr>
        <w:t>reduce the appeal and addictiveness of smoked tobacco products, beginning by reducing nicotine levels.</w:t>
      </w:r>
    </w:p>
    <w:p w14:paraId="13FA5FB0" w14:textId="77777777" w:rsidR="001913C6" w:rsidRPr="001913C6" w:rsidRDefault="001913C6" w:rsidP="001913C6">
      <w:pPr>
        <w:pStyle w:val="Heading4"/>
      </w:pPr>
      <w:r w:rsidRPr="001913C6">
        <w:t>Rapidly scaling up the National Immunisation Programme</w:t>
      </w:r>
    </w:p>
    <w:p w14:paraId="073591EC" w14:textId="0EF337D8" w:rsidR="001913C6" w:rsidRDefault="001913C6" w:rsidP="001913C6">
      <w:pPr>
        <w:rPr>
          <w:rFonts w:eastAsia="Arial Unicode MS"/>
        </w:rPr>
      </w:pPr>
      <w:r w:rsidRPr="001913C6">
        <w:rPr>
          <w:rFonts w:eastAsia="Arial Unicode MS"/>
        </w:rPr>
        <w:t>The main objective of the National Immunisation Programme was to safely deliver a new vaccine, leading to a high- quality vaccination experience for all participants.</w:t>
      </w:r>
    </w:p>
    <w:p w14:paraId="23B20F92" w14:textId="77777777" w:rsidR="001913C6" w:rsidRPr="001913C6" w:rsidRDefault="001913C6" w:rsidP="001913C6">
      <w:pPr>
        <w:rPr>
          <w:rFonts w:eastAsia="Arial Unicode MS"/>
        </w:rPr>
      </w:pPr>
    </w:p>
    <w:p w14:paraId="2D2BB9F1" w14:textId="010C0D10" w:rsidR="001913C6" w:rsidRDefault="001913C6" w:rsidP="001913C6">
      <w:pPr>
        <w:rPr>
          <w:rFonts w:eastAsia="Arial Unicode MS"/>
        </w:rPr>
      </w:pPr>
      <w:r w:rsidRPr="001913C6">
        <w:rPr>
          <w:rFonts w:eastAsia="Arial Unicode MS"/>
        </w:rPr>
        <w:t>To meet this objective, the programme needed to provide new and ongoing guidance to all DHBs and vaccinating providers. The programme’s overarching approach was to build provider capability to prevent and detect vaccine and operational process errors to reduce the risk of consumer harm.</w:t>
      </w:r>
    </w:p>
    <w:p w14:paraId="465DDB0E" w14:textId="77777777" w:rsidR="001913C6" w:rsidRPr="001913C6" w:rsidRDefault="001913C6" w:rsidP="001913C6">
      <w:pPr>
        <w:rPr>
          <w:rFonts w:eastAsia="Arial Unicode MS"/>
        </w:rPr>
      </w:pPr>
    </w:p>
    <w:p w14:paraId="03372F82" w14:textId="50E29AFB" w:rsidR="001913C6" w:rsidRDefault="001913C6" w:rsidP="001913C6">
      <w:pPr>
        <w:rPr>
          <w:rFonts w:eastAsia="Arial Unicode MS"/>
        </w:rPr>
      </w:pPr>
      <w:r w:rsidRPr="001913C6">
        <w:rPr>
          <w:rFonts w:eastAsia="Arial Unicode MS"/>
        </w:rPr>
        <w:t>The programme maintained a suite of operational, clinical and quality</w:t>
      </w:r>
      <w:r>
        <w:rPr>
          <w:rFonts w:eastAsia="Arial Unicode MS"/>
        </w:rPr>
        <w:t xml:space="preserve"> </w:t>
      </w:r>
      <w:r w:rsidRPr="001913C6">
        <w:rPr>
          <w:rFonts w:eastAsia="Arial Unicode MS"/>
        </w:rPr>
        <w:t>documents and processes. These included COVID-19 vaccine service standards, operating guidelines, operational policy statements, planning guides, an incident management process, incident response toolkits, and incident and detecting failsafe reporting to increase consumer safety.</w:t>
      </w:r>
    </w:p>
    <w:p w14:paraId="20607A8F" w14:textId="77777777" w:rsidR="001913C6" w:rsidRPr="001913C6" w:rsidRDefault="001913C6" w:rsidP="001913C6">
      <w:pPr>
        <w:rPr>
          <w:rFonts w:eastAsia="Arial Unicode MS"/>
        </w:rPr>
      </w:pPr>
    </w:p>
    <w:p w14:paraId="77264718" w14:textId="77777777" w:rsidR="001913C6" w:rsidRPr="001913C6" w:rsidRDefault="001913C6" w:rsidP="001913C6">
      <w:pPr>
        <w:rPr>
          <w:rFonts w:eastAsia="Arial Unicode MS"/>
        </w:rPr>
      </w:pPr>
      <w:r w:rsidRPr="001913C6">
        <w:rPr>
          <w:rFonts w:eastAsia="Arial Unicode MS"/>
        </w:rPr>
        <w:t>In 2021/22, we progressed the National Immunisation Programme in several important ways:</w:t>
      </w:r>
    </w:p>
    <w:p w14:paraId="12826A41" w14:textId="77777777" w:rsidR="001913C6" w:rsidRPr="001913C6" w:rsidRDefault="001913C6" w:rsidP="001913C6">
      <w:pPr>
        <w:pStyle w:val="Heading5"/>
      </w:pPr>
      <w:r w:rsidRPr="001913C6">
        <w:t>Influenza</w:t>
      </w:r>
    </w:p>
    <w:p w14:paraId="2DDE0871" w14:textId="34E73B00" w:rsidR="001913C6" w:rsidRPr="001913C6" w:rsidRDefault="001913C6" w:rsidP="001913C6">
      <w:pPr>
        <w:rPr>
          <w:rFonts w:eastAsia="Arial Unicode MS"/>
        </w:rPr>
      </w:pPr>
      <w:r w:rsidRPr="001913C6">
        <w:rPr>
          <w:rFonts w:eastAsia="Arial Unicode MS"/>
        </w:rPr>
        <w:t>Efforts were targeted at rolling out an influenza campaign with widened eligibility to free vaccinations to include Māori</w:t>
      </w:r>
      <w:r>
        <w:rPr>
          <w:rFonts w:eastAsia="Arial Unicode MS"/>
        </w:rPr>
        <w:t xml:space="preserve"> </w:t>
      </w:r>
      <w:r w:rsidRPr="001913C6">
        <w:rPr>
          <w:rFonts w:eastAsia="Arial Unicode MS"/>
        </w:rPr>
        <w:t>and Pacific people aged 55 and over in particular.</w:t>
      </w:r>
    </w:p>
    <w:p w14:paraId="39F6AABF" w14:textId="77777777" w:rsidR="001913C6" w:rsidRPr="001913C6" w:rsidRDefault="001913C6" w:rsidP="001913C6">
      <w:pPr>
        <w:pStyle w:val="Heading5"/>
      </w:pPr>
      <w:r w:rsidRPr="001913C6">
        <w:t>Measles</w:t>
      </w:r>
    </w:p>
    <w:p w14:paraId="14ABD8DC" w14:textId="1C1052F2" w:rsidR="001913C6" w:rsidRPr="001913C6" w:rsidRDefault="001913C6" w:rsidP="001913C6">
      <w:pPr>
        <w:rPr>
          <w:rFonts w:eastAsia="Arial Unicode MS"/>
        </w:rPr>
      </w:pPr>
      <w:r w:rsidRPr="001913C6">
        <w:rPr>
          <w:rFonts w:eastAsia="Arial Unicode MS"/>
        </w:rPr>
        <w:t>In response to the 2019 measles outbreak and as part of broader actions to strengthen the immunisation system, the National Measles Immunisation Catch Up</w:t>
      </w:r>
      <w:r>
        <w:rPr>
          <w:rFonts w:eastAsia="Arial Unicode MS"/>
        </w:rPr>
        <w:t xml:space="preserve"> </w:t>
      </w:r>
      <w:r w:rsidRPr="001913C6">
        <w:rPr>
          <w:rFonts w:eastAsia="Arial Unicode MS"/>
        </w:rPr>
        <w:t xml:space="preserve"> </w:t>
      </w:r>
    </w:p>
    <w:p w14:paraId="1FAB1F6E" w14:textId="394ABFAB" w:rsidR="001913C6" w:rsidRDefault="001913C6" w:rsidP="001913C6">
      <w:pPr>
        <w:rPr>
          <w:rFonts w:eastAsia="Arial Unicode MS"/>
        </w:rPr>
      </w:pPr>
      <w:r w:rsidRPr="001913C6">
        <w:rPr>
          <w:rFonts w:eastAsia="Arial Unicode MS"/>
        </w:rPr>
        <w:t>Campaign was launched in July 2020 to address the immunity gap among those born between 1989 and 2004.</w:t>
      </w:r>
    </w:p>
    <w:p w14:paraId="03A7CDFA" w14:textId="77777777" w:rsidR="001913C6" w:rsidRPr="001913C6" w:rsidRDefault="001913C6" w:rsidP="001913C6">
      <w:pPr>
        <w:rPr>
          <w:rFonts w:eastAsia="Arial Unicode MS"/>
        </w:rPr>
      </w:pPr>
    </w:p>
    <w:p w14:paraId="02E17896" w14:textId="77777777" w:rsidR="001913C6" w:rsidRPr="001913C6" w:rsidRDefault="001913C6" w:rsidP="001913C6">
      <w:pPr>
        <w:rPr>
          <w:rFonts w:eastAsia="Arial Unicode MS"/>
        </w:rPr>
      </w:pPr>
      <w:r w:rsidRPr="001913C6">
        <w:rPr>
          <w:rFonts w:eastAsia="Arial Unicode MS"/>
        </w:rPr>
        <w:t>The campaign was effectively paused in March 2021 to allow district health boards to reallocate resources to their COVID-19 vaccination programmes, but restarted in December 2021.</w:t>
      </w:r>
    </w:p>
    <w:p w14:paraId="1EDBB9C2" w14:textId="77777777" w:rsidR="001913C6" w:rsidRPr="001913C6" w:rsidRDefault="001913C6" w:rsidP="001913C6">
      <w:pPr>
        <w:pStyle w:val="Heading4"/>
      </w:pPr>
      <w:r w:rsidRPr="001913C6">
        <w:t>The Medicinal Cannabis Scheme</w:t>
      </w:r>
    </w:p>
    <w:p w14:paraId="6E7201D8" w14:textId="77777777" w:rsidR="001913C6" w:rsidRPr="001913C6" w:rsidRDefault="001913C6" w:rsidP="001913C6">
      <w:pPr>
        <w:rPr>
          <w:rFonts w:eastAsia="Arial Unicode MS"/>
        </w:rPr>
      </w:pPr>
      <w:r w:rsidRPr="001913C6">
        <w:rPr>
          <w:rFonts w:eastAsia="Arial Unicode MS"/>
        </w:rPr>
        <w:t>The purpose of the Medicinal Cannabis Scheme is to improve access to high- quality medicinal cannabis products for patients.</w:t>
      </w:r>
    </w:p>
    <w:p w14:paraId="26BDBF6B" w14:textId="5795B4E7" w:rsidR="001913C6" w:rsidRDefault="001913C6" w:rsidP="001913C6">
      <w:pPr>
        <w:rPr>
          <w:rFonts w:eastAsia="Arial Unicode MS"/>
        </w:rPr>
      </w:pPr>
      <w:r w:rsidRPr="001913C6">
        <w:rPr>
          <w:rFonts w:eastAsia="Arial Unicode MS"/>
        </w:rPr>
        <w:lastRenderedPageBreak/>
        <w:t>Medicinal cannabis products are only available to patients on prescription from a doctor. They must be verified as meeting the medicinal cannabis quality standards before they can be supplied.</w:t>
      </w:r>
    </w:p>
    <w:p w14:paraId="2549EDE4" w14:textId="77777777" w:rsidR="001913C6" w:rsidRPr="001913C6" w:rsidRDefault="001913C6" w:rsidP="001913C6">
      <w:pPr>
        <w:rPr>
          <w:rFonts w:eastAsia="Arial Unicode MS"/>
        </w:rPr>
      </w:pPr>
    </w:p>
    <w:p w14:paraId="586540C4" w14:textId="203813DB" w:rsidR="001913C6" w:rsidRDefault="001913C6" w:rsidP="001913C6">
      <w:pPr>
        <w:rPr>
          <w:rFonts w:eastAsia="Arial Unicode MS"/>
        </w:rPr>
      </w:pPr>
      <w:r w:rsidRPr="001913C6">
        <w:rPr>
          <w:rFonts w:eastAsia="Arial Unicode MS"/>
        </w:rPr>
        <w:t>The Misuse of Drugs (Medicinal Cannabis) Regulations 2019 allowed for a transitional period when medicinal cannabis products supplied before 1 April 2020 could continue to be supplied without meeting the quality standards.</w:t>
      </w:r>
    </w:p>
    <w:p w14:paraId="225E6BBD" w14:textId="77777777" w:rsidR="001913C6" w:rsidRPr="001913C6" w:rsidRDefault="001913C6" w:rsidP="001913C6">
      <w:pPr>
        <w:rPr>
          <w:rFonts w:eastAsia="Arial Unicode MS"/>
        </w:rPr>
      </w:pPr>
    </w:p>
    <w:p w14:paraId="51F31AC5" w14:textId="2D91697C" w:rsidR="001913C6" w:rsidRPr="001913C6" w:rsidRDefault="001913C6" w:rsidP="001913C6">
      <w:pPr>
        <w:rPr>
          <w:rFonts w:eastAsia="Arial Unicode MS"/>
        </w:rPr>
      </w:pPr>
      <w:r w:rsidRPr="001913C6">
        <w:rPr>
          <w:rFonts w:eastAsia="Arial Unicode MS"/>
        </w:rPr>
        <w:t>The transitional period was extended twice to allow companies more time to submit applications for assessment of their products. The transitional period ended 30 September 2021, and as of 30</w:t>
      </w:r>
      <w:r>
        <w:rPr>
          <w:rFonts w:eastAsia="Arial Unicode MS"/>
        </w:rPr>
        <w:t xml:space="preserve"> </w:t>
      </w:r>
      <w:r w:rsidRPr="001913C6">
        <w:rPr>
          <w:rFonts w:eastAsia="Arial Unicode MS"/>
        </w:rPr>
        <w:t>June 2022, a total of 18 medicinal cannabis products have been verified as meeting the minimum quality standard of which</w:t>
      </w:r>
      <w:r>
        <w:rPr>
          <w:rFonts w:eastAsia="Arial Unicode MS"/>
        </w:rPr>
        <w:t xml:space="preserve"> </w:t>
      </w:r>
      <w:r w:rsidRPr="001913C6">
        <w:rPr>
          <w:rFonts w:eastAsia="Arial Unicode MS"/>
        </w:rPr>
        <w:t>5</w:t>
      </w:r>
      <w:r w:rsidR="00D543A1">
        <w:rPr>
          <w:rFonts w:eastAsia="Arial Unicode MS"/>
        </w:rPr>
        <w:t xml:space="preserve"> </w:t>
      </w:r>
      <w:r w:rsidRPr="001913C6">
        <w:rPr>
          <w:rFonts w:eastAsia="Arial Unicode MS"/>
        </w:rPr>
        <w:t>are cannabidiol (CBD) products.</w:t>
      </w:r>
    </w:p>
    <w:p w14:paraId="7656EBED" w14:textId="77777777" w:rsidR="001913C6" w:rsidRPr="001913C6" w:rsidRDefault="001913C6" w:rsidP="00D543A1">
      <w:pPr>
        <w:pStyle w:val="Heading4"/>
      </w:pPr>
      <w:r w:rsidRPr="001913C6">
        <w:t>Access and Choice: Investing in kaupapa Māori, Pacific, youth and Rainbow services</w:t>
      </w:r>
    </w:p>
    <w:p w14:paraId="7FA5E6AB" w14:textId="77777777" w:rsidR="001913C6" w:rsidRPr="001913C6" w:rsidRDefault="001913C6" w:rsidP="00D543A1">
      <w:pPr>
        <w:pStyle w:val="Heading5"/>
      </w:pPr>
      <w:r w:rsidRPr="001913C6">
        <w:t>Expanding primary mental health and addiction services</w:t>
      </w:r>
    </w:p>
    <w:p w14:paraId="2DE6F9DA" w14:textId="09D03C20" w:rsidR="00836420" w:rsidRDefault="001913C6" w:rsidP="00836420">
      <w:pPr>
        <w:rPr>
          <w:rFonts w:eastAsia="Arial Unicode MS"/>
        </w:rPr>
      </w:pPr>
      <w:r w:rsidRPr="001913C6">
        <w:rPr>
          <w:rFonts w:eastAsia="Arial Unicode MS"/>
        </w:rPr>
        <w:t>The Budget 2019 initiative ‘Expanding access to and choice of primary mental</w:t>
      </w:r>
      <w:r w:rsidR="00836420">
        <w:rPr>
          <w:rFonts w:eastAsia="Arial Unicode MS"/>
        </w:rPr>
        <w:t xml:space="preserve"> </w:t>
      </w:r>
      <w:r w:rsidR="00836420" w:rsidRPr="00836420">
        <w:rPr>
          <w:rFonts w:eastAsia="Arial Unicode MS"/>
        </w:rPr>
        <w:t>health and addiction support’ (Access and Choice) has given people access to primary mental health and addiction support services when and where they need it. These services have no eligibility criteria and are open to anyone whose thoughts, feelings or behaviours are affecting their mental wellbeing.</w:t>
      </w:r>
    </w:p>
    <w:p w14:paraId="149F45C9" w14:textId="77777777" w:rsidR="00836420" w:rsidRPr="00836420" w:rsidRDefault="00836420" w:rsidP="00836420">
      <w:pPr>
        <w:rPr>
          <w:rFonts w:eastAsia="Arial Unicode MS"/>
        </w:rPr>
      </w:pPr>
    </w:p>
    <w:p w14:paraId="110BEBF3" w14:textId="77777777" w:rsidR="00836420" w:rsidRPr="00836420" w:rsidRDefault="00836420" w:rsidP="00836420">
      <w:pPr>
        <w:rPr>
          <w:rFonts w:eastAsia="Arial Unicode MS"/>
        </w:rPr>
      </w:pPr>
      <w:r w:rsidRPr="00836420">
        <w:rPr>
          <w:rFonts w:eastAsia="Arial Unicode MS"/>
        </w:rPr>
        <w:t>We continued to roll out services across the motu in general practices as well as kaupapa Māori, Pacific and youth-specific settings.</w:t>
      </w:r>
    </w:p>
    <w:p w14:paraId="11679542" w14:textId="77777777" w:rsidR="00836420" w:rsidRPr="00836420" w:rsidRDefault="00836420" w:rsidP="00836420">
      <w:pPr>
        <w:pStyle w:val="Heading5"/>
      </w:pPr>
      <w:r w:rsidRPr="00836420">
        <w:t>Integrated primary mental health and addiction services</w:t>
      </w:r>
    </w:p>
    <w:p w14:paraId="4DD5BF7F" w14:textId="77777777" w:rsidR="00836420" w:rsidRPr="00836420" w:rsidRDefault="00836420" w:rsidP="00836420">
      <w:pPr>
        <w:rPr>
          <w:rFonts w:eastAsia="Arial Unicode MS"/>
        </w:rPr>
      </w:pPr>
      <w:r w:rsidRPr="00836420">
        <w:rPr>
          <w:rFonts w:eastAsia="Arial Unicode MS"/>
        </w:rPr>
        <w:t>As of 31 May 2022, 356 general practice sites across Aotearoa were offering mental health and addiction services as an integrated part of general practice teams. These services have delivered more than 350,000 sessions to date, including over 24,000 sessions in May 2022 alone.</w:t>
      </w:r>
    </w:p>
    <w:p w14:paraId="1C203FA9" w14:textId="77777777" w:rsidR="00836420" w:rsidRPr="00836420" w:rsidRDefault="00836420" w:rsidP="00836420">
      <w:pPr>
        <w:pStyle w:val="Heading5"/>
      </w:pPr>
      <w:r w:rsidRPr="00836420">
        <w:t>Kaupapa Māori, Pacific and youth services</w:t>
      </w:r>
    </w:p>
    <w:p w14:paraId="1C36E5AD" w14:textId="77777777" w:rsidR="00836420" w:rsidRPr="00836420" w:rsidRDefault="00836420" w:rsidP="00836420">
      <w:pPr>
        <w:rPr>
          <w:rFonts w:eastAsia="Arial Unicode MS"/>
        </w:rPr>
      </w:pPr>
      <w:r w:rsidRPr="00836420">
        <w:rPr>
          <w:rFonts w:eastAsia="Arial Unicode MS"/>
        </w:rPr>
        <w:t>We introduced a range of new primary mental health and addiction services for people throughout Aotearoa.</w:t>
      </w:r>
    </w:p>
    <w:p w14:paraId="1637580E" w14:textId="77777777" w:rsidR="00836420" w:rsidRDefault="00836420" w:rsidP="00836420">
      <w:pPr>
        <w:rPr>
          <w:rFonts w:eastAsia="Arial Unicode MS"/>
        </w:rPr>
      </w:pPr>
    </w:p>
    <w:p w14:paraId="0115E8EE" w14:textId="3D44DF4D" w:rsidR="00836420" w:rsidRPr="00836420" w:rsidRDefault="00836420" w:rsidP="00836420">
      <w:pPr>
        <w:rPr>
          <w:rFonts w:eastAsia="Arial Unicode MS"/>
        </w:rPr>
      </w:pPr>
      <w:r w:rsidRPr="00836420">
        <w:rPr>
          <w:rFonts w:eastAsia="Arial Unicode MS"/>
        </w:rPr>
        <w:t>As of 31 May 2022, Aotearoa had:</w:t>
      </w:r>
    </w:p>
    <w:p w14:paraId="4095A616" w14:textId="173C59BA" w:rsidR="00836420" w:rsidRPr="00836420" w:rsidRDefault="00836420" w:rsidP="00836420">
      <w:pPr>
        <w:pStyle w:val="Bullet"/>
        <w:rPr>
          <w:rFonts w:eastAsia="Arial Unicode MS"/>
        </w:rPr>
      </w:pPr>
      <w:r w:rsidRPr="00836420">
        <w:rPr>
          <w:rFonts w:eastAsia="Arial Unicode MS"/>
        </w:rPr>
        <w:t>27 kaupapa Māori services that are ‘by Māori for Māori’ – which we chose using an innovative, award-winning procurement process</w:t>
      </w:r>
    </w:p>
    <w:p w14:paraId="4811799A" w14:textId="362732D2" w:rsidR="00836420" w:rsidRPr="00836420" w:rsidRDefault="00836420" w:rsidP="00836420">
      <w:pPr>
        <w:pStyle w:val="Bullet"/>
        <w:rPr>
          <w:rFonts w:eastAsia="Arial Unicode MS"/>
        </w:rPr>
      </w:pPr>
      <w:r w:rsidRPr="00836420">
        <w:rPr>
          <w:rFonts w:eastAsia="Arial Unicode MS"/>
        </w:rPr>
        <w:t>9 Pacific-specific services in areas with high Pacific populations</w:t>
      </w:r>
    </w:p>
    <w:p w14:paraId="6172E58E" w14:textId="4DDD3F98" w:rsidR="00836420" w:rsidRPr="00836420" w:rsidRDefault="00836420" w:rsidP="00836420">
      <w:pPr>
        <w:pStyle w:val="Bullet"/>
        <w:rPr>
          <w:rFonts w:eastAsia="Arial Unicode MS"/>
        </w:rPr>
      </w:pPr>
      <w:r w:rsidRPr="00836420">
        <w:rPr>
          <w:rFonts w:eastAsia="Arial Unicode MS"/>
        </w:rPr>
        <w:t>21 youth-specific services in youth friendly places such as schools and youth one-stop-shops.</w:t>
      </w:r>
    </w:p>
    <w:p w14:paraId="3C8A6056" w14:textId="77777777" w:rsidR="00836420" w:rsidRDefault="00836420" w:rsidP="00836420">
      <w:pPr>
        <w:rPr>
          <w:rFonts w:eastAsia="Arial Unicode MS"/>
        </w:rPr>
      </w:pPr>
    </w:p>
    <w:p w14:paraId="0FDD65E9" w14:textId="3BDD86D5" w:rsidR="00836420" w:rsidRPr="00836420" w:rsidRDefault="00836420" w:rsidP="00836420">
      <w:pPr>
        <w:rPr>
          <w:rFonts w:eastAsia="Arial Unicode MS"/>
        </w:rPr>
      </w:pPr>
      <w:r w:rsidRPr="00836420">
        <w:rPr>
          <w:rFonts w:eastAsia="Arial Unicode MS"/>
        </w:rPr>
        <w:t>Together, these 3 streams have delivered more than 82,500 sessions to date.</w:t>
      </w:r>
    </w:p>
    <w:p w14:paraId="733D7472" w14:textId="3A76A959" w:rsidR="00836420" w:rsidRPr="00836420" w:rsidRDefault="00836420" w:rsidP="00836420">
      <w:pPr>
        <w:pStyle w:val="Heading4"/>
      </w:pPr>
      <w:r w:rsidRPr="00836420">
        <w:lastRenderedPageBreak/>
        <w:t>National Telehealth Service</w:t>
      </w:r>
      <w:r>
        <w:t xml:space="preserve"> </w:t>
      </w:r>
      <w:r w:rsidRPr="00836420">
        <w:t>– Māori Whānau Virtual Support Network</w:t>
      </w:r>
    </w:p>
    <w:p w14:paraId="17A930A1" w14:textId="7E63E66D" w:rsidR="00836420" w:rsidRDefault="00836420" w:rsidP="00836420">
      <w:pPr>
        <w:rPr>
          <w:rFonts w:eastAsia="Arial Unicode MS"/>
        </w:rPr>
      </w:pPr>
      <w:r w:rsidRPr="00836420">
        <w:rPr>
          <w:rFonts w:eastAsia="Arial Unicode MS"/>
        </w:rPr>
        <w:t>Prioritising equity was the driving force in the Healthline COVID-19 response to the needs of Māori, Pacific and disability communities.</w:t>
      </w:r>
    </w:p>
    <w:p w14:paraId="598BE36D" w14:textId="77777777" w:rsidR="00836420" w:rsidRPr="00836420" w:rsidRDefault="00836420" w:rsidP="00836420">
      <w:pPr>
        <w:rPr>
          <w:rFonts w:eastAsia="Arial Unicode MS"/>
        </w:rPr>
      </w:pPr>
    </w:p>
    <w:p w14:paraId="50BB43AA" w14:textId="66A0A1F0" w:rsidR="00836420" w:rsidRDefault="00836420" w:rsidP="00836420">
      <w:pPr>
        <w:rPr>
          <w:rFonts w:eastAsia="Arial Unicode MS"/>
        </w:rPr>
      </w:pPr>
      <w:r w:rsidRPr="00836420">
        <w:rPr>
          <w:rFonts w:eastAsia="Arial Unicode MS"/>
        </w:rPr>
        <w:t>The development of the healthline Māori Whānau Virtual Support Network followed the co-design of a Pacific approach that identified the need for a more targeted, community-led way to engage with Pacific and other vulnerable communities.</w:t>
      </w:r>
    </w:p>
    <w:p w14:paraId="3B71701F" w14:textId="77777777" w:rsidR="00836420" w:rsidRPr="00836420" w:rsidRDefault="00836420" w:rsidP="00836420">
      <w:pPr>
        <w:rPr>
          <w:rFonts w:eastAsia="Arial Unicode MS"/>
        </w:rPr>
      </w:pPr>
    </w:p>
    <w:p w14:paraId="49399D3F" w14:textId="04C0C600" w:rsidR="00836420" w:rsidRDefault="00836420" w:rsidP="00836420">
      <w:pPr>
        <w:rPr>
          <w:rFonts w:eastAsia="Arial Unicode MS"/>
        </w:rPr>
      </w:pPr>
      <w:r w:rsidRPr="00836420">
        <w:rPr>
          <w:rFonts w:eastAsia="Arial Unicode MS"/>
        </w:rPr>
        <w:t>The agencies that ran Māori partner call centres were Te Hau Ora o Ngāpuhi (Kaikohe), Ngāti Whātua (Auckland), Te</w:t>
      </w:r>
      <w:r>
        <w:rPr>
          <w:rFonts w:eastAsia="Arial Unicode MS"/>
        </w:rPr>
        <w:t xml:space="preserve"> </w:t>
      </w:r>
      <w:r w:rsidRPr="00836420">
        <w:rPr>
          <w:rFonts w:eastAsia="Arial Unicode MS"/>
        </w:rPr>
        <w:t>Arawa Lakes (Rotorua) and Te Taiwhenua o Heretaunga (Hawke’s Bay). Māori advisors at the National Telehealth Service provided support.</w:t>
      </w:r>
    </w:p>
    <w:p w14:paraId="72789C4E" w14:textId="77777777" w:rsidR="00836420" w:rsidRPr="00836420" w:rsidRDefault="00836420" w:rsidP="00836420">
      <w:pPr>
        <w:rPr>
          <w:rFonts w:eastAsia="Arial Unicode MS"/>
        </w:rPr>
      </w:pPr>
    </w:p>
    <w:p w14:paraId="4252469D" w14:textId="77777777" w:rsidR="00836420" w:rsidRPr="00836420" w:rsidRDefault="00836420" w:rsidP="00836420">
      <w:pPr>
        <w:rPr>
          <w:rFonts w:eastAsia="Arial Unicode MS"/>
        </w:rPr>
      </w:pPr>
      <w:r w:rsidRPr="00836420">
        <w:rPr>
          <w:rFonts w:eastAsia="Arial Unicode MS"/>
        </w:rPr>
        <w:t>COVID-19 Pacific and disability pathways were also operational. The Pacific pathway provided ongoing support through the Pacific National Telehealth Service advisor network.</w:t>
      </w:r>
    </w:p>
    <w:p w14:paraId="696BCEDF" w14:textId="77777777" w:rsidR="00836420" w:rsidRPr="00836420" w:rsidRDefault="00836420" w:rsidP="00836420">
      <w:pPr>
        <w:pStyle w:val="Heading4"/>
      </w:pPr>
      <w:r w:rsidRPr="00836420">
        <w:t>Child Development Services</w:t>
      </w:r>
    </w:p>
    <w:p w14:paraId="67EC390B" w14:textId="181156E9" w:rsidR="00836420" w:rsidRDefault="00836420" w:rsidP="00836420">
      <w:pPr>
        <w:rPr>
          <w:rFonts w:eastAsia="Arial Unicode MS"/>
        </w:rPr>
      </w:pPr>
      <w:r w:rsidRPr="00836420">
        <w:rPr>
          <w:rFonts w:eastAsia="Arial Unicode MS"/>
        </w:rPr>
        <w:t>Child Development Services (CDS) is an early intervention service, run by allied health professionals for tamariki and pēpē | babies, that is multidisciplinary and community-based.</w:t>
      </w:r>
    </w:p>
    <w:p w14:paraId="6C3FF9A4" w14:textId="77777777" w:rsidR="00836420" w:rsidRPr="00836420" w:rsidRDefault="00836420" w:rsidP="00836420">
      <w:pPr>
        <w:rPr>
          <w:rFonts w:eastAsia="Arial Unicode MS"/>
        </w:rPr>
      </w:pPr>
    </w:p>
    <w:p w14:paraId="5D945392" w14:textId="60F5D442" w:rsidR="00836420" w:rsidRPr="00836420" w:rsidRDefault="00836420" w:rsidP="00836420">
      <w:pPr>
        <w:rPr>
          <w:rFonts w:eastAsia="Arial Unicode MS"/>
        </w:rPr>
      </w:pPr>
      <w:r w:rsidRPr="00836420">
        <w:rPr>
          <w:rFonts w:eastAsia="Arial Unicode MS"/>
        </w:rPr>
        <w:t>During the year, CDS supported tamariki and whānau when tamariki face additional challenges to achieve expected milestones and/or had an impairment.</w:t>
      </w:r>
      <w:r>
        <w:rPr>
          <w:rFonts w:eastAsia="Arial Unicode MS"/>
        </w:rPr>
        <w:t xml:space="preserve"> </w:t>
      </w:r>
      <w:r w:rsidRPr="00836420">
        <w:rPr>
          <w:rFonts w:eastAsia="Arial Unicode MS"/>
        </w:rPr>
        <w:t>The Government allocated an additional</w:t>
      </w:r>
      <w:r>
        <w:rPr>
          <w:rFonts w:eastAsia="Arial Unicode MS"/>
        </w:rPr>
        <w:t xml:space="preserve"> </w:t>
      </w:r>
      <w:r w:rsidRPr="00836420">
        <w:rPr>
          <w:rFonts w:eastAsia="Arial Unicode MS"/>
        </w:rPr>
        <w:t>$35 million over 4 years for the CDS Improvement Programme in Budget 2019. The purpose of this funding was to:</w:t>
      </w:r>
    </w:p>
    <w:p w14:paraId="40166A5B" w14:textId="1B1E7455" w:rsidR="001913C6" w:rsidRDefault="00836420" w:rsidP="00836420">
      <w:pPr>
        <w:pStyle w:val="Bullet"/>
        <w:rPr>
          <w:rFonts w:eastAsia="Arial Unicode MS"/>
        </w:rPr>
      </w:pPr>
      <w:r w:rsidRPr="00836420">
        <w:rPr>
          <w:rFonts w:eastAsia="Arial Unicode MS"/>
        </w:rPr>
        <w:t>improve health and social outcomes for children who are not meeting developmental milestones</w:t>
      </w:r>
    </w:p>
    <w:p w14:paraId="7019E1FD" w14:textId="343F7BC7" w:rsidR="00836420" w:rsidRPr="00836420" w:rsidRDefault="00836420" w:rsidP="00836420">
      <w:pPr>
        <w:pStyle w:val="Bullet"/>
        <w:rPr>
          <w:rFonts w:eastAsia="Arial Unicode MS"/>
        </w:rPr>
      </w:pPr>
      <w:r w:rsidRPr="00836420">
        <w:rPr>
          <w:rFonts w:eastAsia="Arial Unicode MS"/>
        </w:rPr>
        <w:t>modernise the CDS model to improve equity of access and align with Enabling Good Lives principles.</w:t>
      </w:r>
    </w:p>
    <w:p w14:paraId="75A49155" w14:textId="77777777" w:rsidR="00836420" w:rsidRDefault="00836420" w:rsidP="00836420">
      <w:pPr>
        <w:rPr>
          <w:rFonts w:eastAsia="Arial Unicode MS"/>
        </w:rPr>
      </w:pPr>
    </w:p>
    <w:p w14:paraId="2BFFAAA3" w14:textId="027C4D0D" w:rsidR="00836420" w:rsidRPr="00836420" w:rsidRDefault="00836420" w:rsidP="00836420">
      <w:pPr>
        <w:rPr>
          <w:rFonts w:eastAsia="Arial Unicode MS"/>
        </w:rPr>
      </w:pPr>
      <w:r w:rsidRPr="00836420">
        <w:rPr>
          <w:rFonts w:eastAsia="Arial Unicode MS"/>
        </w:rPr>
        <w:t>During 2021/22, the programme met the target of seeing an additional 1,150 children per year and maintained an increased resource of 77 allied health staff across Aotearoa. The programme also developed a draft service model for the future, which it will further test, develop and implement during 2022/23.</w:t>
      </w:r>
    </w:p>
    <w:p w14:paraId="0A41EF48" w14:textId="77777777" w:rsidR="00836420" w:rsidRPr="00836420" w:rsidRDefault="00836420" w:rsidP="00836420">
      <w:pPr>
        <w:pStyle w:val="Heading4"/>
      </w:pPr>
      <w:r w:rsidRPr="00836420">
        <w:t>Launching the National Hepatitis C Action Plan</w:t>
      </w:r>
    </w:p>
    <w:p w14:paraId="1E855C40" w14:textId="77777777" w:rsidR="00836420" w:rsidRPr="00836420" w:rsidRDefault="00836420" w:rsidP="00836420">
      <w:pPr>
        <w:rPr>
          <w:rFonts w:eastAsia="Arial Unicode MS"/>
        </w:rPr>
      </w:pPr>
      <w:r w:rsidRPr="00836420">
        <w:rPr>
          <w:rFonts w:eastAsia="Arial Unicode MS"/>
        </w:rPr>
        <w:t>We developed the National Hepatitis C Action Plan for Aotearoa New Zealand</w:t>
      </w:r>
    </w:p>
    <w:p w14:paraId="7D30B479" w14:textId="7B19B261" w:rsidR="00836420" w:rsidRPr="00836420" w:rsidRDefault="00836420" w:rsidP="00836420">
      <w:pPr>
        <w:rPr>
          <w:rFonts w:eastAsia="Arial Unicode MS"/>
        </w:rPr>
      </w:pPr>
      <w:r w:rsidRPr="00836420">
        <w:rPr>
          <w:rFonts w:eastAsia="Arial Unicode MS"/>
        </w:rPr>
        <w:t>– Māhere Mahi mō te Ate Kakā C 2020– 2030.</w:t>
      </w:r>
      <w:r>
        <w:rPr>
          <w:rStyle w:val="FootnoteReference"/>
          <w:rFonts w:eastAsia="Arial Unicode MS"/>
        </w:rPr>
        <w:footnoteReference w:id="15"/>
      </w:r>
    </w:p>
    <w:p w14:paraId="58AD9A85" w14:textId="77777777" w:rsidR="00836420" w:rsidRDefault="00836420" w:rsidP="00836420">
      <w:pPr>
        <w:rPr>
          <w:rFonts w:eastAsia="Arial Unicode MS"/>
        </w:rPr>
      </w:pPr>
    </w:p>
    <w:p w14:paraId="5088931F" w14:textId="14A6A8FC" w:rsidR="00836420" w:rsidRPr="00836420" w:rsidRDefault="00836420" w:rsidP="00836420">
      <w:pPr>
        <w:rPr>
          <w:rFonts w:eastAsia="Arial Unicode MS"/>
        </w:rPr>
      </w:pPr>
      <w:r w:rsidRPr="00836420">
        <w:rPr>
          <w:rFonts w:eastAsia="Arial Unicode MS"/>
        </w:rPr>
        <w:lastRenderedPageBreak/>
        <w:t>On 28 July 2021, World Hepatitis Day, Associate Health Minister, Hon Dr Ayesha Verrall launched the Action Plan in Hamilton. The plan responded to the World Health Organization’s call to eliminate hepatitis C by 2030.</w:t>
      </w:r>
    </w:p>
    <w:p w14:paraId="2280EE32" w14:textId="77777777" w:rsidR="00836420" w:rsidRPr="00836420" w:rsidRDefault="00836420" w:rsidP="00836420">
      <w:pPr>
        <w:rPr>
          <w:rFonts w:eastAsia="Arial Unicode MS"/>
        </w:rPr>
      </w:pPr>
      <w:r w:rsidRPr="00836420">
        <w:rPr>
          <w:rFonts w:eastAsia="Arial Unicode MS"/>
        </w:rPr>
        <w:t xml:space="preserve"> </w:t>
      </w:r>
    </w:p>
    <w:p w14:paraId="1C1B7CED" w14:textId="77777777" w:rsidR="009163D8" w:rsidRDefault="00836420" w:rsidP="009163D8">
      <w:pPr>
        <w:rPr>
          <w:rFonts w:eastAsia="Arial Unicode MS"/>
        </w:rPr>
      </w:pPr>
      <w:r w:rsidRPr="00836420">
        <w:rPr>
          <w:rFonts w:eastAsia="Arial Unicode MS"/>
        </w:rPr>
        <w:t>An estimated 45,000 New Zealanders are living with hepatitis C infection. The plan aims to improve equitable health outcomes for all New Zealanders living</w:t>
      </w:r>
      <w:r>
        <w:rPr>
          <w:rFonts w:eastAsia="Arial Unicode MS"/>
        </w:rPr>
        <w:t xml:space="preserve"> </w:t>
      </w:r>
      <w:r w:rsidRPr="00836420">
        <w:rPr>
          <w:rFonts w:eastAsia="Arial Unicode MS"/>
        </w:rPr>
        <w:t>with hepatitis C and to advance the health aspirations of Māori, consistent with Te Tiriti o Waitangi obligations.</w:t>
      </w:r>
    </w:p>
    <w:p w14:paraId="65C99E17" w14:textId="3093406E" w:rsidR="008A7C67" w:rsidRPr="00216075" w:rsidRDefault="008A7C67" w:rsidP="009163D8">
      <w:pPr>
        <w:pStyle w:val="Heading3"/>
        <w:ind w:left="709" w:hanging="709"/>
      </w:pPr>
      <w:bookmarkStart w:id="25" w:name="_Toc117264933"/>
      <w:r w:rsidRPr="00216075">
        <w:t xml:space="preserve">2. </w:t>
      </w:r>
      <w:r w:rsidR="00216075">
        <w:tab/>
      </w:r>
      <w:r w:rsidRPr="00216075">
        <w:t>Making New Zealand’s health and disability systems and services safe and sustainable</w:t>
      </w:r>
      <w:bookmarkEnd w:id="25"/>
    </w:p>
    <w:p w14:paraId="59BAEF46" w14:textId="1BC0779E" w:rsidR="008A7C67" w:rsidRDefault="008A7C67" w:rsidP="008A7C67">
      <w:pPr>
        <w:rPr>
          <w:rFonts w:eastAsia="Arial Unicode MS"/>
        </w:rPr>
      </w:pPr>
      <w:r w:rsidRPr="008A7C67">
        <w:rPr>
          <w:rFonts w:eastAsia="Arial Unicode MS"/>
        </w:rPr>
        <w:t>We preserve trust in the system by assuring the quality, safety and coverage of health and disability services.</w:t>
      </w:r>
    </w:p>
    <w:p w14:paraId="41B9AADC" w14:textId="77777777" w:rsidR="008A7C67" w:rsidRPr="008A7C67" w:rsidRDefault="008A7C67" w:rsidP="008A7C67">
      <w:pPr>
        <w:rPr>
          <w:rFonts w:eastAsia="Arial Unicode MS"/>
        </w:rPr>
      </w:pPr>
    </w:p>
    <w:p w14:paraId="737A45FD" w14:textId="77777777" w:rsidR="008A7C67" w:rsidRPr="008A7C67" w:rsidRDefault="008A7C67" w:rsidP="008A7C67">
      <w:pPr>
        <w:rPr>
          <w:rFonts w:eastAsia="Arial Unicode MS"/>
        </w:rPr>
      </w:pPr>
      <w:r w:rsidRPr="008A7C67">
        <w:rPr>
          <w:rFonts w:eastAsia="Arial Unicode MS"/>
        </w:rPr>
        <w:t>To meet current and future needs of the health and disability system, we prioritise health and disability services, clinical and financial sustainability, quality and safety. We are also adopting a long-term view that futureproofs our infrastructure, assets and facilities.</w:t>
      </w:r>
    </w:p>
    <w:p w14:paraId="34DBFAE4" w14:textId="77777777" w:rsidR="008A7C67" w:rsidRPr="008A7C67" w:rsidRDefault="008A7C67" w:rsidP="008A7C67">
      <w:pPr>
        <w:pStyle w:val="Heading4"/>
      </w:pPr>
      <w:r w:rsidRPr="008A7C67">
        <w:t>Ngā Paerewa Health and Disability Services Standard</w:t>
      </w:r>
    </w:p>
    <w:p w14:paraId="7634B998" w14:textId="0ADC982F" w:rsidR="008A7C67" w:rsidRDefault="008A7C67" w:rsidP="008A7C67">
      <w:pPr>
        <w:rPr>
          <w:rFonts w:eastAsia="Arial Unicode MS"/>
        </w:rPr>
      </w:pPr>
      <w:r w:rsidRPr="008A7C67">
        <w:rPr>
          <w:rFonts w:eastAsia="Arial Unicode MS"/>
        </w:rPr>
        <w:t>On 28 February 2022, Ngā Paerewa Health and Disability Services Standard came into effect. Health services certified under the Health and Disability Services (Safety) Act 2001 must comply with Ngā Paerewa.</w:t>
      </w:r>
    </w:p>
    <w:p w14:paraId="4BC709E2" w14:textId="77777777" w:rsidR="008A7C67" w:rsidRPr="008A7C67" w:rsidRDefault="008A7C67" w:rsidP="008A7C67">
      <w:pPr>
        <w:rPr>
          <w:rFonts w:eastAsia="Arial Unicode MS"/>
        </w:rPr>
      </w:pPr>
    </w:p>
    <w:p w14:paraId="5FC0E1F8" w14:textId="77777777" w:rsidR="008A7C67" w:rsidRPr="008A7C67" w:rsidRDefault="008A7C67" w:rsidP="008A7C67">
      <w:pPr>
        <w:rPr>
          <w:rFonts w:eastAsia="Arial Unicode MS"/>
        </w:rPr>
      </w:pPr>
      <w:r w:rsidRPr="008A7C67">
        <w:rPr>
          <w:rFonts w:eastAsia="Arial Unicode MS"/>
        </w:rPr>
        <w:t>Ngā Paerewa replaced the Health and Disability Services Standards NZS</w:t>
      </w:r>
    </w:p>
    <w:p w14:paraId="05A9DAB6" w14:textId="2DD2EF88" w:rsidR="008A7C67" w:rsidRDefault="008A7C67" w:rsidP="008A7C67">
      <w:pPr>
        <w:rPr>
          <w:rFonts w:eastAsia="Arial Unicode MS"/>
        </w:rPr>
      </w:pPr>
      <w:r w:rsidRPr="008A7C67">
        <w:rPr>
          <w:rFonts w:eastAsia="Arial Unicode MS"/>
        </w:rPr>
        <w:t>8134:2008, the Fertility Services Standard NZS 8181:2007, the Home and Community Support Sector Standard NZS 8158:2012, and the Interim Standards for Abortion Services in New Zealand.</w:t>
      </w:r>
    </w:p>
    <w:p w14:paraId="103BF260" w14:textId="77777777" w:rsidR="008A7C67" w:rsidRPr="008A7C67" w:rsidRDefault="008A7C67" w:rsidP="008A7C67">
      <w:pPr>
        <w:rPr>
          <w:rFonts w:eastAsia="Arial Unicode MS"/>
        </w:rPr>
      </w:pPr>
    </w:p>
    <w:p w14:paraId="60383602" w14:textId="77777777" w:rsidR="008A7C67" w:rsidRPr="008A7C67" w:rsidRDefault="008A7C67" w:rsidP="008A7C67">
      <w:pPr>
        <w:rPr>
          <w:rFonts w:eastAsia="Arial Unicode MS"/>
        </w:rPr>
      </w:pPr>
      <w:r w:rsidRPr="008A7C67">
        <w:rPr>
          <w:rFonts w:eastAsia="Arial Unicode MS"/>
        </w:rPr>
        <w:t>Ngā Paerewa has a strong focus on Te Tiriti o Waitangi and service providers’ additional responsibilities to be responsive to the needs of Māori. Ngā Paerewa</w:t>
      </w:r>
    </w:p>
    <w:p w14:paraId="677CC5EA" w14:textId="77777777" w:rsidR="008A7C67" w:rsidRPr="008A7C67" w:rsidRDefault="008A7C67" w:rsidP="008A7C67">
      <w:pPr>
        <w:rPr>
          <w:rFonts w:eastAsia="Arial Unicode MS"/>
        </w:rPr>
      </w:pPr>
      <w:r w:rsidRPr="008A7C67">
        <w:rPr>
          <w:rFonts w:eastAsia="Arial Unicode MS"/>
        </w:rPr>
        <w:t>is outcome-focused, which gives service providers flexibility in how they demonstrate they are achieving the requirements within the context of their service.</w:t>
      </w:r>
    </w:p>
    <w:p w14:paraId="38C17E05" w14:textId="77777777" w:rsidR="008A7C67" w:rsidRPr="008A7C67" w:rsidRDefault="008A7C67" w:rsidP="008A7C67">
      <w:pPr>
        <w:pStyle w:val="Heading4"/>
      </w:pPr>
      <w:r w:rsidRPr="008A7C67">
        <w:t>Redesigning the Well Child / Tamariki Ora Programme</w:t>
      </w:r>
    </w:p>
    <w:p w14:paraId="38BE53DE" w14:textId="77777777" w:rsidR="008A7C67" w:rsidRDefault="008A7C67" w:rsidP="008A7C67">
      <w:pPr>
        <w:rPr>
          <w:rFonts w:eastAsia="Arial Unicode MS"/>
        </w:rPr>
      </w:pPr>
      <w:r w:rsidRPr="008A7C67">
        <w:rPr>
          <w:rFonts w:eastAsia="Arial Unicode MS"/>
        </w:rPr>
        <w:t>We completed phase one of the Well Child</w:t>
      </w:r>
      <w:r>
        <w:rPr>
          <w:rFonts w:eastAsia="Arial Unicode MS"/>
        </w:rPr>
        <w:t xml:space="preserve"> </w:t>
      </w:r>
      <w:r w:rsidRPr="008A7C67">
        <w:rPr>
          <w:rFonts w:eastAsia="Arial Unicode MS"/>
        </w:rPr>
        <w:t xml:space="preserve">/ Tamariki Ora redesign in 2021/22. </w:t>
      </w:r>
    </w:p>
    <w:p w14:paraId="4DDA42CF" w14:textId="77777777" w:rsidR="008A7C67" w:rsidRDefault="008A7C67" w:rsidP="008A7C67">
      <w:pPr>
        <w:rPr>
          <w:rFonts w:eastAsia="Arial Unicode MS"/>
        </w:rPr>
      </w:pPr>
    </w:p>
    <w:p w14:paraId="4EFCDF4D" w14:textId="2480EFCA" w:rsidR="008A7C67" w:rsidRDefault="008A7C67" w:rsidP="008A7C67">
      <w:pPr>
        <w:rPr>
          <w:rFonts w:eastAsia="Arial Unicode MS"/>
        </w:rPr>
      </w:pPr>
      <w:r w:rsidRPr="008A7C67">
        <w:rPr>
          <w:rFonts w:eastAsia="Arial Unicode MS"/>
        </w:rPr>
        <w:t>Phase one strengthened current service</w:t>
      </w:r>
      <w:r>
        <w:rPr>
          <w:rFonts w:eastAsia="Arial Unicode MS"/>
        </w:rPr>
        <w:t xml:space="preserve"> </w:t>
      </w:r>
      <w:r w:rsidRPr="008A7C67">
        <w:rPr>
          <w:rFonts w:eastAsia="Arial Unicode MS"/>
        </w:rPr>
        <w:t>delivery while building the foundations for implementing the recommendations of the Well Child / Tamariki Ora review.</w:t>
      </w:r>
    </w:p>
    <w:p w14:paraId="017BEF87" w14:textId="77777777" w:rsidR="008A7C67" w:rsidRPr="008A7C67" w:rsidRDefault="008A7C67" w:rsidP="008A7C67">
      <w:pPr>
        <w:rPr>
          <w:rFonts w:eastAsia="Arial Unicode MS"/>
        </w:rPr>
      </w:pPr>
    </w:p>
    <w:p w14:paraId="2707D553" w14:textId="5599EC90" w:rsidR="008A7C67" w:rsidRPr="008A7C67" w:rsidRDefault="008A7C67" w:rsidP="008A7C67">
      <w:pPr>
        <w:rPr>
          <w:rFonts w:eastAsia="Arial Unicode MS"/>
        </w:rPr>
      </w:pPr>
      <w:r w:rsidRPr="008A7C67">
        <w:rPr>
          <w:rFonts w:eastAsia="Arial Unicode MS"/>
        </w:rPr>
        <w:t>The next step is to review and analyse the findings of phase one with the aim of evolving it into phase two of the redesign.</w:t>
      </w:r>
      <w:r>
        <w:rPr>
          <w:rFonts w:eastAsia="Arial Unicode MS"/>
        </w:rPr>
        <w:t xml:space="preserve"> </w:t>
      </w:r>
      <w:r w:rsidRPr="008A7C67">
        <w:rPr>
          <w:rFonts w:eastAsia="Arial Unicode MS"/>
        </w:rPr>
        <w:t>We also need to understand how this work integrates with the direction of the New Zealand Health Plan in the maternity and early years programme, Kahu Taurima.</w:t>
      </w:r>
    </w:p>
    <w:p w14:paraId="728F92B6" w14:textId="77777777" w:rsidR="008A7C67" w:rsidRPr="008A7C67" w:rsidRDefault="008A7C67" w:rsidP="008A7C67">
      <w:pPr>
        <w:pStyle w:val="Heading4"/>
      </w:pPr>
      <w:r w:rsidRPr="008A7C67">
        <w:lastRenderedPageBreak/>
        <w:t>Developing a long-term pathway for mental health and addiction</w:t>
      </w:r>
    </w:p>
    <w:p w14:paraId="08FC4DDA" w14:textId="0D1542EB" w:rsidR="008A7C67" w:rsidRDefault="008A7C67" w:rsidP="008A7C67">
      <w:pPr>
        <w:rPr>
          <w:rFonts w:eastAsia="Arial Unicode MS"/>
        </w:rPr>
      </w:pPr>
      <w:r w:rsidRPr="008A7C67">
        <w:rPr>
          <w:rFonts w:eastAsia="Arial Unicode MS"/>
        </w:rPr>
        <w:t>In September 2021, we published Kia Manawanui Aotearoa: Long-term pathway to mental wellbeing. This set out the Government’s 10-year strategy and action plan for improving mental wellbeing for all, while addressing inequities for specific population groups.</w:t>
      </w:r>
    </w:p>
    <w:p w14:paraId="03B4F110" w14:textId="77777777" w:rsidR="008A7C67" w:rsidRPr="008A7C67" w:rsidRDefault="008A7C67" w:rsidP="008A7C67">
      <w:pPr>
        <w:rPr>
          <w:rFonts w:eastAsia="Arial Unicode MS"/>
        </w:rPr>
      </w:pPr>
    </w:p>
    <w:p w14:paraId="52434FE1" w14:textId="4F90B56C" w:rsidR="008A7C67" w:rsidRDefault="008A7C67" w:rsidP="008A7C67">
      <w:pPr>
        <w:rPr>
          <w:rFonts w:eastAsia="Arial Unicode MS"/>
        </w:rPr>
      </w:pPr>
      <w:r w:rsidRPr="008A7C67">
        <w:rPr>
          <w:rFonts w:eastAsia="Arial Unicode MS"/>
        </w:rPr>
        <w:t xml:space="preserve">The approach built on the important findings of the 2018 report </w:t>
      </w:r>
      <w:r w:rsidRPr="008F524E">
        <w:rPr>
          <w:rFonts w:eastAsia="Arial Unicode MS"/>
          <w:i/>
          <w:iCs/>
        </w:rPr>
        <w:t>He Ara Oranga: Report of the Government Inquiry into Mental Health and Addiction</w:t>
      </w:r>
      <w:r w:rsidRPr="008A7C67">
        <w:rPr>
          <w:rFonts w:eastAsia="Arial Unicode MS"/>
        </w:rPr>
        <w:t xml:space="preserve"> – and the Government’s response to that report. This response included substantial investment in mental health and wellbeing through Budget 2019.</w:t>
      </w:r>
    </w:p>
    <w:p w14:paraId="7D8CDC6D" w14:textId="77777777" w:rsidR="008A7C67" w:rsidRPr="008A7C67" w:rsidRDefault="008A7C67" w:rsidP="008A7C67">
      <w:pPr>
        <w:rPr>
          <w:rFonts w:eastAsia="Arial Unicode MS"/>
        </w:rPr>
      </w:pPr>
    </w:p>
    <w:p w14:paraId="7B5C409A" w14:textId="77777777" w:rsidR="008A7C67" w:rsidRPr="008A7C67" w:rsidRDefault="008A7C67" w:rsidP="008A7C67">
      <w:pPr>
        <w:rPr>
          <w:rFonts w:eastAsia="Arial Unicode MS"/>
        </w:rPr>
      </w:pPr>
      <w:r w:rsidRPr="008A7C67">
        <w:rPr>
          <w:rFonts w:eastAsia="Arial Unicode MS"/>
        </w:rPr>
        <w:t>To achieve Kia Manawanui’s vision of ‘Pae ora: An equitable and thriving Aotearoa in which mental wellbeing is promoted and protected’, we need collective efforts to address 5 focus areas:</w:t>
      </w:r>
    </w:p>
    <w:p w14:paraId="1D275A4B" w14:textId="1F36C770" w:rsidR="008A7C67" w:rsidRPr="008A7C67" w:rsidRDefault="008A7C67" w:rsidP="008A439D">
      <w:pPr>
        <w:pStyle w:val="Number"/>
        <w:numPr>
          <w:ilvl w:val="0"/>
          <w:numId w:val="8"/>
        </w:numPr>
        <w:rPr>
          <w:rFonts w:eastAsia="Arial Unicode MS"/>
        </w:rPr>
      </w:pPr>
      <w:r w:rsidRPr="008A7C67">
        <w:rPr>
          <w:rFonts w:eastAsia="Arial Unicode MS"/>
        </w:rPr>
        <w:t>building the social, cultural, environmental and economic foundations for mental wellbeing</w:t>
      </w:r>
    </w:p>
    <w:p w14:paraId="30129703" w14:textId="2ED97256" w:rsidR="008A7C67" w:rsidRPr="008A7C67" w:rsidRDefault="008A7C67" w:rsidP="008A439D">
      <w:pPr>
        <w:pStyle w:val="Number"/>
        <w:numPr>
          <w:ilvl w:val="0"/>
          <w:numId w:val="8"/>
        </w:numPr>
        <w:rPr>
          <w:rFonts w:eastAsia="Arial Unicode MS"/>
        </w:rPr>
      </w:pPr>
      <w:r w:rsidRPr="008A7C67">
        <w:rPr>
          <w:rFonts w:eastAsia="Arial Unicode MS"/>
        </w:rPr>
        <w:t>equipping communities, whānau and individuals to look after their own mental wellbeing</w:t>
      </w:r>
    </w:p>
    <w:p w14:paraId="78E20552" w14:textId="1F9C31BD" w:rsidR="008A7C67" w:rsidRPr="008A7C67" w:rsidRDefault="008A7C67" w:rsidP="008A439D">
      <w:pPr>
        <w:pStyle w:val="Number"/>
        <w:numPr>
          <w:ilvl w:val="0"/>
          <w:numId w:val="8"/>
        </w:numPr>
        <w:rPr>
          <w:rFonts w:eastAsia="Arial Unicode MS"/>
        </w:rPr>
      </w:pPr>
      <w:r w:rsidRPr="008A7C67">
        <w:rPr>
          <w:rFonts w:eastAsia="Arial Unicode MS"/>
        </w:rPr>
        <w:t>fostering community-led solutions</w:t>
      </w:r>
    </w:p>
    <w:p w14:paraId="25DB5380" w14:textId="5E331B30" w:rsidR="008A7C67" w:rsidRPr="008A7C67" w:rsidRDefault="008A7C67" w:rsidP="008A439D">
      <w:pPr>
        <w:pStyle w:val="Number"/>
        <w:numPr>
          <w:ilvl w:val="0"/>
          <w:numId w:val="8"/>
        </w:numPr>
        <w:rPr>
          <w:rFonts w:eastAsia="Arial Unicode MS"/>
        </w:rPr>
      </w:pPr>
      <w:r w:rsidRPr="008A7C67">
        <w:rPr>
          <w:rFonts w:eastAsia="Arial Unicode MS"/>
        </w:rPr>
        <w:t>expanding primary mental wellbeing support in communities</w:t>
      </w:r>
    </w:p>
    <w:p w14:paraId="441DF150" w14:textId="4A7A5D86" w:rsidR="008A7C67" w:rsidRDefault="008A7C67" w:rsidP="008A439D">
      <w:pPr>
        <w:pStyle w:val="Number"/>
        <w:numPr>
          <w:ilvl w:val="0"/>
          <w:numId w:val="8"/>
        </w:numPr>
        <w:rPr>
          <w:rFonts w:eastAsia="Arial Unicode MS"/>
        </w:rPr>
      </w:pPr>
      <w:r w:rsidRPr="008A7C67">
        <w:rPr>
          <w:rFonts w:eastAsia="Arial Unicode MS"/>
        </w:rPr>
        <w:t>strengthening specialist services.</w:t>
      </w:r>
    </w:p>
    <w:p w14:paraId="2C885299" w14:textId="04D588CF" w:rsidR="009163D8" w:rsidRDefault="009163D8" w:rsidP="009163D8"/>
    <w:tbl>
      <w:tblPr>
        <w:tblStyle w:val="TableGrid"/>
        <w:tblW w:w="0" w:type="auto"/>
        <w:tblLook w:val="04A0" w:firstRow="1" w:lastRow="0" w:firstColumn="1" w:lastColumn="0" w:noHBand="0" w:noVBand="1"/>
      </w:tblPr>
      <w:tblGrid>
        <w:gridCol w:w="8069"/>
      </w:tblGrid>
      <w:tr w:rsidR="009163D8" w14:paraId="5BE4DE69" w14:textId="77777777" w:rsidTr="009163D8">
        <w:tc>
          <w:tcPr>
            <w:tcW w:w="8069" w:type="dxa"/>
            <w:tcBorders>
              <w:top w:val="nil"/>
              <w:left w:val="nil"/>
              <w:bottom w:val="nil"/>
              <w:right w:val="nil"/>
            </w:tcBorders>
            <w:shd w:val="clear" w:color="auto" w:fill="D9D9D9" w:themeFill="background1" w:themeFillShade="D9"/>
          </w:tcPr>
          <w:p w14:paraId="64055D6B" w14:textId="77777777" w:rsidR="009163D8" w:rsidRPr="00CB5F9D" w:rsidRDefault="009163D8" w:rsidP="009163D8">
            <w:pPr>
              <w:pStyle w:val="Heading7"/>
              <w:keepNext w:val="0"/>
              <w:keepLines w:val="0"/>
              <w:spacing w:before="240"/>
              <w:outlineLvl w:val="6"/>
              <w:rPr>
                <w:rFonts w:ascii="Segoe UI" w:hAnsi="Segoe UI" w:cs="Segoe UI"/>
                <w:b/>
                <w:bCs/>
                <w:i w:val="0"/>
                <w:iCs w:val="0"/>
                <w:color w:val="auto"/>
                <w:sz w:val="24"/>
                <w:szCs w:val="32"/>
              </w:rPr>
            </w:pPr>
            <w:r w:rsidRPr="00CB5F9D">
              <w:rPr>
                <w:rFonts w:ascii="Segoe UI" w:hAnsi="Segoe UI" w:cs="Segoe UI"/>
                <w:b/>
                <w:bCs/>
                <w:i w:val="0"/>
                <w:iCs w:val="0"/>
                <w:color w:val="auto"/>
                <w:sz w:val="24"/>
                <w:szCs w:val="32"/>
              </w:rPr>
              <w:t>Case study: Strengthening the mental health and addiction workforce</w:t>
            </w:r>
          </w:p>
          <w:p w14:paraId="3CDDCD0E" w14:textId="77777777" w:rsidR="009163D8" w:rsidRDefault="009163D8" w:rsidP="009163D8">
            <w:pPr>
              <w:rPr>
                <w:rFonts w:eastAsia="Arial Unicode MS"/>
              </w:rPr>
            </w:pPr>
            <w:r w:rsidRPr="00CB5F9D">
              <w:rPr>
                <w:rFonts w:eastAsia="Arial Unicode MS"/>
              </w:rPr>
              <w:t>As part of the Ministry work to transform the mental health and addiction system, a significant work programme got underway to support the development of a strong, diverse, and sustainable workforce. The mahi in this area focused on both growing and upskilling the existing workforce, as well as developing new workforces.</w:t>
            </w:r>
          </w:p>
          <w:p w14:paraId="24105D3E" w14:textId="77777777" w:rsidR="009163D8" w:rsidRPr="00CB5F9D" w:rsidRDefault="009163D8" w:rsidP="009163D8">
            <w:pPr>
              <w:rPr>
                <w:rFonts w:eastAsia="Arial Unicode MS"/>
              </w:rPr>
            </w:pPr>
          </w:p>
          <w:p w14:paraId="22D5CE1F" w14:textId="77777777" w:rsidR="009163D8" w:rsidRDefault="009163D8" w:rsidP="009163D8">
            <w:pPr>
              <w:rPr>
                <w:rFonts w:eastAsia="Arial Unicode MS"/>
              </w:rPr>
            </w:pPr>
            <w:r w:rsidRPr="00CB5F9D">
              <w:rPr>
                <w:rFonts w:eastAsia="Arial Unicode MS"/>
              </w:rPr>
              <w:t>This work included expanding education and training programmes across a number of professions and competencies, increasing support for Māori and Pacific students, and supporting a broad range of workforces to contribute to mental wellbeing.</w:t>
            </w:r>
          </w:p>
          <w:p w14:paraId="7F513062" w14:textId="77777777" w:rsidR="009163D8" w:rsidRPr="00CB5F9D" w:rsidRDefault="009163D8" w:rsidP="009163D8">
            <w:pPr>
              <w:rPr>
                <w:rFonts w:eastAsia="Arial Unicode MS"/>
              </w:rPr>
            </w:pPr>
          </w:p>
          <w:p w14:paraId="68BA177C" w14:textId="77777777" w:rsidR="009163D8" w:rsidRDefault="009163D8" w:rsidP="009163D8">
            <w:pPr>
              <w:rPr>
                <w:rFonts w:eastAsia="Arial Unicode MS"/>
              </w:rPr>
            </w:pPr>
            <w:r w:rsidRPr="00CB5F9D">
              <w:rPr>
                <w:rFonts w:eastAsia="Arial Unicode MS"/>
              </w:rPr>
              <w:t>As part of diversifying the workforce mix, we established a new opt-in accreditation pathway so that New Zealand Association of Counsellors members who meet specific requirements can be employed as clinical staff in Ministry-funded mental health and addiction services. Counsellors are a self-regulated workforce, which previously precluded this.</w:t>
            </w:r>
          </w:p>
          <w:p w14:paraId="4623E1DD" w14:textId="77777777" w:rsidR="009163D8" w:rsidRPr="00CB5F9D" w:rsidRDefault="009163D8" w:rsidP="009163D8">
            <w:pPr>
              <w:rPr>
                <w:rFonts w:eastAsia="Arial Unicode MS"/>
              </w:rPr>
            </w:pPr>
          </w:p>
          <w:p w14:paraId="699CB1C0" w14:textId="77777777" w:rsidR="009163D8" w:rsidRDefault="009163D8" w:rsidP="009163D8">
            <w:r w:rsidRPr="00CB5F9D">
              <w:rPr>
                <w:rFonts w:eastAsia="Arial Unicode MS"/>
              </w:rPr>
              <w:t>The new accreditation pathway provides an important boost to the mental health and addiction workforce, while also ensuring those supporting people with mental health and addiction needs are qualified, practice safely and have appropriate oversight.</w:t>
            </w:r>
          </w:p>
          <w:p w14:paraId="3B5C041E" w14:textId="77777777" w:rsidR="009163D8" w:rsidRPr="00CB5F9D" w:rsidRDefault="009163D8" w:rsidP="009163D8">
            <w:pPr>
              <w:rPr>
                <w:rFonts w:eastAsia="Arial Unicode MS"/>
              </w:rPr>
            </w:pPr>
          </w:p>
          <w:p w14:paraId="5416C5EB" w14:textId="77777777" w:rsidR="009163D8" w:rsidRDefault="009163D8" w:rsidP="009163D8">
            <w:pPr>
              <w:rPr>
                <w:rFonts w:eastAsia="Arial Unicode MS"/>
              </w:rPr>
            </w:pPr>
            <w:r w:rsidRPr="00CB5F9D">
              <w:rPr>
                <w:rFonts w:eastAsia="Arial Unicode MS"/>
              </w:rPr>
              <w:lastRenderedPageBreak/>
              <w:t>We also focused on encouraging more people to work in the mental health and addiction sector. The mental health and addiction nursing recruitment campaign launched in March 2022 is an example of one of these recruitment initiatives.</w:t>
            </w:r>
          </w:p>
          <w:p w14:paraId="08B3AC1B" w14:textId="77777777" w:rsidR="009163D8" w:rsidRPr="00CB5F9D" w:rsidRDefault="009163D8" w:rsidP="009163D8">
            <w:pPr>
              <w:rPr>
                <w:rFonts w:eastAsia="Arial Unicode MS"/>
              </w:rPr>
            </w:pPr>
          </w:p>
          <w:p w14:paraId="6FDE3237" w14:textId="77777777" w:rsidR="009163D8" w:rsidRDefault="009163D8" w:rsidP="009163D8">
            <w:pPr>
              <w:rPr>
                <w:rFonts w:eastAsia="Arial Unicode MS"/>
              </w:rPr>
            </w:pPr>
            <w:r w:rsidRPr="00CB5F9D">
              <w:rPr>
                <w:rFonts w:eastAsia="Arial Unicode MS"/>
              </w:rPr>
              <w:t>The ‘Are You Ready’ campaign aimed to encourage nursing graduates to choose mental health and addiction as a preferred practice area and as a professional career, attract former nurses back into the profession, and increase the number of Māori and Pacific peoples working in this area.</w:t>
            </w:r>
          </w:p>
          <w:p w14:paraId="3A3960D7" w14:textId="77777777" w:rsidR="009163D8" w:rsidRPr="00CB5F9D" w:rsidRDefault="009163D8" w:rsidP="009163D8">
            <w:pPr>
              <w:rPr>
                <w:rFonts w:eastAsia="Arial Unicode MS"/>
              </w:rPr>
            </w:pPr>
          </w:p>
          <w:p w14:paraId="4644F17F" w14:textId="77777777" w:rsidR="009163D8" w:rsidRDefault="009163D8" w:rsidP="009163D8">
            <w:r w:rsidRPr="00CB5F9D">
              <w:rPr>
                <w:rFonts w:eastAsia="Arial Unicode MS"/>
              </w:rPr>
              <w:t>Budget 2019 funded a range of mental health and addiction health workforce initiatives which took place during the year. Examples include:</w:t>
            </w:r>
          </w:p>
          <w:p w14:paraId="5DF1635C" w14:textId="77777777" w:rsidR="009163D8" w:rsidRPr="00CB5F9D" w:rsidRDefault="009163D8" w:rsidP="009163D8">
            <w:pPr>
              <w:pStyle w:val="Bullet"/>
              <w:rPr>
                <w:rFonts w:eastAsia="Arial Unicode MS"/>
              </w:rPr>
            </w:pPr>
            <w:r w:rsidRPr="00CB5F9D">
              <w:rPr>
                <w:rFonts w:eastAsia="Arial Unicode MS"/>
              </w:rPr>
              <w:t>122.5 additional ‘new entry to specialist practice’ places each year for nurses, social workers and occupational therapists to enter the mental health and addiction workforce, bringing the total funded places to 314.5</w:t>
            </w:r>
          </w:p>
          <w:p w14:paraId="107DB28A" w14:textId="77777777" w:rsidR="009163D8" w:rsidRPr="00CB5F9D" w:rsidRDefault="009163D8" w:rsidP="009163D8">
            <w:pPr>
              <w:pStyle w:val="Bullet"/>
              <w:rPr>
                <w:rFonts w:eastAsia="Arial Unicode MS"/>
              </w:rPr>
            </w:pPr>
            <w:r w:rsidRPr="00CB5F9D">
              <w:rPr>
                <w:rFonts w:eastAsia="Arial Unicode MS"/>
              </w:rPr>
              <w:t>16 additional clinical psychology internships each year, bringing the total funded placements to 28 and increased funding for interns to 100% of the Multi-Employer Collective Agreement rate</w:t>
            </w:r>
          </w:p>
          <w:p w14:paraId="4137241C" w14:textId="77777777" w:rsidR="009163D8" w:rsidRPr="00CB5F9D" w:rsidRDefault="009163D8" w:rsidP="009163D8">
            <w:pPr>
              <w:pStyle w:val="Bullet"/>
              <w:rPr>
                <w:rFonts w:eastAsia="Arial Unicode MS"/>
              </w:rPr>
            </w:pPr>
            <w:r w:rsidRPr="00CB5F9D">
              <w:rPr>
                <w:rFonts w:eastAsia="Arial Unicode MS"/>
              </w:rPr>
              <w:tab/>
              <w:t>365 new training places for postgraduate study each year in specialist practice areas such as cognitive behaviour therapy for children and adolescents, talking therapies, brief interventions and youth addiction</w:t>
            </w:r>
          </w:p>
          <w:p w14:paraId="7B71270D" w14:textId="77777777" w:rsidR="009163D8" w:rsidRPr="00CB5F9D" w:rsidRDefault="009163D8" w:rsidP="009163D8">
            <w:pPr>
              <w:pStyle w:val="Bullet"/>
              <w:rPr>
                <w:rFonts w:eastAsia="Arial Unicode MS"/>
              </w:rPr>
            </w:pPr>
            <w:r w:rsidRPr="00CB5F9D">
              <w:rPr>
                <w:rFonts w:eastAsia="Arial Unicode MS"/>
              </w:rPr>
              <w:t>70 new bursaries for Māori students pursuing a career in the sector, bringing the total funded to 150</w:t>
            </w:r>
          </w:p>
          <w:p w14:paraId="3EF4189B" w14:textId="77777777" w:rsidR="009163D8" w:rsidRPr="00CB5F9D" w:rsidRDefault="009163D8" w:rsidP="009163D8">
            <w:pPr>
              <w:pStyle w:val="Bullet"/>
              <w:rPr>
                <w:rFonts w:eastAsia="Arial Unicode MS"/>
              </w:rPr>
            </w:pPr>
            <w:r w:rsidRPr="00CB5F9D">
              <w:rPr>
                <w:rFonts w:eastAsia="Arial Unicode MS"/>
              </w:rPr>
              <w:t>65 new scholarships for Pacific mental health and addiction students, bringing the total funded to 125</w:t>
            </w:r>
          </w:p>
          <w:p w14:paraId="3560C7F4" w14:textId="77777777" w:rsidR="009163D8" w:rsidRDefault="009163D8" w:rsidP="009163D8">
            <w:pPr>
              <w:pStyle w:val="Bullet"/>
              <w:rPr>
                <w:rFonts w:eastAsia="Arial Unicode MS"/>
              </w:rPr>
            </w:pPr>
            <w:r w:rsidRPr="00CB5F9D">
              <w:rPr>
                <w:rFonts w:eastAsia="Arial Unicode MS"/>
              </w:rPr>
              <w:t>over 800 additional places per annum made available on cultural competency programmes to ensure mental health and addiction services better meet the needs of diverse New Zealanders.</w:t>
            </w:r>
          </w:p>
          <w:p w14:paraId="714AC141" w14:textId="77777777" w:rsidR="009163D8" w:rsidRDefault="009163D8" w:rsidP="009163D8"/>
        </w:tc>
      </w:tr>
    </w:tbl>
    <w:p w14:paraId="7CCDD3F8" w14:textId="77777777" w:rsidR="00CB5F9D" w:rsidRPr="00CB5F9D" w:rsidRDefault="00CB5F9D" w:rsidP="00CB5F9D">
      <w:pPr>
        <w:pStyle w:val="Heading4"/>
      </w:pPr>
      <w:r w:rsidRPr="00CB5F9D">
        <w:lastRenderedPageBreak/>
        <w:t>Working towards repealing and replacing the Mental Health Act</w:t>
      </w:r>
    </w:p>
    <w:p w14:paraId="7F49D09E" w14:textId="77777777" w:rsidR="00CB5F9D" w:rsidRPr="00CB5F9D" w:rsidRDefault="00CB5F9D" w:rsidP="00CB5F9D">
      <w:pPr>
        <w:rPr>
          <w:rFonts w:eastAsia="Arial Unicode MS"/>
        </w:rPr>
      </w:pPr>
      <w:r w:rsidRPr="00CB5F9D">
        <w:rPr>
          <w:rFonts w:eastAsia="Arial Unicode MS"/>
        </w:rPr>
        <w:t xml:space="preserve">We made significant progress in our work to repeal the Mental Health (Compulsory Assessment and Treatment) Act 1992 (the Mental Health Act) and to replace it with modern, fit-for-purpose legislation that reflects an approach based on human rights. This phased work programme began in 2019 and forms part of the Government response to </w:t>
      </w:r>
      <w:r w:rsidRPr="008F524E">
        <w:rPr>
          <w:rFonts w:eastAsia="Arial Unicode MS"/>
          <w:i/>
          <w:iCs/>
        </w:rPr>
        <w:t>He Ara Oranga</w:t>
      </w:r>
      <w:r w:rsidRPr="00CB5F9D">
        <w:rPr>
          <w:rFonts w:eastAsia="Arial Unicode MS"/>
        </w:rPr>
        <w:t>.</w:t>
      </w:r>
    </w:p>
    <w:p w14:paraId="4DD54398" w14:textId="77777777" w:rsidR="00CB5F9D" w:rsidRPr="00CB5F9D" w:rsidRDefault="00CB5F9D" w:rsidP="00CB5F9D">
      <w:pPr>
        <w:pStyle w:val="Heading5"/>
      </w:pPr>
      <w:r w:rsidRPr="00CB5F9D">
        <w:t>Initial amendments to the Mental Health Act</w:t>
      </w:r>
    </w:p>
    <w:p w14:paraId="678539B8" w14:textId="438E3CD7" w:rsidR="00CB5F9D" w:rsidRPr="00CB5F9D" w:rsidRDefault="00CB5F9D" w:rsidP="00CB5F9D">
      <w:pPr>
        <w:rPr>
          <w:rFonts w:eastAsia="Arial Unicode MS"/>
        </w:rPr>
      </w:pPr>
      <w:r w:rsidRPr="00CB5F9D">
        <w:rPr>
          <w:rFonts w:eastAsia="Arial Unicode MS"/>
        </w:rPr>
        <w:t>Alongside new guidelines released in September 2020 to improve the</w:t>
      </w:r>
      <w:r>
        <w:rPr>
          <w:rFonts w:eastAsia="Arial Unicode MS"/>
        </w:rPr>
        <w:t xml:space="preserve"> </w:t>
      </w:r>
      <w:r w:rsidRPr="00CB5F9D">
        <w:rPr>
          <w:rFonts w:eastAsia="Arial Unicode MS"/>
        </w:rPr>
        <w:t>application of the Mental Health Act, the Mental Health (Compulsory Assessment and Treatment) Amendment Act 2021 (the Amendment Act) was passed in October 2021. The Amendment Act updated</w:t>
      </w:r>
      <w:r>
        <w:rPr>
          <w:rFonts w:eastAsia="Arial Unicode MS"/>
        </w:rPr>
        <w:t xml:space="preserve"> </w:t>
      </w:r>
      <w:r w:rsidRPr="00CB5F9D">
        <w:rPr>
          <w:rFonts w:eastAsia="Arial Unicode MS"/>
        </w:rPr>
        <w:t>the Mental Health Act to improve the protection of individual rights and safety of patients, including by eliminating indefinite treatment orders, while work to fully replace the Act is under way.</w:t>
      </w:r>
    </w:p>
    <w:p w14:paraId="7D042D25" w14:textId="77777777" w:rsidR="00CB5F9D" w:rsidRPr="00CB5F9D" w:rsidRDefault="00CB5F9D" w:rsidP="00CB5F9D">
      <w:pPr>
        <w:pStyle w:val="Heading5"/>
      </w:pPr>
      <w:r w:rsidRPr="00CB5F9D">
        <w:lastRenderedPageBreak/>
        <w:t>Full repeal and replacement of the Mental Health Act</w:t>
      </w:r>
    </w:p>
    <w:p w14:paraId="34085911" w14:textId="5BE1AAEF" w:rsidR="00CB5F9D" w:rsidRDefault="00CB5F9D" w:rsidP="00CB5F9D">
      <w:pPr>
        <w:rPr>
          <w:rFonts w:eastAsia="Arial Unicode MS"/>
        </w:rPr>
      </w:pPr>
      <w:r w:rsidRPr="00CB5F9D">
        <w:rPr>
          <w:rFonts w:eastAsia="Arial Unicode MS"/>
        </w:rPr>
        <w:t>Following the Amendment Act, focus turned to the full repeal and replacement of the Mental Health Act. From October</w:t>
      </w:r>
      <w:r>
        <w:rPr>
          <w:rFonts w:eastAsia="Arial Unicode MS"/>
        </w:rPr>
        <w:t xml:space="preserve"> </w:t>
      </w:r>
      <w:r w:rsidRPr="00CB5F9D">
        <w:rPr>
          <w:rFonts w:eastAsia="Arial Unicode MS"/>
        </w:rPr>
        <w:t>2021 to January 2022, we undertook public consultation on a discussion document, Transforming Our Mental Health Law, which asked the public what new mental health legislation should look like. From this we received over 300 written submissions</w:t>
      </w:r>
      <w:r>
        <w:rPr>
          <w:rFonts w:eastAsia="Arial Unicode MS"/>
        </w:rPr>
        <w:t xml:space="preserve"> </w:t>
      </w:r>
      <w:r w:rsidRPr="00CB5F9D">
        <w:rPr>
          <w:rFonts w:eastAsia="Arial Unicode MS"/>
        </w:rPr>
        <w:t>and gathered feedback from more than 500 people who attended over 60 online information sessions and consultation hui.</w:t>
      </w:r>
    </w:p>
    <w:p w14:paraId="7B677D26" w14:textId="77777777" w:rsidR="00CB5F9D" w:rsidRPr="00CB5F9D" w:rsidRDefault="00CB5F9D" w:rsidP="00CB5F9D">
      <w:pPr>
        <w:rPr>
          <w:rFonts w:eastAsia="Arial Unicode MS"/>
        </w:rPr>
      </w:pPr>
    </w:p>
    <w:p w14:paraId="231AE4FE" w14:textId="420DD8AB" w:rsidR="00CB5F9D" w:rsidRPr="00CB5F9D" w:rsidRDefault="00CB5F9D" w:rsidP="00CB5F9D">
      <w:pPr>
        <w:rPr>
          <w:rFonts w:eastAsia="Arial Unicode MS"/>
        </w:rPr>
      </w:pPr>
      <w:r w:rsidRPr="00CB5F9D">
        <w:rPr>
          <w:rFonts w:eastAsia="Arial Unicode MS"/>
        </w:rPr>
        <w:t>We received feedback from a range of perspectives: tāngata whaiora | service users and their whānau, Māori, Pacific, Asian and ethnic communities, the mental health sector including non-governmental organisations and clinicians, and</w:t>
      </w:r>
      <w:r>
        <w:rPr>
          <w:rFonts w:eastAsia="Arial Unicode MS"/>
        </w:rPr>
        <w:t xml:space="preserve"> </w:t>
      </w:r>
      <w:r w:rsidRPr="00CB5F9D">
        <w:rPr>
          <w:rFonts w:eastAsia="Arial Unicode MS"/>
        </w:rPr>
        <w:t>the general public. The findings from public consultation will help guide the development of policy proposals for new legislation.</w:t>
      </w:r>
    </w:p>
    <w:p w14:paraId="59CF9833" w14:textId="77777777" w:rsidR="00CB5F9D" w:rsidRPr="00CB5F9D" w:rsidRDefault="00CB5F9D" w:rsidP="00CB5F9D">
      <w:pPr>
        <w:pStyle w:val="Heading5"/>
      </w:pPr>
      <w:r w:rsidRPr="00CB5F9D">
        <w:t>Ongoing work to improve the health and disability system’s infrastructure</w:t>
      </w:r>
    </w:p>
    <w:p w14:paraId="0C0EB1A6" w14:textId="283DF3D6" w:rsidR="00CB5F9D" w:rsidRDefault="00CB5F9D" w:rsidP="00CB5F9D">
      <w:pPr>
        <w:rPr>
          <w:rFonts w:eastAsia="Arial Unicode MS"/>
        </w:rPr>
      </w:pPr>
      <w:r w:rsidRPr="00CB5F9D">
        <w:rPr>
          <w:rFonts w:eastAsia="Arial Unicode MS"/>
        </w:rPr>
        <w:t>Until 30 June 2022, before the formal launch of Te Whatu Ora, the 20 DHBs and Manatū Hauora were responsible for investment in health infrastructure.</w:t>
      </w:r>
    </w:p>
    <w:p w14:paraId="6BC018CE" w14:textId="77777777" w:rsidR="00CB5F9D" w:rsidRPr="00CB5F9D" w:rsidRDefault="00CB5F9D" w:rsidP="00CB5F9D">
      <w:pPr>
        <w:rPr>
          <w:rFonts w:eastAsia="Arial Unicode MS"/>
        </w:rPr>
      </w:pPr>
    </w:p>
    <w:p w14:paraId="2AC1EDF8" w14:textId="43847C4A" w:rsidR="00CB5F9D" w:rsidRDefault="00CB5F9D" w:rsidP="00CB5F9D">
      <w:pPr>
        <w:rPr>
          <w:rFonts w:eastAsia="Arial Unicode MS"/>
        </w:rPr>
      </w:pPr>
      <w:r w:rsidRPr="00CB5F9D">
        <w:rPr>
          <w:rFonts w:eastAsia="Arial Unicode MS"/>
        </w:rPr>
        <w:t>The Ministry’s Health Infrastructure Unit had oversight of more than 130 health infrastructure projects in various stages of implementation.</w:t>
      </w:r>
    </w:p>
    <w:p w14:paraId="4CA0FAA0" w14:textId="77777777" w:rsidR="00CB5F9D" w:rsidRPr="00CB5F9D" w:rsidRDefault="00CB5F9D" w:rsidP="00CB5F9D">
      <w:pPr>
        <w:rPr>
          <w:rFonts w:eastAsia="Arial Unicode MS"/>
        </w:rPr>
      </w:pPr>
    </w:p>
    <w:p w14:paraId="4CA84241" w14:textId="77777777" w:rsidR="00CB5F9D" w:rsidRPr="00CB5F9D" w:rsidRDefault="00CB5F9D" w:rsidP="00CB5F9D">
      <w:pPr>
        <w:rPr>
          <w:rFonts w:eastAsia="Arial Unicode MS"/>
        </w:rPr>
      </w:pPr>
      <w:r w:rsidRPr="00CB5F9D">
        <w:rPr>
          <w:rFonts w:eastAsia="Arial Unicode MS"/>
        </w:rPr>
        <w:t>In addition, the Ministry itself led some</w:t>
      </w:r>
      <w:r>
        <w:rPr>
          <w:rFonts w:eastAsia="Arial Unicode MS"/>
        </w:rPr>
        <w:t xml:space="preserve"> </w:t>
      </w:r>
      <w:r w:rsidRPr="00CB5F9D">
        <w:rPr>
          <w:rFonts w:eastAsia="Arial Unicode MS"/>
        </w:rPr>
        <w:t>major infrastructure programmes, including the Mental Health Infrastructure Programme, the Regional Hospital Redevelopment Programme and the new Dunedin Hospital build.</w:t>
      </w:r>
    </w:p>
    <w:p w14:paraId="6E029B44" w14:textId="77777777" w:rsidR="00CB5F9D" w:rsidRPr="00CB5F9D" w:rsidRDefault="00CB5F9D" w:rsidP="00CB5F9D">
      <w:pPr>
        <w:pStyle w:val="Heading5"/>
      </w:pPr>
      <w:r w:rsidRPr="00CB5F9D">
        <w:t>The Mental Health Infrastructure Programme</w:t>
      </w:r>
    </w:p>
    <w:p w14:paraId="750B6FDE" w14:textId="56BB9A80" w:rsidR="00CB5F9D" w:rsidRDefault="00CB5F9D" w:rsidP="00CB5F9D">
      <w:pPr>
        <w:rPr>
          <w:rFonts w:eastAsia="Arial Unicode MS"/>
        </w:rPr>
      </w:pPr>
      <w:r w:rsidRPr="00CB5F9D">
        <w:rPr>
          <w:rFonts w:eastAsia="Arial Unicode MS"/>
        </w:rPr>
        <w:t>The Mental Health Infrastructure Programme actively supported DHBs to improve their mental health infrastructure. The programme comprised 16 projects, with our Health Infrastructure Unit leading one of these.</w:t>
      </w:r>
    </w:p>
    <w:p w14:paraId="7622FA30" w14:textId="77777777" w:rsidR="00CB5F9D" w:rsidRPr="00CB5F9D" w:rsidRDefault="00CB5F9D" w:rsidP="00CB5F9D">
      <w:pPr>
        <w:rPr>
          <w:rFonts w:eastAsia="Arial Unicode MS"/>
        </w:rPr>
      </w:pPr>
    </w:p>
    <w:p w14:paraId="52CF94B4" w14:textId="77777777" w:rsidR="00CB5F9D" w:rsidRPr="00CB5F9D" w:rsidRDefault="00CB5F9D" w:rsidP="00CB5F9D">
      <w:pPr>
        <w:rPr>
          <w:rFonts w:eastAsia="Arial Unicode MS"/>
        </w:rPr>
      </w:pPr>
      <w:r w:rsidRPr="00CB5F9D">
        <w:rPr>
          <w:rFonts w:eastAsia="Arial Unicode MS"/>
        </w:rPr>
        <w:t>Five mental health facilities achieved investment approval in 2021/22 (in MidCentral, Lakes, Waitematā, Waikato and Tairāwhiti DHBs), while the others are scheduled to be approved by December 2023. The projects that the programme oversees have a combined value of more than $300 million.</w:t>
      </w:r>
    </w:p>
    <w:p w14:paraId="00889D61" w14:textId="77777777" w:rsidR="00CB5F9D" w:rsidRPr="00CB5F9D" w:rsidRDefault="00CB5F9D" w:rsidP="00CB5F9D">
      <w:pPr>
        <w:pStyle w:val="Heading5"/>
      </w:pPr>
      <w:r w:rsidRPr="00CB5F9D">
        <w:t>The Regional Hospital Redevelopment Programme</w:t>
      </w:r>
    </w:p>
    <w:p w14:paraId="674CC43B" w14:textId="5B8C76E4" w:rsidR="00CB5F9D" w:rsidRDefault="00CB5F9D" w:rsidP="00CB5F9D">
      <w:pPr>
        <w:rPr>
          <w:rFonts w:eastAsia="Arial Unicode MS"/>
        </w:rPr>
      </w:pPr>
      <w:r w:rsidRPr="00CB5F9D">
        <w:rPr>
          <w:rFonts w:eastAsia="Arial Unicode MS"/>
        </w:rPr>
        <w:t>The Regional Hospital Redevelopment Programme was established to support the early planning work for the redevelopment of the Nelson and</w:t>
      </w:r>
      <w:r>
        <w:rPr>
          <w:rFonts w:eastAsia="Arial Unicode MS"/>
        </w:rPr>
        <w:t xml:space="preserve"> </w:t>
      </w:r>
      <w:r w:rsidRPr="00CB5F9D">
        <w:rPr>
          <w:rFonts w:eastAsia="Arial Unicode MS"/>
        </w:rPr>
        <w:t>Whangārei Hospitals. Both districts had nearly completed this planning and were expected to have approved business cases in the second half of 2022.</w:t>
      </w:r>
    </w:p>
    <w:p w14:paraId="36BA01FD" w14:textId="77777777" w:rsidR="00CB5F9D" w:rsidRPr="00CB5F9D" w:rsidRDefault="00CB5F9D" w:rsidP="00CB5F9D">
      <w:pPr>
        <w:rPr>
          <w:rFonts w:eastAsia="Arial Unicode MS"/>
        </w:rPr>
      </w:pPr>
    </w:p>
    <w:p w14:paraId="071103E2" w14:textId="77777777" w:rsidR="00CB5F9D" w:rsidRPr="00CB5F9D" w:rsidRDefault="00CB5F9D" w:rsidP="00CB5F9D">
      <w:pPr>
        <w:rPr>
          <w:rFonts w:eastAsia="Arial Unicode MS"/>
        </w:rPr>
      </w:pPr>
      <w:r w:rsidRPr="00CB5F9D">
        <w:rPr>
          <w:rFonts w:eastAsia="Arial Unicode MS"/>
        </w:rPr>
        <w:t>Further hospital sites in Tauranga, Hawke’s Bay and Palmerston North have since been added to the programme. Early planning work to identify what these sites require has now begun.</w:t>
      </w:r>
    </w:p>
    <w:p w14:paraId="0DADAA70" w14:textId="77777777" w:rsidR="00CB5F9D" w:rsidRDefault="00CB5F9D" w:rsidP="00CB5F9D">
      <w:pPr>
        <w:pStyle w:val="Heading5"/>
      </w:pPr>
      <w:r w:rsidRPr="00CB5F9D">
        <w:t xml:space="preserve">The new Dunedin Hospital build </w:t>
      </w:r>
    </w:p>
    <w:p w14:paraId="32CEBB3C" w14:textId="5A7035B2" w:rsidR="00CB5F9D" w:rsidRDefault="00CB5F9D" w:rsidP="00CB5F9D">
      <w:pPr>
        <w:rPr>
          <w:rFonts w:eastAsia="Arial Unicode MS"/>
        </w:rPr>
      </w:pPr>
      <w:r w:rsidRPr="00CB5F9D">
        <w:rPr>
          <w:rFonts w:eastAsia="Arial Unicode MS"/>
        </w:rPr>
        <w:t>The new hospital in Dunedin is the largest health infrastructure project being undertaken in Aotearoa.</w:t>
      </w:r>
    </w:p>
    <w:p w14:paraId="5F2028FA" w14:textId="22F468F8" w:rsidR="00CB5F9D" w:rsidRDefault="00CB5F9D" w:rsidP="00CB5F9D">
      <w:pPr>
        <w:rPr>
          <w:rFonts w:eastAsia="Arial Unicode MS"/>
        </w:rPr>
      </w:pPr>
      <w:r w:rsidRPr="00CB5F9D">
        <w:rPr>
          <w:rFonts w:eastAsia="Arial Unicode MS"/>
        </w:rPr>
        <w:lastRenderedPageBreak/>
        <w:t>The new hospital will be accredited 5-Star Green Star. It will provide 421 beds, more than 16 theatres and 30 intensive care or</w:t>
      </w:r>
      <w:r>
        <w:rPr>
          <w:rFonts w:eastAsia="Arial Unicode MS"/>
        </w:rPr>
        <w:t xml:space="preserve"> </w:t>
      </w:r>
      <w:r w:rsidRPr="00CB5F9D">
        <w:rPr>
          <w:rFonts w:eastAsia="Arial Unicode MS"/>
        </w:rPr>
        <w:t>high-dependency beds.</w:t>
      </w:r>
    </w:p>
    <w:p w14:paraId="156BC87D" w14:textId="77777777" w:rsidR="00CB5F9D" w:rsidRPr="00CB5F9D" w:rsidRDefault="00CB5F9D" w:rsidP="00CB5F9D">
      <w:pPr>
        <w:rPr>
          <w:rFonts w:eastAsia="Arial Unicode MS"/>
        </w:rPr>
      </w:pPr>
    </w:p>
    <w:p w14:paraId="6FD0F667" w14:textId="62F72771" w:rsidR="00CB5F9D" w:rsidRDefault="00CB5F9D" w:rsidP="00CB5F9D">
      <w:pPr>
        <w:rPr>
          <w:rFonts w:eastAsia="Arial Unicode MS"/>
        </w:rPr>
      </w:pPr>
      <w:r w:rsidRPr="00CB5F9D">
        <w:rPr>
          <w:rFonts w:eastAsia="Arial Unicode MS"/>
        </w:rPr>
        <w:t>During 2021/22 the project advanced significantly. Site clearance was completed ahead of schedule and piling works for the outpatients facility began in June 2022. Work on the inpatients facility advanced, with developed design work under way.</w:t>
      </w:r>
    </w:p>
    <w:p w14:paraId="3EB1178E" w14:textId="77777777" w:rsidR="00CB5F9D" w:rsidRPr="00CB5F9D" w:rsidRDefault="00CB5F9D" w:rsidP="00CB5F9D">
      <w:pPr>
        <w:rPr>
          <w:rFonts w:eastAsia="Arial Unicode MS"/>
        </w:rPr>
      </w:pPr>
    </w:p>
    <w:p w14:paraId="3E89C9B9" w14:textId="77777777" w:rsidR="00CB5F9D" w:rsidRPr="00CB5F9D" w:rsidRDefault="00CB5F9D" w:rsidP="00CB5F9D">
      <w:pPr>
        <w:rPr>
          <w:rFonts w:eastAsia="Arial Unicode MS"/>
        </w:rPr>
      </w:pPr>
      <w:r w:rsidRPr="00CB5F9D">
        <w:rPr>
          <w:rFonts w:eastAsia="Arial Unicode MS"/>
        </w:rPr>
        <w:t>We expect the regional economy will receive an estimated $429 million boost to its gross domestic product and employ thousands of construction workers over the lifetime of the project, which is due for completion in 2028.</w:t>
      </w:r>
    </w:p>
    <w:p w14:paraId="470CA53C" w14:textId="77777777" w:rsidR="00CB5F9D" w:rsidRPr="00CB5F9D" w:rsidRDefault="00CB5F9D" w:rsidP="00CB5F9D">
      <w:pPr>
        <w:pStyle w:val="Heading5"/>
      </w:pPr>
      <w:r w:rsidRPr="00CB5F9D">
        <w:t>Healthy Homes Initiative</w:t>
      </w:r>
    </w:p>
    <w:p w14:paraId="4B2BBF45" w14:textId="2AE185F1" w:rsidR="00CB5F9D" w:rsidRDefault="00CB5F9D" w:rsidP="00CB5F9D">
      <w:pPr>
        <w:rPr>
          <w:rFonts w:eastAsia="Arial Unicode MS"/>
        </w:rPr>
      </w:pPr>
      <w:r w:rsidRPr="00CB5F9D">
        <w:rPr>
          <w:rFonts w:eastAsia="Arial Unicode MS"/>
        </w:rPr>
        <w:t>The Healthy Homes Initiative (HHI) aims to increase the number of children and their whānau who live in warm, dry and healthy homes and in this way to enhance their health and wellbeing.</w:t>
      </w:r>
    </w:p>
    <w:p w14:paraId="28DC42D9" w14:textId="77777777" w:rsidR="00CB5F9D" w:rsidRPr="00CB5F9D" w:rsidRDefault="00CB5F9D" w:rsidP="00CB5F9D">
      <w:pPr>
        <w:rPr>
          <w:rFonts w:eastAsia="Arial Unicode MS"/>
        </w:rPr>
      </w:pPr>
    </w:p>
    <w:p w14:paraId="6855970D" w14:textId="24FD3F92" w:rsidR="00CB5F9D" w:rsidRDefault="00CB5F9D" w:rsidP="00CB5F9D">
      <w:pPr>
        <w:rPr>
          <w:rFonts w:eastAsia="Arial Unicode MS"/>
        </w:rPr>
      </w:pPr>
      <w:r w:rsidRPr="00CB5F9D">
        <w:rPr>
          <w:rFonts w:eastAsia="Arial Unicode MS"/>
        </w:rPr>
        <w:t>HHI providers are a referral and navigation service that support whānau by coordinating interventions to make homes warmer, drier and healthier.</w:t>
      </w:r>
    </w:p>
    <w:p w14:paraId="227C9B7C" w14:textId="77777777" w:rsidR="00CB5F9D" w:rsidRPr="00CB5F9D" w:rsidRDefault="00CB5F9D" w:rsidP="00CB5F9D">
      <w:pPr>
        <w:rPr>
          <w:rFonts w:eastAsia="Arial Unicode MS"/>
        </w:rPr>
      </w:pPr>
    </w:p>
    <w:p w14:paraId="3690B786" w14:textId="77777777" w:rsidR="00CB5F9D" w:rsidRPr="00CB5F9D" w:rsidRDefault="00CB5F9D" w:rsidP="00CB5F9D">
      <w:pPr>
        <w:rPr>
          <w:rFonts w:eastAsia="Arial Unicode MS"/>
        </w:rPr>
      </w:pPr>
      <w:r w:rsidRPr="00CB5F9D">
        <w:rPr>
          <w:rFonts w:eastAsia="Arial Unicode MS"/>
        </w:rPr>
        <w:t>Budget 2021 included funding of $30 million over 4 years to expand the reach and impact of the HHI. Currently HHI providers are in 11 North Island regions.</w:t>
      </w:r>
    </w:p>
    <w:p w14:paraId="68DD5570" w14:textId="77777777" w:rsidR="00CB5F9D" w:rsidRPr="00CB5F9D" w:rsidRDefault="00CB5F9D" w:rsidP="00CB5F9D">
      <w:pPr>
        <w:pStyle w:val="Heading4"/>
      </w:pPr>
      <w:r w:rsidRPr="00CB5F9D">
        <w:t>DHB Intensive Support Programme</w:t>
      </w:r>
    </w:p>
    <w:p w14:paraId="0E2387A7" w14:textId="2165968D" w:rsidR="00CB5F9D" w:rsidRDefault="00CB5F9D" w:rsidP="00CB5F9D">
      <w:pPr>
        <w:rPr>
          <w:rFonts w:eastAsia="Arial Unicode MS"/>
        </w:rPr>
      </w:pPr>
      <w:r w:rsidRPr="00CB5F9D">
        <w:rPr>
          <w:rFonts w:eastAsia="Arial Unicode MS"/>
        </w:rPr>
        <w:t>In 2021/22, 7 DHBs participated in the Ministry’s Intensive Support Programme. This programme addresses DHB performance and financial sustainability by providing targeted support to optimise available resources, develop efficient and effective models of care, focus on financial management and build system capability.</w:t>
      </w:r>
    </w:p>
    <w:p w14:paraId="514D6308" w14:textId="77777777" w:rsidR="00CB5F9D" w:rsidRPr="00CB5F9D" w:rsidRDefault="00CB5F9D" w:rsidP="00CB5F9D">
      <w:pPr>
        <w:rPr>
          <w:rFonts w:eastAsia="Arial Unicode MS"/>
        </w:rPr>
      </w:pPr>
    </w:p>
    <w:p w14:paraId="3E1E0403" w14:textId="46F293DD" w:rsidR="00CB5F9D" w:rsidRPr="00CB5F9D" w:rsidRDefault="00CB5F9D" w:rsidP="00CB5F9D">
      <w:pPr>
        <w:rPr>
          <w:rFonts w:eastAsia="Arial Unicode MS"/>
        </w:rPr>
      </w:pPr>
      <w:r w:rsidRPr="00CB5F9D">
        <w:rPr>
          <w:rFonts w:eastAsia="Arial Unicode MS"/>
        </w:rPr>
        <w:t>COVID-19 created unique pressures on DHBs, delaying services and some planned improvements. During 2021/22, we worked with Te Whatu Ora | Health New Zealand</w:t>
      </w:r>
      <w:r>
        <w:rPr>
          <w:rFonts w:eastAsia="Arial Unicode MS"/>
        </w:rPr>
        <w:t xml:space="preserve"> </w:t>
      </w:r>
      <w:r w:rsidRPr="00CB5F9D">
        <w:rPr>
          <w:rFonts w:eastAsia="Arial Unicode MS"/>
        </w:rPr>
        <w:t>to highlight ongoing issues, risks and opportunities that Te Whatu Ora | Health</w:t>
      </w:r>
      <w:r>
        <w:rPr>
          <w:rFonts w:eastAsia="Arial Unicode MS"/>
        </w:rPr>
        <w:t xml:space="preserve"> </w:t>
      </w:r>
      <w:r w:rsidRPr="00CB5F9D">
        <w:rPr>
          <w:rFonts w:eastAsia="Arial Unicode MS"/>
        </w:rPr>
        <w:t xml:space="preserve"> </w:t>
      </w:r>
    </w:p>
    <w:p w14:paraId="50036FD2" w14:textId="631F64E4" w:rsidR="00CB5F9D" w:rsidRDefault="00CB5F9D" w:rsidP="00CB5F9D">
      <w:pPr>
        <w:rPr>
          <w:rFonts w:eastAsia="Arial Unicode MS"/>
        </w:rPr>
      </w:pPr>
      <w:r w:rsidRPr="00CB5F9D">
        <w:rPr>
          <w:rFonts w:eastAsia="Arial Unicode MS"/>
        </w:rPr>
        <w:t>New Zealand should continue to closely support.</w:t>
      </w:r>
    </w:p>
    <w:p w14:paraId="68A54951" w14:textId="39729D98" w:rsidR="00CB5F9D" w:rsidRPr="00216075" w:rsidRDefault="00CB5F9D" w:rsidP="00216075">
      <w:pPr>
        <w:pStyle w:val="Heading3"/>
        <w:ind w:left="709" w:hanging="709"/>
      </w:pPr>
      <w:bookmarkStart w:id="26" w:name="_Toc117264934"/>
      <w:r w:rsidRPr="00216075">
        <w:t>3.</w:t>
      </w:r>
      <w:r w:rsidRPr="00216075">
        <w:tab/>
        <w:t>Creating an integrated, collaborative and innovative health and disability system</w:t>
      </w:r>
      <w:bookmarkEnd w:id="26"/>
    </w:p>
    <w:p w14:paraId="552FBC28" w14:textId="4A5AFA2C" w:rsidR="00CB5F9D" w:rsidRDefault="00CB5F9D" w:rsidP="00CB5F9D">
      <w:pPr>
        <w:rPr>
          <w:rFonts w:eastAsia="Arial Unicode MS"/>
        </w:rPr>
      </w:pPr>
      <w:r w:rsidRPr="00CB5F9D">
        <w:rPr>
          <w:rFonts w:eastAsia="Arial Unicode MS"/>
        </w:rPr>
        <w:t>We build the connections needed to provide an integrated, collaborative and innovative health and disability system.</w:t>
      </w:r>
    </w:p>
    <w:p w14:paraId="1F3C5249" w14:textId="77777777" w:rsidR="00CB5F9D" w:rsidRPr="00CB5F9D" w:rsidRDefault="00CB5F9D" w:rsidP="00CB5F9D">
      <w:pPr>
        <w:rPr>
          <w:rFonts w:eastAsia="Arial Unicode MS"/>
        </w:rPr>
      </w:pPr>
    </w:p>
    <w:p w14:paraId="23521FE0" w14:textId="77777777" w:rsidR="00CB5F9D" w:rsidRPr="00CB5F9D" w:rsidRDefault="00CB5F9D" w:rsidP="00CB5F9D">
      <w:pPr>
        <w:rPr>
          <w:rFonts w:eastAsia="Arial Unicode MS"/>
        </w:rPr>
      </w:pPr>
      <w:r w:rsidRPr="00CB5F9D">
        <w:rPr>
          <w:rFonts w:eastAsia="Arial Unicode MS"/>
        </w:rPr>
        <w:t>To do this, we foster effective relationships, advance collaborative ways of working and enable secure, timely, joined-up information to flow through the system.</w:t>
      </w:r>
    </w:p>
    <w:p w14:paraId="209DA9F2" w14:textId="77777777" w:rsidR="00CB5F9D" w:rsidRPr="00CB5F9D" w:rsidRDefault="00CB5F9D" w:rsidP="00CB5F9D">
      <w:pPr>
        <w:pStyle w:val="Heading4"/>
      </w:pPr>
      <w:r w:rsidRPr="00CB5F9D">
        <w:t>Hira – connecting health information</w:t>
      </w:r>
    </w:p>
    <w:p w14:paraId="5B8D6D06" w14:textId="4EC8DDDB" w:rsidR="00CB5F9D" w:rsidRDefault="00CB5F9D" w:rsidP="00CB5F9D">
      <w:pPr>
        <w:rPr>
          <w:rFonts w:eastAsia="Arial Unicode MS"/>
        </w:rPr>
      </w:pPr>
      <w:r w:rsidRPr="00CB5F9D">
        <w:rPr>
          <w:rFonts w:eastAsia="Arial Unicode MS"/>
        </w:rPr>
        <w:t xml:space="preserve">Hira is a programme that will connect health and wellbeing information and enable this information to be delivered to all New Zealanders where and when they need it. </w:t>
      </w:r>
      <w:r>
        <w:rPr>
          <w:rFonts w:eastAsia="Arial Unicode MS"/>
        </w:rPr>
        <w:t>C</w:t>
      </w:r>
      <w:r w:rsidRPr="00CB5F9D">
        <w:rPr>
          <w:rFonts w:eastAsia="Arial Unicode MS"/>
        </w:rPr>
        <w:t xml:space="preserve">abinet endorsed the overarching programme business case for Hira in April 2021. It </w:t>
      </w:r>
      <w:r w:rsidRPr="00CB5F9D">
        <w:rPr>
          <w:rFonts w:eastAsia="Arial Unicode MS"/>
        </w:rPr>
        <w:lastRenderedPageBreak/>
        <w:t>has since approved the detailed business case for the first tranche of Hira and approved investment of up to $170 million over 3 years.</w:t>
      </w:r>
    </w:p>
    <w:p w14:paraId="0AF3F12E" w14:textId="77777777" w:rsidR="00CB5F9D" w:rsidRPr="00CB5F9D" w:rsidRDefault="00CB5F9D" w:rsidP="00CB5F9D">
      <w:pPr>
        <w:rPr>
          <w:rFonts w:eastAsia="Arial Unicode MS"/>
        </w:rPr>
      </w:pPr>
    </w:p>
    <w:p w14:paraId="18B3BF1F" w14:textId="13C3E154" w:rsidR="00CB5F9D" w:rsidRDefault="00CB5F9D" w:rsidP="00CB5F9D">
      <w:pPr>
        <w:rPr>
          <w:rFonts w:eastAsia="Arial Unicode MS"/>
        </w:rPr>
      </w:pPr>
      <w:r w:rsidRPr="00CB5F9D">
        <w:rPr>
          <w:rFonts w:eastAsia="Arial Unicode MS"/>
        </w:rPr>
        <w:t>In te reo Māori, hira means ‘to have significant bearing on future events; a widespread effect’. This reflects the Hira programme’s role in laying the</w:t>
      </w:r>
      <w:r>
        <w:rPr>
          <w:rFonts w:eastAsia="Arial Unicode MS"/>
        </w:rPr>
        <w:t xml:space="preserve"> </w:t>
      </w:r>
      <w:r w:rsidRPr="00CB5F9D">
        <w:rPr>
          <w:rFonts w:eastAsia="Arial Unicode MS"/>
        </w:rPr>
        <w:t>foundations for a digitally enabled health and disability system that is people- centred, accessible, joined-up and responsive. Hira will transform the way people access, use and share health information.</w:t>
      </w:r>
    </w:p>
    <w:p w14:paraId="5CA81321" w14:textId="77777777" w:rsidR="00CB5F9D" w:rsidRPr="00CB5F9D" w:rsidRDefault="00CB5F9D" w:rsidP="00CB5F9D">
      <w:pPr>
        <w:rPr>
          <w:rFonts w:eastAsia="Arial Unicode MS"/>
        </w:rPr>
      </w:pPr>
    </w:p>
    <w:p w14:paraId="1CE3BC42" w14:textId="18FC9298" w:rsidR="00CB5F9D" w:rsidRPr="00CB5F9D" w:rsidRDefault="00CB5F9D" w:rsidP="00CB5F9D">
      <w:pPr>
        <w:rPr>
          <w:rFonts w:eastAsia="Arial Unicode MS"/>
        </w:rPr>
      </w:pPr>
      <w:r w:rsidRPr="00CB5F9D">
        <w:rPr>
          <w:rFonts w:eastAsia="Arial Unicode MS"/>
        </w:rPr>
        <w:t>Over time, Hira will enable people to update some of their health information themselves and choose who they want to share it with. With permission, they will be able to see and help manage whānau health information. Through Hira, people will be able to pull information from different systems to create a single view</w:t>
      </w:r>
      <w:r>
        <w:rPr>
          <w:rFonts w:eastAsia="Arial Unicode MS"/>
        </w:rPr>
        <w:t xml:space="preserve"> </w:t>
      </w:r>
      <w:r w:rsidRPr="00CB5F9D">
        <w:rPr>
          <w:rFonts w:eastAsia="Arial Unicode MS"/>
        </w:rPr>
        <w:t>– a bit like online banking. At the same time, privacy and security are paramount concerns in this programme.</w:t>
      </w:r>
    </w:p>
    <w:p w14:paraId="63A4F04C" w14:textId="40DA7FD8" w:rsidR="00CB5F9D" w:rsidRPr="00CB5F9D" w:rsidRDefault="00CB5F9D" w:rsidP="00CB5F9D">
      <w:pPr>
        <w:pStyle w:val="Heading4"/>
      </w:pPr>
      <w:r w:rsidRPr="00CB5F9D">
        <w:t>Digital Enablement Programme</w:t>
      </w:r>
    </w:p>
    <w:p w14:paraId="49A3928A" w14:textId="19674D00" w:rsidR="00CB5F9D" w:rsidRDefault="00CB5F9D" w:rsidP="00CB5F9D">
      <w:pPr>
        <w:rPr>
          <w:rFonts w:eastAsia="Arial Unicode MS"/>
        </w:rPr>
      </w:pPr>
      <w:r w:rsidRPr="00CB5F9D">
        <w:rPr>
          <w:rFonts w:eastAsia="Arial Unicode MS"/>
        </w:rPr>
        <w:t>The Ministry’s Digital Enablement Programme supports new and innovative ways for people to access health care through digital means.</w:t>
      </w:r>
    </w:p>
    <w:p w14:paraId="2B01B013" w14:textId="77777777" w:rsidR="00CB5F9D" w:rsidRPr="00CB5F9D" w:rsidRDefault="00CB5F9D" w:rsidP="00CB5F9D">
      <w:pPr>
        <w:rPr>
          <w:rFonts w:eastAsia="Arial Unicode MS"/>
        </w:rPr>
      </w:pPr>
    </w:p>
    <w:p w14:paraId="2339866F" w14:textId="7ACC8FC8" w:rsidR="00CB5F9D" w:rsidRDefault="00CB5F9D" w:rsidP="00CB5F9D">
      <w:pPr>
        <w:rPr>
          <w:rFonts w:eastAsia="Arial Unicode MS"/>
        </w:rPr>
      </w:pPr>
      <w:r w:rsidRPr="00CB5F9D">
        <w:rPr>
          <w:rFonts w:eastAsia="Arial Unicode MS"/>
        </w:rPr>
        <w:t>A number of primary and community care providers received support from the programme to help them improve people’s access to general practice and other community health services.</w:t>
      </w:r>
    </w:p>
    <w:p w14:paraId="14B4E56B" w14:textId="77777777" w:rsidR="00CB5F9D" w:rsidRPr="00CB5F9D" w:rsidRDefault="00CB5F9D" w:rsidP="00CB5F9D">
      <w:pPr>
        <w:rPr>
          <w:rFonts w:eastAsia="Arial Unicode MS"/>
        </w:rPr>
      </w:pPr>
    </w:p>
    <w:p w14:paraId="70E7230B" w14:textId="77777777" w:rsidR="00CB5F9D" w:rsidRPr="00CB5F9D" w:rsidRDefault="00CB5F9D" w:rsidP="00CB5F9D">
      <w:pPr>
        <w:rPr>
          <w:rFonts w:eastAsia="Arial Unicode MS"/>
        </w:rPr>
      </w:pPr>
      <w:r w:rsidRPr="00CB5F9D">
        <w:rPr>
          <w:rFonts w:eastAsia="Arial Unicode MS"/>
        </w:rPr>
        <w:t>The programme supported providers to test ways that primary and community health care services can be accessed digitally – without people having to leave home or their hometown.</w:t>
      </w:r>
    </w:p>
    <w:p w14:paraId="6E384B37" w14:textId="77777777" w:rsidR="00CB5F9D" w:rsidRPr="00CB5F9D" w:rsidRDefault="00CB5F9D" w:rsidP="00CB5F9D">
      <w:pPr>
        <w:pStyle w:val="Heading4"/>
      </w:pPr>
      <w:r w:rsidRPr="00CB5F9D">
        <w:t>Digital tools to assess and inform people, enabling self-management</w:t>
      </w:r>
    </w:p>
    <w:p w14:paraId="00AA5E51" w14:textId="77777777" w:rsidR="00CB5F9D" w:rsidRPr="00CB5F9D" w:rsidRDefault="00CB5F9D" w:rsidP="00CB5F9D">
      <w:pPr>
        <w:rPr>
          <w:rFonts w:eastAsia="Arial Unicode MS"/>
        </w:rPr>
      </w:pPr>
      <w:r w:rsidRPr="00CB5F9D">
        <w:rPr>
          <w:rFonts w:eastAsia="Arial Unicode MS"/>
        </w:rPr>
        <w:t>Using the digital tools we developed, health professionals could quickly triage and assess COVID-19 positive people and whānau. As a result, more people could self-manage their condition, while care and support could focus on those at higher risk of developing COVID-19 complications.</w:t>
      </w:r>
    </w:p>
    <w:p w14:paraId="22F0FB1B" w14:textId="77777777" w:rsidR="00CB5F9D" w:rsidRPr="00CB5F9D" w:rsidRDefault="00CB5F9D" w:rsidP="00CB5F9D">
      <w:pPr>
        <w:pStyle w:val="Heading4"/>
      </w:pPr>
      <w:r w:rsidRPr="00CB5F9D">
        <w:t>Keeping our equipment, systems and data secure and accessible</w:t>
      </w:r>
    </w:p>
    <w:p w14:paraId="11DDFEB3" w14:textId="77777777" w:rsidR="00CB5F9D" w:rsidRPr="00CB5F9D" w:rsidRDefault="00CB5F9D" w:rsidP="00CB5F9D">
      <w:pPr>
        <w:rPr>
          <w:rFonts w:eastAsia="Arial Unicode MS"/>
        </w:rPr>
      </w:pPr>
      <w:r w:rsidRPr="00CB5F9D">
        <w:rPr>
          <w:rFonts w:eastAsia="Arial Unicode MS"/>
        </w:rPr>
        <w:t>As we are encouraging digital innovation in the health and disability sector, people across the sector are sharing ever more data. At the same time, the number</w:t>
      </w:r>
    </w:p>
    <w:p w14:paraId="0C80C760" w14:textId="7AD1F3CA" w:rsidR="00CB5F9D" w:rsidRDefault="00CB5F9D" w:rsidP="00CB5F9D">
      <w:pPr>
        <w:rPr>
          <w:rFonts w:eastAsia="Arial Unicode MS"/>
        </w:rPr>
      </w:pPr>
      <w:r w:rsidRPr="00CB5F9D">
        <w:rPr>
          <w:rFonts w:eastAsia="Arial Unicode MS"/>
        </w:rPr>
        <w:t>of cyber-attacks on critical national infrastructure is growing.</w:t>
      </w:r>
    </w:p>
    <w:p w14:paraId="638275E1" w14:textId="77777777" w:rsidR="00CB5F9D" w:rsidRPr="00CB5F9D" w:rsidRDefault="00CB5F9D" w:rsidP="00CB5F9D">
      <w:pPr>
        <w:rPr>
          <w:rFonts w:eastAsia="Arial Unicode MS"/>
        </w:rPr>
      </w:pPr>
    </w:p>
    <w:p w14:paraId="42CB8E1C" w14:textId="14EA227D" w:rsidR="00CB5F9D" w:rsidRDefault="00CB5F9D" w:rsidP="00CB5F9D">
      <w:pPr>
        <w:rPr>
          <w:rFonts w:eastAsia="Arial Unicode MS"/>
        </w:rPr>
      </w:pPr>
      <w:r w:rsidRPr="00CB5F9D">
        <w:rPr>
          <w:rFonts w:eastAsia="Arial Unicode MS"/>
        </w:rPr>
        <w:t>In December 2021, we received approval</w:t>
      </w:r>
      <w:r>
        <w:rPr>
          <w:rFonts w:eastAsia="Arial Unicode MS"/>
        </w:rPr>
        <w:t xml:space="preserve"> </w:t>
      </w:r>
      <w:r w:rsidRPr="00CB5F9D">
        <w:rPr>
          <w:rFonts w:eastAsia="Arial Unicode MS"/>
        </w:rPr>
        <w:t>to stand up the National Cyber Security Uplift Programme. Its aims are to improve our ability to protect our health systems (and the data they contain) against cyber threats and to better enable a rapid response to cybersecurity events when they occur.</w:t>
      </w:r>
    </w:p>
    <w:p w14:paraId="7539D7B8" w14:textId="77777777" w:rsidR="00CB5F9D" w:rsidRPr="00CB5F9D" w:rsidRDefault="00CB5F9D" w:rsidP="00CB5F9D">
      <w:pPr>
        <w:rPr>
          <w:rFonts w:eastAsia="Arial Unicode MS"/>
        </w:rPr>
      </w:pPr>
    </w:p>
    <w:p w14:paraId="1617A396" w14:textId="77777777" w:rsidR="00CB5F9D" w:rsidRPr="00CB5F9D" w:rsidRDefault="00CB5F9D" w:rsidP="00CB5F9D">
      <w:pPr>
        <w:rPr>
          <w:rFonts w:eastAsia="Arial Unicode MS"/>
        </w:rPr>
      </w:pPr>
      <w:r w:rsidRPr="00CB5F9D">
        <w:rPr>
          <w:rFonts w:eastAsia="Arial Unicode MS"/>
        </w:rPr>
        <w:lastRenderedPageBreak/>
        <w:t>The programme has already increased the number of cybersecurity specialists across the health sector, including in primary care, and has implemented tools that protect against cyber-attacks.</w:t>
      </w:r>
    </w:p>
    <w:p w14:paraId="23EB7C0C" w14:textId="77777777" w:rsidR="00CB5F9D" w:rsidRPr="00CB5F9D" w:rsidRDefault="00CB5F9D" w:rsidP="00CB5F9D">
      <w:pPr>
        <w:pStyle w:val="Heading4"/>
      </w:pPr>
      <w:r w:rsidRPr="00CB5F9D">
        <w:t>Reporting on national-level analytics</w:t>
      </w:r>
    </w:p>
    <w:p w14:paraId="1C02A7F0" w14:textId="2455C475" w:rsidR="00CB5F9D" w:rsidRDefault="00CB5F9D" w:rsidP="00CB5F9D">
      <w:pPr>
        <w:rPr>
          <w:rFonts w:eastAsia="Arial Unicode MS"/>
        </w:rPr>
      </w:pPr>
      <w:r w:rsidRPr="00CB5F9D">
        <w:rPr>
          <w:rFonts w:eastAsia="Arial Unicode MS"/>
        </w:rPr>
        <w:t>We published a wide range of national- level data sets on our website, including 22 Tier 1 statistics.</w:t>
      </w:r>
    </w:p>
    <w:p w14:paraId="095E882F" w14:textId="77777777" w:rsidR="00CB5F9D" w:rsidRPr="00CB5F9D" w:rsidRDefault="00CB5F9D" w:rsidP="00CB5F9D">
      <w:pPr>
        <w:rPr>
          <w:rFonts w:eastAsia="Arial Unicode MS"/>
        </w:rPr>
      </w:pPr>
    </w:p>
    <w:p w14:paraId="2CF151EB" w14:textId="77777777" w:rsidR="00CB5F9D" w:rsidRPr="00CB5F9D" w:rsidRDefault="00CB5F9D" w:rsidP="00CB5F9D">
      <w:pPr>
        <w:rPr>
          <w:rFonts w:eastAsia="Arial Unicode MS"/>
        </w:rPr>
      </w:pPr>
      <w:r w:rsidRPr="00CB5F9D">
        <w:rPr>
          <w:rFonts w:eastAsia="Arial Unicode MS"/>
        </w:rPr>
        <w:t>At the end of 2021/22, National Collections and Reporting had 14 web tools and another 4 in development.</w:t>
      </w:r>
    </w:p>
    <w:p w14:paraId="40E072E5" w14:textId="77777777" w:rsidR="00CB5F9D" w:rsidRPr="00CB5F9D" w:rsidRDefault="00CB5F9D" w:rsidP="00CB5F9D">
      <w:pPr>
        <w:pStyle w:val="Heading4"/>
      </w:pPr>
      <w:r w:rsidRPr="00CB5F9D">
        <w:t>Strengthening our nursing workforce</w:t>
      </w:r>
    </w:p>
    <w:p w14:paraId="7DA4A2D0" w14:textId="77777777" w:rsidR="00CB5F9D" w:rsidRPr="00CB5F9D" w:rsidRDefault="00CB5F9D" w:rsidP="00CB5F9D">
      <w:pPr>
        <w:rPr>
          <w:rFonts w:eastAsia="Arial Unicode MS"/>
        </w:rPr>
      </w:pPr>
      <w:r w:rsidRPr="00CB5F9D">
        <w:rPr>
          <w:rFonts w:eastAsia="Arial Unicode MS"/>
        </w:rPr>
        <w:t>In 2021/22, we supported many initiatives to strengthen our nursing workforce across Aotearoa.</w:t>
      </w:r>
    </w:p>
    <w:p w14:paraId="19A89431" w14:textId="5048C6C4" w:rsidR="00CB5F9D" w:rsidRPr="00CB5F9D" w:rsidRDefault="00CB5F9D" w:rsidP="00CB5F9D">
      <w:pPr>
        <w:pStyle w:val="Bullet"/>
        <w:rPr>
          <w:rFonts w:eastAsia="Arial Unicode MS"/>
        </w:rPr>
      </w:pPr>
      <w:r w:rsidRPr="00CB5F9D">
        <w:rPr>
          <w:rFonts w:eastAsia="Arial Unicode MS"/>
        </w:rPr>
        <w:t>We invested a total of $26.7 million over 4 years in the professional development and support for nurses undertaking postgraduate training and graduate nurses entering the workforce in the supported New Entry to Practice programme.</w:t>
      </w:r>
    </w:p>
    <w:p w14:paraId="7349C9CE" w14:textId="3EFB16D4" w:rsidR="00CB5F9D" w:rsidRPr="00CB5F9D" w:rsidRDefault="00CB5F9D" w:rsidP="00CB5F9D">
      <w:pPr>
        <w:pStyle w:val="Bullet"/>
        <w:rPr>
          <w:rFonts w:eastAsia="Arial Unicode MS"/>
        </w:rPr>
      </w:pPr>
      <w:r w:rsidRPr="00CB5F9D">
        <w:rPr>
          <w:rFonts w:eastAsia="Arial Unicode MS"/>
        </w:rPr>
        <w:t>We funded all 534 applicants for the Voluntary Bonding Scheme’s 415 places, making it the biggest intake in more than a decade. Registrations included 70 Māori nurses and 49 Pacific nurses, the highest number in the history of the scheme. A record 179 registrations came from nurses working in mental health and addiction services.</w:t>
      </w:r>
    </w:p>
    <w:p w14:paraId="70CFD1E7" w14:textId="53C3CB8D" w:rsidR="00CB5F9D" w:rsidRPr="00CB5F9D" w:rsidRDefault="00CB5F9D" w:rsidP="00CB5F9D">
      <w:pPr>
        <w:pStyle w:val="Bullet"/>
        <w:rPr>
          <w:rFonts w:eastAsia="Arial Unicode MS"/>
        </w:rPr>
      </w:pPr>
      <w:r w:rsidRPr="00CB5F9D">
        <w:rPr>
          <w:rFonts w:eastAsia="Arial Unicode MS"/>
        </w:rPr>
        <w:t>We allocated funding to support nurses not currently practising to return to the nursing workforce.</w:t>
      </w:r>
    </w:p>
    <w:p w14:paraId="7B52C121" w14:textId="7049E948" w:rsidR="00CB5F9D" w:rsidRPr="00CB5F9D" w:rsidRDefault="00CB5F9D" w:rsidP="00CB5F9D">
      <w:pPr>
        <w:pStyle w:val="Bullet"/>
        <w:rPr>
          <w:rFonts w:eastAsia="Arial Unicode MS"/>
        </w:rPr>
      </w:pPr>
      <w:r w:rsidRPr="00CB5F9D">
        <w:rPr>
          <w:rFonts w:eastAsia="Arial Unicode MS"/>
        </w:rPr>
        <w:t xml:space="preserve"> We invested in and supported the development of 2 campaigns – one for general nursing and the other for mental health and addiction nursing.</w:t>
      </w:r>
    </w:p>
    <w:p w14:paraId="0297839C" w14:textId="062EE87C" w:rsidR="00CB5F9D" w:rsidRPr="00AC34D2" w:rsidRDefault="00CB5F9D" w:rsidP="00CB5F9D">
      <w:pPr>
        <w:pStyle w:val="Bullet"/>
        <w:rPr>
          <w:rFonts w:eastAsia="Arial Unicode MS"/>
        </w:rPr>
      </w:pPr>
      <w:r w:rsidRPr="00AC34D2">
        <w:rPr>
          <w:rFonts w:eastAsia="Arial Unicode MS"/>
        </w:rPr>
        <w:t>Drawing on $3.325 million allocated to critical care nursing workforce initiatives, we implemented a suite of initiatives</w:t>
      </w:r>
      <w:r w:rsidR="00AC34D2" w:rsidRPr="00AC34D2">
        <w:rPr>
          <w:rFonts w:eastAsia="Arial Unicode MS"/>
        </w:rPr>
        <w:t xml:space="preserve"> </w:t>
      </w:r>
      <w:r w:rsidRPr="00AC34D2">
        <w:rPr>
          <w:rFonts w:eastAsia="Arial Unicode MS"/>
        </w:rPr>
        <w:t xml:space="preserve">to support critical care units to attract, </w:t>
      </w:r>
      <w:r w:rsidR="00AC34D2" w:rsidRPr="00AC34D2">
        <w:rPr>
          <w:rFonts w:eastAsia="Arial Unicode MS"/>
        </w:rPr>
        <w:t xml:space="preserve"> </w:t>
      </w:r>
      <w:r w:rsidRPr="00AC34D2">
        <w:rPr>
          <w:rFonts w:eastAsia="Arial Unicode MS"/>
        </w:rPr>
        <w:t>develop and retain critical care nurses.</w:t>
      </w:r>
    </w:p>
    <w:p w14:paraId="09A09C3E" w14:textId="77777777" w:rsidR="00CB5F9D" w:rsidRPr="00CB5F9D" w:rsidRDefault="00CB5F9D" w:rsidP="00AC34D2">
      <w:pPr>
        <w:pStyle w:val="Heading4"/>
      </w:pPr>
      <w:r w:rsidRPr="00CB5F9D">
        <w:t>Leading the cross-agency work to transform the mental health system</w:t>
      </w:r>
    </w:p>
    <w:p w14:paraId="71969C36" w14:textId="509992D8" w:rsidR="00CB5F9D" w:rsidRDefault="00CB5F9D" w:rsidP="00CB5F9D">
      <w:pPr>
        <w:rPr>
          <w:rFonts w:eastAsia="Arial Unicode MS"/>
        </w:rPr>
      </w:pPr>
      <w:r w:rsidRPr="00CB5F9D">
        <w:rPr>
          <w:rFonts w:eastAsia="Arial Unicode MS"/>
        </w:rPr>
        <w:t>The Government has committed to a whole-of-government approach to improving New Zealanders’ mental wellbeing, and Manatū Hauora plays a key leadership role in this.</w:t>
      </w:r>
    </w:p>
    <w:p w14:paraId="2EA35258" w14:textId="77777777" w:rsidR="00AC34D2" w:rsidRPr="00CB5F9D" w:rsidRDefault="00AC34D2" w:rsidP="00CB5F9D">
      <w:pPr>
        <w:rPr>
          <w:rFonts w:eastAsia="Arial Unicode MS"/>
        </w:rPr>
      </w:pPr>
    </w:p>
    <w:p w14:paraId="39F3C276" w14:textId="4A9AC6B2" w:rsidR="00CB5F9D" w:rsidRDefault="00CB5F9D" w:rsidP="00CB5F9D">
      <w:pPr>
        <w:rPr>
          <w:rFonts w:eastAsia="Arial Unicode MS"/>
        </w:rPr>
      </w:pPr>
      <w:r w:rsidRPr="00CB5F9D">
        <w:rPr>
          <w:rFonts w:eastAsia="Arial Unicode MS"/>
        </w:rPr>
        <w:t>Many interwoven social, cultural, environmental and economic factors influence the mental wellbeing of individuals and whānau. A joined-up approach across agencies is important to build robust support systems.</w:t>
      </w:r>
    </w:p>
    <w:p w14:paraId="2EC57481" w14:textId="77777777" w:rsidR="00AC34D2" w:rsidRPr="00CB5F9D" w:rsidRDefault="00AC34D2" w:rsidP="00CB5F9D">
      <w:pPr>
        <w:rPr>
          <w:rFonts w:eastAsia="Arial Unicode MS"/>
        </w:rPr>
      </w:pPr>
    </w:p>
    <w:p w14:paraId="5778075A" w14:textId="77777777" w:rsidR="00CB5F9D" w:rsidRPr="00CB5F9D" w:rsidRDefault="00CB5F9D" w:rsidP="00CB5F9D">
      <w:pPr>
        <w:rPr>
          <w:rFonts w:eastAsia="Arial Unicode MS"/>
        </w:rPr>
      </w:pPr>
      <w:r w:rsidRPr="00CB5F9D">
        <w:rPr>
          <w:rFonts w:eastAsia="Arial Unicode MS"/>
        </w:rPr>
        <w:t>The response to COVID-19 demonstrated how government agencies can</w:t>
      </w:r>
    </w:p>
    <w:p w14:paraId="32BEE369" w14:textId="77777777" w:rsidR="00CB5F9D" w:rsidRPr="00CB5F9D" w:rsidRDefault="00CB5F9D" w:rsidP="00CB5F9D">
      <w:pPr>
        <w:rPr>
          <w:rFonts w:eastAsia="Arial Unicode MS"/>
        </w:rPr>
      </w:pPr>
      <w:r w:rsidRPr="00CB5F9D">
        <w:rPr>
          <w:rFonts w:eastAsia="Arial Unicode MS"/>
        </w:rPr>
        <w:t>work successfully together and with communities to support wellbeing.</w:t>
      </w:r>
    </w:p>
    <w:p w14:paraId="6026F335" w14:textId="77777777" w:rsidR="00CB5F9D" w:rsidRPr="00CB5F9D" w:rsidRDefault="00CB5F9D" w:rsidP="00AC34D2">
      <w:pPr>
        <w:pStyle w:val="Heading4"/>
      </w:pPr>
      <w:r w:rsidRPr="00CB5F9D">
        <w:lastRenderedPageBreak/>
        <w:t>Health Sector Agreements and Payments Programme</w:t>
      </w:r>
    </w:p>
    <w:p w14:paraId="514D1DB5" w14:textId="2A84F570" w:rsidR="00CB5F9D" w:rsidRDefault="00CB5F9D" w:rsidP="00CB5F9D">
      <w:pPr>
        <w:rPr>
          <w:rFonts w:eastAsia="Arial Unicode MS"/>
        </w:rPr>
      </w:pPr>
      <w:r w:rsidRPr="00CB5F9D">
        <w:rPr>
          <w:rFonts w:eastAsia="Arial Unicode MS"/>
        </w:rPr>
        <w:t>The Health Sector Agreements and Payments (HSAAP) Programme will progressively replace the legacy systems the Ministry has used to manage agreements and distribute payments on behalf of the Crown.</w:t>
      </w:r>
    </w:p>
    <w:p w14:paraId="49C88FBF" w14:textId="77777777" w:rsidR="008F524E" w:rsidRPr="00CB5F9D" w:rsidRDefault="008F524E" w:rsidP="00CB5F9D">
      <w:pPr>
        <w:rPr>
          <w:rFonts w:eastAsia="Arial Unicode MS"/>
        </w:rPr>
      </w:pPr>
    </w:p>
    <w:p w14:paraId="16798059" w14:textId="68134A88" w:rsidR="00CB5F9D" w:rsidRDefault="00CB5F9D" w:rsidP="00CB5F9D">
      <w:pPr>
        <w:rPr>
          <w:rFonts w:eastAsia="Arial Unicode MS"/>
        </w:rPr>
      </w:pPr>
      <w:r w:rsidRPr="00CB5F9D">
        <w:rPr>
          <w:rFonts w:eastAsia="Arial Unicode MS"/>
        </w:rPr>
        <w:t>The new system will provide the flexibility to respond to the changing needs of New Zealanders, the sector and the health and disability system reforms.</w:t>
      </w:r>
    </w:p>
    <w:p w14:paraId="471F4329" w14:textId="77777777" w:rsidR="00AC34D2" w:rsidRPr="00CB5F9D" w:rsidRDefault="00AC34D2" w:rsidP="00CB5F9D">
      <w:pPr>
        <w:rPr>
          <w:rFonts w:eastAsia="Arial Unicode MS"/>
        </w:rPr>
      </w:pPr>
    </w:p>
    <w:p w14:paraId="7A311C5E" w14:textId="62703816" w:rsidR="00AC34D2" w:rsidRDefault="00CB5F9D" w:rsidP="00AC34D2">
      <w:pPr>
        <w:rPr>
          <w:rFonts w:eastAsia="Arial Unicode MS"/>
        </w:rPr>
      </w:pPr>
      <w:r w:rsidRPr="00CB5F9D">
        <w:rPr>
          <w:rFonts w:eastAsia="Arial Unicode MS"/>
        </w:rPr>
        <w:t>The Ministry was responsible for managing agreements between funders and providers of health and disability community-based care, processing</w:t>
      </w:r>
      <w:r w:rsidR="00AC34D2">
        <w:rPr>
          <w:rFonts w:eastAsia="Arial Unicode MS"/>
        </w:rPr>
        <w:t xml:space="preserve"> </w:t>
      </w:r>
      <w:r w:rsidR="00AC34D2" w:rsidRPr="00AC34D2">
        <w:rPr>
          <w:rFonts w:eastAsia="Arial Unicode MS"/>
        </w:rPr>
        <w:t>approximately 120 million transactions and distributing over $12 billion each year in payments for services provided under these agreements.</w:t>
      </w:r>
    </w:p>
    <w:p w14:paraId="062486FA" w14:textId="77777777" w:rsidR="00AC34D2" w:rsidRPr="00AC34D2" w:rsidRDefault="00AC34D2" w:rsidP="00AC34D2">
      <w:pPr>
        <w:rPr>
          <w:rFonts w:eastAsia="Arial Unicode MS"/>
        </w:rPr>
      </w:pPr>
    </w:p>
    <w:p w14:paraId="491A4799" w14:textId="77777777" w:rsidR="00AC34D2" w:rsidRPr="00AC34D2" w:rsidRDefault="00AC34D2" w:rsidP="00AC34D2">
      <w:pPr>
        <w:rPr>
          <w:rFonts w:eastAsia="Arial Unicode MS"/>
        </w:rPr>
      </w:pPr>
      <w:r w:rsidRPr="00AC34D2">
        <w:rPr>
          <w:rFonts w:eastAsia="Arial Unicode MS"/>
        </w:rPr>
        <w:t>The HSAAP Programme supports the system reforms by addressing equity issues and improving the availability of agreements and payments data to health system users (including policy and decision-makers). It also removes</w:t>
      </w:r>
    </w:p>
    <w:p w14:paraId="10399652" w14:textId="77777777" w:rsidR="00AC34D2" w:rsidRPr="00AC34D2" w:rsidRDefault="00AC34D2" w:rsidP="00AC34D2">
      <w:pPr>
        <w:rPr>
          <w:rFonts w:eastAsia="Arial Unicode MS"/>
        </w:rPr>
      </w:pPr>
      <w:r w:rsidRPr="00AC34D2">
        <w:rPr>
          <w:rFonts w:eastAsia="Arial Unicode MS"/>
        </w:rPr>
        <w:t>the growing risk that the current legacy systems will fail.</w:t>
      </w:r>
    </w:p>
    <w:p w14:paraId="0C48842F" w14:textId="77777777" w:rsidR="00AC34D2" w:rsidRPr="00AC34D2" w:rsidRDefault="00AC34D2" w:rsidP="00AC34D2">
      <w:pPr>
        <w:pStyle w:val="Heading4"/>
      </w:pPr>
      <w:r w:rsidRPr="00AC34D2">
        <w:t>Acute care and demand</w:t>
      </w:r>
    </w:p>
    <w:p w14:paraId="5503C1FC" w14:textId="425AD646" w:rsidR="00AC34D2" w:rsidRDefault="00AC34D2" w:rsidP="00AC34D2">
      <w:pPr>
        <w:rPr>
          <w:rFonts w:eastAsia="Arial Unicode MS"/>
        </w:rPr>
      </w:pPr>
      <w:r w:rsidRPr="00AC34D2">
        <w:rPr>
          <w:rFonts w:eastAsia="Arial Unicode MS"/>
        </w:rPr>
        <w:t>The Ministry and DHBs collaborated over 2021 and developed an acute care work programme with contribution from DHBs, the ambulance sector, aged care and primary care. The Ministry strengthened its strategic role in guiding the system in its response to acute demand.</w:t>
      </w:r>
    </w:p>
    <w:p w14:paraId="31DB10C6" w14:textId="77777777" w:rsidR="00AC34D2" w:rsidRPr="00AC34D2" w:rsidRDefault="00AC34D2" w:rsidP="00AC34D2">
      <w:pPr>
        <w:rPr>
          <w:rFonts w:eastAsia="Arial Unicode MS"/>
        </w:rPr>
      </w:pPr>
    </w:p>
    <w:p w14:paraId="505D6A20" w14:textId="2F2CF4E4" w:rsidR="00AC34D2" w:rsidRPr="00AC34D2" w:rsidRDefault="00AC34D2" w:rsidP="00AC34D2">
      <w:pPr>
        <w:rPr>
          <w:rFonts w:eastAsia="Arial Unicode MS"/>
        </w:rPr>
      </w:pPr>
      <w:r w:rsidRPr="00AC34D2">
        <w:rPr>
          <w:rFonts w:eastAsia="Arial Unicode MS"/>
        </w:rPr>
        <w:t>The programme has had good</w:t>
      </w:r>
      <w:r>
        <w:rPr>
          <w:rFonts w:eastAsia="Arial Unicode MS"/>
        </w:rPr>
        <w:t xml:space="preserve"> </w:t>
      </w:r>
      <w:r w:rsidRPr="00AC34D2">
        <w:rPr>
          <w:rFonts w:eastAsia="Arial Unicode MS"/>
        </w:rPr>
        <w:t>engagement from the health sector.</w:t>
      </w:r>
    </w:p>
    <w:p w14:paraId="3B7F0296" w14:textId="77777777" w:rsidR="00AC34D2" w:rsidRDefault="00AC34D2" w:rsidP="00AC34D2">
      <w:pPr>
        <w:rPr>
          <w:rFonts w:eastAsia="Arial Unicode MS"/>
        </w:rPr>
      </w:pPr>
    </w:p>
    <w:p w14:paraId="2ABD1CD3" w14:textId="6ABBA392" w:rsidR="00AC34D2" w:rsidRPr="00AC34D2" w:rsidRDefault="00AC34D2" w:rsidP="00AC34D2">
      <w:pPr>
        <w:rPr>
          <w:rFonts w:eastAsia="Arial Unicode MS"/>
        </w:rPr>
      </w:pPr>
      <w:r w:rsidRPr="00AC34D2">
        <w:rPr>
          <w:rFonts w:eastAsia="Arial Unicode MS"/>
        </w:rPr>
        <w:t>Over the last year, the programme:</w:t>
      </w:r>
    </w:p>
    <w:p w14:paraId="3407A445" w14:textId="3048D127" w:rsidR="00AC34D2" w:rsidRPr="00AC34D2" w:rsidRDefault="00AC34D2" w:rsidP="00AC34D2">
      <w:pPr>
        <w:pStyle w:val="Bullet"/>
        <w:rPr>
          <w:rFonts w:eastAsia="Arial Unicode MS"/>
        </w:rPr>
      </w:pPr>
      <w:r w:rsidRPr="00AC34D2">
        <w:rPr>
          <w:rFonts w:eastAsia="Arial Unicode MS"/>
        </w:rPr>
        <w:t>provided support for individual DHBs that had identified issues in acute flow</w:t>
      </w:r>
    </w:p>
    <w:p w14:paraId="2435A7D6" w14:textId="5104E9AD" w:rsidR="00AC34D2" w:rsidRPr="00AC34D2" w:rsidRDefault="00AC34D2" w:rsidP="00AC34D2">
      <w:pPr>
        <w:pStyle w:val="Bullet"/>
        <w:rPr>
          <w:rFonts w:eastAsia="Arial Unicode MS"/>
        </w:rPr>
      </w:pPr>
      <w:r w:rsidRPr="00AC34D2">
        <w:rPr>
          <w:rFonts w:eastAsia="Arial Unicode MS"/>
        </w:rPr>
        <w:t>shared lessons learned and effective processes across DHBs</w:t>
      </w:r>
    </w:p>
    <w:p w14:paraId="39747C22" w14:textId="4CBD9967" w:rsidR="00AC34D2" w:rsidRPr="00AC34D2" w:rsidRDefault="00AC34D2" w:rsidP="00AC34D2">
      <w:pPr>
        <w:pStyle w:val="Bullet"/>
        <w:rPr>
          <w:rFonts w:eastAsia="Arial Unicode MS"/>
        </w:rPr>
      </w:pPr>
      <w:r w:rsidRPr="00AC34D2">
        <w:rPr>
          <w:rFonts w:eastAsia="Arial Unicode MS"/>
        </w:rPr>
        <w:t>provided national support by developing resources in targeted areas aligned to data and insights</w:t>
      </w:r>
    </w:p>
    <w:p w14:paraId="44CAF174" w14:textId="0AB48841" w:rsidR="00AC34D2" w:rsidRPr="00AC34D2" w:rsidRDefault="00AC34D2" w:rsidP="00AC34D2">
      <w:pPr>
        <w:pStyle w:val="Bullet"/>
        <w:rPr>
          <w:rFonts w:eastAsia="Arial Unicode MS"/>
        </w:rPr>
      </w:pPr>
      <w:r w:rsidRPr="00AC34D2">
        <w:rPr>
          <w:rFonts w:eastAsia="Arial Unicode MS"/>
        </w:rPr>
        <w:t>supported pilot DHB-run programmes that allow change programmes to be developed and rolled out nationally over time (eg, on weekend discharge)</w:t>
      </w:r>
    </w:p>
    <w:p w14:paraId="389DC575" w14:textId="6E6C214D" w:rsidR="00AC34D2" w:rsidRPr="00AC34D2" w:rsidRDefault="00AC34D2" w:rsidP="00AC34D2">
      <w:pPr>
        <w:pStyle w:val="Bullet"/>
        <w:rPr>
          <w:rFonts w:eastAsia="Arial Unicode MS"/>
        </w:rPr>
      </w:pPr>
      <w:r w:rsidRPr="00AC34D2">
        <w:rPr>
          <w:rFonts w:eastAsia="Arial Unicode MS"/>
        </w:rPr>
        <w:t>provided more up-to-date data on emergency department waiting times through weekly reporting of key metrics from emergency departments</w:t>
      </w:r>
    </w:p>
    <w:p w14:paraId="19B42118" w14:textId="6BF96053" w:rsidR="00CE34E8" w:rsidRDefault="00AC34D2" w:rsidP="00AC34D2">
      <w:pPr>
        <w:pStyle w:val="Bullet"/>
        <w:rPr>
          <w:rFonts w:eastAsia="Arial Unicode MS"/>
        </w:rPr>
      </w:pPr>
      <w:r w:rsidRPr="00AC34D2">
        <w:rPr>
          <w:rFonts w:eastAsia="Arial Unicode MS"/>
        </w:rPr>
        <w:t>established an acute care advisory group to identify workstreams to support improved acute and wider system flow.</w:t>
      </w:r>
    </w:p>
    <w:p w14:paraId="55390183" w14:textId="77777777" w:rsidR="000210F5" w:rsidRPr="00216075" w:rsidRDefault="000210F5" w:rsidP="00216075">
      <w:pPr>
        <w:pStyle w:val="Heading3"/>
        <w:ind w:left="709" w:hanging="709"/>
      </w:pPr>
      <w:bookmarkStart w:id="27" w:name="_Toc117264935"/>
      <w:r w:rsidRPr="00216075">
        <w:t>4.</w:t>
      </w:r>
      <w:r w:rsidRPr="00216075">
        <w:tab/>
        <w:t>Providing support and advice focused on the person’s needs, for all people in New Zealand</w:t>
      </w:r>
      <w:bookmarkEnd w:id="27"/>
    </w:p>
    <w:p w14:paraId="06A505E5" w14:textId="25729C16" w:rsidR="000210F5" w:rsidRDefault="000210F5" w:rsidP="000210F5">
      <w:pPr>
        <w:rPr>
          <w:rFonts w:eastAsia="Arial Unicode MS"/>
        </w:rPr>
      </w:pPr>
      <w:r w:rsidRPr="000210F5">
        <w:rPr>
          <w:rFonts w:eastAsia="Arial Unicode MS"/>
        </w:rPr>
        <w:t>We work collectively with people and communities to make smart, informed and transparent decisions about the design and delivery of services.</w:t>
      </w:r>
    </w:p>
    <w:p w14:paraId="38DAC82B" w14:textId="77777777" w:rsidR="000210F5" w:rsidRPr="000210F5" w:rsidRDefault="000210F5" w:rsidP="000210F5">
      <w:pPr>
        <w:rPr>
          <w:rFonts w:eastAsia="Arial Unicode MS"/>
        </w:rPr>
      </w:pPr>
    </w:p>
    <w:p w14:paraId="03DFDD77" w14:textId="77777777" w:rsidR="000210F5" w:rsidRPr="000210F5" w:rsidRDefault="000210F5" w:rsidP="000210F5">
      <w:pPr>
        <w:rPr>
          <w:rFonts w:eastAsia="Arial Unicode MS"/>
        </w:rPr>
      </w:pPr>
      <w:r w:rsidRPr="000210F5">
        <w:rPr>
          <w:rFonts w:eastAsia="Arial Unicode MS"/>
        </w:rPr>
        <w:lastRenderedPageBreak/>
        <w:t>We harness the lived experience and expertise in the wider system to improve outcomes and quality of life. This year, we have taken the following actions to make health and disability services safe, sustainable and people-centred.</w:t>
      </w:r>
    </w:p>
    <w:p w14:paraId="3E3FC558" w14:textId="77777777" w:rsidR="000210F5" w:rsidRPr="000210F5" w:rsidRDefault="000210F5" w:rsidP="000210F5">
      <w:pPr>
        <w:pStyle w:val="Heading4"/>
      </w:pPr>
      <w:r w:rsidRPr="000210F5">
        <w:t>Surveying the health of New Zealanders</w:t>
      </w:r>
    </w:p>
    <w:p w14:paraId="2F8293C4" w14:textId="3C3DDABC" w:rsidR="000210F5" w:rsidRDefault="000210F5" w:rsidP="000210F5">
      <w:pPr>
        <w:rPr>
          <w:rFonts w:eastAsia="Arial Unicode MS"/>
        </w:rPr>
      </w:pPr>
      <w:r w:rsidRPr="000210F5">
        <w:rPr>
          <w:rFonts w:eastAsia="Arial Unicode MS"/>
        </w:rPr>
        <w:t>Each year, the New Zealand Health Survey provides timely, reliable and relevant health information about people’s health and wellbeing that cannot be collected as efficiently from other sources. The survey gathers information on population health, health risks and protective factors.</w:t>
      </w:r>
    </w:p>
    <w:p w14:paraId="2BFD3238" w14:textId="77777777" w:rsidR="000210F5" w:rsidRPr="000210F5" w:rsidRDefault="000210F5" w:rsidP="000210F5">
      <w:pPr>
        <w:rPr>
          <w:rFonts w:eastAsia="Arial Unicode MS"/>
        </w:rPr>
      </w:pPr>
    </w:p>
    <w:p w14:paraId="3F6B9507" w14:textId="2B7C529B" w:rsidR="000210F5" w:rsidRDefault="000210F5" w:rsidP="000210F5">
      <w:pPr>
        <w:rPr>
          <w:rFonts w:eastAsia="Arial Unicode MS"/>
        </w:rPr>
      </w:pPr>
      <w:r w:rsidRPr="000210F5">
        <w:rPr>
          <w:rFonts w:eastAsia="Arial Unicode MS"/>
        </w:rPr>
        <w:t>The 2020/21 results were based on data collected between September 2020 and August 2021. They provided some insights into the impact of the COVID-19 pandemic on the health of New Zealanders.</w:t>
      </w:r>
    </w:p>
    <w:p w14:paraId="5B79C9FE" w14:textId="77777777" w:rsidR="000210F5" w:rsidRPr="000210F5" w:rsidRDefault="000210F5" w:rsidP="000210F5">
      <w:pPr>
        <w:rPr>
          <w:rFonts w:eastAsia="Arial Unicode MS"/>
        </w:rPr>
      </w:pPr>
    </w:p>
    <w:p w14:paraId="1D410AAE" w14:textId="6A46EC43" w:rsidR="000210F5" w:rsidRDefault="000210F5" w:rsidP="000210F5">
      <w:pPr>
        <w:rPr>
          <w:rFonts w:eastAsia="Arial Unicode MS"/>
        </w:rPr>
      </w:pPr>
      <w:r w:rsidRPr="000210F5">
        <w:rPr>
          <w:rFonts w:eastAsia="Arial Unicode MS"/>
        </w:rPr>
        <w:t>The survey showed that while most Kiwis were in good health, psychological distress had increased since the year before: nearly one in 10 adults reported experiencing it.</w:t>
      </w:r>
    </w:p>
    <w:p w14:paraId="3DE2C21F" w14:textId="77777777" w:rsidR="000210F5" w:rsidRPr="000210F5" w:rsidRDefault="000210F5" w:rsidP="000210F5">
      <w:pPr>
        <w:rPr>
          <w:rFonts w:eastAsia="Arial Unicode MS"/>
        </w:rPr>
      </w:pPr>
    </w:p>
    <w:p w14:paraId="63438695" w14:textId="77777777" w:rsidR="000210F5" w:rsidRPr="000210F5" w:rsidRDefault="000210F5" w:rsidP="000210F5">
      <w:pPr>
        <w:rPr>
          <w:rFonts w:eastAsia="Arial Unicode MS"/>
        </w:rPr>
      </w:pPr>
      <w:r w:rsidRPr="000210F5">
        <w:rPr>
          <w:rFonts w:eastAsia="Arial Unicode MS"/>
        </w:rPr>
        <w:t>Notably, daily smoking rates continued to fall, down to 9.4% from 11.9% the</w:t>
      </w:r>
    </w:p>
    <w:p w14:paraId="308EE602" w14:textId="3F3DFBCC" w:rsidR="000210F5" w:rsidRDefault="000210F5" w:rsidP="000210F5">
      <w:pPr>
        <w:rPr>
          <w:rFonts w:eastAsia="Arial Unicode MS"/>
        </w:rPr>
      </w:pPr>
      <w:r w:rsidRPr="000210F5">
        <w:rPr>
          <w:rFonts w:eastAsia="Arial Unicode MS"/>
        </w:rPr>
        <w:t>year before, while e-cigarette use had increased. Māori (22.3%) and Pacific (16.4%) adults reported higher smoking rates than other ethnic groups.</w:t>
      </w:r>
    </w:p>
    <w:p w14:paraId="47F1A776" w14:textId="77777777" w:rsidR="000210F5" w:rsidRPr="000210F5" w:rsidRDefault="000210F5" w:rsidP="000210F5">
      <w:pPr>
        <w:rPr>
          <w:rFonts w:eastAsia="Arial Unicode MS"/>
        </w:rPr>
      </w:pPr>
    </w:p>
    <w:p w14:paraId="751AB96F" w14:textId="1CB2385B" w:rsidR="000210F5" w:rsidRDefault="000210F5" w:rsidP="000210F5">
      <w:pPr>
        <w:rPr>
          <w:rFonts w:eastAsia="Arial Unicode MS"/>
        </w:rPr>
      </w:pPr>
      <w:r w:rsidRPr="000210F5">
        <w:rPr>
          <w:rFonts w:eastAsia="Arial Unicode MS"/>
        </w:rPr>
        <w:t>The survey also highlighted that obesity had increased since the year before for both adults and children. About 1.5 million New Zealanders were obese in 2020/21.</w:t>
      </w:r>
    </w:p>
    <w:p w14:paraId="7C28B067" w14:textId="77777777" w:rsidR="000210F5" w:rsidRPr="000210F5" w:rsidRDefault="000210F5" w:rsidP="000210F5">
      <w:pPr>
        <w:rPr>
          <w:rFonts w:eastAsia="Arial Unicode MS"/>
        </w:rPr>
      </w:pPr>
    </w:p>
    <w:p w14:paraId="72AA477B" w14:textId="04B812C9" w:rsidR="000210F5" w:rsidRPr="000210F5" w:rsidRDefault="000210F5" w:rsidP="000210F5">
      <w:pPr>
        <w:rPr>
          <w:rFonts w:eastAsia="Arial Unicode MS"/>
        </w:rPr>
      </w:pPr>
      <w:r w:rsidRPr="000210F5">
        <w:rPr>
          <w:rFonts w:eastAsia="Arial Unicode MS"/>
        </w:rPr>
        <w:t>We use the Health Survey results to inform our initiatives and work programmes to improve the health of New Zealanders</w:t>
      </w:r>
      <w:r>
        <w:rPr>
          <w:rFonts w:eastAsia="Arial Unicode MS"/>
        </w:rPr>
        <w:t xml:space="preserve"> </w:t>
      </w:r>
      <w:r w:rsidRPr="000210F5">
        <w:rPr>
          <w:rFonts w:eastAsia="Arial Unicode MS"/>
        </w:rPr>
        <w:t>in areas such as smoking, hazardous drinking, obesity, mental health and addiction, access to health care, oral health, Māori health, Pacific health and Rainbow community health. The 2021/22 Health Survey results will be published in November 2022.</w:t>
      </w:r>
    </w:p>
    <w:p w14:paraId="098528F5" w14:textId="77777777" w:rsidR="000210F5" w:rsidRPr="000210F5" w:rsidRDefault="000210F5" w:rsidP="000210F5">
      <w:pPr>
        <w:pStyle w:val="Heading4"/>
      </w:pPr>
      <w:r w:rsidRPr="000210F5">
        <w:t>Social licence survey on how we should use people’s health data</w:t>
      </w:r>
    </w:p>
    <w:p w14:paraId="5480E870" w14:textId="2E98FEB4" w:rsidR="000210F5" w:rsidRDefault="000210F5" w:rsidP="000210F5">
      <w:pPr>
        <w:rPr>
          <w:rFonts w:eastAsia="Arial Unicode MS"/>
        </w:rPr>
      </w:pPr>
      <w:r w:rsidRPr="000210F5">
        <w:rPr>
          <w:rFonts w:eastAsia="Arial Unicode MS"/>
        </w:rPr>
        <w:t>We understand that the health data we hold belongs to New Zealanders. We have a responsibility to provide effective and appropriate kaitiakitanga over that data.</w:t>
      </w:r>
    </w:p>
    <w:p w14:paraId="3E6FFEDB" w14:textId="77777777" w:rsidR="000210F5" w:rsidRPr="000210F5" w:rsidRDefault="000210F5" w:rsidP="000210F5">
      <w:pPr>
        <w:rPr>
          <w:rFonts w:eastAsia="Arial Unicode MS"/>
        </w:rPr>
      </w:pPr>
    </w:p>
    <w:p w14:paraId="7A015119" w14:textId="2E3F65DC" w:rsidR="000210F5" w:rsidRDefault="000210F5" w:rsidP="000210F5">
      <w:pPr>
        <w:rPr>
          <w:rFonts w:eastAsia="Arial Unicode MS"/>
        </w:rPr>
      </w:pPr>
      <w:r w:rsidRPr="000210F5">
        <w:rPr>
          <w:rFonts w:eastAsia="Arial Unicode MS"/>
        </w:rPr>
        <w:t>In late 2021, the Ministry commissioned a survey of the public of Aotearoa to understand their views about how we</w:t>
      </w:r>
      <w:r>
        <w:rPr>
          <w:rFonts w:eastAsia="Arial Unicode MS"/>
        </w:rPr>
        <w:t xml:space="preserve"> </w:t>
      </w:r>
      <w:r w:rsidRPr="000210F5">
        <w:rPr>
          <w:rFonts w:eastAsia="Arial Unicode MS"/>
        </w:rPr>
        <w:t>should use their health data. The insights from this mahi will help us to use health data appropriately as we enhance evidence-based decision-making across the health and disability sector.</w:t>
      </w:r>
    </w:p>
    <w:p w14:paraId="513369BC" w14:textId="77777777" w:rsidR="008F524E" w:rsidRPr="000210F5" w:rsidRDefault="008F524E" w:rsidP="000210F5">
      <w:pPr>
        <w:rPr>
          <w:rFonts w:eastAsia="Arial Unicode MS"/>
        </w:rPr>
      </w:pPr>
    </w:p>
    <w:p w14:paraId="1BDBE69E" w14:textId="77AC51AE" w:rsidR="000210F5" w:rsidRPr="000210F5" w:rsidRDefault="000210F5" w:rsidP="000210F5">
      <w:pPr>
        <w:rPr>
          <w:rFonts w:eastAsia="Arial Unicode MS"/>
        </w:rPr>
      </w:pPr>
      <w:r w:rsidRPr="000210F5">
        <w:rPr>
          <w:rFonts w:eastAsia="Arial Unicode MS"/>
        </w:rPr>
        <w:t>A total of 2,572 people who had previously responded to the New Zealand Health Survey participated in the online survey.</w:t>
      </w:r>
      <w:r>
        <w:rPr>
          <w:rFonts w:eastAsia="Arial Unicode MS"/>
        </w:rPr>
        <w:t xml:space="preserve"> </w:t>
      </w:r>
      <w:r w:rsidRPr="000210F5">
        <w:rPr>
          <w:rFonts w:eastAsia="Arial Unicode MS"/>
        </w:rPr>
        <w:t>The survey provided clear evidence that a significant majority of New Zealanders are comfortable with us reusing their</w:t>
      </w:r>
    </w:p>
    <w:p w14:paraId="5E2B092C" w14:textId="77777777" w:rsidR="000210F5" w:rsidRPr="000210F5" w:rsidRDefault="000210F5" w:rsidP="000210F5">
      <w:pPr>
        <w:rPr>
          <w:rFonts w:eastAsia="Arial Unicode MS"/>
        </w:rPr>
      </w:pPr>
      <w:r w:rsidRPr="000210F5">
        <w:rPr>
          <w:rFonts w:eastAsia="Arial Unicode MS"/>
        </w:rPr>
        <w:t>health data, provided that we meet certain conditions.</w:t>
      </w:r>
    </w:p>
    <w:p w14:paraId="340BCBA8" w14:textId="77777777" w:rsidR="000210F5" w:rsidRPr="000210F5" w:rsidRDefault="000210F5" w:rsidP="000210F5">
      <w:pPr>
        <w:pStyle w:val="Heading4"/>
      </w:pPr>
      <w:r w:rsidRPr="000210F5">
        <w:lastRenderedPageBreak/>
        <w:t>Establishing the Aged Care Commissioner</w:t>
      </w:r>
    </w:p>
    <w:p w14:paraId="30F09822" w14:textId="1D6F0780" w:rsidR="000210F5" w:rsidRDefault="000210F5" w:rsidP="000210F5">
      <w:pPr>
        <w:rPr>
          <w:rFonts w:eastAsia="Arial Unicode MS"/>
        </w:rPr>
      </w:pPr>
      <w:r w:rsidRPr="000210F5">
        <w:rPr>
          <w:rFonts w:eastAsia="Arial Unicode MS"/>
        </w:rPr>
        <w:t>As part of Budget 2021, the Government announced funding to establish the Aged Care Commissioner. It created the role to provide greater strategic</w:t>
      </w:r>
      <w:r>
        <w:rPr>
          <w:rFonts w:eastAsia="Arial Unicode MS"/>
        </w:rPr>
        <w:t xml:space="preserve"> </w:t>
      </w:r>
      <w:r w:rsidRPr="000210F5">
        <w:rPr>
          <w:rFonts w:eastAsia="Arial Unicode MS"/>
        </w:rPr>
        <w:t>oversight and leadership, monitor system</w:t>
      </w:r>
      <w:r>
        <w:rPr>
          <w:rFonts w:eastAsia="Arial Unicode MS"/>
        </w:rPr>
        <w:t xml:space="preserve"> </w:t>
      </w:r>
      <w:r w:rsidRPr="000210F5">
        <w:rPr>
          <w:rFonts w:eastAsia="Arial Unicode MS"/>
        </w:rPr>
        <w:t xml:space="preserve">performance and advocate on behalf of older consumers and their whānau for better health and disability services. The Aged Care </w:t>
      </w:r>
      <w:r w:rsidR="008F524E">
        <w:rPr>
          <w:rFonts w:eastAsia="Arial Unicode MS"/>
        </w:rPr>
        <w:t>C</w:t>
      </w:r>
      <w:r w:rsidRPr="000210F5">
        <w:rPr>
          <w:rFonts w:eastAsia="Arial Unicode MS"/>
        </w:rPr>
        <w:t>ommissioner contributes</w:t>
      </w:r>
      <w:r>
        <w:rPr>
          <w:rFonts w:eastAsia="Arial Unicode MS"/>
        </w:rPr>
        <w:t xml:space="preserve"> </w:t>
      </w:r>
      <w:r w:rsidRPr="000210F5">
        <w:rPr>
          <w:rFonts w:eastAsia="Arial Unicode MS"/>
        </w:rPr>
        <w:t>to providing older people with access to high-quality care. The role is situated as a Deputy Commissioner reporting to the Health and Disability Commissioner.</w:t>
      </w:r>
    </w:p>
    <w:p w14:paraId="209EC418" w14:textId="77777777" w:rsidR="000210F5" w:rsidRPr="000210F5" w:rsidRDefault="000210F5" w:rsidP="000210F5">
      <w:pPr>
        <w:rPr>
          <w:rFonts w:eastAsia="Arial Unicode MS"/>
        </w:rPr>
      </w:pPr>
    </w:p>
    <w:p w14:paraId="190916B6" w14:textId="77777777" w:rsidR="000210F5" w:rsidRPr="000210F5" w:rsidRDefault="000210F5" w:rsidP="000210F5">
      <w:pPr>
        <w:rPr>
          <w:rFonts w:eastAsia="Arial Unicode MS"/>
        </w:rPr>
      </w:pPr>
      <w:r w:rsidRPr="000210F5">
        <w:rPr>
          <w:rFonts w:eastAsia="Arial Unicode MS"/>
        </w:rPr>
        <w:t>The inaugural Aged Care Commissioner began in the role in March 2022.</w:t>
      </w:r>
    </w:p>
    <w:p w14:paraId="0CB90D1A" w14:textId="6BAD2BDB" w:rsidR="000210F5" w:rsidRPr="000210F5" w:rsidRDefault="000210F5" w:rsidP="000210F5">
      <w:pPr>
        <w:pStyle w:val="Heading4"/>
      </w:pPr>
      <w:r w:rsidRPr="000210F5">
        <w:t>Assisted dying – end of life choice</w:t>
      </w:r>
    </w:p>
    <w:p w14:paraId="32384EC6" w14:textId="77777777" w:rsidR="000210F5" w:rsidRPr="000210F5" w:rsidRDefault="000210F5" w:rsidP="000210F5">
      <w:pPr>
        <w:rPr>
          <w:rFonts w:eastAsia="Arial Unicode MS"/>
        </w:rPr>
      </w:pPr>
      <w:r w:rsidRPr="000210F5">
        <w:rPr>
          <w:rFonts w:eastAsia="Arial Unicode MS"/>
        </w:rPr>
        <w:t>The End of Life Choice Act 2019 (the Act) came into force on 7 November 2021.</w:t>
      </w:r>
    </w:p>
    <w:p w14:paraId="3532E1D7" w14:textId="05D583DF" w:rsidR="000210F5" w:rsidRDefault="000210F5" w:rsidP="000210F5">
      <w:pPr>
        <w:rPr>
          <w:rFonts w:eastAsia="Arial Unicode MS"/>
        </w:rPr>
      </w:pPr>
      <w:r w:rsidRPr="000210F5">
        <w:rPr>
          <w:rFonts w:eastAsia="Arial Unicode MS"/>
        </w:rPr>
        <w:t>This Act gave eligible people access to the Assisted Dying Service in Aotearoa. The Ministry led the planning of the implementation of the Act during the year up to 7 November.</w:t>
      </w:r>
    </w:p>
    <w:p w14:paraId="6B30A97F" w14:textId="77777777" w:rsidR="000210F5" w:rsidRPr="000210F5" w:rsidRDefault="000210F5" w:rsidP="000210F5">
      <w:pPr>
        <w:rPr>
          <w:rFonts w:eastAsia="Arial Unicode MS"/>
        </w:rPr>
      </w:pPr>
    </w:p>
    <w:p w14:paraId="7C0EBBC2" w14:textId="477F7DAF" w:rsidR="000210F5" w:rsidRDefault="000210F5" w:rsidP="000210F5">
      <w:pPr>
        <w:rPr>
          <w:rFonts w:eastAsia="Arial Unicode MS"/>
        </w:rPr>
      </w:pPr>
      <w:r w:rsidRPr="000210F5">
        <w:rPr>
          <w:rFonts w:eastAsia="Arial Unicode MS"/>
        </w:rPr>
        <w:t>In the period 7 November 2021 to 31 March 2022, the Assisted Dying Service received 206 applications to access assisted dying. The annual report to the Minister from the Registrar (assisted dying) provides more detail on the statistics for the Service.</w:t>
      </w:r>
    </w:p>
    <w:p w14:paraId="010587A8" w14:textId="77777777" w:rsidR="008F524E" w:rsidRPr="000210F5" w:rsidRDefault="008F524E" w:rsidP="000210F5">
      <w:pPr>
        <w:rPr>
          <w:rFonts w:eastAsia="Arial Unicode MS"/>
        </w:rPr>
      </w:pPr>
    </w:p>
    <w:p w14:paraId="5C460CB1" w14:textId="77777777" w:rsidR="000210F5" w:rsidRPr="000210F5" w:rsidRDefault="000210F5" w:rsidP="000210F5">
      <w:pPr>
        <w:rPr>
          <w:rFonts w:eastAsia="Arial Unicode MS"/>
        </w:rPr>
      </w:pPr>
      <w:r w:rsidRPr="000210F5">
        <w:rPr>
          <w:rFonts w:eastAsia="Arial Unicode MS"/>
        </w:rPr>
        <w:t>As the service is new to Aotearoa, demand for it is difficult to estimate until it has operated for a longer period. We will continue to provide advice and support to applicants and their whānau through the assisted dying clinical pathway.</w:t>
      </w:r>
    </w:p>
    <w:p w14:paraId="0661CF07" w14:textId="77777777" w:rsidR="000210F5" w:rsidRPr="000210F5" w:rsidRDefault="000210F5" w:rsidP="000210F5">
      <w:pPr>
        <w:pStyle w:val="Heading4"/>
      </w:pPr>
      <w:r w:rsidRPr="000210F5">
        <w:t>Abortion law reform and services</w:t>
      </w:r>
    </w:p>
    <w:p w14:paraId="714FE228" w14:textId="44E362C6" w:rsidR="000210F5" w:rsidRDefault="000210F5" w:rsidP="000210F5">
      <w:pPr>
        <w:rPr>
          <w:rFonts w:eastAsia="Arial Unicode MS"/>
        </w:rPr>
      </w:pPr>
      <w:r w:rsidRPr="000210F5">
        <w:rPr>
          <w:rFonts w:eastAsia="Arial Unicode MS"/>
        </w:rPr>
        <w:t>In 2021/22 the Ministry continued its work programme on equitable, accessible, person-centred and high-quality abortion care. This mahi has focused on improving access to primary care provision of early medical abortion (EMA), which includes supporting health practitioners in primary care to deliver a high-quality service.</w:t>
      </w:r>
    </w:p>
    <w:p w14:paraId="625126A9" w14:textId="77777777" w:rsidR="000210F5" w:rsidRPr="000210F5" w:rsidRDefault="000210F5" w:rsidP="000210F5">
      <w:pPr>
        <w:rPr>
          <w:rFonts w:eastAsia="Arial Unicode MS"/>
        </w:rPr>
      </w:pPr>
    </w:p>
    <w:p w14:paraId="20A41597" w14:textId="77777777" w:rsidR="000210F5" w:rsidRPr="000210F5" w:rsidRDefault="000210F5" w:rsidP="000210F5">
      <w:pPr>
        <w:rPr>
          <w:rFonts w:eastAsia="Arial Unicode MS"/>
        </w:rPr>
      </w:pPr>
      <w:r w:rsidRPr="000210F5">
        <w:rPr>
          <w:rFonts w:eastAsia="Arial Unicode MS"/>
        </w:rPr>
        <w:t>We also published the Abortion Services Annual Report in October 2021.</w:t>
      </w:r>
    </w:p>
    <w:p w14:paraId="51DCFB79" w14:textId="77777777" w:rsidR="000210F5" w:rsidRPr="000210F5" w:rsidRDefault="000210F5" w:rsidP="000210F5">
      <w:pPr>
        <w:rPr>
          <w:rFonts w:eastAsia="Arial Unicode MS"/>
        </w:rPr>
      </w:pPr>
      <w:r w:rsidRPr="000210F5">
        <w:rPr>
          <w:rFonts w:eastAsia="Arial Unicode MS"/>
        </w:rPr>
        <w:t xml:space="preserve"> </w:t>
      </w:r>
    </w:p>
    <w:p w14:paraId="25A844F3" w14:textId="5E450E57" w:rsidR="000210F5" w:rsidRDefault="000210F5" w:rsidP="000210F5">
      <w:pPr>
        <w:rPr>
          <w:rFonts w:eastAsia="Arial Unicode MS"/>
        </w:rPr>
      </w:pPr>
      <w:r w:rsidRPr="000210F5">
        <w:rPr>
          <w:rFonts w:eastAsia="Arial Unicode MS"/>
        </w:rPr>
        <w:t>The report outlines access, equity of provision and the focus for the year ahead. The data has shown that while the legislative change has enabled earlier access to abortion, work remains to be done to make services equitable, including in terms of their accessibility closer to home.</w:t>
      </w:r>
    </w:p>
    <w:p w14:paraId="1A43FD7E" w14:textId="77777777" w:rsidR="000210F5" w:rsidRPr="000210F5" w:rsidRDefault="000210F5" w:rsidP="000210F5">
      <w:pPr>
        <w:rPr>
          <w:rFonts w:eastAsia="Arial Unicode MS"/>
        </w:rPr>
      </w:pPr>
    </w:p>
    <w:p w14:paraId="4EA91EE3" w14:textId="3D44E77A" w:rsidR="000210F5" w:rsidRPr="000210F5" w:rsidRDefault="000210F5" w:rsidP="000210F5">
      <w:pPr>
        <w:rPr>
          <w:rFonts w:eastAsia="Arial Unicode MS"/>
        </w:rPr>
      </w:pPr>
      <w:r w:rsidRPr="000210F5">
        <w:rPr>
          <w:rFonts w:eastAsia="Arial Unicode MS"/>
        </w:rPr>
        <w:t>The development of the Standard for Abortion Counselling in Aotearoa New Zealand started in March 2022.</w:t>
      </w:r>
      <w:r>
        <w:rPr>
          <w:rFonts w:eastAsia="Arial Unicode MS"/>
        </w:rPr>
        <w:t xml:space="preserve"> </w:t>
      </w:r>
      <w:r w:rsidRPr="000210F5">
        <w:rPr>
          <w:rFonts w:eastAsia="Arial Unicode MS"/>
        </w:rPr>
        <w:t>This standard sets the expectation of counselling and ensures that people receive unbiased and skilled abortion counselling, if they ask for it.</w:t>
      </w:r>
    </w:p>
    <w:p w14:paraId="4912C85A" w14:textId="177115C7" w:rsidR="000210F5" w:rsidRPr="000210F5" w:rsidRDefault="000210F5" w:rsidP="000210F5">
      <w:pPr>
        <w:pStyle w:val="Heading4"/>
      </w:pPr>
      <w:r w:rsidRPr="000210F5">
        <w:lastRenderedPageBreak/>
        <w:t>Cochlear implants offering a sense of sound</w:t>
      </w:r>
      <w:r>
        <w:t xml:space="preserve"> </w:t>
      </w:r>
    </w:p>
    <w:p w14:paraId="4F8A9A36" w14:textId="5DBD8CB8" w:rsidR="000210F5" w:rsidRDefault="000210F5" w:rsidP="000210F5">
      <w:pPr>
        <w:rPr>
          <w:rFonts w:eastAsia="Arial Unicode MS"/>
        </w:rPr>
      </w:pPr>
      <w:r w:rsidRPr="000210F5">
        <w:rPr>
          <w:rFonts w:eastAsia="Arial Unicode MS"/>
        </w:rPr>
        <w:t>Cochlear implants are surgically implanted electronic devices that give a person who is severely hard of hearing or profoundly deaf a sense of sound. This</w:t>
      </w:r>
      <w:r>
        <w:rPr>
          <w:rFonts w:eastAsia="Arial Unicode MS"/>
        </w:rPr>
        <w:t xml:space="preserve"> </w:t>
      </w:r>
      <w:r w:rsidRPr="000210F5">
        <w:rPr>
          <w:rFonts w:eastAsia="Arial Unicode MS"/>
        </w:rPr>
        <w:t>innovation significantly improves people’s quality of life.</w:t>
      </w:r>
    </w:p>
    <w:p w14:paraId="4BCC4B9B" w14:textId="77777777" w:rsidR="000210F5" w:rsidRPr="000210F5" w:rsidRDefault="000210F5" w:rsidP="000210F5">
      <w:pPr>
        <w:rPr>
          <w:rFonts w:eastAsia="Arial Unicode MS"/>
        </w:rPr>
      </w:pPr>
    </w:p>
    <w:p w14:paraId="134AEC27" w14:textId="77777777" w:rsidR="000210F5" w:rsidRPr="000210F5" w:rsidRDefault="000210F5" w:rsidP="000210F5">
      <w:pPr>
        <w:rPr>
          <w:rFonts w:eastAsia="Arial Unicode MS"/>
        </w:rPr>
      </w:pPr>
      <w:r w:rsidRPr="000210F5">
        <w:rPr>
          <w:rFonts w:eastAsia="Arial Unicode MS"/>
        </w:rPr>
        <w:t>The Government allocated a further $7.08 million a year, ongoing from 1 July 2021, to increase the number of publicly funded cochlear implants from 86 to 166 per year.</w:t>
      </w:r>
    </w:p>
    <w:p w14:paraId="0B3ADDF7" w14:textId="77777777" w:rsidR="000210F5" w:rsidRDefault="000210F5" w:rsidP="000210F5">
      <w:pPr>
        <w:rPr>
          <w:rFonts w:eastAsia="Arial Unicode MS"/>
        </w:rPr>
      </w:pPr>
    </w:p>
    <w:p w14:paraId="3AC1800E" w14:textId="06D096EE" w:rsidR="000210F5" w:rsidRPr="000210F5" w:rsidRDefault="000210F5" w:rsidP="000210F5">
      <w:pPr>
        <w:rPr>
          <w:rFonts w:eastAsia="Arial Unicode MS"/>
        </w:rPr>
      </w:pPr>
      <w:r w:rsidRPr="000210F5">
        <w:rPr>
          <w:rFonts w:eastAsia="Arial Unicode MS"/>
        </w:rPr>
        <w:t>This funding amounts to an additional</w:t>
      </w:r>
      <w:r>
        <w:rPr>
          <w:rFonts w:eastAsia="Arial Unicode MS"/>
        </w:rPr>
        <w:t xml:space="preserve"> </w:t>
      </w:r>
      <w:r w:rsidRPr="000210F5">
        <w:rPr>
          <w:rFonts w:eastAsia="Arial Unicode MS"/>
        </w:rPr>
        <w:t>$28.32 million over 4 years. As a result, more people waiting for the services have already been able to receive their implant. The waiting list has reduced from 200 to 151 people between 1 July 2021 and 30 June 2022, even though referrals to the service increased at the same time.</w:t>
      </w:r>
    </w:p>
    <w:p w14:paraId="2C5A6C68" w14:textId="77777777" w:rsidR="000210F5" w:rsidRPr="000210F5" w:rsidRDefault="000210F5" w:rsidP="000210F5">
      <w:pPr>
        <w:pStyle w:val="Heading4"/>
      </w:pPr>
      <w:r w:rsidRPr="000210F5">
        <w:t>Air and road ambulance services</w:t>
      </w:r>
    </w:p>
    <w:p w14:paraId="23FDAB06" w14:textId="6C61F45D" w:rsidR="000210F5" w:rsidRDefault="000210F5" w:rsidP="000210F5">
      <w:pPr>
        <w:rPr>
          <w:rFonts w:eastAsia="Arial Unicode MS"/>
        </w:rPr>
      </w:pPr>
      <w:r w:rsidRPr="000210F5">
        <w:rPr>
          <w:rFonts w:eastAsia="Arial Unicode MS"/>
        </w:rPr>
        <w:t>During the year, the National Ambulance Sector Office (NASO) worked closely with road and air ambulance providers to address the demands of COVID-19.</w:t>
      </w:r>
    </w:p>
    <w:p w14:paraId="04E8975D" w14:textId="77777777" w:rsidR="000210F5" w:rsidRPr="000210F5" w:rsidRDefault="000210F5" w:rsidP="000210F5">
      <w:pPr>
        <w:rPr>
          <w:rFonts w:eastAsia="Arial Unicode MS"/>
        </w:rPr>
      </w:pPr>
    </w:p>
    <w:p w14:paraId="12FD568B" w14:textId="6A037CC3" w:rsidR="000210F5" w:rsidRDefault="000210F5" w:rsidP="000210F5">
      <w:pPr>
        <w:rPr>
          <w:rFonts w:eastAsia="Arial Unicode MS"/>
        </w:rPr>
      </w:pPr>
      <w:r w:rsidRPr="000210F5">
        <w:rPr>
          <w:rFonts w:eastAsia="Arial Unicode MS"/>
        </w:rPr>
        <w:t>NASO also focused on securing new road ambulance agreements with both Wellington Free Ambulance and St John.</w:t>
      </w:r>
    </w:p>
    <w:p w14:paraId="22D6249A" w14:textId="77777777" w:rsidR="000210F5" w:rsidRDefault="000210F5" w:rsidP="000210F5">
      <w:pPr>
        <w:rPr>
          <w:rFonts w:eastAsia="Arial Unicode MS"/>
        </w:rPr>
      </w:pPr>
    </w:p>
    <w:p w14:paraId="6D65C865" w14:textId="77777777" w:rsidR="000210F5" w:rsidRPr="000210F5" w:rsidRDefault="000210F5" w:rsidP="000210F5">
      <w:pPr>
        <w:rPr>
          <w:rFonts w:eastAsia="Arial Unicode MS"/>
        </w:rPr>
      </w:pPr>
      <w:r w:rsidRPr="000210F5">
        <w:rPr>
          <w:rFonts w:eastAsia="Arial Unicode MS"/>
        </w:rPr>
        <w:t>These agreements reflect the approach that commissioners are adopting more widely as a result of direction from funding agencies.</w:t>
      </w:r>
    </w:p>
    <w:p w14:paraId="74C5AE58" w14:textId="77777777" w:rsidR="000210F5" w:rsidRPr="000210F5" w:rsidRDefault="000210F5" w:rsidP="000210F5">
      <w:pPr>
        <w:pStyle w:val="Heading4"/>
      </w:pPr>
      <w:r w:rsidRPr="000210F5">
        <w:t>Rolling out of the National Bowel Screening Programme</w:t>
      </w:r>
    </w:p>
    <w:p w14:paraId="5EBE5649" w14:textId="0C46E0AB" w:rsidR="000210F5" w:rsidRDefault="000210F5" w:rsidP="000210F5">
      <w:pPr>
        <w:rPr>
          <w:rFonts w:eastAsia="Arial Unicode MS"/>
        </w:rPr>
      </w:pPr>
      <w:r w:rsidRPr="000210F5">
        <w:rPr>
          <w:rFonts w:eastAsia="Arial Unicode MS"/>
        </w:rPr>
        <w:t>The National Bowel Screening Programme provides free screening to around 835,000 New Zealanders aged 60 to 74 years.</w:t>
      </w:r>
    </w:p>
    <w:p w14:paraId="1625C6DB" w14:textId="77777777" w:rsidR="000210F5" w:rsidRPr="000210F5" w:rsidRDefault="000210F5" w:rsidP="000210F5">
      <w:pPr>
        <w:rPr>
          <w:rFonts w:eastAsia="Arial Unicode MS"/>
        </w:rPr>
      </w:pPr>
    </w:p>
    <w:p w14:paraId="0F487079" w14:textId="3BF0C9B3" w:rsidR="000210F5" w:rsidRDefault="000210F5" w:rsidP="000210F5">
      <w:pPr>
        <w:rPr>
          <w:rFonts w:eastAsia="Arial Unicode MS"/>
        </w:rPr>
      </w:pPr>
      <w:r w:rsidRPr="000210F5">
        <w:rPr>
          <w:rFonts w:eastAsia="Arial Unicode MS"/>
        </w:rPr>
        <w:t>Its aim is to detect bowel cancer at an early, more treatable stage. The national roll-out of this newest cancer screening programme (and the first one to include men) started in July 2017, after more than a decade of preparation and planning.</w:t>
      </w:r>
      <w:r>
        <w:rPr>
          <w:rFonts w:eastAsia="Arial Unicode MS"/>
        </w:rPr>
        <w:t xml:space="preserve"> </w:t>
      </w:r>
      <w:r w:rsidRPr="000210F5">
        <w:rPr>
          <w:rFonts w:eastAsia="Arial Unicode MS"/>
        </w:rPr>
        <w:t>This year was the last in the 5-year implementation journey, making the programme now accessible across the motu.</w:t>
      </w:r>
    </w:p>
    <w:p w14:paraId="1F76B371" w14:textId="77777777" w:rsidR="000210F5" w:rsidRPr="000210F5" w:rsidRDefault="000210F5" w:rsidP="000210F5">
      <w:pPr>
        <w:rPr>
          <w:rFonts w:eastAsia="Arial Unicode MS"/>
        </w:rPr>
      </w:pPr>
    </w:p>
    <w:p w14:paraId="690F995D" w14:textId="77777777" w:rsidR="000210F5" w:rsidRPr="000210F5" w:rsidRDefault="000210F5" w:rsidP="000210F5">
      <w:pPr>
        <w:rPr>
          <w:rFonts w:eastAsia="Arial Unicode MS"/>
        </w:rPr>
      </w:pPr>
      <w:r w:rsidRPr="000210F5">
        <w:rPr>
          <w:rFonts w:eastAsia="Arial Unicode MS"/>
        </w:rPr>
        <w:t>From July 2017 to the end of June 2022, the programme sent out over one million test kits, identified 1,422 cancers and removed thousands of pre-cancerous polyps.</w:t>
      </w:r>
    </w:p>
    <w:p w14:paraId="167B6299" w14:textId="77777777" w:rsidR="000210F5" w:rsidRPr="000210F5" w:rsidRDefault="000210F5" w:rsidP="000210F5">
      <w:pPr>
        <w:pStyle w:val="Heading4"/>
      </w:pPr>
      <w:r w:rsidRPr="000210F5">
        <w:t>Developing a platform for community suicide prevention initiatives</w:t>
      </w:r>
    </w:p>
    <w:p w14:paraId="16824AF2" w14:textId="75B0B931" w:rsidR="000210F5" w:rsidRPr="000210F5" w:rsidRDefault="000210F5" w:rsidP="000210F5">
      <w:pPr>
        <w:rPr>
          <w:rFonts w:eastAsia="Arial Unicode MS"/>
        </w:rPr>
      </w:pPr>
      <w:r w:rsidRPr="000210F5">
        <w:rPr>
          <w:rFonts w:eastAsia="Arial Unicode MS"/>
        </w:rPr>
        <w:t>In November 2021, the Suicide Prevention Office launched He Kāpehu Whetū, an online portal of community-based stories and links to suicide prevention initiatives.</w:t>
      </w:r>
      <w:r>
        <w:rPr>
          <w:rStyle w:val="FootnoteReference"/>
          <w:rFonts w:eastAsia="Arial Unicode MS"/>
        </w:rPr>
        <w:footnoteReference w:id="16"/>
      </w:r>
    </w:p>
    <w:p w14:paraId="1590CACC" w14:textId="77777777" w:rsidR="000210F5" w:rsidRDefault="000210F5" w:rsidP="000210F5">
      <w:pPr>
        <w:rPr>
          <w:rFonts w:eastAsia="Arial Unicode MS"/>
        </w:rPr>
      </w:pPr>
    </w:p>
    <w:p w14:paraId="1F81E4B5" w14:textId="6EC0C40E" w:rsidR="000210F5" w:rsidRDefault="000210F5" w:rsidP="000210F5">
      <w:pPr>
        <w:rPr>
          <w:rFonts w:eastAsia="Arial Unicode MS"/>
        </w:rPr>
      </w:pPr>
      <w:r w:rsidRPr="000210F5">
        <w:rPr>
          <w:rFonts w:eastAsia="Arial Unicode MS"/>
        </w:rPr>
        <w:lastRenderedPageBreak/>
        <w:t>The stories are aligned to the strategic intent of the Suicide Prevention Office. They are designed to inspire leaders and communities across Aotearoa who want to address the needs of their local community and take action to develop their own initiatives.</w:t>
      </w:r>
    </w:p>
    <w:p w14:paraId="742E4604" w14:textId="77777777" w:rsidR="000210F5" w:rsidRPr="000210F5" w:rsidRDefault="000210F5" w:rsidP="000210F5">
      <w:pPr>
        <w:rPr>
          <w:rFonts w:eastAsia="Arial Unicode MS"/>
        </w:rPr>
      </w:pPr>
    </w:p>
    <w:p w14:paraId="34FBE92C" w14:textId="57535688" w:rsidR="000210F5" w:rsidRPr="000210F5" w:rsidRDefault="000210F5" w:rsidP="000210F5">
      <w:pPr>
        <w:rPr>
          <w:rFonts w:eastAsia="Arial Unicode MS"/>
        </w:rPr>
      </w:pPr>
      <w:r w:rsidRPr="000210F5">
        <w:rPr>
          <w:rFonts w:eastAsia="Arial Unicode MS"/>
        </w:rPr>
        <w:t>Alongside stories of local suicide prevention initiatives, the website provides a hub for resources including support lines, media guidelines for suicide reporting, and</w:t>
      </w:r>
      <w:r>
        <w:rPr>
          <w:rFonts w:eastAsia="Arial Unicode MS"/>
        </w:rPr>
        <w:t xml:space="preserve"> </w:t>
      </w:r>
      <w:r w:rsidRPr="000210F5">
        <w:rPr>
          <w:rFonts w:eastAsia="Arial Unicode MS"/>
        </w:rPr>
        <w:t xml:space="preserve"> </w:t>
      </w:r>
    </w:p>
    <w:p w14:paraId="3F2D0E0F" w14:textId="77777777" w:rsidR="000210F5" w:rsidRPr="000210F5" w:rsidRDefault="000210F5" w:rsidP="000210F5">
      <w:pPr>
        <w:rPr>
          <w:rFonts w:eastAsia="Arial Unicode MS"/>
        </w:rPr>
      </w:pPr>
      <w:r w:rsidRPr="000210F5">
        <w:rPr>
          <w:rFonts w:eastAsia="Arial Unicode MS"/>
        </w:rPr>
        <w:t>suicide prevention  resources.</w:t>
      </w:r>
    </w:p>
    <w:p w14:paraId="3E811D75" w14:textId="77777777" w:rsidR="000210F5" w:rsidRPr="000210F5" w:rsidRDefault="000210F5" w:rsidP="000210F5">
      <w:pPr>
        <w:pStyle w:val="Heading4"/>
      </w:pPr>
      <w:r w:rsidRPr="000210F5">
        <w:t>We expanded the Te Ara Oranga methamphetamine harm reduction programme</w:t>
      </w:r>
    </w:p>
    <w:p w14:paraId="7A53DA55" w14:textId="2E410E40" w:rsidR="000210F5" w:rsidRDefault="000210F5" w:rsidP="000210F5">
      <w:pPr>
        <w:rPr>
          <w:rFonts w:eastAsia="Arial Unicode MS"/>
        </w:rPr>
      </w:pPr>
      <w:r w:rsidRPr="000210F5">
        <w:rPr>
          <w:rFonts w:eastAsia="Arial Unicode MS"/>
        </w:rPr>
        <w:t>The Ministry established Te Ara Oranga Methamphetamine Harm Reduction Programme in 2017 as an integrated cross- agency programme targeted at reducing methamphetamine harm. It began in Northland, where the local DHB, New Zealand Police and community agencies led its development and piloting.</w:t>
      </w:r>
    </w:p>
    <w:p w14:paraId="10CC7E67" w14:textId="77777777" w:rsidR="000210F5" w:rsidRPr="000210F5" w:rsidRDefault="000210F5" w:rsidP="000210F5">
      <w:pPr>
        <w:rPr>
          <w:rFonts w:eastAsia="Arial Unicode MS"/>
        </w:rPr>
      </w:pPr>
    </w:p>
    <w:p w14:paraId="768D563C" w14:textId="3F1CB5A6" w:rsidR="000210F5" w:rsidRDefault="000210F5" w:rsidP="000210F5">
      <w:pPr>
        <w:rPr>
          <w:rFonts w:eastAsia="Arial Unicode MS"/>
        </w:rPr>
      </w:pPr>
      <w:r w:rsidRPr="000210F5">
        <w:rPr>
          <w:rFonts w:eastAsia="Arial Unicode MS"/>
        </w:rPr>
        <w:t>The programme works to reduce drug-related harm and support better community health, social and justice outcomes, including improved</w:t>
      </w:r>
      <w:r>
        <w:rPr>
          <w:rFonts w:eastAsia="Arial Unicode MS"/>
        </w:rPr>
        <w:t xml:space="preserve"> </w:t>
      </w:r>
      <w:r w:rsidRPr="000210F5">
        <w:rPr>
          <w:rFonts w:eastAsia="Arial Unicode MS"/>
        </w:rPr>
        <w:t>wellbeing, re-engagement with whānau and employment, and a reduction in family violence and crime. People who use methamphetamine are given the opportunity to receive therapeutic</w:t>
      </w:r>
      <w:r>
        <w:rPr>
          <w:rFonts w:eastAsia="Arial Unicode MS"/>
        </w:rPr>
        <w:t xml:space="preserve"> </w:t>
      </w:r>
      <w:r w:rsidRPr="000210F5">
        <w:rPr>
          <w:rFonts w:eastAsia="Arial Unicode MS"/>
        </w:rPr>
        <w:t>help that takes a culturally appropriate approach and is tailored for people in the local community.</w:t>
      </w:r>
    </w:p>
    <w:p w14:paraId="4B7183C3" w14:textId="77777777" w:rsidR="000210F5" w:rsidRPr="000210F5" w:rsidRDefault="000210F5" w:rsidP="000210F5">
      <w:pPr>
        <w:rPr>
          <w:rFonts w:eastAsia="Arial Unicode MS"/>
        </w:rPr>
      </w:pPr>
    </w:p>
    <w:p w14:paraId="4A96DBF4" w14:textId="7D151F59" w:rsidR="000210F5" w:rsidRPr="000210F5" w:rsidRDefault="000210F5" w:rsidP="000210F5">
      <w:pPr>
        <w:rPr>
          <w:rFonts w:eastAsia="Arial Unicode MS"/>
        </w:rPr>
      </w:pPr>
      <w:r w:rsidRPr="000210F5">
        <w:rPr>
          <w:rFonts w:eastAsia="Arial Unicode MS"/>
        </w:rPr>
        <w:t>In December 2021, an independent evaluation of Te Ara Oranga concluded that its model of care has been successful in helping those who struggle with methamphetamine-related harm. It</w:t>
      </w:r>
      <w:r>
        <w:rPr>
          <w:rFonts w:eastAsia="Arial Unicode MS"/>
        </w:rPr>
        <w:t xml:space="preserve"> </w:t>
      </w:r>
      <w:r w:rsidRPr="000210F5">
        <w:rPr>
          <w:rFonts w:eastAsia="Arial Unicode MS"/>
        </w:rPr>
        <w:t>also has had positive flow-on effects for whānau and the wider community, with over 3,000 people and whānau supported to date in Northland.</w:t>
      </w:r>
    </w:p>
    <w:p w14:paraId="18810818" w14:textId="77777777" w:rsidR="000210F5" w:rsidRPr="000210F5" w:rsidRDefault="000210F5" w:rsidP="000210F5">
      <w:pPr>
        <w:pStyle w:val="Heading4"/>
      </w:pPr>
      <w:r w:rsidRPr="000210F5">
        <w:t>Working collaboratively to progress the Homelessness Action Plan</w:t>
      </w:r>
    </w:p>
    <w:p w14:paraId="29203C23" w14:textId="29F3105F" w:rsidR="000210F5" w:rsidRDefault="000210F5" w:rsidP="000210F5">
      <w:pPr>
        <w:rPr>
          <w:rFonts w:eastAsia="Arial Unicode MS"/>
        </w:rPr>
      </w:pPr>
      <w:r w:rsidRPr="000210F5">
        <w:rPr>
          <w:rFonts w:eastAsia="Arial Unicode MS"/>
        </w:rPr>
        <w:t>The Aotearoa New Zealand Homelessness Action Plan is a comprehensive central government-led cross-agency plan that aims to prevent and reduce homelessness.</w:t>
      </w:r>
    </w:p>
    <w:p w14:paraId="6CC7DA82" w14:textId="77777777" w:rsidR="000210F5" w:rsidRPr="000210F5" w:rsidRDefault="000210F5" w:rsidP="000210F5">
      <w:pPr>
        <w:rPr>
          <w:rFonts w:eastAsia="Arial Unicode MS"/>
        </w:rPr>
      </w:pPr>
    </w:p>
    <w:p w14:paraId="55AFA225" w14:textId="2E6092A4" w:rsidR="000210F5" w:rsidRDefault="000210F5" w:rsidP="000210F5">
      <w:pPr>
        <w:rPr>
          <w:rFonts w:eastAsia="Arial Unicode MS"/>
        </w:rPr>
      </w:pPr>
      <w:r w:rsidRPr="000210F5">
        <w:rPr>
          <w:rFonts w:eastAsia="Arial Unicode MS"/>
        </w:rPr>
        <w:t>Actions centre on transitioning a minimum of 100 people who are homeless (or at risk of becoming homeless) and in mental</w:t>
      </w:r>
      <w:r>
        <w:rPr>
          <w:rFonts w:eastAsia="Arial Unicode MS"/>
        </w:rPr>
        <w:t xml:space="preserve"> </w:t>
      </w:r>
      <w:r w:rsidRPr="000210F5">
        <w:rPr>
          <w:rFonts w:eastAsia="Arial Unicode MS"/>
        </w:rPr>
        <w:t>health inpatient units into the community over 4 years.</w:t>
      </w:r>
    </w:p>
    <w:p w14:paraId="49E67A6A" w14:textId="77777777" w:rsidR="000210F5" w:rsidRPr="000210F5" w:rsidRDefault="000210F5" w:rsidP="000210F5">
      <w:pPr>
        <w:rPr>
          <w:rFonts w:eastAsia="Arial Unicode MS"/>
        </w:rPr>
      </w:pPr>
    </w:p>
    <w:p w14:paraId="7BDFB7D7" w14:textId="7E53F17F" w:rsidR="000210F5" w:rsidRPr="000210F5" w:rsidRDefault="000210F5" w:rsidP="000210F5">
      <w:pPr>
        <w:rPr>
          <w:rFonts w:eastAsia="Arial Unicode MS"/>
        </w:rPr>
      </w:pPr>
      <w:r w:rsidRPr="000210F5">
        <w:rPr>
          <w:rFonts w:eastAsia="Arial Unicode MS"/>
        </w:rPr>
        <w:t>The fourth action, Rapua Te Āhuru Mōwai – Mental Health and Addictions Homelessness Transitions Pilot, is under way. This will address the current urgent</w:t>
      </w:r>
      <w:r>
        <w:rPr>
          <w:rFonts w:eastAsia="Arial Unicode MS"/>
        </w:rPr>
        <w:t xml:space="preserve"> </w:t>
      </w:r>
    </w:p>
    <w:p w14:paraId="4D853546" w14:textId="77777777" w:rsidR="00ED2735" w:rsidRDefault="000210F5" w:rsidP="000210F5">
      <w:pPr>
        <w:rPr>
          <w:rFonts w:eastAsia="Arial Unicode MS"/>
        </w:rPr>
        <w:sectPr w:rsidR="00ED2735" w:rsidSect="00C26282">
          <w:pgSz w:w="11907" w:h="16840" w:code="9"/>
          <w:pgMar w:top="1418" w:right="1701" w:bottom="1134" w:left="1843" w:header="284" w:footer="425" w:gutter="284"/>
          <w:cols w:space="720"/>
        </w:sectPr>
      </w:pPr>
      <w:r w:rsidRPr="000210F5">
        <w:rPr>
          <w:rFonts w:eastAsia="Arial Unicode MS"/>
        </w:rPr>
        <w:t>issue of people remaining in inpatient units (despite no longer clinically requiring that level of service) because they have no suitable accommodation to be discharged to.</w:t>
      </w:r>
    </w:p>
    <w:p w14:paraId="56B44BA6" w14:textId="23A8F8EB" w:rsidR="000210F5" w:rsidRDefault="00ED2735" w:rsidP="00ED2735">
      <w:pPr>
        <w:pStyle w:val="Heading1"/>
        <w:spacing w:before="0"/>
        <w:rPr>
          <w:rFonts w:eastAsia="Arial Unicode MS"/>
          <w:b w:val="0"/>
          <w:bCs/>
        </w:rPr>
      </w:pPr>
      <w:bookmarkStart w:id="28" w:name="_Toc117264936"/>
      <w:r w:rsidRPr="00ED2735">
        <w:rPr>
          <w:rFonts w:eastAsia="Arial Unicode MS"/>
        </w:rPr>
        <w:lastRenderedPageBreak/>
        <w:t>How we manage our business |</w:t>
      </w:r>
      <w:r>
        <w:rPr>
          <w:rFonts w:eastAsia="Arial Unicode MS"/>
        </w:rPr>
        <w:t xml:space="preserve"> </w:t>
      </w:r>
      <w:r w:rsidRPr="00ED2735">
        <w:rPr>
          <w:rFonts w:eastAsia="Arial Unicode MS"/>
          <w:b w:val="0"/>
          <w:bCs/>
        </w:rPr>
        <w:t>Tā mātou whakahaere i a mātou</w:t>
      </w:r>
      <w:bookmarkEnd w:id="28"/>
    </w:p>
    <w:p w14:paraId="05778CAD" w14:textId="4A0F75AB" w:rsidR="00ED2735" w:rsidRPr="00ED2735" w:rsidRDefault="00ED2735" w:rsidP="00ED2735">
      <w:pPr>
        <w:pStyle w:val="Heading2"/>
        <w:rPr>
          <w:rFonts w:eastAsia="Arial Unicode MS"/>
        </w:rPr>
      </w:pPr>
      <w:bookmarkStart w:id="29" w:name="_Toc117264937"/>
      <w:r w:rsidRPr="00ED2735">
        <w:rPr>
          <w:rFonts w:eastAsia="Arial Unicode MS"/>
        </w:rPr>
        <w:t>Making the Ministry a great place to work</w:t>
      </w:r>
      <w:r>
        <w:rPr>
          <w:rFonts w:eastAsia="Arial Unicode MS"/>
        </w:rPr>
        <w:t xml:space="preserve"> | </w:t>
      </w:r>
      <w:r w:rsidRPr="00ED2735">
        <w:rPr>
          <w:rFonts w:eastAsia="Arial Unicode MS"/>
          <w:b w:val="0"/>
          <w:bCs/>
        </w:rPr>
        <w:t>Kia rangatira te Manatū hei wāhi mahi</w:t>
      </w:r>
      <w:bookmarkEnd w:id="29"/>
    </w:p>
    <w:p w14:paraId="565C8444" w14:textId="4E220C01" w:rsidR="00ED2735" w:rsidRDefault="00ED2735" w:rsidP="00ED2735">
      <w:pPr>
        <w:rPr>
          <w:rFonts w:eastAsia="Arial Unicode MS"/>
        </w:rPr>
      </w:pPr>
      <w:r w:rsidRPr="00ED2735">
        <w:rPr>
          <w:rFonts w:eastAsia="Arial Unicode MS"/>
        </w:rPr>
        <w:t>It is an exciting time for the Ministry and health and disability system with the establishment of new health agencies.</w:t>
      </w:r>
    </w:p>
    <w:p w14:paraId="0B3373A9" w14:textId="77777777" w:rsidR="00ED2735" w:rsidRPr="00ED2735" w:rsidRDefault="00ED2735" w:rsidP="00ED2735">
      <w:pPr>
        <w:rPr>
          <w:rFonts w:eastAsia="Arial Unicode MS"/>
        </w:rPr>
      </w:pPr>
    </w:p>
    <w:p w14:paraId="364B001E" w14:textId="4D7AAF1C" w:rsidR="00ED2735" w:rsidRDefault="00ED2735" w:rsidP="00ED2735">
      <w:pPr>
        <w:rPr>
          <w:rFonts w:eastAsia="Arial Unicode MS"/>
        </w:rPr>
      </w:pPr>
      <w:r w:rsidRPr="00ED2735">
        <w:rPr>
          <w:rFonts w:eastAsia="Arial Unicode MS"/>
        </w:rPr>
        <w:t>For our people in Manatū Hauora, we will be working together to review and shift our operating model, develop our workforce capability and streamline how we work together across different functions to achieve the best outcomes.</w:t>
      </w:r>
    </w:p>
    <w:p w14:paraId="769CAF7E" w14:textId="74056B4F" w:rsidR="00ED2735" w:rsidRDefault="00ED2735" w:rsidP="00ED2735">
      <w:pPr>
        <w:rPr>
          <w:rFonts w:eastAsia="Arial Unicode MS"/>
        </w:rPr>
      </w:pPr>
    </w:p>
    <w:p w14:paraId="58979FDB" w14:textId="77777777" w:rsidR="00ED2735" w:rsidRPr="00ED2735" w:rsidRDefault="00ED2735" w:rsidP="00ED2735">
      <w:pPr>
        <w:rPr>
          <w:rFonts w:eastAsia="Arial Unicode MS"/>
        </w:rPr>
      </w:pPr>
      <w:r w:rsidRPr="00ED2735">
        <w:rPr>
          <w:rFonts w:eastAsia="Arial Unicode MS"/>
        </w:rPr>
        <w:t>We have worked to implement the health and disability reforms, including the establishment of new health agencies, Te Whatu Ora | Health New Zealand, Te</w:t>
      </w:r>
    </w:p>
    <w:p w14:paraId="4BDC7C1C" w14:textId="1FFD50AB" w:rsidR="00ED2735" w:rsidRDefault="00ED2735" w:rsidP="00ED2735">
      <w:pPr>
        <w:rPr>
          <w:rFonts w:eastAsia="Arial Unicode MS"/>
        </w:rPr>
      </w:pPr>
      <w:r w:rsidRPr="00ED2735">
        <w:rPr>
          <w:rFonts w:eastAsia="Arial Unicode MS"/>
        </w:rPr>
        <w:t>Aka Whai Ora | Māori Health Authority and Whaikaha | Ministry of Disabled People.</w:t>
      </w:r>
    </w:p>
    <w:p w14:paraId="540C665E" w14:textId="77777777" w:rsidR="00ED2735" w:rsidRPr="00ED2735" w:rsidRDefault="00ED2735" w:rsidP="00ED2735">
      <w:pPr>
        <w:rPr>
          <w:rFonts w:eastAsia="Arial Unicode MS"/>
        </w:rPr>
      </w:pPr>
    </w:p>
    <w:p w14:paraId="6492190F" w14:textId="7AC01177" w:rsidR="00ED2735" w:rsidRDefault="00ED2735" w:rsidP="00ED2735">
      <w:pPr>
        <w:rPr>
          <w:rFonts w:eastAsia="Arial Unicode MS"/>
        </w:rPr>
      </w:pPr>
      <w:r w:rsidRPr="00ED2735">
        <w:rPr>
          <w:rFonts w:eastAsia="Arial Unicode MS"/>
        </w:rPr>
        <w:t>Our mahi | work and how we collaborate with these agencies will be crucial in achieving an equitable health system that is truly fit for future generations.</w:t>
      </w:r>
    </w:p>
    <w:p w14:paraId="356B02F5" w14:textId="77777777" w:rsidR="00ED2735" w:rsidRPr="00ED2735" w:rsidRDefault="00ED2735" w:rsidP="00ED2735">
      <w:pPr>
        <w:rPr>
          <w:rFonts w:eastAsia="Arial Unicode MS"/>
        </w:rPr>
      </w:pPr>
    </w:p>
    <w:p w14:paraId="53D83AF3" w14:textId="77777777" w:rsidR="00ED2735" w:rsidRPr="00ED2735" w:rsidRDefault="00ED2735" w:rsidP="00ED2735">
      <w:pPr>
        <w:rPr>
          <w:rFonts w:eastAsia="Arial Unicode MS"/>
        </w:rPr>
      </w:pPr>
      <w:r w:rsidRPr="00ED2735">
        <w:rPr>
          <w:rFonts w:eastAsia="Arial Unicode MS"/>
        </w:rPr>
        <w:t>We will continue to build on the great mahi from last year to provide a diverse range of opportunities for our people and maintain a people-centric approach in all we do, ensuring Manatū Hauora remains a great place to work.</w:t>
      </w:r>
    </w:p>
    <w:p w14:paraId="295A68B3" w14:textId="77777777" w:rsidR="00ED2735" w:rsidRPr="00ED2735" w:rsidRDefault="00ED2735" w:rsidP="00E8579A">
      <w:pPr>
        <w:pStyle w:val="Heading4"/>
      </w:pPr>
      <w:r w:rsidRPr="00ED2735">
        <w:t>Embedding our values</w:t>
      </w:r>
    </w:p>
    <w:p w14:paraId="29EEE551" w14:textId="734C0855" w:rsidR="00ED2735" w:rsidRPr="00ED2735" w:rsidRDefault="00ED2735" w:rsidP="00ED2735">
      <w:pPr>
        <w:rPr>
          <w:rFonts w:eastAsia="Arial Unicode MS"/>
        </w:rPr>
      </w:pPr>
      <w:r w:rsidRPr="00ED2735">
        <w:rPr>
          <w:rFonts w:eastAsia="Arial Unicode MS"/>
        </w:rPr>
        <w:t>Our people demonstrate Ngā Uaratanga</w:t>
      </w:r>
      <w:r w:rsidR="00E8579A">
        <w:rPr>
          <w:rFonts w:eastAsia="Arial Unicode MS"/>
        </w:rPr>
        <w:t xml:space="preserve"> </w:t>
      </w:r>
      <w:r w:rsidRPr="00ED2735">
        <w:rPr>
          <w:rFonts w:eastAsia="Arial Unicode MS"/>
        </w:rPr>
        <w:t>| Our Ministry Values across the Ministry. This is evident, for example, when they acknowledge each other’s contribution to the values through the annual Ministry Leadership Awards.</w:t>
      </w:r>
    </w:p>
    <w:p w14:paraId="4CE00C79" w14:textId="77777777" w:rsidR="00ED2735" w:rsidRPr="00ED2735" w:rsidRDefault="00ED2735" w:rsidP="00ED2735">
      <w:pPr>
        <w:rPr>
          <w:rFonts w:eastAsia="Arial Unicode MS"/>
        </w:rPr>
      </w:pPr>
      <w:r w:rsidRPr="00ED2735">
        <w:rPr>
          <w:rFonts w:eastAsia="Arial Unicode MS"/>
        </w:rPr>
        <w:t xml:space="preserve"> </w:t>
      </w:r>
    </w:p>
    <w:p w14:paraId="4A4B52B3" w14:textId="193E377B" w:rsidR="00ED2735" w:rsidRPr="00ED2735" w:rsidRDefault="00ED2735" w:rsidP="00ED2735">
      <w:pPr>
        <w:rPr>
          <w:rFonts w:eastAsia="Arial Unicode MS"/>
        </w:rPr>
      </w:pPr>
      <w:r w:rsidRPr="00ED2735">
        <w:rPr>
          <w:rFonts w:eastAsia="Arial Unicode MS"/>
        </w:rPr>
        <w:t>To make Ngā Uaratanga visible and emphasise their importance to our people, we have now firmly embedded them in our recruitment processes, our induction programme and our performance and development systems.</w:t>
      </w:r>
      <w:r w:rsidR="00E8579A">
        <w:rPr>
          <w:rStyle w:val="FootnoteReference"/>
          <w:rFonts w:eastAsia="Arial Unicode MS"/>
        </w:rPr>
        <w:footnoteReference w:id="17"/>
      </w:r>
    </w:p>
    <w:p w14:paraId="46B08793" w14:textId="77777777" w:rsidR="00ED2735" w:rsidRPr="00ED2735" w:rsidRDefault="00ED2735" w:rsidP="00E8579A">
      <w:pPr>
        <w:pStyle w:val="Heading4"/>
      </w:pPr>
      <w:r w:rsidRPr="00ED2735">
        <w:lastRenderedPageBreak/>
        <w:t>Flexible working</w:t>
      </w:r>
    </w:p>
    <w:p w14:paraId="7D4DF77A" w14:textId="35C69886" w:rsidR="00ED2735" w:rsidRDefault="00ED2735" w:rsidP="00ED2735">
      <w:pPr>
        <w:rPr>
          <w:rFonts w:eastAsia="Arial Unicode MS"/>
        </w:rPr>
      </w:pPr>
      <w:r w:rsidRPr="00ED2735">
        <w:rPr>
          <w:rFonts w:eastAsia="Arial Unicode MS"/>
        </w:rPr>
        <w:t>We have continued to provide an environment that enables an effective balance between work requirements and personal and whānau commitments.</w:t>
      </w:r>
    </w:p>
    <w:p w14:paraId="1ED61882" w14:textId="77777777" w:rsidR="00E8579A" w:rsidRPr="00ED2735" w:rsidRDefault="00E8579A" w:rsidP="00ED2735">
      <w:pPr>
        <w:rPr>
          <w:rFonts w:eastAsia="Arial Unicode MS"/>
        </w:rPr>
      </w:pPr>
    </w:p>
    <w:p w14:paraId="331C04CC" w14:textId="1677062D" w:rsidR="00ED2735" w:rsidRDefault="00ED2735" w:rsidP="00ED2735">
      <w:pPr>
        <w:rPr>
          <w:rFonts w:eastAsia="Arial Unicode MS"/>
        </w:rPr>
      </w:pPr>
      <w:r w:rsidRPr="00ED2735">
        <w:rPr>
          <w:rFonts w:eastAsia="Arial Unicode MS"/>
        </w:rPr>
        <w:t>Our Flexible First policy plays a big part in the Ministry’s culture and the way we do our mahi. It speaks to all our values and is a key enabler in making the Ministry a great place to work.</w:t>
      </w:r>
    </w:p>
    <w:p w14:paraId="6F34A2BE" w14:textId="77777777" w:rsidR="00E8579A" w:rsidRPr="00ED2735" w:rsidRDefault="00E8579A" w:rsidP="00ED2735">
      <w:pPr>
        <w:rPr>
          <w:rFonts w:eastAsia="Arial Unicode MS"/>
        </w:rPr>
      </w:pPr>
    </w:p>
    <w:p w14:paraId="0EF29D54" w14:textId="3E9D4A80" w:rsidR="00ED2735" w:rsidRDefault="00ED2735" w:rsidP="00ED2735">
      <w:pPr>
        <w:rPr>
          <w:rFonts w:eastAsia="Arial Unicode MS"/>
        </w:rPr>
      </w:pPr>
      <w:r w:rsidRPr="00ED2735">
        <w:rPr>
          <w:rFonts w:eastAsia="Arial Unicode MS"/>
        </w:rPr>
        <w:t>Through Flexible First, we adapted seamlessly to equip our people and support them to work flexibly during the COVID-19 Alert Level changes and</w:t>
      </w:r>
      <w:r w:rsidR="00E8579A">
        <w:rPr>
          <w:rFonts w:eastAsia="Arial Unicode MS"/>
        </w:rPr>
        <w:t xml:space="preserve"> </w:t>
      </w:r>
      <w:r w:rsidRPr="00ED2735">
        <w:rPr>
          <w:rFonts w:eastAsia="Arial Unicode MS"/>
        </w:rPr>
        <w:t>throughout the response to the pandemic.</w:t>
      </w:r>
    </w:p>
    <w:p w14:paraId="6ED2D88A" w14:textId="77777777" w:rsidR="00E8579A" w:rsidRPr="00E8579A" w:rsidRDefault="00E8579A" w:rsidP="00E8579A">
      <w:pPr>
        <w:pStyle w:val="Heading4"/>
      </w:pPr>
      <w:r w:rsidRPr="00E8579A">
        <w:t>Performance and remuneration framework</w:t>
      </w:r>
    </w:p>
    <w:p w14:paraId="47FA47EC" w14:textId="2FB66075" w:rsidR="00E8579A" w:rsidRPr="00E8579A" w:rsidRDefault="00E8579A" w:rsidP="00E8579A">
      <w:pPr>
        <w:rPr>
          <w:rFonts w:eastAsia="Arial Unicode MS"/>
        </w:rPr>
      </w:pPr>
      <w:r w:rsidRPr="00E8579A">
        <w:rPr>
          <w:rFonts w:eastAsia="Arial Unicode MS"/>
        </w:rPr>
        <w:t>Guided by Ngā Uaratanga | Our Ministry Values, we have implemented a</w:t>
      </w:r>
      <w:r>
        <w:rPr>
          <w:rFonts w:eastAsia="Arial Unicode MS"/>
        </w:rPr>
        <w:t xml:space="preserve"> </w:t>
      </w:r>
      <w:r w:rsidRPr="00E8579A">
        <w:rPr>
          <w:rFonts w:eastAsia="Arial Unicode MS"/>
        </w:rPr>
        <w:t>new performance and remuneration framework. Underpinning the new framework are the principles that it will be:</w:t>
      </w:r>
    </w:p>
    <w:p w14:paraId="67A6014C" w14:textId="300C3ACF" w:rsidR="00E8579A" w:rsidRPr="00E8579A" w:rsidRDefault="00E8579A" w:rsidP="00E8579A">
      <w:pPr>
        <w:pStyle w:val="Bullet"/>
        <w:rPr>
          <w:rFonts w:eastAsia="Arial Unicode MS"/>
        </w:rPr>
      </w:pPr>
      <w:r w:rsidRPr="008F524E">
        <w:rPr>
          <w:rFonts w:eastAsia="Arial Unicode MS"/>
          <w:b/>
          <w:bCs/>
        </w:rPr>
        <w:t>equitable</w:t>
      </w:r>
      <w:r w:rsidRPr="00E8579A">
        <w:rPr>
          <w:rFonts w:eastAsia="Arial Unicode MS"/>
        </w:rPr>
        <w:t>, acknowledging our people’s mahi and expertise</w:t>
      </w:r>
    </w:p>
    <w:p w14:paraId="668CB545" w14:textId="02CEDD76" w:rsidR="00E8579A" w:rsidRPr="00E8579A" w:rsidRDefault="00E8579A" w:rsidP="00E8579A">
      <w:pPr>
        <w:pStyle w:val="Bullet"/>
        <w:rPr>
          <w:rFonts w:eastAsia="Arial Unicode MS"/>
        </w:rPr>
      </w:pPr>
      <w:r w:rsidRPr="008F524E">
        <w:rPr>
          <w:rFonts w:eastAsia="Arial Unicode MS"/>
          <w:b/>
          <w:bCs/>
        </w:rPr>
        <w:t>transparent</w:t>
      </w:r>
      <w:r w:rsidRPr="00E8579A">
        <w:rPr>
          <w:rFonts w:eastAsia="Arial Unicode MS"/>
        </w:rPr>
        <w:t>, we will communicate it clearly so that all our people understand it</w:t>
      </w:r>
    </w:p>
    <w:p w14:paraId="3F131127" w14:textId="45810075" w:rsidR="00E8579A" w:rsidRPr="00E8579A" w:rsidRDefault="00E8579A" w:rsidP="00E8579A">
      <w:pPr>
        <w:pStyle w:val="Bullet"/>
        <w:rPr>
          <w:rFonts w:eastAsia="Arial Unicode MS"/>
        </w:rPr>
      </w:pPr>
      <w:r w:rsidRPr="008F524E">
        <w:rPr>
          <w:rFonts w:eastAsia="Arial Unicode MS"/>
          <w:b/>
          <w:bCs/>
        </w:rPr>
        <w:t>consistently applied</w:t>
      </w:r>
      <w:r w:rsidRPr="00E8579A">
        <w:rPr>
          <w:rFonts w:eastAsia="Arial Unicode MS"/>
        </w:rPr>
        <w:t xml:space="preserve"> with confidence throughout the Ministry</w:t>
      </w:r>
    </w:p>
    <w:p w14:paraId="5985CD06" w14:textId="470CBABC" w:rsidR="00E8579A" w:rsidRPr="00E8579A" w:rsidRDefault="00E8579A" w:rsidP="00E8579A">
      <w:pPr>
        <w:pStyle w:val="Bullet"/>
        <w:rPr>
          <w:rFonts w:eastAsia="Arial Unicode MS"/>
        </w:rPr>
      </w:pPr>
      <w:r w:rsidRPr="008F524E">
        <w:rPr>
          <w:rFonts w:eastAsia="Arial Unicode MS"/>
          <w:b/>
          <w:bCs/>
        </w:rPr>
        <w:t>affordable and sustainable</w:t>
      </w:r>
      <w:r w:rsidRPr="00E8579A">
        <w:rPr>
          <w:rFonts w:eastAsia="Arial Unicode MS"/>
        </w:rPr>
        <w:t xml:space="preserve"> to support our role as kaitiaki of the health and disability system.</w:t>
      </w:r>
    </w:p>
    <w:p w14:paraId="7D17406F" w14:textId="77777777" w:rsidR="00E8579A" w:rsidRPr="00E8579A" w:rsidRDefault="00E8579A" w:rsidP="00E8579A">
      <w:pPr>
        <w:pStyle w:val="Heading4"/>
      </w:pPr>
      <w:r w:rsidRPr="00E8579A">
        <w:t>Workforce strategy</w:t>
      </w:r>
    </w:p>
    <w:p w14:paraId="7B1EF60C" w14:textId="793EB056" w:rsidR="00E8579A" w:rsidRDefault="00E8579A" w:rsidP="00E8579A">
      <w:pPr>
        <w:rPr>
          <w:rFonts w:eastAsia="Arial Unicode MS"/>
        </w:rPr>
      </w:pPr>
      <w:r w:rsidRPr="00E8579A">
        <w:rPr>
          <w:rFonts w:eastAsia="Arial Unicode MS"/>
        </w:rPr>
        <w:t>To achieve pae ora | healthy futures, the Ministry needs the right people doing the right work at the right time. Turuki!</w:t>
      </w:r>
      <w:r>
        <w:rPr>
          <w:rFonts w:eastAsia="Arial Unicode MS"/>
        </w:rPr>
        <w:t xml:space="preserve"> </w:t>
      </w:r>
      <w:r w:rsidRPr="00E8579A">
        <w:rPr>
          <w:rFonts w:eastAsia="Arial Unicode MS"/>
        </w:rPr>
        <w:t>Paneke! (our workforce strategy) sets out a high-level, 3-year programme of work to address vulnerabilities and capability gaps in our workforce.</w:t>
      </w:r>
    </w:p>
    <w:p w14:paraId="74FFBE16" w14:textId="77777777" w:rsidR="00E8579A" w:rsidRPr="00E8579A" w:rsidRDefault="00E8579A" w:rsidP="00E8579A">
      <w:pPr>
        <w:rPr>
          <w:rFonts w:eastAsia="Arial Unicode MS"/>
        </w:rPr>
      </w:pPr>
    </w:p>
    <w:p w14:paraId="6DD224A4" w14:textId="77777777" w:rsidR="00E8579A" w:rsidRPr="00E8579A" w:rsidRDefault="00E8579A" w:rsidP="00E8579A">
      <w:pPr>
        <w:rPr>
          <w:rFonts w:eastAsia="Arial Unicode MS"/>
        </w:rPr>
      </w:pPr>
      <w:r w:rsidRPr="00E8579A">
        <w:rPr>
          <w:rFonts w:eastAsia="Arial Unicode MS"/>
        </w:rPr>
        <w:t>During 2021/22, we have made good progress under the 3 broad domains of capability, capacity and culture. With the introduction of the health and disability system reforms from 1 July 2022, we will need to review Turuki! Paneke! so that Manatū Hauora is well positioned to perform our new role in the system.</w:t>
      </w:r>
    </w:p>
    <w:p w14:paraId="31D49FFD" w14:textId="77777777" w:rsidR="00E8579A" w:rsidRPr="00E8579A" w:rsidRDefault="00E8579A" w:rsidP="00E8579A">
      <w:pPr>
        <w:pStyle w:val="Heading4"/>
      </w:pPr>
      <w:r w:rsidRPr="00E8579A">
        <w:t>Accessibility Tick</w:t>
      </w:r>
    </w:p>
    <w:p w14:paraId="450A82DA" w14:textId="0F65617E" w:rsidR="00E8579A" w:rsidRDefault="00E8579A" w:rsidP="00E8579A">
      <w:pPr>
        <w:rPr>
          <w:rFonts w:eastAsia="Arial Unicode MS"/>
        </w:rPr>
      </w:pPr>
      <w:r w:rsidRPr="00E8579A">
        <w:rPr>
          <w:rFonts w:eastAsia="Arial Unicode MS"/>
        </w:rPr>
        <w:t>The Accessibility Tick</w:t>
      </w:r>
      <w:r>
        <w:rPr>
          <w:rStyle w:val="FootnoteReference"/>
          <w:rFonts w:eastAsia="Arial Unicode MS"/>
        </w:rPr>
        <w:footnoteReference w:id="18"/>
      </w:r>
      <w:r w:rsidRPr="00E8579A">
        <w:rPr>
          <w:rFonts w:eastAsia="Arial Unicode MS"/>
        </w:rPr>
        <w:t xml:space="preserve"> publicly recognises the Ministry’s ongoing commitment to being accessible to and inclusive of our employees and customers with disabilities.</w:t>
      </w:r>
    </w:p>
    <w:p w14:paraId="3F59CD4E" w14:textId="77777777" w:rsidR="00E8579A" w:rsidRPr="00E8579A" w:rsidRDefault="00E8579A" w:rsidP="00E8579A">
      <w:pPr>
        <w:rPr>
          <w:rFonts w:eastAsia="Arial Unicode MS"/>
        </w:rPr>
      </w:pPr>
    </w:p>
    <w:p w14:paraId="3F4ACC26" w14:textId="77777777" w:rsidR="00E8579A" w:rsidRPr="00E8579A" w:rsidRDefault="00E8579A" w:rsidP="00E8579A">
      <w:pPr>
        <w:rPr>
          <w:rFonts w:eastAsia="Arial Unicode MS"/>
        </w:rPr>
      </w:pPr>
      <w:r w:rsidRPr="00E8579A">
        <w:rPr>
          <w:rFonts w:eastAsia="Arial Unicode MS"/>
        </w:rPr>
        <w:t>We have continued to work collaboratively with our employee-led Disability Network and Accessibility Working Group to deliver on the actions needed to maintain our Accessibility Tick accreditation.</w:t>
      </w:r>
    </w:p>
    <w:p w14:paraId="3386974F" w14:textId="77777777" w:rsidR="00E8579A" w:rsidRPr="00E8579A" w:rsidRDefault="00E8579A" w:rsidP="00E8579A">
      <w:pPr>
        <w:rPr>
          <w:rFonts w:eastAsia="Arial Unicode MS"/>
        </w:rPr>
      </w:pPr>
    </w:p>
    <w:p w14:paraId="1977D243" w14:textId="2E812A92" w:rsidR="00E8579A" w:rsidRPr="00E8579A" w:rsidRDefault="00E8579A" w:rsidP="00E8579A">
      <w:pPr>
        <w:rPr>
          <w:rFonts w:eastAsia="Arial Unicode MS"/>
        </w:rPr>
      </w:pPr>
    </w:p>
    <w:p w14:paraId="78DF28F6" w14:textId="132C9458" w:rsidR="00E8579A" w:rsidRPr="00E8579A" w:rsidRDefault="00E8579A" w:rsidP="00E8579A">
      <w:pPr>
        <w:rPr>
          <w:rFonts w:eastAsia="Arial Unicode MS"/>
        </w:rPr>
      </w:pPr>
      <w:r w:rsidRPr="00E8579A">
        <w:rPr>
          <w:rFonts w:eastAsia="Arial Unicode MS"/>
        </w:rPr>
        <w:lastRenderedPageBreak/>
        <w:t>Planning is under way to introduce disability confidence training to all managers. We are also engaging with the Disability Network to design a career</w:t>
      </w:r>
      <w:r>
        <w:rPr>
          <w:rFonts w:eastAsia="Arial Unicode MS"/>
        </w:rPr>
        <w:t xml:space="preserve"> </w:t>
      </w:r>
      <w:r w:rsidRPr="00E8579A">
        <w:rPr>
          <w:rFonts w:eastAsia="Arial Unicode MS"/>
        </w:rPr>
        <w:t>development toolkit/programme for those with accessibility needs.</w:t>
      </w:r>
    </w:p>
    <w:p w14:paraId="24335B28" w14:textId="77777777" w:rsidR="00E8579A" w:rsidRPr="00E8579A" w:rsidRDefault="00E8579A" w:rsidP="00E8579A">
      <w:pPr>
        <w:pStyle w:val="Heading4"/>
      </w:pPr>
      <w:r w:rsidRPr="00E8579A">
        <w:t>Supporting our people to develop and succeed</w:t>
      </w:r>
    </w:p>
    <w:p w14:paraId="613CD5AF" w14:textId="3043A98B" w:rsidR="00E8579A" w:rsidRDefault="00E8579A" w:rsidP="00E8579A">
      <w:pPr>
        <w:rPr>
          <w:rFonts w:eastAsia="Arial Unicode MS"/>
        </w:rPr>
      </w:pPr>
      <w:r w:rsidRPr="00E8579A">
        <w:rPr>
          <w:rFonts w:eastAsia="Arial Unicode MS"/>
        </w:rPr>
        <w:t>At the Ministry, we want to support our people to continue their learning and to offer a variety of development opportunities.</w:t>
      </w:r>
    </w:p>
    <w:p w14:paraId="2ECC0E77" w14:textId="77777777" w:rsidR="00E8579A" w:rsidRPr="00E8579A" w:rsidRDefault="00E8579A" w:rsidP="00E8579A">
      <w:pPr>
        <w:rPr>
          <w:rFonts w:eastAsia="Arial Unicode MS"/>
        </w:rPr>
      </w:pPr>
    </w:p>
    <w:p w14:paraId="75DE97B4" w14:textId="77777777" w:rsidR="00E8579A" w:rsidRPr="00E8579A" w:rsidRDefault="00E8579A" w:rsidP="00E8579A">
      <w:pPr>
        <w:rPr>
          <w:rFonts w:eastAsia="Arial Unicode MS"/>
        </w:rPr>
      </w:pPr>
      <w:r w:rsidRPr="00E8579A">
        <w:rPr>
          <w:rFonts w:eastAsia="Arial Unicode MS"/>
        </w:rPr>
        <w:t>We use the 70/20/10 model to consider different types of development, acknowledging that often the greatest learning comes by experiencing new tasks and challenges on the job or by learning from others.</w:t>
      </w:r>
    </w:p>
    <w:p w14:paraId="776EBB44" w14:textId="77777777" w:rsidR="00E8579A" w:rsidRPr="00E8579A" w:rsidRDefault="00E8579A" w:rsidP="00E8579A">
      <w:pPr>
        <w:pStyle w:val="Heading5"/>
      </w:pPr>
      <w:r w:rsidRPr="00E8579A">
        <w:t>Internal formal learning opportunities</w:t>
      </w:r>
    </w:p>
    <w:p w14:paraId="6E1308AD" w14:textId="6553C451" w:rsidR="00E8579A" w:rsidRDefault="00E8579A" w:rsidP="00E8579A">
      <w:pPr>
        <w:rPr>
          <w:rFonts w:eastAsia="Arial Unicode MS"/>
        </w:rPr>
      </w:pPr>
      <w:r w:rsidRPr="00E8579A">
        <w:rPr>
          <w:rFonts w:eastAsia="Arial Unicode MS"/>
        </w:rPr>
        <w:t>In 2021/22, we have supported job-specific development through a series of in- person, one-day workshops to develop capability in writing skills, peer-reviewing and proofreading. Over the past year, 259 of our staff have taken up the opportunity to attend these workshops.</w:t>
      </w:r>
    </w:p>
    <w:p w14:paraId="599F5681" w14:textId="77777777" w:rsidR="00E8579A" w:rsidRPr="00E8579A" w:rsidRDefault="00E8579A" w:rsidP="00E8579A">
      <w:pPr>
        <w:rPr>
          <w:rFonts w:eastAsia="Arial Unicode MS"/>
        </w:rPr>
      </w:pPr>
    </w:p>
    <w:p w14:paraId="6B40C11E" w14:textId="77777777" w:rsidR="00E8579A" w:rsidRPr="00E8579A" w:rsidRDefault="00E8579A" w:rsidP="00E8579A">
      <w:pPr>
        <w:rPr>
          <w:rFonts w:eastAsia="Arial Unicode MS"/>
        </w:rPr>
      </w:pPr>
      <w:r w:rsidRPr="00E8579A">
        <w:rPr>
          <w:rFonts w:eastAsia="Arial Unicode MS"/>
        </w:rPr>
        <w:t>For our leaders, the range of leadership development opportunities includes:</w:t>
      </w:r>
    </w:p>
    <w:p w14:paraId="2E3D87DF" w14:textId="67A102EC" w:rsidR="00E8579A" w:rsidRPr="00E8579A" w:rsidRDefault="00E8579A" w:rsidP="00E8579A">
      <w:pPr>
        <w:pStyle w:val="Bullet"/>
        <w:rPr>
          <w:rFonts w:eastAsia="Arial Unicode MS"/>
        </w:rPr>
      </w:pPr>
      <w:r w:rsidRPr="00E8579A">
        <w:rPr>
          <w:rFonts w:eastAsia="Arial Unicode MS"/>
        </w:rPr>
        <w:t>Leading Edge, our in-house emerging leaders programme</w:t>
      </w:r>
    </w:p>
    <w:p w14:paraId="0992461D" w14:textId="60E0019A" w:rsidR="00E8579A" w:rsidRPr="00E8579A" w:rsidRDefault="00E8579A" w:rsidP="00E8579A">
      <w:pPr>
        <w:pStyle w:val="Bullet"/>
        <w:rPr>
          <w:rFonts w:eastAsia="Arial Unicode MS"/>
        </w:rPr>
      </w:pPr>
      <w:r w:rsidRPr="00E8579A">
        <w:rPr>
          <w:rFonts w:eastAsia="Arial Unicode MS"/>
        </w:rPr>
        <w:t>360-degree assessment and leadership coaching</w:t>
      </w:r>
    </w:p>
    <w:p w14:paraId="4B9880AE" w14:textId="000324A8" w:rsidR="00E8579A" w:rsidRPr="00E8579A" w:rsidRDefault="00E8579A" w:rsidP="00E8579A">
      <w:pPr>
        <w:pStyle w:val="Bullet"/>
        <w:rPr>
          <w:rFonts w:eastAsia="Arial Unicode MS"/>
        </w:rPr>
      </w:pPr>
      <w:r w:rsidRPr="00E8579A">
        <w:rPr>
          <w:rFonts w:eastAsia="Arial Unicode MS"/>
        </w:rPr>
        <w:t>the Leadership Development Centre’s programmes (for all levels of leadership).</w:t>
      </w:r>
    </w:p>
    <w:p w14:paraId="45B841B6" w14:textId="77777777" w:rsidR="00E8579A" w:rsidRDefault="00E8579A" w:rsidP="00E8579A">
      <w:pPr>
        <w:rPr>
          <w:rFonts w:eastAsia="Arial Unicode MS"/>
        </w:rPr>
      </w:pPr>
    </w:p>
    <w:p w14:paraId="348D6B41" w14:textId="13A1EAC5" w:rsidR="00E8579A" w:rsidRPr="00E8579A" w:rsidRDefault="00E8579A" w:rsidP="00E8579A">
      <w:pPr>
        <w:rPr>
          <w:rFonts w:eastAsia="Arial Unicode MS"/>
        </w:rPr>
      </w:pPr>
      <w:r w:rsidRPr="00E8579A">
        <w:rPr>
          <w:rFonts w:eastAsia="Arial Unicode MS"/>
        </w:rPr>
        <w:t>We have continued to build on our library of e-learning, such as by:</w:t>
      </w:r>
    </w:p>
    <w:p w14:paraId="30586080" w14:textId="33D42FE2" w:rsidR="00E8579A" w:rsidRPr="00E8579A" w:rsidRDefault="00E8579A" w:rsidP="00E8579A">
      <w:pPr>
        <w:pStyle w:val="Bullet"/>
        <w:rPr>
          <w:rFonts w:eastAsia="Arial Unicode MS"/>
        </w:rPr>
      </w:pPr>
      <w:r w:rsidRPr="00E8579A">
        <w:rPr>
          <w:rFonts w:eastAsia="Arial Unicode MS"/>
        </w:rPr>
        <w:t>converting our face-to-face health and safety induction to an online module</w:t>
      </w:r>
    </w:p>
    <w:p w14:paraId="3D3B313F" w14:textId="5193047D" w:rsidR="00E8579A" w:rsidRDefault="00E8579A" w:rsidP="00E8579A">
      <w:pPr>
        <w:pStyle w:val="Bullet"/>
        <w:rPr>
          <w:rFonts w:eastAsia="Arial Unicode MS"/>
        </w:rPr>
      </w:pPr>
      <w:r w:rsidRPr="00E8579A">
        <w:rPr>
          <w:rFonts w:eastAsia="Arial Unicode MS"/>
        </w:rPr>
        <w:t>grouping te ao Māori learning at the Ministry under one dashboard</w:t>
      </w:r>
    </w:p>
    <w:p w14:paraId="6231049B" w14:textId="59A9DF73" w:rsidR="00E8579A" w:rsidRPr="00E8579A" w:rsidRDefault="00E8579A" w:rsidP="00E8579A">
      <w:pPr>
        <w:pStyle w:val="Bullet"/>
        <w:rPr>
          <w:rFonts w:eastAsia="Arial Unicode MS"/>
        </w:rPr>
      </w:pPr>
      <w:r w:rsidRPr="00E8579A">
        <w:rPr>
          <w:rFonts w:eastAsia="Arial Unicode MS"/>
        </w:rPr>
        <w:t>introducing change support</w:t>
      </w:r>
    </w:p>
    <w:p w14:paraId="0D8A9D48" w14:textId="1E8387F1" w:rsidR="00E8579A" w:rsidRPr="00E8579A" w:rsidRDefault="00E8579A" w:rsidP="00E8579A">
      <w:pPr>
        <w:pStyle w:val="Bullet"/>
        <w:rPr>
          <w:rFonts w:eastAsia="Arial Unicode MS"/>
        </w:rPr>
      </w:pPr>
      <w:r w:rsidRPr="00E8579A">
        <w:rPr>
          <w:rFonts w:eastAsia="Arial Unicode MS"/>
        </w:rPr>
        <w:t>updating our leader toolkit</w:t>
      </w:r>
    </w:p>
    <w:p w14:paraId="19C08702" w14:textId="0629CE6A" w:rsidR="00E8579A" w:rsidRPr="00E8579A" w:rsidRDefault="00E8579A" w:rsidP="00E8579A">
      <w:pPr>
        <w:pStyle w:val="Bullet"/>
        <w:rPr>
          <w:rFonts w:eastAsia="Arial Unicode MS"/>
        </w:rPr>
      </w:pPr>
      <w:r w:rsidRPr="00E8579A">
        <w:rPr>
          <w:rFonts w:eastAsia="Arial Unicode MS"/>
        </w:rPr>
        <w:t>updating our Hoe Kia Rite (induction programme).</w:t>
      </w:r>
    </w:p>
    <w:p w14:paraId="17FD5B56" w14:textId="77777777" w:rsidR="00E8579A" w:rsidRDefault="00E8579A" w:rsidP="00E8579A">
      <w:pPr>
        <w:rPr>
          <w:rFonts w:eastAsia="Arial Unicode MS"/>
        </w:rPr>
      </w:pPr>
    </w:p>
    <w:p w14:paraId="0A0825E1" w14:textId="5ADE2EFC" w:rsidR="00E8579A" w:rsidRDefault="00E8579A" w:rsidP="00E8579A">
      <w:pPr>
        <w:rPr>
          <w:rFonts w:eastAsia="Arial Unicode MS"/>
        </w:rPr>
      </w:pPr>
      <w:r w:rsidRPr="00E8579A">
        <w:rPr>
          <w:rFonts w:eastAsia="Arial Unicode MS"/>
        </w:rPr>
        <w:t>We welcome our new staff with an onboarding programme that offers a series of activities, workshops and modules to build their confidence and competence with the requirements of their new role.</w:t>
      </w:r>
    </w:p>
    <w:p w14:paraId="18BD62D3" w14:textId="77777777" w:rsidR="003962F7" w:rsidRPr="00E8579A" w:rsidRDefault="003962F7" w:rsidP="00E8579A">
      <w:pPr>
        <w:rPr>
          <w:rFonts w:eastAsia="Arial Unicode MS"/>
        </w:rPr>
      </w:pPr>
    </w:p>
    <w:p w14:paraId="75A1ED85" w14:textId="3484F3FF" w:rsidR="00E8579A" w:rsidRDefault="00E8579A" w:rsidP="00E8579A">
      <w:pPr>
        <w:rPr>
          <w:rFonts w:eastAsia="Arial Unicode MS"/>
        </w:rPr>
      </w:pPr>
      <w:r w:rsidRPr="00E8579A">
        <w:rPr>
          <w:rFonts w:eastAsia="Arial Unicode MS"/>
        </w:rPr>
        <w:t>Our new managers attend online manager induction sessions and can access a range of supporting information in the online leader toolkit.</w:t>
      </w:r>
    </w:p>
    <w:p w14:paraId="6B915214" w14:textId="77777777" w:rsidR="003962F7" w:rsidRPr="00E8579A" w:rsidRDefault="003962F7" w:rsidP="00E8579A">
      <w:pPr>
        <w:rPr>
          <w:rFonts w:eastAsia="Arial Unicode MS"/>
        </w:rPr>
      </w:pPr>
    </w:p>
    <w:p w14:paraId="13119BE1" w14:textId="60787220" w:rsidR="00E8579A" w:rsidRDefault="00E8579A" w:rsidP="00E8579A">
      <w:pPr>
        <w:rPr>
          <w:rFonts w:eastAsia="Arial Unicode MS"/>
        </w:rPr>
      </w:pPr>
      <w:r w:rsidRPr="00E8579A">
        <w:rPr>
          <w:rFonts w:eastAsia="Arial Unicode MS"/>
        </w:rPr>
        <w:t>We have also supported our staff to take up career development opportunities through internal and</w:t>
      </w:r>
      <w:r w:rsidR="003962F7">
        <w:rPr>
          <w:rFonts w:eastAsia="Arial Unicode MS"/>
        </w:rPr>
        <w:t xml:space="preserve"> </w:t>
      </w:r>
      <w:r w:rsidRPr="00E8579A">
        <w:rPr>
          <w:rFonts w:eastAsia="Arial Unicode MS"/>
        </w:rPr>
        <w:t>external secondments. These are great opportunities for our staff to grow and enhance their careers, increasing the breadth of their experience across the public and health sectors.</w:t>
      </w:r>
    </w:p>
    <w:p w14:paraId="07BF1084" w14:textId="77777777" w:rsidR="003962F7" w:rsidRPr="00E8579A" w:rsidRDefault="003962F7" w:rsidP="00E8579A">
      <w:pPr>
        <w:rPr>
          <w:rFonts w:eastAsia="Arial Unicode MS"/>
        </w:rPr>
      </w:pPr>
    </w:p>
    <w:p w14:paraId="7CDBF8BA" w14:textId="5DE556C6" w:rsidR="00E8579A" w:rsidRPr="00E8579A" w:rsidRDefault="00E8579A" w:rsidP="00E8579A">
      <w:pPr>
        <w:rPr>
          <w:rFonts w:eastAsia="Arial Unicode MS"/>
        </w:rPr>
      </w:pPr>
      <w:r w:rsidRPr="00E8579A">
        <w:rPr>
          <w:rFonts w:eastAsia="Arial Unicode MS"/>
        </w:rPr>
        <w:t>In addition, the Ministry has continued to support our people with external learning and development opportunities. Over the past year, we granted study assistance for 38 staff undertaking tertiary study.</w:t>
      </w:r>
      <w:r w:rsidR="003962F7">
        <w:rPr>
          <w:rFonts w:eastAsia="Arial Unicode MS"/>
        </w:rPr>
        <w:t xml:space="preserve"> </w:t>
      </w:r>
      <w:r w:rsidRPr="00E8579A">
        <w:rPr>
          <w:rFonts w:eastAsia="Arial Unicode MS"/>
        </w:rPr>
        <w:t>This assistance took the form of either partial reimbursement of fees when staff successfully completed their study, or paid study leave.</w:t>
      </w:r>
    </w:p>
    <w:p w14:paraId="1DE1E784" w14:textId="77777777" w:rsidR="00E8579A" w:rsidRPr="00E8579A" w:rsidRDefault="00E8579A" w:rsidP="003962F7">
      <w:pPr>
        <w:pStyle w:val="Heading5"/>
      </w:pPr>
      <w:r w:rsidRPr="00E8579A">
        <w:lastRenderedPageBreak/>
        <w:t>Internships and graduate opportunities</w:t>
      </w:r>
    </w:p>
    <w:p w14:paraId="7E7B74D0" w14:textId="423EE3C3" w:rsidR="00E8579A" w:rsidRDefault="00E8579A" w:rsidP="00E8579A">
      <w:pPr>
        <w:rPr>
          <w:rFonts w:eastAsia="Arial Unicode MS"/>
        </w:rPr>
      </w:pPr>
      <w:r w:rsidRPr="00E8579A">
        <w:rPr>
          <w:rFonts w:eastAsia="Arial Unicode MS"/>
        </w:rPr>
        <w:t>We have continued to build on our Early in Career programme. In 2021/22, in our first Ministry-led internship programme, we successfully engaged 11 interns to work at the Ministry between November 2021 and February 2022.</w:t>
      </w:r>
    </w:p>
    <w:p w14:paraId="01B49705" w14:textId="77777777" w:rsidR="003962F7" w:rsidRPr="00E8579A" w:rsidRDefault="003962F7" w:rsidP="00E8579A">
      <w:pPr>
        <w:rPr>
          <w:rFonts w:eastAsia="Arial Unicode MS"/>
        </w:rPr>
      </w:pPr>
    </w:p>
    <w:p w14:paraId="613D42CD" w14:textId="081252DE" w:rsidR="00E8579A" w:rsidRDefault="00E8579A" w:rsidP="00E8579A">
      <w:pPr>
        <w:rPr>
          <w:rFonts w:eastAsia="Arial Unicode MS"/>
        </w:rPr>
      </w:pPr>
      <w:r w:rsidRPr="00E8579A">
        <w:rPr>
          <w:rFonts w:eastAsia="Arial Unicode MS"/>
        </w:rPr>
        <w:t>From the programme, 5 interns have remained working with the Ministry, while the other 6 returned to their studies.</w:t>
      </w:r>
    </w:p>
    <w:p w14:paraId="4201BD08" w14:textId="77777777" w:rsidR="003962F7" w:rsidRPr="00E8579A" w:rsidRDefault="003962F7" w:rsidP="00E8579A">
      <w:pPr>
        <w:rPr>
          <w:rFonts w:eastAsia="Arial Unicode MS"/>
        </w:rPr>
      </w:pPr>
    </w:p>
    <w:p w14:paraId="74E15F48" w14:textId="5E2C8991" w:rsidR="00E8579A" w:rsidRDefault="00E8579A" w:rsidP="00E8579A">
      <w:pPr>
        <w:rPr>
          <w:rFonts w:eastAsia="Arial Unicode MS"/>
        </w:rPr>
      </w:pPr>
      <w:r w:rsidRPr="00E8579A">
        <w:rPr>
          <w:rFonts w:eastAsia="Arial Unicode MS"/>
        </w:rPr>
        <w:t>In 2021/22, we increased our engagement</w:t>
      </w:r>
      <w:r w:rsidR="003962F7">
        <w:rPr>
          <w:rFonts w:eastAsia="Arial Unicode MS"/>
        </w:rPr>
        <w:t xml:space="preserve"> </w:t>
      </w:r>
      <w:r w:rsidRPr="00E8579A">
        <w:rPr>
          <w:rFonts w:eastAsia="Arial Unicode MS"/>
        </w:rPr>
        <w:t>with tertiary institutions, giving students opportunities to complete work experience and gain credits towards their qualification. One example was the</w:t>
      </w:r>
      <w:r w:rsidR="003962F7">
        <w:rPr>
          <w:rFonts w:eastAsia="Arial Unicode MS"/>
        </w:rPr>
        <w:t xml:space="preserve"> </w:t>
      </w:r>
      <w:r w:rsidRPr="00E8579A">
        <w:rPr>
          <w:rFonts w:eastAsia="Arial Unicode MS"/>
        </w:rPr>
        <w:t>Victoria University of Wellington’s Bachelor of Health internship, which saw the Ministry engage 14 interns in 2021.</w:t>
      </w:r>
    </w:p>
    <w:p w14:paraId="6DA67204" w14:textId="77777777" w:rsidR="003962F7" w:rsidRPr="00E8579A" w:rsidRDefault="003962F7" w:rsidP="00E8579A">
      <w:pPr>
        <w:rPr>
          <w:rFonts w:eastAsia="Arial Unicode MS"/>
        </w:rPr>
      </w:pPr>
    </w:p>
    <w:p w14:paraId="0039BD8F" w14:textId="76F48BD5" w:rsidR="00E8579A" w:rsidRPr="00E8579A" w:rsidRDefault="00E8579A" w:rsidP="00E8579A">
      <w:pPr>
        <w:rPr>
          <w:rFonts w:eastAsia="Arial Unicode MS"/>
        </w:rPr>
      </w:pPr>
      <w:r w:rsidRPr="00E8579A">
        <w:rPr>
          <w:rFonts w:eastAsia="Arial Unicode MS"/>
        </w:rPr>
        <w:t>We also continued to participate in the Ethnic Communities Graduate</w:t>
      </w:r>
      <w:r w:rsidR="003962F7">
        <w:rPr>
          <w:rFonts w:eastAsia="Arial Unicode MS"/>
        </w:rPr>
        <w:t xml:space="preserve"> </w:t>
      </w:r>
      <w:r w:rsidRPr="00E8579A">
        <w:rPr>
          <w:rFonts w:eastAsia="Arial Unicode MS"/>
        </w:rPr>
        <w:t>programme. In 2021/22, 3 graduates joined the programme.</w:t>
      </w:r>
    </w:p>
    <w:p w14:paraId="4229B8F8" w14:textId="77777777" w:rsidR="00E8579A" w:rsidRPr="00E8579A" w:rsidRDefault="00E8579A" w:rsidP="003962F7">
      <w:pPr>
        <w:pStyle w:val="Heading4"/>
      </w:pPr>
      <w:r w:rsidRPr="00E8579A">
        <w:t>Health, safety and wellbeing</w:t>
      </w:r>
    </w:p>
    <w:p w14:paraId="55A9C767" w14:textId="77777777" w:rsidR="00E8579A" w:rsidRPr="00E8579A" w:rsidRDefault="00E8579A" w:rsidP="00E8579A">
      <w:pPr>
        <w:rPr>
          <w:rFonts w:eastAsia="Arial Unicode MS"/>
        </w:rPr>
      </w:pPr>
      <w:r w:rsidRPr="00E8579A">
        <w:rPr>
          <w:rFonts w:eastAsia="Arial Unicode MS"/>
        </w:rPr>
        <w:t>Building and sustaining a safe place to work is core to Ngā Uaratanga | Our</w:t>
      </w:r>
    </w:p>
    <w:p w14:paraId="6D53A351" w14:textId="77777777" w:rsidR="00E8579A" w:rsidRPr="00E8579A" w:rsidRDefault="00E8579A" w:rsidP="00E8579A">
      <w:pPr>
        <w:rPr>
          <w:rFonts w:eastAsia="Arial Unicode MS"/>
        </w:rPr>
      </w:pPr>
      <w:r w:rsidRPr="00E8579A">
        <w:rPr>
          <w:rFonts w:eastAsia="Arial Unicode MS"/>
        </w:rPr>
        <w:t>Ministry Values. In the past financial year, we continued to improve our proactive approach to managing our health, safety and wellbeing risks.</w:t>
      </w:r>
    </w:p>
    <w:p w14:paraId="3CAD3FA8" w14:textId="77777777" w:rsidR="00E8579A" w:rsidRPr="00E8579A" w:rsidRDefault="00E8579A" w:rsidP="003962F7">
      <w:pPr>
        <w:pStyle w:val="Heading5"/>
      </w:pPr>
      <w:r w:rsidRPr="00E8579A">
        <w:t>The psychosocial wellbeing of our people is a key focus</w:t>
      </w:r>
    </w:p>
    <w:p w14:paraId="25F68985" w14:textId="79835002" w:rsidR="00E8579A" w:rsidRPr="00E8579A" w:rsidRDefault="00E8579A" w:rsidP="00E8579A">
      <w:pPr>
        <w:rPr>
          <w:rFonts w:eastAsia="Arial Unicode MS"/>
        </w:rPr>
      </w:pPr>
      <w:r w:rsidRPr="00E8579A">
        <w:rPr>
          <w:rFonts w:eastAsia="Arial Unicode MS"/>
        </w:rPr>
        <w:t>We have increased our efforts in psychosocial risk management, identifying areas of work that pose higher risk of psychosocial harm and collaborating</w:t>
      </w:r>
      <w:r w:rsidR="003962F7">
        <w:rPr>
          <w:rFonts w:eastAsia="Arial Unicode MS"/>
        </w:rPr>
        <w:t xml:space="preserve"> </w:t>
      </w:r>
      <w:r w:rsidRPr="00E8579A">
        <w:rPr>
          <w:rFonts w:eastAsia="Arial Unicode MS"/>
        </w:rPr>
        <w:t xml:space="preserve">with our people to establish meaningful controls. We refreshed our risk register to reflect our </w:t>
      </w:r>
      <w:r w:rsidR="003962F7">
        <w:rPr>
          <w:rFonts w:eastAsia="Arial Unicode MS"/>
        </w:rPr>
        <w:t>u</w:t>
      </w:r>
      <w:r w:rsidRPr="00E8579A">
        <w:rPr>
          <w:rFonts w:eastAsia="Arial Unicode MS"/>
        </w:rPr>
        <w:t>nderstanding that psychosocial risk can arise in various contexts and each requires a tailored approach. Kia Tu Kaha: Our Wellbeing Plan (2022-2025) was approved by the Executive Leadership Team in late June and sets the direction for wellbeing initiatives under three domains:</w:t>
      </w:r>
    </w:p>
    <w:p w14:paraId="7E0669A3" w14:textId="73D2B87B" w:rsidR="00E8579A" w:rsidRPr="00E8579A" w:rsidRDefault="00E8579A" w:rsidP="003962F7">
      <w:pPr>
        <w:pStyle w:val="Bullet"/>
        <w:rPr>
          <w:rFonts w:eastAsia="Arial Unicode MS"/>
        </w:rPr>
      </w:pPr>
      <w:r w:rsidRPr="003962F7">
        <w:rPr>
          <w:rFonts w:eastAsia="Arial Unicode MS"/>
          <w:b/>
          <w:bCs/>
        </w:rPr>
        <w:t>Whakahaumaru | Protect:</w:t>
      </w:r>
      <w:r w:rsidRPr="00E8579A">
        <w:rPr>
          <w:rFonts w:eastAsia="Arial Unicode MS"/>
        </w:rPr>
        <w:t xml:space="preserve"> Primary interventions that minimise risks to kaimahi and create an environment where people thrive</w:t>
      </w:r>
    </w:p>
    <w:p w14:paraId="570F8681" w14:textId="6A29E4EE" w:rsidR="00E8579A" w:rsidRPr="00E8579A" w:rsidRDefault="00E8579A" w:rsidP="003962F7">
      <w:pPr>
        <w:pStyle w:val="Bullet"/>
        <w:rPr>
          <w:rFonts w:eastAsia="Arial Unicode MS"/>
        </w:rPr>
      </w:pPr>
      <w:r w:rsidRPr="003962F7">
        <w:rPr>
          <w:rFonts w:eastAsia="Arial Unicode MS"/>
          <w:b/>
          <w:bCs/>
        </w:rPr>
        <w:t>Whakamana | Empower:</w:t>
      </w:r>
      <w:r w:rsidRPr="00E8579A">
        <w:rPr>
          <w:rFonts w:eastAsia="Arial Unicode MS"/>
        </w:rPr>
        <w:t xml:space="preserve"> Secondary interventions that give people skills and knowledge when things start to get challenging</w:t>
      </w:r>
    </w:p>
    <w:p w14:paraId="1020165D" w14:textId="7C2D42CB" w:rsidR="00E8579A" w:rsidRDefault="00E8579A" w:rsidP="003962F7">
      <w:pPr>
        <w:pStyle w:val="Bullet"/>
        <w:rPr>
          <w:rFonts w:eastAsia="Arial Unicode MS"/>
        </w:rPr>
      </w:pPr>
      <w:r w:rsidRPr="003962F7">
        <w:rPr>
          <w:rFonts w:eastAsia="Arial Unicode MS"/>
          <w:b/>
          <w:bCs/>
        </w:rPr>
        <w:t>Āwhina | Care:</w:t>
      </w:r>
      <w:r w:rsidRPr="00E8579A">
        <w:rPr>
          <w:rFonts w:eastAsia="Arial Unicode MS"/>
        </w:rPr>
        <w:t xml:space="preserve"> Tertiary interventions that</w:t>
      </w:r>
      <w:r w:rsidR="003962F7">
        <w:rPr>
          <w:rFonts w:eastAsia="Arial Unicode MS"/>
        </w:rPr>
        <w:t xml:space="preserve"> </w:t>
      </w:r>
      <w:r w:rsidR="003962F7" w:rsidRPr="003962F7">
        <w:rPr>
          <w:rFonts w:eastAsia="Arial Unicode MS"/>
        </w:rPr>
        <w:t>show manaakitanga and aroha when our people need them most.</w:t>
      </w:r>
    </w:p>
    <w:p w14:paraId="2A5151DF" w14:textId="77777777" w:rsidR="003962F7" w:rsidRPr="003962F7" w:rsidRDefault="003962F7" w:rsidP="003962F7">
      <w:pPr>
        <w:pStyle w:val="Heading5"/>
      </w:pPr>
      <w:r w:rsidRPr="003962F7">
        <w:t>We supported our people through COVID-19</w:t>
      </w:r>
    </w:p>
    <w:p w14:paraId="0CBEB454" w14:textId="21A42E71" w:rsidR="003962F7" w:rsidRDefault="003962F7" w:rsidP="003962F7">
      <w:pPr>
        <w:rPr>
          <w:rFonts w:eastAsia="Arial Unicode MS"/>
        </w:rPr>
      </w:pPr>
      <w:r w:rsidRPr="003962F7">
        <w:rPr>
          <w:rFonts w:eastAsia="Arial Unicode MS"/>
        </w:rPr>
        <w:t>We managed our risk of COVID-19 in our work environments through engaging with our workers and subject matter experts and sharing our risk assessments as the circumstances evolved. We empowered our workers with information and skills through online wellbeing workshops and regular updates during alert level changes as the country transitioned to the COVID-19 Protection Framework.</w:t>
      </w:r>
    </w:p>
    <w:p w14:paraId="32965B26" w14:textId="77777777" w:rsidR="003962F7" w:rsidRPr="003962F7" w:rsidRDefault="003962F7" w:rsidP="003962F7">
      <w:pPr>
        <w:rPr>
          <w:rFonts w:eastAsia="Arial Unicode MS"/>
        </w:rPr>
      </w:pPr>
    </w:p>
    <w:p w14:paraId="4B95C96E" w14:textId="5095340B" w:rsidR="003962F7" w:rsidRPr="003962F7" w:rsidRDefault="003962F7" w:rsidP="003962F7">
      <w:pPr>
        <w:rPr>
          <w:rFonts w:eastAsia="Arial Unicode MS"/>
        </w:rPr>
      </w:pPr>
      <w:r w:rsidRPr="003962F7">
        <w:rPr>
          <w:rFonts w:eastAsia="Arial Unicode MS"/>
        </w:rPr>
        <w:t>To manage capacity in our offices many of our people continued to engage in a mix of working from home and in the office.</w:t>
      </w:r>
      <w:r>
        <w:rPr>
          <w:rFonts w:eastAsia="Arial Unicode MS"/>
        </w:rPr>
        <w:t xml:space="preserve"> </w:t>
      </w:r>
      <w:r w:rsidRPr="003962F7">
        <w:rPr>
          <w:rFonts w:eastAsia="Arial Unicode MS"/>
        </w:rPr>
        <w:t xml:space="preserve">Pain and discomfort represented 69% of our incident reports in the past financial year so we have offered a $400 working from home contribution to our fixed-term and permanent employees to purchase </w:t>
      </w:r>
      <w:r w:rsidRPr="003962F7">
        <w:rPr>
          <w:rFonts w:eastAsia="Arial Unicode MS"/>
        </w:rPr>
        <w:lastRenderedPageBreak/>
        <w:t>equipment that is ergonomically sound. In addition to this, we offered ergonomics webinars to our workers to better equip them with the tools and knowledge to prevent pain and discomfort.</w:t>
      </w:r>
    </w:p>
    <w:p w14:paraId="4C5D5B8C" w14:textId="77777777" w:rsidR="003962F7" w:rsidRPr="003962F7" w:rsidRDefault="003962F7" w:rsidP="003962F7">
      <w:pPr>
        <w:pStyle w:val="Heading5"/>
      </w:pPr>
      <w:r w:rsidRPr="003962F7">
        <w:t>We continue to engage with our people</w:t>
      </w:r>
    </w:p>
    <w:p w14:paraId="348DFADA" w14:textId="06FA6556" w:rsidR="003962F7" w:rsidRDefault="003962F7" w:rsidP="003962F7">
      <w:pPr>
        <w:rPr>
          <w:rFonts w:eastAsia="Arial Unicode MS"/>
        </w:rPr>
      </w:pPr>
      <w:r w:rsidRPr="003962F7">
        <w:rPr>
          <w:rFonts w:eastAsia="Arial Unicode MS"/>
        </w:rPr>
        <w:t>Recognising that worker engagement is key to a safety culture, we refreshed our health and safety award programme, renamed as the Kia Haumaru Awards, meaning ‘Let there be safety and protection’. The Awards recognise behaviours that enhance and protect the health, safety and wellbeing of our people and are presented quarterly.</w:t>
      </w:r>
    </w:p>
    <w:p w14:paraId="4F0E57D4" w14:textId="77777777" w:rsidR="003962F7" w:rsidRPr="003962F7" w:rsidRDefault="003962F7" w:rsidP="003962F7">
      <w:pPr>
        <w:rPr>
          <w:rFonts w:eastAsia="Arial Unicode MS"/>
        </w:rPr>
      </w:pPr>
    </w:p>
    <w:p w14:paraId="45DD53BD" w14:textId="77777777" w:rsidR="003962F7" w:rsidRPr="003962F7" w:rsidRDefault="003962F7" w:rsidP="003962F7">
      <w:pPr>
        <w:rPr>
          <w:rFonts w:eastAsia="Arial Unicode MS"/>
        </w:rPr>
      </w:pPr>
      <w:r w:rsidRPr="003962F7">
        <w:rPr>
          <w:rFonts w:eastAsia="Arial Unicode MS"/>
        </w:rPr>
        <w:t>We continue to engage with our workers through regular Regional and National Committee meetings. The National Health and Safety Committee is chaired by</w:t>
      </w:r>
    </w:p>
    <w:p w14:paraId="36CC2DDB" w14:textId="0DECC441" w:rsidR="003962F7" w:rsidRPr="003962F7" w:rsidRDefault="003962F7" w:rsidP="003962F7">
      <w:pPr>
        <w:rPr>
          <w:rFonts w:eastAsia="Arial Unicode MS"/>
        </w:rPr>
      </w:pPr>
      <w:r w:rsidRPr="003962F7">
        <w:rPr>
          <w:rFonts w:eastAsia="Arial Unicode MS"/>
        </w:rPr>
        <w:t>the Deputy Director-General Corporate Services and it provides an opportunity for a member of our Executive Leadership</w:t>
      </w:r>
      <w:r>
        <w:rPr>
          <w:rFonts w:eastAsia="Arial Unicode MS"/>
        </w:rPr>
        <w:t xml:space="preserve"> </w:t>
      </w:r>
      <w:r w:rsidRPr="003962F7">
        <w:rPr>
          <w:rFonts w:eastAsia="Arial Unicode MS"/>
        </w:rPr>
        <w:t>Team to hear directly from our people regarding health, safety and wellbeing issues.</w:t>
      </w:r>
    </w:p>
    <w:p w14:paraId="5207F7CF" w14:textId="77777777" w:rsidR="003962F7" w:rsidRPr="003962F7" w:rsidRDefault="003962F7" w:rsidP="003962F7">
      <w:pPr>
        <w:pStyle w:val="Heading5"/>
      </w:pPr>
      <w:r w:rsidRPr="003962F7">
        <w:t>We have been recognised for our health and safety risk management</w:t>
      </w:r>
    </w:p>
    <w:p w14:paraId="16BAA475" w14:textId="77777777" w:rsidR="003962F7" w:rsidRPr="003962F7" w:rsidRDefault="003962F7" w:rsidP="003962F7">
      <w:pPr>
        <w:rPr>
          <w:rFonts w:eastAsia="Arial Unicode MS"/>
        </w:rPr>
      </w:pPr>
      <w:r w:rsidRPr="003962F7">
        <w:rPr>
          <w:rFonts w:eastAsia="Arial Unicode MS"/>
        </w:rPr>
        <w:t>In August 2021 we retained our tertiary accreditation with the ACC Accredited Employers Programme. This demonstrates that we provided satisfactory evidence that we have a clear track record of health and safety systems and processes, and are engaged in continuous improvement.</w:t>
      </w:r>
    </w:p>
    <w:p w14:paraId="1143D155" w14:textId="77777777" w:rsidR="003962F7" w:rsidRPr="003962F7" w:rsidRDefault="003962F7" w:rsidP="003962F7">
      <w:pPr>
        <w:pStyle w:val="Heading5"/>
      </w:pPr>
      <w:r w:rsidRPr="003962F7">
        <w:t>We are reviewing health, safety and wellbeing governance</w:t>
      </w:r>
    </w:p>
    <w:p w14:paraId="71C25F86" w14:textId="77777777" w:rsidR="003962F7" w:rsidRPr="003962F7" w:rsidRDefault="003962F7" w:rsidP="003962F7">
      <w:pPr>
        <w:rPr>
          <w:rFonts w:eastAsia="Arial Unicode MS"/>
        </w:rPr>
      </w:pPr>
      <w:r w:rsidRPr="003962F7">
        <w:rPr>
          <w:rFonts w:eastAsia="Arial Unicode MS"/>
        </w:rPr>
        <w:t>Our leaders are continually improving how they maintain oversight of health and safety and are progressing to the establishment of a health, safety and wellbeing subcommittee in the 2022/23 financial year.</w:t>
      </w:r>
    </w:p>
    <w:p w14:paraId="123B073B" w14:textId="3F82EA6C" w:rsidR="003962F7" w:rsidRPr="003962F7" w:rsidRDefault="003962F7" w:rsidP="003962F7">
      <w:pPr>
        <w:pStyle w:val="Heading3"/>
      </w:pPr>
      <w:bookmarkStart w:id="30" w:name="_Toc117264938"/>
      <w:r w:rsidRPr="003962F7">
        <w:t>Our commitment to Papa Pounamu |</w:t>
      </w:r>
      <w:r>
        <w:t xml:space="preserve"> </w:t>
      </w:r>
      <w:r w:rsidRPr="003962F7">
        <w:t>Tā mātou taurangi atu ki Te Papa Pounamu</w:t>
      </w:r>
      <w:bookmarkEnd w:id="30"/>
    </w:p>
    <w:p w14:paraId="7D911C20" w14:textId="1C6811F8" w:rsidR="003962F7" w:rsidRDefault="003962F7" w:rsidP="003962F7">
      <w:pPr>
        <w:rPr>
          <w:rFonts w:eastAsia="Arial Unicode MS"/>
        </w:rPr>
      </w:pPr>
      <w:r w:rsidRPr="003962F7">
        <w:rPr>
          <w:rFonts w:eastAsia="Arial Unicode MS"/>
        </w:rPr>
        <w:t>The Ministry’s Whiria te Tangata | Culture and Inclusion Strategy has the Papa Pounamu diversity and inclusion work programme at its foundation.</w:t>
      </w:r>
    </w:p>
    <w:p w14:paraId="5F861DAD" w14:textId="77777777" w:rsidR="003962F7" w:rsidRPr="003962F7" w:rsidRDefault="003962F7" w:rsidP="003962F7">
      <w:pPr>
        <w:rPr>
          <w:rFonts w:eastAsia="Arial Unicode MS"/>
        </w:rPr>
      </w:pPr>
    </w:p>
    <w:p w14:paraId="42F0F295" w14:textId="372D53BC" w:rsidR="003962F7" w:rsidRDefault="003962F7" w:rsidP="003962F7">
      <w:pPr>
        <w:rPr>
          <w:rFonts w:eastAsia="Arial Unicode MS"/>
        </w:rPr>
      </w:pPr>
      <w:r w:rsidRPr="003962F7">
        <w:rPr>
          <w:rFonts w:eastAsia="Arial Unicode MS"/>
        </w:rPr>
        <w:t>We are implementing Whiria te Tangata over 3 years. Work is already well under way to create a safe and inclusive environment where all our people can thrive and do their best work.</w:t>
      </w:r>
    </w:p>
    <w:p w14:paraId="60F21DA0" w14:textId="77777777" w:rsidR="003962F7" w:rsidRPr="003962F7" w:rsidRDefault="003962F7" w:rsidP="003962F7">
      <w:pPr>
        <w:rPr>
          <w:rFonts w:eastAsia="Arial Unicode MS"/>
        </w:rPr>
      </w:pPr>
    </w:p>
    <w:p w14:paraId="30971AD1" w14:textId="77777777" w:rsidR="003962F7" w:rsidRPr="003962F7" w:rsidRDefault="003962F7" w:rsidP="003962F7">
      <w:pPr>
        <w:rPr>
          <w:rFonts w:eastAsia="Arial Unicode MS"/>
        </w:rPr>
      </w:pPr>
      <w:r w:rsidRPr="003962F7">
        <w:rPr>
          <w:rFonts w:eastAsia="Arial Unicode MS"/>
        </w:rPr>
        <w:t>The Ministry remains committed to the progressing the 5 additional Papa Pounamu focus areas:</w:t>
      </w:r>
    </w:p>
    <w:p w14:paraId="6F687322" w14:textId="07DB2B7A" w:rsidR="003962F7" w:rsidRPr="003962F7" w:rsidRDefault="003962F7" w:rsidP="008A439D">
      <w:pPr>
        <w:pStyle w:val="Number"/>
        <w:numPr>
          <w:ilvl w:val="0"/>
          <w:numId w:val="9"/>
        </w:numPr>
        <w:rPr>
          <w:rFonts w:eastAsia="Arial Unicode MS"/>
        </w:rPr>
      </w:pPr>
      <w:r w:rsidRPr="003962F7">
        <w:rPr>
          <w:rFonts w:eastAsia="Arial Unicode MS"/>
        </w:rPr>
        <w:t>Te āheinga ā-ahurea | Cultural competence</w:t>
      </w:r>
    </w:p>
    <w:p w14:paraId="3297811B" w14:textId="77777777" w:rsidR="003962F7" w:rsidRPr="003962F7" w:rsidRDefault="003962F7" w:rsidP="008A439D">
      <w:pPr>
        <w:pStyle w:val="Number"/>
        <w:numPr>
          <w:ilvl w:val="0"/>
          <w:numId w:val="9"/>
        </w:numPr>
        <w:rPr>
          <w:sz w:val="20"/>
        </w:rPr>
      </w:pPr>
      <w:r w:rsidRPr="003962F7">
        <w:rPr>
          <w:sz w:val="20"/>
        </w:rPr>
        <w:t>Te</w:t>
      </w:r>
      <w:r w:rsidRPr="003962F7">
        <w:rPr>
          <w:spacing w:val="15"/>
          <w:sz w:val="20"/>
        </w:rPr>
        <w:t xml:space="preserve"> </w:t>
      </w:r>
      <w:r w:rsidRPr="003962F7">
        <w:rPr>
          <w:sz w:val="20"/>
        </w:rPr>
        <w:t>urupare</w:t>
      </w:r>
      <w:r w:rsidRPr="003962F7">
        <w:rPr>
          <w:spacing w:val="15"/>
          <w:sz w:val="20"/>
        </w:rPr>
        <w:t xml:space="preserve"> </w:t>
      </w:r>
      <w:r w:rsidRPr="003962F7">
        <w:rPr>
          <w:sz w:val="20"/>
        </w:rPr>
        <w:t>i</w:t>
      </w:r>
      <w:r w:rsidRPr="003962F7">
        <w:rPr>
          <w:spacing w:val="16"/>
          <w:sz w:val="20"/>
        </w:rPr>
        <w:t xml:space="preserve"> </w:t>
      </w:r>
      <w:r w:rsidRPr="003962F7">
        <w:rPr>
          <w:sz w:val="20"/>
        </w:rPr>
        <w:t>te</w:t>
      </w:r>
      <w:r w:rsidRPr="003962F7">
        <w:rPr>
          <w:spacing w:val="15"/>
          <w:sz w:val="20"/>
        </w:rPr>
        <w:t xml:space="preserve"> </w:t>
      </w:r>
      <w:r w:rsidRPr="003962F7">
        <w:rPr>
          <w:sz w:val="20"/>
        </w:rPr>
        <w:t>mariu</w:t>
      </w:r>
      <w:r w:rsidRPr="003962F7">
        <w:rPr>
          <w:spacing w:val="16"/>
          <w:sz w:val="20"/>
        </w:rPr>
        <w:t xml:space="preserve"> </w:t>
      </w:r>
      <w:r w:rsidRPr="003962F7">
        <w:rPr>
          <w:w w:val="85"/>
          <w:sz w:val="20"/>
        </w:rPr>
        <w:t>|</w:t>
      </w:r>
      <w:r w:rsidRPr="003962F7">
        <w:rPr>
          <w:spacing w:val="23"/>
          <w:w w:val="85"/>
          <w:sz w:val="20"/>
        </w:rPr>
        <w:t xml:space="preserve"> </w:t>
      </w:r>
      <w:r w:rsidRPr="003962F7">
        <w:rPr>
          <w:sz w:val="20"/>
        </w:rPr>
        <w:t>Addressing</w:t>
      </w:r>
      <w:r w:rsidRPr="003962F7">
        <w:rPr>
          <w:spacing w:val="16"/>
          <w:sz w:val="20"/>
        </w:rPr>
        <w:t xml:space="preserve"> </w:t>
      </w:r>
      <w:r w:rsidRPr="003962F7">
        <w:rPr>
          <w:sz w:val="20"/>
        </w:rPr>
        <w:t>bias</w:t>
      </w:r>
    </w:p>
    <w:p w14:paraId="7940C7F7" w14:textId="77777777" w:rsidR="003962F7" w:rsidRPr="003962F7" w:rsidRDefault="003962F7" w:rsidP="008A439D">
      <w:pPr>
        <w:pStyle w:val="Number"/>
        <w:numPr>
          <w:ilvl w:val="0"/>
          <w:numId w:val="9"/>
        </w:numPr>
        <w:rPr>
          <w:sz w:val="20"/>
        </w:rPr>
      </w:pPr>
      <w:r w:rsidRPr="003962F7">
        <w:rPr>
          <w:sz w:val="20"/>
        </w:rPr>
        <w:t xml:space="preserve">Hautūtanga ngākau tuwhera </w:t>
      </w:r>
      <w:r w:rsidRPr="003962F7">
        <w:rPr>
          <w:w w:val="85"/>
          <w:sz w:val="20"/>
        </w:rPr>
        <w:t>|</w:t>
      </w:r>
      <w:r w:rsidRPr="003962F7">
        <w:rPr>
          <w:spacing w:val="1"/>
          <w:w w:val="85"/>
          <w:sz w:val="20"/>
        </w:rPr>
        <w:t xml:space="preserve"> </w:t>
      </w:r>
      <w:r w:rsidRPr="003962F7">
        <w:rPr>
          <w:sz w:val="20"/>
        </w:rPr>
        <w:t>Inclusive</w:t>
      </w:r>
      <w:r w:rsidRPr="003962F7">
        <w:rPr>
          <w:spacing w:val="-53"/>
          <w:sz w:val="20"/>
        </w:rPr>
        <w:t xml:space="preserve"> </w:t>
      </w:r>
      <w:r w:rsidRPr="003962F7">
        <w:rPr>
          <w:sz w:val="20"/>
        </w:rPr>
        <w:t>leadership</w:t>
      </w:r>
    </w:p>
    <w:p w14:paraId="454459CC" w14:textId="77777777" w:rsidR="003962F7" w:rsidRPr="003962F7" w:rsidRDefault="003962F7" w:rsidP="008A439D">
      <w:pPr>
        <w:pStyle w:val="Number"/>
        <w:numPr>
          <w:ilvl w:val="0"/>
          <w:numId w:val="9"/>
        </w:numPr>
        <w:rPr>
          <w:sz w:val="20"/>
        </w:rPr>
      </w:pPr>
      <w:r w:rsidRPr="003962F7">
        <w:rPr>
          <w:sz w:val="20"/>
        </w:rPr>
        <w:t>Te</w:t>
      </w:r>
      <w:r w:rsidRPr="003962F7">
        <w:rPr>
          <w:spacing w:val="4"/>
          <w:sz w:val="20"/>
        </w:rPr>
        <w:t xml:space="preserve"> </w:t>
      </w:r>
      <w:r w:rsidRPr="003962F7">
        <w:rPr>
          <w:sz w:val="20"/>
        </w:rPr>
        <w:t>whakawhānaungatanga</w:t>
      </w:r>
      <w:r w:rsidRPr="003962F7">
        <w:rPr>
          <w:spacing w:val="5"/>
          <w:sz w:val="20"/>
        </w:rPr>
        <w:t xml:space="preserve"> </w:t>
      </w:r>
      <w:r w:rsidRPr="003962F7">
        <w:rPr>
          <w:w w:val="85"/>
          <w:sz w:val="20"/>
        </w:rPr>
        <w:t>|</w:t>
      </w:r>
      <w:r w:rsidRPr="003962F7">
        <w:rPr>
          <w:spacing w:val="13"/>
          <w:w w:val="85"/>
          <w:sz w:val="20"/>
        </w:rPr>
        <w:t xml:space="preserve"> </w:t>
      </w:r>
      <w:r w:rsidRPr="003962F7">
        <w:rPr>
          <w:sz w:val="20"/>
        </w:rPr>
        <w:t>Building</w:t>
      </w:r>
      <w:r w:rsidRPr="003962F7">
        <w:rPr>
          <w:spacing w:val="-52"/>
          <w:sz w:val="20"/>
        </w:rPr>
        <w:t xml:space="preserve"> </w:t>
      </w:r>
      <w:r w:rsidRPr="003962F7">
        <w:rPr>
          <w:sz w:val="20"/>
        </w:rPr>
        <w:t>relationships</w:t>
      </w:r>
    </w:p>
    <w:p w14:paraId="6A35C5BE" w14:textId="77777777" w:rsidR="003962F7" w:rsidRPr="003962F7" w:rsidRDefault="003962F7" w:rsidP="008A439D">
      <w:pPr>
        <w:pStyle w:val="Number"/>
        <w:numPr>
          <w:ilvl w:val="0"/>
          <w:numId w:val="9"/>
        </w:numPr>
        <w:rPr>
          <w:sz w:val="20"/>
        </w:rPr>
      </w:pPr>
      <w:r w:rsidRPr="003962F7">
        <w:rPr>
          <w:sz w:val="20"/>
        </w:rPr>
        <w:t>Ngā</w:t>
      </w:r>
      <w:r w:rsidRPr="003962F7">
        <w:rPr>
          <w:spacing w:val="4"/>
          <w:sz w:val="20"/>
        </w:rPr>
        <w:t xml:space="preserve"> </w:t>
      </w:r>
      <w:r w:rsidRPr="003962F7">
        <w:rPr>
          <w:sz w:val="20"/>
        </w:rPr>
        <w:t>tūhononga</w:t>
      </w:r>
      <w:r w:rsidRPr="003962F7">
        <w:rPr>
          <w:spacing w:val="5"/>
          <w:sz w:val="20"/>
        </w:rPr>
        <w:t xml:space="preserve"> </w:t>
      </w:r>
      <w:r w:rsidRPr="003962F7">
        <w:rPr>
          <w:sz w:val="20"/>
        </w:rPr>
        <w:t>e</w:t>
      </w:r>
      <w:r w:rsidRPr="003962F7">
        <w:rPr>
          <w:spacing w:val="5"/>
          <w:sz w:val="20"/>
        </w:rPr>
        <w:t xml:space="preserve"> </w:t>
      </w:r>
      <w:r w:rsidRPr="003962F7">
        <w:rPr>
          <w:sz w:val="20"/>
        </w:rPr>
        <w:t>kōkiritia</w:t>
      </w:r>
      <w:r w:rsidRPr="003962F7">
        <w:rPr>
          <w:spacing w:val="4"/>
          <w:sz w:val="20"/>
        </w:rPr>
        <w:t xml:space="preserve"> </w:t>
      </w:r>
      <w:r w:rsidRPr="003962F7">
        <w:rPr>
          <w:sz w:val="20"/>
        </w:rPr>
        <w:t>ana</w:t>
      </w:r>
      <w:r w:rsidRPr="003962F7">
        <w:rPr>
          <w:spacing w:val="5"/>
          <w:sz w:val="20"/>
        </w:rPr>
        <w:t xml:space="preserve"> </w:t>
      </w:r>
      <w:r w:rsidRPr="003962F7">
        <w:rPr>
          <w:sz w:val="20"/>
        </w:rPr>
        <w:t>e</w:t>
      </w:r>
      <w:r w:rsidRPr="003962F7">
        <w:rPr>
          <w:spacing w:val="5"/>
          <w:sz w:val="20"/>
        </w:rPr>
        <w:t xml:space="preserve"> </w:t>
      </w:r>
      <w:r w:rsidRPr="003962F7">
        <w:rPr>
          <w:sz w:val="20"/>
        </w:rPr>
        <w:t>ngā</w:t>
      </w:r>
      <w:r w:rsidRPr="003962F7">
        <w:rPr>
          <w:spacing w:val="-52"/>
          <w:sz w:val="20"/>
        </w:rPr>
        <w:t xml:space="preserve"> </w:t>
      </w:r>
      <w:r w:rsidRPr="003962F7">
        <w:rPr>
          <w:sz w:val="20"/>
        </w:rPr>
        <w:t>kaimahi</w:t>
      </w:r>
      <w:r w:rsidRPr="003962F7">
        <w:rPr>
          <w:spacing w:val="6"/>
          <w:sz w:val="20"/>
        </w:rPr>
        <w:t xml:space="preserve"> </w:t>
      </w:r>
      <w:r w:rsidRPr="003962F7">
        <w:rPr>
          <w:w w:val="85"/>
          <w:sz w:val="20"/>
        </w:rPr>
        <w:t>|</w:t>
      </w:r>
      <w:r w:rsidRPr="003962F7">
        <w:rPr>
          <w:spacing w:val="15"/>
          <w:w w:val="85"/>
          <w:sz w:val="20"/>
        </w:rPr>
        <w:t xml:space="preserve"> </w:t>
      </w:r>
      <w:r w:rsidRPr="003962F7">
        <w:rPr>
          <w:sz w:val="20"/>
        </w:rPr>
        <w:t>Employee-led</w:t>
      </w:r>
      <w:r w:rsidRPr="003962F7">
        <w:rPr>
          <w:spacing w:val="7"/>
          <w:sz w:val="20"/>
        </w:rPr>
        <w:t xml:space="preserve"> </w:t>
      </w:r>
      <w:r w:rsidRPr="003962F7">
        <w:rPr>
          <w:sz w:val="20"/>
        </w:rPr>
        <w:t>networks.</w:t>
      </w:r>
    </w:p>
    <w:p w14:paraId="27D3EA95" w14:textId="1788B6CE" w:rsidR="003962F7" w:rsidRDefault="003962F7" w:rsidP="003962F7">
      <w:pPr>
        <w:rPr>
          <w:rFonts w:eastAsia="Arial Unicode MS"/>
        </w:rPr>
      </w:pPr>
    </w:p>
    <w:p w14:paraId="779B82E4" w14:textId="37724BC2" w:rsidR="003962F7" w:rsidRPr="003962F7" w:rsidRDefault="003962F7" w:rsidP="003962F7">
      <w:pPr>
        <w:rPr>
          <w:rFonts w:eastAsia="Arial Unicode MS"/>
        </w:rPr>
      </w:pPr>
      <w:r w:rsidRPr="003962F7">
        <w:rPr>
          <w:rFonts w:eastAsia="Arial Unicode MS"/>
        </w:rPr>
        <w:lastRenderedPageBreak/>
        <w:t>Below we outline our commitment to Papa Pounamu and list progress we have made in these focus areas. We do not include</w:t>
      </w:r>
      <w:r>
        <w:rPr>
          <w:rFonts w:eastAsia="Arial Unicode MS"/>
        </w:rPr>
        <w:t xml:space="preserve"> </w:t>
      </w:r>
      <w:r w:rsidRPr="003962F7">
        <w:rPr>
          <w:rFonts w:eastAsia="Arial Unicode MS"/>
        </w:rPr>
        <w:t>a section specifically on the fourth focus area, Te whakawhānaungatanga | Building relationships, because all of the activities we discuss contribute to this area.</w:t>
      </w:r>
    </w:p>
    <w:p w14:paraId="23F960C3" w14:textId="77777777" w:rsidR="003962F7" w:rsidRPr="003962F7" w:rsidRDefault="003962F7" w:rsidP="003962F7">
      <w:pPr>
        <w:pStyle w:val="Heading4"/>
      </w:pPr>
      <w:r w:rsidRPr="003962F7">
        <w:t>Te āheinga ā-ahurea | Cultural competence</w:t>
      </w:r>
    </w:p>
    <w:p w14:paraId="3101EB56" w14:textId="36D110F1" w:rsidR="003962F7" w:rsidRDefault="003962F7" w:rsidP="003962F7">
      <w:pPr>
        <w:rPr>
          <w:rFonts w:eastAsia="Arial Unicode MS"/>
        </w:rPr>
      </w:pPr>
      <w:r w:rsidRPr="003962F7">
        <w:rPr>
          <w:rFonts w:eastAsia="Arial Unicode MS"/>
        </w:rPr>
        <w:t>In March 2021, the Director-General of Health and the Executive Leadership Team (ELT) committed to Whāinga amorangi | Transforming leadership.</w:t>
      </w:r>
    </w:p>
    <w:p w14:paraId="0D83C1A0" w14:textId="77777777" w:rsidR="003962F7" w:rsidRPr="003962F7" w:rsidRDefault="003962F7" w:rsidP="003962F7">
      <w:pPr>
        <w:rPr>
          <w:rFonts w:eastAsia="Arial Unicode MS"/>
        </w:rPr>
      </w:pPr>
    </w:p>
    <w:p w14:paraId="31AE1B8F" w14:textId="77777777" w:rsidR="003962F7" w:rsidRPr="003962F7" w:rsidRDefault="003962F7" w:rsidP="003962F7">
      <w:pPr>
        <w:rPr>
          <w:rFonts w:eastAsia="Arial Unicode MS"/>
        </w:rPr>
      </w:pPr>
      <w:r w:rsidRPr="003962F7">
        <w:rPr>
          <w:rFonts w:eastAsia="Arial Unicode MS"/>
        </w:rPr>
        <w:t>They committed to this mahi so that everyone in the ELT keeps building their own personal capability, and that of our people, across 6 key competencies:</w:t>
      </w:r>
    </w:p>
    <w:p w14:paraId="7F640434" w14:textId="56A7D56B" w:rsidR="003962F7" w:rsidRPr="003962F7" w:rsidRDefault="003962F7" w:rsidP="008A439D">
      <w:pPr>
        <w:pStyle w:val="Number"/>
        <w:numPr>
          <w:ilvl w:val="0"/>
          <w:numId w:val="10"/>
        </w:numPr>
        <w:rPr>
          <w:rFonts w:eastAsia="Arial Unicode MS"/>
        </w:rPr>
      </w:pPr>
      <w:r w:rsidRPr="003962F7">
        <w:rPr>
          <w:rFonts w:eastAsia="Arial Unicode MS"/>
        </w:rPr>
        <w:t>Te Tiriti o Waitangi and the history of Aotearoa</w:t>
      </w:r>
    </w:p>
    <w:p w14:paraId="3B023521" w14:textId="1E730100" w:rsidR="003962F7" w:rsidRPr="003962F7" w:rsidRDefault="003962F7" w:rsidP="008A439D">
      <w:pPr>
        <w:pStyle w:val="Number"/>
        <w:numPr>
          <w:ilvl w:val="0"/>
          <w:numId w:val="10"/>
        </w:numPr>
        <w:rPr>
          <w:rFonts w:eastAsia="Arial Unicode MS"/>
        </w:rPr>
      </w:pPr>
      <w:r w:rsidRPr="003962F7">
        <w:rPr>
          <w:rFonts w:eastAsia="Arial Unicode MS"/>
        </w:rPr>
        <w:t>te reo Māori</w:t>
      </w:r>
    </w:p>
    <w:p w14:paraId="5EBCFEBD" w14:textId="3018F629" w:rsidR="003962F7" w:rsidRPr="003962F7" w:rsidRDefault="003962F7" w:rsidP="008A439D">
      <w:pPr>
        <w:pStyle w:val="Number"/>
        <w:numPr>
          <w:ilvl w:val="0"/>
          <w:numId w:val="10"/>
        </w:numPr>
        <w:rPr>
          <w:rFonts w:eastAsia="Arial Unicode MS"/>
        </w:rPr>
      </w:pPr>
      <w:r w:rsidRPr="003962F7">
        <w:rPr>
          <w:rFonts w:eastAsia="Arial Unicode MS"/>
        </w:rPr>
        <w:t>tikanga/kawa practices</w:t>
      </w:r>
    </w:p>
    <w:p w14:paraId="13858B01" w14:textId="0955B8DA" w:rsidR="003962F7" w:rsidRPr="003962F7" w:rsidRDefault="003962F7" w:rsidP="008A439D">
      <w:pPr>
        <w:pStyle w:val="Number"/>
        <w:numPr>
          <w:ilvl w:val="0"/>
          <w:numId w:val="10"/>
        </w:numPr>
        <w:rPr>
          <w:rFonts w:eastAsia="Arial Unicode MS"/>
        </w:rPr>
      </w:pPr>
      <w:r w:rsidRPr="003962F7">
        <w:rPr>
          <w:rFonts w:eastAsia="Arial Unicode MS"/>
        </w:rPr>
        <w:t>understanding racial inequity and institutional racism</w:t>
      </w:r>
    </w:p>
    <w:p w14:paraId="05325FE3" w14:textId="4124ECA3" w:rsidR="003962F7" w:rsidRPr="003962F7" w:rsidRDefault="003962F7" w:rsidP="008A439D">
      <w:pPr>
        <w:pStyle w:val="Number"/>
        <w:numPr>
          <w:ilvl w:val="0"/>
          <w:numId w:val="10"/>
        </w:numPr>
        <w:rPr>
          <w:rFonts w:eastAsia="Arial Unicode MS"/>
        </w:rPr>
      </w:pPr>
      <w:r w:rsidRPr="003962F7">
        <w:rPr>
          <w:rFonts w:eastAsia="Arial Unicode MS"/>
        </w:rPr>
        <w:t>worldviews and knowledge systems</w:t>
      </w:r>
    </w:p>
    <w:p w14:paraId="7895359E" w14:textId="4C844568" w:rsidR="003962F7" w:rsidRPr="003962F7" w:rsidRDefault="003962F7" w:rsidP="008A439D">
      <w:pPr>
        <w:pStyle w:val="Number"/>
        <w:numPr>
          <w:ilvl w:val="0"/>
          <w:numId w:val="10"/>
        </w:numPr>
        <w:rPr>
          <w:rFonts w:eastAsia="Arial Unicode MS"/>
        </w:rPr>
      </w:pPr>
      <w:r w:rsidRPr="003962F7">
        <w:rPr>
          <w:rFonts w:eastAsia="Arial Unicode MS"/>
        </w:rPr>
        <w:t>engaging with Māori.</w:t>
      </w:r>
    </w:p>
    <w:p w14:paraId="65088B0D" w14:textId="77777777" w:rsidR="003962F7" w:rsidRDefault="003962F7" w:rsidP="003962F7">
      <w:pPr>
        <w:rPr>
          <w:rFonts w:eastAsia="Arial Unicode MS"/>
        </w:rPr>
      </w:pPr>
    </w:p>
    <w:p w14:paraId="0F36EA68" w14:textId="13CB4E69" w:rsidR="003962F7" w:rsidRDefault="003962F7" w:rsidP="003962F7">
      <w:pPr>
        <w:rPr>
          <w:rFonts w:eastAsia="Arial Unicode MS"/>
        </w:rPr>
      </w:pPr>
      <w:r w:rsidRPr="003962F7">
        <w:rPr>
          <w:rFonts w:eastAsia="Arial Unicode MS"/>
        </w:rPr>
        <w:t>During 2021/22, we have made good progress toward delivering phase one of the plan.</w:t>
      </w:r>
    </w:p>
    <w:p w14:paraId="798BE011" w14:textId="77777777" w:rsidR="003962F7" w:rsidRPr="003962F7" w:rsidRDefault="003962F7" w:rsidP="003962F7">
      <w:pPr>
        <w:rPr>
          <w:rFonts w:eastAsia="Arial Unicode MS"/>
        </w:rPr>
      </w:pPr>
    </w:p>
    <w:p w14:paraId="48CB62EF" w14:textId="77777777" w:rsidR="003962F7" w:rsidRPr="003962F7" w:rsidRDefault="003962F7" w:rsidP="003962F7">
      <w:pPr>
        <w:rPr>
          <w:rFonts w:eastAsia="Arial Unicode MS"/>
        </w:rPr>
      </w:pPr>
      <w:r w:rsidRPr="003962F7">
        <w:rPr>
          <w:rFonts w:eastAsia="Arial Unicode MS"/>
        </w:rPr>
        <w:t>The following are some of the key initiatives achieved over the past year:</w:t>
      </w:r>
    </w:p>
    <w:p w14:paraId="468A43F7" w14:textId="38E352AA" w:rsidR="003962F7" w:rsidRPr="003962F7" w:rsidRDefault="003962F7" w:rsidP="003962F7">
      <w:pPr>
        <w:pStyle w:val="Bullet"/>
        <w:rPr>
          <w:rFonts w:eastAsia="Arial Unicode MS"/>
        </w:rPr>
      </w:pPr>
      <w:r w:rsidRPr="003962F7">
        <w:rPr>
          <w:rFonts w:eastAsia="Arial Unicode MS"/>
        </w:rPr>
        <w:t xml:space="preserve">We held 7 </w:t>
      </w:r>
      <w:r w:rsidRPr="00E0001E">
        <w:rPr>
          <w:rFonts w:eastAsia="Arial Unicode MS"/>
          <w:b/>
          <w:bCs/>
        </w:rPr>
        <w:t>Wall Walk</w:t>
      </w:r>
      <w:r w:rsidRPr="003962F7">
        <w:rPr>
          <w:rFonts w:eastAsia="Arial Unicode MS"/>
        </w:rPr>
        <w:t xml:space="preserve"> sessions, with 233 staff participating. The Wall Walks are significant in building staff capability</w:t>
      </w:r>
      <w:r>
        <w:rPr>
          <w:rFonts w:eastAsia="Arial Unicode MS"/>
        </w:rPr>
        <w:t xml:space="preserve"> </w:t>
      </w:r>
      <w:r w:rsidRPr="003962F7">
        <w:rPr>
          <w:rFonts w:eastAsia="Arial Unicode MS"/>
        </w:rPr>
        <w:t>and understanding of Te Tiriti o Waitangi and Aotearoa’s history of inequity and racism.</w:t>
      </w:r>
    </w:p>
    <w:p w14:paraId="415E262F" w14:textId="5624D435" w:rsidR="003962F7" w:rsidRPr="003962F7" w:rsidRDefault="003962F7" w:rsidP="003962F7">
      <w:pPr>
        <w:pStyle w:val="Bullet"/>
        <w:rPr>
          <w:rFonts w:eastAsia="Arial Unicode MS"/>
        </w:rPr>
      </w:pPr>
      <w:r w:rsidRPr="003962F7">
        <w:rPr>
          <w:rFonts w:eastAsia="Arial Unicode MS"/>
        </w:rPr>
        <w:t xml:space="preserve">We launched a series of online lunchtime </w:t>
      </w:r>
      <w:r w:rsidRPr="00E0001E">
        <w:rPr>
          <w:rFonts w:eastAsia="Arial Unicode MS"/>
          <w:b/>
          <w:bCs/>
        </w:rPr>
        <w:t>Kai &amp; Kōrero</w:t>
      </w:r>
      <w:r w:rsidRPr="003962F7">
        <w:rPr>
          <w:rFonts w:eastAsia="Arial Unicode MS"/>
        </w:rPr>
        <w:t xml:space="preserve"> sessions. The purpose of Kai &amp; Kōrero is to raise visibility of kaupapa Māori initiatives we are delivering internally and provide a platform for our people to learn topics relating to te ao Māori, mātauranga Māori and te reo Māori.</w:t>
      </w:r>
    </w:p>
    <w:p w14:paraId="13BA3281" w14:textId="12B2F02A" w:rsidR="003962F7" w:rsidRPr="003962F7" w:rsidRDefault="003962F7" w:rsidP="003962F7">
      <w:pPr>
        <w:pStyle w:val="Bullet"/>
        <w:rPr>
          <w:rFonts w:eastAsia="Arial Unicode MS"/>
        </w:rPr>
      </w:pPr>
      <w:r w:rsidRPr="003962F7">
        <w:rPr>
          <w:rFonts w:eastAsia="Arial Unicode MS"/>
        </w:rPr>
        <w:t xml:space="preserve">We launched </w:t>
      </w:r>
      <w:r w:rsidRPr="00E0001E">
        <w:rPr>
          <w:rFonts w:eastAsia="Arial Unicode MS"/>
          <w:b/>
          <w:bCs/>
        </w:rPr>
        <w:t>Toro Mai</w:t>
      </w:r>
      <w:r w:rsidRPr="003962F7">
        <w:rPr>
          <w:rFonts w:eastAsia="Arial Unicode MS"/>
        </w:rPr>
        <w:t>, a 2-part</w:t>
      </w:r>
      <w:r>
        <w:rPr>
          <w:rFonts w:eastAsia="Arial Unicode MS"/>
        </w:rPr>
        <w:t xml:space="preserve"> </w:t>
      </w:r>
      <w:r w:rsidRPr="003962F7">
        <w:rPr>
          <w:rFonts w:eastAsia="Arial Unicode MS"/>
        </w:rPr>
        <w:t>e-learning module covering te reo and tikanga Māori.</w:t>
      </w:r>
    </w:p>
    <w:p w14:paraId="69302B85" w14:textId="1DB3A57D" w:rsidR="003962F7" w:rsidRPr="003962F7" w:rsidRDefault="003962F7" w:rsidP="003962F7">
      <w:pPr>
        <w:pStyle w:val="Bullet"/>
        <w:rPr>
          <w:rFonts w:eastAsia="Arial Unicode MS"/>
        </w:rPr>
      </w:pPr>
      <w:r w:rsidRPr="003962F7">
        <w:rPr>
          <w:rFonts w:eastAsia="Arial Unicode MS"/>
        </w:rPr>
        <w:t xml:space="preserve">A total of 45 staff participated in </w:t>
      </w:r>
      <w:r w:rsidRPr="00E0001E">
        <w:rPr>
          <w:rFonts w:eastAsia="Arial Unicode MS"/>
          <w:b/>
          <w:bCs/>
        </w:rPr>
        <w:t>Engaging with Māori introductory workshops</w:t>
      </w:r>
      <w:r w:rsidRPr="003962F7">
        <w:rPr>
          <w:rFonts w:eastAsia="Arial Unicode MS"/>
        </w:rPr>
        <w:t>, facilitated by Te Arawhiti. The workshops provided techniques and insights for effectively engaging with Māori, along with a framework and advice on how to apply these in the context of the Māori–Crown relationship.</w:t>
      </w:r>
    </w:p>
    <w:p w14:paraId="7802710B" w14:textId="2D91DBBA" w:rsidR="003962F7" w:rsidRPr="003962F7" w:rsidRDefault="003962F7" w:rsidP="003962F7">
      <w:pPr>
        <w:pStyle w:val="Bullet"/>
        <w:rPr>
          <w:rFonts w:eastAsia="Arial Unicode MS"/>
        </w:rPr>
      </w:pPr>
      <w:r w:rsidRPr="003962F7">
        <w:rPr>
          <w:rFonts w:eastAsia="Arial Unicode MS"/>
        </w:rPr>
        <w:t>Te reo Māori programme (Levels 1 and 2) had 236 participating staff.</w:t>
      </w:r>
    </w:p>
    <w:p w14:paraId="7106ACFF" w14:textId="4C0B7673" w:rsidR="003962F7" w:rsidRPr="003962F7" w:rsidRDefault="003962F7" w:rsidP="003962F7">
      <w:pPr>
        <w:pStyle w:val="Bullet"/>
        <w:rPr>
          <w:rFonts w:eastAsia="Arial Unicode MS"/>
        </w:rPr>
      </w:pPr>
      <w:r w:rsidRPr="003962F7">
        <w:rPr>
          <w:rFonts w:eastAsia="Arial Unicode MS"/>
        </w:rPr>
        <w:t>We piloted a tailored learning programme in te reo and tikanga Māori (Te Tupuranga) with 11 of our staff who have Māori whakapapa. The objective of the programme is to create a tūrangawaewae for all Māori to grow and flourish as Māori at Manatū Hauora by connecting holistically through whakapapa and te reo and tikanga Māori.</w:t>
      </w:r>
    </w:p>
    <w:p w14:paraId="282799E4" w14:textId="245BA2E5" w:rsidR="003962F7" w:rsidRPr="003962F7" w:rsidRDefault="003962F7" w:rsidP="003962F7">
      <w:pPr>
        <w:pStyle w:val="Bullet"/>
        <w:rPr>
          <w:rFonts w:eastAsia="Arial Unicode MS"/>
        </w:rPr>
      </w:pPr>
      <w:r w:rsidRPr="003962F7">
        <w:rPr>
          <w:rFonts w:eastAsia="Arial Unicode MS"/>
        </w:rPr>
        <w:t>Ten members of the ELT completed te reo Māori coaching sessions with the aim of developing their confidence and capability in te ao Māori.</w:t>
      </w:r>
    </w:p>
    <w:p w14:paraId="12477EFF" w14:textId="77777777" w:rsidR="003962F7" w:rsidRPr="003962F7" w:rsidRDefault="003962F7" w:rsidP="003962F7">
      <w:pPr>
        <w:pStyle w:val="Heading4"/>
      </w:pPr>
      <w:r w:rsidRPr="003962F7">
        <w:lastRenderedPageBreak/>
        <w:t>Te urupare i te mariu | Addressing bias</w:t>
      </w:r>
    </w:p>
    <w:p w14:paraId="72D9AC43" w14:textId="17DD2A9D" w:rsidR="003962F7" w:rsidRDefault="003962F7" w:rsidP="003962F7">
      <w:pPr>
        <w:rPr>
          <w:rFonts w:eastAsia="Arial Unicode MS"/>
        </w:rPr>
      </w:pPr>
      <w:r w:rsidRPr="003962F7">
        <w:rPr>
          <w:rFonts w:eastAsia="Arial Unicode MS"/>
        </w:rPr>
        <w:t>It is mandatory for all staff to complete unconscious bias e-learning as part of the Ministry’s Gender Pay and Accessibility Tick action plans. The training is included in the Ministry’s induction programme for new staff and people leaders.</w:t>
      </w:r>
    </w:p>
    <w:p w14:paraId="1AB8832F" w14:textId="338D53C1" w:rsidR="003962F7" w:rsidRDefault="003962F7" w:rsidP="003962F7">
      <w:pPr>
        <w:rPr>
          <w:rFonts w:eastAsia="Arial Unicode MS"/>
        </w:rPr>
      </w:pPr>
    </w:p>
    <w:p w14:paraId="799BD177" w14:textId="77777777" w:rsidR="003962F7" w:rsidRPr="003962F7" w:rsidRDefault="003962F7" w:rsidP="003962F7">
      <w:pPr>
        <w:rPr>
          <w:rFonts w:eastAsia="Arial Unicode MS"/>
        </w:rPr>
      </w:pPr>
      <w:r w:rsidRPr="003962F7">
        <w:rPr>
          <w:rFonts w:eastAsia="Arial Unicode MS"/>
        </w:rPr>
        <w:t>As part of our commitment to developing our people’s capability, in line with Whāinga Amorangi: Transforming Leadership Framework, we are working towards an outcome statement ‘Institutionalised racism is identified and addressed in Manatū Hauora (the Ministry of Health)’.</w:t>
      </w:r>
    </w:p>
    <w:p w14:paraId="7DA401DB" w14:textId="76A661D1" w:rsidR="003962F7" w:rsidRPr="003962F7" w:rsidRDefault="003962F7" w:rsidP="003962F7">
      <w:pPr>
        <w:pStyle w:val="Heading4"/>
      </w:pPr>
      <w:r w:rsidRPr="003962F7">
        <w:t>Hautūtanga ngākau tuwhera |</w:t>
      </w:r>
      <w:r>
        <w:t xml:space="preserve"> </w:t>
      </w:r>
      <w:r w:rsidRPr="003962F7">
        <w:t>Inclusive leadership</w:t>
      </w:r>
    </w:p>
    <w:p w14:paraId="17E83462" w14:textId="77777777" w:rsidR="003962F7" w:rsidRPr="003962F7" w:rsidRDefault="003962F7" w:rsidP="003962F7">
      <w:pPr>
        <w:rPr>
          <w:rFonts w:eastAsia="Arial Unicode MS"/>
        </w:rPr>
      </w:pPr>
      <w:r w:rsidRPr="003962F7">
        <w:rPr>
          <w:rFonts w:eastAsia="Arial Unicode MS"/>
        </w:rPr>
        <w:t>To complement our leadership development programme, we participated in Tū Mau Mana Moana. Tū Mau Mana Moana is a scholarship programme that provides targeted leadership development for Pacific leaders in the public sector.</w:t>
      </w:r>
    </w:p>
    <w:p w14:paraId="06CB0086" w14:textId="6A12A81E" w:rsidR="003962F7" w:rsidRPr="003962F7" w:rsidRDefault="003962F7" w:rsidP="003962F7">
      <w:pPr>
        <w:pStyle w:val="Heading4"/>
      </w:pPr>
      <w:r w:rsidRPr="003962F7">
        <w:t>Ngā tūhononga e kōkiritia ana e ngā kaimahi | Employee-led networks</w:t>
      </w:r>
    </w:p>
    <w:p w14:paraId="094AA9FB" w14:textId="07A0DCD4" w:rsidR="003962F7" w:rsidRDefault="003962F7" w:rsidP="003962F7">
      <w:pPr>
        <w:rPr>
          <w:rFonts w:eastAsia="Arial Unicode MS"/>
        </w:rPr>
      </w:pPr>
      <w:r w:rsidRPr="003962F7">
        <w:rPr>
          <w:rFonts w:eastAsia="Arial Unicode MS"/>
        </w:rPr>
        <w:t>Employee-led networks (ELN) are an integral part of our culture and our values. We have continued to work collaboratively with our ELNs and implemented a set of guidelines for</w:t>
      </w:r>
      <w:r>
        <w:rPr>
          <w:rFonts w:eastAsia="Arial Unicode MS"/>
        </w:rPr>
        <w:t xml:space="preserve"> </w:t>
      </w:r>
      <w:r w:rsidRPr="003962F7">
        <w:rPr>
          <w:rFonts w:eastAsia="Arial Unicode MS"/>
        </w:rPr>
        <w:t>starting a network and growing an existing network.</w:t>
      </w:r>
    </w:p>
    <w:p w14:paraId="41446A30" w14:textId="77777777" w:rsidR="003962F7" w:rsidRPr="003962F7" w:rsidRDefault="003962F7" w:rsidP="003962F7">
      <w:pPr>
        <w:rPr>
          <w:rFonts w:eastAsia="Arial Unicode MS"/>
        </w:rPr>
      </w:pPr>
    </w:p>
    <w:p w14:paraId="1067BC42" w14:textId="78AA7D9D" w:rsidR="003962F7" w:rsidRDefault="003962F7" w:rsidP="003962F7">
      <w:pPr>
        <w:rPr>
          <w:rFonts w:eastAsia="Arial Unicode MS"/>
        </w:rPr>
      </w:pPr>
      <w:r w:rsidRPr="003962F7">
        <w:rPr>
          <w:rFonts w:eastAsia="Arial Unicode MS"/>
        </w:rPr>
        <w:t>Information has also been provided to people leaders to ensure their ELN members feel safe and supported to contribute to the mahi of an ELN.</w:t>
      </w:r>
    </w:p>
    <w:p w14:paraId="3FA1E97F" w14:textId="77777777" w:rsidR="003962F7" w:rsidRPr="003962F7" w:rsidRDefault="003962F7" w:rsidP="003962F7">
      <w:pPr>
        <w:rPr>
          <w:rFonts w:eastAsia="Arial Unicode MS"/>
        </w:rPr>
      </w:pPr>
    </w:p>
    <w:p w14:paraId="553E6C31" w14:textId="77777777" w:rsidR="00817ABF" w:rsidRDefault="003962F7" w:rsidP="003962F7">
      <w:pPr>
        <w:rPr>
          <w:rFonts w:eastAsia="Arial Unicode MS"/>
        </w:rPr>
        <w:sectPr w:rsidR="00817ABF" w:rsidSect="007924C7">
          <w:pgSz w:w="11907" w:h="16840" w:code="9"/>
          <w:pgMar w:top="1276" w:right="1701" w:bottom="1134" w:left="1843" w:header="284" w:footer="425" w:gutter="284"/>
          <w:cols w:space="720"/>
        </w:sectPr>
      </w:pPr>
      <w:r w:rsidRPr="003962F7">
        <w:rPr>
          <w:rFonts w:eastAsia="Arial Unicode MS"/>
        </w:rPr>
        <w:t>Additionally, we hold regular meetings with ELN representatives to share ideas and collaborate on events, such as organising a successful Pink Shirt Day in May 2022.</w:t>
      </w:r>
    </w:p>
    <w:p w14:paraId="4FD2D6FF" w14:textId="34E89371" w:rsidR="003962F7" w:rsidRDefault="00817ABF" w:rsidP="00817ABF">
      <w:pPr>
        <w:pStyle w:val="Heading1"/>
        <w:spacing w:before="0"/>
        <w:rPr>
          <w:rFonts w:eastAsia="Arial Unicode MS"/>
          <w:b w:val="0"/>
          <w:bCs/>
        </w:rPr>
      </w:pPr>
      <w:bookmarkStart w:id="31" w:name="_Toc117264939"/>
      <w:r w:rsidRPr="00817ABF">
        <w:rPr>
          <w:rFonts w:eastAsia="Arial Unicode MS"/>
        </w:rPr>
        <w:lastRenderedPageBreak/>
        <w:t xml:space="preserve">Our people | </w:t>
      </w:r>
      <w:r w:rsidRPr="00817ABF">
        <w:rPr>
          <w:rFonts w:eastAsia="Arial Unicode MS"/>
          <w:b w:val="0"/>
          <w:bCs/>
        </w:rPr>
        <w:t>Ko mātou</w:t>
      </w:r>
      <w:bookmarkEnd w:id="31"/>
    </w:p>
    <w:p w14:paraId="24622252" w14:textId="2AE12B36" w:rsidR="00ED2735" w:rsidRDefault="00817ABF" w:rsidP="00817ABF">
      <w:pPr>
        <w:pStyle w:val="Heading2"/>
        <w:rPr>
          <w:rFonts w:eastAsia="Arial Unicode MS"/>
        </w:rPr>
      </w:pPr>
      <w:bookmarkStart w:id="32" w:name="_Toc117264940"/>
      <w:r>
        <w:rPr>
          <w:noProof/>
        </w:rPr>
        <w:drawing>
          <wp:anchor distT="0" distB="0" distL="114300" distR="114300" simplePos="0" relativeHeight="251659264" behindDoc="0" locked="0" layoutInCell="1" allowOverlap="1" wp14:anchorId="60E14547" wp14:editId="75BFF0F0">
            <wp:simplePos x="0" y="0"/>
            <wp:positionH relativeFrom="page">
              <wp:posOffset>1350645</wp:posOffset>
            </wp:positionH>
            <wp:positionV relativeFrom="page">
              <wp:posOffset>2404547</wp:posOffset>
            </wp:positionV>
            <wp:extent cx="5130165" cy="5602605"/>
            <wp:effectExtent l="0" t="0" r="0" b="0"/>
            <wp:wrapTight wrapText="bothSides">
              <wp:wrapPolygon edited="0">
                <wp:start x="0" y="0"/>
                <wp:lineTo x="0" y="21519"/>
                <wp:lineTo x="21496" y="21519"/>
                <wp:lineTo x="21496" y="0"/>
                <wp:lineTo x="0" y="0"/>
              </wp:wrapPolygon>
            </wp:wrapTight>
            <wp:docPr id="2090" name="Picture 2090" descr="Infographic with statistics such as 885 employees work for Manatū Hauora (862.8 F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 name="Picture 2090" descr="Infographic with statistics such as 885 employees work for Manatū Hauora (862.8 FTE)"/>
                    <pic:cNvPicPr/>
                  </pic:nvPicPr>
                  <pic:blipFill>
                    <a:blip r:embed="rId37"/>
                    <a:stretch>
                      <a:fillRect/>
                    </a:stretch>
                  </pic:blipFill>
                  <pic:spPr>
                    <a:xfrm>
                      <a:off x="0" y="0"/>
                      <a:ext cx="5130165" cy="5602605"/>
                    </a:xfrm>
                    <a:prstGeom prst="rect">
                      <a:avLst/>
                    </a:prstGeom>
                  </pic:spPr>
                </pic:pic>
              </a:graphicData>
            </a:graphic>
          </wp:anchor>
        </w:drawing>
      </w:r>
      <w:r w:rsidRPr="00817ABF">
        <w:rPr>
          <w:rFonts w:eastAsia="Arial Unicode MS"/>
        </w:rPr>
        <w:t>Snapshot as at 30 June 2022</w:t>
      </w:r>
      <w:r>
        <w:rPr>
          <w:rStyle w:val="FootnoteReference"/>
          <w:rFonts w:eastAsia="Arial Unicode MS"/>
        </w:rPr>
        <w:footnoteReference w:id="19"/>
      </w:r>
      <w:bookmarkEnd w:id="32"/>
    </w:p>
    <w:p w14:paraId="71CB1C5E" w14:textId="77777777" w:rsidR="00C90C9C" w:rsidRDefault="00C90C9C" w:rsidP="00817ABF">
      <w:pPr>
        <w:rPr>
          <w:rFonts w:eastAsia="Arial Unicode MS"/>
        </w:rPr>
        <w:sectPr w:rsidR="00C90C9C" w:rsidSect="00C26282">
          <w:pgSz w:w="11907" w:h="16840" w:code="9"/>
          <w:pgMar w:top="1418" w:right="1701" w:bottom="1134" w:left="1843" w:header="284" w:footer="425" w:gutter="284"/>
          <w:cols w:space="720"/>
        </w:sectPr>
      </w:pPr>
    </w:p>
    <w:p w14:paraId="10344C4B" w14:textId="415F9869" w:rsidR="00C90C9C" w:rsidRDefault="00C90C9C" w:rsidP="00216075">
      <w:r>
        <w:rPr>
          <w:noProof/>
        </w:rPr>
        <w:lastRenderedPageBreak/>
        <w:drawing>
          <wp:inline distT="0" distB="0" distL="0" distR="0" wp14:anchorId="0B66D2B5" wp14:editId="466D3598">
            <wp:extent cx="5130165" cy="6319520"/>
            <wp:effectExtent l="0" t="0" r="0" b="5080"/>
            <wp:docPr id="2091" name="Picture 2091" descr="Infographic with statistics such as gender pay gap 10.7% as at 30 June 2022, 11.4% as at 30 June 2021; 14% as at 30 Jun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 name="Picture 2091" descr="Infographic with statistics such as gender pay gap 10.7% as at 30 June 2022, 11.4% as at 30 June 2021; 14% as at 30 June 2020"/>
                    <pic:cNvPicPr/>
                  </pic:nvPicPr>
                  <pic:blipFill>
                    <a:blip r:embed="rId38">
                      <a:extLst>
                        <a:ext uri="{28A0092B-C50C-407E-A947-70E740481C1C}">
                          <a14:useLocalDpi xmlns:a14="http://schemas.microsoft.com/office/drawing/2010/main" val="0"/>
                        </a:ext>
                      </a:extLst>
                    </a:blip>
                    <a:stretch>
                      <a:fillRect/>
                    </a:stretch>
                  </pic:blipFill>
                  <pic:spPr>
                    <a:xfrm>
                      <a:off x="0" y="0"/>
                      <a:ext cx="5130165" cy="6319520"/>
                    </a:xfrm>
                    <a:prstGeom prst="rect">
                      <a:avLst/>
                    </a:prstGeom>
                  </pic:spPr>
                </pic:pic>
              </a:graphicData>
            </a:graphic>
          </wp:inline>
        </w:drawing>
      </w:r>
    </w:p>
    <w:p w14:paraId="19054AB1" w14:textId="730B3670" w:rsidR="00C90C9C" w:rsidRPr="00C90C9C" w:rsidRDefault="00C90C9C" w:rsidP="00C90C9C">
      <w:pPr>
        <w:pStyle w:val="Heading4"/>
      </w:pPr>
      <w:r w:rsidRPr="00C90C9C">
        <w:t>Number of people who work at the Ministry</w:t>
      </w:r>
    </w:p>
    <w:p w14:paraId="7B0F382C" w14:textId="25C3E8A6" w:rsidR="00C90C9C" w:rsidRPr="00C90C9C" w:rsidRDefault="00C90C9C" w:rsidP="00C90C9C">
      <w:pPr>
        <w:pStyle w:val="Bullet"/>
        <w:rPr>
          <w:rFonts w:eastAsia="Arial Unicode MS"/>
        </w:rPr>
      </w:pPr>
      <w:r w:rsidRPr="00C90C9C">
        <w:rPr>
          <w:rFonts w:eastAsia="Arial Unicode MS"/>
        </w:rPr>
        <w:t>Full-time equivalent (FTE) = 862.82</w:t>
      </w:r>
    </w:p>
    <w:p w14:paraId="11EAE1F4" w14:textId="6EEA003D" w:rsidR="00C90C9C" w:rsidRPr="00C90C9C" w:rsidRDefault="00C90C9C" w:rsidP="00C90C9C">
      <w:pPr>
        <w:pStyle w:val="Bullet"/>
        <w:rPr>
          <w:rFonts w:eastAsia="Arial Unicode MS"/>
        </w:rPr>
      </w:pPr>
      <w:r w:rsidRPr="00C90C9C">
        <w:rPr>
          <w:rFonts w:eastAsia="Arial Unicode MS"/>
        </w:rPr>
        <w:t>Headcount = 885</w:t>
      </w:r>
    </w:p>
    <w:p w14:paraId="7AEB0BC1" w14:textId="0E528DEC" w:rsidR="00C90C9C" w:rsidRPr="00C90C9C" w:rsidRDefault="00C90C9C" w:rsidP="00C90C9C">
      <w:pPr>
        <w:pStyle w:val="Bullet"/>
        <w:rPr>
          <w:rFonts w:eastAsia="Arial Unicode MS"/>
        </w:rPr>
      </w:pPr>
      <w:r w:rsidRPr="00C90C9C">
        <w:rPr>
          <w:rFonts w:eastAsia="Arial Unicode MS"/>
        </w:rPr>
        <w:t>Staff transferred   (system   reforms)   = 930 total (915 Hauora Aotearoa | Interim Health New Zealand, 15 Te Mana Hauora Māori | Interim Māori Health Authority)</w:t>
      </w:r>
    </w:p>
    <w:p w14:paraId="5828ECF1" w14:textId="77777777" w:rsidR="00C90C9C" w:rsidRDefault="00C90C9C" w:rsidP="00C90C9C">
      <w:pPr>
        <w:pStyle w:val="Heading4"/>
        <w:sectPr w:rsidR="00C90C9C" w:rsidSect="00C26282">
          <w:pgSz w:w="11907" w:h="16840" w:code="9"/>
          <w:pgMar w:top="1418" w:right="1701" w:bottom="1134" w:left="1843" w:header="284" w:footer="425" w:gutter="284"/>
          <w:cols w:space="720"/>
        </w:sectPr>
      </w:pPr>
    </w:p>
    <w:p w14:paraId="262EDB35" w14:textId="02036AE8" w:rsidR="00C90C9C" w:rsidRPr="00C90C9C" w:rsidRDefault="00C90C9C" w:rsidP="00C90C9C">
      <w:pPr>
        <w:pStyle w:val="Heading4"/>
      </w:pPr>
      <w:r w:rsidRPr="00C90C9C">
        <w:lastRenderedPageBreak/>
        <w:t>Overall headcount and FTEs by year</w:t>
      </w:r>
      <w:r>
        <w:t xml:space="preserve"> </w:t>
      </w:r>
    </w:p>
    <w:p w14:paraId="29DCA8DA" w14:textId="3516CF44" w:rsidR="00817ABF" w:rsidRDefault="00C90C9C" w:rsidP="00C90C9C">
      <w:pPr>
        <w:rPr>
          <w:rFonts w:eastAsia="Arial Unicode MS"/>
        </w:rPr>
      </w:pPr>
      <w:r w:rsidRPr="00C90C9C">
        <w:rPr>
          <w:rFonts w:eastAsia="Arial Unicode MS"/>
        </w:rPr>
        <w:t>Data as at 30 June each year.</w:t>
      </w:r>
    </w:p>
    <w:p w14:paraId="471A3BE5" w14:textId="54789203" w:rsidR="00C90C9C" w:rsidRDefault="00C90C9C" w:rsidP="00C90C9C">
      <w:pPr>
        <w:rPr>
          <w:rFonts w:eastAsia="Arial Unicode MS"/>
        </w:rPr>
      </w:pP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689"/>
        <w:gridCol w:w="2690"/>
        <w:gridCol w:w="2690"/>
      </w:tblGrid>
      <w:tr w:rsidR="00C90C9C" w:rsidRPr="00C90C9C" w14:paraId="22CE87A8" w14:textId="77777777" w:rsidTr="00C90C9C">
        <w:tc>
          <w:tcPr>
            <w:tcW w:w="2689" w:type="dxa"/>
            <w:tcBorders>
              <w:top w:val="nil"/>
              <w:bottom w:val="nil"/>
            </w:tcBorders>
            <w:shd w:val="clear" w:color="auto" w:fill="D9D9D9" w:themeFill="background1" w:themeFillShade="D9"/>
          </w:tcPr>
          <w:p w14:paraId="1FFDBE01" w14:textId="37C8238B" w:rsidR="00C90C9C" w:rsidRPr="00C90C9C" w:rsidRDefault="00C90C9C" w:rsidP="00CF71AF">
            <w:pPr>
              <w:pStyle w:val="TableText"/>
              <w:jc w:val="center"/>
              <w:rPr>
                <w:rFonts w:eastAsia="Arial Unicode MS"/>
                <w:b/>
                <w:bCs/>
              </w:rPr>
            </w:pPr>
            <w:r w:rsidRPr="00C90C9C">
              <w:rPr>
                <w:b/>
                <w:bCs/>
              </w:rPr>
              <w:t>Year</w:t>
            </w:r>
          </w:p>
        </w:tc>
        <w:tc>
          <w:tcPr>
            <w:tcW w:w="2690" w:type="dxa"/>
            <w:tcBorders>
              <w:top w:val="nil"/>
              <w:bottom w:val="nil"/>
            </w:tcBorders>
            <w:shd w:val="clear" w:color="auto" w:fill="D9D9D9" w:themeFill="background1" w:themeFillShade="D9"/>
          </w:tcPr>
          <w:p w14:paraId="646EE814" w14:textId="14086424" w:rsidR="00C90C9C" w:rsidRPr="00C90C9C" w:rsidRDefault="00C90C9C" w:rsidP="00CF71AF">
            <w:pPr>
              <w:pStyle w:val="TableText"/>
              <w:jc w:val="center"/>
              <w:rPr>
                <w:rFonts w:eastAsia="Arial Unicode MS"/>
                <w:b/>
                <w:bCs/>
              </w:rPr>
            </w:pPr>
            <w:r w:rsidRPr="00C90C9C">
              <w:rPr>
                <w:b/>
                <w:bCs/>
              </w:rPr>
              <w:t>Headcount</w:t>
            </w:r>
          </w:p>
        </w:tc>
        <w:tc>
          <w:tcPr>
            <w:tcW w:w="2690" w:type="dxa"/>
            <w:tcBorders>
              <w:top w:val="nil"/>
              <w:bottom w:val="nil"/>
            </w:tcBorders>
            <w:shd w:val="clear" w:color="auto" w:fill="D9D9D9" w:themeFill="background1" w:themeFillShade="D9"/>
          </w:tcPr>
          <w:p w14:paraId="0DCA3E8E" w14:textId="20F667FC" w:rsidR="00C90C9C" w:rsidRPr="00C90C9C" w:rsidRDefault="00C90C9C" w:rsidP="00CF71AF">
            <w:pPr>
              <w:pStyle w:val="TableText"/>
              <w:jc w:val="center"/>
              <w:rPr>
                <w:rFonts w:eastAsia="Arial Unicode MS"/>
                <w:b/>
                <w:bCs/>
              </w:rPr>
            </w:pPr>
            <w:r w:rsidRPr="00C90C9C">
              <w:rPr>
                <w:b/>
                <w:bCs/>
              </w:rPr>
              <w:t>FTE</w:t>
            </w:r>
          </w:p>
        </w:tc>
      </w:tr>
      <w:tr w:rsidR="00C90C9C" w14:paraId="1223253C" w14:textId="77777777" w:rsidTr="00C90C9C">
        <w:tc>
          <w:tcPr>
            <w:tcW w:w="2689" w:type="dxa"/>
            <w:tcBorders>
              <w:top w:val="nil"/>
            </w:tcBorders>
          </w:tcPr>
          <w:p w14:paraId="6837091A" w14:textId="27FFFD26" w:rsidR="00C90C9C" w:rsidRDefault="00C90C9C" w:rsidP="00CF71AF">
            <w:pPr>
              <w:pStyle w:val="TableText"/>
              <w:jc w:val="center"/>
              <w:rPr>
                <w:rFonts w:eastAsia="Arial Unicode MS"/>
              </w:rPr>
            </w:pPr>
            <w:r w:rsidRPr="005662A0">
              <w:t>2022</w:t>
            </w:r>
          </w:p>
        </w:tc>
        <w:tc>
          <w:tcPr>
            <w:tcW w:w="2690" w:type="dxa"/>
            <w:tcBorders>
              <w:top w:val="nil"/>
            </w:tcBorders>
          </w:tcPr>
          <w:p w14:paraId="226518D1" w14:textId="229F630A" w:rsidR="00C90C9C" w:rsidRDefault="00C90C9C" w:rsidP="00CF71AF">
            <w:pPr>
              <w:pStyle w:val="TableText"/>
              <w:jc w:val="center"/>
              <w:rPr>
                <w:rFonts w:eastAsia="Arial Unicode MS"/>
              </w:rPr>
            </w:pPr>
            <w:r w:rsidRPr="005662A0">
              <w:t>885</w:t>
            </w:r>
          </w:p>
        </w:tc>
        <w:tc>
          <w:tcPr>
            <w:tcW w:w="2690" w:type="dxa"/>
            <w:tcBorders>
              <w:top w:val="nil"/>
            </w:tcBorders>
          </w:tcPr>
          <w:p w14:paraId="1B75D2C2" w14:textId="57A72E01" w:rsidR="00C90C9C" w:rsidRDefault="00C90C9C" w:rsidP="00CF71AF">
            <w:pPr>
              <w:pStyle w:val="TableText"/>
              <w:jc w:val="center"/>
              <w:rPr>
                <w:rFonts w:eastAsia="Arial Unicode MS"/>
              </w:rPr>
            </w:pPr>
            <w:r w:rsidRPr="005662A0">
              <w:t>862.82</w:t>
            </w:r>
          </w:p>
        </w:tc>
      </w:tr>
      <w:tr w:rsidR="00C90C9C" w14:paraId="3D4E6DB2" w14:textId="77777777" w:rsidTr="00C90C9C">
        <w:tc>
          <w:tcPr>
            <w:tcW w:w="2689" w:type="dxa"/>
          </w:tcPr>
          <w:p w14:paraId="69583095" w14:textId="439CBF1E" w:rsidR="00C90C9C" w:rsidRDefault="00C90C9C" w:rsidP="00CF71AF">
            <w:pPr>
              <w:pStyle w:val="TableText"/>
              <w:jc w:val="center"/>
              <w:rPr>
                <w:rFonts w:eastAsia="Arial Unicode MS"/>
              </w:rPr>
            </w:pPr>
            <w:r w:rsidRPr="005662A0">
              <w:t>2021</w:t>
            </w:r>
          </w:p>
        </w:tc>
        <w:tc>
          <w:tcPr>
            <w:tcW w:w="2690" w:type="dxa"/>
          </w:tcPr>
          <w:p w14:paraId="774CB066" w14:textId="6F5CCB2C" w:rsidR="00C90C9C" w:rsidRDefault="00C90C9C" w:rsidP="00CF71AF">
            <w:pPr>
              <w:pStyle w:val="TableText"/>
              <w:jc w:val="center"/>
              <w:rPr>
                <w:rFonts w:eastAsia="Arial Unicode MS"/>
              </w:rPr>
            </w:pPr>
            <w:r w:rsidRPr="005662A0">
              <w:t>1,680</w:t>
            </w:r>
          </w:p>
        </w:tc>
        <w:tc>
          <w:tcPr>
            <w:tcW w:w="2690" w:type="dxa"/>
          </w:tcPr>
          <w:p w14:paraId="541824F3" w14:textId="55EB38B1" w:rsidR="00C90C9C" w:rsidRDefault="00C90C9C" w:rsidP="00CF71AF">
            <w:pPr>
              <w:pStyle w:val="TableText"/>
              <w:jc w:val="center"/>
              <w:rPr>
                <w:rFonts w:eastAsia="Arial Unicode MS"/>
              </w:rPr>
            </w:pPr>
            <w:r w:rsidRPr="005662A0">
              <w:t>1,631.46</w:t>
            </w:r>
          </w:p>
        </w:tc>
      </w:tr>
      <w:tr w:rsidR="00C90C9C" w14:paraId="0A709B77" w14:textId="77777777" w:rsidTr="00C90C9C">
        <w:tc>
          <w:tcPr>
            <w:tcW w:w="2689" w:type="dxa"/>
          </w:tcPr>
          <w:p w14:paraId="04D32354" w14:textId="3BEAB2BF" w:rsidR="00C90C9C" w:rsidRDefault="00C90C9C" w:rsidP="00CF71AF">
            <w:pPr>
              <w:pStyle w:val="TableText"/>
              <w:jc w:val="center"/>
              <w:rPr>
                <w:rFonts w:eastAsia="Arial Unicode MS"/>
              </w:rPr>
            </w:pPr>
            <w:r w:rsidRPr="005662A0">
              <w:t>2020</w:t>
            </w:r>
          </w:p>
        </w:tc>
        <w:tc>
          <w:tcPr>
            <w:tcW w:w="2690" w:type="dxa"/>
          </w:tcPr>
          <w:p w14:paraId="32FF02F1" w14:textId="35D81810" w:rsidR="00C90C9C" w:rsidRDefault="00C90C9C" w:rsidP="00CF71AF">
            <w:pPr>
              <w:pStyle w:val="TableText"/>
              <w:jc w:val="center"/>
              <w:rPr>
                <w:rFonts w:eastAsia="Arial Unicode MS"/>
              </w:rPr>
            </w:pPr>
            <w:r w:rsidRPr="005662A0">
              <w:t>1,224</w:t>
            </w:r>
          </w:p>
        </w:tc>
        <w:tc>
          <w:tcPr>
            <w:tcW w:w="2690" w:type="dxa"/>
          </w:tcPr>
          <w:p w14:paraId="7C209E94" w14:textId="3E1FED03" w:rsidR="00C90C9C" w:rsidRDefault="00C90C9C" w:rsidP="00CF71AF">
            <w:pPr>
              <w:pStyle w:val="TableText"/>
              <w:jc w:val="center"/>
              <w:rPr>
                <w:rFonts w:eastAsia="Arial Unicode MS"/>
              </w:rPr>
            </w:pPr>
            <w:r w:rsidRPr="005662A0">
              <w:t>1,186.85</w:t>
            </w:r>
          </w:p>
        </w:tc>
      </w:tr>
      <w:tr w:rsidR="00C90C9C" w14:paraId="46E65558" w14:textId="77777777" w:rsidTr="00C90C9C">
        <w:tc>
          <w:tcPr>
            <w:tcW w:w="2689" w:type="dxa"/>
          </w:tcPr>
          <w:p w14:paraId="1D08D5E9" w14:textId="69D465B4" w:rsidR="00C90C9C" w:rsidRDefault="00C90C9C" w:rsidP="00CF71AF">
            <w:pPr>
              <w:pStyle w:val="TableText"/>
              <w:jc w:val="center"/>
              <w:rPr>
                <w:rFonts w:eastAsia="Arial Unicode MS"/>
              </w:rPr>
            </w:pPr>
            <w:r w:rsidRPr="005662A0">
              <w:t>2019</w:t>
            </w:r>
          </w:p>
        </w:tc>
        <w:tc>
          <w:tcPr>
            <w:tcW w:w="2690" w:type="dxa"/>
          </w:tcPr>
          <w:p w14:paraId="77030F87" w14:textId="144E8D86" w:rsidR="00C90C9C" w:rsidRDefault="00C90C9C" w:rsidP="00CF71AF">
            <w:pPr>
              <w:pStyle w:val="TableText"/>
              <w:jc w:val="center"/>
              <w:rPr>
                <w:rFonts w:eastAsia="Arial Unicode MS"/>
              </w:rPr>
            </w:pPr>
            <w:r w:rsidRPr="005662A0">
              <w:t>1,205</w:t>
            </w:r>
          </w:p>
        </w:tc>
        <w:tc>
          <w:tcPr>
            <w:tcW w:w="2690" w:type="dxa"/>
          </w:tcPr>
          <w:p w14:paraId="4B779D9C" w14:textId="24980D12" w:rsidR="00C90C9C" w:rsidRDefault="00C90C9C" w:rsidP="00CF71AF">
            <w:pPr>
              <w:pStyle w:val="TableText"/>
              <w:jc w:val="center"/>
              <w:rPr>
                <w:rFonts w:eastAsia="Arial Unicode MS"/>
              </w:rPr>
            </w:pPr>
            <w:r w:rsidRPr="005662A0">
              <w:t>1,161.71</w:t>
            </w:r>
          </w:p>
        </w:tc>
      </w:tr>
      <w:tr w:rsidR="00C90C9C" w14:paraId="4AE35B9E" w14:textId="77777777" w:rsidTr="00C90C9C">
        <w:tc>
          <w:tcPr>
            <w:tcW w:w="2689" w:type="dxa"/>
          </w:tcPr>
          <w:p w14:paraId="0D64EB7C" w14:textId="783A38A3" w:rsidR="00C90C9C" w:rsidRDefault="00C90C9C" w:rsidP="00CF71AF">
            <w:pPr>
              <w:pStyle w:val="TableText"/>
              <w:jc w:val="center"/>
              <w:rPr>
                <w:rFonts w:eastAsia="Arial Unicode MS"/>
              </w:rPr>
            </w:pPr>
            <w:r w:rsidRPr="005662A0">
              <w:t>2018</w:t>
            </w:r>
          </w:p>
        </w:tc>
        <w:tc>
          <w:tcPr>
            <w:tcW w:w="2690" w:type="dxa"/>
          </w:tcPr>
          <w:p w14:paraId="73AAB7B4" w14:textId="6C9BC1E5" w:rsidR="00C90C9C" w:rsidRDefault="00C90C9C" w:rsidP="00CF71AF">
            <w:pPr>
              <w:pStyle w:val="TableText"/>
              <w:jc w:val="center"/>
              <w:rPr>
                <w:rFonts w:eastAsia="Arial Unicode MS"/>
              </w:rPr>
            </w:pPr>
            <w:r w:rsidRPr="005662A0">
              <w:t>1,127</w:t>
            </w:r>
          </w:p>
        </w:tc>
        <w:tc>
          <w:tcPr>
            <w:tcW w:w="2690" w:type="dxa"/>
          </w:tcPr>
          <w:p w14:paraId="7756756A" w14:textId="2E6A519F" w:rsidR="00C90C9C" w:rsidRDefault="00C90C9C" w:rsidP="00CF71AF">
            <w:pPr>
              <w:pStyle w:val="TableText"/>
              <w:jc w:val="center"/>
              <w:rPr>
                <w:rFonts w:eastAsia="Arial Unicode MS"/>
              </w:rPr>
            </w:pPr>
            <w:r w:rsidRPr="005662A0">
              <w:t>1,083.77</w:t>
            </w:r>
          </w:p>
        </w:tc>
      </w:tr>
    </w:tbl>
    <w:p w14:paraId="30389BAD" w14:textId="77777777" w:rsidR="00C90C9C" w:rsidRPr="00C90C9C" w:rsidRDefault="00C90C9C" w:rsidP="00C90C9C">
      <w:pPr>
        <w:pStyle w:val="Heading4"/>
      </w:pPr>
      <w:r w:rsidRPr="00C90C9C">
        <w:t>Gender year-on-year comparison</w:t>
      </w:r>
    </w:p>
    <w:p w14:paraId="0E15AB0C" w14:textId="28E55911" w:rsidR="00C90C9C" w:rsidRDefault="00C90C9C" w:rsidP="00C90C9C">
      <w:pPr>
        <w:rPr>
          <w:rFonts w:eastAsia="Arial Unicode MS"/>
        </w:rPr>
      </w:pPr>
      <w:r w:rsidRPr="00C90C9C">
        <w:rPr>
          <w:rFonts w:eastAsia="Arial Unicode MS"/>
        </w:rPr>
        <w:t>Data as at 30 June each year.</w:t>
      </w:r>
    </w:p>
    <w:p w14:paraId="01969987" w14:textId="098C73F0" w:rsidR="00C90C9C" w:rsidRDefault="00C90C9C" w:rsidP="00C90C9C">
      <w:pPr>
        <w:rPr>
          <w:rFonts w:eastAsia="Arial Unicode MS"/>
        </w:rPr>
      </w:pP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019"/>
        <w:gridCol w:w="2020"/>
        <w:gridCol w:w="2020"/>
        <w:gridCol w:w="2020"/>
      </w:tblGrid>
      <w:tr w:rsidR="00C90C9C" w:rsidRPr="00C90C9C" w14:paraId="3214609E" w14:textId="77777777" w:rsidTr="008762C7">
        <w:tc>
          <w:tcPr>
            <w:tcW w:w="2019" w:type="dxa"/>
            <w:tcBorders>
              <w:top w:val="nil"/>
              <w:bottom w:val="nil"/>
            </w:tcBorders>
            <w:shd w:val="clear" w:color="auto" w:fill="D9D9D9" w:themeFill="background1" w:themeFillShade="D9"/>
          </w:tcPr>
          <w:p w14:paraId="1AE2F080" w14:textId="4A636056" w:rsidR="00C90C9C" w:rsidRPr="00C90C9C" w:rsidRDefault="00C90C9C" w:rsidP="00CF71AF">
            <w:pPr>
              <w:pStyle w:val="TableText"/>
              <w:jc w:val="center"/>
              <w:rPr>
                <w:rFonts w:eastAsia="Arial Unicode MS"/>
                <w:b/>
                <w:bCs/>
              </w:rPr>
            </w:pPr>
            <w:r>
              <w:rPr>
                <w:rFonts w:eastAsia="Arial Unicode MS"/>
                <w:b/>
                <w:bCs/>
              </w:rPr>
              <w:t>Year</w:t>
            </w:r>
          </w:p>
        </w:tc>
        <w:tc>
          <w:tcPr>
            <w:tcW w:w="6060" w:type="dxa"/>
            <w:gridSpan w:val="3"/>
            <w:tcBorders>
              <w:top w:val="nil"/>
              <w:bottom w:val="nil"/>
            </w:tcBorders>
            <w:shd w:val="clear" w:color="auto" w:fill="D9D9D9" w:themeFill="background1" w:themeFillShade="D9"/>
          </w:tcPr>
          <w:p w14:paraId="728D4EC9" w14:textId="35EB95CD" w:rsidR="00C90C9C" w:rsidRPr="00C90C9C" w:rsidRDefault="00C90C9C" w:rsidP="00CF71AF">
            <w:pPr>
              <w:pStyle w:val="TableText"/>
              <w:jc w:val="center"/>
              <w:rPr>
                <w:b/>
                <w:bCs/>
              </w:rPr>
            </w:pPr>
            <w:r w:rsidRPr="00C90C9C">
              <w:rPr>
                <w:b/>
                <w:bCs/>
              </w:rPr>
              <w:t>Number</w:t>
            </w:r>
          </w:p>
        </w:tc>
      </w:tr>
      <w:tr w:rsidR="00C90C9C" w:rsidRPr="00C90C9C" w14:paraId="322BD33B" w14:textId="77777777" w:rsidTr="00C90C9C">
        <w:tc>
          <w:tcPr>
            <w:tcW w:w="2019" w:type="dxa"/>
            <w:tcBorders>
              <w:top w:val="nil"/>
              <w:bottom w:val="nil"/>
            </w:tcBorders>
            <w:shd w:val="clear" w:color="auto" w:fill="D9D9D9" w:themeFill="background1" w:themeFillShade="D9"/>
          </w:tcPr>
          <w:p w14:paraId="0078B171" w14:textId="014331CD" w:rsidR="00C90C9C" w:rsidRPr="00C90C9C" w:rsidRDefault="00C90C9C" w:rsidP="00CF71AF">
            <w:pPr>
              <w:pStyle w:val="TableText"/>
              <w:jc w:val="center"/>
              <w:rPr>
                <w:rFonts w:eastAsia="Arial Unicode MS"/>
                <w:b/>
                <w:bCs/>
              </w:rPr>
            </w:pPr>
          </w:p>
        </w:tc>
        <w:tc>
          <w:tcPr>
            <w:tcW w:w="2020" w:type="dxa"/>
            <w:tcBorders>
              <w:top w:val="nil"/>
              <w:bottom w:val="nil"/>
            </w:tcBorders>
            <w:shd w:val="clear" w:color="auto" w:fill="D9D9D9" w:themeFill="background1" w:themeFillShade="D9"/>
          </w:tcPr>
          <w:p w14:paraId="313BE975" w14:textId="14AD899B" w:rsidR="00C90C9C" w:rsidRPr="00C90C9C" w:rsidRDefault="00C90C9C" w:rsidP="00CF71AF">
            <w:pPr>
              <w:pStyle w:val="TableText"/>
              <w:jc w:val="center"/>
              <w:rPr>
                <w:rFonts w:eastAsia="Arial Unicode MS"/>
                <w:b/>
                <w:bCs/>
              </w:rPr>
            </w:pPr>
            <w:r w:rsidRPr="00C90C9C">
              <w:rPr>
                <w:b/>
                <w:bCs/>
              </w:rPr>
              <w:t>Females</w:t>
            </w:r>
          </w:p>
        </w:tc>
        <w:tc>
          <w:tcPr>
            <w:tcW w:w="2020" w:type="dxa"/>
            <w:tcBorders>
              <w:top w:val="nil"/>
              <w:bottom w:val="nil"/>
            </w:tcBorders>
            <w:shd w:val="clear" w:color="auto" w:fill="D9D9D9" w:themeFill="background1" w:themeFillShade="D9"/>
          </w:tcPr>
          <w:p w14:paraId="2A48EAD7" w14:textId="6084CD6B" w:rsidR="00C90C9C" w:rsidRPr="00C90C9C" w:rsidRDefault="00C90C9C" w:rsidP="00CF71AF">
            <w:pPr>
              <w:pStyle w:val="TableText"/>
              <w:jc w:val="center"/>
              <w:rPr>
                <w:b/>
                <w:bCs/>
              </w:rPr>
            </w:pPr>
            <w:r w:rsidRPr="00C90C9C">
              <w:rPr>
                <w:b/>
                <w:bCs/>
              </w:rPr>
              <w:t>Males</w:t>
            </w:r>
          </w:p>
        </w:tc>
        <w:tc>
          <w:tcPr>
            <w:tcW w:w="2020" w:type="dxa"/>
            <w:tcBorders>
              <w:top w:val="nil"/>
              <w:bottom w:val="nil"/>
            </w:tcBorders>
            <w:shd w:val="clear" w:color="auto" w:fill="D9D9D9" w:themeFill="background1" w:themeFillShade="D9"/>
          </w:tcPr>
          <w:p w14:paraId="62780A31" w14:textId="09C25DCA" w:rsidR="00C90C9C" w:rsidRPr="00C90C9C" w:rsidRDefault="00C90C9C" w:rsidP="00CF71AF">
            <w:pPr>
              <w:pStyle w:val="TableText"/>
              <w:jc w:val="center"/>
              <w:rPr>
                <w:rFonts w:eastAsia="Arial Unicode MS"/>
                <w:b/>
                <w:bCs/>
              </w:rPr>
            </w:pPr>
            <w:r w:rsidRPr="00C90C9C">
              <w:rPr>
                <w:b/>
                <w:bCs/>
              </w:rPr>
              <w:t>Total</w:t>
            </w:r>
          </w:p>
        </w:tc>
      </w:tr>
      <w:tr w:rsidR="00C90C9C" w14:paraId="78A84AF4" w14:textId="77777777" w:rsidTr="00C90C9C">
        <w:tc>
          <w:tcPr>
            <w:tcW w:w="2019" w:type="dxa"/>
            <w:tcBorders>
              <w:top w:val="nil"/>
            </w:tcBorders>
          </w:tcPr>
          <w:p w14:paraId="56533CEC" w14:textId="63710287" w:rsidR="00C90C9C" w:rsidRDefault="00C90C9C" w:rsidP="00CF71AF">
            <w:pPr>
              <w:pStyle w:val="TableText"/>
              <w:jc w:val="center"/>
              <w:rPr>
                <w:rFonts w:eastAsia="Arial Unicode MS"/>
              </w:rPr>
            </w:pPr>
            <w:r w:rsidRPr="00EB49B1">
              <w:t>2022</w:t>
            </w:r>
          </w:p>
        </w:tc>
        <w:tc>
          <w:tcPr>
            <w:tcW w:w="2020" w:type="dxa"/>
            <w:tcBorders>
              <w:top w:val="nil"/>
            </w:tcBorders>
          </w:tcPr>
          <w:p w14:paraId="5255164E" w14:textId="60794490" w:rsidR="00C90C9C" w:rsidRDefault="00C90C9C" w:rsidP="00CF71AF">
            <w:pPr>
              <w:pStyle w:val="TableText"/>
              <w:jc w:val="center"/>
              <w:rPr>
                <w:rFonts w:eastAsia="Arial Unicode MS"/>
              </w:rPr>
            </w:pPr>
            <w:r w:rsidRPr="00EB49B1">
              <w:t>600</w:t>
            </w:r>
          </w:p>
        </w:tc>
        <w:tc>
          <w:tcPr>
            <w:tcW w:w="2020" w:type="dxa"/>
            <w:tcBorders>
              <w:top w:val="nil"/>
            </w:tcBorders>
          </w:tcPr>
          <w:p w14:paraId="496878F7" w14:textId="27482BD2" w:rsidR="00C90C9C" w:rsidRPr="005662A0" w:rsidRDefault="00C90C9C" w:rsidP="00CF71AF">
            <w:pPr>
              <w:pStyle w:val="TableText"/>
              <w:jc w:val="center"/>
            </w:pPr>
            <w:r w:rsidRPr="00EB49B1">
              <w:t>285</w:t>
            </w:r>
          </w:p>
        </w:tc>
        <w:tc>
          <w:tcPr>
            <w:tcW w:w="2020" w:type="dxa"/>
            <w:tcBorders>
              <w:top w:val="nil"/>
            </w:tcBorders>
          </w:tcPr>
          <w:p w14:paraId="25458FBF" w14:textId="3FFA509B" w:rsidR="00C90C9C" w:rsidRDefault="00C90C9C" w:rsidP="00CF71AF">
            <w:pPr>
              <w:pStyle w:val="TableText"/>
              <w:jc w:val="center"/>
              <w:rPr>
                <w:rFonts w:eastAsia="Arial Unicode MS"/>
              </w:rPr>
            </w:pPr>
            <w:r w:rsidRPr="00EB49B1">
              <w:t>885</w:t>
            </w:r>
          </w:p>
        </w:tc>
      </w:tr>
      <w:tr w:rsidR="00C90C9C" w14:paraId="573A2BDE" w14:textId="77777777" w:rsidTr="00C90C9C">
        <w:tc>
          <w:tcPr>
            <w:tcW w:w="2019" w:type="dxa"/>
          </w:tcPr>
          <w:p w14:paraId="6B507829" w14:textId="07FE572A" w:rsidR="00C90C9C" w:rsidRDefault="00C90C9C" w:rsidP="00CF71AF">
            <w:pPr>
              <w:pStyle w:val="TableText"/>
              <w:jc w:val="center"/>
              <w:rPr>
                <w:rFonts w:eastAsia="Arial Unicode MS"/>
              </w:rPr>
            </w:pPr>
            <w:r w:rsidRPr="00EB49B1">
              <w:t>2021</w:t>
            </w:r>
          </w:p>
        </w:tc>
        <w:tc>
          <w:tcPr>
            <w:tcW w:w="2020" w:type="dxa"/>
          </w:tcPr>
          <w:p w14:paraId="091EB11D" w14:textId="3A73EA2B" w:rsidR="00C90C9C" w:rsidRDefault="00C90C9C" w:rsidP="00CF71AF">
            <w:pPr>
              <w:pStyle w:val="TableText"/>
              <w:jc w:val="center"/>
              <w:rPr>
                <w:rFonts w:eastAsia="Arial Unicode MS"/>
              </w:rPr>
            </w:pPr>
            <w:r w:rsidRPr="00EB49B1">
              <w:t>1,126</w:t>
            </w:r>
          </w:p>
        </w:tc>
        <w:tc>
          <w:tcPr>
            <w:tcW w:w="2020" w:type="dxa"/>
          </w:tcPr>
          <w:p w14:paraId="2E8F7501" w14:textId="0BEB3A82" w:rsidR="00C90C9C" w:rsidRPr="005662A0" w:rsidRDefault="00C90C9C" w:rsidP="00CF71AF">
            <w:pPr>
              <w:pStyle w:val="TableText"/>
              <w:jc w:val="center"/>
            </w:pPr>
            <w:r w:rsidRPr="00EB49B1">
              <w:t>554</w:t>
            </w:r>
          </w:p>
        </w:tc>
        <w:tc>
          <w:tcPr>
            <w:tcW w:w="2020" w:type="dxa"/>
          </w:tcPr>
          <w:p w14:paraId="797D4E85" w14:textId="0737D630" w:rsidR="00C90C9C" w:rsidRDefault="00C90C9C" w:rsidP="00CF71AF">
            <w:pPr>
              <w:pStyle w:val="TableText"/>
              <w:jc w:val="center"/>
              <w:rPr>
                <w:rFonts w:eastAsia="Arial Unicode MS"/>
              </w:rPr>
            </w:pPr>
            <w:r w:rsidRPr="00EB49B1">
              <w:t>1,680</w:t>
            </w:r>
          </w:p>
        </w:tc>
      </w:tr>
      <w:tr w:rsidR="00C90C9C" w14:paraId="15815A08" w14:textId="77777777" w:rsidTr="00C90C9C">
        <w:tc>
          <w:tcPr>
            <w:tcW w:w="2019" w:type="dxa"/>
          </w:tcPr>
          <w:p w14:paraId="6DB1BEAF" w14:textId="74642DAD" w:rsidR="00C90C9C" w:rsidRDefault="00C90C9C" w:rsidP="00CF71AF">
            <w:pPr>
              <w:pStyle w:val="TableText"/>
              <w:jc w:val="center"/>
              <w:rPr>
                <w:rFonts w:eastAsia="Arial Unicode MS"/>
              </w:rPr>
            </w:pPr>
            <w:r w:rsidRPr="00EB49B1">
              <w:t>2020</w:t>
            </w:r>
          </w:p>
        </w:tc>
        <w:tc>
          <w:tcPr>
            <w:tcW w:w="2020" w:type="dxa"/>
          </w:tcPr>
          <w:p w14:paraId="56ED3403" w14:textId="278991C5" w:rsidR="00C90C9C" w:rsidRDefault="00C90C9C" w:rsidP="00CF71AF">
            <w:pPr>
              <w:pStyle w:val="TableText"/>
              <w:jc w:val="center"/>
              <w:rPr>
                <w:rFonts w:eastAsia="Arial Unicode MS"/>
              </w:rPr>
            </w:pPr>
            <w:r w:rsidRPr="00EB49B1">
              <w:t>832</w:t>
            </w:r>
          </w:p>
        </w:tc>
        <w:tc>
          <w:tcPr>
            <w:tcW w:w="2020" w:type="dxa"/>
          </w:tcPr>
          <w:p w14:paraId="202D756D" w14:textId="63A9EC69" w:rsidR="00C90C9C" w:rsidRPr="005662A0" w:rsidRDefault="00C90C9C" w:rsidP="00CF71AF">
            <w:pPr>
              <w:pStyle w:val="TableText"/>
              <w:jc w:val="center"/>
            </w:pPr>
            <w:r w:rsidRPr="00EB49B1">
              <w:t>392</w:t>
            </w:r>
          </w:p>
        </w:tc>
        <w:tc>
          <w:tcPr>
            <w:tcW w:w="2020" w:type="dxa"/>
          </w:tcPr>
          <w:p w14:paraId="64F13B6B" w14:textId="7BA67337" w:rsidR="00C90C9C" w:rsidRDefault="00C90C9C" w:rsidP="00CF71AF">
            <w:pPr>
              <w:pStyle w:val="TableText"/>
              <w:jc w:val="center"/>
              <w:rPr>
                <w:rFonts w:eastAsia="Arial Unicode MS"/>
              </w:rPr>
            </w:pPr>
            <w:r w:rsidRPr="00EB49B1">
              <w:t>1,224</w:t>
            </w:r>
          </w:p>
        </w:tc>
      </w:tr>
      <w:tr w:rsidR="00C90C9C" w14:paraId="3845A03E" w14:textId="77777777" w:rsidTr="00C90C9C">
        <w:tc>
          <w:tcPr>
            <w:tcW w:w="2019" w:type="dxa"/>
          </w:tcPr>
          <w:p w14:paraId="1E679670" w14:textId="5BDF0D1E" w:rsidR="00C90C9C" w:rsidRDefault="00C90C9C" w:rsidP="00CF71AF">
            <w:pPr>
              <w:pStyle w:val="TableText"/>
              <w:jc w:val="center"/>
              <w:rPr>
                <w:rFonts w:eastAsia="Arial Unicode MS"/>
              </w:rPr>
            </w:pPr>
            <w:r w:rsidRPr="00EB49B1">
              <w:t>2019</w:t>
            </w:r>
          </w:p>
        </w:tc>
        <w:tc>
          <w:tcPr>
            <w:tcW w:w="2020" w:type="dxa"/>
          </w:tcPr>
          <w:p w14:paraId="0702FCA4" w14:textId="0634A658" w:rsidR="00C90C9C" w:rsidRDefault="00C90C9C" w:rsidP="00CF71AF">
            <w:pPr>
              <w:pStyle w:val="TableText"/>
              <w:jc w:val="center"/>
              <w:rPr>
                <w:rFonts w:eastAsia="Arial Unicode MS"/>
              </w:rPr>
            </w:pPr>
            <w:r w:rsidRPr="00EB49B1">
              <w:t>824</w:t>
            </w:r>
          </w:p>
        </w:tc>
        <w:tc>
          <w:tcPr>
            <w:tcW w:w="2020" w:type="dxa"/>
          </w:tcPr>
          <w:p w14:paraId="652E681A" w14:textId="2CDE2BFA" w:rsidR="00C90C9C" w:rsidRPr="005662A0" w:rsidRDefault="00C90C9C" w:rsidP="00CF71AF">
            <w:pPr>
              <w:pStyle w:val="TableText"/>
              <w:jc w:val="center"/>
            </w:pPr>
            <w:r w:rsidRPr="00EB49B1">
              <w:t>381</w:t>
            </w:r>
          </w:p>
        </w:tc>
        <w:tc>
          <w:tcPr>
            <w:tcW w:w="2020" w:type="dxa"/>
          </w:tcPr>
          <w:p w14:paraId="18A2CAAA" w14:textId="46C4575D" w:rsidR="00C90C9C" w:rsidRDefault="00C90C9C" w:rsidP="00CF71AF">
            <w:pPr>
              <w:pStyle w:val="TableText"/>
              <w:jc w:val="center"/>
              <w:rPr>
                <w:rFonts w:eastAsia="Arial Unicode MS"/>
              </w:rPr>
            </w:pPr>
            <w:r w:rsidRPr="00EB49B1">
              <w:t>1,205</w:t>
            </w:r>
          </w:p>
        </w:tc>
      </w:tr>
      <w:tr w:rsidR="00C90C9C" w14:paraId="13DE5B72" w14:textId="77777777" w:rsidTr="00C90C9C">
        <w:tc>
          <w:tcPr>
            <w:tcW w:w="2019" w:type="dxa"/>
          </w:tcPr>
          <w:p w14:paraId="6221451C" w14:textId="5B0220D5" w:rsidR="00C90C9C" w:rsidRDefault="00C90C9C" w:rsidP="00CF71AF">
            <w:pPr>
              <w:pStyle w:val="TableText"/>
              <w:jc w:val="center"/>
              <w:rPr>
                <w:rFonts w:eastAsia="Arial Unicode MS"/>
              </w:rPr>
            </w:pPr>
            <w:r w:rsidRPr="00EB49B1">
              <w:t>2018</w:t>
            </w:r>
          </w:p>
        </w:tc>
        <w:tc>
          <w:tcPr>
            <w:tcW w:w="2020" w:type="dxa"/>
          </w:tcPr>
          <w:p w14:paraId="3165342A" w14:textId="050770D9" w:rsidR="00C90C9C" w:rsidRDefault="00C90C9C" w:rsidP="00CF71AF">
            <w:pPr>
              <w:pStyle w:val="TableText"/>
              <w:jc w:val="center"/>
              <w:rPr>
                <w:rFonts w:eastAsia="Arial Unicode MS"/>
              </w:rPr>
            </w:pPr>
            <w:r w:rsidRPr="00EB49B1">
              <w:t>770</w:t>
            </w:r>
          </w:p>
        </w:tc>
        <w:tc>
          <w:tcPr>
            <w:tcW w:w="2020" w:type="dxa"/>
          </w:tcPr>
          <w:p w14:paraId="3CBE1F27" w14:textId="0980EE4E" w:rsidR="00C90C9C" w:rsidRPr="005662A0" w:rsidRDefault="00C90C9C" w:rsidP="00CF71AF">
            <w:pPr>
              <w:pStyle w:val="TableText"/>
              <w:jc w:val="center"/>
            </w:pPr>
            <w:r w:rsidRPr="00EB49B1">
              <w:t>357</w:t>
            </w:r>
          </w:p>
        </w:tc>
        <w:tc>
          <w:tcPr>
            <w:tcW w:w="2020" w:type="dxa"/>
          </w:tcPr>
          <w:p w14:paraId="128F05CE" w14:textId="4B7F5D27" w:rsidR="00C90C9C" w:rsidRDefault="00C90C9C" w:rsidP="00CF71AF">
            <w:pPr>
              <w:pStyle w:val="TableText"/>
              <w:jc w:val="center"/>
              <w:rPr>
                <w:rFonts w:eastAsia="Arial Unicode MS"/>
              </w:rPr>
            </w:pPr>
            <w:r w:rsidRPr="00EB49B1">
              <w:t>1,127</w:t>
            </w:r>
          </w:p>
        </w:tc>
      </w:tr>
    </w:tbl>
    <w:p w14:paraId="6C4871E3" w14:textId="77777777" w:rsidR="00C90C9C" w:rsidRDefault="00C90C9C" w:rsidP="00C90C9C">
      <w:pPr>
        <w:rPr>
          <w:rFonts w:eastAsia="Arial Unicode MS"/>
        </w:rPr>
      </w:pPr>
    </w:p>
    <w:tbl>
      <w:tblPr>
        <w:tblStyle w:val="TableGrid"/>
        <w:tblW w:w="808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693"/>
        <w:gridCol w:w="2693"/>
        <w:gridCol w:w="2694"/>
      </w:tblGrid>
      <w:tr w:rsidR="00C90C9C" w:rsidRPr="00C90C9C" w14:paraId="5D51DC4D" w14:textId="77777777" w:rsidTr="00C90C9C">
        <w:tc>
          <w:tcPr>
            <w:tcW w:w="2693" w:type="dxa"/>
            <w:tcBorders>
              <w:top w:val="nil"/>
              <w:bottom w:val="nil"/>
            </w:tcBorders>
            <w:shd w:val="clear" w:color="auto" w:fill="D9D9D9" w:themeFill="background1" w:themeFillShade="D9"/>
          </w:tcPr>
          <w:p w14:paraId="0A67003B" w14:textId="77777777" w:rsidR="00C90C9C" w:rsidRPr="00C90C9C" w:rsidRDefault="00C90C9C" w:rsidP="00CF71AF">
            <w:pPr>
              <w:pStyle w:val="TableText"/>
              <w:jc w:val="center"/>
              <w:rPr>
                <w:rFonts w:eastAsia="Arial Unicode MS"/>
                <w:b/>
                <w:bCs/>
              </w:rPr>
            </w:pPr>
            <w:r>
              <w:rPr>
                <w:rFonts w:eastAsia="Arial Unicode MS"/>
                <w:b/>
                <w:bCs/>
              </w:rPr>
              <w:t>Year</w:t>
            </w:r>
          </w:p>
        </w:tc>
        <w:tc>
          <w:tcPr>
            <w:tcW w:w="5387" w:type="dxa"/>
            <w:gridSpan w:val="2"/>
            <w:tcBorders>
              <w:top w:val="nil"/>
              <w:bottom w:val="nil"/>
            </w:tcBorders>
            <w:shd w:val="clear" w:color="auto" w:fill="D9D9D9" w:themeFill="background1" w:themeFillShade="D9"/>
          </w:tcPr>
          <w:p w14:paraId="27614376" w14:textId="1B336AB9" w:rsidR="00C90C9C" w:rsidRPr="00C90C9C" w:rsidRDefault="00C90C9C" w:rsidP="00CF71AF">
            <w:pPr>
              <w:pStyle w:val="TableText"/>
              <w:jc w:val="center"/>
              <w:rPr>
                <w:b/>
                <w:bCs/>
              </w:rPr>
            </w:pPr>
            <w:r w:rsidRPr="00C90C9C">
              <w:rPr>
                <w:b/>
                <w:bCs/>
              </w:rPr>
              <w:t>Percentage</w:t>
            </w:r>
          </w:p>
        </w:tc>
      </w:tr>
      <w:tr w:rsidR="00C90C9C" w:rsidRPr="00C90C9C" w14:paraId="3EA2115D" w14:textId="77777777" w:rsidTr="00C90C9C">
        <w:tc>
          <w:tcPr>
            <w:tcW w:w="2693" w:type="dxa"/>
            <w:tcBorders>
              <w:top w:val="nil"/>
              <w:bottom w:val="nil"/>
            </w:tcBorders>
            <w:shd w:val="clear" w:color="auto" w:fill="D9D9D9" w:themeFill="background1" w:themeFillShade="D9"/>
          </w:tcPr>
          <w:p w14:paraId="287D6C10" w14:textId="77777777" w:rsidR="00C90C9C" w:rsidRPr="00C90C9C" w:rsidRDefault="00C90C9C" w:rsidP="00CF71AF">
            <w:pPr>
              <w:pStyle w:val="TableText"/>
              <w:jc w:val="center"/>
              <w:rPr>
                <w:rFonts w:eastAsia="Arial Unicode MS"/>
                <w:b/>
                <w:bCs/>
              </w:rPr>
            </w:pPr>
          </w:p>
        </w:tc>
        <w:tc>
          <w:tcPr>
            <w:tcW w:w="2693" w:type="dxa"/>
            <w:tcBorders>
              <w:top w:val="nil"/>
              <w:bottom w:val="nil"/>
            </w:tcBorders>
            <w:shd w:val="clear" w:color="auto" w:fill="D9D9D9" w:themeFill="background1" w:themeFillShade="D9"/>
          </w:tcPr>
          <w:p w14:paraId="6EA75F7A" w14:textId="77777777" w:rsidR="00C90C9C" w:rsidRPr="00C90C9C" w:rsidRDefault="00C90C9C" w:rsidP="00CF71AF">
            <w:pPr>
              <w:pStyle w:val="TableText"/>
              <w:jc w:val="center"/>
              <w:rPr>
                <w:rFonts w:eastAsia="Arial Unicode MS"/>
                <w:b/>
                <w:bCs/>
              </w:rPr>
            </w:pPr>
            <w:r w:rsidRPr="00C90C9C">
              <w:rPr>
                <w:b/>
                <w:bCs/>
              </w:rPr>
              <w:t>Females</w:t>
            </w:r>
          </w:p>
        </w:tc>
        <w:tc>
          <w:tcPr>
            <w:tcW w:w="2694" w:type="dxa"/>
            <w:tcBorders>
              <w:top w:val="nil"/>
              <w:bottom w:val="nil"/>
            </w:tcBorders>
            <w:shd w:val="clear" w:color="auto" w:fill="D9D9D9" w:themeFill="background1" w:themeFillShade="D9"/>
          </w:tcPr>
          <w:p w14:paraId="2606B7F8" w14:textId="77777777" w:rsidR="00C90C9C" w:rsidRPr="00C90C9C" w:rsidRDefault="00C90C9C" w:rsidP="00CF71AF">
            <w:pPr>
              <w:pStyle w:val="TableText"/>
              <w:jc w:val="center"/>
              <w:rPr>
                <w:b/>
                <w:bCs/>
              </w:rPr>
            </w:pPr>
            <w:r w:rsidRPr="00C90C9C">
              <w:rPr>
                <w:b/>
                <w:bCs/>
              </w:rPr>
              <w:t>Males</w:t>
            </w:r>
          </w:p>
        </w:tc>
      </w:tr>
      <w:tr w:rsidR="00C90C9C" w:rsidRPr="00C90C9C" w14:paraId="46BFFB63" w14:textId="77777777" w:rsidTr="00C90C9C">
        <w:tc>
          <w:tcPr>
            <w:tcW w:w="2693" w:type="dxa"/>
            <w:tcBorders>
              <w:top w:val="nil"/>
            </w:tcBorders>
          </w:tcPr>
          <w:p w14:paraId="6A80F439" w14:textId="30296330" w:rsidR="00C90C9C" w:rsidRPr="00C90C9C" w:rsidRDefault="00C90C9C" w:rsidP="00CF71AF">
            <w:pPr>
              <w:pStyle w:val="TableText"/>
              <w:jc w:val="center"/>
              <w:rPr>
                <w:rFonts w:eastAsia="Arial Unicode MS"/>
              </w:rPr>
            </w:pPr>
            <w:r w:rsidRPr="00C90C9C">
              <w:t>2022</w:t>
            </w:r>
          </w:p>
        </w:tc>
        <w:tc>
          <w:tcPr>
            <w:tcW w:w="2693" w:type="dxa"/>
            <w:tcBorders>
              <w:top w:val="nil"/>
            </w:tcBorders>
          </w:tcPr>
          <w:p w14:paraId="70262DEF" w14:textId="268BAFFC" w:rsidR="00C90C9C" w:rsidRPr="00C90C9C" w:rsidRDefault="00C90C9C" w:rsidP="00CF71AF">
            <w:pPr>
              <w:pStyle w:val="TableText"/>
              <w:jc w:val="center"/>
              <w:rPr>
                <w:rFonts w:eastAsia="Arial Unicode MS"/>
              </w:rPr>
            </w:pPr>
            <w:r w:rsidRPr="00C90C9C">
              <w:t>67.8%</w:t>
            </w:r>
          </w:p>
        </w:tc>
        <w:tc>
          <w:tcPr>
            <w:tcW w:w="2694" w:type="dxa"/>
            <w:tcBorders>
              <w:top w:val="nil"/>
            </w:tcBorders>
          </w:tcPr>
          <w:p w14:paraId="03BD1400" w14:textId="71537E2C" w:rsidR="00C90C9C" w:rsidRPr="00C90C9C" w:rsidRDefault="00C90C9C" w:rsidP="00CF71AF">
            <w:pPr>
              <w:pStyle w:val="TableText"/>
              <w:jc w:val="center"/>
            </w:pPr>
            <w:r w:rsidRPr="00C90C9C">
              <w:t>32.2%</w:t>
            </w:r>
          </w:p>
        </w:tc>
      </w:tr>
      <w:tr w:rsidR="00C90C9C" w:rsidRPr="00C90C9C" w14:paraId="7200F1BD" w14:textId="77777777" w:rsidTr="00C90C9C">
        <w:tc>
          <w:tcPr>
            <w:tcW w:w="2693" w:type="dxa"/>
          </w:tcPr>
          <w:p w14:paraId="4E1BD403" w14:textId="7A56292E" w:rsidR="00C90C9C" w:rsidRPr="00C90C9C" w:rsidRDefault="00C90C9C" w:rsidP="00CF71AF">
            <w:pPr>
              <w:pStyle w:val="TableText"/>
              <w:jc w:val="center"/>
              <w:rPr>
                <w:rFonts w:eastAsia="Arial Unicode MS"/>
              </w:rPr>
            </w:pPr>
            <w:r w:rsidRPr="00C90C9C">
              <w:t>2021</w:t>
            </w:r>
          </w:p>
        </w:tc>
        <w:tc>
          <w:tcPr>
            <w:tcW w:w="2693" w:type="dxa"/>
          </w:tcPr>
          <w:p w14:paraId="1CA16922" w14:textId="2726FC94" w:rsidR="00C90C9C" w:rsidRPr="00C90C9C" w:rsidRDefault="00C90C9C" w:rsidP="00CF71AF">
            <w:pPr>
              <w:pStyle w:val="TableText"/>
              <w:jc w:val="center"/>
              <w:rPr>
                <w:rFonts w:eastAsia="Arial Unicode MS"/>
              </w:rPr>
            </w:pPr>
            <w:r w:rsidRPr="00C90C9C">
              <w:t>67.0%</w:t>
            </w:r>
          </w:p>
        </w:tc>
        <w:tc>
          <w:tcPr>
            <w:tcW w:w="2694" w:type="dxa"/>
          </w:tcPr>
          <w:p w14:paraId="774B025C" w14:textId="33981298" w:rsidR="00C90C9C" w:rsidRPr="00C90C9C" w:rsidRDefault="00C90C9C" w:rsidP="00CF71AF">
            <w:pPr>
              <w:pStyle w:val="TableText"/>
              <w:jc w:val="center"/>
            </w:pPr>
            <w:r w:rsidRPr="00C90C9C">
              <w:t>33.0%</w:t>
            </w:r>
          </w:p>
        </w:tc>
      </w:tr>
      <w:tr w:rsidR="00C90C9C" w:rsidRPr="00C90C9C" w14:paraId="44540B35" w14:textId="77777777" w:rsidTr="00C90C9C">
        <w:tc>
          <w:tcPr>
            <w:tcW w:w="2693" w:type="dxa"/>
          </w:tcPr>
          <w:p w14:paraId="2946DF31" w14:textId="74AB263C" w:rsidR="00C90C9C" w:rsidRPr="00C90C9C" w:rsidRDefault="00C90C9C" w:rsidP="00CF71AF">
            <w:pPr>
              <w:pStyle w:val="TableText"/>
              <w:jc w:val="center"/>
              <w:rPr>
                <w:rFonts w:eastAsia="Arial Unicode MS"/>
              </w:rPr>
            </w:pPr>
            <w:r w:rsidRPr="00C90C9C">
              <w:t>2020</w:t>
            </w:r>
          </w:p>
        </w:tc>
        <w:tc>
          <w:tcPr>
            <w:tcW w:w="2693" w:type="dxa"/>
          </w:tcPr>
          <w:p w14:paraId="1EED1446" w14:textId="017E182B" w:rsidR="00C90C9C" w:rsidRPr="00C90C9C" w:rsidRDefault="00C90C9C" w:rsidP="00CF71AF">
            <w:pPr>
              <w:pStyle w:val="TableText"/>
              <w:jc w:val="center"/>
              <w:rPr>
                <w:rFonts w:eastAsia="Arial Unicode MS"/>
              </w:rPr>
            </w:pPr>
            <w:r w:rsidRPr="00C90C9C">
              <w:t>68.0%</w:t>
            </w:r>
          </w:p>
        </w:tc>
        <w:tc>
          <w:tcPr>
            <w:tcW w:w="2694" w:type="dxa"/>
          </w:tcPr>
          <w:p w14:paraId="082F811F" w14:textId="768EDEFB" w:rsidR="00C90C9C" w:rsidRPr="00C90C9C" w:rsidRDefault="00C90C9C" w:rsidP="00CF71AF">
            <w:pPr>
              <w:pStyle w:val="TableText"/>
              <w:jc w:val="center"/>
            </w:pPr>
            <w:r w:rsidRPr="00C90C9C">
              <w:t>32.0%</w:t>
            </w:r>
          </w:p>
        </w:tc>
      </w:tr>
      <w:tr w:rsidR="00C90C9C" w:rsidRPr="00C90C9C" w14:paraId="11E656C7" w14:textId="77777777" w:rsidTr="00C90C9C">
        <w:tc>
          <w:tcPr>
            <w:tcW w:w="2693" w:type="dxa"/>
          </w:tcPr>
          <w:p w14:paraId="673ED52E" w14:textId="3229BB5A" w:rsidR="00C90C9C" w:rsidRPr="00C90C9C" w:rsidRDefault="00C90C9C" w:rsidP="00CF71AF">
            <w:pPr>
              <w:pStyle w:val="TableText"/>
              <w:jc w:val="center"/>
              <w:rPr>
                <w:rFonts w:eastAsia="Arial Unicode MS"/>
              </w:rPr>
            </w:pPr>
            <w:r w:rsidRPr="00C90C9C">
              <w:t>2019</w:t>
            </w:r>
          </w:p>
        </w:tc>
        <w:tc>
          <w:tcPr>
            <w:tcW w:w="2693" w:type="dxa"/>
          </w:tcPr>
          <w:p w14:paraId="7085393F" w14:textId="0FB473B3" w:rsidR="00C90C9C" w:rsidRPr="00C90C9C" w:rsidRDefault="00C90C9C" w:rsidP="00CF71AF">
            <w:pPr>
              <w:pStyle w:val="TableText"/>
              <w:jc w:val="center"/>
              <w:rPr>
                <w:rFonts w:eastAsia="Arial Unicode MS"/>
              </w:rPr>
            </w:pPr>
            <w:r w:rsidRPr="00C90C9C">
              <w:t>68.4%</w:t>
            </w:r>
          </w:p>
        </w:tc>
        <w:tc>
          <w:tcPr>
            <w:tcW w:w="2694" w:type="dxa"/>
          </w:tcPr>
          <w:p w14:paraId="41F22989" w14:textId="326DAE98" w:rsidR="00C90C9C" w:rsidRPr="00C90C9C" w:rsidRDefault="00C90C9C" w:rsidP="00CF71AF">
            <w:pPr>
              <w:pStyle w:val="TableText"/>
              <w:jc w:val="center"/>
            </w:pPr>
            <w:r w:rsidRPr="00C90C9C">
              <w:t>31.6%</w:t>
            </w:r>
          </w:p>
        </w:tc>
      </w:tr>
      <w:tr w:rsidR="00C90C9C" w:rsidRPr="00C90C9C" w14:paraId="23786729" w14:textId="77777777" w:rsidTr="00C90C9C">
        <w:trPr>
          <w:trHeight w:val="85"/>
        </w:trPr>
        <w:tc>
          <w:tcPr>
            <w:tcW w:w="2693" w:type="dxa"/>
          </w:tcPr>
          <w:p w14:paraId="4C9BC545" w14:textId="23FE91AF" w:rsidR="00C90C9C" w:rsidRPr="00C90C9C" w:rsidRDefault="00C90C9C" w:rsidP="00CF71AF">
            <w:pPr>
              <w:pStyle w:val="TableText"/>
              <w:jc w:val="center"/>
              <w:rPr>
                <w:rFonts w:eastAsia="Arial Unicode MS"/>
              </w:rPr>
            </w:pPr>
            <w:r w:rsidRPr="00C90C9C">
              <w:t>2018</w:t>
            </w:r>
          </w:p>
        </w:tc>
        <w:tc>
          <w:tcPr>
            <w:tcW w:w="2693" w:type="dxa"/>
          </w:tcPr>
          <w:p w14:paraId="0EEBC2A8" w14:textId="25CBAE2D" w:rsidR="00C90C9C" w:rsidRPr="00C90C9C" w:rsidRDefault="00C90C9C" w:rsidP="00CF71AF">
            <w:pPr>
              <w:pStyle w:val="TableText"/>
              <w:jc w:val="center"/>
              <w:rPr>
                <w:rFonts w:eastAsia="Arial Unicode MS"/>
              </w:rPr>
            </w:pPr>
            <w:r w:rsidRPr="00C90C9C">
              <w:t>68.3%</w:t>
            </w:r>
          </w:p>
        </w:tc>
        <w:tc>
          <w:tcPr>
            <w:tcW w:w="2694" w:type="dxa"/>
          </w:tcPr>
          <w:p w14:paraId="059771AA" w14:textId="35BCB4C9" w:rsidR="00C90C9C" w:rsidRPr="00C90C9C" w:rsidRDefault="00C90C9C" w:rsidP="00CF71AF">
            <w:pPr>
              <w:pStyle w:val="TableText"/>
              <w:jc w:val="center"/>
            </w:pPr>
            <w:r w:rsidRPr="00C90C9C">
              <w:t>31.7%</w:t>
            </w:r>
          </w:p>
        </w:tc>
      </w:tr>
    </w:tbl>
    <w:p w14:paraId="2D54CA65" w14:textId="0AFC924D" w:rsidR="00C90C9C" w:rsidRDefault="00C90C9C" w:rsidP="00C90C9C">
      <w:pPr>
        <w:rPr>
          <w:rFonts w:eastAsia="Arial Unicode MS"/>
        </w:rPr>
      </w:pPr>
    </w:p>
    <w:p w14:paraId="63DCF07F" w14:textId="77777777" w:rsidR="00CF71AF" w:rsidRDefault="00CF71AF" w:rsidP="00CF71AF">
      <w:pPr>
        <w:pStyle w:val="Heading4"/>
        <w:sectPr w:rsidR="00CF71AF" w:rsidSect="00C26282">
          <w:pgSz w:w="11907" w:h="16840" w:code="9"/>
          <w:pgMar w:top="1418" w:right="1701" w:bottom="1134" w:left="1843" w:header="284" w:footer="425" w:gutter="284"/>
          <w:cols w:space="720"/>
        </w:sectPr>
      </w:pPr>
    </w:p>
    <w:p w14:paraId="56764488" w14:textId="2E031E7D" w:rsidR="00CF71AF" w:rsidRDefault="00CF71AF" w:rsidP="00CF71AF">
      <w:pPr>
        <w:pStyle w:val="Heading4"/>
      </w:pPr>
      <w:r w:rsidRPr="00CF71AF">
        <w:lastRenderedPageBreak/>
        <w:t>Gender and remuneration</w:t>
      </w: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410"/>
        <w:gridCol w:w="1890"/>
        <w:gridCol w:w="1890"/>
        <w:gridCol w:w="1890"/>
      </w:tblGrid>
      <w:tr w:rsidR="00CF71AF" w:rsidRPr="00CF71AF" w14:paraId="719701D0" w14:textId="77777777" w:rsidTr="00CF71AF">
        <w:trPr>
          <w:trHeight w:val="349"/>
        </w:trPr>
        <w:tc>
          <w:tcPr>
            <w:tcW w:w="2410" w:type="dxa"/>
            <w:tcBorders>
              <w:top w:val="nil"/>
              <w:bottom w:val="nil"/>
            </w:tcBorders>
            <w:shd w:val="clear" w:color="auto" w:fill="D9D9D9" w:themeFill="background1" w:themeFillShade="D9"/>
          </w:tcPr>
          <w:p w14:paraId="6EA22341" w14:textId="77777777" w:rsidR="00CF71AF" w:rsidRPr="00CF71AF" w:rsidRDefault="00CF71AF" w:rsidP="00CF71AF">
            <w:pPr>
              <w:pStyle w:val="TableText"/>
              <w:rPr>
                <w:b/>
                <w:bCs/>
              </w:rPr>
            </w:pPr>
          </w:p>
        </w:tc>
        <w:tc>
          <w:tcPr>
            <w:tcW w:w="1890" w:type="dxa"/>
            <w:tcBorders>
              <w:top w:val="nil"/>
              <w:bottom w:val="nil"/>
            </w:tcBorders>
            <w:shd w:val="clear" w:color="auto" w:fill="D9D9D9" w:themeFill="background1" w:themeFillShade="D9"/>
          </w:tcPr>
          <w:p w14:paraId="5D2F61A2" w14:textId="77777777" w:rsidR="00CF71AF" w:rsidRPr="00CF71AF" w:rsidRDefault="00CF71AF" w:rsidP="00CF71AF">
            <w:pPr>
              <w:pStyle w:val="TableText"/>
              <w:jc w:val="center"/>
              <w:rPr>
                <w:b/>
                <w:bCs/>
              </w:rPr>
            </w:pPr>
            <w:r w:rsidRPr="00CF71AF">
              <w:rPr>
                <w:b/>
                <w:bCs/>
              </w:rPr>
              <w:t>Females</w:t>
            </w:r>
          </w:p>
        </w:tc>
        <w:tc>
          <w:tcPr>
            <w:tcW w:w="1890" w:type="dxa"/>
            <w:tcBorders>
              <w:top w:val="nil"/>
              <w:bottom w:val="nil"/>
            </w:tcBorders>
            <w:shd w:val="clear" w:color="auto" w:fill="D9D9D9" w:themeFill="background1" w:themeFillShade="D9"/>
          </w:tcPr>
          <w:p w14:paraId="7DC168C7" w14:textId="77777777" w:rsidR="00CF71AF" w:rsidRPr="00CF71AF" w:rsidRDefault="00CF71AF" w:rsidP="00CF71AF">
            <w:pPr>
              <w:pStyle w:val="TableText"/>
              <w:jc w:val="center"/>
              <w:rPr>
                <w:b/>
                <w:bCs/>
              </w:rPr>
            </w:pPr>
            <w:r w:rsidRPr="00CF71AF">
              <w:rPr>
                <w:b/>
                <w:bCs/>
              </w:rPr>
              <w:t>Males</w:t>
            </w:r>
          </w:p>
        </w:tc>
        <w:tc>
          <w:tcPr>
            <w:tcW w:w="1890" w:type="dxa"/>
            <w:tcBorders>
              <w:top w:val="nil"/>
              <w:bottom w:val="nil"/>
            </w:tcBorders>
            <w:shd w:val="clear" w:color="auto" w:fill="D9D9D9" w:themeFill="background1" w:themeFillShade="D9"/>
          </w:tcPr>
          <w:p w14:paraId="7FDD8DD4" w14:textId="77777777" w:rsidR="00CF71AF" w:rsidRPr="00CF71AF" w:rsidRDefault="00CF71AF" w:rsidP="00CF71AF">
            <w:pPr>
              <w:pStyle w:val="TableText"/>
              <w:jc w:val="center"/>
              <w:rPr>
                <w:b/>
                <w:bCs/>
              </w:rPr>
            </w:pPr>
            <w:r w:rsidRPr="00CF71AF">
              <w:rPr>
                <w:b/>
                <w:bCs/>
              </w:rPr>
              <w:t>Total</w:t>
            </w:r>
          </w:p>
        </w:tc>
      </w:tr>
      <w:tr w:rsidR="00CF71AF" w:rsidRPr="00CF71AF" w14:paraId="64AF5155" w14:textId="77777777" w:rsidTr="00CF71AF">
        <w:trPr>
          <w:trHeight w:val="584"/>
        </w:trPr>
        <w:tc>
          <w:tcPr>
            <w:tcW w:w="2410" w:type="dxa"/>
            <w:tcBorders>
              <w:top w:val="nil"/>
            </w:tcBorders>
          </w:tcPr>
          <w:p w14:paraId="7010398A" w14:textId="2ECA2DC1" w:rsidR="00CF71AF" w:rsidRPr="00CF71AF" w:rsidRDefault="00CF71AF" w:rsidP="00CF71AF">
            <w:pPr>
              <w:pStyle w:val="TableText"/>
            </w:pPr>
            <w:r w:rsidRPr="00CF71AF">
              <w:t>$40,001– $60,000</w:t>
            </w:r>
          </w:p>
        </w:tc>
        <w:tc>
          <w:tcPr>
            <w:tcW w:w="1890" w:type="dxa"/>
            <w:tcBorders>
              <w:top w:val="nil"/>
            </w:tcBorders>
          </w:tcPr>
          <w:p w14:paraId="397C4630" w14:textId="77777777" w:rsidR="00CF71AF" w:rsidRPr="00CF71AF" w:rsidRDefault="00CF71AF" w:rsidP="00CF71AF">
            <w:pPr>
              <w:pStyle w:val="TableText"/>
              <w:jc w:val="center"/>
            </w:pPr>
            <w:r w:rsidRPr="00CF71AF">
              <w:t>33</w:t>
            </w:r>
          </w:p>
        </w:tc>
        <w:tc>
          <w:tcPr>
            <w:tcW w:w="1890" w:type="dxa"/>
            <w:tcBorders>
              <w:top w:val="nil"/>
            </w:tcBorders>
          </w:tcPr>
          <w:p w14:paraId="6F9D7E5E" w14:textId="77777777" w:rsidR="00CF71AF" w:rsidRPr="00CF71AF" w:rsidRDefault="00CF71AF" w:rsidP="00CF71AF">
            <w:pPr>
              <w:pStyle w:val="TableText"/>
              <w:jc w:val="center"/>
            </w:pPr>
            <w:r w:rsidRPr="00CF71AF">
              <w:t>11</w:t>
            </w:r>
          </w:p>
        </w:tc>
        <w:tc>
          <w:tcPr>
            <w:tcW w:w="1890" w:type="dxa"/>
            <w:tcBorders>
              <w:top w:val="nil"/>
            </w:tcBorders>
          </w:tcPr>
          <w:p w14:paraId="0805E1AD" w14:textId="77777777" w:rsidR="00CF71AF" w:rsidRPr="00CF71AF" w:rsidRDefault="00CF71AF" w:rsidP="00CF71AF">
            <w:pPr>
              <w:pStyle w:val="TableText"/>
              <w:jc w:val="center"/>
            </w:pPr>
            <w:r w:rsidRPr="00CF71AF">
              <w:t>44</w:t>
            </w:r>
          </w:p>
        </w:tc>
      </w:tr>
      <w:tr w:rsidR="00CF71AF" w:rsidRPr="00CF71AF" w14:paraId="2FED7CA4" w14:textId="77777777" w:rsidTr="00CF71AF">
        <w:trPr>
          <w:trHeight w:val="578"/>
        </w:trPr>
        <w:tc>
          <w:tcPr>
            <w:tcW w:w="2410" w:type="dxa"/>
          </w:tcPr>
          <w:p w14:paraId="2F55EB89" w14:textId="1D49FE96" w:rsidR="00CF71AF" w:rsidRPr="00CF71AF" w:rsidRDefault="00CF71AF" w:rsidP="00CF71AF">
            <w:pPr>
              <w:pStyle w:val="TableText"/>
            </w:pPr>
            <w:r w:rsidRPr="00CF71AF">
              <w:t>$60,001–$80,000</w:t>
            </w:r>
          </w:p>
        </w:tc>
        <w:tc>
          <w:tcPr>
            <w:tcW w:w="1890" w:type="dxa"/>
          </w:tcPr>
          <w:p w14:paraId="0E39C5C8" w14:textId="77777777" w:rsidR="00CF71AF" w:rsidRPr="00CF71AF" w:rsidRDefault="00CF71AF" w:rsidP="00CF71AF">
            <w:pPr>
              <w:pStyle w:val="TableText"/>
              <w:jc w:val="center"/>
            </w:pPr>
            <w:r w:rsidRPr="00CF71AF">
              <w:t>162</w:t>
            </w:r>
          </w:p>
        </w:tc>
        <w:tc>
          <w:tcPr>
            <w:tcW w:w="1890" w:type="dxa"/>
          </w:tcPr>
          <w:p w14:paraId="5965496B" w14:textId="77777777" w:rsidR="00CF71AF" w:rsidRPr="00CF71AF" w:rsidRDefault="00CF71AF" w:rsidP="00CF71AF">
            <w:pPr>
              <w:pStyle w:val="TableText"/>
              <w:jc w:val="center"/>
            </w:pPr>
            <w:r w:rsidRPr="00CF71AF">
              <w:t>42</w:t>
            </w:r>
          </w:p>
        </w:tc>
        <w:tc>
          <w:tcPr>
            <w:tcW w:w="1890" w:type="dxa"/>
          </w:tcPr>
          <w:p w14:paraId="1DBE7DD1" w14:textId="77777777" w:rsidR="00CF71AF" w:rsidRPr="00CF71AF" w:rsidRDefault="00CF71AF" w:rsidP="00CF71AF">
            <w:pPr>
              <w:pStyle w:val="TableText"/>
              <w:jc w:val="center"/>
            </w:pPr>
            <w:r w:rsidRPr="00CF71AF">
              <w:t>204</w:t>
            </w:r>
          </w:p>
        </w:tc>
      </w:tr>
      <w:tr w:rsidR="00CF71AF" w:rsidRPr="00CF71AF" w14:paraId="692CF16E" w14:textId="77777777" w:rsidTr="00CF71AF">
        <w:trPr>
          <w:trHeight w:val="578"/>
        </w:trPr>
        <w:tc>
          <w:tcPr>
            <w:tcW w:w="2410" w:type="dxa"/>
          </w:tcPr>
          <w:p w14:paraId="7BDDDDF8" w14:textId="3AB8802F" w:rsidR="00CF71AF" w:rsidRPr="00CF71AF" w:rsidRDefault="00CF71AF" w:rsidP="00CF71AF">
            <w:pPr>
              <w:pStyle w:val="TableText"/>
            </w:pPr>
            <w:r w:rsidRPr="00CF71AF">
              <w:t>$80,001–$100,000</w:t>
            </w:r>
          </w:p>
        </w:tc>
        <w:tc>
          <w:tcPr>
            <w:tcW w:w="1890" w:type="dxa"/>
          </w:tcPr>
          <w:p w14:paraId="09996224" w14:textId="77777777" w:rsidR="00CF71AF" w:rsidRPr="00CF71AF" w:rsidRDefault="00CF71AF" w:rsidP="00CF71AF">
            <w:pPr>
              <w:pStyle w:val="TableText"/>
              <w:jc w:val="center"/>
            </w:pPr>
            <w:r w:rsidRPr="00CF71AF">
              <w:t>120</w:t>
            </w:r>
          </w:p>
        </w:tc>
        <w:tc>
          <w:tcPr>
            <w:tcW w:w="1890" w:type="dxa"/>
          </w:tcPr>
          <w:p w14:paraId="5C56BA0C" w14:textId="77777777" w:rsidR="00CF71AF" w:rsidRPr="00CF71AF" w:rsidRDefault="00CF71AF" w:rsidP="00CF71AF">
            <w:pPr>
              <w:pStyle w:val="TableText"/>
              <w:jc w:val="center"/>
            </w:pPr>
            <w:r w:rsidRPr="00CF71AF">
              <w:t>52</w:t>
            </w:r>
          </w:p>
        </w:tc>
        <w:tc>
          <w:tcPr>
            <w:tcW w:w="1890" w:type="dxa"/>
          </w:tcPr>
          <w:p w14:paraId="062C3654" w14:textId="77777777" w:rsidR="00CF71AF" w:rsidRPr="00CF71AF" w:rsidRDefault="00CF71AF" w:rsidP="00CF71AF">
            <w:pPr>
              <w:pStyle w:val="TableText"/>
              <w:jc w:val="center"/>
            </w:pPr>
            <w:r w:rsidRPr="00CF71AF">
              <w:t>172</w:t>
            </w:r>
          </w:p>
        </w:tc>
      </w:tr>
      <w:tr w:rsidR="00CF71AF" w:rsidRPr="00CF71AF" w14:paraId="742CF3B6" w14:textId="77777777" w:rsidTr="00CF71AF">
        <w:trPr>
          <w:trHeight w:val="578"/>
        </w:trPr>
        <w:tc>
          <w:tcPr>
            <w:tcW w:w="2410" w:type="dxa"/>
          </w:tcPr>
          <w:p w14:paraId="64875786" w14:textId="531A4DAF" w:rsidR="00CF71AF" w:rsidRPr="00CF71AF" w:rsidRDefault="00CF71AF" w:rsidP="00CF71AF">
            <w:pPr>
              <w:pStyle w:val="TableText"/>
            </w:pPr>
            <w:r w:rsidRPr="00CF71AF">
              <w:t>$100,001–$120,000</w:t>
            </w:r>
          </w:p>
        </w:tc>
        <w:tc>
          <w:tcPr>
            <w:tcW w:w="1890" w:type="dxa"/>
          </w:tcPr>
          <w:p w14:paraId="3735AD2F" w14:textId="77777777" w:rsidR="00CF71AF" w:rsidRPr="00CF71AF" w:rsidRDefault="00CF71AF" w:rsidP="00CF71AF">
            <w:pPr>
              <w:pStyle w:val="TableText"/>
              <w:jc w:val="center"/>
            </w:pPr>
            <w:r w:rsidRPr="00CF71AF">
              <w:t>88</w:t>
            </w:r>
          </w:p>
        </w:tc>
        <w:tc>
          <w:tcPr>
            <w:tcW w:w="1890" w:type="dxa"/>
          </w:tcPr>
          <w:p w14:paraId="2141C76E" w14:textId="77777777" w:rsidR="00CF71AF" w:rsidRPr="00CF71AF" w:rsidRDefault="00CF71AF" w:rsidP="00CF71AF">
            <w:pPr>
              <w:pStyle w:val="TableText"/>
              <w:jc w:val="center"/>
            </w:pPr>
            <w:r w:rsidRPr="00CF71AF">
              <w:t>48</w:t>
            </w:r>
          </w:p>
        </w:tc>
        <w:tc>
          <w:tcPr>
            <w:tcW w:w="1890" w:type="dxa"/>
          </w:tcPr>
          <w:p w14:paraId="738C9B41" w14:textId="77777777" w:rsidR="00CF71AF" w:rsidRPr="00CF71AF" w:rsidRDefault="00CF71AF" w:rsidP="00CF71AF">
            <w:pPr>
              <w:pStyle w:val="TableText"/>
              <w:jc w:val="center"/>
            </w:pPr>
            <w:r w:rsidRPr="00CF71AF">
              <w:t>136</w:t>
            </w:r>
          </w:p>
        </w:tc>
      </w:tr>
      <w:tr w:rsidR="00CF71AF" w:rsidRPr="00CF71AF" w14:paraId="7B497AED" w14:textId="77777777" w:rsidTr="00CF71AF">
        <w:trPr>
          <w:trHeight w:val="333"/>
        </w:trPr>
        <w:tc>
          <w:tcPr>
            <w:tcW w:w="2410" w:type="dxa"/>
          </w:tcPr>
          <w:p w14:paraId="7B8E8AEB" w14:textId="77777777" w:rsidR="00CF71AF" w:rsidRPr="00CF71AF" w:rsidRDefault="00CF71AF" w:rsidP="00CF71AF">
            <w:pPr>
              <w:pStyle w:val="TableText"/>
            </w:pPr>
            <w:r w:rsidRPr="00CF71AF">
              <w:t>$120,001+</w:t>
            </w:r>
          </w:p>
        </w:tc>
        <w:tc>
          <w:tcPr>
            <w:tcW w:w="1890" w:type="dxa"/>
          </w:tcPr>
          <w:p w14:paraId="267458AD" w14:textId="77777777" w:rsidR="00CF71AF" w:rsidRPr="00CF71AF" w:rsidRDefault="00CF71AF" w:rsidP="00CF71AF">
            <w:pPr>
              <w:pStyle w:val="TableText"/>
              <w:jc w:val="center"/>
            </w:pPr>
            <w:r w:rsidRPr="00CF71AF">
              <w:t>197</w:t>
            </w:r>
          </w:p>
        </w:tc>
        <w:tc>
          <w:tcPr>
            <w:tcW w:w="1890" w:type="dxa"/>
          </w:tcPr>
          <w:p w14:paraId="587AAFB3" w14:textId="77777777" w:rsidR="00CF71AF" w:rsidRPr="00CF71AF" w:rsidRDefault="00CF71AF" w:rsidP="00CF71AF">
            <w:pPr>
              <w:pStyle w:val="TableText"/>
              <w:jc w:val="center"/>
            </w:pPr>
            <w:r w:rsidRPr="00CF71AF">
              <w:t>132</w:t>
            </w:r>
          </w:p>
        </w:tc>
        <w:tc>
          <w:tcPr>
            <w:tcW w:w="1890" w:type="dxa"/>
          </w:tcPr>
          <w:p w14:paraId="75B35179" w14:textId="77777777" w:rsidR="00CF71AF" w:rsidRPr="00CF71AF" w:rsidRDefault="00CF71AF" w:rsidP="00CF71AF">
            <w:pPr>
              <w:pStyle w:val="TableText"/>
              <w:jc w:val="center"/>
            </w:pPr>
            <w:r w:rsidRPr="00CF71AF">
              <w:t>329</w:t>
            </w:r>
          </w:p>
        </w:tc>
      </w:tr>
    </w:tbl>
    <w:p w14:paraId="68D75426" w14:textId="77777777" w:rsidR="00CF71AF" w:rsidRPr="00CF71AF" w:rsidRDefault="00CF71AF" w:rsidP="00CF71AF">
      <w:pPr>
        <w:pStyle w:val="Heading4"/>
      </w:pPr>
      <w:r w:rsidRPr="00CF71AF">
        <w:t>Average salary</w:t>
      </w:r>
    </w:p>
    <w:p w14:paraId="27C41BDC" w14:textId="77777777" w:rsidR="00CF71AF" w:rsidRPr="00CF71AF" w:rsidRDefault="00CF71AF" w:rsidP="00CF71AF">
      <w:pPr>
        <w:rPr>
          <w:rFonts w:eastAsia="Arial Unicode MS"/>
        </w:rPr>
      </w:pPr>
      <w:r w:rsidRPr="00CF71AF">
        <w:rPr>
          <w:rFonts w:eastAsia="Arial Unicode MS"/>
        </w:rPr>
        <w:t>$112,841 (4.8% increase since 2020/21)</w:t>
      </w:r>
    </w:p>
    <w:p w14:paraId="6A42129A" w14:textId="50F5C67F" w:rsidR="00CF71AF" w:rsidRPr="00CF71AF" w:rsidRDefault="00CF71AF" w:rsidP="00CF71AF">
      <w:pPr>
        <w:pStyle w:val="Heading4"/>
      </w:pPr>
      <w:r w:rsidRPr="00CF71AF">
        <w:t>Percentage of staff paid</w:t>
      </w:r>
      <w:r>
        <w:t xml:space="preserve"> </w:t>
      </w:r>
      <w:r w:rsidRPr="00CF71AF">
        <w:t>$100,000 or more</w:t>
      </w:r>
    </w:p>
    <w:p w14:paraId="03B558FA" w14:textId="7FCCE121" w:rsidR="00CF71AF" w:rsidRDefault="00CF71AF" w:rsidP="00CF71AF">
      <w:pPr>
        <w:rPr>
          <w:rFonts w:eastAsia="Arial Unicode MS"/>
        </w:rPr>
      </w:pPr>
      <w:r w:rsidRPr="00CF71AF">
        <w:rPr>
          <w:rFonts w:eastAsia="Arial Unicode MS"/>
        </w:rPr>
        <w:t>Data as at 30 June each year.</w:t>
      </w:r>
    </w:p>
    <w:p w14:paraId="71E5BDE0" w14:textId="15B22334" w:rsidR="00CF71AF" w:rsidRDefault="00CF71AF" w:rsidP="00CF71AF">
      <w:pPr>
        <w:rPr>
          <w:rFonts w:eastAsia="Arial Unicode MS"/>
        </w:rPr>
      </w:pP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4040"/>
        <w:gridCol w:w="4040"/>
      </w:tblGrid>
      <w:tr w:rsidR="00CF71AF" w:rsidRPr="00CF71AF" w14:paraId="7A9BD319" w14:textId="77777777" w:rsidTr="00CF71AF">
        <w:trPr>
          <w:trHeight w:val="338"/>
        </w:trPr>
        <w:tc>
          <w:tcPr>
            <w:tcW w:w="4040" w:type="dxa"/>
            <w:tcBorders>
              <w:top w:val="nil"/>
              <w:bottom w:val="nil"/>
            </w:tcBorders>
            <w:shd w:val="clear" w:color="auto" w:fill="D9D9D9" w:themeFill="background1" w:themeFillShade="D9"/>
          </w:tcPr>
          <w:p w14:paraId="5634BBB2" w14:textId="77777777" w:rsidR="00CF71AF" w:rsidRPr="00CF71AF" w:rsidRDefault="00CF71AF" w:rsidP="00CF71AF">
            <w:pPr>
              <w:pStyle w:val="TableText"/>
              <w:jc w:val="center"/>
              <w:rPr>
                <w:b/>
                <w:bCs/>
              </w:rPr>
            </w:pPr>
            <w:r w:rsidRPr="00CF71AF">
              <w:rPr>
                <w:b/>
                <w:bCs/>
                <w:w w:val="110"/>
              </w:rPr>
              <w:t>Year</w:t>
            </w:r>
          </w:p>
        </w:tc>
        <w:tc>
          <w:tcPr>
            <w:tcW w:w="4040" w:type="dxa"/>
            <w:tcBorders>
              <w:top w:val="nil"/>
              <w:bottom w:val="nil"/>
            </w:tcBorders>
            <w:shd w:val="clear" w:color="auto" w:fill="D9D9D9" w:themeFill="background1" w:themeFillShade="D9"/>
          </w:tcPr>
          <w:p w14:paraId="40118158" w14:textId="77777777" w:rsidR="00CF71AF" w:rsidRPr="00CF71AF" w:rsidRDefault="00CF71AF" w:rsidP="00CF71AF">
            <w:pPr>
              <w:pStyle w:val="TableText"/>
              <w:jc w:val="center"/>
              <w:rPr>
                <w:b/>
                <w:bCs/>
              </w:rPr>
            </w:pPr>
            <w:r w:rsidRPr="00CF71AF">
              <w:rPr>
                <w:b/>
                <w:bCs/>
                <w:w w:val="110"/>
              </w:rPr>
              <w:t>Percentage</w:t>
            </w:r>
            <w:r w:rsidRPr="00CF71AF">
              <w:rPr>
                <w:b/>
                <w:bCs/>
                <w:spacing w:val="-17"/>
                <w:w w:val="110"/>
              </w:rPr>
              <w:t xml:space="preserve"> </w:t>
            </w:r>
            <w:r w:rsidRPr="00CF71AF">
              <w:rPr>
                <w:b/>
                <w:bCs/>
                <w:w w:val="110"/>
              </w:rPr>
              <w:t>of</w:t>
            </w:r>
            <w:r w:rsidRPr="00CF71AF">
              <w:rPr>
                <w:b/>
                <w:bCs/>
                <w:spacing w:val="-16"/>
                <w:w w:val="110"/>
              </w:rPr>
              <w:t xml:space="preserve"> </w:t>
            </w:r>
            <w:r w:rsidRPr="00CF71AF">
              <w:rPr>
                <w:b/>
                <w:bCs/>
                <w:w w:val="110"/>
              </w:rPr>
              <w:t>staff</w:t>
            </w:r>
          </w:p>
        </w:tc>
      </w:tr>
      <w:tr w:rsidR="00CF71AF" w14:paraId="14C3F030" w14:textId="77777777" w:rsidTr="00CF71AF">
        <w:trPr>
          <w:trHeight w:val="338"/>
        </w:trPr>
        <w:tc>
          <w:tcPr>
            <w:tcW w:w="4040" w:type="dxa"/>
            <w:tcBorders>
              <w:top w:val="nil"/>
            </w:tcBorders>
          </w:tcPr>
          <w:p w14:paraId="46FE66E2" w14:textId="77777777" w:rsidR="00CF71AF" w:rsidRDefault="00CF71AF" w:rsidP="00CF71AF">
            <w:pPr>
              <w:pStyle w:val="TableText"/>
              <w:jc w:val="center"/>
            </w:pPr>
            <w:r>
              <w:rPr>
                <w:w w:val="105"/>
              </w:rPr>
              <w:t>2022</w:t>
            </w:r>
          </w:p>
        </w:tc>
        <w:tc>
          <w:tcPr>
            <w:tcW w:w="4040" w:type="dxa"/>
            <w:tcBorders>
              <w:top w:val="nil"/>
            </w:tcBorders>
          </w:tcPr>
          <w:p w14:paraId="28BDCF3C" w14:textId="77777777" w:rsidR="00CF71AF" w:rsidRDefault="00CF71AF" w:rsidP="00CF71AF">
            <w:pPr>
              <w:pStyle w:val="TableText"/>
              <w:jc w:val="center"/>
            </w:pPr>
            <w:r>
              <w:t>53.1%</w:t>
            </w:r>
          </w:p>
        </w:tc>
      </w:tr>
      <w:tr w:rsidR="00CF71AF" w14:paraId="426F3135" w14:textId="77777777" w:rsidTr="00CF71AF">
        <w:trPr>
          <w:trHeight w:val="333"/>
        </w:trPr>
        <w:tc>
          <w:tcPr>
            <w:tcW w:w="4040" w:type="dxa"/>
          </w:tcPr>
          <w:p w14:paraId="3BE22E8A" w14:textId="77777777" w:rsidR="00CF71AF" w:rsidRDefault="00CF71AF" w:rsidP="00CF71AF">
            <w:pPr>
              <w:pStyle w:val="TableText"/>
              <w:jc w:val="center"/>
            </w:pPr>
            <w:r>
              <w:t>2021</w:t>
            </w:r>
          </w:p>
        </w:tc>
        <w:tc>
          <w:tcPr>
            <w:tcW w:w="4040" w:type="dxa"/>
          </w:tcPr>
          <w:p w14:paraId="6F203A73" w14:textId="77777777" w:rsidR="00CF71AF" w:rsidRDefault="00CF71AF" w:rsidP="00CF71AF">
            <w:pPr>
              <w:pStyle w:val="TableText"/>
              <w:jc w:val="center"/>
            </w:pPr>
            <w:r>
              <w:rPr>
                <w:w w:val="105"/>
              </w:rPr>
              <w:t>48.5%</w:t>
            </w:r>
          </w:p>
        </w:tc>
      </w:tr>
    </w:tbl>
    <w:p w14:paraId="61F5EEA2" w14:textId="6D55F95C" w:rsidR="00CF71AF" w:rsidRDefault="00CF71AF" w:rsidP="00CF71AF">
      <w:pPr>
        <w:pStyle w:val="Heading4"/>
      </w:pPr>
      <w:r w:rsidRPr="00CF71AF">
        <w:t>Gender pay gap</w:t>
      </w:r>
    </w:p>
    <w:tbl>
      <w:tblPr>
        <w:tblStyle w:val="TableGrid"/>
        <w:tblW w:w="8080" w:type="dxa"/>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4040"/>
        <w:gridCol w:w="4040"/>
      </w:tblGrid>
      <w:tr w:rsidR="00CF71AF" w:rsidRPr="00C90C9C" w14:paraId="3A658E5D" w14:textId="77777777" w:rsidTr="00CF71AF">
        <w:tc>
          <w:tcPr>
            <w:tcW w:w="4040" w:type="dxa"/>
            <w:tcBorders>
              <w:top w:val="nil"/>
              <w:bottom w:val="nil"/>
            </w:tcBorders>
            <w:shd w:val="clear" w:color="auto" w:fill="D9D9D9" w:themeFill="background1" w:themeFillShade="D9"/>
          </w:tcPr>
          <w:p w14:paraId="2B9B26D4" w14:textId="63352F9B" w:rsidR="00CF71AF" w:rsidRPr="00C90C9C" w:rsidRDefault="00CF71AF" w:rsidP="00CF71AF">
            <w:pPr>
              <w:pStyle w:val="TableText"/>
              <w:jc w:val="center"/>
            </w:pPr>
            <w:r w:rsidRPr="00CF71AF">
              <w:rPr>
                <w:b/>
                <w:bCs/>
                <w:w w:val="110"/>
              </w:rPr>
              <w:t>Year</w:t>
            </w:r>
            <w:r w:rsidR="008F58C2">
              <w:rPr>
                <w:rStyle w:val="FootnoteReference"/>
                <w:b/>
                <w:bCs/>
                <w:w w:val="110"/>
              </w:rPr>
              <w:footnoteReference w:id="20"/>
            </w:r>
          </w:p>
        </w:tc>
        <w:tc>
          <w:tcPr>
            <w:tcW w:w="4040" w:type="dxa"/>
            <w:tcBorders>
              <w:top w:val="nil"/>
              <w:bottom w:val="nil"/>
            </w:tcBorders>
            <w:shd w:val="clear" w:color="auto" w:fill="D9D9D9" w:themeFill="background1" w:themeFillShade="D9"/>
          </w:tcPr>
          <w:p w14:paraId="7A2D6416" w14:textId="4962827F" w:rsidR="00CF71AF" w:rsidRPr="00CF71AF" w:rsidRDefault="008F58C2" w:rsidP="00CF71AF">
            <w:pPr>
              <w:pStyle w:val="TableText"/>
              <w:jc w:val="center"/>
            </w:pPr>
            <w:r w:rsidRPr="008F58C2">
              <w:rPr>
                <w:b/>
                <w:bCs/>
                <w:w w:val="110"/>
              </w:rPr>
              <w:t>Gender pay gap</w:t>
            </w:r>
          </w:p>
        </w:tc>
      </w:tr>
      <w:tr w:rsidR="00CF71AF" w:rsidRPr="00C90C9C" w14:paraId="377112FF" w14:textId="77777777" w:rsidTr="00CF71AF">
        <w:tc>
          <w:tcPr>
            <w:tcW w:w="4040" w:type="dxa"/>
            <w:tcBorders>
              <w:top w:val="nil"/>
            </w:tcBorders>
          </w:tcPr>
          <w:p w14:paraId="6A25F689" w14:textId="77777777" w:rsidR="00CF71AF" w:rsidRPr="00C90C9C" w:rsidRDefault="00CF71AF" w:rsidP="008762C7">
            <w:pPr>
              <w:pStyle w:val="TableText"/>
              <w:jc w:val="center"/>
              <w:rPr>
                <w:rFonts w:eastAsia="Arial Unicode MS"/>
              </w:rPr>
            </w:pPr>
            <w:r w:rsidRPr="00C90C9C">
              <w:t>2022</w:t>
            </w:r>
          </w:p>
        </w:tc>
        <w:tc>
          <w:tcPr>
            <w:tcW w:w="4040" w:type="dxa"/>
            <w:tcBorders>
              <w:top w:val="nil"/>
            </w:tcBorders>
          </w:tcPr>
          <w:p w14:paraId="572166C9" w14:textId="64CB42BA" w:rsidR="00CF71AF" w:rsidRPr="00C90C9C" w:rsidRDefault="00CF71AF" w:rsidP="008762C7">
            <w:pPr>
              <w:pStyle w:val="TableText"/>
              <w:jc w:val="center"/>
            </w:pPr>
            <w:r w:rsidRPr="00CF71AF">
              <w:t>10.7%</w:t>
            </w:r>
          </w:p>
        </w:tc>
      </w:tr>
      <w:tr w:rsidR="00CF71AF" w:rsidRPr="00C90C9C" w14:paraId="78A5B615" w14:textId="77777777" w:rsidTr="00CF71AF">
        <w:tc>
          <w:tcPr>
            <w:tcW w:w="4040" w:type="dxa"/>
          </w:tcPr>
          <w:p w14:paraId="07F2A2A6" w14:textId="77777777" w:rsidR="00CF71AF" w:rsidRPr="00C90C9C" w:rsidRDefault="00CF71AF" w:rsidP="008762C7">
            <w:pPr>
              <w:pStyle w:val="TableText"/>
              <w:jc w:val="center"/>
              <w:rPr>
                <w:rFonts w:eastAsia="Arial Unicode MS"/>
              </w:rPr>
            </w:pPr>
            <w:r w:rsidRPr="00C90C9C">
              <w:t>2021</w:t>
            </w:r>
          </w:p>
        </w:tc>
        <w:tc>
          <w:tcPr>
            <w:tcW w:w="4040" w:type="dxa"/>
          </w:tcPr>
          <w:p w14:paraId="465CFEBF" w14:textId="13E25F5E" w:rsidR="00CF71AF" w:rsidRPr="00C90C9C" w:rsidRDefault="00CF71AF" w:rsidP="008762C7">
            <w:pPr>
              <w:pStyle w:val="TableText"/>
              <w:jc w:val="center"/>
            </w:pPr>
            <w:r>
              <w:t>11.4</w:t>
            </w:r>
            <w:r w:rsidRPr="00C90C9C">
              <w:t>%</w:t>
            </w:r>
          </w:p>
        </w:tc>
      </w:tr>
      <w:tr w:rsidR="00CF71AF" w:rsidRPr="00C90C9C" w14:paraId="7DF9B82B" w14:textId="77777777" w:rsidTr="00CF71AF">
        <w:tc>
          <w:tcPr>
            <w:tcW w:w="4040" w:type="dxa"/>
          </w:tcPr>
          <w:p w14:paraId="08474C87" w14:textId="77777777" w:rsidR="00CF71AF" w:rsidRPr="00C90C9C" w:rsidRDefault="00CF71AF" w:rsidP="008762C7">
            <w:pPr>
              <w:pStyle w:val="TableText"/>
              <w:jc w:val="center"/>
              <w:rPr>
                <w:rFonts w:eastAsia="Arial Unicode MS"/>
              </w:rPr>
            </w:pPr>
            <w:r w:rsidRPr="00C90C9C">
              <w:t>2020</w:t>
            </w:r>
          </w:p>
        </w:tc>
        <w:tc>
          <w:tcPr>
            <w:tcW w:w="4040" w:type="dxa"/>
          </w:tcPr>
          <w:p w14:paraId="2FB2EB4D" w14:textId="3066233B" w:rsidR="00CF71AF" w:rsidRPr="00C90C9C" w:rsidRDefault="00CF71AF" w:rsidP="008762C7">
            <w:pPr>
              <w:pStyle w:val="TableText"/>
              <w:jc w:val="center"/>
            </w:pPr>
            <w:r>
              <w:t>14</w:t>
            </w:r>
            <w:r w:rsidRPr="00C90C9C">
              <w:t>.0%</w:t>
            </w:r>
          </w:p>
        </w:tc>
      </w:tr>
      <w:tr w:rsidR="00CF71AF" w:rsidRPr="00C90C9C" w14:paraId="0B6973FD" w14:textId="77777777" w:rsidTr="00CF71AF">
        <w:tc>
          <w:tcPr>
            <w:tcW w:w="4040" w:type="dxa"/>
          </w:tcPr>
          <w:p w14:paraId="701B4999" w14:textId="77777777" w:rsidR="00CF71AF" w:rsidRPr="00C90C9C" w:rsidRDefault="00CF71AF" w:rsidP="008762C7">
            <w:pPr>
              <w:pStyle w:val="TableText"/>
              <w:jc w:val="center"/>
              <w:rPr>
                <w:rFonts w:eastAsia="Arial Unicode MS"/>
              </w:rPr>
            </w:pPr>
            <w:r w:rsidRPr="00C90C9C">
              <w:t>2019</w:t>
            </w:r>
          </w:p>
        </w:tc>
        <w:tc>
          <w:tcPr>
            <w:tcW w:w="4040" w:type="dxa"/>
          </w:tcPr>
          <w:p w14:paraId="695C0CF1" w14:textId="2B64068A" w:rsidR="00CF71AF" w:rsidRPr="00C90C9C" w:rsidRDefault="00CF71AF" w:rsidP="008762C7">
            <w:pPr>
              <w:pStyle w:val="TableText"/>
              <w:jc w:val="center"/>
            </w:pPr>
            <w:r>
              <w:t>11.3</w:t>
            </w:r>
            <w:r w:rsidRPr="00C90C9C">
              <w:t>%</w:t>
            </w:r>
          </w:p>
        </w:tc>
      </w:tr>
      <w:tr w:rsidR="00CF71AF" w:rsidRPr="00C90C9C" w14:paraId="13AC94DB" w14:textId="77777777" w:rsidTr="00CF71AF">
        <w:trPr>
          <w:trHeight w:val="85"/>
        </w:trPr>
        <w:tc>
          <w:tcPr>
            <w:tcW w:w="4040" w:type="dxa"/>
          </w:tcPr>
          <w:p w14:paraId="67935CBE" w14:textId="77777777" w:rsidR="00CF71AF" w:rsidRPr="00C90C9C" w:rsidRDefault="00CF71AF" w:rsidP="008762C7">
            <w:pPr>
              <w:pStyle w:val="TableText"/>
              <w:jc w:val="center"/>
              <w:rPr>
                <w:rFonts w:eastAsia="Arial Unicode MS"/>
              </w:rPr>
            </w:pPr>
            <w:r w:rsidRPr="00C90C9C">
              <w:t>2018</w:t>
            </w:r>
          </w:p>
        </w:tc>
        <w:tc>
          <w:tcPr>
            <w:tcW w:w="4040" w:type="dxa"/>
          </w:tcPr>
          <w:p w14:paraId="5E7A44C1" w14:textId="777F56C5" w:rsidR="00CF71AF" w:rsidRPr="00C90C9C" w:rsidRDefault="00CF71AF" w:rsidP="008762C7">
            <w:pPr>
              <w:pStyle w:val="TableText"/>
              <w:jc w:val="center"/>
            </w:pPr>
            <w:r>
              <w:t>15.8</w:t>
            </w:r>
            <w:r w:rsidRPr="00C90C9C">
              <w:t>%</w:t>
            </w:r>
          </w:p>
        </w:tc>
      </w:tr>
    </w:tbl>
    <w:p w14:paraId="24B6CAFF" w14:textId="205A83C5" w:rsidR="00CF71AF" w:rsidRDefault="00CF71AF" w:rsidP="00C90C9C">
      <w:pPr>
        <w:rPr>
          <w:rFonts w:eastAsia="Arial Unicode MS"/>
        </w:rPr>
      </w:pPr>
    </w:p>
    <w:p w14:paraId="4B7DE3AC" w14:textId="14C8CFB5" w:rsidR="008F58C2" w:rsidRDefault="008F58C2" w:rsidP="008F58C2">
      <w:pPr>
        <w:rPr>
          <w:rFonts w:eastAsia="Arial Unicode MS"/>
        </w:rPr>
      </w:pPr>
      <w:r w:rsidRPr="008F58C2">
        <w:rPr>
          <w:rFonts w:eastAsia="Arial Unicode MS"/>
        </w:rPr>
        <w:t>The Ministry is seeing a consistent decline in its gender pay gap. This is analysed on a monthly basis by band and directorate. The Ministry is also committed to Kia Toipoto – the Public Service initiative to close the pay gaps for women, Māori, Pacific peoples and other ethnic groups in the public sector. ‘Like for like’ analyses are performed yearly to ensure that staff</w:t>
      </w:r>
      <w:r>
        <w:rPr>
          <w:rFonts w:eastAsia="Arial Unicode MS"/>
        </w:rPr>
        <w:t xml:space="preserve"> </w:t>
      </w:r>
      <w:r w:rsidRPr="008F58C2">
        <w:rPr>
          <w:rFonts w:eastAsia="Arial Unicode MS"/>
        </w:rPr>
        <w:t>are being fairly paid based on their time in their role.</w:t>
      </w:r>
    </w:p>
    <w:p w14:paraId="76D51177" w14:textId="670C03B4" w:rsidR="0007274A" w:rsidRDefault="0007274A" w:rsidP="008F58C2">
      <w:pPr>
        <w:rPr>
          <w:rFonts w:eastAsia="Arial Unicode MS"/>
        </w:rPr>
      </w:pPr>
    </w:p>
    <w:p w14:paraId="2786A2F8" w14:textId="77777777" w:rsidR="0007274A" w:rsidRPr="0007274A" w:rsidRDefault="0007274A" w:rsidP="0007274A">
      <w:pPr>
        <w:rPr>
          <w:rFonts w:eastAsia="Arial Unicode MS"/>
        </w:rPr>
      </w:pPr>
      <w:r w:rsidRPr="0007274A">
        <w:rPr>
          <w:rFonts w:eastAsia="Arial Unicode MS"/>
        </w:rPr>
        <w:t>The higher gender pay gap in 2020 and 2021 occurred as a result of the rapid growth in our workforce during the COVID-19 response.</w:t>
      </w:r>
    </w:p>
    <w:p w14:paraId="52F70BCC" w14:textId="3B1404CD" w:rsidR="0007274A" w:rsidRDefault="0007274A" w:rsidP="0007274A">
      <w:pPr>
        <w:rPr>
          <w:rFonts w:eastAsia="Arial Unicode MS"/>
        </w:rPr>
      </w:pPr>
      <w:r w:rsidRPr="0007274A">
        <w:rPr>
          <w:rFonts w:eastAsia="Arial Unicode MS"/>
        </w:rPr>
        <w:lastRenderedPageBreak/>
        <w:t>As a result of this growth, the staff employed on fixed-term contracts expiring during 2021/22, and staff being transferred to Te Whatu Ora and Te Aka Whai Ora before 1 July 2022, has resulted in the overall gender pay gap within the Ministry decreasing – from 11.4% in 2021 to 10.7% in</w:t>
      </w:r>
      <w:r>
        <w:rPr>
          <w:rFonts w:eastAsia="Arial Unicode MS"/>
        </w:rPr>
        <w:t xml:space="preserve"> </w:t>
      </w:r>
      <w:r w:rsidRPr="0007274A">
        <w:rPr>
          <w:rFonts w:eastAsia="Arial Unicode MS"/>
        </w:rPr>
        <w:t>2022.</w:t>
      </w:r>
    </w:p>
    <w:p w14:paraId="455C869B" w14:textId="58841574" w:rsidR="0007274A" w:rsidRDefault="0007274A" w:rsidP="0007274A">
      <w:pPr>
        <w:pStyle w:val="Heading4"/>
      </w:pPr>
      <w:r w:rsidRPr="0007274A">
        <w:t>Ethnic pay gap</w:t>
      </w:r>
    </w:p>
    <w:tbl>
      <w:tblPr>
        <w:tblW w:w="0" w:type="auto"/>
        <w:tblBorders>
          <w:bottom w:val="single" w:sz="8" w:space="0" w:color="A6A6A6" w:themeColor="background1" w:themeShade="A6"/>
          <w:insideH w:val="single" w:sz="8" w:space="0" w:color="A6A6A6" w:themeColor="background1" w:themeShade="A6"/>
        </w:tblBorders>
        <w:tblLayout w:type="fixed"/>
        <w:tblCellMar>
          <w:left w:w="0" w:type="dxa"/>
          <w:right w:w="0" w:type="dxa"/>
        </w:tblCellMar>
        <w:tblLook w:val="01E0" w:firstRow="1" w:lastRow="1" w:firstColumn="1" w:lastColumn="1" w:noHBand="0" w:noVBand="0"/>
      </w:tblPr>
      <w:tblGrid>
        <w:gridCol w:w="4036"/>
        <w:gridCol w:w="1809"/>
        <w:gridCol w:w="1810"/>
      </w:tblGrid>
      <w:tr w:rsidR="0007274A" w:rsidRPr="0007274A" w14:paraId="2D7CEE1F" w14:textId="77777777" w:rsidTr="0007274A">
        <w:trPr>
          <w:trHeight w:val="349"/>
        </w:trPr>
        <w:tc>
          <w:tcPr>
            <w:tcW w:w="4036" w:type="dxa"/>
            <w:tcBorders>
              <w:top w:val="nil"/>
              <w:bottom w:val="nil"/>
            </w:tcBorders>
            <w:shd w:val="clear" w:color="auto" w:fill="D9D9D9" w:themeFill="background1" w:themeFillShade="D9"/>
          </w:tcPr>
          <w:p w14:paraId="3A680CC3" w14:textId="77777777" w:rsidR="0007274A" w:rsidRPr="0007274A" w:rsidRDefault="0007274A" w:rsidP="0007274A">
            <w:pPr>
              <w:pStyle w:val="TableText"/>
              <w:rPr>
                <w:b/>
                <w:bCs/>
              </w:rPr>
            </w:pPr>
            <w:r w:rsidRPr="0007274A">
              <w:rPr>
                <w:b/>
                <w:bCs/>
                <w:w w:val="105"/>
              </w:rPr>
              <w:t>Ethnicity</w:t>
            </w:r>
          </w:p>
        </w:tc>
        <w:tc>
          <w:tcPr>
            <w:tcW w:w="1809" w:type="dxa"/>
            <w:tcBorders>
              <w:top w:val="nil"/>
              <w:bottom w:val="nil"/>
            </w:tcBorders>
            <w:shd w:val="clear" w:color="auto" w:fill="D9D9D9" w:themeFill="background1" w:themeFillShade="D9"/>
          </w:tcPr>
          <w:p w14:paraId="44BE7679" w14:textId="77777777" w:rsidR="0007274A" w:rsidRPr="0007274A" w:rsidRDefault="0007274A" w:rsidP="0007274A">
            <w:pPr>
              <w:pStyle w:val="TableText"/>
              <w:ind w:right="170"/>
              <w:jc w:val="right"/>
              <w:rPr>
                <w:b/>
                <w:bCs/>
              </w:rPr>
            </w:pPr>
            <w:r w:rsidRPr="0007274A">
              <w:rPr>
                <w:b/>
                <w:bCs/>
                <w:w w:val="105"/>
              </w:rPr>
              <w:t>2022</w:t>
            </w:r>
          </w:p>
        </w:tc>
        <w:tc>
          <w:tcPr>
            <w:tcW w:w="1810" w:type="dxa"/>
            <w:tcBorders>
              <w:top w:val="nil"/>
              <w:bottom w:val="nil"/>
            </w:tcBorders>
            <w:shd w:val="clear" w:color="auto" w:fill="D9D9D9" w:themeFill="background1" w:themeFillShade="D9"/>
          </w:tcPr>
          <w:p w14:paraId="59D3CD6E" w14:textId="77777777" w:rsidR="0007274A" w:rsidRPr="0007274A" w:rsidRDefault="0007274A" w:rsidP="0007274A">
            <w:pPr>
              <w:pStyle w:val="TableText"/>
              <w:ind w:right="170"/>
              <w:jc w:val="right"/>
              <w:rPr>
                <w:b/>
                <w:bCs/>
              </w:rPr>
            </w:pPr>
            <w:r w:rsidRPr="0007274A">
              <w:rPr>
                <w:b/>
                <w:bCs/>
              </w:rPr>
              <w:t>2021</w:t>
            </w:r>
          </w:p>
        </w:tc>
      </w:tr>
      <w:tr w:rsidR="0007274A" w14:paraId="452D474D" w14:textId="77777777" w:rsidTr="0007274A">
        <w:trPr>
          <w:trHeight w:val="343"/>
        </w:trPr>
        <w:tc>
          <w:tcPr>
            <w:tcW w:w="4036" w:type="dxa"/>
            <w:tcBorders>
              <w:top w:val="nil"/>
            </w:tcBorders>
          </w:tcPr>
          <w:p w14:paraId="2CC7EA16" w14:textId="77777777" w:rsidR="0007274A" w:rsidRDefault="0007274A" w:rsidP="0007274A">
            <w:pPr>
              <w:pStyle w:val="TableText"/>
            </w:pPr>
            <w:r>
              <w:rPr>
                <w:w w:val="105"/>
              </w:rPr>
              <w:t>Asian</w:t>
            </w:r>
          </w:p>
        </w:tc>
        <w:tc>
          <w:tcPr>
            <w:tcW w:w="1809" w:type="dxa"/>
            <w:tcBorders>
              <w:top w:val="nil"/>
            </w:tcBorders>
          </w:tcPr>
          <w:p w14:paraId="0C6C2B22" w14:textId="77777777" w:rsidR="0007274A" w:rsidRDefault="0007274A" w:rsidP="0007274A">
            <w:pPr>
              <w:pStyle w:val="TableText"/>
              <w:ind w:right="170"/>
              <w:jc w:val="right"/>
            </w:pPr>
            <w:r>
              <w:t>10.0%</w:t>
            </w:r>
          </w:p>
        </w:tc>
        <w:tc>
          <w:tcPr>
            <w:tcW w:w="1810" w:type="dxa"/>
            <w:tcBorders>
              <w:top w:val="nil"/>
            </w:tcBorders>
          </w:tcPr>
          <w:p w14:paraId="2CBF625D" w14:textId="77777777" w:rsidR="0007274A" w:rsidRDefault="0007274A" w:rsidP="0007274A">
            <w:pPr>
              <w:pStyle w:val="TableText"/>
              <w:ind w:right="170"/>
              <w:jc w:val="right"/>
            </w:pPr>
            <w:r>
              <w:t>14.2%</w:t>
            </w:r>
          </w:p>
        </w:tc>
      </w:tr>
      <w:tr w:rsidR="0007274A" w14:paraId="57FCE2B6" w14:textId="77777777" w:rsidTr="0007274A">
        <w:trPr>
          <w:trHeight w:val="338"/>
        </w:trPr>
        <w:tc>
          <w:tcPr>
            <w:tcW w:w="4036" w:type="dxa"/>
          </w:tcPr>
          <w:p w14:paraId="751533AE" w14:textId="77777777" w:rsidR="0007274A" w:rsidRDefault="0007274A" w:rsidP="0007274A">
            <w:pPr>
              <w:pStyle w:val="TableText"/>
            </w:pPr>
            <w:r>
              <w:t>European</w:t>
            </w:r>
          </w:p>
        </w:tc>
        <w:tc>
          <w:tcPr>
            <w:tcW w:w="1809" w:type="dxa"/>
          </w:tcPr>
          <w:p w14:paraId="496C8AD4" w14:textId="77777777" w:rsidR="0007274A" w:rsidRDefault="0007274A" w:rsidP="0007274A">
            <w:pPr>
              <w:pStyle w:val="TableText"/>
              <w:ind w:right="170"/>
              <w:jc w:val="right"/>
            </w:pPr>
            <w:r>
              <w:rPr>
                <w:w w:val="110"/>
              </w:rPr>
              <w:t>–8.4%</w:t>
            </w:r>
          </w:p>
        </w:tc>
        <w:tc>
          <w:tcPr>
            <w:tcW w:w="1810" w:type="dxa"/>
          </w:tcPr>
          <w:p w14:paraId="6416C127" w14:textId="77777777" w:rsidR="0007274A" w:rsidRDefault="0007274A" w:rsidP="0007274A">
            <w:pPr>
              <w:pStyle w:val="TableText"/>
              <w:ind w:right="170"/>
              <w:jc w:val="right"/>
            </w:pPr>
            <w:r>
              <w:t>–13.8%</w:t>
            </w:r>
          </w:p>
        </w:tc>
      </w:tr>
      <w:tr w:rsidR="0007274A" w14:paraId="0D805F61" w14:textId="77777777" w:rsidTr="0007274A">
        <w:trPr>
          <w:trHeight w:val="393"/>
        </w:trPr>
        <w:tc>
          <w:tcPr>
            <w:tcW w:w="4036" w:type="dxa"/>
          </w:tcPr>
          <w:p w14:paraId="1B924F63" w14:textId="77777777" w:rsidR="0007274A" w:rsidRDefault="0007274A" w:rsidP="0007274A">
            <w:pPr>
              <w:pStyle w:val="TableText"/>
            </w:pPr>
            <w:r>
              <w:t>Middle Eastern, Latin</w:t>
            </w:r>
            <w:r>
              <w:rPr>
                <w:spacing w:val="1"/>
              </w:rPr>
              <w:t xml:space="preserve"> </w:t>
            </w:r>
            <w:r>
              <w:t>American,</w:t>
            </w:r>
            <w:r>
              <w:rPr>
                <w:spacing w:val="-10"/>
              </w:rPr>
              <w:t xml:space="preserve"> </w:t>
            </w:r>
            <w:r>
              <w:t>African</w:t>
            </w:r>
            <w:r>
              <w:rPr>
                <w:spacing w:val="-9"/>
              </w:rPr>
              <w:t xml:space="preserve"> </w:t>
            </w:r>
            <w:r>
              <w:t>(MELAA)</w:t>
            </w:r>
          </w:p>
        </w:tc>
        <w:tc>
          <w:tcPr>
            <w:tcW w:w="1809" w:type="dxa"/>
          </w:tcPr>
          <w:p w14:paraId="56FC58B0" w14:textId="77777777" w:rsidR="0007274A" w:rsidRDefault="0007274A" w:rsidP="0007274A">
            <w:pPr>
              <w:pStyle w:val="TableText"/>
              <w:ind w:right="170"/>
              <w:jc w:val="right"/>
            </w:pPr>
            <w:r>
              <w:t>NA</w:t>
            </w:r>
          </w:p>
        </w:tc>
        <w:tc>
          <w:tcPr>
            <w:tcW w:w="1810" w:type="dxa"/>
          </w:tcPr>
          <w:p w14:paraId="29E33BF8" w14:textId="77777777" w:rsidR="0007274A" w:rsidRDefault="0007274A" w:rsidP="0007274A">
            <w:pPr>
              <w:pStyle w:val="TableText"/>
              <w:ind w:right="170"/>
              <w:jc w:val="right"/>
            </w:pPr>
            <w:r>
              <w:t>NA</w:t>
            </w:r>
          </w:p>
        </w:tc>
      </w:tr>
      <w:tr w:rsidR="0007274A" w14:paraId="4FD4B983" w14:textId="77777777" w:rsidTr="0007274A">
        <w:trPr>
          <w:trHeight w:val="338"/>
        </w:trPr>
        <w:tc>
          <w:tcPr>
            <w:tcW w:w="4036" w:type="dxa"/>
          </w:tcPr>
          <w:p w14:paraId="10D7CE41" w14:textId="77777777" w:rsidR="0007274A" w:rsidRDefault="0007274A" w:rsidP="0007274A">
            <w:pPr>
              <w:pStyle w:val="TableText"/>
            </w:pPr>
            <w:r>
              <w:t>New Zealand Māori</w:t>
            </w:r>
          </w:p>
        </w:tc>
        <w:tc>
          <w:tcPr>
            <w:tcW w:w="1809" w:type="dxa"/>
          </w:tcPr>
          <w:p w14:paraId="42104810" w14:textId="77777777" w:rsidR="0007274A" w:rsidRDefault="0007274A" w:rsidP="0007274A">
            <w:pPr>
              <w:pStyle w:val="TableText"/>
              <w:ind w:right="170"/>
              <w:jc w:val="right"/>
            </w:pPr>
            <w:r>
              <w:t>2.5%</w:t>
            </w:r>
          </w:p>
        </w:tc>
        <w:tc>
          <w:tcPr>
            <w:tcW w:w="1810" w:type="dxa"/>
          </w:tcPr>
          <w:p w14:paraId="05A96D5A" w14:textId="77777777" w:rsidR="0007274A" w:rsidRDefault="0007274A" w:rsidP="0007274A">
            <w:pPr>
              <w:pStyle w:val="TableText"/>
              <w:ind w:right="170"/>
              <w:jc w:val="right"/>
            </w:pPr>
            <w:r>
              <w:rPr>
                <w:w w:val="95"/>
              </w:rPr>
              <w:t>1.2%</w:t>
            </w:r>
          </w:p>
        </w:tc>
      </w:tr>
      <w:tr w:rsidR="0007274A" w14:paraId="5C2D6B80" w14:textId="77777777" w:rsidTr="0007274A">
        <w:trPr>
          <w:trHeight w:val="338"/>
        </w:trPr>
        <w:tc>
          <w:tcPr>
            <w:tcW w:w="4036" w:type="dxa"/>
          </w:tcPr>
          <w:p w14:paraId="2EDDA9B0" w14:textId="77777777" w:rsidR="0007274A" w:rsidRDefault="0007274A" w:rsidP="0007274A">
            <w:pPr>
              <w:pStyle w:val="TableText"/>
            </w:pPr>
            <w:r>
              <w:t>Other</w:t>
            </w:r>
            <w:r>
              <w:rPr>
                <w:spacing w:val="6"/>
              </w:rPr>
              <w:t xml:space="preserve"> </w:t>
            </w:r>
            <w:r>
              <w:t>ethnic</w:t>
            </w:r>
            <w:r>
              <w:rPr>
                <w:spacing w:val="7"/>
              </w:rPr>
              <w:t xml:space="preserve"> </w:t>
            </w:r>
            <w:r>
              <w:t>group</w:t>
            </w:r>
          </w:p>
        </w:tc>
        <w:tc>
          <w:tcPr>
            <w:tcW w:w="1809" w:type="dxa"/>
          </w:tcPr>
          <w:p w14:paraId="08C38947" w14:textId="77777777" w:rsidR="0007274A" w:rsidRDefault="0007274A" w:rsidP="0007274A">
            <w:pPr>
              <w:pStyle w:val="TableText"/>
              <w:ind w:right="170"/>
              <w:jc w:val="right"/>
            </w:pPr>
            <w:r>
              <w:t>NA</w:t>
            </w:r>
          </w:p>
        </w:tc>
        <w:tc>
          <w:tcPr>
            <w:tcW w:w="1810" w:type="dxa"/>
          </w:tcPr>
          <w:p w14:paraId="50760F15" w14:textId="77777777" w:rsidR="0007274A" w:rsidRDefault="0007274A" w:rsidP="0007274A">
            <w:pPr>
              <w:pStyle w:val="TableText"/>
              <w:ind w:right="170"/>
              <w:jc w:val="right"/>
            </w:pPr>
            <w:r>
              <w:t>NA</w:t>
            </w:r>
          </w:p>
        </w:tc>
      </w:tr>
      <w:tr w:rsidR="0007274A" w14:paraId="0D0ECD6E" w14:textId="77777777" w:rsidTr="0007274A">
        <w:trPr>
          <w:trHeight w:val="338"/>
        </w:trPr>
        <w:tc>
          <w:tcPr>
            <w:tcW w:w="4036" w:type="dxa"/>
          </w:tcPr>
          <w:p w14:paraId="5581E34B" w14:textId="77777777" w:rsidR="0007274A" w:rsidRDefault="0007274A" w:rsidP="0007274A">
            <w:pPr>
              <w:pStyle w:val="TableText"/>
            </w:pPr>
            <w:r>
              <w:t>Pacific</w:t>
            </w:r>
            <w:r>
              <w:rPr>
                <w:spacing w:val="5"/>
              </w:rPr>
              <w:t xml:space="preserve"> </w:t>
            </w:r>
            <w:r>
              <w:t>peoples</w:t>
            </w:r>
          </w:p>
        </w:tc>
        <w:tc>
          <w:tcPr>
            <w:tcW w:w="1809" w:type="dxa"/>
          </w:tcPr>
          <w:p w14:paraId="72F98D42" w14:textId="77777777" w:rsidR="0007274A" w:rsidRDefault="0007274A" w:rsidP="0007274A">
            <w:pPr>
              <w:pStyle w:val="TableText"/>
              <w:ind w:right="170"/>
              <w:jc w:val="right"/>
            </w:pPr>
            <w:r>
              <w:t>12.3%</w:t>
            </w:r>
          </w:p>
        </w:tc>
        <w:tc>
          <w:tcPr>
            <w:tcW w:w="1810" w:type="dxa"/>
          </w:tcPr>
          <w:p w14:paraId="6AAD1516" w14:textId="77777777" w:rsidR="0007274A" w:rsidRDefault="0007274A" w:rsidP="0007274A">
            <w:pPr>
              <w:pStyle w:val="TableText"/>
              <w:ind w:right="170"/>
              <w:jc w:val="right"/>
            </w:pPr>
            <w:r>
              <w:t>17.7%</w:t>
            </w:r>
          </w:p>
        </w:tc>
      </w:tr>
      <w:tr w:rsidR="0007274A" w14:paraId="3FCE5E10" w14:textId="77777777" w:rsidTr="0007274A">
        <w:trPr>
          <w:trHeight w:val="333"/>
        </w:trPr>
        <w:tc>
          <w:tcPr>
            <w:tcW w:w="4036" w:type="dxa"/>
          </w:tcPr>
          <w:p w14:paraId="0BEB9FAC" w14:textId="77777777" w:rsidR="0007274A" w:rsidRDefault="0007274A" w:rsidP="0007274A">
            <w:pPr>
              <w:pStyle w:val="TableText"/>
            </w:pPr>
            <w:r>
              <w:t>Unknown</w:t>
            </w:r>
          </w:p>
        </w:tc>
        <w:tc>
          <w:tcPr>
            <w:tcW w:w="1809" w:type="dxa"/>
          </w:tcPr>
          <w:p w14:paraId="6959517D" w14:textId="77777777" w:rsidR="0007274A" w:rsidRDefault="0007274A" w:rsidP="0007274A">
            <w:pPr>
              <w:pStyle w:val="TableText"/>
              <w:ind w:right="170"/>
              <w:jc w:val="right"/>
            </w:pPr>
            <w:r>
              <w:t>NA</w:t>
            </w:r>
          </w:p>
        </w:tc>
        <w:tc>
          <w:tcPr>
            <w:tcW w:w="1810" w:type="dxa"/>
          </w:tcPr>
          <w:p w14:paraId="2298179B" w14:textId="77777777" w:rsidR="0007274A" w:rsidRDefault="0007274A" w:rsidP="0007274A">
            <w:pPr>
              <w:pStyle w:val="TableText"/>
              <w:ind w:right="170"/>
              <w:jc w:val="right"/>
            </w:pPr>
            <w:r>
              <w:t>NA</w:t>
            </w:r>
          </w:p>
        </w:tc>
      </w:tr>
    </w:tbl>
    <w:p w14:paraId="642239FD" w14:textId="77777777" w:rsidR="00A9559A" w:rsidRPr="00A9559A" w:rsidRDefault="00A9559A" w:rsidP="00A9559A">
      <w:pPr>
        <w:pStyle w:val="Note"/>
        <w:rPr>
          <w:rFonts w:eastAsia="Arial Unicode MS"/>
        </w:rPr>
      </w:pPr>
      <w:r w:rsidRPr="00A9559A">
        <w:rPr>
          <w:rFonts w:eastAsia="Arial Unicode MS"/>
        </w:rPr>
        <w:t>Note: NA applies where one ethnic group did not have more than 20 employees.</w:t>
      </w:r>
    </w:p>
    <w:p w14:paraId="5E37D689" w14:textId="46B18C89" w:rsidR="0007274A" w:rsidRDefault="00A9559A" w:rsidP="00A9559A">
      <w:pPr>
        <w:pStyle w:val="Note"/>
        <w:rPr>
          <w:rFonts w:eastAsia="Arial Unicode MS"/>
        </w:rPr>
      </w:pPr>
      <w:r w:rsidRPr="00A9559A">
        <w:rPr>
          <w:rFonts w:eastAsia="Arial Unicode MS"/>
        </w:rPr>
        <w:t>Where an employee has identified multiple ethnicities, their data is counted within each group</w:t>
      </w:r>
      <w:r>
        <w:rPr>
          <w:rFonts w:eastAsia="Arial Unicode MS"/>
        </w:rPr>
        <w:t xml:space="preserve"> </w:t>
      </w:r>
      <w:r w:rsidRPr="00A9559A">
        <w:rPr>
          <w:rFonts w:eastAsia="Arial Unicode MS"/>
        </w:rPr>
        <w:t>declared.</w:t>
      </w:r>
    </w:p>
    <w:p w14:paraId="39521C38" w14:textId="77777777" w:rsidR="00A9559A" w:rsidRPr="00A9559A" w:rsidRDefault="00A9559A" w:rsidP="00A9559A">
      <w:pPr>
        <w:pStyle w:val="Heading3"/>
      </w:pPr>
      <w:bookmarkStart w:id="33" w:name="_Toc117264941"/>
      <w:r w:rsidRPr="00A9559A">
        <w:t>Modernising the Ministry</w:t>
      </w:r>
      <w:bookmarkEnd w:id="33"/>
    </w:p>
    <w:p w14:paraId="1E1165FD" w14:textId="77777777" w:rsidR="00A9559A" w:rsidRPr="00A9559A" w:rsidRDefault="00A9559A" w:rsidP="00A9559A">
      <w:pPr>
        <w:pStyle w:val="Heading4"/>
      </w:pPr>
      <w:r w:rsidRPr="00A9559A">
        <w:t>Improving the IT infrastructure of the Ministry</w:t>
      </w:r>
    </w:p>
    <w:p w14:paraId="1C8265FE" w14:textId="77777777" w:rsidR="00A9559A" w:rsidRPr="00A9559A" w:rsidRDefault="00A9559A" w:rsidP="00A9559A">
      <w:pPr>
        <w:rPr>
          <w:rFonts w:eastAsia="Arial Unicode MS"/>
        </w:rPr>
      </w:pPr>
      <w:r w:rsidRPr="00A9559A">
        <w:rPr>
          <w:rFonts w:eastAsia="Arial Unicode MS"/>
        </w:rPr>
        <w:t>The Ministry upgraded its IT technology and provided staff with the tools they need to work productively in cooperative working environments and built the ability for our staff to be fully mobile. These were important tools to both keep our people safe and to enable working at the different COVID-19 alert levels.</w:t>
      </w:r>
    </w:p>
    <w:p w14:paraId="518F74E6" w14:textId="77777777" w:rsidR="00A9559A" w:rsidRPr="00A9559A" w:rsidRDefault="00A9559A" w:rsidP="00A9559A">
      <w:pPr>
        <w:rPr>
          <w:rFonts w:eastAsia="Arial Unicode MS"/>
        </w:rPr>
      </w:pPr>
      <w:r w:rsidRPr="00A9559A">
        <w:rPr>
          <w:rFonts w:eastAsia="Arial Unicode MS"/>
        </w:rPr>
        <w:t xml:space="preserve"> </w:t>
      </w:r>
    </w:p>
    <w:p w14:paraId="07847B2B" w14:textId="77777777" w:rsidR="00A9559A" w:rsidRPr="00A9559A" w:rsidRDefault="00A9559A" w:rsidP="00A9559A">
      <w:pPr>
        <w:rPr>
          <w:rFonts w:eastAsia="Arial Unicode MS"/>
        </w:rPr>
      </w:pPr>
      <w:r w:rsidRPr="00A9559A">
        <w:rPr>
          <w:rFonts w:eastAsia="Arial Unicode MS"/>
        </w:rPr>
        <w:t>The changes were made under a work programme called Modernising the Ministry. They included:</w:t>
      </w:r>
    </w:p>
    <w:p w14:paraId="0075CB69" w14:textId="24E39A2B" w:rsidR="00A9559A" w:rsidRPr="00A9559A" w:rsidRDefault="00A9559A" w:rsidP="00A9559A">
      <w:pPr>
        <w:pStyle w:val="Bullet"/>
        <w:rPr>
          <w:rFonts w:eastAsia="Arial Unicode MS"/>
        </w:rPr>
      </w:pPr>
      <w:r w:rsidRPr="00A9559A">
        <w:rPr>
          <w:rFonts w:eastAsia="Arial Unicode MS"/>
        </w:rPr>
        <w:t>Launching and rolling out ‘Bring Your Own Mobile’. This enables staff to access their work email, Microsoft Office and Microsoft Teams securely from their own mobile device.</w:t>
      </w:r>
    </w:p>
    <w:p w14:paraId="73AD8E2F" w14:textId="399EA5E5" w:rsidR="00A9559A" w:rsidRPr="00A9559A" w:rsidRDefault="00A9559A" w:rsidP="00A9559A">
      <w:pPr>
        <w:pStyle w:val="Bullet"/>
        <w:rPr>
          <w:rFonts w:eastAsia="Arial Unicode MS"/>
        </w:rPr>
      </w:pPr>
      <w:r w:rsidRPr="00A9559A">
        <w:rPr>
          <w:rFonts w:eastAsia="Arial Unicode MS"/>
        </w:rPr>
        <w:t>Introducing Microsoft SharePoint, compliant with the New Zealand Public Records Act, to ultimately replace the Lotus Notes document management system that we have used for the last 27 years. This was done in under four months. A lot of work was also done to prepare for the migration of tens of millions of documents out of Lotus Notes Cabinets to their new destinations within the three new external entities (Health New Zealand, Māori Health Authority, and the Ministry for Disabled People) and the Ministry of Health.</w:t>
      </w:r>
    </w:p>
    <w:p w14:paraId="5152BB98" w14:textId="1C2270FA" w:rsidR="00A9559A" w:rsidRPr="00A9559A" w:rsidRDefault="00A9559A" w:rsidP="00A9559A">
      <w:pPr>
        <w:pStyle w:val="Bullet"/>
        <w:rPr>
          <w:rFonts w:eastAsia="Arial Unicode MS"/>
        </w:rPr>
      </w:pPr>
      <w:r w:rsidRPr="00A9559A">
        <w:rPr>
          <w:rFonts w:eastAsia="Arial Unicode MS"/>
        </w:rPr>
        <w:t>‘SharePoint 101’ training was delivered to over 600 of our staff. Attendees included a significant number of staff who were destined to move to Health New Zealand.</w:t>
      </w:r>
    </w:p>
    <w:p w14:paraId="6DF38424" w14:textId="022AA894" w:rsidR="00A9559A" w:rsidRPr="00A9559A" w:rsidRDefault="00A9559A" w:rsidP="00A9559A">
      <w:pPr>
        <w:pStyle w:val="Bullet"/>
        <w:rPr>
          <w:rFonts w:eastAsia="Arial Unicode MS"/>
        </w:rPr>
      </w:pPr>
      <w:r w:rsidRPr="00A9559A">
        <w:rPr>
          <w:rFonts w:eastAsia="Arial Unicode MS"/>
        </w:rPr>
        <w:t xml:space="preserve">We started Lotus Notes migration towards the retirement of this software. To achieve this 11 databases were migrated and 54 databases were deleted. There are </w:t>
      </w:r>
      <w:r w:rsidRPr="00A9559A">
        <w:rPr>
          <w:rFonts w:eastAsia="Arial Unicode MS"/>
        </w:rPr>
        <w:lastRenderedPageBreak/>
        <w:t>over 266 databases still to go. Ten applications were re- developed, leaving 40 applications still requiring migration or deletion.</w:t>
      </w:r>
    </w:p>
    <w:p w14:paraId="322155AF" w14:textId="2E09BD10" w:rsidR="00A9559A" w:rsidRPr="00A9559A" w:rsidRDefault="00A9559A" w:rsidP="00A9559A">
      <w:pPr>
        <w:pStyle w:val="Bullet"/>
        <w:rPr>
          <w:rFonts w:eastAsia="Arial Unicode MS"/>
        </w:rPr>
      </w:pPr>
      <w:r w:rsidRPr="00A9559A">
        <w:rPr>
          <w:rFonts w:eastAsia="Arial Unicode MS"/>
        </w:rPr>
        <w:t>We were able to reduce the number of Lotus Notes licences from 4,004 licences in May to 2,134 licences by the end of June. This will result in savings of $500k per year for Lotus Notes software, at contract renewal time at the end of July 2022.</w:t>
      </w:r>
    </w:p>
    <w:p w14:paraId="666B95B8" w14:textId="6755BDEA" w:rsidR="00A9559A" w:rsidRPr="00A9559A" w:rsidRDefault="00A9559A" w:rsidP="00A9559A">
      <w:pPr>
        <w:pStyle w:val="Bullet"/>
        <w:rPr>
          <w:rFonts w:eastAsia="Arial Unicode MS"/>
        </w:rPr>
      </w:pPr>
      <w:r w:rsidRPr="00A9559A">
        <w:rPr>
          <w:rFonts w:eastAsia="Arial Unicode MS"/>
        </w:rPr>
        <w:t>We replaced CISCO Jabber and deployed Teams External Calling. This software allows our people to make calls to external numbers from Microsoft Teams. Over 2,150 accounts were set up in the rollout. 900 inactive Jabber licences were removed in the process (with accompanying cost savings).</w:t>
      </w:r>
    </w:p>
    <w:p w14:paraId="7FBB31AD" w14:textId="40A7408D" w:rsidR="00A9559A" w:rsidRPr="00A9559A" w:rsidRDefault="00A9559A" w:rsidP="00A9559A">
      <w:pPr>
        <w:pStyle w:val="Bullet"/>
        <w:rPr>
          <w:rFonts w:eastAsia="Arial Unicode MS"/>
        </w:rPr>
      </w:pPr>
      <w:r w:rsidRPr="00A9559A">
        <w:rPr>
          <w:rFonts w:eastAsia="Arial Unicode MS"/>
        </w:rPr>
        <w:t>Backups of data in our Microsoft cloud tenancy commenced with over 81 million emails, 370,000 folders, and more than 15TB in data was backed up over the Matariki long weekend in June 2022. This was the first use of a significant new backup capability we have implemented.</w:t>
      </w:r>
    </w:p>
    <w:p w14:paraId="1E1D54D9" w14:textId="4B046184" w:rsidR="00A9559A" w:rsidRPr="00A9559A" w:rsidRDefault="00A9559A" w:rsidP="00A9559A">
      <w:pPr>
        <w:pStyle w:val="Bullet"/>
        <w:rPr>
          <w:rFonts w:eastAsia="Arial Unicode MS"/>
        </w:rPr>
      </w:pPr>
      <w:r w:rsidRPr="00A9559A">
        <w:rPr>
          <w:rFonts w:eastAsia="Arial Unicode MS"/>
        </w:rPr>
        <w:t>We assisted Health New Zealand and other health sector colleagues with multiple different point-to-point migrations of data and information from Ministry of Health repositories to new homes in those agencies (as part of the progress toward implementing the health and disability sector reforms).</w:t>
      </w:r>
    </w:p>
    <w:p w14:paraId="664CD46F" w14:textId="5151A863" w:rsidR="00A9559A" w:rsidRPr="00A9559A" w:rsidRDefault="00A9559A" w:rsidP="00A9559A">
      <w:pPr>
        <w:pStyle w:val="Bullet"/>
        <w:rPr>
          <w:rFonts w:eastAsia="Arial Unicode MS"/>
        </w:rPr>
      </w:pPr>
      <w:r w:rsidRPr="00A9559A">
        <w:rPr>
          <w:rFonts w:eastAsia="Arial Unicode MS"/>
        </w:rPr>
        <w:t>We continued work on getting the most out of our Microsoft 365 investments, and the foundations laid for all three aspects of the significant Lotus Notes migration and retirement work still to do in the coming years.</w:t>
      </w:r>
    </w:p>
    <w:p w14:paraId="2C7E8ABB" w14:textId="77777777" w:rsidR="00A9559A" w:rsidRPr="00A9559A" w:rsidRDefault="00A9559A" w:rsidP="00A9559A">
      <w:pPr>
        <w:pStyle w:val="Heading4"/>
      </w:pPr>
      <w:r w:rsidRPr="00A9559A">
        <w:t>Our ongoing investment and technology upgrades</w:t>
      </w:r>
    </w:p>
    <w:p w14:paraId="0D9CEAB3" w14:textId="44B5CC69" w:rsidR="00A9559A" w:rsidRDefault="00A9559A" w:rsidP="00A9559A">
      <w:pPr>
        <w:rPr>
          <w:rFonts w:eastAsia="Arial Unicode MS"/>
        </w:rPr>
      </w:pPr>
      <w:r w:rsidRPr="00A9559A">
        <w:rPr>
          <w:rFonts w:eastAsia="Arial Unicode MS"/>
        </w:rPr>
        <w:t>During the year we continued a programme of modernising our internal ICT systems and managed to remove some high-risk areas of legacy IT risk.</w:t>
      </w:r>
    </w:p>
    <w:p w14:paraId="0D6FBEF3" w14:textId="77777777" w:rsidR="00A9559A" w:rsidRPr="00A9559A" w:rsidRDefault="00A9559A" w:rsidP="00A9559A">
      <w:pPr>
        <w:rPr>
          <w:rFonts w:eastAsia="Arial Unicode MS"/>
        </w:rPr>
      </w:pPr>
    </w:p>
    <w:p w14:paraId="746CB902" w14:textId="1587E6D2" w:rsidR="00A9559A" w:rsidRPr="00A9559A" w:rsidRDefault="00A9559A" w:rsidP="00A9559A">
      <w:pPr>
        <w:rPr>
          <w:rFonts w:eastAsia="Arial Unicode MS"/>
        </w:rPr>
      </w:pPr>
      <w:r w:rsidRPr="00A9559A">
        <w:rPr>
          <w:rFonts w:eastAsia="Arial Unicode MS"/>
        </w:rPr>
        <w:t>Our Modernise the Ministry programme of work has started to upgrade old Lotus</w:t>
      </w:r>
      <w:r>
        <w:rPr>
          <w:rFonts w:eastAsia="Arial Unicode MS"/>
        </w:rPr>
        <w:t xml:space="preserve"> </w:t>
      </w:r>
      <w:r w:rsidRPr="00A9559A">
        <w:rPr>
          <w:rFonts w:eastAsia="Arial Unicode MS"/>
        </w:rPr>
        <w:t xml:space="preserve"> </w:t>
      </w:r>
    </w:p>
    <w:p w14:paraId="0A027605" w14:textId="19AEC89A" w:rsidR="00A9559A" w:rsidRDefault="00A9559A" w:rsidP="00A9559A">
      <w:pPr>
        <w:rPr>
          <w:rFonts w:eastAsia="Arial Unicode MS"/>
        </w:rPr>
      </w:pPr>
      <w:r w:rsidRPr="00A9559A">
        <w:rPr>
          <w:rFonts w:eastAsia="Arial Unicode MS"/>
        </w:rPr>
        <w:t>Notes applications into more current technologies provided by Microsoft, reducing our reliance on IBM Notes and increasing our use of cloud-based services.</w:t>
      </w:r>
    </w:p>
    <w:p w14:paraId="61528C44" w14:textId="77777777" w:rsidR="00A9559A" w:rsidRPr="00A9559A" w:rsidRDefault="00A9559A" w:rsidP="00A9559A">
      <w:pPr>
        <w:rPr>
          <w:rFonts w:eastAsia="Arial Unicode MS"/>
        </w:rPr>
      </w:pPr>
    </w:p>
    <w:p w14:paraId="1B764DB3" w14:textId="36DC021E" w:rsidR="00A9559A" w:rsidRDefault="00A9559A" w:rsidP="00A9559A">
      <w:pPr>
        <w:rPr>
          <w:rFonts w:eastAsia="Arial Unicode MS"/>
        </w:rPr>
      </w:pPr>
      <w:r w:rsidRPr="00A9559A">
        <w:rPr>
          <w:rFonts w:eastAsia="Arial Unicode MS"/>
        </w:rPr>
        <w:t>We made major upgrades to the systems that support our Whanganui-based call centre, which have greatly supported our staff to deal with the huge call volumes from New Zealanders about COVID-19 and to the systems used by our internal service desk.</w:t>
      </w:r>
    </w:p>
    <w:p w14:paraId="314A0494" w14:textId="77777777" w:rsidR="00A9559A" w:rsidRPr="00A9559A" w:rsidRDefault="00A9559A" w:rsidP="00A9559A">
      <w:pPr>
        <w:rPr>
          <w:rFonts w:eastAsia="Arial Unicode MS"/>
        </w:rPr>
      </w:pPr>
    </w:p>
    <w:p w14:paraId="307FE503" w14:textId="09B30AF9" w:rsidR="00A9559A" w:rsidRDefault="00A9559A" w:rsidP="00A9559A">
      <w:pPr>
        <w:rPr>
          <w:rFonts w:eastAsia="Arial Unicode MS"/>
        </w:rPr>
      </w:pPr>
      <w:r w:rsidRPr="00A9559A">
        <w:rPr>
          <w:rFonts w:eastAsia="Arial Unicode MS"/>
        </w:rPr>
        <w:t>Our IT Service Centre supported up to 3000+ staff members during the</w:t>
      </w:r>
      <w:r>
        <w:rPr>
          <w:rFonts w:eastAsia="Arial Unicode MS"/>
        </w:rPr>
        <w:t xml:space="preserve"> </w:t>
      </w:r>
      <w:r w:rsidRPr="00A9559A">
        <w:rPr>
          <w:rFonts w:eastAsia="Arial Unicode MS"/>
        </w:rPr>
        <w:t>COVID response, a significant increase in workload from the 1200 people we supported at the start of 2020.</w:t>
      </w:r>
    </w:p>
    <w:p w14:paraId="34B8A556" w14:textId="77777777" w:rsidR="00A9559A" w:rsidRPr="00A9559A" w:rsidRDefault="00A9559A" w:rsidP="00A9559A">
      <w:pPr>
        <w:rPr>
          <w:rFonts w:eastAsia="Arial Unicode MS"/>
        </w:rPr>
      </w:pPr>
    </w:p>
    <w:p w14:paraId="35816055" w14:textId="2AAB9488" w:rsidR="00A9559A" w:rsidRDefault="00A9559A" w:rsidP="00A9559A">
      <w:pPr>
        <w:rPr>
          <w:rFonts w:eastAsia="Arial Unicode MS"/>
        </w:rPr>
      </w:pPr>
      <w:r w:rsidRPr="00A9559A">
        <w:rPr>
          <w:rFonts w:eastAsia="Arial Unicode MS"/>
        </w:rPr>
        <w:t>A significant achievement was the upgrade of our entire IT security boundary which was about to go out of vendor support.</w:t>
      </w:r>
    </w:p>
    <w:p w14:paraId="136DF967" w14:textId="77777777" w:rsidR="00A9559A" w:rsidRPr="00A9559A" w:rsidRDefault="00A9559A" w:rsidP="00A9559A">
      <w:pPr>
        <w:rPr>
          <w:rFonts w:eastAsia="Arial Unicode MS"/>
        </w:rPr>
      </w:pPr>
    </w:p>
    <w:p w14:paraId="3F597838" w14:textId="7D05AFA4" w:rsidR="00A9559A" w:rsidRDefault="00A9559A" w:rsidP="00A9559A">
      <w:pPr>
        <w:rPr>
          <w:rFonts w:eastAsia="Arial Unicode MS"/>
        </w:rPr>
      </w:pPr>
      <w:r w:rsidRPr="00A9559A">
        <w:rPr>
          <w:rFonts w:eastAsia="Arial Unicode MS"/>
        </w:rPr>
        <w:t>We have continued to upgrade the infrastructure that support collection of national data and have made savings of millions of dollars in licensing costs by moving to newer transaction processing systems for health payments.</w:t>
      </w:r>
    </w:p>
    <w:p w14:paraId="5E3034DE" w14:textId="77777777" w:rsidR="00A9559A" w:rsidRPr="00A9559A" w:rsidRDefault="00A9559A" w:rsidP="00A9559A">
      <w:pPr>
        <w:rPr>
          <w:rFonts w:eastAsia="Arial Unicode MS"/>
        </w:rPr>
      </w:pPr>
    </w:p>
    <w:p w14:paraId="6BDBCA03" w14:textId="77777777" w:rsidR="008762C7" w:rsidRDefault="00A9559A" w:rsidP="00A9559A">
      <w:pPr>
        <w:rPr>
          <w:rFonts w:eastAsia="Arial Unicode MS"/>
        </w:rPr>
        <w:sectPr w:rsidR="008762C7" w:rsidSect="00C26282">
          <w:pgSz w:w="11907" w:h="16840" w:code="9"/>
          <w:pgMar w:top="1418" w:right="1701" w:bottom="1134" w:left="1843" w:header="284" w:footer="425" w:gutter="284"/>
          <w:cols w:space="720"/>
        </w:sectPr>
      </w:pPr>
      <w:r w:rsidRPr="00A9559A">
        <w:rPr>
          <w:rFonts w:eastAsia="Arial Unicode MS"/>
        </w:rPr>
        <w:t>On top of all the significant project work, to keep our systems current, the IT Operations teams have made some</w:t>
      </w:r>
      <w:r>
        <w:rPr>
          <w:rFonts w:eastAsia="Arial Unicode MS"/>
        </w:rPr>
        <w:t xml:space="preserve"> </w:t>
      </w:r>
      <w:r w:rsidRPr="00A9559A">
        <w:rPr>
          <w:rFonts w:eastAsia="Arial Unicode MS"/>
        </w:rPr>
        <w:t>significant improvements with automation of the patching of our server fleet, whilst managing a very significant increase in staff IT requests and incident resolution.</w:t>
      </w:r>
    </w:p>
    <w:p w14:paraId="7360963A" w14:textId="7A6F18EE" w:rsidR="00A9559A" w:rsidRDefault="008762C7" w:rsidP="008762C7">
      <w:pPr>
        <w:pStyle w:val="Heading1"/>
        <w:spacing w:before="0"/>
        <w:rPr>
          <w:rFonts w:eastAsia="Arial Unicode MS"/>
          <w:b w:val="0"/>
          <w:bCs/>
        </w:rPr>
      </w:pPr>
      <w:bookmarkStart w:id="34" w:name="_Toc117264942"/>
      <w:r w:rsidRPr="008762C7">
        <w:rPr>
          <w:rFonts w:eastAsia="Arial Unicode MS"/>
        </w:rPr>
        <w:lastRenderedPageBreak/>
        <w:t>Our statements of service performance |</w:t>
      </w:r>
      <w:r>
        <w:rPr>
          <w:rFonts w:eastAsia="Arial Unicode MS"/>
        </w:rPr>
        <w:t xml:space="preserve"> </w:t>
      </w:r>
      <w:r w:rsidRPr="008762C7">
        <w:rPr>
          <w:rFonts w:eastAsia="Arial Unicode MS"/>
          <w:b w:val="0"/>
          <w:bCs/>
        </w:rPr>
        <w:t>Ō mātou pūrongo pūtea</w:t>
      </w:r>
      <w:bookmarkEnd w:id="34"/>
    </w:p>
    <w:p w14:paraId="49BE11CA" w14:textId="77777777" w:rsidR="008762C7" w:rsidRPr="008762C7" w:rsidRDefault="008762C7" w:rsidP="008762C7">
      <w:pPr>
        <w:pStyle w:val="Heading2"/>
        <w:rPr>
          <w:rFonts w:eastAsia="Arial Unicode MS"/>
        </w:rPr>
      </w:pPr>
      <w:bookmarkStart w:id="35" w:name="_Toc117264943"/>
      <w:r w:rsidRPr="008762C7">
        <w:rPr>
          <w:rFonts w:eastAsia="Arial Unicode MS"/>
        </w:rPr>
        <w:t>Performance of Manatū Hauora</w:t>
      </w:r>
      <w:bookmarkEnd w:id="35"/>
    </w:p>
    <w:p w14:paraId="131C5913" w14:textId="43784427" w:rsidR="008762C7" w:rsidRDefault="008762C7" w:rsidP="008762C7">
      <w:pPr>
        <w:rPr>
          <w:rFonts w:eastAsia="Arial Unicode MS"/>
        </w:rPr>
      </w:pPr>
      <w:r w:rsidRPr="008762C7">
        <w:rPr>
          <w:rFonts w:eastAsia="Arial Unicode MS"/>
        </w:rPr>
        <w:t>This section details the performance of Manatū Hauora (the Ministry of Health) against our output measures and targets specified in Vote Health</w:t>
      </w:r>
      <w:r>
        <w:rPr>
          <w:rFonts w:eastAsia="Arial Unicode MS"/>
        </w:rPr>
        <w:t xml:space="preserve"> </w:t>
      </w:r>
      <w:r w:rsidRPr="008762C7">
        <w:rPr>
          <w:rFonts w:eastAsia="Arial Unicode MS"/>
        </w:rPr>
        <w:t>– Main Estimates of Appropriation 2021/22</w:t>
      </w:r>
      <w:r>
        <w:rPr>
          <w:rStyle w:val="FootnoteReference"/>
          <w:rFonts w:eastAsia="Arial Unicode MS"/>
        </w:rPr>
        <w:footnoteReference w:id="21"/>
      </w:r>
      <w:r w:rsidRPr="008762C7">
        <w:rPr>
          <w:rFonts w:eastAsia="Arial Unicode MS"/>
        </w:rPr>
        <w:t xml:space="preserve"> and (where updated) in Vote Health – Supplementary Estimates of Appropriation 2021/22</w:t>
      </w:r>
      <w:r>
        <w:rPr>
          <w:rFonts w:eastAsia="Arial Unicode MS"/>
        </w:rPr>
        <w:t>.</w:t>
      </w:r>
      <w:r>
        <w:rPr>
          <w:rStyle w:val="FootnoteReference"/>
          <w:rFonts w:eastAsia="Arial Unicode MS"/>
        </w:rPr>
        <w:footnoteReference w:id="22"/>
      </w:r>
    </w:p>
    <w:p w14:paraId="77DB6FBF" w14:textId="385ADB96" w:rsidR="008762C7" w:rsidRDefault="008762C7" w:rsidP="008762C7">
      <w:pPr>
        <w:rPr>
          <w:rFonts w:eastAsia="Arial Unicode MS"/>
        </w:rPr>
      </w:pPr>
    </w:p>
    <w:p w14:paraId="7B57CC8D" w14:textId="77777777" w:rsidR="008762C7" w:rsidRPr="008762C7" w:rsidRDefault="008762C7" w:rsidP="008762C7">
      <w:pPr>
        <w:rPr>
          <w:rFonts w:eastAsia="Arial Unicode MS"/>
        </w:rPr>
      </w:pPr>
      <w:r w:rsidRPr="008762C7">
        <w:rPr>
          <w:rFonts w:eastAsia="Arial Unicode MS"/>
        </w:rPr>
        <w:t>Performance information for selected non-departmental appropriations for the year ended 30 June 2022 is available in a separate Vote Health Report.</w:t>
      </w:r>
    </w:p>
    <w:p w14:paraId="4C7CD2F1" w14:textId="77777777" w:rsidR="008762C7" w:rsidRDefault="008762C7" w:rsidP="008762C7">
      <w:pPr>
        <w:rPr>
          <w:rFonts w:eastAsia="Arial Unicode MS"/>
        </w:rPr>
      </w:pPr>
    </w:p>
    <w:p w14:paraId="724F27C5" w14:textId="68DEF57E" w:rsidR="008762C7" w:rsidRPr="008762C7" w:rsidRDefault="008762C7" w:rsidP="008762C7">
      <w:pPr>
        <w:rPr>
          <w:rFonts w:eastAsia="Arial Unicode MS"/>
        </w:rPr>
      </w:pPr>
      <w:r w:rsidRPr="008762C7">
        <w:rPr>
          <w:rFonts w:eastAsia="Arial Unicode MS"/>
        </w:rPr>
        <w:t>This section focuses on our performance, measured by Vote Health’s output classes:</w:t>
      </w:r>
    </w:p>
    <w:p w14:paraId="61B595CB" w14:textId="231ED090" w:rsidR="008762C7" w:rsidRPr="008762C7" w:rsidRDefault="008762C7" w:rsidP="008762C7">
      <w:pPr>
        <w:pStyle w:val="Bullet"/>
        <w:rPr>
          <w:rFonts w:eastAsia="Arial Unicode MS"/>
        </w:rPr>
      </w:pPr>
      <w:r w:rsidRPr="008762C7">
        <w:rPr>
          <w:rFonts w:eastAsia="Arial Unicode MS"/>
        </w:rPr>
        <w:t>Policy advice and related services</w:t>
      </w:r>
    </w:p>
    <w:p w14:paraId="0E4075E0" w14:textId="136B09B5" w:rsidR="008762C7" w:rsidRPr="008762C7" w:rsidRDefault="008762C7" w:rsidP="008762C7">
      <w:pPr>
        <w:pStyle w:val="Bullet"/>
        <w:rPr>
          <w:rFonts w:eastAsia="Arial Unicode MS"/>
        </w:rPr>
      </w:pPr>
      <w:r w:rsidRPr="008762C7">
        <w:rPr>
          <w:rFonts w:eastAsia="Arial Unicode MS"/>
        </w:rPr>
        <w:t>Health sector information systems</w:t>
      </w:r>
    </w:p>
    <w:p w14:paraId="59F6BFC8" w14:textId="604BC18C" w:rsidR="008762C7" w:rsidRPr="008762C7" w:rsidRDefault="008762C7" w:rsidP="008762C7">
      <w:pPr>
        <w:pStyle w:val="Bullet"/>
        <w:rPr>
          <w:rFonts w:eastAsia="Arial Unicode MS"/>
        </w:rPr>
      </w:pPr>
      <w:r w:rsidRPr="008762C7">
        <w:rPr>
          <w:rFonts w:eastAsia="Arial Unicode MS"/>
        </w:rPr>
        <w:t>Managing the purchase of services</w:t>
      </w:r>
    </w:p>
    <w:p w14:paraId="6A283857" w14:textId="08593E3B" w:rsidR="008762C7" w:rsidRPr="008762C7" w:rsidRDefault="008762C7" w:rsidP="008762C7">
      <w:pPr>
        <w:pStyle w:val="Bullet"/>
        <w:rPr>
          <w:rFonts w:eastAsia="Arial Unicode MS"/>
        </w:rPr>
      </w:pPr>
      <w:r w:rsidRPr="008762C7">
        <w:rPr>
          <w:rFonts w:eastAsia="Arial Unicode MS"/>
        </w:rPr>
        <w:t>Payment services</w:t>
      </w:r>
    </w:p>
    <w:p w14:paraId="240655E5" w14:textId="58AF7CCC" w:rsidR="008762C7" w:rsidRPr="008762C7" w:rsidRDefault="008762C7" w:rsidP="008762C7">
      <w:pPr>
        <w:pStyle w:val="Bullet"/>
        <w:rPr>
          <w:rFonts w:eastAsia="Arial Unicode MS"/>
        </w:rPr>
      </w:pPr>
      <w:r w:rsidRPr="008762C7">
        <w:rPr>
          <w:rFonts w:eastAsia="Arial Unicode MS"/>
        </w:rPr>
        <w:t>Regulatory and enforcement services</w:t>
      </w:r>
    </w:p>
    <w:p w14:paraId="221A0870" w14:textId="20BD307C" w:rsidR="008762C7" w:rsidRPr="008762C7" w:rsidRDefault="008762C7" w:rsidP="008762C7">
      <w:pPr>
        <w:pStyle w:val="Bullet"/>
        <w:rPr>
          <w:rFonts w:eastAsia="Arial Unicode MS"/>
        </w:rPr>
      </w:pPr>
      <w:r w:rsidRPr="008762C7">
        <w:rPr>
          <w:rFonts w:eastAsia="Arial Unicode MS"/>
        </w:rPr>
        <w:t>Sector planning and performance</w:t>
      </w:r>
    </w:p>
    <w:p w14:paraId="5BC266C9" w14:textId="4EB5157C" w:rsidR="008762C7" w:rsidRPr="008762C7" w:rsidRDefault="008762C7" w:rsidP="008762C7">
      <w:pPr>
        <w:pStyle w:val="Bullet"/>
        <w:rPr>
          <w:rFonts w:eastAsia="Arial Unicode MS"/>
        </w:rPr>
      </w:pPr>
      <w:r w:rsidRPr="008762C7">
        <w:rPr>
          <w:rFonts w:eastAsia="Arial Unicode MS"/>
        </w:rPr>
        <w:t>Health and disability system reform (multi-category appropriation (MCA))</w:t>
      </w:r>
    </w:p>
    <w:p w14:paraId="4BEE0C67" w14:textId="47DB864B" w:rsidR="008762C7" w:rsidRPr="008762C7" w:rsidRDefault="008762C7" w:rsidP="008762C7">
      <w:pPr>
        <w:pStyle w:val="Bullet"/>
        <w:rPr>
          <w:rFonts w:eastAsia="Arial Unicode MS"/>
        </w:rPr>
      </w:pPr>
      <w:r w:rsidRPr="008762C7">
        <w:rPr>
          <w:rFonts w:eastAsia="Arial Unicode MS"/>
        </w:rPr>
        <w:t>National response to COVID-19 across the health sector (MCA)</w:t>
      </w:r>
    </w:p>
    <w:p w14:paraId="065EAE07" w14:textId="7B5CC77E" w:rsidR="008762C7" w:rsidRPr="008762C7" w:rsidRDefault="008762C7" w:rsidP="008762C7">
      <w:pPr>
        <w:pStyle w:val="Bullet"/>
        <w:rPr>
          <w:rFonts w:eastAsia="Arial Unicode MS"/>
        </w:rPr>
      </w:pPr>
      <w:r w:rsidRPr="008762C7">
        <w:rPr>
          <w:rFonts w:eastAsia="Arial Unicode MS"/>
        </w:rPr>
        <w:t>Implementing the COVID-19 vaccine strategy (MCA)</w:t>
      </w:r>
    </w:p>
    <w:p w14:paraId="7946F784" w14:textId="02B71E2D" w:rsidR="008762C7" w:rsidRPr="008762C7" w:rsidRDefault="008762C7" w:rsidP="008762C7">
      <w:pPr>
        <w:pStyle w:val="Bullet"/>
        <w:rPr>
          <w:rFonts w:eastAsia="Arial Unicode MS"/>
        </w:rPr>
      </w:pPr>
      <w:r w:rsidRPr="008762C7">
        <w:rPr>
          <w:rFonts w:eastAsia="Arial Unicode MS"/>
        </w:rPr>
        <w:t>Ministry of Health – capital expenditure.</w:t>
      </w:r>
    </w:p>
    <w:p w14:paraId="0B75CE3B" w14:textId="77777777" w:rsidR="008762C7" w:rsidRDefault="008762C7" w:rsidP="008762C7">
      <w:pPr>
        <w:rPr>
          <w:rFonts w:eastAsia="Arial Unicode MS"/>
        </w:rPr>
      </w:pPr>
    </w:p>
    <w:p w14:paraId="32926CE7" w14:textId="417570F2" w:rsidR="008762C7" w:rsidRDefault="008762C7" w:rsidP="008762C7">
      <w:pPr>
        <w:rPr>
          <w:rFonts w:eastAsia="Arial Unicode MS"/>
        </w:rPr>
      </w:pPr>
      <w:r w:rsidRPr="008762C7">
        <w:rPr>
          <w:rFonts w:eastAsia="Arial Unicode MS"/>
        </w:rPr>
        <w:t>Each measure’s Budget Standard (target) for 2021/22 is included to provide context for the 2021/22 actual results. Where applicable, we compare our performance this year against the output measures and results from last year (2020/21).</w:t>
      </w:r>
    </w:p>
    <w:p w14:paraId="517AC0A4" w14:textId="77777777" w:rsidR="008762C7" w:rsidRPr="008762C7" w:rsidRDefault="008762C7" w:rsidP="008762C7">
      <w:pPr>
        <w:rPr>
          <w:rFonts w:eastAsia="Arial Unicode MS"/>
        </w:rPr>
      </w:pPr>
    </w:p>
    <w:p w14:paraId="10A6E43C" w14:textId="6D3D2D6A" w:rsidR="008762C7" w:rsidRDefault="008762C7" w:rsidP="008762C7">
      <w:pPr>
        <w:rPr>
          <w:rFonts w:eastAsia="Arial Unicode MS"/>
        </w:rPr>
      </w:pPr>
      <w:r w:rsidRPr="008762C7">
        <w:rPr>
          <w:rFonts w:eastAsia="Arial Unicode MS"/>
        </w:rPr>
        <w:t>Within each output class in this section, we use the following symbols to provide a quick check for the 2021/22 results:</w:t>
      </w:r>
    </w:p>
    <w:p w14:paraId="5F04338B" w14:textId="3B109CA3" w:rsidR="008762C7" w:rsidRDefault="008762C7" w:rsidP="008762C7">
      <w:pPr>
        <w:rPr>
          <w:rFonts w:eastAsia="Arial Unicode MS"/>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3681"/>
        <w:gridCol w:w="553"/>
      </w:tblGrid>
      <w:tr w:rsidR="009163D8" w14:paraId="41F54A22" w14:textId="58BAD4AB" w:rsidTr="009E3BCA">
        <w:tc>
          <w:tcPr>
            <w:tcW w:w="3681" w:type="dxa"/>
          </w:tcPr>
          <w:p w14:paraId="4EEBD15A" w14:textId="77777777" w:rsidR="009163D8" w:rsidRDefault="009163D8" w:rsidP="009163D8">
            <w:pPr>
              <w:spacing w:before="120" w:after="120"/>
              <w:rPr>
                <w:rFonts w:eastAsia="Arial Unicode MS"/>
              </w:rPr>
            </w:pPr>
            <w:r>
              <w:rPr>
                <w:rFonts w:eastAsia="Arial Unicode MS"/>
              </w:rPr>
              <w:lastRenderedPageBreak/>
              <w:t xml:space="preserve">Meet or exceed the target </w:t>
            </w:r>
          </w:p>
          <w:p w14:paraId="4FC843A8" w14:textId="77777777" w:rsidR="009163D8" w:rsidRDefault="009163D8" w:rsidP="009163D8">
            <w:pPr>
              <w:spacing w:before="120" w:after="120"/>
              <w:rPr>
                <w:rFonts w:eastAsia="Arial Unicode MS"/>
              </w:rPr>
            </w:pPr>
            <w:r>
              <w:rPr>
                <w:rFonts w:eastAsia="Arial Unicode MS"/>
              </w:rPr>
              <w:t>Did not meet the target</w:t>
            </w:r>
          </w:p>
          <w:p w14:paraId="71FAEA24" w14:textId="3E7CAB21" w:rsidR="009163D8" w:rsidRDefault="009163D8" w:rsidP="009163D8">
            <w:pPr>
              <w:spacing w:before="120" w:after="120"/>
              <w:rPr>
                <w:rFonts w:eastAsia="Arial Unicode MS"/>
              </w:rPr>
            </w:pPr>
            <w:r>
              <w:rPr>
                <w:rFonts w:eastAsia="Arial Unicode MS"/>
              </w:rPr>
              <w:t xml:space="preserve">Not available | Not assessed </w:t>
            </w:r>
          </w:p>
        </w:tc>
        <w:tc>
          <w:tcPr>
            <w:tcW w:w="553" w:type="dxa"/>
          </w:tcPr>
          <w:p w14:paraId="501AB40C" w14:textId="77777777" w:rsidR="009163D8" w:rsidRDefault="009163D8" w:rsidP="009163D8">
            <w:pPr>
              <w:spacing w:before="120" w:after="120"/>
              <w:rPr>
                <w:b/>
                <w:bCs/>
              </w:rPr>
            </w:pPr>
            <w:r w:rsidRPr="00807E73">
              <w:rPr>
                <w:b/>
                <w:bCs/>
              </w:rPr>
              <w:sym w:font="Wingdings" w:char="F0FC"/>
            </w:r>
          </w:p>
          <w:p w14:paraId="0763E85A" w14:textId="77777777" w:rsidR="009163D8" w:rsidRDefault="009163D8" w:rsidP="009163D8">
            <w:pPr>
              <w:spacing w:before="120" w:after="120"/>
              <w:rPr>
                <w:rFonts w:cs="Segoe UI"/>
                <w:sz w:val="24"/>
                <w:szCs w:val="18"/>
              </w:rPr>
            </w:pPr>
            <w:r w:rsidRPr="00277010">
              <w:rPr>
                <w:rFonts w:cs="Segoe UI"/>
                <w:sz w:val="24"/>
                <w:szCs w:val="18"/>
              </w:rPr>
              <w:sym w:font="Wingdings" w:char="F0FB"/>
            </w:r>
          </w:p>
          <w:p w14:paraId="127D80CF" w14:textId="7C5959B5" w:rsidR="009163D8" w:rsidRPr="009163D8" w:rsidRDefault="009163D8" w:rsidP="009163D8">
            <w:pPr>
              <w:spacing w:before="120" w:after="120"/>
              <w:rPr>
                <w:rFonts w:eastAsia="Arial Unicode MS"/>
                <w:b/>
                <w:bCs/>
              </w:rPr>
            </w:pPr>
            <w:r w:rsidRPr="009163D8">
              <w:rPr>
                <w:rFonts w:eastAsia="Arial Unicode MS"/>
                <w:b/>
                <w:bCs/>
              </w:rPr>
              <w:t>NA</w:t>
            </w:r>
          </w:p>
        </w:tc>
      </w:tr>
    </w:tbl>
    <w:p w14:paraId="2872D721" w14:textId="77777777" w:rsidR="008762C7" w:rsidRPr="008762C7" w:rsidRDefault="008762C7" w:rsidP="008762C7">
      <w:pPr>
        <w:pStyle w:val="Heading3"/>
      </w:pPr>
      <w:bookmarkStart w:id="36" w:name="_Toc117264944"/>
      <w:r w:rsidRPr="008762C7">
        <w:t>Policy Advice and Related Services</w:t>
      </w:r>
      <w:bookmarkEnd w:id="36"/>
    </w:p>
    <w:p w14:paraId="58B3C93B" w14:textId="38029DA6" w:rsidR="008762C7" w:rsidRDefault="008762C7" w:rsidP="008762C7">
      <w:pPr>
        <w:rPr>
          <w:rFonts w:eastAsia="Arial Unicode MS"/>
        </w:rPr>
      </w:pPr>
      <w:r w:rsidRPr="008762C7">
        <w:rPr>
          <w:rFonts w:eastAsia="Arial Unicode MS"/>
        </w:rPr>
        <w:t>This appropriation is limited to the provision of policy advice (including second opinion advice and contributions to policy advice led by other agencies) and other support to Ministers in discharging their policy decision-making and other portfolio responsibilities relating to the health portfolio.</w:t>
      </w:r>
    </w:p>
    <w:p w14:paraId="5766BF06" w14:textId="77777777" w:rsidR="008762C7" w:rsidRPr="008762C7" w:rsidRDefault="008762C7" w:rsidP="008762C7">
      <w:pPr>
        <w:rPr>
          <w:rFonts w:eastAsia="Arial Unicode MS"/>
        </w:rPr>
      </w:pPr>
    </w:p>
    <w:p w14:paraId="043BB7C6" w14:textId="77777777" w:rsidR="008762C7" w:rsidRPr="008762C7" w:rsidRDefault="008762C7" w:rsidP="008762C7">
      <w:pPr>
        <w:rPr>
          <w:rFonts w:eastAsia="Arial Unicode MS"/>
        </w:rPr>
      </w:pPr>
      <w:r w:rsidRPr="008762C7">
        <w:rPr>
          <w:rFonts w:eastAsia="Arial Unicode MS"/>
        </w:rPr>
        <w:t>This appropriation is intended to ensure that Ministers are supported and advised so they can discharge their portfolio responsibilities.</w:t>
      </w:r>
    </w:p>
    <w:p w14:paraId="27B930BC" w14:textId="0AC2037F" w:rsidR="008762C7" w:rsidRDefault="008762C7" w:rsidP="008762C7">
      <w:pPr>
        <w:pStyle w:val="Heading4"/>
      </w:pPr>
      <w:r w:rsidRPr="008762C7">
        <w:t>Performance assessment</w:t>
      </w: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34"/>
        <w:gridCol w:w="1134"/>
        <w:gridCol w:w="1134"/>
        <w:gridCol w:w="1134"/>
      </w:tblGrid>
      <w:tr w:rsidR="008762C7" w:rsidRPr="008762C7" w14:paraId="59F7EDC1" w14:textId="77777777" w:rsidTr="00CB0000">
        <w:trPr>
          <w:trHeight w:val="599"/>
        </w:trPr>
        <w:tc>
          <w:tcPr>
            <w:tcW w:w="3686" w:type="dxa"/>
            <w:tcBorders>
              <w:top w:val="nil"/>
              <w:bottom w:val="nil"/>
            </w:tcBorders>
            <w:shd w:val="clear" w:color="auto" w:fill="D9D9D9" w:themeFill="background1" w:themeFillShade="D9"/>
          </w:tcPr>
          <w:p w14:paraId="1820B564" w14:textId="76D11995" w:rsidR="008762C7" w:rsidRPr="008762C7" w:rsidRDefault="006A19AA" w:rsidP="008762C7">
            <w:pPr>
              <w:pStyle w:val="TableText"/>
              <w:rPr>
                <w:b/>
                <w:bCs/>
              </w:rPr>
            </w:pPr>
            <w:r w:rsidRPr="006A19AA">
              <w:rPr>
                <w:b/>
                <w:bCs/>
              </w:rPr>
              <w:t>Performance measure</w:t>
            </w:r>
          </w:p>
        </w:tc>
        <w:tc>
          <w:tcPr>
            <w:tcW w:w="1134" w:type="dxa"/>
            <w:tcBorders>
              <w:top w:val="nil"/>
              <w:bottom w:val="nil"/>
            </w:tcBorders>
            <w:shd w:val="clear" w:color="auto" w:fill="D9D9D9" w:themeFill="background1" w:themeFillShade="D9"/>
          </w:tcPr>
          <w:p w14:paraId="286012E2" w14:textId="1B92801B" w:rsidR="008762C7" w:rsidRPr="008762C7" w:rsidRDefault="008762C7" w:rsidP="00CB0000">
            <w:pPr>
              <w:pStyle w:val="TableText"/>
              <w:jc w:val="right"/>
              <w:rPr>
                <w:b/>
                <w:bCs/>
              </w:rPr>
            </w:pPr>
            <w:r w:rsidRPr="008762C7">
              <w:rPr>
                <w:b/>
                <w:bCs/>
                <w:w w:val="110"/>
              </w:rPr>
              <w:t>Actual</w:t>
            </w:r>
          </w:p>
        </w:tc>
        <w:tc>
          <w:tcPr>
            <w:tcW w:w="1134" w:type="dxa"/>
            <w:tcBorders>
              <w:top w:val="nil"/>
              <w:bottom w:val="nil"/>
            </w:tcBorders>
            <w:shd w:val="clear" w:color="auto" w:fill="D9D9D9" w:themeFill="background1" w:themeFillShade="D9"/>
          </w:tcPr>
          <w:p w14:paraId="08C127B8" w14:textId="00D13704" w:rsidR="008762C7" w:rsidRPr="008762C7" w:rsidRDefault="008762C7" w:rsidP="00CB0000">
            <w:pPr>
              <w:pStyle w:val="TableText"/>
              <w:spacing w:after="0"/>
              <w:jc w:val="right"/>
              <w:rPr>
                <w:b/>
                <w:bCs/>
                <w:spacing w:val="-53"/>
                <w:w w:val="110"/>
              </w:rPr>
            </w:pPr>
            <w:r w:rsidRPr="008762C7">
              <w:rPr>
                <w:b/>
                <w:bCs/>
                <w:w w:val="105"/>
              </w:rPr>
              <w:t>Budget</w:t>
            </w:r>
            <w:r w:rsidRPr="008762C7">
              <w:rPr>
                <w:b/>
                <w:bCs/>
                <w:spacing w:val="-50"/>
                <w:w w:val="105"/>
              </w:rPr>
              <w:t xml:space="preserve"> </w:t>
            </w:r>
            <w:r w:rsidRPr="008762C7">
              <w:rPr>
                <w:b/>
                <w:bCs/>
                <w:w w:val="110"/>
              </w:rPr>
              <w:t>Standard</w:t>
            </w:r>
            <w:r w:rsidRPr="008762C7">
              <w:rPr>
                <w:b/>
                <w:bCs/>
                <w:spacing w:val="-53"/>
                <w:w w:val="110"/>
              </w:rPr>
              <w:t xml:space="preserve"> </w:t>
            </w:r>
          </w:p>
        </w:tc>
        <w:tc>
          <w:tcPr>
            <w:tcW w:w="1134" w:type="dxa"/>
            <w:tcBorders>
              <w:top w:val="nil"/>
              <w:bottom w:val="nil"/>
            </w:tcBorders>
            <w:shd w:val="clear" w:color="auto" w:fill="D9D9D9" w:themeFill="background1" w:themeFillShade="D9"/>
          </w:tcPr>
          <w:p w14:paraId="20C5266B" w14:textId="387C76EF" w:rsidR="008762C7" w:rsidRPr="008762C7" w:rsidRDefault="008762C7" w:rsidP="00CB0000">
            <w:pPr>
              <w:pStyle w:val="TableText"/>
              <w:jc w:val="right"/>
              <w:rPr>
                <w:b/>
                <w:bCs/>
              </w:rPr>
            </w:pPr>
            <w:r w:rsidRPr="008762C7">
              <w:rPr>
                <w:b/>
                <w:bCs/>
                <w:w w:val="110"/>
              </w:rPr>
              <w:t>Actual</w:t>
            </w:r>
          </w:p>
        </w:tc>
        <w:tc>
          <w:tcPr>
            <w:tcW w:w="1134" w:type="dxa"/>
            <w:tcBorders>
              <w:top w:val="nil"/>
              <w:bottom w:val="nil"/>
            </w:tcBorders>
            <w:shd w:val="clear" w:color="auto" w:fill="D9D9D9" w:themeFill="background1" w:themeFillShade="D9"/>
          </w:tcPr>
          <w:p w14:paraId="465F882D" w14:textId="7C950F37" w:rsidR="008762C7" w:rsidRPr="008762C7" w:rsidRDefault="008762C7" w:rsidP="00CB0000">
            <w:pPr>
              <w:pStyle w:val="TableText"/>
              <w:spacing w:after="0"/>
              <w:jc w:val="right"/>
              <w:rPr>
                <w:b/>
                <w:bCs/>
              </w:rPr>
            </w:pPr>
            <w:r w:rsidRPr="008762C7">
              <w:rPr>
                <w:b/>
                <w:bCs/>
                <w:spacing w:val="-3"/>
                <w:w w:val="110"/>
              </w:rPr>
              <w:t>At a</w:t>
            </w:r>
            <w:r>
              <w:rPr>
                <w:b/>
                <w:bCs/>
                <w:spacing w:val="-3"/>
                <w:w w:val="110"/>
              </w:rPr>
              <w:br/>
            </w:r>
            <w:r w:rsidRPr="008762C7">
              <w:rPr>
                <w:b/>
                <w:bCs/>
                <w:spacing w:val="-53"/>
                <w:w w:val="110"/>
              </w:rPr>
              <w:t xml:space="preserve"> </w:t>
            </w:r>
            <w:r w:rsidRPr="008762C7">
              <w:rPr>
                <w:b/>
                <w:bCs/>
                <w:w w:val="110"/>
              </w:rPr>
              <w:t>glance</w:t>
            </w:r>
          </w:p>
        </w:tc>
      </w:tr>
      <w:tr w:rsidR="008762C7" w:rsidRPr="008762C7" w14:paraId="47EED6CE" w14:textId="77777777" w:rsidTr="00CB0000">
        <w:trPr>
          <w:trHeight w:val="225"/>
        </w:trPr>
        <w:tc>
          <w:tcPr>
            <w:tcW w:w="3686" w:type="dxa"/>
            <w:tcBorders>
              <w:top w:val="nil"/>
              <w:bottom w:val="nil"/>
            </w:tcBorders>
            <w:shd w:val="clear" w:color="auto" w:fill="D9D9D9" w:themeFill="background1" w:themeFillShade="D9"/>
          </w:tcPr>
          <w:p w14:paraId="6C2D7A2C" w14:textId="77777777" w:rsidR="008762C7" w:rsidRPr="008762C7" w:rsidRDefault="008762C7" w:rsidP="008762C7">
            <w:pPr>
              <w:pStyle w:val="TableText"/>
              <w:rPr>
                <w:b/>
                <w:bCs/>
                <w:w w:val="110"/>
              </w:rPr>
            </w:pPr>
          </w:p>
        </w:tc>
        <w:tc>
          <w:tcPr>
            <w:tcW w:w="1134" w:type="dxa"/>
            <w:tcBorders>
              <w:top w:val="nil"/>
              <w:bottom w:val="nil"/>
            </w:tcBorders>
            <w:shd w:val="clear" w:color="auto" w:fill="D9D9D9" w:themeFill="background1" w:themeFillShade="D9"/>
          </w:tcPr>
          <w:p w14:paraId="27B4E77E" w14:textId="24ECA245" w:rsidR="008762C7" w:rsidRPr="008762C7" w:rsidRDefault="008762C7" w:rsidP="00CB0000">
            <w:pPr>
              <w:pStyle w:val="TableText"/>
              <w:spacing w:before="0"/>
              <w:jc w:val="right"/>
              <w:rPr>
                <w:b/>
                <w:bCs/>
                <w:w w:val="110"/>
              </w:rPr>
            </w:pPr>
            <w:r w:rsidRPr="008762C7">
              <w:rPr>
                <w:b/>
                <w:bCs/>
                <w:w w:val="105"/>
              </w:rPr>
              <w:t>2020/21</w:t>
            </w:r>
          </w:p>
        </w:tc>
        <w:tc>
          <w:tcPr>
            <w:tcW w:w="1134" w:type="dxa"/>
            <w:tcBorders>
              <w:top w:val="nil"/>
              <w:bottom w:val="nil"/>
            </w:tcBorders>
            <w:shd w:val="clear" w:color="auto" w:fill="D9D9D9" w:themeFill="background1" w:themeFillShade="D9"/>
          </w:tcPr>
          <w:p w14:paraId="622189D7" w14:textId="2519E8E4" w:rsidR="008762C7" w:rsidRPr="008762C7" w:rsidRDefault="008762C7" w:rsidP="00CB0000">
            <w:pPr>
              <w:pStyle w:val="TableText"/>
              <w:spacing w:before="0"/>
              <w:jc w:val="right"/>
              <w:rPr>
                <w:b/>
                <w:bCs/>
                <w:w w:val="105"/>
              </w:rPr>
            </w:pPr>
            <w:r w:rsidRPr="008762C7">
              <w:rPr>
                <w:b/>
                <w:bCs/>
                <w:w w:val="105"/>
              </w:rPr>
              <w:t>2020/21</w:t>
            </w:r>
          </w:p>
        </w:tc>
        <w:tc>
          <w:tcPr>
            <w:tcW w:w="1134" w:type="dxa"/>
            <w:tcBorders>
              <w:top w:val="nil"/>
              <w:bottom w:val="nil"/>
            </w:tcBorders>
            <w:shd w:val="clear" w:color="auto" w:fill="D9D9D9" w:themeFill="background1" w:themeFillShade="D9"/>
          </w:tcPr>
          <w:p w14:paraId="3BB1D85E" w14:textId="6E0832AA" w:rsidR="008762C7" w:rsidRPr="008762C7" w:rsidRDefault="008762C7" w:rsidP="00CB0000">
            <w:pPr>
              <w:pStyle w:val="TableText"/>
              <w:spacing w:before="0"/>
              <w:jc w:val="right"/>
              <w:rPr>
                <w:b/>
                <w:bCs/>
                <w:w w:val="110"/>
              </w:rPr>
            </w:pPr>
            <w:r w:rsidRPr="008762C7">
              <w:rPr>
                <w:b/>
                <w:bCs/>
                <w:w w:val="105"/>
              </w:rPr>
              <w:t>2020/21</w:t>
            </w:r>
          </w:p>
        </w:tc>
        <w:tc>
          <w:tcPr>
            <w:tcW w:w="1134" w:type="dxa"/>
            <w:tcBorders>
              <w:top w:val="nil"/>
              <w:bottom w:val="nil"/>
            </w:tcBorders>
            <w:shd w:val="clear" w:color="auto" w:fill="D9D9D9" w:themeFill="background1" w:themeFillShade="D9"/>
          </w:tcPr>
          <w:p w14:paraId="30C67121" w14:textId="77777777" w:rsidR="008762C7" w:rsidRPr="008762C7" w:rsidRDefault="008762C7" w:rsidP="00CB0000">
            <w:pPr>
              <w:pStyle w:val="TableText"/>
              <w:spacing w:before="0"/>
              <w:jc w:val="right"/>
              <w:rPr>
                <w:b/>
                <w:bCs/>
                <w:spacing w:val="-3"/>
                <w:w w:val="110"/>
              </w:rPr>
            </w:pPr>
          </w:p>
        </w:tc>
      </w:tr>
      <w:tr w:rsidR="00B104C4" w14:paraId="6A46D642" w14:textId="77777777" w:rsidTr="00CB0000">
        <w:trPr>
          <w:trHeight w:val="1064"/>
        </w:trPr>
        <w:tc>
          <w:tcPr>
            <w:tcW w:w="3686" w:type="dxa"/>
            <w:tcBorders>
              <w:top w:val="nil"/>
            </w:tcBorders>
          </w:tcPr>
          <w:p w14:paraId="1768E2ED" w14:textId="77777777" w:rsidR="00B104C4" w:rsidRDefault="00B104C4" w:rsidP="00B104C4">
            <w:pPr>
              <w:pStyle w:val="TableText"/>
            </w:pPr>
            <w:r>
              <w:t>Average</w:t>
            </w:r>
            <w:r>
              <w:rPr>
                <w:spacing w:val="9"/>
              </w:rPr>
              <w:t xml:space="preserve"> </w:t>
            </w:r>
            <w:r>
              <w:t>score</w:t>
            </w:r>
            <w:r>
              <w:rPr>
                <w:spacing w:val="9"/>
              </w:rPr>
              <w:t xml:space="preserve"> </w:t>
            </w:r>
            <w:r>
              <w:t>attained</w:t>
            </w:r>
            <w:r>
              <w:rPr>
                <w:spacing w:val="9"/>
              </w:rPr>
              <w:t xml:space="preserve"> </w:t>
            </w:r>
            <w:r>
              <w:t>from</w:t>
            </w:r>
            <w:r>
              <w:rPr>
                <w:spacing w:val="9"/>
              </w:rPr>
              <w:t xml:space="preserve"> </w:t>
            </w:r>
            <w:r>
              <w:t>a</w:t>
            </w:r>
            <w:r>
              <w:rPr>
                <w:spacing w:val="9"/>
              </w:rPr>
              <w:t xml:space="preserve"> </w:t>
            </w:r>
            <w:r>
              <w:t>sample</w:t>
            </w:r>
            <w:r>
              <w:rPr>
                <w:spacing w:val="9"/>
              </w:rPr>
              <w:t xml:space="preserve"> </w:t>
            </w:r>
            <w:r>
              <w:t>of</w:t>
            </w:r>
            <w:r>
              <w:rPr>
                <w:spacing w:val="10"/>
              </w:rPr>
              <w:t xml:space="preserve"> </w:t>
            </w:r>
            <w:r>
              <w:t>the</w:t>
            </w:r>
            <w:r>
              <w:rPr>
                <w:spacing w:val="-47"/>
              </w:rPr>
              <w:t xml:space="preserve"> </w:t>
            </w:r>
            <w:r>
              <w:rPr>
                <w:w w:val="105"/>
              </w:rPr>
              <w:t>Ministry’s written policy advice as assessed</w:t>
            </w:r>
            <w:r>
              <w:rPr>
                <w:spacing w:val="1"/>
                <w:w w:val="105"/>
              </w:rPr>
              <w:t xml:space="preserve"> </w:t>
            </w:r>
            <w:r>
              <w:rPr>
                <w:w w:val="105"/>
              </w:rPr>
              <w:t>using the agreed Department of the Prime</w:t>
            </w:r>
            <w:r>
              <w:rPr>
                <w:spacing w:val="1"/>
                <w:w w:val="105"/>
              </w:rPr>
              <w:t xml:space="preserve"> </w:t>
            </w:r>
            <w:r>
              <w:rPr>
                <w:w w:val="105"/>
              </w:rPr>
              <w:t>Minister</w:t>
            </w:r>
            <w:r>
              <w:rPr>
                <w:spacing w:val="-11"/>
                <w:w w:val="105"/>
              </w:rPr>
              <w:t xml:space="preserve"> </w:t>
            </w:r>
            <w:r>
              <w:rPr>
                <w:w w:val="105"/>
              </w:rPr>
              <w:t>and</w:t>
            </w:r>
            <w:r>
              <w:rPr>
                <w:spacing w:val="-10"/>
                <w:w w:val="105"/>
              </w:rPr>
              <w:t xml:space="preserve"> </w:t>
            </w:r>
            <w:r>
              <w:rPr>
                <w:w w:val="105"/>
              </w:rPr>
              <w:t>Cabinet</w:t>
            </w:r>
            <w:r>
              <w:rPr>
                <w:spacing w:val="-10"/>
                <w:w w:val="105"/>
              </w:rPr>
              <w:t xml:space="preserve"> </w:t>
            </w:r>
            <w:r>
              <w:rPr>
                <w:w w:val="105"/>
              </w:rPr>
              <w:t>(DPMC)</w:t>
            </w:r>
            <w:r>
              <w:rPr>
                <w:spacing w:val="-10"/>
                <w:w w:val="105"/>
              </w:rPr>
              <w:t xml:space="preserve"> </w:t>
            </w:r>
            <w:r>
              <w:rPr>
                <w:w w:val="105"/>
              </w:rPr>
              <w:t>framework</w:t>
            </w:r>
          </w:p>
        </w:tc>
        <w:tc>
          <w:tcPr>
            <w:tcW w:w="1134" w:type="dxa"/>
            <w:tcBorders>
              <w:top w:val="nil"/>
            </w:tcBorders>
          </w:tcPr>
          <w:p w14:paraId="2DD66176" w14:textId="77777777" w:rsidR="00B104C4" w:rsidRDefault="00B104C4" w:rsidP="00B104C4">
            <w:pPr>
              <w:pStyle w:val="TableText"/>
              <w:jc w:val="right"/>
            </w:pPr>
            <w:r>
              <w:t>3.70</w:t>
            </w:r>
          </w:p>
        </w:tc>
        <w:tc>
          <w:tcPr>
            <w:tcW w:w="1134" w:type="dxa"/>
            <w:tcBorders>
              <w:top w:val="nil"/>
            </w:tcBorders>
          </w:tcPr>
          <w:p w14:paraId="1465AAA9" w14:textId="77777777" w:rsidR="00B104C4" w:rsidRDefault="00B104C4" w:rsidP="00B104C4">
            <w:pPr>
              <w:pStyle w:val="TableText"/>
              <w:jc w:val="right"/>
            </w:pPr>
            <w:r>
              <w:t>Greater</w:t>
            </w:r>
            <w:r>
              <w:rPr>
                <w:spacing w:val="9"/>
              </w:rPr>
              <w:t xml:space="preserve"> </w:t>
            </w:r>
            <w:r>
              <w:t>than</w:t>
            </w:r>
          </w:p>
          <w:p w14:paraId="1B50D11D" w14:textId="77777777" w:rsidR="00B104C4" w:rsidRDefault="00B104C4" w:rsidP="00B104C4">
            <w:pPr>
              <w:pStyle w:val="TableText"/>
              <w:jc w:val="right"/>
            </w:pPr>
            <w:r>
              <w:rPr>
                <w:w w:val="105"/>
              </w:rPr>
              <w:t>3.2</w:t>
            </w:r>
            <w:r>
              <w:rPr>
                <w:spacing w:val="-12"/>
                <w:w w:val="105"/>
              </w:rPr>
              <w:t xml:space="preserve"> </w:t>
            </w:r>
            <w:r>
              <w:rPr>
                <w:w w:val="105"/>
              </w:rPr>
              <w:t>out</w:t>
            </w:r>
            <w:r>
              <w:rPr>
                <w:spacing w:val="-12"/>
                <w:w w:val="105"/>
              </w:rPr>
              <w:t xml:space="preserve"> </w:t>
            </w:r>
            <w:r>
              <w:rPr>
                <w:w w:val="105"/>
              </w:rPr>
              <w:t>of</w:t>
            </w:r>
            <w:r>
              <w:rPr>
                <w:spacing w:val="-12"/>
                <w:w w:val="105"/>
              </w:rPr>
              <w:t xml:space="preserve"> </w:t>
            </w:r>
            <w:r>
              <w:rPr>
                <w:w w:val="105"/>
              </w:rPr>
              <w:t>5</w:t>
            </w:r>
          </w:p>
        </w:tc>
        <w:tc>
          <w:tcPr>
            <w:tcW w:w="1134" w:type="dxa"/>
            <w:tcBorders>
              <w:top w:val="nil"/>
            </w:tcBorders>
          </w:tcPr>
          <w:p w14:paraId="06731676" w14:textId="77777777" w:rsidR="00B104C4" w:rsidRDefault="00B104C4" w:rsidP="00B104C4">
            <w:pPr>
              <w:pStyle w:val="TableText"/>
              <w:jc w:val="right"/>
            </w:pPr>
            <w:r>
              <w:rPr>
                <w:w w:val="105"/>
              </w:rPr>
              <w:t>3.62</w:t>
            </w:r>
          </w:p>
        </w:tc>
        <w:tc>
          <w:tcPr>
            <w:tcW w:w="1134" w:type="dxa"/>
            <w:tcBorders>
              <w:top w:val="nil"/>
            </w:tcBorders>
          </w:tcPr>
          <w:p w14:paraId="083166F1" w14:textId="6EEDCFBA" w:rsidR="00B104C4" w:rsidRPr="001264D2" w:rsidRDefault="00B104C4" w:rsidP="00B104C4">
            <w:pPr>
              <w:pStyle w:val="TableText"/>
              <w:jc w:val="right"/>
            </w:pPr>
            <w:r w:rsidRPr="00807E73">
              <w:rPr>
                <w:b/>
                <w:bCs/>
              </w:rPr>
              <w:sym w:font="Wingdings" w:char="F0FC"/>
            </w:r>
          </w:p>
        </w:tc>
      </w:tr>
      <w:tr w:rsidR="00B104C4" w14:paraId="54216DAC" w14:textId="77777777" w:rsidTr="00CB0000">
        <w:trPr>
          <w:trHeight w:val="818"/>
        </w:trPr>
        <w:tc>
          <w:tcPr>
            <w:tcW w:w="3686" w:type="dxa"/>
          </w:tcPr>
          <w:p w14:paraId="3A969059" w14:textId="77777777" w:rsidR="00B104C4" w:rsidRDefault="00B104C4" w:rsidP="00B104C4">
            <w:pPr>
              <w:pStyle w:val="TableText"/>
            </w:pPr>
            <w:r>
              <w:rPr>
                <w:w w:val="105"/>
              </w:rPr>
              <w:t>Ministerial</w:t>
            </w:r>
            <w:r>
              <w:rPr>
                <w:spacing w:val="-12"/>
                <w:w w:val="105"/>
              </w:rPr>
              <w:t xml:space="preserve"> </w:t>
            </w:r>
            <w:r>
              <w:rPr>
                <w:w w:val="105"/>
              </w:rPr>
              <w:t>satisfaction</w:t>
            </w:r>
            <w:r>
              <w:rPr>
                <w:spacing w:val="-12"/>
                <w:w w:val="105"/>
              </w:rPr>
              <w:t xml:space="preserve"> </w:t>
            </w:r>
            <w:r>
              <w:rPr>
                <w:w w:val="105"/>
              </w:rPr>
              <w:t>with</w:t>
            </w:r>
            <w:r>
              <w:rPr>
                <w:spacing w:val="-11"/>
                <w:w w:val="105"/>
              </w:rPr>
              <w:t xml:space="preserve"> </w:t>
            </w:r>
            <w:r>
              <w:rPr>
                <w:w w:val="105"/>
              </w:rPr>
              <w:t>the</w:t>
            </w:r>
            <w:r>
              <w:rPr>
                <w:spacing w:val="-12"/>
                <w:w w:val="105"/>
              </w:rPr>
              <w:t xml:space="preserve"> </w:t>
            </w:r>
            <w:r>
              <w:rPr>
                <w:w w:val="105"/>
              </w:rPr>
              <w:t>policy</w:t>
            </w:r>
            <w:r>
              <w:rPr>
                <w:spacing w:val="-12"/>
                <w:w w:val="105"/>
              </w:rPr>
              <w:t xml:space="preserve"> </w:t>
            </w:r>
            <w:r>
              <w:rPr>
                <w:w w:val="105"/>
              </w:rPr>
              <w:t>advice</w:t>
            </w:r>
            <w:r>
              <w:rPr>
                <w:spacing w:val="-49"/>
                <w:w w:val="105"/>
              </w:rPr>
              <w:t xml:space="preserve"> </w:t>
            </w:r>
            <w:r>
              <w:rPr>
                <w:w w:val="105"/>
              </w:rPr>
              <w:t>service</w:t>
            </w:r>
          </w:p>
        </w:tc>
        <w:tc>
          <w:tcPr>
            <w:tcW w:w="1134" w:type="dxa"/>
          </w:tcPr>
          <w:p w14:paraId="3D2C6F2A" w14:textId="77777777" w:rsidR="00B104C4" w:rsidRDefault="00B104C4" w:rsidP="00B104C4">
            <w:pPr>
              <w:pStyle w:val="TableText"/>
              <w:jc w:val="right"/>
            </w:pPr>
            <w:r>
              <w:rPr>
                <w:w w:val="105"/>
              </w:rPr>
              <w:t>3.9</w:t>
            </w:r>
          </w:p>
        </w:tc>
        <w:tc>
          <w:tcPr>
            <w:tcW w:w="1134" w:type="dxa"/>
          </w:tcPr>
          <w:p w14:paraId="6CB16703" w14:textId="77777777" w:rsidR="00B104C4" w:rsidRDefault="00B104C4" w:rsidP="00B104C4">
            <w:pPr>
              <w:pStyle w:val="TableText"/>
              <w:jc w:val="right"/>
            </w:pPr>
            <w:r>
              <w:t>Equal to or</w:t>
            </w:r>
            <w:r>
              <w:rPr>
                <w:spacing w:val="-47"/>
              </w:rPr>
              <w:t xml:space="preserve"> </w:t>
            </w:r>
            <w:r>
              <w:t>greater</w:t>
            </w:r>
            <w:r>
              <w:rPr>
                <w:spacing w:val="9"/>
              </w:rPr>
              <w:t xml:space="preserve"> </w:t>
            </w:r>
            <w:r>
              <w:t>than</w:t>
            </w:r>
            <w:r>
              <w:rPr>
                <w:spacing w:val="-47"/>
              </w:rPr>
              <w:t xml:space="preserve"> </w:t>
            </w:r>
            <w:r>
              <w:rPr>
                <w:w w:val="105"/>
              </w:rPr>
              <w:t>4</w:t>
            </w:r>
            <w:r>
              <w:rPr>
                <w:spacing w:val="-5"/>
                <w:w w:val="105"/>
              </w:rPr>
              <w:t xml:space="preserve"> </w:t>
            </w:r>
            <w:r>
              <w:rPr>
                <w:w w:val="105"/>
              </w:rPr>
              <w:t>out</w:t>
            </w:r>
            <w:r>
              <w:rPr>
                <w:spacing w:val="-4"/>
                <w:w w:val="105"/>
              </w:rPr>
              <w:t xml:space="preserve"> </w:t>
            </w:r>
            <w:r>
              <w:rPr>
                <w:w w:val="105"/>
              </w:rPr>
              <w:t>of</w:t>
            </w:r>
            <w:r>
              <w:rPr>
                <w:spacing w:val="-5"/>
                <w:w w:val="105"/>
              </w:rPr>
              <w:t xml:space="preserve"> </w:t>
            </w:r>
            <w:r>
              <w:rPr>
                <w:w w:val="105"/>
              </w:rPr>
              <w:t>5</w:t>
            </w:r>
          </w:p>
        </w:tc>
        <w:tc>
          <w:tcPr>
            <w:tcW w:w="1134" w:type="dxa"/>
          </w:tcPr>
          <w:p w14:paraId="6CC9C63D" w14:textId="77777777" w:rsidR="00B104C4" w:rsidRDefault="00B104C4" w:rsidP="00B104C4">
            <w:pPr>
              <w:pStyle w:val="TableText"/>
              <w:jc w:val="right"/>
            </w:pPr>
            <w:r>
              <w:t>4.27</w:t>
            </w:r>
          </w:p>
        </w:tc>
        <w:tc>
          <w:tcPr>
            <w:tcW w:w="1134" w:type="dxa"/>
          </w:tcPr>
          <w:p w14:paraId="13C6FE96" w14:textId="20E53E83" w:rsidR="00B104C4" w:rsidRPr="001264D2" w:rsidRDefault="00B104C4" w:rsidP="00B104C4">
            <w:pPr>
              <w:pStyle w:val="TableText"/>
              <w:jc w:val="right"/>
            </w:pPr>
            <w:r w:rsidRPr="00807E73">
              <w:rPr>
                <w:b/>
                <w:bCs/>
              </w:rPr>
              <w:sym w:font="Wingdings" w:char="F0FC"/>
            </w:r>
          </w:p>
        </w:tc>
      </w:tr>
      <w:tr w:rsidR="008762C7" w14:paraId="0E59CE7E" w14:textId="77777777" w:rsidTr="00CB0000">
        <w:trPr>
          <w:trHeight w:val="625"/>
        </w:trPr>
        <w:tc>
          <w:tcPr>
            <w:tcW w:w="3686" w:type="dxa"/>
            <w:tcBorders>
              <w:bottom w:val="nil"/>
            </w:tcBorders>
          </w:tcPr>
          <w:p w14:paraId="21794DA2" w14:textId="77777777" w:rsidR="008762C7" w:rsidRDefault="008762C7" w:rsidP="008762C7">
            <w:pPr>
              <w:pStyle w:val="TableText"/>
            </w:pPr>
            <w:r>
              <w:t>Percentage</w:t>
            </w:r>
            <w:r>
              <w:rPr>
                <w:spacing w:val="11"/>
              </w:rPr>
              <w:t xml:space="preserve"> </w:t>
            </w:r>
            <w:r>
              <w:t>of</w:t>
            </w:r>
            <w:r>
              <w:rPr>
                <w:spacing w:val="11"/>
              </w:rPr>
              <w:t xml:space="preserve"> </w:t>
            </w:r>
            <w:r>
              <w:t>responses</w:t>
            </w:r>
            <w:r>
              <w:rPr>
                <w:spacing w:val="11"/>
              </w:rPr>
              <w:t xml:space="preserve"> </w:t>
            </w:r>
            <w:r>
              <w:t>provided</w:t>
            </w:r>
            <w:r>
              <w:rPr>
                <w:spacing w:val="11"/>
              </w:rPr>
              <w:t xml:space="preserve"> </w:t>
            </w:r>
            <w:r>
              <w:t>to</w:t>
            </w:r>
            <w:r>
              <w:rPr>
                <w:spacing w:val="11"/>
              </w:rPr>
              <w:t xml:space="preserve"> </w:t>
            </w:r>
            <w:r>
              <w:t>the</w:t>
            </w:r>
            <w:r>
              <w:rPr>
                <w:spacing w:val="-47"/>
              </w:rPr>
              <w:t xml:space="preserve"> </w:t>
            </w:r>
            <w:r>
              <w:rPr>
                <w:w w:val="105"/>
              </w:rPr>
              <w:t>Minister</w:t>
            </w:r>
            <w:r>
              <w:rPr>
                <w:spacing w:val="-5"/>
                <w:w w:val="105"/>
              </w:rPr>
              <w:t xml:space="preserve"> </w:t>
            </w:r>
            <w:r>
              <w:rPr>
                <w:w w:val="105"/>
              </w:rPr>
              <w:t>within</w:t>
            </w:r>
            <w:r>
              <w:rPr>
                <w:spacing w:val="-5"/>
                <w:w w:val="105"/>
              </w:rPr>
              <w:t xml:space="preserve"> </w:t>
            </w:r>
            <w:r>
              <w:rPr>
                <w:w w:val="105"/>
              </w:rPr>
              <w:t>agreed</w:t>
            </w:r>
            <w:r>
              <w:rPr>
                <w:spacing w:val="-4"/>
                <w:w w:val="105"/>
              </w:rPr>
              <w:t xml:space="preserve"> </w:t>
            </w:r>
            <w:r>
              <w:rPr>
                <w:w w:val="105"/>
              </w:rPr>
              <w:t>timeframes:</w:t>
            </w:r>
          </w:p>
        </w:tc>
        <w:tc>
          <w:tcPr>
            <w:tcW w:w="1134" w:type="dxa"/>
            <w:tcBorders>
              <w:bottom w:val="nil"/>
            </w:tcBorders>
          </w:tcPr>
          <w:p w14:paraId="45A3F3C7" w14:textId="77777777" w:rsidR="008762C7" w:rsidRDefault="008762C7" w:rsidP="008762C7">
            <w:pPr>
              <w:pStyle w:val="TableText"/>
              <w:jc w:val="right"/>
              <w:rPr>
                <w:rFonts w:ascii="Times New Roman"/>
              </w:rPr>
            </w:pPr>
          </w:p>
        </w:tc>
        <w:tc>
          <w:tcPr>
            <w:tcW w:w="1134" w:type="dxa"/>
            <w:tcBorders>
              <w:bottom w:val="nil"/>
            </w:tcBorders>
          </w:tcPr>
          <w:p w14:paraId="3DCBEE69" w14:textId="77777777" w:rsidR="008762C7" w:rsidRDefault="008762C7" w:rsidP="008762C7">
            <w:pPr>
              <w:pStyle w:val="TableText"/>
              <w:jc w:val="right"/>
              <w:rPr>
                <w:rFonts w:ascii="Times New Roman"/>
              </w:rPr>
            </w:pPr>
          </w:p>
        </w:tc>
        <w:tc>
          <w:tcPr>
            <w:tcW w:w="1134" w:type="dxa"/>
            <w:tcBorders>
              <w:bottom w:val="nil"/>
            </w:tcBorders>
          </w:tcPr>
          <w:p w14:paraId="5386192C" w14:textId="77777777" w:rsidR="008762C7" w:rsidRDefault="008762C7" w:rsidP="008762C7">
            <w:pPr>
              <w:pStyle w:val="TableText"/>
              <w:jc w:val="right"/>
              <w:rPr>
                <w:rFonts w:ascii="Times New Roman"/>
              </w:rPr>
            </w:pPr>
          </w:p>
        </w:tc>
        <w:tc>
          <w:tcPr>
            <w:tcW w:w="1134" w:type="dxa"/>
            <w:tcBorders>
              <w:bottom w:val="nil"/>
            </w:tcBorders>
          </w:tcPr>
          <w:p w14:paraId="5A807D75" w14:textId="77777777" w:rsidR="008762C7" w:rsidRPr="001264D2" w:rsidRDefault="008762C7" w:rsidP="001264D2">
            <w:pPr>
              <w:pStyle w:val="TableText"/>
              <w:jc w:val="right"/>
            </w:pPr>
          </w:p>
        </w:tc>
      </w:tr>
      <w:tr w:rsidR="00B104C4" w14:paraId="5A7BBE1B" w14:textId="77777777" w:rsidTr="00CB0000">
        <w:trPr>
          <w:trHeight w:val="362"/>
        </w:trPr>
        <w:tc>
          <w:tcPr>
            <w:tcW w:w="3686" w:type="dxa"/>
            <w:tcBorders>
              <w:top w:val="nil"/>
              <w:bottom w:val="nil"/>
            </w:tcBorders>
          </w:tcPr>
          <w:p w14:paraId="26537B36" w14:textId="77777777" w:rsidR="00B104C4" w:rsidRDefault="00B104C4" w:rsidP="00B104C4">
            <w:pPr>
              <w:pStyle w:val="TableText"/>
            </w:pPr>
            <w:r>
              <w:t>Ministerial</w:t>
            </w:r>
            <w:r>
              <w:rPr>
                <w:spacing w:val="17"/>
              </w:rPr>
              <w:t xml:space="preserve"> </w:t>
            </w:r>
            <w:r>
              <w:t>letters</w:t>
            </w:r>
            <w:r>
              <w:rPr>
                <w:spacing w:val="18"/>
              </w:rPr>
              <w:t xml:space="preserve"> </w:t>
            </w:r>
            <w:r>
              <w:t>(Note</w:t>
            </w:r>
            <w:r>
              <w:rPr>
                <w:spacing w:val="18"/>
              </w:rPr>
              <w:t xml:space="preserve"> </w:t>
            </w:r>
            <w:r>
              <w:t>1)</w:t>
            </w:r>
          </w:p>
        </w:tc>
        <w:tc>
          <w:tcPr>
            <w:tcW w:w="1134" w:type="dxa"/>
            <w:tcBorders>
              <w:top w:val="nil"/>
              <w:bottom w:val="nil"/>
            </w:tcBorders>
          </w:tcPr>
          <w:p w14:paraId="6BAA8C60" w14:textId="77777777" w:rsidR="00B104C4" w:rsidRDefault="00B104C4" w:rsidP="00B104C4">
            <w:pPr>
              <w:pStyle w:val="TableText"/>
              <w:jc w:val="right"/>
            </w:pPr>
            <w:r>
              <w:rPr>
                <w:w w:val="105"/>
              </w:rPr>
              <w:t>96.2%</w:t>
            </w:r>
          </w:p>
        </w:tc>
        <w:tc>
          <w:tcPr>
            <w:tcW w:w="1134" w:type="dxa"/>
            <w:tcBorders>
              <w:top w:val="nil"/>
              <w:bottom w:val="nil"/>
            </w:tcBorders>
          </w:tcPr>
          <w:p w14:paraId="08D81CD7" w14:textId="77777777" w:rsidR="00B104C4" w:rsidRDefault="00B104C4" w:rsidP="00B104C4">
            <w:pPr>
              <w:pStyle w:val="TableText"/>
              <w:jc w:val="right"/>
            </w:pPr>
            <w:r>
              <w:rPr>
                <w:w w:val="105"/>
              </w:rPr>
              <w:t>95%</w:t>
            </w:r>
          </w:p>
        </w:tc>
        <w:tc>
          <w:tcPr>
            <w:tcW w:w="1134" w:type="dxa"/>
            <w:tcBorders>
              <w:top w:val="nil"/>
              <w:bottom w:val="nil"/>
            </w:tcBorders>
          </w:tcPr>
          <w:p w14:paraId="65D70F30" w14:textId="77777777" w:rsidR="00B104C4" w:rsidRDefault="00B104C4" w:rsidP="00B104C4">
            <w:pPr>
              <w:pStyle w:val="TableText"/>
              <w:jc w:val="right"/>
            </w:pPr>
            <w:r>
              <w:rPr>
                <w:w w:val="105"/>
              </w:rPr>
              <w:t>95.04%</w:t>
            </w:r>
          </w:p>
        </w:tc>
        <w:tc>
          <w:tcPr>
            <w:tcW w:w="1134" w:type="dxa"/>
            <w:tcBorders>
              <w:top w:val="nil"/>
              <w:bottom w:val="nil"/>
            </w:tcBorders>
          </w:tcPr>
          <w:p w14:paraId="066E8F4A" w14:textId="5E569A3C" w:rsidR="00B104C4" w:rsidRPr="00B104C4" w:rsidRDefault="00B104C4" w:rsidP="00B104C4">
            <w:pPr>
              <w:pStyle w:val="TableText"/>
              <w:jc w:val="right"/>
              <w:rPr>
                <w:b/>
                <w:bCs/>
              </w:rPr>
            </w:pPr>
            <w:r w:rsidRPr="008F1AC7">
              <w:rPr>
                <w:b/>
                <w:bCs/>
              </w:rPr>
              <w:sym w:font="Wingdings" w:char="F0FC"/>
            </w:r>
          </w:p>
        </w:tc>
      </w:tr>
      <w:tr w:rsidR="00B104C4" w14:paraId="0B5EC7C7" w14:textId="77777777" w:rsidTr="00CB0000">
        <w:trPr>
          <w:trHeight w:val="375"/>
        </w:trPr>
        <w:tc>
          <w:tcPr>
            <w:tcW w:w="3686" w:type="dxa"/>
            <w:tcBorders>
              <w:top w:val="nil"/>
              <w:bottom w:val="nil"/>
            </w:tcBorders>
          </w:tcPr>
          <w:p w14:paraId="583902CD" w14:textId="77777777" w:rsidR="00B104C4" w:rsidRDefault="00B104C4" w:rsidP="00B104C4">
            <w:pPr>
              <w:pStyle w:val="TableText"/>
            </w:pPr>
            <w:r>
              <w:rPr>
                <w:w w:val="105"/>
              </w:rPr>
              <w:t>Written</w:t>
            </w:r>
            <w:r>
              <w:rPr>
                <w:spacing w:val="3"/>
                <w:w w:val="105"/>
              </w:rPr>
              <w:t xml:space="preserve"> </w:t>
            </w:r>
            <w:r>
              <w:rPr>
                <w:w w:val="105"/>
              </w:rPr>
              <w:t>parliamentary</w:t>
            </w:r>
            <w:r>
              <w:rPr>
                <w:spacing w:val="4"/>
                <w:w w:val="105"/>
              </w:rPr>
              <w:t xml:space="preserve"> </w:t>
            </w:r>
            <w:r>
              <w:rPr>
                <w:w w:val="105"/>
              </w:rPr>
              <w:t>questions</w:t>
            </w:r>
          </w:p>
        </w:tc>
        <w:tc>
          <w:tcPr>
            <w:tcW w:w="1134" w:type="dxa"/>
            <w:tcBorders>
              <w:top w:val="nil"/>
              <w:bottom w:val="nil"/>
            </w:tcBorders>
          </w:tcPr>
          <w:p w14:paraId="1E2D4904" w14:textId="77777777" w:rsidR="00B104C4" w:rsidRDefault="00B104C4" w:rsidP="00B104C4">
            <w:pPr>
              <w:pStyle w:val="TableText"/>
              <w:jc w:val="right"/>
            </w:pPr>
            <w:r>
              <w:t>100%</w:t>
            </w:r>
          </w:p>
        </w:tc>
        <w:tc>
          <w:tcPr>
            <w:tcW w:w="1134" w:type="dxa"/>
            <w:tcBorders>
              <w:top w:val="nil"/>
              <w:bottom w:val="nil"/>
            </w:tcBorders>
          </w:tcPr>
          <w:p w14:paraId="4A56F06D" w14:textId="77777777" w:rsidR="00B104C4" w:rsidRDefault="00B104C4" w:rsidP="00B104C4">
            <w:pPr>
              <w:pStyle w:val="TableText"/>
              <w:jc w:val="right"/>
            </w:pPr>
            <w:r>
              <w:rPr>
                <w:w w:val="105"/>
              </w:rPr>
              <w:t>95%</w:t>
            </w:r>
          </w:p>
        </w:tc>
        <w:tc>
          <w:tcPr>
            <w:tcW w:w="1134" w:type="dxa"/>
            <w:tcBorders>
              <w:top w:val="nil"/>
              <w:bottom w:val="nil"/>
            </w:tcBorders>
          </w:tcPr>
          <w:p w14:paraId="04525480" w14:textId="77777777" w:rsidR="00B104C4" w:rsidRDefault="00B104C4" w:rsidP="00B104C4">
            <w:pPr>
              <w:pStyle w:val="TableText"/>
              <w:jc w:val="right"/>
            </w:pPr>
            <w:r>
              <w:rPr>
                <w:w w:val="105"/>
              </w:rPr>
              <w:t>98.4%</w:t>
            </w:r>
          </w:p>
        </w:tc>
        <w:tc>
          <w:tcPr>
            <w:tcW w:w="1134" w:type="dxa"/>
            <w:tcBorders>
              <w:top w:val="nil"/>
              <w:bottom w:val="nil"/>
            </w:tcBorders>
          </w:tcPr>
          <w:p w14:paraId="6580703D" w14:textId="1855FC63" w:rsidR="00B104C4" w:rsidRPr="00B104C4" w:rsidRDefault="00B104C4" w:rsidP="00B104C4">
            <w:pPr>
              <w:pStyle w:val="TableText"/>
              <w:jc w:val="right"/>
              <w:rPr>
                <w:b/>
                <w:bCs/>
              </w:rPr>
            </w:pPr>
            <w:r w:rsidRPr="008F1AC7">
              <w:rPr>
                <w:b/>
                <w:bCs/>
              </w:rPr>
              <w:sym w:font="Wingdings" w:char="F0FC"/>
            </w:r>
          </w:p>
        </w:tc>
      </w:tr>
      <w:tr w:rsidR="00B104C4" w14:paraId="7F543B60" w14:textId="77777777" w:rsidTr="00CB0000">
        <w:trPr>
          <w:trHeight w:val="556"/>
        </w:trPr>
        <w:tc>
          <w:tcPr>
            <w:tcW w:w="3686" w:type="dxa"/>
            <w:tcBorders>
              <w:top w:val="nil"/>
            </w:tcBorders>
          </w:tcPr>
          <w:p w14:paraId="4E22DB2F" w14:textId="77777777" w:rsidR="00B104C4" w:rsidRDefault="00B104C4" w:rsidP="00B104C4">
            <w:pPr>
              <w:pStyle w:val="TableText"/>
            </w:pPr>
            <w:r>
              <w:t>Ministerial</w:t>
            </w:r>
            <w:r>
              <w:rPr>
                <w:spacing w:val="31"/>
              </w:rPr>
              <w:t xml:space="preserve"> </w:t>
            </w:r>
            <w:r>
              <w:t>Official</w:t>
            </w:r>
            <w:r>
              <w:rPr>
                <w:spacing w:val="31"/>
              </w:rPr>
              <w:t xml:space="preserve"> </w:t>
            </w:r>
            <w:r>
              <w:t>Information</w:t>
            </w:r>
            <w:r>
              <w:rPr>
                <w:spacing w:val="32"/>
              </w:rPr>
              <w:t xml:space="preserve"> </w:t>
            </w:r>
            <w:r>
              <w:t>Act</w:t>
            </w:r>
            <w:r>
              <w:rPr>
                <w:spacing w:val="31"/>
              </w:rPr>
              <w:t xml:space="preserve"> </w:t>
            </w:r>
            <w:r>
              <w:t>requests</w:t>
            </w:r>
            <w:r>
              <w:rPr>
                <w:spacing w:val="-47"/>
              </w:rPr>
              <w:t xml:space="preserve"> </w:t>
            </w:r>
            <w:r>
              <w:t>(Note</w:t>
            </w:r>
            <w:r>
              <w:rPr>
                <w:spacing w:val="-3"/>
              </w:rPr>
              <w:t xml:space="preserve"> </w:t>
            </w:r>
            <w:r>
              <w:t>1)</w:t>
            </w:r>
          </w:p>
        </w:tc>
        <w:tc>
          <w:tcPr>
            <w:tcW w:w="1134" w:type="dxa"/>
            <w:tcBorders>
              <w:top w:val="nil"/>
            </w:tcBorders>
          </w:tcPr>
          <w:p w14:paraId="2A3F7543" w14:textId="77777777" w:rsidR="00B104C4" w:rsidRDefault="00B104C4" w:rsidP="00B104C4">
            <w:pPr>
              <w:pStyle w:val="TableText"/>
              <w:jc w:val="right"/>
            </w:pPr>
            <w:r>
              <w:rPr>
                <w:w w:val="105"/>
              </w:rPr>
              <w:t>96.5%</w:t>
            </w:r>
          </w:p>
        </w:tc>
        <w:tc>
          <w:tcPr>
            <w:tcW w:w="1134" w:type="dxa"/>
            <w:tcBorders>
              <w:top w:val="nil"/>
            </w:tcBorders>
          </w:tcPr>
          <w:p w14:paraId="5F82675A" w14:textId="77777777" w:rsidR="00B104C4" w:rsidRDefault="00B104C4" w:rsidP="00B104C4">
            <w:pPr>
              <w:pStyle w:val="TableText"/>
              <w:jc w:val="right"/>
            </w:pPr>
            <w:r>
              <w:rPr>
                <w:w w:val="105"/>
              </w:rPr>
              <w:t>95%</w:t>
            </w:r>
          </w:p>
        </w:tc>
        <w:tc>
          <w:tcPr>
            <w:tcW w:w="1134" w:type="dxa"/>
            <w:tcBorders>
              <w:top w:val="nil"/>
            </w:tcBorders>
          </w:tcPr>
          <w:p w14:paraId="28C3C3A2" w14:textId="77777777" w:rsidR="00B104C4" w:rsidRDefault="00B104C4" w:rsidP="00B104C4">
            <w:pPr>
              <w:pStyle w:val="TableText"/>
              <w:jc w:val="right"/>
            </w:pPr>
            <w:r>
              <w:rPr>
                <w:w w:val="105"/>
              </w:rPr>
              <w:t>95.43%</w:t>
            </w:r>
          </w:p>
        </w:tc>
        <w:tc>
          <w:tcPr>
            <w:tcW w:w="1134" w:type="dxa"/>
            <w:tcBorders>
              <w:top w:val="nil"/>
            </w:tcBorders>
          </w:tcPr>
          <w:p w14:paraId="7934F2D1" w14:textId="295EAF8C" w:rsidR="00B104C4" w:rsidRPr="00B104C4" w:rsidRDefault="00B104C4" w:rsidP="00B104C4">
            <w:pPr>
              <w:pStyle w:val="TableText"/>
              <w:jc w:val="right"/>
              <w:rPr>
                <w:b/>
                <w:bCs/>
              </w:rPr>
            </w:pPr>
            <w:r w:rsidRPr="008F1AC7">
              <w:rPr>
                <w:b/>
                <w:bCs/>
              </w:rPr>
              <w:sym w:font="Wingdings" w:char="F0FC"/>
            </w:r>
          </w:p>
        </w:tc>
      </w:tr>
      <w:tr w:rsidR="008762C7" w14:paraId="15445034" w14:textId="77777777" w:rsidTr="00CB0000">
        <w:trPr>
          <w:trHeight w:val="818"/>
        </w:trPr>
        <w:tc>
          <w:tcPr>
            <w:tcW w:w="3686" w:type="dxa"/>
          </w:tcPr>
          <w:p w14:paraId="5D76D107" w14:textId="77777777" w:rsidR="008762C7" w:rsidRDefault="008762C7" w:rsidP="008762C7">
            <w:pPr>
              <w:pStyle w:val="TableText"/>
            </w:pPr>
            <w:r>
              <w:t>Percentage</w:t>
            </w:r>
            <w:r>
              <w:rPr>
                <w:spacing w:val="11"/>
              </w:rPr>
              <w:t xml:space="preserve"> </w:t>
            </w:r>
            <w:r>
              <w:t>of</w:t>
            </w:r>
            <w:r>
              <w:rPr>
                <w:spacing w:val="11"/>
              </w:rPr>
              <w:t xml:space="preserve"> </w:t>
            </w:r>
            <w:r>
              <w:t>responses</w:t>
            </w:r>
            <w:r>
              <w:rPr>
                <w:spacing w:val="11"/>
              </w:rPr>
              <w:t xml:space="preserve"> </w:t>
            </w:r>
            <w:r>
              <w:t>provided</w:t>
            </w:r>
            <w:r>
              <w:rPr>
                <w:spacing w:val="11"/>
              </w:rPr>
              <w:t xml:space="preserve"> </w:t>
            </w:r>
            <w:r>
              <w:t>to</w:t>
            </w:r>
            <w:r>
              <w:rPr>
                <w:spacing w:val="11"/>
              </w:rPr>
              <w:t xml:space="preserve"> </w:t>
            </w:r>
            <w:r>
              <w:t>the</w:t>
            </w:r>
            <w:r>
              <w:rPr>
                <w:spacing w:val="-47"/>
              </w:rPr>
              <w:t xml:space="preserve"> </w:t>
            </w:r>
            <w:r>
              <w:rPr>
                <w:w w:val="105"/>
              </w:rPr>
              <w:t>Minister that required no [substantive]</w:t>
            </w:r>
            <w:r>
              <w:rPr>
                <w:spacing w:val="1"/>
                <w:w w:val="105"/>
              </w:rPr>
              <w:t xml:space="preserve"> </w:t>
            </w:r>
            <w:r>
              <w:rPr>
                <w:w w:val="105"/>
              </w:rPr>
              <w:t>amendments:</w:t>
            </w:r>
          </w:p>
        </w:tc>
        <w:tc>
          <w:tcPr>
            <w:tcW w:w="1134" w:type="dxa"/>
          </w:tcPr>
          <w:p w14:paraId="323DDCD3" w14:textId="77777777" w:rsidR="008762C7" w:rsidRDefault="008762C7" w:rsidP="008762C7">
            <w:pPr>
              <w:pStyle w:val="TableText"/>
              <w:jc w:val="right"/>
              <w:rPr>
                <w:rFonts w:ascii="Times New Roman"/>
              </w:rPr>
            </w:pPr>
          </w:p>
        </w:tc>
        <w:tc>
          <w:tcPr>
            <w:tcW w:w="1134" w:type="dxa"/>
          </w:tcPr>
          <w:p w14:paraId="0A4D57FB" w14:textId="77777777" w:rsidR="008762C7" w:rsidRDefault="008762C7" w:rsidP="008762C7">
            <w:pPr>
              <w:pStyle w:val="TableText"/>
              <w:jc w:val="right"/>
              <w:rPr>
                <w:rFonts w:ascii="Times New Roman"/>
              </w:rPr>
            </w:pPr>
          </w:p>
        </w:tc>
        <w:tc>
          <w:tcPr>
            <w:tcW w:w="1134" w:type="dxa"/>
          </w:tcPr>
          <w:p w14:paraId="5434FD0B" w14:textId="77777777" w:rsidR="008762C7" w:rsidRDefault="008762C7" w:rsidP="008762C7">
            <w:pPr>
              <w:pStyle w:val="TableText"/>
              <w:jc w:val="right"/>
              <w:rPr>
                <w:rFonts w:ascii="Times New Roman"/>
              </w:rPr>
            </w:pPr>
          </w:p>
        </w:tc>
        <w:tc>
          <w:tcPr>
            <w:tcW w:w="1134" w:type="dxa"/>
          </w:tcPr>
          <w:p w14:paraId="0FDC6611" w14:textId="77777777" w:rsidR="008762C7" w:rsidRPr="001264D2" w:rsidRDefault="008762C7" w:rsidP="001264D2">
            <w:pPr>
              <w:pStyle w:val="TableText"/>
              <w:jc w:val="right"/>
            </w:pPr>
          </w:p>
        </w:tc>
      </w:tr>
      <w:tr w:rsidR="008762C7" w14:paraId="06672303" w14:textId="77777777" w:rsidTr="00CB0000">
        <w:trPr>
          <w:trHeight w:val="578"/>
        </w:trPr>
        <w:tc>
          <w:tcPr>
            <w:tcW w:w="3686" w:type="dxa"/>
          </w:tcPr>
          <w:p w14:paraId="78C58CF1" w14:textId="77777777" w:rsidR="008762C7" w:rsidRDefault="008762C7" w:rsidP="008762C7">
            <w:pPr>
              <w:pStyle w:val="TableText"/>
            </w:pPr>
            <w:r>
              <w:rPr>
                <w:w w:val="105"/>
              </w:rPr>
              <w:t>Ministerial</w:t>
            </w:r>
            <w:r>
              <w:rPr>
                <w:spacing w:val="12"/>
                <w:w w:val="105"/>
              </w:rPr>
              <w:t xml:space="preserve"> </w:t>
            </w:r>
            <w:r>
              <w:rPr>
                <w:w w:val="105"/>
              </w:rPr>
              <w:t>letters</w:t>
            </w:r>
          </w:p>
        </w:tc>
        <w:tc>
          <w:tcPr>
            <w:tcW w:w="1134" w:type="dxa"/>
          </w:tcPr>
          <w:p w14:paraId="4DBCE047" w14:textId="77777777" w:rsidR="008762C7" w:rsidRDefault="008762C7" w:rsidP="008762C7">
            <w:pPr>
              <w:pStyle w:val="TableText"/>
              <w:jc w:val="right"/>
            </w:pPr>
            <w:r>
              <w:rPr>
                <w:w w:val="95"/>
              </w:rPr>
              <w:t>New</w:t>
            </w:r>
            <w:r>
              <w:rPr>
                <w:spacing w:val="-45"/>
                <w:w w:val="95"/>
              </w:rPr>
              <w:t xml:space="preserve"> </w:t>
            </w:r>
            <w:r>
              <w:rPr>
                <w:w w:val="105"/>
              </w:rPr>
              <w:t>measure</w:t>
            </w:r>
          </w:p>
        </w:tc>
        <w:tc>
          <w:tcPr>
            <w:tcW w:w="1134" w:type="dxa"/>
          </w:tcPr>
          <w:p w14:paraId="61F4DED4" w14:textId="77777777" w:rsidR="008762C7" w:rsidRDefault="008762C7" w:rsidP="008762C7">
            <w:pPr>
              <w:pStyle w:val="TableText"/>
              <w:jc w:val="right"/>
            </w:pPr>
            <w:r>
              <w:rPr>
                <w:w w:val="105"/>
              </w:rPr>
              <w:t>95%</w:t>
            </w:r>
          </w:p>
        </w:tc>
        <w:tc>
          <w:tcPr>
            <w:tcW w:w="1134" w:type="dxa"/>
          </w:tcPr>
          <w:p w14:paraId="0A155F75" w14:textId="77777777" w:rsidR="008762C7" w:rsidRDefault="008762C7" w:rsidP="008762C7">
            <w:pPr>
              <w:pStyle w:val="TableText"/>
              <w:jc w:val="right"/>
            </w:pPr>
            <w:r>
              <w:rPr>
                <w:w w:val="105"/>
              </w:rPr>
              <w:t>99.92%</w:t>
            </w:r>
          </w:p>
        </w:tc>
        <w:tc>
          <w:tcPr>
            <w:tcW w:w="1134" w:type="dxa"/>
          </w:tcPr>
          <w:p w14:paraId="70FBC951" w14:textId="4CADBB08" w:rsidR="008762C7" w:rsidRPr="00B104C4" w:rsidRDefault="001264D2" w:rsidP="001264D2">
            <w:pPr>
              <w:pStyle w:val="TableText"/>
              <w:jc w:val="right"/>
              <w:rPr>
                <w:b/>
                <w:bCs/>
              </w:rPr>
            </w:pPr>
            <w:r w:rsidRPr="00B104C4">
              <w:rPr>
                <w:b/>
                <w:bCs/>
              </w:rPr>
              <w:sym w:font="Wingdings" w:char="F0FC"/>
            </w:r>
          </w:p>
        </w:tc>
      </w:tr>
      <w:tr w:rsidR="008762C7" w14:paraId="75798462" w14:textId="77777777" w:rsidTr="00CB0000">
        <w:trPr>
          <w:trHeight w:val="578"/>
        </w:trPr>
        <w:tc>
          <w:tcPr>
            <w:tcW w:w="3686" w:type="dxa"/>
          </w:tcPr>
          <w:p w14:paraId="3DB6E3DC" w14:textId="77777777" w:rsidR="008762C7" w:rsidRDefault="008762C7" w:rsidP="008762C7">
            <w:pPr>
              <w:pStyle w:val="TableText"/>
            </w:pPr>
            <w:r>
              <w:rPr>
                <w:w w:val="105"/>
              </w:rPr>
              <w:t>Written</w:t>
            </w:r>
            <w:r>
              <w:rPr>
                <w:spacing w:val="3"/>
                <w:w w:val="105"/>
              </w:rPr>
              <w:t xml:space="preserve"> </w:t>
            </w:r>
            <w:r>
              <w:rPr>
                <w:w w:val="105"/>
              </w:rPr>
              <w:t>parliamentary</w:t>
            </w:r>
            <w:r>
              <w:rPr>
                <w:spacing w:val="4"/>
                <w:w w:val="105"/>
              </w:rPr>
              <w:t xml:space="preserve"> </w:t>
            </w:r>
            <w:r>
              <w:rPr>
                <w:w w:val="105"/>
              </w:rPr>
              <w:t>questions</w:t>
            </w:r>
          </w:p>
        </w:tc>
        <w:tc>
          <w:tcPr>
            <w:tcW w:w="1134" w:type="dxa"/>
          </w:tcPr>
          <w:p w14:paraId="2C504A7C" w14:textId="77777777" w:rsidR="008762C7" w:rsidRDefault="008762C7" w:rsidP="008762C7">
            <w:pPr>
              <w:pStyle w:val="TableText"/>
              <w:jc w:val="right"/>
            </w:pPr>
            <w:r>
              <w:rPr>
                <w:w w:val="95"/>
              </w:rPr>
              <w:t>New</w:t>
            </w:r>
            <w:r>
              <w:rPr>
                <w:spacing w:val="-45"/>
                <w:w w:val="95"/>
              </w:rPr>
              <w:t xml:space="preserve"> </w:t>
            </w:r>
            <w:r>
              <w:rPr>
                <w:w w:val="105"/>
              </w:rPr>
              <w:t>measure</w:t>
            </w:r>
          </w:p>
        </w:tc>
        <w:tc>
          <w:tcPr>
            <w:tcW w:w="1134" w:type="dxa"/>
          </w:tcPr>
          <w:p w14:paraId="1F464F8A" w14:textId="77777777" w:rsidR="008762C7" w:rsidRDefault="008762C7" w:rsidP="008762C7">
            <w:pPr>
              <w:pStyle w:val="TableText"/>
              <w:jc w:val="right"/>
            </w:pPr>
            <w:r>
              <w:rPr>
                <w:w w:val="105"/>
              </w:rPr>
              <w:t>95%</w:t>
            </w:r>
          </w:p>
        </w:tc>
        <w:tc>
          <w:tcPr>
            <w:tcW w:w="1134" w:type="dxa"/>
          </w:tcPr>
          <w:p w14:paraId="67662876" w14:textId="77777777" w:rsidR="008762C7" w:rsidRDefault="008762C7" w:rsidP="008762C7">
            <w:pPr>
              <w:pStyle w:val="TableText"/>
              <w:jc w:val="right"/>
            </w:pPr>
            <w:r>
              <w:rPr>
                <w:w w:val="105"/>
              </w:rPr>
              <w:t>99%</w:t>
            </w:r>
          </w:p>
        </w:tc>
        <w:tc>
          <w:tcPr>
            <w:tcW w:w="1134" w:type="dxa"/>
          </w:tcPr>
          <w:p w14:paraId="552B3412" w14:textId="3FED0DBA" w:rsidR="008762C7" w:rsidRPr="00B104C4" w:rsidRDefault="001264D2" w:rsidP="001264D2">
            <w:pPr>
              <w:pStyle w:val="TableText"/>
              <w:jc w:val="right"/>
              <w:rPr>
                <w:b/>
                <w:bCs/>
              </w:rPr>
            </w:pPr>
            <w:r w:rsidRPr="00B104C4">
              <w:rPr>
                <w:b/>
                <w:bCs/>
              </w:rPr>
              <w:sym w:font="Wingdings" w:char="F0FC"/>
            </w:r>
          </w:p>
        </w:tc>
      </w:tr>
      <w:tr w:rsidR="008762C7" w14:paraId="63A81253" w14:textId="77777777" w:rsidTr="00CB0000">
        <w:trPr>
          <w:trHeight w:val="573"/>
        </w:trPr>
        <w:tc>
          <w:tcPr>
            <w:tcW w:w="3686" w:type="dxa"/>
          </w:tcPr>
          <w:p w14:paraId="51D88861" w14:textId="77777777" w:rsidR="008762C7" w:rsidRDefault="008762C7" w:rsidP="008762C7">
            <w:pPr>
              <w:pStyle w:val="TableText"/>
            </w:pPr>
            <w:r>
              <w:rPr>
                <w:w w:val="105"/>
              </w:rPr>
              <w:t>Ministerial</w:t>
            </w:r>
            <w:r>
              <w:rPr>
                <w:spacing w:val="-6"/>
                <w:w w:val="105"/>
              </w:rPr>
              <w:t xml:space="preserve"> </w:t>
            </w:r>
            <w:r>
              <w:rPr>
                <w:w w:val="105"/>
              </w:rPr>
              <w:t>Official</w:t>
            </w:r>
            <w:r>
              <w:rPr>
                <w:spacing w:val="-6"/>
                <w:w w:val="105"/>
              </w:rPr>
              <w:t xml:space="preserve"> </w:t>
            </w:r>
            <w:r>
              <w:rPr>
                <w:w w:val="105"/>
              </w:rPr>
              <w:t>Information</w:t>
            </w:r>
            <w:r>
              <w:rPr>
                <w:spacing w:val="-6"/>
                <w:w w:val="105"/>
              </w:rPr>
              <w:t xml:space="preserve"> </w:t>
            </w:r>
            <w:r>
              <w:rPr>
                <w:w w:val="105"/>
              </w:rPr>
              <w:t>Act</w:t>
            </w:r>
            <w:r>
              <w:rPr>
                <w:spacing w:val="-6"/>
                <w:w w:val="105"/>
              </w:rPr>
              <w:t xml:space="preserve"> </w:t>
            </w:r>
            <w:r>
              <w:rPr>
                <w:w w:val="105"/>
              </w:rPr>
              <w:t>requests</w:t>
            </w:r>
          </w:p>
        </w:tc>
        <w:tc>
          <w:tcPr>
            <w:tcW w:w="1134" w:type="dxa"/>
          </w:tcPr>
          <w:p w14:paraId="7AF4D6EA" w14:textId="77777777" w:rsidR="008762C7" w:rsidRDefault="008762C7" w:rsidP="008762C7">
            <w:pPr>
              <w:pStyle w:val="TableText"/>
              <w:jc w:val="right"/>
            </w:pPr>
            <w:r>
              <w:rPr>
                <w:w w:val="95"/>
              </w:rPr>
              <w:t>New</w:t>
            </w:r>
            <w:r>
              <w:rPr>
                <w:spacing w:val="-45"/>
                <w:w w:val="95"/>
              </w:rPr>
              <w:t xml:space="preserve"> </w:t>
            </w:r>
            <w:r>
              <w:rPr>
                <w:w w:val="105"/>
              </w:rPr>
              <w:t>measure</w:t>
            </w:r>
          </w:p>
        </w:tc>
        <w:tc>
          <w:tcPr>
            <w:tcW w:w="1134" w:type="dxa"/>
          </w:tcPr>
          <w:p w14:paraId="1DE5BB82" w14:textId="77777777" w:rsidR="008762C7" w:rsidRDefault="008762C7" w:rsidP="008762C7">
            <w:pPr>
              <w:pStyle w:val="TableText"/>
              <w:jc w:val="right"/>
            </w:pPr>
            <w:r>
              <w:rPr>
                <w:w w:val="105"/>
              </w:rPr>
              <w:t>95%</w:t>
            </w:r>
          </w:p>
        </w:tc>
        <w:tc>
          <w:tcPr>
            <w:tcW w:w="1134" w:type="dxa"/>
          </w:tcPr>
          <w:p w14:paraId="11571E4E" w14:textId="77777777" w:rsidR="008762C7" w:rsidRDefault="008762C7" w:rsidP="008762C7">
            <w:pPr>
              <w:pStyle w:val="TableText"/>
              <w:jc w:val="right"/>
            </w:pPr>
            <w:r>
              <w:rPr>
                <w:w w:val="105"/>
              </w:rPr>
              <w:t>99.42%</w:t>
            </w:r>
          </w:p>
        </w:tc>
        <w:tc>
          <w:tcPr>
            <w:tcW w:w="1134" w:type="dxa"/>
          </w:tcPr>
          <w:p w14:paraId="56325307" w14:textId="04348106" w:rsidR="008762C7" w:rsidRPr="00B104C4" w:rsidRDefault="001264D2" w:rsidP="001264D2">
            <w:pPr>
              <w:pStyle w:val="TableText"/>
              <w:jc w:val="right"/>
              <w:rPr>
                <w:b/>
                <w:bCs/>
              </w:rPr>
            </w:pPr>
            <w:r w:rsidRPr="00B104C4">
              <w:rPr>
                <w:b/>
                <w:bCs/>
              </w:rPr>
              <w:sym w:font="Wingdings" w:char="F0FC"/>
            </w:r>
          </w:p>
        </w:tc>
      </w:tr>
    </w:tbl>
    <w:p w14:paraId="1B47ACE6" w14:textId="4409B65A" w:rsidR="001264D2" w:rsidRDefault="001264D2" w:rsidP="001264D2">
      <w:pPr>
        <w:pStyle w:val="Note"/>
      </w:pPr>
      <w:r w:rsidRPr="001264D2">
        <w:t>Note 1: While still achieving budget standard, the actual results for 2021/22 reflect the volume of work and organisational pressures resulting from the August 2021 lockdown and Omicron outbreak</w:t>
      </w:r>
      <w:r w:rsidR="00CB0000">
        <w:t>.</w:t>
      </w:r>
    </w:p>
    <w:p w14:paraId="43A57CA0" w14:textId="3EAAEF79" w:rsidR="00CB0000" w:rsidRDefault="00CB0000" w:rsidP="00CB0000"/>
    <w:p w14:paraId="5998CA4E" w14:textId="77777777" w:rsidR="00CB0000" w:rsidRDefault="00CB0000" w:rsidP="00CB0000">
      <w:pPr>
        <w:pStyle w:val="Heading4"/>
      </w:pPr>
      <w:bookmarkStart w:id="37" w:name="_TOC_250054"/>
      <w:r>
        <w:rPr>
          <w:w w:val="105"/>
        </w:rPr>
        <w:lastRenderedPageBreak/>
        <w:t>Financial</w:t>
      </w:r>
      <w:r>
        <w:rPr>
          <w:spacing w:val="-5"/>
          <w:w w:val="105"/>
        </w:rPr>
        <w:t xml:space="preserve"> </w:t>
      </w:r>
      <w:bookmarkEnd w:id="37"/>
      <w:r>
        <w:rPr>
          <w:w w:val="105"/>
        </w:rPr>
        <w:t>performance</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552"/>
        <w:gridCol w:w="1453"/>
        <w:gridCol w:w="1453"/>
        <w:gridCol w:w="1453"/>
        <w:gridCol w:w="1453"/>
      </w:tblGrid>
      <w:tr w:rsidR="00CB0000" w:rsidRPr="00CB0000" w14:paraId="32C28788" w14:textId="77777777" w:rsidTr="00CB0000">
        <w:trPr>
          <w:trHeight w:val="543"/>
        </w:trPr>
        <w:tc>
          <w:tcPr>
            <w:tcW w:w="2552" w:type="dxa"/>
            <w:tcBorders>
              <w:top w:val="nil"/>
              <w:bottom w:val="nil"/>
            </w:tcBorders>
            <w:shd w:val="clear" w:color="auto" w:fill="D9D9D9" w:themeFill="background1" w:themeFillShade="D9"/>
          </w:tcPr>
          <w:p w14:paraId="753E98BF" w14:textId="061A681F" w:rsidR="00CB0000" w:rsidRPr="00CB0000" w:rsidRDefault="00CB0000" w:rsidP="00CB0000">
            <w:pPr>
              <w:pStyle w:val="TableText"/>
              <w:rPr>
                <w:b/>
                <w:bCs/>
              </w:rPr>
            </w:pPr>
            <w:r w:rsidRPr="00CB0000">
              <w:rPr>
                <w:b/>
                <w:bCs/>
              </w:rPr>
              <w:t xml:space="preserve">Policy advice and related </w:t>
            </w:r>
            <w:r>
              <w:rPr>
                <w:b/>
                <w:bCs/>
              </w:rPr>
              <w:br/>
            </w:r>
            <w:r w:rsidRPr="00CB0000">
              <w:rPr>
                <w:b/>
                <w:bCs/>
              </w:rPr>
              <w:t>services</w:t>
            </w:r>
          </w:p>
        </w:tc>
        <w:tc>
          <w:tcPr>
            <w:tcW w:w="1453" w:type="dxa"/>
            <w:tcBorders>
              <w:top w:val="nil"/>
              <w:bottom w:val="nil"/>
            </w:tcBorders>
            <w:shd w:val="clear" w:color="auto" w:fill="D9D9D9" w:themeFill="background1" w:themeFillShade="D9"/>
          </w:tcPr>
          <w:p w14:paraId="26434B61" w14:textId="62ABD0F2" w:rsidR="00CB0000" w:rsidRPr="00CB0000" w:rsidRDefault="00CB0000" w:rsidP="00CB0000">
            <w:pPr>
              <w:pStyle w:val="TableText"/>
              <w:jc w:val="right"/>
              <w:rPr>
                <w:b/>
                <w:bCs/>
              </w:rPr>
            </w:pPr>
            <w:r w:rsidRPr="00CB0000">
              <w:rPr>
                <w:b/>
                <w:bCs/>
              </w:rPr>
              <w:t>Actual</w:t>
            </w:r>
          </w:p>
        </w:tc>
        <w:tc>
          <w:tcPr>
            <w:tcW w:w="1453" w:type="dxa"/>
            <w:tcBorders>
              <w:top w:val="nil"/>
              <w:bottom w:val="nil"/>
            </w:tcBorders>
            <w:shd w:val="clear" w:color="auto" w:fill="D9D9D9" w:themeFill="background1" w:themeFillShade="D9"/>
          </w:tcPr>
          <w:p w14:paraId="2F4C2015" w14:textId="747BCAE6" w:rsidR="00CB0000" w:rsidRPr="00CB0000" w:rsidRDefault="00CB0000" w:rsidP="00CB0000">
            <w:pPr>
              <w:pStyle w:val="TableText"/>
              <w:jc w:val="right"/>
              <w:rPr>
                <w:b/>
                <w:bCs/>
              </w:rPr>
            </w:pPr>
            <w:r w:rsidRPr="00CB0000">
              <w:rPr>
                <w:b/>
                <w:bCs/>
              </w:rPr>
              <w:t xml:space="preserve">Main </w:t>
            </w:r>
            <w:r w:rsidRPr="00CB0000">
              <w:rPr>
                <w:b/>
                <w:bCs/>
              </w:rPr>
              <w:br/>
              <w:t>estimates</w:t>
            </w:r>
          </w:p>
        </w:tc>
        <w:tc>
          <w:tcPr>
            <w:tcW w:w="1453" w:type="dxa"/>
            <w:tcBorders>
              <w:top w:val="nil"/>
              <w:bottom w:val="nil"/>
            </w:tcBorders>
            <w:shd w:val="clear" w:color="auto" w:fill="D9D9D9" w:themeFill="background1" w:themeFillShade="D9"/>
          </w:tcPr>
          <w:p w14:paraId="7F841447" w14:textId="4C23C47A" w:rsidR="00CB0000" w:rsidRPr="00CB0000" w:rsidRDefault="00CB0000" w:rsidP="00CB0000">
            <w:pPr>
              <w:pStyle w:val="TableText"/>
              <w:jc w:val="right"/>
              <w:rPr>
                <w:b/>
                <w:bCs/>
              </w:rPr>
            </w:pPr>
            <w:r w:rsidRPr="00CB0000">
              <w:rPr>
                <w:b/>
                <w:bCs/>
              </w:rPr>
              <w:t>Voted appropriation</w:t>
            </w:r>
          </w:p>
        </w:tc>
        <w:tc>
          <w:tcPr>
            <w:tcW w:w="1453" w:type="dxa"/>
            <w:tcBorders>
              <w:top w:val="nil"/>
              <w:bottom w:val="nil"/>
            </w:tcBorders>
            <w:shd w:val="clear" w:color="auto" w:fill="D9D9D9" w:themeFill="background1" w:themeFillShade="D9"/>
          </w:tcPr>
          <w:p w14:paraId="6ACC1806" w14:textId="4B47371E" w:rsidR="00CB0000" w:rsidRPr="00CB0000" w:rsidRDefault="00CB0000" w:rsidP="00CB0000">
            <w:pPr>
              <w:pStyle w:val="TableText"/>
              <w:jc w:val="right"/>
              <w:rPr>
                <w:b/>
                <w:bCs/>
              </w:rPr>
            </w:pPr>
            <w:r w:rsidRPr="00CB0000">
              <w:rPr>
                <w:b/>
                <w:bCs/>
              </w:rPr>
              <w:t>Actual</w:t>
            </w:r>
          </w:p>
        </w:tc>
      </w:tr>
      <w:tr w:rsidR="00CB0000" w:rsidRPr="00CB0000" w14:paraId="78D9AE59" w14:textId="77777777" w:rsidTr="00CB0000">
        <w:tc>
          <w:tcPr>
            <w:tcW w:w="2552" w:type="dxa"/>
            <w:tcBorders>
              <w:top w:val="nil"/>
              <w:bottom w:val="nil"/>
            </w:tcBorders>
            <w:shd w:val="clear" w:color="auto" w:fill="D9D9D9" w:themeFill="background1" w:themeFillShade="D9"/>
          </w:tcPr>
          <w:p w14:paraId="5EDE5FE8" w14:textId="77777777" w:rsidR="00CB0000" w:rsidRPr="00CB0000" w:rsidRDefault="00CB0000" w:rsidP="00CB0000">
            <w:pPr>
              <w:pStyle w:val="TableText"/>
              <w:rPr>
                <w:b/>
                <w:bCs/>
              </w:rPr>
            </w:pPr>
          </w:p>
        </w:tc>
        <w:tc>
          <w:tcPr>
            <w:tcW w:w="1453" w:type="dxa"/>
            <w:tcBorders>
              <w:top w:val="nil"/>
              <w:bottom w:val="nil"/>
            </w:tcBorders>
            <w:shd w:val="clear" w:color="auto" w:fill="D9D9D9" w:themeFill="background1" w:themeFillShade="D9"/>
          </w:tcPr>
          <w:p w14:paraId="549B7290" w14:textId="77777777" w:rsidR="00CB0000" w:rsidRPr="00CB0000" w:rsidRDefault="00CB0000" w:rsidP="00CB0000">
            <w:pPr>
              <w:pStyle w:val="TableText"/>
              <w:jc w:val="right"/>
              <w:rPr>
                <w:b/>
                <w:bCs/>
              </w:rPr>
            </w:pPr>
            <w:r w:rsidRPr="00CB0000">
              <w:rPr>
                <w:b/>
                <w:bCs/>
              </w:rPr>
              <w:t>2021/22</w:t>
            </w:r>
          </w:p>
          <w:p w14:paraId="141232A8" w14:textId="6A86D8F9" w:rsidR="00CB0000" w:rsidRPr="00CB0000" w:rsidRDefault="00CB0000" w:rsidP="00CB0000">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75DAA8FC" w14:textId="77777777" w:rsidR="00CB0000" w:rsidRPr="00CB0000" w:rsidRDefault="00CB0000" w:rsidP="00CB0000">
            <w:pPr>
              <w:pStyle w:val="TableText"/>
              <w:jc w:val="right"/>
              <w:rPr>
                <w:b/>
                <w:bCs/>
              </w:rPr>
            </w:pPr>
            <w:r w:rsidRPr="00CB0000">
              <w:rPr>
                <w:b/>
                <w:bCs/>
              </w:rPr>
              <w:t>2021/22</w:t>
            </w:r>
          </w:p>
          <w:p w14:paraId="192E15AD" w14:textId="6091CE12" w:rsidR="00CB0000" w:rsidRPr="00CB0000" w:rsidRDefault="00CB0000" w:rsidP="00CB0000">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6314CD9C" w14:textId="77777777" w:rsidR="00CB0000" w:rsidRPr="00CB0000" w:rsidRDefault="00CB0000" w:rsidP="00CB0000">
            <w:pPr>
              <w:pStyle w:val="TableText"/>
              <w:jc w:val="right"/>
              <w:rPr>
                <w:b/>
                <w:bCs/>
              </w:rPr>
            </w:pPr>
            <w:r w:rsidRPr="00CB0000">
              <w:rPr>
                <w:b/>
                <w:bCs/>
              </w:rPr>
              <w:t>2021/22</w:t>
            </w:r>
          </w:p>
          <w:p w14:paraId="18023BA2" w14:textId="3020D00F" w:rsidR="00CB0000" w:rsidRPr="00CB0000" w:rsidRDefault="00CB0000" w:rsidP="00CB0000">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523EC06B" w14:textId="77777777" w:rsidR="00CB0000" w:rsidRPr="00CB0000" w:rsidRDefault="00CB0000" w:rsidP="00CB0000">
            <w:pPr>
              <w:pStyle w:val="TableText"/>
              <w:jc w:val="right"/>
              <w:rPr>
                <w:b/>
                <w:bCs/>
              </w:rPr>
            </w:pPr>
            <w:r w:rsidRPr="00CB0000">
              <w:rPr>
                <w:b/>
                <w:bCs/>
              </w:rPr>
              <w:t>2021/22</w:t>
            </w:r>
          </w:p>
          <w:p w14:paraId="28B668A8" w14:textId="4C689B4B" w:rsidR="00CB0000" w:rsidRPr="00CB0000" w:rsidRDefault="00CB0000" w:rsidP="00CB0000">
            <w:pPr>
              <w:pStyle w:val="TableText"/>
              <w:jc w:val="right"/>
              <w:rPr>
                <w:b/>
                <w:bCs/>
              </w:rPr>
            </w:pPr>
            <w:r w:rsidRPr="00CB0000">
              <w:rPr>
                <w:b/>
                <w:bCs/>
              </w:rPr>
              <w:t>$000</w:t>
            </w:r>
          </w:p>
        </w:tc>
      </w:tr>
      <w:tr w:rsidR="00CB0000" w:rsidRPr="00CB0000" w14:paraId="162016AB" w14:textId="77777777" w:rsidTr="00CB0000">
        <w:tc>
          <w:tcPr>
            <w:tcW w:w="2552" w:type="dxa"/>
            <w:tcBorders>
              <w:top w:val="nil"/>
            </w:tcBorders>
          </w:tcPr>
          <w:p w14:paraId="6BD62EDE" w14:textId="77777777" w:rsidR="00CB0000" w:rsidRPr="00CB0000" w:rsidRDefault="00CB0000" w:rsidP="00CB0000">
            <w:pPr>
              <w:pStyle w:val="TableText"/>
            </w:pPr>
            <w:r w:rsidRPr="00CB0000">
              <w:t>Crown revenue</w:t>
            </w:r>
          </w:p>
        </w:tc>
        <w:tc>
          <w:tcPr>
            <w:tcW w:w="1453" w:type="dxa"/>
            <w:tcBorders>
              <w:top w:val="nil"/>
            </w:tcBorders>
          </w:tcPr>
          <w:p w14:paraId="12D0D8E9" w14:textId="77777777" w:rsidR="00CB0000" w:rsidRPr="00CB0000" w:rsidRDefault="00CB0000" w:rsidP="00CB0000">
            <w:pPr>
              <w:pStyle w:val="TableText"/>
              <w:jc w:val="right"/>
            </w:pPr>
            <w:r w:rsidRPr="00CB0000">
              <w:t>34,306</w:t>
            </w:r>
          </w:p>
        </w:tc>
        <w:tc>
          <w:tcPr>
            <w:tcW w:w="1453" w:type="dxa"/>
            <w:tcBorders>
              <w:top w:val="nil"/>
            </w:tcBorders>
          </w:tcPr>
          <w:p w14:paraId="711E2999" w14:textId="77777777" w:rsidR="00CB0000" w:rsidRPr="00CB0000" w:rsidRDefault="00CB0000" w:rsidP="00CB0000">
            <w:pPr>
              <w:pStyle w:val="TableText"/>
              <w:jc w:val="right"/>
            </w:pPr>
            <w:r w:rsidRPr="00CB0000">
              <w:t>34,259</w:t>
            </w:r>
          </w:p>
        </w:tc>
        <w:tc>
          <w:tcPr>
            <w:tcW w:w="1453" w:type="dxa"/>
            <w:tcBorders>
              <w:top w:val="nil"/>
            </w:tcBorders>
          </w:tcPr>
          <w:p w14:paraId="2D2ED34F" w14:textId="77777777" w:rsidR="00CB0000" w:rsidRPr="00CB0000" w:rsidRDefault="00CB0000" w:rsidP="00CB0000">
            <w:pPr>
              <w:pStyle w:val="TableText"/>
              <w:jc w:val="right"/>
            </w:pPr>
            <w:r w:rsidRPr="00CB0000">
              <w:t>39,329</w:t>
            </w:r>
          </w:p>
        </w:tc>
        <w:tc>
          <w:tcPr>
            <w:tcW w:w="1453" w:type="dxa"/>
            <w:tcBorders>
              <w:top w:val="nil"/>
            </w:tcBorders>
          </w:tcPr>
          <w:p w14:paraId="786D59EF" w14:textId="77777777" w:rsidR="00CB0000" w:rsidRPr="00CB0000" w:rsidRDefault="00CB0000" w:rsidP="00CB0000">
            <w:pPr>
              <w:pStyle w:val="TableText"/>
              <w:jc w:val="right"/>
            </w:pPr>
            <w:r w:rsidRPr="00CB0000">
              <w:t>39,329</w:t>
            </w:r>
          </w:p>
        </w:tc>
      </w:tr>
      <w:tr w:rsidR="00CB0000" w:rsidRPr="00CB0000" w14:paraId="4AAE1514" w14:textId="77777777" w:rsidTr="00CB0000">
        <w:tc>
          <w:tcPr>
            <w:tcW w:w="2552" w:type="dxa"/>
          </w:tcPr>
          <w:p w14:paraId="681266E0" w14:textId="77777777" w:rsidR="00CB0000" w:rsidRPr="00CB0000" w:rsidRDefault="00CB0000" w:rsidP="00CB0000">
            <w:pPr>
              <w:pStyle w:val="TableText"/>
            </w:pPr>
            <w:r w:rsidRPr="00CB0000">
              <w:t>Other revenue</w:t>
            </w:r>
          </w:p>
        </w:tc>
        <w:tc>
          <w:tcPr>
            <w:tcW w:w="1453" w:type="dxa"/>
          </w:tcPr>
          <w:p w14:paraId="25018787" w14:textId="77777777" w:rsidR="00CB0000" w:rsidRPr="00CB0000" w:rsidRDefault="00CB0000" w:rsidP="00CB0000">
            <w:pPr>
              <w:pStyle w:val="TableText"/>
              <w:jc w:val="right"/>
            </w:pPr>
            <w:r w:rsidRPr="00CB0000">
              <w:t>-</w:t>
            </w:r>
          </w:p>
        </w:tc>
        <w:tc>
          <w:tcPr>
            <w:tcW w:w="1453" w:type="dxa"/>
          </w:tcPr>
          <w:p w14:paraId="46B90BF3" w14:textId="77777777" w:rsidR="00CB0000" w:rsidRPr="00CB0000" w:rsidRDefault="00CB0000" w:rsidP="00CB0000">
            <w:pPr>
              <w:pStyle w:val="TableText"/>
              <w:jc w:val="right"/>
            </w:pPr>
            <w:r w:rsidRPr="00CB0000">
              <w:t>-</w:t>
            </w:r>
          </w:p>
        </w:tc>
        <w:tc>
          <w:tcPr>
            <w:tcW w:w="1453" w:type="dxa"/>
          </w:tcPr>
          <w:p w14:paraId="440C552D" w14:textId="77777777" w:rsidR="00CB0000" w:rsidRPr="00CB0000" w:rsidRDefault="00CB0000" w:rsidP="00CB0000">
            <w:pPr>
              <w:pStyle w:val="TableText"/>
              <w:jc w:val="right"/>
            </w:pPr>
            <w:r w:rsidRPr="00CB0000">
              <w:t>-</w:t>
            </w:r>
          </w:p>
        </w:tc>
        <w:tc>
          <w:tcPr>
            <w:tcW w:w="1453" w:type="dxa"/>
          </w:tcPr>
          <w:p w14:paraId="282C6868" w14:textId="77777777" w:rsidR="00CB0000" w:rsidRPr="00CB0000" w:rsidRDefault="00CB0000" w:rsidP="00CB0000">
            <w:pPr>
              <w:pStyle w:val="TableText"/>
              <w:jc w:val="right"/>
            </w:pPr>
            <w:r w:rsidRPr="00CB0000">
              <w:t>-</w:t>
            </w:r>
          </w:p>
        </w:tc>
      </w:tr>
      <w:tr w:rsidR="00CB0000" w:rsidRPr="00CB0000" w14:paraId="79449FA4" w14:textId="77777777" w:rsidTr="00CB0000">
        <w:tc>
          <w:tcPr>
            <w:tcW w:w="2552" w:type="dxa"/>
          </w:tcPr>
          <w:p w14:paraId="136B7C0E" w14:textId="77777777" w:rsidR="00CB0000" w:rsidRPr="00CB0000" w:rsidRDefault="00CB0000" w:rsidP="00CB0000">
            <w:pPr>
              <w:pStyle w:val="TableText"/>
            </w:pPr>
            <w:r w:rsidRPr="00CB0000">
              <w:t>Total revenue</w:t>
            </w:r>
          </w:p>
        </w:tc>
        <w:tc>
          <w:tcPr>
            <w:tcW w:w="1453" w:type="dxa"/>
          </w:tcPr>
          <w:p w14:paraId="1D82EC1F" w14:textId="77777777" w:rsidR="00CB0000" w:rsidRPr="00CB0000" w:rsidRDefault="00CB0000" w:rsidP="00CB0000">
            <w:pPr>
              <w:pStyle w:val="TableText"/>
              <w:jc w:val="right"/>
            </w:pPr>
            <w:r w:rsidRPr="00CB0000">
              <w:t>34,306</w:t>
            </w:r>
          </w:p>
        </w:tc>
        <w:tc>
          <w:tcPr>
            <w:tcW w:w="1453" w:type="dxa"/>
          </w:tcPr>
          <w:p w14:paraId="42A91C3B" w14:textId="77777777" w:rsidR="00CB0000" w:rsidRPr="00CB0000" w:rsidRDefault="00CB0000" w:rsidP="00CB0000">
            <w:pPr>
              <w:pStyle w:val="TableText"/>
              <w:jc w:val="right"/>
            </w:pPr>
            <w:r w:rsidRPr="00CB0000">
              <w:t>34,259</w:t>
            </w:r>
          </w:p>
        </w:tc>
        <w:tc>
          <w:tcPr>
            <w:tcW w:w="1453" w:type="dxa"/>
          </w:tcPr>
          <w:p w14:paraId="6CACDB66" w14:textId="77777777" w:rsidR="00CB0000" w:rsidRPr="00CB0000" w:rsidRDefault="00CB0000" w:rsidP="00CB0000">
            <w:pPr>
              <w:pStyle w:val="TableText"/>
              <w:jc w:val="right"/>
            </w:pPr>
            <w:r w:rsidRPr="00CB0000">
              <w:t>39,329</w:t>
            </w:r>
          </w:p>
        </w:tc>
        <w:tc>
          <w:tcPr>
            <w:tcW w:w="1453" w:type="dxa"/>
          </w:tcPr>
          <w:p w14:paraId="3E69BB56" w14:textId="77777777" w:rsidR="00CB0000" w:rsidRPr="00CB0000" w:rsidRDefault="00CB0000" w:rsidP="00CB0000">
            <w:pPr>
              <w:pStyle w:val="TableText"/>
              <w:jc w:val="right"/>
            </w:pPr>
            <w:r w:rsidRPr="00CB0000">
              <w:t>39,329</w:t>
            </w:r>
          </w:p>
        </w:tc>
      </w:tr>
      <w:tr w:rsidR="00CB0000" w:rsidRPr="00CB0000" w14:paraId="22CD4CA9" w14:textId="77777777" w:rsidTr="00CB0000">
        <w:tc>
          <w:tcPr>
            <w:tcW w:w="2552" w:type="dxa"/>
          </w:tcPr>
          <w:p w14:paraId="58AD48C5" w14:textId="77777777" w:rsidR="00CB0000" w:rsidRPr="00CB0000" w:rsidRDefault="00CB0000" w:rsidP="00CB0000">
            <w:pPr>
              <w:pStyle w:val="TableText"/>
            </w:pPr>
            <w:r w:rsidRPr="00CB0000">
              <w:t>Total expenses</w:t>
            </w:r>
          </w:p>
        </w:tc>
        <w:tc>
          <w:tcPr>
            <w:tcW w:w="1453" w:type="dxa"/>
          </w:tcPr>
          <w:p w14:paraId="0ACD8084" w14:textId="77777777" w:rsidR="00CB0000" w:rsidRPr="00CB0000" w:rsidRDefault="00CB0000" w:rsidP="00CB0000">
            <w:pPr>
              <w:pStyle w:val="TableText"/>
              <w:jc w:val="right"/>
            </w:pPr>
            <w:r w:rsidRPr="00CB0000">
              <w:t>34,144</w:t>
            </w:r>
          </w:p>
        </w:tc>
        <w:tc>
          <w:tcPr>
            <w:tcW w:w="1453" w:type="dxa"/>
          </w:tcPr>
          <w:p w14:paraId="08C7FE5B" w14:textId="77777777" w:rsidR="00CB0000" w:rsidRPr="00CB0000" w:rsidRDefault="00CB0000" w:rsidP="00CB0000">
            <w:pPr>
              <w:pStyle w:val="TableText"/>
              <w:jc w:val="right"/>
            </w:pPr>
            <w:r w:rsidRPr="00CB0000">
              <w:t>34,259</w:t>
            </w:r>
          </w:p>
        </w:tc>
        <w:tc>
          <w:tcPr>
            <w:tcW w:w="1453" w:type="dxa"/>
          </w:tcPr>
          <w:p w14:paraId="7B759796" w14:textId="77777777" w:rsidR="00CB0000" w:rsidRPr="00CB0000" w:rsidRDefault="00CB0000" w:rsidP="00CB0000">
            <w:pPr>
              <w:pStyle w:val="TableText"/>
              <w:jc w:val="right"/>
            </w:pPr>
            <w:r w:rsidRPr="00CB0000">
              <w:t>39,329</w:t>
            </w:r>
          </w:p>
        </w:tc>
        <w:tc>
          <w:tcPr>
            <w:tcW w:w="1453" w:type="dxa"/>
          </w:tcPr>
          <w:p w14:paraId="69454DFA" w14:textId="77777777" w:rsidR="00CB0000" w:rsidRPr="00CB0000" w:rsidRDefault="00CB0000" w:rsidP="00CB0000">
            <w:pPr>
              <w:pStyle w:val="TableText"/>
              <w:jc w:val="right"/>
            </w:pPr>
            <w:r w:rsidRPr="00CB0000">
              <w:t>39,056</w:t>
            </w:r>
          </w:p>
        </w:tc>
      </w:tr>
      <w:tr w:rsidR="00CB0000" w:rsidRPr="00CB0000" w14:paraId="09C38FEE" w14:textId="77777777" w:rsidTr="00CB0000">
        <w:tc>
          <w:tcPr>
            <w:tcW w:w="2552" w:type="dxa"/>
          </w:tcPr>
          <w:p w14:paraId="3902A4E5" w14:textId="77777777" w:rsidR="00CB0000" w:rsidRPr="00CB0000" w:rsidRDefault="00CB0000" w:rsidP="00CB0000">
            <w:pPr>
              <w:pStyle w:val="TableText"/>
            </w:pPr>
            <w:r w:rsidRPr="00CB0000">
              <w:t>Net surplus (deficit)</w:t>
            </w:r>
          </w:p>
        </w:tc>
        <w:tc>
          <w:tcPr>
            <w:tcW w:w="1453" w:type="dxa"/>
          </w:tcPr>
          <w:p w14:paraId="357CB331" w14:textId="77777777" w:rsidR="00CB0000" w:rsidRPr="00CB0000" w:rsidRDefault="00CB0000" w:rsidP="00CB0000">
            <w:pPr>
              <w:pStyle w:val="TableText"/>
              <w:jc w:val="right"/>
            </w:pPr>
            <w:r w:rsidRPr="00CB0000">
              <w:t>162</w:t>
            </w:r>
          </w:p>
        </w:tc>
        <w:tc>
          <w:tcPr>
            <w:tcW w:w="1453" w:type="dxa"/>
          </w:tcPr>
          <w:p w14:paraId="0BF33C04" w14:textId="77777777" w:rsidR="00CB0000" w:rsidRPr="00CB0000" w:rsidRDefault="00CB0000" w:rsidP="00CB0000">
            <w:pPr>
              <w:pStyle w:val="TableText"/>
              <w:jc w:val="right"/>
            </w:pPr>
            <w:r w:rsidRPr="00CB0000">
              <w:t>-</w:t>
            </w:r>
          </w:p>
        </w:tc>
        <w:tc>
          <w:tcPr>
            <w:tcW w:w="1453" w:type="dxa"/>
          </w:tcPr>
          <w:p w14:paraId="0D52176F" w14:textId="77777777" w:rsidR="00CB0000" w:rsidRPr="00CB0000" w:rsidRDefault="00CB0000" w:rsidP="00CB0000">
            <w:pPr>
              <w:pStyle w:val="TableText"/>
              <w:jc w:val="right"/>
            </w:pPr>
            <w:r w:rsidRPr="00CB0000">
              <w:t>-</w:t>
            </w:r>
          </w:p>
        </w:tc>
        <w:tc>
          <w:tcPr>
            <w:tcW w:w="1453" w:type="dxa"/>
          </w:tcPr>
          <w:p w14:paraId="2159B6B9" w14:textId="77777777" w:rsidR="00CB0000" w:rsidRPr="00CB0000" w:rsidRDefault="00CB0000" w:rsidP="00CB0000">
            <w:pPr>
              <w:pStyle w:val="TableText"/>
              <w:jc w:val="right"/>
            </w:pPr>
            <w:r w:rsidRPr="00CB0000">
              <w:t>273</w:t>
            </w:r>
          </w:p>
        </w:tc>
      </w:tr>
    </w:tbl>
    <w:p w14:paraId="35290B7A" w14:textId="77777777" w:rsidR="00CB0000" w:rsidRPr="00CB0000" w:rsidRDefault="00CB0000" w:rsidP="00CB0000">
      <w:pPr>
        <w:pStyle w:val="Heading3"/>
      </w:pPr>
      <w:bookmarkStart w:id="38" w:name="_Toc117264945"/>
      <w:r w:rsidRPr="00CB0000">
        <w:t>Health Sector Information Systems</w:t>
      </w:r>
      <w:bookmarkEnd w:id="38"/>
    </w:p>
    <w:p w14:paraId="02AA12ED" w14:textId="1B8F79E1" w:rsidR="00CB0000" w:rsidRDefault="00CB0000" w:rsidP="00CB0000">
      <w:pPr>
        <w:rPr>
          <w:rFonts w:eastAsia="Arial Unicode MS"/>
        </w:rPr>
      </w:pPr>
      <w:r w:rsidRPr="00CB0000">
        <w:rPr>
          <w:rFonts w:eastAsia="Arial Unicode MS"/>
        </w:rPr>
        <w:t>This appropriation is limited to the provision of information technology services and the publication of data and information derived from these services to the health and disability system.</w:t>
      </w:r>
    </w:p>
    <w:p w14:paraId="6A43805B" w14:textId="77777777" w:rsidR="00CB0000" w:rsidRPr="00CB0000" w:rsidRDefault="00CB0000" w:rsidP="00CB0000">
      <w:pPr>
        <w:rPr>
          <w:rFonts w:eastAsia="Arial Unicode MS"/>
        </w:rPr>
      </w:pPr>
    </w:p>
    <w:p w14:paraId="51A4CC23" w14:textId="77777777" w:rsidR="00CB0000" w:rsidRPr="00CB0000" w:rsidRDefault="00CB0000" w:rsidP="00CB0000">
      <w:pPr>
        <w:rPr>
          <w:rFonts w:eastAsia="Arial Unicode MS"/>
        </w:rPr>
      </w:pPr>
      <w:r w:rsidRPr="00CB0000">
        <w:rPr>
          <w:rFonts w:eastAsia="Arial Unicode MS"/>
        </w:rPr>
        <w:t>This appropriation is intended to provide information technology services and infrastructure to support the operation of New Zealand’s health services.</w:t>
      </w:r>
    </w:p>
    <w:p w14:paraId="7782CE3B" w14:textId="3AA0182C" w:rsidR="008762C7" w:rsidRDefault="00CB0000" w:rsidP="00CB0000">
      <w:pPr>
        <w:pStyle w:val="Heading4"/>
      </w:pPr>
      <w:r w:rsidRPr="00CB0000">
        <w:t>Performance assessment</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170"/>
      </w:tblGrid>
      <w:tr w:rsidR="00CB0000" w:rsidRPr="00950725" w14:paraId="23A760B6" w14:textId="77777777" w:rsidTr="00950725">
        <w:trPr>
          <w:trHeight w:val="496"/>
          <w:tblHeader/>
        </w:trPr>
        <w:tc>
          <w:tcPr>
            <w:tcW w:w="3686" w:type="dxa"/>
            <w:tcBorders>
              <w:top w:val="nil"/>
              <w:bottom w:val="nil"/>
            </w:tcBorders>
            <w:shd w:val="clear" w:color="auto" w:fill="D9D9D9" w:themeFill="background1" w:themeFillShade="D9"/>
          </w:tcPr>
          <w:p w14:paraId="335860F0" w14:textId="3EBD5FE7" w:rsidR="00CB0000" w:rsidRPr="00950725" w:rsidRDefault="006A19AA" w:rsidP="00950725">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2D8E765C" w14:textId="39918690" w:rsidR="00CB0000" w:rsidRPr="00950725" w:rsidRDefault="00CB0000" w:rsidP="00950725">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4D5F63E3" w14:textId="4E60B1AE" w:rsidR="00CB0000" w:rsidRPr="00950725" w:rsidRDefault="00CB0000" w:rsidP="00950725">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17654A6D" w14:textId="55D9FEA5" w:rsidR="00CB0000" w:rsidRPr="00950725" w:rsidRDefault="00CB0000" w:rsidP="00975ED6">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23E502C1" w14:textId="45923504" w:rsidR="00CB0000" w:rsidRPr="00950725" w:rsidRDefault="00CB0000" w:rsidP="00950725">
            <w:pPr>
              <w:pStyle w:val="TableText"/>
              <w:jc w:val="right"/>
              <w:rPr>
                <w:b/>
                <w:bCs/>
              </w:rPr>
            </w:pPr>
            <w:r w:rsidRPr="00950725">
              <w:rPr>
                <w:b/>
                <w:bCs/>
                <w:spacing w:val="-3"/>
                <w:w w:val="110"/>
              </w:rPr>
              <w:t xml:space="preserve">At </w:t>
            </w:r>
            <w:r w:rsidRPr="00950725">
              <w:rPr>
                <w:b/>
                <w:bCs/>
                <w:spacing w:val="-2"/>
                <w:w w:val="110"/>
              </w:rPr>
              <w:t>a</w:t>
            </w:r>
            <w:r w:rsidR="00950725">
              <w:rPr>
                <w:b/>
                <w:bCs/>
                <w:spacing w:val="-2"/>
                <w:w w:val="110"/>
              </w:rPr>
              <w:br/>
            </w:r>
            <w:r w:rsidRPr="00950725">
              <w:rPr>
                <w:b/>
                <w:bCs/>
                <w:spacing w:val="-53"/>
                <w:w w:val="110"/>
              </w:rPr>
              <w:t xml:space="preserve"> </w:t>
            </w:r>
            <w:r w:rsidRPr="00950725">
              <w:rPr>
                <w:b/>
                <w:bCs/>
                <w:w w:val="110"/>
              </w:rPr>
              <w:t>glance</w:t>
            </w:r>
          </w:p>
        </w:tc>
      </w:tr>
      <w:tr w:rsidR="00950725" w14:paraId="21CC747A" w14:textId="77777777" w:rsidTr="00950725">
        <w:trPr>
          <w:trHeight w:val="344"/>
          <w:tblHeader/>
        </w:trPr>
        <w:tc>
          <w:tcPr>
            <w:tcW w:w="3686" w:type="dxa"/>
            <w:tcBorders>
              <w:top w:val="nil"/>
              <w:bottom w:val="nil"/>
            </w:tcBorders>
            <w:shd w:val="clear" w:color="auto" w:fill="D9D9D9" w:themeFill="background1" w:themeFillShade="D9"/>
          </w:tcPr>
          <w:p w14:paraId="4FBC39EB" w14:textId="77777777" w:rsidR="00950725" w:rsidRDefault="00950725" w:rsidP="00950725">
            <w:pPr>
              <w:pStyle w:val="TableText"/>
              <w:spacing w:after="0"/>
              <w:rPr>
                <w:w w:val="105"/>
              </w:rPr>
            </w:pPr>
          </w:p>
        </w:tc>
        <w:tc>
          <w:tcPr>
            <w:tcW w:w="1169" w:type="dxa"/>
            <w:tcBorders>
              <w:top w:val="nil"/>
              <w:bottom w:val="nil"/>
            </w:tcBorders>
            <w:shd w:val="clear" w:color="auto" w:fill="D9D9D9" w:themeFill="background1" w:themeFillShade="D9"/>
          </w:tcPr>
          <w:p w14:paraId="0306D726" w14:textId="19253BFF" w:rsidR="00950725" w:rsidRDefault="00950725" w:rsidP="00950725">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38787A10" w14:textId="447B6ADF" w:rsidR="00950725" w:rsidRDefault="00950725" w:rsidP="00950725">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00EF8692" w14:textId="4DBFC08E" w:rsidR="00950725" w:rsidRDefault="00950725" w:rsidP="00950725">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000A2F7D" w14:textId="77777777" w:rsidR="00950725" w:rsidRDefault="00950725" w:rsidP="00950725">
            <w:pPr>
              <w:pStyle w:val="TableText"/>
              <w:jc w:val="right"/>
              <w:rPr>
                <w:rFonts w:ascii="Times New Roman"/>
              </w:rPr>
            </w:pPr>
          </w:p>
        </w:tc>
      </w:tr>
      <w:tr w:rsidR="00CB0000" w:rsidRPr="00950725" w14:paraId="2C218668" w14:textId="77777777" w:rsidTr="00950725">
        <w:trPr>
          <w:trHeight w:val="344"/>
        </w:trPr>
        <w:tc>
          <w:tcPr>
            <w:tcW w:w="3686" w:type="dxa"/>
            <w:tcBorders>
              <w:top w:val="nil"/>
            </w:tcBorders>
          </w:tcPr>
          <w:p w14:paraId="6735DB3D" w14:textId="77777777" w:rsidR="00CB0000" w:rsidRPr="00950725" w:rsidRDefault="00CB0000" w:rsidP="00950725">
            <w:pPr>
              <w:pStyle w:val="TableText"/>
              <w:rPr>
                <w:b/>
                <w:bCs/>
              </w:rPr>
            </w:pPr>
            <w:r w:rsidRPr="00950725">
              <w:rPr>
                <w:b/>
                <w:bCs/>
                <w:w w:val="105"/>
              </w:rPr>
              <w:t>Client</w:t>
            </w:r>
            <w:r w:rsidRPr="00950725">
              <w:rPr>
                <w:b/>
                <w:bCs/>
                <w:spacing w:val="7"/>
                <w:w w:val="105"/>
              </w:rPr>
              <w:t xml:space="preserve"> </w:t>
            </w:r>
            <w:r w:rsidRPr="00950725">
              <w:rPr>
                <w:b/>
                <w:bCs/>
                <w:w w:val="105"/>
              </w:rPr>
              <w:t>insight</w:t>
            </w:r>
            <w:r w:rsidRPr="00950725">
              <w:rPr>
                <w:b/>
                <w:bCs/>
                <w:spacing w:val="7"/>
                <w:w w:val="105"/>
              </w:rPr>
              <w:t xml:space="preserve"> </w:t>
            </w:r>
            <w:r w:rsidRPr="00950725">
              <w:rPr>
                <w:b/>
                <w:bCs/>
                <w:w w:val="105"/>
              </w:rPr>
              <w:t>and</w:t>
            </w:r>
            <w:r w:rsidRPr="00950725">
              <w:rPr>
                <w:b/>
                <w:bCs/>
                <w:spacing w:val="8"/>
                <w:w w:val="105"/>
              </w:rPr>
              <w:t xml:space="preserve"> </w:t>
            </w:r>
            <w:r w:rsidRPr="00950725">
              <w:rPr>
                <w:b/>
                <w:bCs/>
                <w:w w:val="105"/>
              </w:rPr>
              <w:t>analytics</w:t>
            </w:r>
          </w:p>
        </w:tc>
        <w:tc>
          <w:tcPr>
            <w:tcW w:w="1169" w:type="dxa"/>
            <w:tcBorders>
              <w:top w:val="nil"/>
            </w:tcBorders>
          </w:tcPr>
          <w:p w14:paraId="1828AB0C" w14:textId="77777777" w:rsidR="00CB0000" w:rsidRPr="00950725" w:rsidRDefault="00CB0000" w:rsidP="00950725">
            <w:pPr>
              <w:pStyle w:val="TableText"/>
              <w:jc w:val="right"/>
              <w:rPr>
                <w:rFonts w:ascii="Times New Roman"/>
                <w:b/>
                <w:bCs/>
              </w:rPr>
            </w:pPr>
          </w:p>
        </w:tc>
        <w:tc>
          <w:tcPr>
            <w:tcW w:w="1170" w:type="dxa"/>
            <w:tcBorders>
              <w:top w:val="nil"/>
            </w:tcBorders>
          </w:tcPr>
          <w:p w14:paraId="6B36B6CF" w14:textId="77777777" w:rsidR="00CB0000" w:rsidRPr="00950725" w:rsidRDefault="00CB0000" w:rsidP="00950725">
            <w:pPr>
              <w:pStyle w:val="TableText"/>
              <w:jc w:val="right"/>
              <w:rPr>
                <w:rFonts w:ascii="Times New Roman"/>
                <w:b/>
                <w:bCs/>
              </w:rPr>
            </w:pPr>
          </w:p>
        </w:tc>
        <w:tc>
          <w:tcPr>
            <w:tcW w:w="1169" w:type="dxa"/>
            <w:tcBorders>
              <w:top w:val="nil"/>
            </w:tcBorders>
          </w:tcPr>
          <w:p w14:paraId="2D102008" w14:textId="77777777" w:rsidR="00CB0000" w:rsidRPr="00950725" w:rsidRDefault="00CB0000" w:rsidP="00950725">
            <w:pPr>
              <w:pStyle w:val="TableText"/>
              <w:jc w:val="right"/>
              <w:rPr>
                <w:rFonts w:ascii="Times New Roman"/>
                <w:b/>
                <w:bCs/>
              </w:rPr>
            </w:pPr>
          </w:p>
        </w:tc>
        <w:tc>
          <w:tcPr>
            <w:tcW w:w="1170" w:type="dxa"/>
            <w:tcBorders>
              <w:top w:val="nil"/>
            </w:tcBorders>
          </w:tcPr>
          <w:p w14:paraId="5EA99E0F" w14:textId="77777777" w:rsidR="00CB0000" w:rsidRPr="00950725" w:rsidRDefault="00CB0000" w:rsidP="00950725">
            <w:pPr>
              <w:pStyle w:val="TableText"/>
              <w:jc w:val="right"/>
              <w:rPr>
                <w:rFonts w:ascii="Times New Roman"/>
                <w:b/>
                <w:bCs/>
              </w:rPr>
            </w:pPr>
          </w:p>
        </w:tc>
      </w:tr>
      <w:tr w:rsidR="00CB0000" w14:paraId="0555741B" w14:textId="77777777" w:rsidTr="00950725">
        <w:trPr>
          <w:trHeight w:val="818"/>
        </w:trPr>
        <w:tc>
          <w:tcPr>
            <w:tcW w:w="3686" w:type="dxa"/>
          </w:tcPr>
          <w:p w14:paraId="1D2E1F45" w14:textId="77777777" w:rsidR="00CB0000" w:rsidRDefault="00CB0000" w:rsidP="00950725">
            <w:pPr>
              <w:pStyle w:val="TableText"/>
            </w:pPr>
            <w:r>
              <w:t>Percentage</w:t>
            </w:r>
            <w:r>
              <w:rPr>
                <w:spacing w:val="26"/>
              </w:rPr>
              <w:t xml:space="preserve"> </w:t>
            </w:r>
            <w:r>
              <w:t>of</w:t>
            </w:r>
            <w:r>
              <w:rPr>
                <w:spacing w:val="26"/>
              </w:rPr>
              <w:t xml:space="preserve"> </w:t>
            </w:r>
            <w:r>
              <w:t>published</w:t>
            </w:r>
            <w:r>
              <w:rPr>
                <w:spacing w:val="26"/>
              </w:rPr>
              <w:t xml:space="preserve"> </w:t>
            </w:r>
            <w:r>
              <w:t>Tier</w:t>
            </w:r>
            <w:r>
              <w:rPr>
                <w:spacing w:val="27"/>
              </w:rPr>
              <w:t xml:space="preserve"> </w:t>
            </w:r>
            <w:r>
              <w:rPr>
                <w:w w:val="95"/>
              </w:rPr>
              <w:t>1</w:t>
            </w:r>
            <w:r>
              <w:rPr>
                <w:spacing w:val="28"/>
                <w:w w:val="95"/>
              </w:rPr>
              <w:t xml:space="preserve"> </w:t>
            </w:r>
            <w:r>
              <w:t>statistics</w:t>
            </w:r>
            <w:r>
              <w:rPr>
                <w:spacing w:val="27"/>
              </w:rPr>
              <w:t xml:space="preserve"> </w:t>
            </w:r>
            <w:r>
              <w:t>meet</w:t>
            </w:r>
            <w:r>
              <w:rPr>
                <w:spacing w:val="26"/>
              </w:rPr>
              <w:t xml:space="preserve"> </w:t>
            </w:r>
            <w:r>
              <w:t>Statistics</w:t>
            </w:r>
            <w:r>
              <w:rPr>
                <w:spacing w:val="-47"/>
              </w:rPr>
              <w:t xml:space="preserve"> </w:t>
            </w:r>
            <w:r>
              <w:t>New</w:t>
            </w:r>
            <w:r>
              <w:rPr>
                <w:spacing w:val="5"/>
              </w:rPr>
              <w:t xml:space="preserve"> </w:t>
            </w:r>
            <w:r>
              <w:t>Zealand</w:t>
            </w:r>
            <w:r>
              <w:rPr>
                <w:spacing w:val="5"/>
              </w:rPr>
              <w:t xml:space="preserve"> </w:t>
            </w:r>
            <w:r>
              <w:t>standards</w:t>
            </w:r>
            <w:r>
              <w:rPr>
                <w:spacing w:val="6"/>
              </w:rPr>
              <w:t xml:space="preserve"> </w:t>
            </w:r>
            <w:r>
              <w:t>within</w:t>
            </w:r>
            <w:r>
              <w:rPr>
                <w:spacing w:val="5"/>
              </w:rPr>
              <w:t xml:space="preserve"> </w:t>
            </w:r>
            <w:r>
              <w:t>agreed</w:t>
            </w:r>
            <w:r>
              <w:rPr>
                <w:spacing w:val="6"/>
              </w:rPr>
              <w:t xml:space="preserve"> </w:t>
            </w:r>
            <w:r>
              <w:t>timetable</w:t>
            </w:r>
          </w:p>
          <w:p w14:paraId="0D726B98" w14:textId="77777777" w:rsidR="00CB0000" w:rsidRDefault="00CB0000" w:rsidP="00950725">
            <w:pPr>
              <w:pStyle w:val="TableText"/>
            </w:pPr>
            <w:r>
              <w:t>(Note</w:t>
            </w:r>
            <w:r>
              <w:rPr>
                <w:spacing w:val="-12"/>
              </w:rPr>
              <w:t xml:space="preserve"> </w:t>
            </w:r>
            <w:r>
              <w:t>1)</w:t>
            </w:r>
          </w:p>
        </w:tc>
        <w:tc>
          <w:tcPr>
            <w:tcW w:w="1169" w:type="dxa"/>
          </w:tcPr>
          <w:p w14:paraId="79964B4E" w14:textId="77777777" w:rsidR="00CB0000" w:rsidRDefault="00CB0000" w:rsidP="00950725">
            <w:pPr>
              <w:pStyle w:val="TableText"/>
              <w:jc w:val="right"/>
            </w:pPr>
            <w:r>
              <w:t>100%</w:t>
            </w:r>
          </w:p>
        </w:tc>
        <w:tc>
          <w:tcPr>
            <w:tcW w:w="1170" w:type="dxa"/>
          </w:tcPr>
          <w:p w14:paraId="15D3EC2B" w14:textId="77777777" w:rsidR="00CB0000" w:rsidRDefault="00CB0000" w:rsidP="00950725">
            <w:pPr>
              <w:pStyle w:val="TableText"/>
              <w:jc w:val="right"/>
            </w:pPr>
            <w:r>
              <w:t>100%</w:t>
            </w:r>
          </w:p>
        </w:tc>
        <w:tc>
          <w:tcPr>
            <w:tcW w:w="1169" w:type="dxa"/>
          </w:tcPr>
          <w:p w14:paraId="7E17F8C5" w14:textId="77777777" w:rsidR="00CB0000" w:rsidRDefault="00CB0000" w:rsidP="00950725">
            <w:pPr>
              <w:pStyle w:val="TableText"/>
              <w:jc w:val="right"/>
            </w:pPr>
            <w:r>
              <w:t>100%</w:t>
            </w:r>
          </w:p>
        </w:tc>
        <w:tc>
          <w:tcPr>
            <w:tcW w:w="1170" w:type="dxa"/>
          </w:tcPr>
          <w:p w14:paraId="78AFA4E2" w14:textId="421955EB" w:rsidR="00CB0000" w:rsidRDefault="00B104C4" w:rsidP="00950725">
            <w:pPr>
              <w:pStyle w:val="TableText"/>
              <w:jc w:val="right"/>
              <w:rPr>
                <w:rFonts w:ascii="Franklin Gothic Heavy" w:hAnsi="Franklin Gothic Heavy"/>
                <w:sz w:val="28"/>
              </w:rPr>
            </w:pPr>
            <w:r w:rsidRPr="00BD4046">
              <w:rPr>
                <w:b/>
                <w:bCs/>
              </w:rPr>
              <w:sym w:font="Wingdings" w:char="F0FC"/>
            </w:r>
          </w:p>
        </w:tc>
      </w:tr>
      <w:tr w:rsidR="00B104C4" w14:paraId="7AE8D879" w14:textId="77777777" w:rsidTr="00950725">
        <w:trPr>
          <w:trHeight w:val="578"/>
        </w:trPr>
        <w:tc>
          <w:tcPr>
            <w:tcW w:w="3686" w:type="dxa"/>
          </w:tcPr>
          <w:p w14:paraId="3A53E8FB" w14:textId="77777777" w:rsidR="00B104C4" w:rsidRDefault="00B104C4" w:rsidP="00B104C4">
            <w:pPr>
              <w:pStyle w:val="TableText"/>
            </w:pPr>
            <w:r>
              <w:t>The</w:t>
            </w:r>
            <w:r>
              <w:rPr>
                <w:spacing w:val="19"/>
              </w:rPr>
              <w:t xml:space="preserve"> </w:t>
            </w:r>
            <w:r>
              <w:t>National</w:t>
            </w:r>
            <w:r>
              <w:rPr>
                <w:spacing w:val="19"/>
              </w:rPr>
              <w:t xml:space="preserve"> </w:t>
            </w:r>
            <w:r>
              <w:t>Collections</w:t>
            </w:r>
            <w:r>
              <w:rPr>
                <w:spacing w:val="20"/>
              </w:rPr>
              <w:t xml:space="preserve"> </w:t>
            </w:r>
            <w:r>
              <w:t>meet</w:t>
            </w:r>
            <w:r>
              <w:rPr>
                <w:spacing w:val="19"/>
              </w:rPr>
              <w:t xml:space="preserve"> </w:t>
            </w:r>
            <w:r>
              <w:t>the</w:t>
            </w:r>
            <w:r>
              <w:rPr>
                <w:spacing w:val="19"/>
              </w:rPr>
              <w:t xml:space="preserve"> </w:t>
            </w:r>
            <w:r>
              <w:t>Statistics</w:t>
            </w:r>
            <w:r>
              <w:rPr>
                <w:spacing w:val="20"/>
              </w:rPr>
              <w:t xml:space="preserve"> </w:t>
            </w:r>
            <w:r>
              <w:t>New</w:t>
            </w:r>
            <w:r>
              <w:rPr>
                <w:spacing w:val="-47"/>
              </w:rPr>
              <w:t xml:space="preserve"> </w:t>
            </w:r>
            <w:r>
              <w:t>Zealand</w:t>
            </w:r>
            <w:r>
              <w:rPr>
                <w:spacing w:val="10"/>
              </w:rPr>
              <w:t xml:space="preserve"> </w:t>
            </w:r>
            <w:r>
              <w:t>standards</w:t>
            </w:r>
            <w:r>
              <w:rPr>
                <w:spacing w:val="11"/>
              </w:rPr>
              <w:t xml:space="preserve"> </w:t>
            </w:r>
            <w:r>
              <w:t>for</w:t>
            </w:r>
            <w:r>
              <w:rPr>
                <w:spacing w:val="11"/>
              </w:rPr>
              <w:t xml:space="preserve"> </w:t>
            </w:r>
            <w:r>
              <w:t>Tier</w:t>
            </w:r>
            <w:r>
              <w:rPr>
                <w:spacing w:val="10"/>
              </w:rPr>
              <w:t xml:space="preserve"> </w:t>
            </w:r>
            <w:r>
              <w:rPr>
                <w:w w:val="95"/>
              </w:rPr>
              <w:t>1</w:t>
            </w:r>
            <w:r>
              <w:rPr>
                <w:spacing w:val="14"/>
                <w:w w:val="95"/>
              </w:rPr>
              <w:t xml:space="preserve"> </w:t>
            </w:r>
            <w:r>
              <w:t>statistics</w:t>
            </w:r>
            <w:r>
              <w:rPr>
                <w:spacing w:val="10"/>
              </w:rPr>
              <w:t xml:space="preserve"> </w:t>
            </w:r>
            <w:r>
              <w:t>(Note</w:t>
            </w:r>
            <w:r>
              <w:rPr>
                <w:spacing w:val="11"/>
              </w:rPr>
              <w:t xml:space="preserve"> </w:t>
            </w:r>
            <w:r>
              <w:t>1)</w:t>
            </w:r>
          </w:p>
        </w:tc>
        <w:tc>
          <w:tcPr>
            <w:tcW w:w="1169" w:type="dxa"/>
          </w:tcPr>
          <w:p w14:paraId="401DAF5D" w14:textId="77777777" w:rsidR="00B104C4" w:rsidRDefault="00B104C4" w:rsidP="00B104C4">
            <w:pPr>
              <w:pStyle w:val="TableText"/>
              <w:jc w:val="right"/>
            </w:pPr>
            <w:r>
              <w:t>Achieved</w:t>
            </w:r>
          </w:p>
        </w:tc>
        <w:tc>
          <w:tcPr>
            <w:tcW w:w="1170" w:type="dxa"/>
          </w:tcPr>
          <w:p w14:paraId="4DDD55E1" w14:textId="77777777" w:rsidR="00B104C4" w:rsidRDefault="00B104C4" w:rsidP="00B104C4">
            <w:pPr>
              <w:pStyle w:val="TableText"/>
              <w:jc w:val="right"/>
            </w:pPr>
            <w:r>
              <w:t>Achieved</w:t>
            </w:r>
          </w:p>
        </w:tc>
        <w:tc>
          <w:tcPr>
            <w:tcW w:w="1169" w:type="dxa"/>
          </w:tcPr>
          <w:p w14:paraId="3F348370" w14:textId="77777777" w:rsidR="00B104C4" w:rsidRDefault="00B104C4" w:rsidP="00B104C4">
            <w:pPr>
              <w:pStyle w:val="TableText"/>
              <w:jc w:val="right"/>
            </w:pPr>
            <w:r>
              <w:t>Achieved</w:t>
            </w:r>
          </w:p>
        </w:tc>
        <w:tc>
          <w:tcPr>
            <w:tcW w:w="1170" w:type="dxa"/>
          </w:tcPr>
          <w:p w14:paraId="5CA32C56" w14:textId="0DE57090" w:rsidR="00B104C4" w:rsidRDefault="00B104C4" w:rsidP="00B104C4">
            <w:pPr>
              <w:pStyle w:val="TableText"/>
              <w:jc w:val="right"/>
              <w:rPr>
                <w:rFonts w:ascii="Franklin Gothic Heavy" w:hAnsi="Franklin Gothic Heavy"/>
                <w:sz w:val="28"/>
              </w:rPr>
            </w:pPr>
            <w:r w:rsidRPr="00FC250E">
              <w:rPr>
                <w:b/>
                <w:bCs/>
              </w:rPr>
              <w:sym w:font="Wingdings" w:char="F0FC"/>
            </w:r>
          </w:p>
        </w:tc>
      </w:tr>
      <w:tr w:rsidR="00B104C4" w14:paraId="2E4EE2C5" w14:textId="77777777" w:rsidTr="00950725">
        <w:trPr>
          <w:trHeight w:val="1167"/>
        </w:trPr>
        <w:tc>
          <w:tcPr>
            <w:tcW w:w="3686" w:type="dxa"/>
          </w:tcPr>
          <w:p w14:paraId="51C5961D" w14:textId="77777777" w:rsidR="00B104C4" w:rsidRPr="00950725" w:rsidRDefault="00B104C4" w:rsidP="00B104C4">
            <w:pPr>
              <w:pStyle w:val="TableText"/>
              <w:rPr>
                <w:b/>
                <w:bCs/>
              </w:rPr>
            </w:pPr>
            <w:r w:rsidRPr="00950725">
              <w:rPr>
                <w:b/>
                <w:bCs/>
                <w:spacing w:val="-1"/>
                <w:w w:val="110"/>
              </w:rPr>
              <w:t>National</w:t>
            </w:r>
            <w:r w:rsidRPr="00950725">
              <w:rPr>
                <w:b/>
                <w:bCs/>
                <w:spacing w:val="-13"/>
                <w:w w:val="110"/>
              </w:rPr>
              <w:t xml:space="preserve"> </w:t>
            </w:r>
            <w:r w:rsidRPr="00950725">
              <w:rPr>
                <w:b/>
                <w:bCs/>
                <w:spacing w:val="-1"/>
                <w:w w:val="110"/>
              </w:rPr>
              <w:t>infrastructure</w:t>
            </w:r>
            <w:r w:rsidRPr="00950725">
              <w:rPr>
                <w:b/>
                <w:bCs/>
                <w:spacing w:val="-12"/>
                <w:w w:val="110"/>
              </w:rPr>
              <w:t xml:space="preserve"> </w:t>
            </w:r>
            <w:r w:rsidRPr="00950725">
              <w:rPr>
                <w:b/>
                <w:bCs/>
                <w:w w:val="110"/>
              </w:rPr>
              <w:t>and</w:t>
            </w:r>
            <w:r w:rsidRPr="00950725">
              <w:rPr>
                <w:b/>
                <w:bCs/>
                <w:spacing w:val="-12"/>
                <w:w w:val="110"/>
              </w:rPr>
              <w:t xml:space="preserve"> </w:t>
            </w:r>
            <w:r w:rsidRPr="00950725">
              <w:rPr>
                <w:b/>
                <w:bCs/>
                <w:w w:val="110"/>
              </w:rPr>
              <w:t>Ministry</w:t>
            </w:r>
            <w:r w:rsidRPr="00950725">
              <w:rPr>
                <w:b/>
                <w:bCs/>
                <w:spacing w:val="-12"/>
                <w:w w:val="110"/>
              </w:rPr>
              <w:t xml:space="preserve"> </w:t>
            </w:r>
            <w:r w:rsidRPr="00950725">
              <w:rPr>
                <w:b/>
                <w:bCs/>
                <w:w w:val="110"/>
              </w:rPr>
              <w:t>information</w:t>
            </w:r>
            <w:r w:rsidRPr="00950725">
              <w:rPr>
                <w:b/>
                <w:bCs/>
                <w:spacing w:val="-52"/>
                <w:w w:val="110"/>
              </w:rPr>
              <w:t xml:space="preserve"> </w:t>
            </w:r>
            <w:r w:rsidRPr="00950725">
              <w:rPr>
                <w:b/>
                <w:bCs/>
                <w:w w:val="110"/>
              </w:rPr>
              <w:t>systems</w:t>
            </w:r>
          </w:p>
          <w:p w14:paraId="241CAFA0" w14:textId="77777777" w:rsidR="00B104C4" w:rsidRDefault="00B104C4" w:rsidP="00B104C4">
            <w:pPr>
              <w:pStyle w:val="TableText"/>
            </w:pPr>
            <w:r>
              <w:rPr>
                <w:w w:val="105"/>
              </w:rPr>
              <w:t>The percentage of time for which key sector- and</w:t>
            </w:r>
            <w:r>
              <w:rPr>
                <w:spacing w:val="1"/>
                <w:w w:val="105"/>
              </w:rPr>
              <w:t xml:space="preserve"> </w:t>
            </w:r>
            <w:r>
              <w:rPr>
                <w:w w:val="105"/>
              </w:rPr>
              <w:t>public-facing</w:t>
            </w:r>
            <w:r>
              <w:rPr>
                <w:spacing w:val="-5"/>
                <w:w w:val="105"/>
              </w:rPr>
              <w:t xml:space="preserve"> </w:t>
            </w:r>
            <w:r>
              <w:rPr>
                <w:w w:val="105"/>
              </w:rPr>
              <w:t>systems</w:t>
            </w:r>
            <w:r>
              <w:rPr>
                <w:spacing w:val="-5"/>
                <w:w w:val="105"/>
              </w:rPr>
              <w:t xml:space="preserve"> </w:t>
            </w:r>
            <w:r>
              <w:rPr>
                <w:w w:val="105"/>
              </w:rPr>
              <w:t>are</w:t>
            </w:r>
            <w:r>
              <w:rPr>
                <w:spacing w:val="-5"/>
                <w:w w:val="105"/>
              </w:rPr>
              <w:t xml:space="preserve"> </w:t>
            </w:r>
            <w:r>
              <w:rPr>
                <w:w w:val="105"/>
              </w:rPr>
              <w:t>available</w:t>
            </w:r>
            <w:r>
              <w:rPr>
                <w:spacing w:val="-5"/>
                <w:w w:val="105"/>
              </w:rPr>
              <w:t xml:space="preserve"> </w:t>
            </w:r>
            <w:r>
              <w:rPr>
                <w:w w:val="105"/>
              </w:rPr>
              <w:t>(Note</w:t>
            </w:r>
            <w:r>
              <w:rPr>
                <w:spacing w:val="-5"/>
                <w:w w:val="105"/>
              </w:rPr>
              <w:t xml:space="preserve"> </w:t>
            </w:r>
            <w:r>
              <w:rPr>
                <w:w w:val="105"/>
              </w:rPr>
              <w:t>2)</w:t>
            </w:r>
            <w:r>
              <w:rPr>
                <w:spacing w:val="-5"/>
                <w:w w:val="105"/>
              </w:rPr>
              <w:t xml:space="preserve"> </w:t>
            </w:r>
            <w:r>
              <w:rPr>
                <w:w w:val="105"/>
              </w:rPr>
              <w:t>(Note3)</w:t>
            </w:r>
          </w:p>
        </w:tc>
        <w:tc>
          <w:tcPr>
            <w:tcW w:w="1169" w:type="dxa"/>
          </w:tcPr>
          <w:p w14:paraId="03F5B250" w14:textId="77777777" w:rsidR="00E0001E" w:rsidRDefault="00E0001E" w:rsidP="00B104C4">
            <w:pPr>
              <w:pStyle w:val="TableText"/>
              <w:jc w:val="right"/>
              <w:rPr>
                <w:w w:val="105"/>
              </w:rPr>
            </w:pPr>
          </w:p>
          <w:p w14:paraId="6C63C81A" w14:textId="77777777" w:rsidR="00E0001E" w:rsidRDefault="00E0001E" w:rsidP="00B104C4">
            <w:pPr>
              <w:pStyle w:val="TableText"/>
              <w:jc w:val="right"/>
              <w:rPr>
                <w:w w:val="105"/>
              </w:rPr>
            </w:pPr>
          </w:p>
          <w:p w14:paraId="32AC8B86" w14:textId="03C66029" w:rsidR="00B104C4" w:rsidRDefault="00B104C4" w:rsidP="00B104C4">
            <w:pPr>
              <w:pStyle w:val="TableText"/>
              <w:jc w:val="right"/>
            </w:pPr>
            <w:r>
              <w:rPr>
                <w:w w:val="105"/>
              </w:rPr>
              <w:t>98%</w:t>
            </w:r>
          </w:p>
        </w:tc>
        <w:tc>
          <w:tcPr>
            <w:tcW w:w="1170" w:type="dxa"/>
          </w:tcPr>
          <w:p w14:paraId="6EE24F80" w14:textId="77777777" w:rsidR="00E0001E" w:rsidRDefault="00E0001E" w:rsidP="00B104C4">
            <w:pPr>
              <w:pStyle w:val="TableText"/>
              <w:jc w:val="right"/>
              <w:rPr>
                <w:w w:val="105"/>
              </w:rPr>
            </w:pPr>
          </w:p>
          <w:p w14:paraId="503CB8E5" w14:textId="77777777" w:rsidR="00E0001E" w:rsidRDefault="00E0001E" w:rsidP="00B104C4">
            <w:pPr>
              <w:pStyle w:val="TableText"/>
              <w:jc w:val="right"/>
              <w:rPr>
                <w:w w:val="105"/>
              </w:rPr>
            </w:pPr>
          </w:p>
          <w:p w14:paraId="584B1047" w14:textId="7B10D809" w:rsidR="00B104C4" w:rsidRDefault="00B104C4" w:rsidP="00B104C4">
            <w:pPr>
              <w:pStyle w:val="TableText"/>
              <w:jc w:val="right"/>
            </w:pPr>
            <w:r>
              <w:rPr>
                <w:w w:val="105"/>
              </w:rPr>
              <w:t>99%</w:t>
            </w:r>
          </w:p>
        </w:tc>
        <w:tc>
          <w:tcPr>
            <w:tcW w:w="1169" w:type="dxa"/>
          </w:tcPr>
          <w:p w14:paraId="184D8D9D" w14:textId="77777777" w:rsidR="00E0001E" w:rsidRDefault="00E0001E" w:rsidP="00B104C4">
            <w:pPr>
              <w:pStyle w:val="TableText"/>
              <w:jc w:val="right"/>
              <w:rPr>
                <w:w w:val="105"/>
              </w:rPr>
            </w:pPr>
          </w:p>
          <w:p w14:paraId="631B60A7" w14:textId="77777777" w:rsidR="00E0001E" w:rsidRDefault="00E0001E" w:rsidP="00B104C4">
            <w:pPr>
              <w:pStyle w:val="TableText"/>
              <w:jc w:val="right"/>
              <w:rPr>
                <w:w w:val="105"/>
              </w:rPr>
            </w:pPr>
          </w:p>
          <w:p w14:paraId="297836F4" w14:textId="723E8258" w:rsidR="00B104C4" w:rsidRDefault="00B104C4" w:rsidP="00B104C4">
            <w:pPr>
              <w:pStyle w:val="TableText"/>
              <w:jc w:val="right"/>
            </w:pPr>
            <w:r>
              <w:rPr>
                <w:w w:val="105"/>
              </w:rPr>
              <w:t>99.52%</w:t>
            </w:r>
          </w:p>
        </w:tc>
        <w:tc>
          <w:tcPr>
            <w:tcW w:w="1170" w:type="dxa"/>
          </w:tcPr>
          <w:p w14:paraId="41A2DD4F" w14:textId="77777777" w:rsidR="00E0001E" w:rsidRDefault="00E0001E" w:rsidP="00B104C4">
            <w:pPr>
              <w:pStyle w:val="TableText"/>
              <w:jc w:val="right"/>
              <w:rPr>
                <w:b/>
                <w:bCs/>
              </w:rPr>
            </w:pPr>
          </w:p>
          <w:p w14:paraId="4322D8C2" w14:textId="77777777" w:rsidR="00E0001E" w:rsidRDefault="00E0001E" w:rsidP="00B104C4">
            <w:pPr>
              <w:pStyle w:val="TableText"/>
              <w:jc w:val="right"/>
              <w:rPr>
                <w:b/>
                <w:bCs/>
              </w:rPr>
            </w:pPr>
          </w:p>
          <w:p w14:paraId="6826A9D9" w14:textId="2010E4B6" w:rsidR="00B104C4" w:rsidRDefault="00B104C4" w:rsidP="00B104C4">
            <w:pPr>
              <w:pStyle w:val="TableText"/>
              <w:jc w:val="right"/>
              <w:rPr>
                <w:rFonts w:ascii="Franklin Gothic Heavy" w:hAnsi="Franklin Gothic Heavy"/>
                <w:sz w:val="28"/>
              </w:rPr>
            </w:pPr>
            <w:r w:rsidRPr="00FC250E">
              <w:rPr>
                <w:b/>
                <w:bCs/>
              </w:rPr>
              <w:sym w:font="Wingdings" w:char="F0FC"/>
            </w:r>
          </w:p>
        </w:tc>
      </w:tr>
      <w:tr w:rsidR="00B104C4" w14:paraId="5DC8ADE7" w14:textId="77777777" w:rsidTr="00950725">
        <w:trPr>
          <w:trHeight w:val="818"/>
        </w:trPr>
        <w:tc>
          <w:tcPr>
            <w:tcW w:w="3686" w:type="dxa"/>
          </w:tcPr>
          <w:p w14:paraId="235E597D" w14:textId="77777777" w:rsidR="00B104C4" w:rsidRDefault="00B104C4" w:rsidP="00B104C4">
            <w:pPr>
              <w:pStyle w:val="TableText"/>
            </w:pPr>
            <w:r>
              <w:rPr>
                <w:w w:val="105"/>
              </w:rPr>
              <w:t>Number of times that IT systems operated by the</w:t>
            </w:r>
            <w:r>
              <w:rPr>
                <w:spacing w:val="-50"/>
                <w:w w:val="105"/>
              </w:rPr>
              <w:t xml:space="preserve"> </w:t>
            </w:r>
            <w:r>
              <w:t>Ministry of Health have been compromised by an</w:t>
            </w:r>
            <w:r>
              <w:rPr>
                <w:spacing w:val="1"/>
              </w:rPr>
              <w:t xml:space="preserve"> </w:t>
            </w:r>
            <w:r>
              <w:rPr>
                <w:w w:val="105"/>
              </w:rPr>
              <w:t>unauthorised</w:t>
            </w:r>
            <w:r>
              <w:rPr>
                <w:spacing w:val="-5"/>
                <w:w w:val="105"/>
              </w:rPr>
              <w:t xml:space="preserve"> </w:t>
            </w:r>
            <w:r>
              <w:rPr>
                <w:w w:val="105"/>
              </w:rPr>
              <w:t>third</w:t>
            </w:r>
            <w:r>
              <w:rPr>
                <w:spacing w:val="-4"/>
                <w:w w:val="105"/>
              </w:rPr>
              <w:t xml:space="preserve"> </w:t>
            </w:r>
            <w:r>
              <w:rPr>
                <w:w w:val="105"/>
              </w:rPr>
              <w:t>party</w:t>
            </w:r>
          </w:p>
        </w:tc>
        <w:tc>
          <w:tcPr>
            <w:tcW w:w="1169" w:type="dxa"/>
          </w:tcPr>
          <w:p w14:paraId="759BD38B" w14:textId="77777777" w:rsidR="00B104C4" w:rsidRDefault="00B104C4" w:rsidP="00B104C4">
            <w:pPr>
              <w:pStyle w:val="TableText"/>
              <w:jc w:val="right"/>
            </w:pPr>
            <w:r>
              <w:rPr>
                <w:w w:val="113"/>
              </w:rPr>
              <w:t>0</w:t>
            </w:r>
          </w:p>
        </w:tc>
        <w:tc>
          <w:tcPr>
            <w:tcW w:w="1170" w:type="dxa"/>
          </w:tcPr>
          <w:p w14:paraId="760F721B" w14:textId="77777777" w:rsidR="00B104C4" w:rsidRDefault="00B104C4" w:rsidP="00B104C4">
            <w:pPr>
              <w:pStyle w:val="TableText"/>
              <w:jc w:val="right"/>
            </w:pPr>
            <w:r>
              <w:rPr>
                <w:w w:val="113"/>
              </w:rPr>
              <w:t>0</w:t>
            </w:r>
          </w:p>
        </w:tc>
        <w:tc>
          <w:tcPr>
            <w:tcW w:w="1169" w:type="dxa"/>
          </w:tcPr>
          <w:p w14:paraId="49996454" w14:textId="77777777" w:rsidR="00B104C4" w:rsidRDefault="00B104C4" w:rsidP="00B104C4">
            <w:pPr>
              <w:pStyle w:val="TableText"/>
              <w:jc w:val="right"/>
            </w:pPr>
            <w:r>
              <w:rPr>
                <w:w w:val="113"/>
              </w:rPr>
              <w:t>0</w:t>
            </w:r>
          </w:p>
        </w:tc>
        <w:tc>
          <w:tcPr>
            <w:tcW w:w="1170" w:type="dxa"/>
          </w:tcPr>
          <w:p w14:paraId="1CAAC15C" w14:textId="649BA1BC" w:rsidR="00B104C4" w:rsidRDefault="00B104C4" w:rsidP="00B104C4">
            <w:pPr>
              <w:pStyle w:val="TableText"/>
              <w:jc w:val="right"/>
              <w:rPr>
                <w:rFonts w:ascii="Franklin Gothic Heavy" w:hAnsi="Franklin Gothic Heavy"/>
                <w:sz w:val="28"/>
              </w:rPr>
            </w:pPr>
            <w:r w:rsidRPr="00FC250E">
              <w:rPr>
                <w:b/>
                <w:bCs/>
              </w:rPr>
              <w:sym w:font="Wingdings" w:char="F0FC"/>
            </w:r>
          </w:p>
        </w:tc>
      </w:tr>
      <w:tr w:rsidR="00CB0000" w14:paraId="61BF23D0" w14:textId="77777777" w:rsidTr="00950725">
        <w:trPr>
          <w:trHeight w:val="1642"/>
        </w:trPr>
        <w:tc>
          <w:tcPr>
            <w:tcW w:w="3686" w:type="dxa"/>
          </w:tcPr>
          <w:p w14:paraId="76C45BB2" w14:textId="77777777" w:rsidR="00CB0000" w:rsidRPr="00950725" w:rsidRDefault="00CB0000" w:rsidP="00950725">
            <w:pPr>
              <w:pStyle w:val="TableText"/>
              <w:rPr>
                <w:b/>
                <w:bCs/>
              </w:rPr>
            </w:pPr>
            <w:r w:rsidRPr="00950725">
              <w:rPr>
                <w:b/>
                <w:bCs/>
                <w:w w:val="105"/>
              </w:rPr>
              <w:lastRenderedPageBreak/>
              <w:t>National</w:t>
            </w:r>
            <w:r w:rsidRPr="00950725">
              <w:rPr>
                <w:b/>
                <w:bCs/>
                <w:spacing w:val="16"/>
                <w:w w:val="105"/>
              </w:rPr>
              <w:t xml:space="preserve"> </w:t>
            </w:r>
            <w:r w:rsidRPr="00950725">
              <w:rPr>
                <w:b/>
                <w:bCs/>
                <w:w w:val="105"/>
              </w:rPr>
              <w:t>Health</w:t>
            </w:r>
            <w:r w:rsidRPr="00950725">
              <w:rPr>
                <w:b/>
                <w:bCs/>
                <w:spacing w:val="16"/>
                <w:w w:val="105"/>
              </w:rPr>
              <w:t xml:space="preserve"> </w:t>
            </w:r>
            <w:r w:rsidRPr="00950725">
              <w:rPr>
                <w:b/>
                <w:bCs/>
                <w:w w:val="105"/>
              </w:rPr>
              <w:t>Information</w:t>
            </w:r>
            <w:r w:rsidRPr="00950725">
              <w:rPr>
                <w:b/>
                <w:bCs/>
                <w:spacing w:val="17"/>
                <w:w w:val="105"/>
              </w:rPr>
              <w:t xml:space="preserve"> </w:t>
            </w:r>
            <w:r w:rsidRPr="00950725">
              <w:rPr>
                <w:b/>
                <w:bCs/>
                <w:w w:val="105"/>
              </w:rPr>
              <w:t>Systems</w:t>
            </w:r>
          </w:p>
          <w:p w14:paraId="65FEA144" w14:textId="77777777" w:rsidR="00CB0000" w:rsidRDefault="00CB0000" w:rsidP="00950725">
            <w:pPr>
              <w:pStyle w:val="TableText"/>
            </w:pPr>
            <w:r>
              <w:rPr>
                <w:w w:val="105"/>
              </w:rPr>
              <w:t>The percentage of scheduled updates to the New</w:t>
            </w:r>
            <w:r>
              <w:rPr>
                <w:spacing w:val="1"/>
                <w:w w:val="105"/>
              </w:rPr>
              <w:t xml:space="preserve"> </w:t>
            </w:r>
            <w:r>
              <w:t>Zealand</w:t>
            </w:r>
            <w:r>
              <w:rPr>
                <w:spacing w:val="13"/>
              </w:rPr>
              <w:t xml:space="preserve"> </w:t>
            </w:r>
            <w:r>
              <w:t>Formulary,</w:t>
            </w:r>
            <w:r>
              <w:rPr>
                <w:spacing w:val="14"/>
              </w:rPr>
              <w:t xml:space="preserve"> </w:t>
            </w:r>
            <w:r>
              <w:t>a</w:t>
            </w:r>
            <w:r>
              <w:rPr>
                <w:spacing w:val="13"/>
              </w:rPr>
              <w:t xml:space="preserve"> </w:t>
            </w:r>
            <w:r>
              <w:t>key</w:t>
            </w:r>
            <w:r>
              <w:rPr>
                <w:spacing w:val="14"/>
              </w:rPr>
              <w:t xml:space="preserve"> </w:t>
            </w:r>
            <w:r>
              <w:t>sector</w:t>
            </w:r>
            <w:r>
              <w:rPr>
                <w:spacing w:val="14"/>
              </w:rPr>
              <w:t xml:space="preserve"> </w:t>
            </w:r>
            <w:r>
              <w:t>independent</w:t>
            </w:r>
            <w:r>
              <w:rPr>
                <w:spacing w:val="13"/>
              </w:rPr>
              <w:t xml:space="preserve"> </w:t>
            </w:r>
            <w:r>
              <w:t>resource,</w:t>
            </w:r>
            <w:r>
              <w:rPr>
                <w:spacing w:val="-46"/>
              </w:rPr>
              <w:t xml:space="preserve"> </w:t>
            </w:r>
            <w:r>
              <w:rPr>
                <w:w w:val="105"/>
              </w:rPr>
              <w:t>providing healthcare professionals with the clinically</w:t>
            </w:r>
            <w:r>
              <w:rPr>
                <w:spacing w:val="1"/>
                <w:w w:val="105"/>
              </w:rPr>
              <w:t xml:space="preserve"> </w:t>
            </w:r>
            <w:r>
              <w:rPr>
                <w:w w:val="105"/>
              </w:rPr>
              <w:t>validated medicines for patients, delivered in line with</w:t>
            </w:r>
            <w:r>
              <w:rPr>
                <w:spacing w:val="-50"/>
                <w:w w:val="105"/>
              </w:rPr>
              <w:t xml:space="preserve"> </w:t>
            </w:r>
            <w:r>
              <w:rPr>
                <w:w w:val="105"/>
              </w:rPr>
              <w:t>contractual</w:t>
            </w:r>
            <w:r>
              <w:rPr>
                <w:spacing w:val="-5"/>
                <w:w w:val="105"/>
              </w:rPr>
              <w:t xml:space="preserve"> </w:t>
            </w:r>
            <w:r>
              <w:rPr>
                <w:w w:val="105"/>
              </w:rPr>
              <w:t>requirements</w:t>
            </w:r>
          </w:p>
        </w:tc>
        <w:tc>
          <w:tcPr>
            <w:tcW w:w="1169" w:type="dxa"/>
          </w:tcPr>
          <w:p w14:paraId="1450731B" w14:textId="77777777" w:rsidR="00E0001E" w:rsidRDefault="00E0001E" w:rsidP="00950725">
            <w:pPr>
              <w:pStyle w:val="TableText"/>
              <w:jc w:val="right"/>
            </w:pPr>
          </w:p>
          <w:p w14:paraId="10861CFF" w14:textId="0C64DBC9" w:rsidR="00CB0000" w:rsidRDefault="00CB0000" w:rsidP="00950725">
            <w:pPr>
              <w:pStyle w:val="TableText"/>
              <w:jc w:val="right"/>
            </w:pPr>
            <w:r>
              <w:t>100%</w:t>
            </w:r>
          </w:p>
        </w:tc>
        <w:tc>
          <w:tcPr>
            <w:tcW w:w="1170" w:type="dxa"/>
          </w:tcPr>
          <w:p w14:paraId="145010E6" w14:textId="77777777" w:rsidR="00E0001E" w:rsidRDefault="00E0001E" w:rsidP="00950725">
            <w:pPr>
              <w:pStyle w:val="TableText"/>
              <w:jc w:val="right"/>
            </w:pPr>
          </w:p>
          <w:p w14:paraId="6C9D18AF" w14:textId="6D5C986A" w:rsidR="00CB0000" w:rsidRDefault="00CB0000" w:rsidP="00950725">
            <w:pPr>
              <w:pStyle w:val="TableText"/>
              <w:jc w:val="right"/>
            </w:pPr>
            <w:r>
              <w:t>100%</w:t>
            </w:r>
          </w:p>
        </w:tc>
        <w:tc>
          <w:tcPr>
            <w:tcW w:w="1169" w:type="dxa"/>
          </w:tcPr>
          <w:p w14:paraId="7A33B418" w14:textId="77777777" w:rsidR="00E0001E" w:rsidRDefault="00E0001E" w:rsidP="00950725">
            <w:pPr>
              <w:pStyle w:val="TableText"/>
              <w:jc w:val="right"/>
            </w:pPr>
          </w:p>
          <w:p w14:paraId="757FEA92" w14:textId="5EA4FABB" w:rsidR="00CB0000" w:rsidRDefault="00CB0000" w:rsidP="00950725">
            <w:pPr>
              <w:pStyle w:val="TableText"/>
              <w:jc w:val="right"/>
            </w:pPr>
            <w:r>
              <w:t>100%</w:t>
            </w:r>
          </w:p>
        </w:tc>
        <w:tc>
          <w:tcPr>
            <w:tcW w:w="1170" w:type="dxa"/>
          </w:tcPr>
          <w:p w14:paraId="4DEB2205" w14:textId="77777777" w:rsidR="00E0001E" w:rsidRDefault="00E0001E" w:rsidP="00950725">
            <w:pPr>
              <w:pStyle w:val="TableText"/>
              <w:jc w:val="right"/>
              <w:rPr>
                <w:b/>
                <w:bCs/>
              </w:rPr>
            </w:pPr>
          </w:p>
          <w:p w14:paraId="6A308083" w14:textId="2C90E698" w:rsidR="00CB0000" w:rsidRDefault="00B104C4" w:rsidP="00950725">
            <w:pPr>
              <w:pStyle w:val="TableText"/>
              <w:jc w:val="right"/>
              <w:rPr>
                <w:rFonts w:ascii="Franklin Gothic Heavy" w:hAnsi="Franklin Gothic Heavy"/>
                <w:sz w:val="28"/>
              </w:rPr>
            </w:pPr>
            <w:r w:rsidRPr="00BD4046">
              <w:rPr>
                <w:b/>
                <w:bCs/>
              </w:rPr>
              <w:sym w:font="Wingdings" w:char="F0FC"/>
            </w:r>
          </w:p>
        </w:tc>
      </w:tr>
    </w:tbl>
    <w:p w14:paraId="2EC2048C" w14:textId="77777777" w:rsidR="00950725" w:rsidRDefault="00950725" w:rsidP="00950725">
      <w:pPr>
        <w:pStyle w:val="Note"/>
      </w:pPr>
      <w:r>
        <w:rPr>
          <w:w w:val="105"/>
        </w:rPr>
        <w:t xml:space="preserve">Note </w:t>
      </w:r>
      <w:r>
        <w:rPr>
          <w:w w:val="95"/>
        </w:rPr>
        <w:t>1:</w:t>
      </w:r>
      <w:r>
        <w:rPr>
          <w:spacing w:val="1"/>
          <w:w w:val="95"/>
        </w:rPr>
        <w:t xml:space="preserve"> </w:t>
      </w:r>
      <w:r>
        <w:rPr>
          <w:w w:val="105"/>
        </w:rPr>
        <w:t xml:space="preserve">National Collections and Reporting published 100% of our Tier </w:t>
      </w:r>
      <w:r>
        <w:rPr>
          <w:w w:val="95"/>
        </w:rPr>
        <w:t xml:space="preserve">1 </w:t>
      </w:r>
      <w:r>
        <w:rPr>
          <w:w w:val="105"/>
        </w:rPr>
        <w:t>statistics to the required standard in</w:t>
      </w:r>
      <w:r>
        <w:rPr>
          <w:spacing w:val="1"/>
          <w:w w:val="105"/>
        </w:rPr>
        <w:t xml:space="preserve"> </w:t>
      </w:r>
      <w:r>
        <w:t>2021/22.</w:t>
      </w:r>
      <w:r>
        <w:rPr>
          <w:spacing w:val="9"/>
        </w:rPr>
        <w:t xml:space="preserve"> </w:t>
      </w:r>
      <w:r>
        <w:t>During</w:t>
      </w:r>
      <w:r>
        <w:rPr>
          <w:spacing w:val="9"/>
        </w:rPr>
        <w:t xml:space="preserve"> </w:t>
      </w:r>
      <w:r>
        <w:t>this</w:t>
      </w:r>
      <w:r>
        <w:rPr>
          <w:spacing w:val="10"/>
        </w:rPr>
        <w:t xml:space="preserve"> </w:t>
      </w:r>
      <w:r>
        <w:t>year</w:t>
      </w:r>
      <w:r>
        <w:rPr>
          <w:spacing w:val="9"/>
        </w:rPr>
        <w:t xml:space="preserve"> </w:t>
      </w:r>
      <w:r>
        <w:t>there</w:t>
      </w:r>
      <w:r>
        <w:rPr>
          <w:spacing w:val="9"/>
        </w:rPr>
        <w:t xml:space="preserve"> </w:t>
      </w:r>
      <w:r>
        <w:t>were</w:t>
      </w:r>
      <w:r>
        <w:rPr>
          <w:spacing w:val="10"/>
        </w:rPr>
        <w:t xml:space="preserve"> </w:t>
      </w:r>
      <w:r>
        <w:t>around</w:t>
      </w:r>
      <w:r>
        <w:rPr>
          <w:spacing w:val="9"/>
        </w:rPr>
        <w:t xml:space="preserve"> </w:t>
      </w:r>
      <w:r>
        <w:t>198,000</w:t>
      </w:r>
      <w:r>
        <w:rPr>
          <w:spacing w:val="10"/>
        </w:rPr>
        <w:t xml:space="preserve"> </w:t>
      </w:r>
      <w:r>
        <w:t>visits</w:t>
      </w:r>
      <w:r>
        <w:rPr>
          <w:spacing w:val="9"/>
        </w:rPr>
        <w:t xml:space="preserve"> </w:t>
      </w:r>
      <w:r>
        <w:t>to</w:t>
      </w:r>
      <w:r>
        <w:rPr>
          <w:spacing w:val="9"/>
        </w:rPr>
        <w:t xml:space="preserve"> </w:t>
      </w:r>
      <w:r>
        <w:t>web</w:t>
      </w:r>
      <w:r>
        <w:rPr>
          <w:spacing w:val="10"/>
        </w:rPr>
        <w:t xml:space="preserve"> </w:t>
      </w:r>
      <w:r>
        <w:t>pages</w:t>
      </w:r>
      <w:r>
        <w:rPr>
          <w:spacing w:val="9"/>
        </w:rPr>
        <w:t xml:space="preserve"> </w:t>
      </w:r>
      <w:r>
        <w:t>with</w:t>
      </w:r>
      <w:r>
        <w:rPr>
          <w:spacing w:val="10"/>
        </w:rPr>
        <w:t xml:space="preserve"> </w:t>
      </w:r>
      <w:r>
        <w:t>National</w:t>
      </w:r>
      <w:r>
        <w:rPr>
          <w:spacing w:val="9"/>
        </w:rPr>
        <w:t xml:space="preserve"> </w:t>
      </w:r>
      <w:r>
        <w:t>Collections</w:t>
      </w:r>
      <w:r>
        <w:rPr>
          <w:spacing w:val="9"/>
        </w:rPr>
        <w:t xml:space="preserve"> </w:t>
      </w:r>
      <w:r>
        <w:t>data.</w:t>
      </w:r>
      <w:r>
        <w:rPr>
          <w:spacing w:val="10"/>
        </w:rPr>
        <w:t xml:space="preserve"> </w:t>
      </w:r>
      <w:r>
        <w:t>Of</w:t>
      </w:r>
      <w:r>
        <w:rPr>
          <w:spacing w:val="-42"/>
        </w:rPr>
        <w:t xml:space="preserve"> </w:t>
      </w:r>
      <w:r>
        <w:rPr>
          <w:w w:val="105"/>
        </w:rPr>
        <w:t>these,</w:t>
      </w:r>
      <w:r>
        <w:rPr>
          <w:spacing w:val="-5"/>
          <w:w w:val="105"/>
        </w:rPr>
        <w:t xml:space="preserve"> </w:t>
      </w:r>
      <w:r>
        <w:rPr>
          <w:w w:val="105"/>
        </w:rPr>
        <w:t>around</w:t>
      </w:r>
      <w:r>
        <w:rPr>
          <w:spacing w:val="-5"/>
          <w:w w:val="105"/>
        </w:rPr>
        <w:t xml:space="preserve"> </w:t>
      </w:r>
      <w:r>
        <w:rPr>
          <w:w w:val="105"/>
        </w:rPr>
        <w:t>153,000</w:t>
      </w:r>
      <w:r>
        <w:rPr>
          <w:spacing w:val="-4"/>
          <w:w w:val="105"/>
        </w:rPr>
        <w:t xml:space="preserve"> </w:t>
      </w:r>
      <w:r>
        <w:rPr>
          <w:w w:val="105"/>
        </w:rPr>
        <w:t>visits</w:t>
      </w:r>
      <w:r>
        <w:rPr>
          <w:spacing w:val="-5"/>
          <w:w w:val="105"/>
        </w:rPr>
        <w:t xml:space="preserve"> </w:t>
      </w:r>
      <w:r>
        <w:rPr>
          <w:w w:val="105"/>
        </w:rPr>
        <w:t>were</w:t>
      </w:r>
      <w:r>
        <w:rPr>
          <w:spacing w:val="-5"/>
          <w:w w:val="105"/>
        </w:rPr>
        <w:t xml:space="preserve"> </w:t>
      </w:r>
      <w:r>
        <w:rPr>
          <w:w w:val="105"/>
        </w:rPr>
        <w:t>to</w:t>
      </w:r>
      <w:r>
        <w:rPr>
          <w:spacing w:val="-4"/>
          <w:w w:val="105"/>
        </w:rPr>
        <w:t xml:space="preserve"> </w:t>
      </w:r>
      <w:r>
        <w:rPr>
          <w:w w:val="105"/>
        </w:rPr>
        <w:t>pages</w:t>
      </w:r>
      <w:r>
        <w:rPr>
          <w:spacing w:val="-5"/>
          <w:w w:val="105"/>
        </w:rPr>
        <w:t xml:space="preserve"> </w:t>
      </w:r>
      <w:r>
        <w:rPr>
          <w:w w:val="105"/>
        </w:rPr>
        <w:t>containing</w:t>
      </w:r>
      <w:r>
        <w:rPr>
          <w:spacing w:val="-5"/>
          <w:w w:val="105"/>
        </w:rPr>
        <w:t xml:space="preserve"> </w:t>
      </w:r>
      <w:r>
        <w:rPr>
          <w:w w:val="105"/>
        </w:rPr>
        <w:t>our</w:t>
      </w:r>
      <w:r>
        <w:rPr>
          <w:spacing w:val="-4"/>
          <w:w w:val="105"/>
        </w:rPr>
        <w:t xml:space="preserve"> </w:t>
      </w:r>
      <w:r>
        <w:rPr>
          <w:w w:val="105"/>
        </w:rPr>
        <w:t>Tier</w:t>
      </w:r>
      <w:r>
        <w:rPr>
          <w:spacing w:val="-5"/>
          <w:w w:val="105"/>
        </w:rPr>
        <w:t xml:space="preserve"> </w:t>
      </w:r>
      <w:r>
        <w:rPr>
          <w:w w:val="95"/>
        </w:rPr>
        <w:t xml:space="preserve">1 </w:t>
      </w:r>
      <w:r>
        <w:rPr>
          <w:w w:val="105"/>
        </w:rPr>
        <w:t>statistics.</w:t>
      </w:r>
    </w:p>
    <w:p w14:paraId="64352D59" w14:textId="77777777" w:rsidR="00950725" w:rsidRDefault="00950725" w:rsidP="00950725">
      <w:pPr>
        <w:pStyle w:val="Note"/>
      </w:pPr>
      <w:r>
        <w:t>Note</w:t>
      </w:r>
      <w:r>
        <w:rPr>
          <w:spacing w:val="10"/>
        </w:rPr>
        <w:t xml:space="preserve"> </w:t>
      </w:r>
      <w:r>
        <w:t>2:</w:t>
      </w:r>
      <w:r>
        <w:rPr>
          <w:spacing w:val="22"/>
        </w:rPr>
        <w:t xml:space="preserve"> </w:t>
      </w:r>
      <w:r>
        <w:t>Key</w:t>
      </w:r>
      <w:r>
        <w:rPr>
          <w:spacing w:val="10"/>
        </w:rPr>
        <w:t xml:space="preserve"> </w:t>
      </w:r>
      <w:r>
        <w:t>systems</w:t>
      </w:r>
      <w:r>
        <w:rPr>
          <w:spacing w:val="11"/>
        </w:rPr>
        <w:t xml:space="preserve"> </w:t>
      </w:r>
      <w:r>
        <w:t>include:</w:t>
      </w:r>
      <w:r>
        <w:rPr>
          <w:spacing w:val="10"/>
        </w:rPr>
        <w:t xml:space="preserve"> </w:t>
      </w:r>
      <w:r>
        <w:t>Proclaim,</w:t>
      </w:r>
      <w:r>
        <w:rPr>
          <w:spacing w:val="10"/>
        </w:rPr>
        <w:t xml:space="preserve"> </w:t>
      </w:r>
      <w:r>
        <w:t>Special</w:t>
      </w:r>
      <w:r>
        <w:rPr>
          <w:spacing w:val="11"/>
        </w:rPr>
        <w:t xml:space="preserve"> </w:t>
      </w:r>
      <w:r>
        <w:t>Authority,</w:t>
      </w:r>
      <w:r>
        <w:rPr>
          <w:spacing w:val="10"/>
        </w:rPr>
        <w:t xml:space="preserve"> </w:t>
      </w:r>
      <w:r>
        <w:t>Health</w:t>
      </w:r>
      <w:r>
        <w:rPr>
          <w:spacing w:val="10"/>
        </w:rPr>
        <w:t xml:space="preserve"> </w:t>
      </w:r>
      <w:r>
        <w:t>Identity</w:t>
      </w:r>
      <w:r>
        <w:rPr>
          <w:spacing w:val="11"/>
        </w:rPr>
        <w:t xml:space="preserve"> </w:t>
      </w:r>
      <w:r>
        <w:t>Platform</w:t>
      </w:r>
      <w:r>
        <w:rPr>
          <w:spacing w:val="10"/>
        </w:rPr>
        <w:t xml:space="preserve"> </w:t>
      </w:r>
      <w:r>
        <w:t>(includes</w:t>
      </w:r>
      <w:r>
        <w:rPr>
          <w:spacing w:val="10"/>
        </w:rPr>
        <w:t xml:space="preserve"> </w:t>
      </w:r>
      <w:r>
        <w:t>the</w:t>
      </w:r>
      <w:r>
        <w:rPr>
          <w:spacing w:val="11"/>
        </w:rPr>
        <w:t xml:space="preserve"> </w:t>
      </w:r>
      <w:r>
        <w:t>National</w:t>
      </w:r>
      <w:r>
        <w:rPr>
          <w:spacing w:val="10"/>
        </w:rPr>
        <w:t xml:space="preserve"> </w:t>
      </w:r>
      <w:r>
        <w:t>Health</w:t>
      </w:r>
      <w:r>
        <w:rPr>
          <w:spacing w:val="1"/>
        </w:rPr>
        <w:t xml:space="preserve"> </w:t>
      </w:r>
      <w:r>
        <w:t>Index),</w:t>
      </w:r>
      <w:r>
        <w:rPr>
          <w:spacing w:val="8"/>
        </w:rPr>
        <w:t xml:space="preserve"> </w:t>
      </w:r>
      <w:r>
        <w:t>National</w:t>
      </w:r>
      <w:r>
        <w:rPr>
          <w:spacing w:val="9"/>
        </w:rPr>
        <w:t xml:space="preserve"> </w:t>
      </w:r>
      <w:r>
        <w:t>Immunisation</w:t>
      </w:r>
      <w:r>
        <w:rPr>
          <w:spacing w:val="9"/>
        </w:rPr>
        <w:t xml:space="preserve"> </w:t>
      </w:r>
      <w:r>
        <w:t>Register,</w:t>
      </w:r>
      <w:r>
        <w:rPr>
          <w:spacing w:val="9"/>
        </w:rPr>
        <w:t xml:space="preserve"> </w:t>
      </w:r>
      <w:r>
        <w:t>Financial</w:t>
      </w:r>
      <w:r>
        <w:rPr>
          <w:spacing w:val="9"/>
        </w:rPr>
        <w:t xml:space="preserve"> </w:t>
      </w:r>
      <w:r>
        <w:t>Management,</w:t>
      </w:r>
      <w:r>
        <w:rPr>
          <w:spacing w:val="9"/>
        </w:rPr>
        <w:t xml:space="preserve"> </w:t>
      </w:r>
      <w:hyperlink r:id="rId39">
        <w:r>
          <w:t>www.health.govt.nz,</w:t>
        </w:r>
        <w:r>
          <w:rPr>
            <w:spacing w:val="9"/>
          </w:rPr>
          <w:t xml:space="preserve"> </w:t>
        </w:r>
      </w:hyperlink>
      <w:r>
        <w:t>Oracle,</w:t>
      </w:r>
      <w:r>
        <w:rPr>
          <w:spacing w:val="8"/>
        </w:rPr>
        <w:t xml:space="preserve"> </w:t>
      </w:r>
      <w:r>
        <w:t>and</w:t>
      </w:r>
      <w:r>
        <w:rPr>
          <w:spacing w:val="9"/>
        </w:rPr>
        <w:t xml:space="preserve"> </w:t>
      </w:r>
      <w:r>
        <w:t>National</w:t>
      </w:r>
      <w:r>
        <w:rPr>
          <w:spacing w:val="-41"/>
        </w:rPr>
        <w:t xml:space="preserve"> </w:t>
      </w:r>
      <w:r>
        <w:t>Screening</w:t>
      </w:r>
      <w:r>
        <w:rPr>
          <w:spacing w:val="-2"/>
        </w:rPr>
        <w:t xml:space="preserve"> </w:t>
      </w:r>
      <w:r>
        <w:t>Solution.</w:t>
      </w:r>
    </w:p>
    <w:p w14:paraId="67199BE7" w14:textId="1508B5B8" w:rsidR="00950725" w:rsidRDefault="00950725" w:rsidP="00950725">
      <w:pPr>
        <w:pStyle w:val="Note"/>
        <w:rPr>
          <w:w w:val="105"/>
        </w:rPr>
      </w:pPr>
      <w:r>
        <w:rPr>
          <w:w w:val="105"/>
        </w:rPr>
        <w:t>Note 3:</w:t>
      </w:r>
      <w:r>
        <w:rPr>
          <w:spacing w:val="1"/>
          <w:w w:val="105"/>
        </w:rPr>
        <w:t xml:space="preserve"> </w:t>
      </w:r>
      <w:r>
        <w:rPr>
          <w:w w:val="105"/>
        </w:rPr>
        <w:t>In 2021/22, the Ministry operated systems to support the COVID-19 health response and the COVID-19</w:t>
      </w:r>
      <w:r>
        <w:rPr>
          <w:spacing w:val="1"/>
          <w:w w:val="105"/>
        </w:rPr>
        <w:t xml:space="preserve"> </w:t>
      </w:r>
      <w:r>
        <w:rPr>
          <w:w w:val="105"/>
        </w:rPr>
        <w:t>Vaccine and Immunisation Programme. The overall availability of those key systems was 99.65%. The</w:t>
      </w:r>
      <w:r>
        <w:rPr>
          <w:spacing w:val="1"/>
          <w:w w:val="105"/>
        </w:rPr>
        <w:t xml:space="preserve"> </w:t>
      </w:r>
      <w:r>
        <w:rPr>
          <w:spacing w:val="-1"/>
          <w:w w:val="105"/>
        </w:rPr>
        <w:t>table</w:t>
      </w:r>
      <w:r>
        <w:rPr>
          <w:spacing w:val="-11"/>
          <w:w w:val="105"/>
        </w:rPr>
        <w:t xml:space="preserve"> </w:t>
      </w:r>
      <w:r>
        <w:rPr>
          <w:spacing w:val="-1"/>
          <w:w w:val="105"/>
        </w:rPr>
        <w:t>below</w:t>
      </w:r>
      <w:r>
        <w:rPr>
          <w:spacing w:val="-11"/>
          <w:w w:val="105"/>
        </w:rPr>
        <w:t xml:space="preserve"> </w:t>
      </w:r>
      <w:r>
        <w:rPr>
          <w:spacing w:val="-1"/>
          <w:w w:val="105"/>
        </w:rPr>
        <w:t>is</w:t>
      </w:r>
      <w:r>
        <w:rPr>
          <w:spacing w:val="-10"/>
          <w:w w:val="105"/>
        </w:rPr>
        <w:t xml:space="preserve"> </w:t>
      </w:r>
      <w:r>
        <w:rPr>
          <w:spacing w:val="-1"/>
          <w:w w:val="105"/>
        </w:rPr>
        <w:t>not</w:t>
      </w:r>
      <w:r>
        <w:rPr>
          <w:spacing w:val="-11"/>
          <w:w w:val="105"/>
        </w:rPr>
        <w:t xml:space="preserve"> </w:t>
      </w:r>
      <w:r>
        <w:rPr>
          <w:spacing w:val="-1"/>
          <w:w w:val="105"/>
        </w:rPr>
        <w:t>a</w:t>
      </w:r>
      <w:r>
        <w:rPr>
          <w:spacing w:val="-11"/>
          <w:w w:val="105"/>
        </w:rPr>
        <w:t xml:space="preserve"> </w:t>
      </w:r>
      <w:r>
        <w:rPr>
          <w:spacing w:val="-1"/>
          <w:w w:val="105"/>
        </w:rPr>
        <w:t>performance</w:t>
      </w:r>
      <w:r>
        <w:rPr>
          <w:spacing w:val="-10"/>
          <w:w w:val="105"/>
        </w:rPr>
        <w:t xml:space="preserve"> </w:t>
      </w:r>
      <w:r>
        <w:rPr>
          <w:w w:val="105"/>
        </w:rPr>
        <w:t>measure</w:t>
      </w:r>
      <w:r>
        <w:rPr>
          <w:spacing w:val="-11"/>
          <w:w w:val="105"/>
        </w:rPr>
        <w:t xml:space="preserve"> </w:t>
      </w:r>
      <w:r>
        <w:rPr>
          <w:w w:val="105"/>
        </w:rPr>
        <w:t>but</w:t>
      </w:r>
      <w:r>
        <w:rPr>
          <w:spacing w:val="-10"/>
          <w:w w:val="105"/>
        </w:rPr>
        <w:t xml:space="preserve"> </w:t>
      </w:r>
      <w:r>
        <w:rPr>
          <w:w w:val="105"/>
        </w:rPr>
        <w:t>provides</w:t>
      </w:r>
      <w:r>
        <w:rPr>
          <w:spacing w:val="-11"/>
          <w:w w:val="105"/>
        </w:rPr>
        <w:t xml:space="preserve"> </w:t>
      </w:r>
      <w:r>
        <w:rPr>
          <w:w w:val="105"/>
        </w:rPr>
        <w:t>the</w:t>
      </w:r>
      <w:r>
        <w:rPr>
          <w:spacing w:val="-11"/>
          <w:w w:val="105"/>
        </w:rPr>
        <w:t xml:space="preserve"> </w:t>
      </w:r>
      <w:r>
        <w:rPr>
          <w:w w:val="105"/>
        </w:rPr>
        <w:t>name</w:t>
      </w:r>
      <w:r>
        <w:rPr>
          <w:spacing w:val="-10"/>
          <w:w w:val="105"/>
        </w:rPr>
        <w:t xml:space="preserve"> </w:t>
      </w:r>
      <w:r>
        <w:rPr>
          <w:w w:val="105"/>
        </w:rPr>
        <w:t>of</w:t>
      </w:r>
      <w:r>
        <w:rPr>
          <w:spacing w:val="-11"/>
          <w:w w:val="105"/>
        </w:rPr>
        <w:t xml:space="preserve"> </w:t>
      </w:r>
      <w:r>
        <w:rPr>
          <w:w w:val="105"/>
        </w:rPr>
        <w:t>each</w:t>
      </w:r>
      <w:r>
        <w:rPr>
          <w:spacing w:val="-10"/>
          <w:w w:val="105"/>
        </w:rPr>
        <w:t xml:space="preserve"> </w:t>
      </w:r>
      <w:r>
        <w:rPr>
          <w:w w:val="105"/>
        </w:rPr>
        <w:t>system,</w:t>
      </w:r>
      <w:r>
        <w:rPr>
          <w:spacing w:val="-11"/>
          <w:w w:val="105"/>
        </w:rPr>
        <w:t xml:space="preserve"> </w:t>
      </w:r>
      <w:r>
        <w:rPr>
          <w:w w:val="105"/>
        </w:rPr>
        <w:t>the</w:t>
      </w:r>
      <w:r>
        <w:rPr>
          <w:spacing w:val="-11"/>
          <w:w w:val="105"/>
        </w:rPr>
        <w:t xml:space="preserve"> </w:t>
      </w:r>
      <w:r>
        <w:rPr>
          <w:w w:val="105"/>
        </w:rPr>
        <w:t>availability</w:t>
      </w:r>
      <w:r>
        <w:rPr>
          <w:spacing w:val="-10"/>
          <w:w w:val="105"/>
        </w:rPr>
        <w:t xml:space="preserve"> </w:t>
      </w:r>
      <w:r>
        <w:rPr>
          <w:w w:val="105"/>
        </w:rPr>
        <w:t>target,</w:t>
      </w:r>
      <w:r>
        <w:rPr>
          <w:spacing w:val="-44"/>
          <w:w w:val="105"/>
        </w:rPr>
        <w:t xml:space="preserve"> </w:t>
      </w:r>
      <w:r>
        <w:rPr>
          <w:w w:val="105"/>
        </w:rPr>
        <w:t>and</w:t>
      </w:r>
      <w:r>
        <w:rPr>
          <w:spacing w:val="-6"/>
          <w:w w:val="105"/>
        </w:rPr>
        <w:t xml:space="preserve"> </w:t>
      </w:r>
      <w:r>
        <w:rPr>
          <w:w w:val="105"/>
        </w:rPr>
        <w:t>the</w:t>
      </w:r>
      <w:r>
        <w:rPr>
          <w:spacing w:val="-5"/>
          <w:w w:val="105"/>
        </w:rPr>
        <w:t xml:space="preserve"> </w:t>
      </w:r>
      <w:r>
        <w:rPr>
          <w:w w:val="105"/>
        </w:rPr>
        <w:t>percentage</w:t>
      </w:r>
      <w:r>
        <w:rPr>
          <w:spacing w:val="-5"/>
          <w:w w:val="105"/>
        </w:rPr>
        <w:t xml:space="preserve"> </w:t>
      </w:r>
      <w:r>
        <w:rPr>
          <w:w w:val="105"/>
        </w:rPr>
        <w:t>of</w:t>
      </w:r>
      <w:r>
        <w:rPr>
          <w:spacing w:val="-5"/>
          <w:w w:val="105"/>
        </w:rPr>
        <w:t xml:space="preserve"> </w:t>
      </w:r>
      <w:r>
        <w:rPr>
          <w:w w:val="105"/>
        </w:rPr>
        <w:t>time</w:t>
      </w:r>
      <w:r>
        <w:rPr>
          <w:spacing w:val="-5"/>
          <w:w w:val="105"/>
        </w:rPr>
        <w:t xml:space="preserve"> </w:t>
      </w:r>
      <w:r>
        <w:rPr>
          <w:w w:val="105"/>
        </w:rPr>
        <w:t>that</w:t>
      </w:r>
      <w:r>
        <w:rPr>
          <w:spacing w:val="-5"/>
          <w:w w:val="105"/>
        </w:rPr>
        <w:t xml:space="preserve"> </w:t>
      </w:r>
      <w:r>
        <w:rPr>
          <w:w w:val="105"/>
        </w:rPr>
        <w:t>the</w:t>
      </w:r>
      <w:r>
        <w:rPr>
          <w:spacing w:val="-5"/>
          <w:w w:val="105"/>
        </w:rPr>
        <w:t xml:space="preserve"> </w:t>
      </w:r>
      <w:r>
        <w:rPr>
          <w:w w:val="105"/>
        </w:rPr>
        <w:t>system</w:t>
      </w:r>
      <w:r>
        <w:rPr>
          <w:spacing w:val="-5"/>
          <w:w w:val="105"/>
        </w:rPr>
        <w:t xml:space="preserve"> </w:t>
      </w:r>
      <w:r>
        <w:rPr>
          <w:w w:val="105"/>
        </w:rPr>
        <w:t>was</w:t>
      </w:r>
      <w:r>
        <w:rPr>
          <w:spacing w:val="-5"/>
          <w:w w:val="105"/>
        </w:rPr>
        <w:t xml:space="preserve"> </w:t>
      </w:r>
      <w:r>
        <w:rPr>
          <w:w w:val="105"/>
        </w:rPr>
        <w:t>available.</w:t>
      </w:r>
    </w:p>
    <w:p w14:paraId="55A10864" w14:textId="51DE2FCB" w:rsidR="00950725" w:rsidRDefault="00950725" w:rsidP="00950725">
      <w:pPr>
        <w:pStyle w:val="Heading4"/>
      </w:pPr>
      <w:r w:rsidRPr="00950725">
        <w:t>Additional performance information: COVID-19 information systems availability (uptime)</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4253"/>
        <w:gridCol w:w="1370"/>
        <w:gridCol w:w="1370"/>
        <w:gridCol w:w="1371"/>
      </w:tblGrid>
      <w:tr w:rsidR="00950725" w:rsidRPr="00950725" w14:paraId="66688950" w14:textId="77777777" w:rsidTr="00950725">
        <w:trPr>
          <w:trHeight w:val="798"/>
        </w:trPr>
        <w:tc>
          <w:tcPr>
            <w:tcW w:w="4253" w:type="dxa"/>
            <w:tcBorders>
              <w:top w:val="nil"/>
              <w:bottom w:val="nil"/>
            </w:tcBorders>
            <w:shd w:val="clear" w:color="auto" w:fill="D9D9D9" w:themeFill="background1" w:themeFillShade="D9"/>
          </w:tcPr>
          <w:p w14:paraId="6BB2C745" w14:textId="048EBE60" w:rsidR="00950725" w:rsidRPr="00950725" w:rsidRDefault="00950725" w:rsidP="00950725">
            <w:pPr>
              <w:pStyle w:val="TableText"/>
              <w:rPr>
                <w:b/>
                <w:bCs/>
              </w:rPr>
            </w:pPr>
            <w:r w:rsidRPr="00950725">
              <w:rPr>
                <w:b/>
                <w:bCs/>
                <w:w w:val="105"/>
              </w:rPr>
              <w:t>COVID-19</w:t>
            </w:r>
            <w:r w:rsidRPr="00950725">
              <w:rPr>
                <w:b/>
                <w:bCs/>
                <w:spacing w:val="6"/>
                <w:w w:val="105"/>
              </w:rPr>
              <w:t xml:space="preserve"> </w:t>
            </w:r>
            <w:r w:rsidRPr="00950725">
              <w:rPr>
                <w:b/>
                <w:bCs/>
                <w:w w:val="105"/>
              </w:rPr>
              <w:t>health</w:t>
            </w:r>
            <w:r w:rsidRPr="00950725">
              <w:rPr>
                <w:b/>
                <w:bCs/>
                <w:spacing w:val="6"/>
                <w:w w:val="105"/>
              </w:rPr>
              <w:t xml:space="preserve"> </w:t>
            </w:r>
            <w:r w:rsidRPr="00950725">
              <w:rPr>
                <w:b/>
                <w:bCs/>
                <w:w w:val="105"/>
              </w:rPr>
              <w:t>response</w:t>
            </w:r>
            <w:r w:rsidRPr="00950725">
              <w:rPr>
                <w:b/>
                <w:bCs/>
                <w:spacing w:val="6"/>
                <w:w w:val="105"/>
              </w:rPr>
              <w:t xml:space="preserve"> </w:t>
            </w:r>
            <w:r w:rsidRPr="00950725">
              <w:rPr>
                <w:b/>
                <w:bCs/>
                <w:w w:val="105"/>
              </w:rPr>
              <w:t>or</w:t>
            </w:r>
            <w:r w:rsidRPr="00950725">
              <w:rPr>
                <w:b/>
                <w:bCs/>
                <w:spacing w:val="6"/>
                <w:w w:val="105"/>
              </w:rPr>
              <w:t xml:space="preserve"> </w:t>
            </w:r>
            <w:r w:rsidRPr="00950725">
              <w:rPr>
                <w:b/>
                <w:bCs/>
                <w:w w:val="105"/>
              </w:rPr>
              <w:t>COVID-19</w:t>
            </w:r>
            <w:r w:rsidRPr="00950725">
              <w:rPr>
                <w:b/>
                <w:bCs/>
                <w:spacing w:val="6"/>
                <w:w w:val="105"/>
              </w:rPr>
              <w:t xml:space="preserve"> </w:t>
            </w:r>
            <w:r w:rsidRPr="00950725">
              <w:rPr>
                <w:b/>
                <w:bCs/>
                <w:w w:val="105"/>
              </w:rPr>
              <w:t>vaccination</w:t>
            </w:r>
            <w:r w:rsidRPr="00950725">
              <w:rPr>
                <w:b/>
                <w:bCs/>
                <w:spacing w:val="6"/>
                <w:w w:val="105"/>
              </w:rPr>
              <w:t xml:space="preserve"> </w:t>
            </w:r>
            <w:r w:rsidRPr="00950725">
              <w:rPr>
                <w:b/>
                <w:bCs/>
                <w:w w:val="105"/>
              </w:rPr>
              <w:t>and</w:t>
            </w:r>
            <w:r w:rsidRPr="00950725">
              <w:rPr>
                <w:b/>
                <w:bCs/>
                <w:spacing w:val="1"/>
                <w:w w:val="105"/>
              </w:rPr>
              <w:t xml:space="preserve"> </w:t>
            </w:r>
            <w:r w:rsidRPr="00950725">
              <w:rPr>
                <w:b/>
                <w:bCs/>
                <w:w w:val="110"/>
              </w:rPr>
              <w:t>immunisation</w:t>
            </w:r>
            <w:r w:rsidRPr="00950725">
              <w:rPr>
                <w:b/>
                <w:bCs/>
                <w:spacing w:val="-8"/>
                <w:w w:val="110"/>
              </w:rPr>
              <w:t xml:space="preserve"> </w:t>
            </w:r>
            <w:r w:rsidRPr="00950725">
              <w:rPr>
                <w:b/>
                <w:bCs/>
                <w:w w:val="110"/>
              </w:rPr>
              <w:t>programme</w:t>
            </w:r>
            <w:r w:rsidRPr="00950725">
              <w:rPr>
                <w:b/>
                <w:bCs/>
                <w:spacing w:val="-7"/>
                <w:w w:val="110"/>
              </w:rPr>
              <w:t xml:space="preserve"> </w:t>
            </w:r>
            <w:r w:rsidRPr="00950725">
              <w:rPr>
                <w:b/>
                <w:bCs/>
                <w:w w:val="110"/>
              </w:rPr>
              <w:t>information</w:t>
            </w:r>
            <w:r w:rsidRPr="00950725">
              <w:rPr>
                <w:b/>
                <w:bCs/>
                <w:spacing w:val="-7"/>
                <w:w w:val="110"/>
              </w:rPr>
              <w:t xml:space="preserve"> </w:t>
            </w:r>
            <w:r w:rsidRPr="00950725">
              <w:rPr>
                <w:b/>
                <w:bCs/>
                <w:w w:val="110"/>
              </w:rPr>
              <w:t>systems</w:t>
            </w:r>
            <w:r w:rsidRPr="00950725">
              <w:rPr>
                <w:b/>
                <w:bCs/>
                <w:spacing w:val="-8"/>
                <w:w w:val="110"/>
              </w:rPr>
              <w:t xml:space="preserve"> </w:t>
            </w:r>
            <w:r w:rsidRPr="00950725">
              <w:rPr>
                <w:b/>
                <w:bCs/>
                <w:w w:val="110"/>
              </w:rPr>
              <w:t>(Note</w:t>
            </w:r>
            <w:r w:rsidRPr="00950725">
              <w:rPr>
                <w:b/>
                <w:bCs/>
                <w:spacing w:val="-7"/>
                <w:w w:val="110"/>
              </w:rPr>
              <w:t xml:space="preserve"> </w:t>
            </w:r>
            <w:r w:rsidRPr="00950725">
              <w:rPr>
                <w:b/>
                <w:bCs/>
                <w:w w:val="110"/>
              </w:rPr>
              <w:t>1)</w:t>
            </w:r>
          </w:p>
        </w:tc>
        <w:tc>
          <w:tcPr>
            <w:tcW w:w="1370" w:type="dxa"/>
            <w:tcBorders>
              <w:top w:val="nil"/>
              <w:bottom w:val="nil"/>
            </w:tcBorders>
            <w:shd w:val="clear" w:color="auto" w:fill="D9D9D9" w:themeFill="background1" w:themeFillShade="D9"/>
          </w:tcPr>
          <w:p w14:paraId="6BF66324" w14:textId="0C65DCB6" w:rsidR="00950725" w:rsidRPr="00950725" w:rsidRDefault="00950725" w:rsidP="00950725">
            <w:pPr>
              <w:pStyle w:val="TableText"/>
              <w:jc w:val="right"/>
              <w:rPr>
                <w:b/>
                <w:bCs/>
              </w:rPr>
            </w:pPr>
            <w:r w:rsidRPr="00950725">
              <w:rPr>
                <w:b/>
                <w:bCs/>
                <w:w w:val="110"/>
              </w:rPr>
              <w:t>Actual</w:t>
            </w:r>
            <w:r w:rsidRPr="00950725">
              <w:rPr>
                <w:b/>
                <w:bCs/>
                <w:spacing w:val="-53"/>
                <w:w w:val="110"/>
              </w:rPr>
              <w:t xml:space="preserve"> </w:t>
            </w:r>
            <w:r w:rsidRPr="00950725">
              <w:rPr>
                <w:b/>
                <w:bCs/>
                <w:w w:val="105"/>
              </w:rPr>
              <w:t>2020/21</w:t>
            </w:r>
          </w:p>
        </w:tc>
        <w:tc>
          <w:tcPr>
            <w:tcW w:w="1370" w:type="dxa"/>
            <w:tcBorders>
              <w:top w:val="nil"/>
              <w:bottom w:val="nil"/>
            </w:tcBorders>
            <w:shd w:val="clear" w:color="auto" w:fill="D9D9D9" w:themeFill="background1" w:themeFillShade="D9"/>
          </w:tcPr>
          <w:p w14:paraId="66465D41" w14:textId="77777777" w:rsidR="00950725" w:rsidRPr="00950725" w:rsidRDefault="00950725" w:rsidP="00950725">
            <w:pPr>
              <w:pStyle w:val="TableText"/>
              <w:jc w:val="right"/>
              <w:rPr>
                <w:b/>
                <w:bCs/>
              </w:rPr>
            </w:pPr>
            <w:r w:rsidRPr="00950725">
              <w:rPr>
                <w:b/>
                <w:bCs/>
                <w:w w:val="110"/>
              </w:rPr>
              <w:t>Target</w:t>
            </w:r>
          </w:p>
          <w:p w14:paraId="707F89FB" w14:textId="08664FD2" w:rsidR="00950725" w:rsidRPr="00950725" w:rsidRDefault="00950725" w:rsidP="00950725">
            <w:pPr>
              <w:pStyle w:val="TableText"/>
              <w:rPr>
                <w:b/>
                <w:bCs/>
              </w:rPr>
            </w:pPr>
          </w:p>
        </w:tc>
        <w:tc>
          <w:tcPr>
            <w:tcW w:w="1371" w:type="dxa"/>
            <w:tcBorders>
              <w:top w:val="nil"/>
              <w:bottom w:val="nil"/>
            </w:tcBorders>
            <w:shd w:val="clear" w:color="auto" w:fill="D9D9D9" w:themeFill="background1" w:themeFillShade="D9"/>
          </w:tcPr>
          <w:p w14:paraId="32118D5A" w14:textId="3AD0DA5B" w:rsidR="00950725" w:rsidRPr="00950725" w:rsidRDefault="00950725" w:rsidP="00950725">
            <w:pPr>
              <w:pStyle w:val="TableText"/>
              <w:jc w:val="right"/>
              <w:rPr>
                <w:b/>
                <w:bCs/>
              </w:rPr>
            </w:pPr>
            <w:r w:rsidRPr="00950725">
              <w:rPr>
                <w:b/>
                <w:bCs/>
                <w:w w:val="105"/>
              </w:rPr>
              <w:t>Actual</w:t>
            </w:r>
            <w:r w:rsidRPr="00950725">
              <w:rPr>
                <w:b/>
                <w:bCs/>
                <w:spacing w:val="-50"/>
                <w:w w:val="105"/>
              </w:rPr>
              <w:t xml:space="preserve"> </w:t>
            </w:r>
            <w:r>
              <w:rPr>
                <w:b/>
                <w:bCs/>
                <w:spacing w:val="-50"/>
                <w:w w:val="105"/>
              </w:rPr>
              <w:br/>
            </w:r>
            <w:r w:rsidRPr="00950725">
              <w:rPr>
                <w:b/>
                <w:bCs/>
              </w:rPr>
              <w:t>2021/22</w:t>
            </w:r>
          </w:p>
        </w:tc>
      </w:tr>
      <w:tr w:rsidR="00950725" w14:paraId="7707E59C" w14:textId="77777777" w:rsidTr="00950725">
        <w:trPr>
          <w:trHeight w:val="338"/>
        </w:trPr>
        <w:tc>
          <w:tcPr>
            <w:tcW w:w="4253" w:type="dxa"/>
            <w:tcBorders>
              <w:top w:val="nil"/>
            </w:tcBorders>
          </w:tcPr>
          <w:p w14:paraId="31B5681A" w14:textId="0AFF30FA" w:rsidR="00950725" w:rsidRDefault="00950725" w:rsidP="00950725">
            <w:pPr>
              <w:pStyle w:val="TableText"/>
              <w:rPr>
                <w:w w:val="105"/>
              </w:rPr>
            </w:pPr>
            <w:r w:rsidRPr="00950725">
              <w:rPr>
                <w:w w:val="105"/>
              </w:rPr>
              <w:t>National Contact Tracing Solution (NCTS)</w:t>
            </w:r>
          </w:p>
        </w:tc>
        <w:tc>
          <w:tcPr>
            <w:tcW w:w="1370" w:type="dxa"/>
            <w:tcBorders>
              <w:top w:val="nil"/>
            </w:tcBorders>
          </w:tcPr>
          <w:p w14:paraId="17678C4F" w14:textId="0DE1D047" w:rsidR="00950725" w:rsidRDefault="00950725" w:rsidP="00950725">
            <w:pPr>
              <w:pStyle w:val="TableText"/>
              <w:jc w:val="right"/>
            </w:pPr>
            <w:r w:rsidRPr="00950725">
              <w:t>99.67%</w:t>
            </w:r>
          </w:p>
        </w:tc>
        <w:tc>
          <w:tcPr>
            <w:tcW w:w="1370" w:type="dxa"/>
            <w:tcBorders>
              <w:top w:val="nil"/>
            </w:tcBorders>
          </w:tcPr>
          <w:p w14:paraId="7A7E6486" w14:textId="48FD0432" w:rsidR="00950725" w:rsidRDefault="00950725" w:rsidP="00950725">
            <w:pPr>
              <w:pStyle w:val="TableText"/>
              <w:jc w:val="right"/>
              <w:rPr>
                <w:w w:val="105"/>
              </w:rPr>
            </w:pPr>
            <w:r w:rsidRPr="00950725">
              <w:rPr>
                <w:w w:val="105"/>
              </w:rPr>
              <w:t>99%</w:t>
            </w:r>
          </w:p>
        </w:tc>
        <w:tc>
          <w:tcPr>
            <w:tcW w:w="1371" w:type="dxa"/>
            <w:tcBorders>
              <w:top w:val="nil"/>
            </w:tcBorders>
          </w:tcPr>
          <w:p w14:paraId="5DE360DD" w14:textId="71971B0C" w:rsidR="00950725" w:rsidRDefault="00950725" w:rsidP="00950725">
            <w:pPr>
              <w:pStyle w:val="TableText"/>
              <w:jc w:val="right"/>
              <w:rPr>
                <w:w w:val="105"/>
              </w:rPr>
            </w:pPr>
            <w:r w:rsidRPr="00950725">
              <w:rPr>
                <w:w w:val="105"/>
              </w:rPr>
              <w:t>98.60%</w:t>
            </w:r>
          </w:p>
        </w:tc>
      </w:tr>
      <w:tr w:rsidR="00950725" w14:paraId="548AA179" w14:textId="77777777" w:rsidTr="00950725">
        <w:trPr>
          <w:trHeight w:val="338"/>
        </w:trPr>
        <w:tc>
          <w:tcPr>
            <w:tcW w:w="4253" w:type="dxa"/>
            <w:tcBorders>
              <w:top w:val="nil"/>
            </w:tcBorders>
          </w:tcPr>
          <w:p w14:paraId="5368B72D" w14:textId="77777777" w:rsidR="00950725" w:rsidRDefault="00950725" w:rsidP="00950725">
            <w:pPr>
              <w:pStyle w:val="TableText"/>
            </w:pPr>
            <w:r>
              <w:rPr>
                <w:w w:val="105"/>
              </w:rPr>
              <w:t>National</w:t>
            </w:r>
            <w:r>
              <w:rPr>
                <w:spacing w:val="-4"/>
                <w:w w:val="105"/>
              </w:rPr>
              <w:t xml:space="preserve"> </w:t>
            </w:r>
            <w:r>
              <w:rPr>
                <w:w w:val="105"/>
              </w:rPr>
              <w:t>Border</w:t>
            </w:r>
            <w:r>
              <w:rPr>
                <w:spacing w:val="-3"/>
                <w:w w:val="105"/>
              </w:rPr>
              <w:t xml:space="preserve"> </w:t>
            </w:r>
            <w:r>
              <w:rPr>
                <w:w w:val="105"/>
              </w:rPr>
              <w:t>Solution</w:t>
            </w:r>
            <w:r>
              <w:rPr>
                <w:spacing w:val="-3"/>
                <w:w w:val="105"/>
              </w:rPr>
              <w:t xml:space="preserve"> </w:t>
            </w:r>
            <w:r>
              <w:rPr>
                <w:w w:val="105"/>
              </w:rPr>
              <w:t>(NBS)</w:t>
            </w:r>
          </w:p>
        </w:tc>
        <w:tc>
          <w:tcPr>
            <w:tcW w:w="1370" w:type="dxa"/>
            <w:tcBorders>
              <w:top w:val="nil"/>
            </w:tcBorders>
          </w:tcPr>
          <w:p w14:paraId="73480F83" w14:textId="77777777" w:rsidR="00950725" w:rsidRDefault="00950725" w:rsidP="00950725">
            <w:pPr>
              <w:pStyle w:val="TableText"/>
              <w:jc w:val="right"/>
            </w:pPr>
            <w:r>
              <w:t>100%</w:t>
            </w:r>
          </w:p>
        </w:tc>
        <w:tc>
          <w:tcPr>
            <w:tcW w:w="1370" w:type="dxa"/>
            <w:tcBorders>
              <w:top w:val="nil"/>
            </w:tcBorders>
          </w:tcPr>
          <w:p w14:paraId="2E881073" w14:textId="77777777" w:rsidR="00950725" w:rsidRDefault="00950725" w:rsidP="00950725">
            <w:pPr>
              <w:pStyle w:val="TableText"/>
              <w:jc w:val="right"/>
            </w:pPr>
            <w:r>
              <w:rPr>
                <w:w w:val="105"/>
              </w:rPr>
              <w:t>99%</w:t>
            </w:r>
          </w:p>
        </w:tc>
        <w:tc>
          <w:tcPr>
            <w:tcW w:w="1371" w:type="dxa"/>
            <w:tcBorders>
              <w:top w:val="nil"/>
            </w:tcBorders>
          </w:tcPr>
          <w:p w14:paraId="34EBC8FF" w14:textId="77777777" w:rsidR="00950725" w:rsidRDefault="00950725" w:rsidP="00950725">
            <w:pPr>
              <w:pStyle w:val="TableText"/>
              <w:jc w:val="right"/>
            </w:pPr>
            <w:r>
              <w:rPr>
                <w:w w:val="105"/>
              </w:rPr>
              <w:t>99.94%</w:t>
            </w:r>
          </w:p>
        </w:tc>
      </w:tr>
      <w:tr w:rsidR="00950725" w14:paraId="0B8C19AD" w14:textId="77777777" w:rsidTr="00950725">
        <w:trPr>
          <w:trHeight w:val="338"/>
        </w:trPr>
        <w:tc>
          <w:tcPr>
            <w:tcW w:w="4253" w:type="dxa"/>
          </w:tcPr>
          <w:p w14:paraId="656179B1" w14:textId="77777777" w:rsidR="00950725" w:rsidRDefault="00950725" w:rsidP="00950725">
            <w:pPr>
              <w:pStyle w:val="TableText"/>
            </w:pPr>
            <w:r>
              <w:rPr>
                <w:w w:val="105"/>
              </w:rPr>
              <w:t>National</w:t>
            </w:r>
            <w:r>
              <w:rPr>
                <w:spacing w:val="1"/>
                <w:w w:val="105"/>
              </w:rPr>
              <w:t xml:space="preserve"> </w:t>
            </w:r>
            <w:r>
              <w:rPr>
                <w:w w:val="105"/>
              </w:rPr>
              <w:t>Immunisation</w:t>
            </w:r>
            <w:r>
              <w:rPr>
                <w:spacing w:val="2"/>
                <w:w w:val="105"/>
              </w:rPr>
              <w:t xml:space="preserve"> </w:t>
            </w:r>
            <w:r>
              <w:rPr>
                <w:w w:val="105"/>
              </w:rPr>
              <w:t>Booking</w:t>
            </w:r>
            <w:r>
              <w:rPr>
                <w:spacing w:val="2"/>
                <w:w w:val="105"/>
              </w:rPr>
              <w:t xml:space="preserve"> </w:t>
            </w:r>
            <w:r>
              <w:rPr>
                <w:w w:val="105"/>
              </w:rPr>
              <w:t>Solution</w:t>
            </w:r>
            <w:r>
              <w:rPr>
                <w:spacing w:val="1"/>
                <w:w w:val="105"/>
              </w:rPr>
              <w:t xml:space="preserve"> </w:t>
            </w:r>
            <w:r>
              <w:rPr>
                <w:w w:val="105"/>
              </w:rPr>
              <w:t>(NIBS)</w:t>
            </w:r>
          </w:p>
        </w:tc>
        <w:tc>
          <w:tcPr>
            <w:tcW w:w="1370" w:type="dxa"/>
          </w:tcPr>
          <w:p w14:paraId="67867A3A" w14:textId="77777777" w:rsidR="00950725" w:rsidRDefault="00950725" w:rsidP="00950725">
            <w:pPr>
              <w:pStyle w:val="TableText"/>
              <w:jc w:val="right"/>
            </w:pPr>
            <w:r>
              <w:t>100%</w:t>
            </w:r>
          </w:p>
        </w:tc>
        <w:tc>
          <w:tcPr>
            <w:tcW w:w="1370" w:type="dxa"/>
          </w:tcPr>
          <w:p w14:paraId="2D0BF7BC" w14:textId="77777777" w:rsidR="00950725" w:rsidRDefault="00950725" w:rsidP="00950725">
            <w:pPr>
              <w:pStyle w:val="TableText"/>
              <w:jc w:val="right"/>
            </w:pPr>
            <w:r>
              <w:rPr>
                <w:w w:val="105"/>
              </w:rPr>
              <w:t>99%</w:t>
            </w:r>
          </w:p>
        </w:tc>
        <w:tc>
          <w:tcPr>
            <w:tcW w:w="1371" w:type="dxa"/>
          </w:tcPr>
          <w:p w14:paraId="3F2BBA05" w14:textId="77777777" w:rsidR="00950725" w:rsidRDefault="00950725" w:rsidP="00950725">
            <w:pPr>
              <w:pStyle w:val="TableText"/>
              <w:jc w:val="right"/>
            </w:pPr>
            <w:r>
              <w:rPr>
                <w:w w:val="105"/>
              </w:rPr>
              <w:t>99.65%</w:t>
            </w:r>
          </w:p>
        </w:tc>
      </w:tr>
      <w:tr w:rsidR="00950725" w14:paraId="728105FD" w14:textId="77777777" w:rsidTr="00950725">
        <w:trPr>
          <w:trHeight w:val="338"/>
        </w:trPr>
        <w:tc>
          <w:tcPr>
            <w:tcW w:w="4253" w:type="dxa"/>
          </w:tcPr>
          <w:p w14:paraId="18C1BCBE" w14:textId="77777777" w:rsidR="00950725" w:rsidRDefault="00950725" w:rsidP="00950725">
            <w:pPr>
              <w:pStyle w:val="TableText"/>
            </w:pPr>
            <w:r>
              <w:t>Border</w:t>
            </w:r>
            <w:r>
              <w:rPr>
                <w:spacing w:val="23"/>
              </w:rPr>
              <w:t xml:space="preserve"> </w:t>
            </w:r>
            <w:r>
              <w:t>Clinical</w:t>
            </w:r>
            <w:r>
              <w:rPr>
                <w:spacing w:val="23"/>
              </w:rPr>
              <w:t xml:space="preserve"> </w:t>
            </w:r>
            <w:r>
              <w:t>Management</w:t>
            </w:r>
            <w:r>
              <w:rPr>
                <w:spacing w:val="24"/>
              </w:rPr>
              <w:t xml:space="preserve"> </w:t>
            </w:r>
            <w:r>
              <w:t>Solution</w:t>
            </w:r>
            <w:r>
              <w:rPr>
                <w:spacing w:val="23"/>
              </w:rPr>
              <w:t xml:space="preserve"> </w:t>
            </w:r>
            <w:r>
              <w:t>(BCMS)</w:t>
            </w:r>
          </w:p>
        </w:tc>
        <w:tc>
          <w:tcPr>
            <w:tcW w:w="1370" w:type="dxa"/>
          </w:tcPr>
          <w:p w14:paraId="5B729605" w14:textId="77777777" w:rsidR="00950725" w:rsidRDefault="00950725" w:rsidP="00950725">
            <w:pPr>
              <w:pStyle w:val="TableText"/>
              <w:jc w:val="right"/>
            </w:pPr>
            <w:r>
              <w:rPr>
                <w:w w:val="105"/>
              </w:rPr>
              <w:t>99.67%</w:t>
            </w:r>
          </w:p>
        </w:tc>
        <w:tc>
          <w:tcPr>
            <w:tcW w:w="1370" w:type="dxa"/>
          </w:tcPr>
          <w:p w14:paraId="55F22537" w14:textId="77777777" w:rsidR="00950725" w:rsidRDefault="00950725" w:rsidP="00950725">
            <w:pPr>
              <w:pStyle w:val="TableText"/>
              <w:jc w:val="right"/>
            </w:pPr>
            <w:r>
              <w:rPr>
                <w:w w:val="105"/>
              </w:rPr>
              <w:t>99%</w:t>
            </w:r>
          </w:p>
        </w:tc>
        <w:tc>
          <w:tcPr>
            <w:tcW w:w="1371" w:type="dxa"/>
          </w:tcPr>
          <w:p w14:paraId="458AA24C" w14:textId="77777777" w:rsidR="00950725" w:rsidRDefault="00950725" w:rsidP="00950725">
            <w:pPr>
              <w:pStyle w:val="TableText"/>
              <w:jc w:val="right"/>
            </w:pPr>
            <w:r>
              <w:rPr>
                <w:w w:val="105"/>
              </w:rPr>
              <w:t>99.04%</w:t>
            </w:r>
          </w:p>
        </w:tc>
      </w:tr>
      <w:tr w:rsidR="00950725" w14:paraId="6D7A8978" w14:textId="77777777" w:rsidTr="00950725">
        <w:trPr>
          <w:trHeight w:val="338"/>
        </w:trPr>
        <w:tc>
          <w:tcPr>
            <w:tcW w:w="4253" w:type="dxa"/>
          </w:tcPr>
          <w:p w14:paraId="5ACFA695" w14:textId="77777777" w:rsidR="00950725" w:rsidRDefault="00950725" w:rsidP="00950725">
            <w:pPr>
              <w:pStyle w:val="TableText"/>
            </w:pPr>
            <w:r>
              <w:rPr>
                <w:w w:val="105"/>
              </w:rPr>
              <w:t>COVID-19</w:t>
            </w:r>
            <w:r>
              <w:rPr>
                <w:spacing w:val="-8"/>
                <w:w w:val="105"/>
              </w:rPr>
              <w:t xml:space="preserve"> </w:t>
            </w:r>
            <w:r>
              <w:rPr>
                <w:w w:val="105"/>
              </w:rPr>
              <w:t>Immunisation</w:t>
            </w:r>
            <w:r>
              <w:rPr>
                <w:spacing w:val="-8"/>
                <w:w w:val="105"/>
              </w:rPr>
              <w:t xml:space="preserve"> </w:t>
            </w:r>
            <w:r>
              <w:rPr>
                <w:w w:val="105"/>
              </w:rPr>
              <w:t>Register</w:t>
            </w:r>
            <w:r>
              <w:rPr>
                <w:spacing w:val="-8"/>
                <w:w w:val="105"/>
              </w:rPr>
              <w:t xml:space="preserve"> </w:t>
            </w:r>
            <w:r>
              <w:rPr>
                <w:w w:val="105"/>
              </w:rPr>
              <w:t>(CIR)</w:t>
            </w:r>
          </w:p>
        </w:tc>
        <w:tc>
          <w:tcPr>
            <w:tcW w:w="1370" w:type="dxa"/>
          </w:tcPr>
          <w:p w14:paraId="6B367CB7" w14:textId="77777777" w:rsidR="00950725" w:rsidRDefault="00950725" w:rsidP="00950725">
            <w:pPr>
              <w:pStyle w:val="TableText"/>
              <w:jc w:val="right"/>
            </w:pPr>
            <w:r>
              <w:rPr>
                <w:w w:val="105"/>
              </w:rPr>
              <w:t>99.56%</w:t>
            </w:r>
          </w:p>
        </w:tc>
        <w:tc>
          <w:tcPr>
            <w:tcW w:w="1370" w:type="dxa"/>
          </w:tcPr>
          <w:p w14:paraId="245B6979" w14:textId="77777777" w:rsidR="00950725" w:rsidRDefault="00950725" w:rsidP="00950725">
            <w:pPr>
              <w:pStyle w:val="TableText"/>
              <w:jc w:val="right"/>
            </w:pPr>
            <w:r>
              <w:rPr>
                <w:w w:val="105"/>
              </w:rPr>
              <w:t>99%</w:t>
            </w:r>
          </w:p>
        </w:tc>
        <w:tc>
          <w:tcPr>
            <w:tcW w:w="1371" w:type="dxa"/>
          </w:tcPr>
          <w:p w14:paraId="61EA1D7F" w14:textId="77777777" w:rsidR="00950725" w:rsidRDefault="00950725" w:rsidP="00950725">
            <w:pPr>
              <w:pStyle w:val="TableText"/>
              <w:jc w:val="right"/>
            </w:pPr>
            <w:r>
              <w:rPr>
                <w:w w:val="105"/>
              </w:rPr>
              <w:t>99.99%</w:t>
            </w:r>
          </w:p>
        </w:tc>
      </w:tr>
      <w:tr w:rsidR="00950725" w14:paraId="6C0D4592" w14:textId="77777777" w:rsidTr="00950725">
        <w:trPr>
          <w:trHeight w:val="338"/>
        </w:trPr>
        <w:tc>
          <w:tcPr>
            <w:tcW w:w="4253" w:type="dxa"/>
          </w:tcPr>
          <w:p w14:paraId="10F8B5DC" w14:textId="77777777" w:rsidR="00950725" w:rsidRDefault="00950725" w:rsidP="00950725">
            <w:pPr>
              <w:pStyle w:val="TableText"/>
            </w:pPr>
            <w:r>
              <w:rPr>
                <w:w w:val="105"/>
              </w:rPr>
              <w:t>COVID</w:t>
            </w:r>
            <w:r>
              <w:rPr>
                <w:spacing w:val="-7"/>
                <w:w w:val="105"/>
              </w:rPr>
              <w:t xml:space="preserve"> </w:t>
            </w:r>
            <w:r>
              <w:rPr>
                <w:w w:val="105"/>
              </w:rPr>
              <w:t>Immunisation</w:t>
            </w:r>
            <w:r>
              <w:rPr>
                <w:spacing w:val="-6"/>
                <w:w w:val="105"/>
              </w:rPr>
              <w:t xml:space="preserve"> </w:t>
            </w:r>
            <w:r>
              <w:rPr>
                <w:w w:val="105"/>
              </w:rPr>
              <w:t>Consumer</w:t>
            </w:r>
            <w:r>
              <w:rPr>
                <w:spacing w:val="-7"/>
                <w:w w:val="105"/>
              </w:rPr>
              <w:t xml:space="preserve"> </w:t>
            </w:r>
            <w:r>
              <w:rPr>
                <w:w w:val="105"/>
              </w:rPr>
              <w:t>Support</w:t>
            </w:r>
            <w:r>
              <w:rPr>
                <w:spacing w:val="-6"/>
                <w:w w:val="105"/>
              </w:rPr>
              <w:t xml:space="preserve"> </w:t>
            </w:r>
            <w:r>
              <w:rPr>
                <w:w w:val="105"/>
              </w:rPr>
              <w:t>(CICS)</w:t>
            </w:r>
          </w:p>
        </w:tc>
        <w:tc>
          <w:tcPr>
            <w:tcW w:w="1370" w:type="dxa"/>
          </w:tcPr>
          <w:p w14:paraId="306576BD" w14:textId="77777777" w:rsidR="00950725" w:rsidRDefault="00950725" w:rsidP="00950725">
            <w:pPr>
              <w:pStyle w:val="TableText"/>
              <w:jc w:val="right"/>
            </w:pPr>
            <w:r>
              <w:t>100%</w:t>
            </w:r>
          </w:p>
        </w:tc>
        <w:tc>
          <w:tcPr>
            <w:tcW w:w="1370" w:type="dxa"/>
          </w:tcPr>
          <w:p w14:paraId="3F8904E1" w14:textId="77777777" w:rsidR="00950725" w:rsidRDefault="00950725" w:rsidP="00950725">
            <w:pPr>
              <w:pStyle w:val="TableText"/>
              <w:jc w:val="right"/>
            </w:pPr>
            <w:r>
              <w:rPr>
                <w:w w:val="105"/>
              </w:rPr>
              <w:t>99%</w:t>
            </w:r>
          </w:p>
        </w:tc>
        <w:tc>
          <w:tcPr>
            <w:tcW w:w="1371" w:type="dxa"/>
          </w:tcPr>
          <w:p w14:paraId="068D0BE0" w14:textId="77777777" w:rsidR="00950725" w:rsidRDefault="00950725" w:rsidP="00950725">
            <w:pPr>
              <w:pStyle w:val="TableText"/>
              <w:jc w:val="right"/>
            </w:pPr>
            <w:r>
              <w:rPr>
                <w:w w:val="105"/>
              </w:rPr>
              <w:t>99.97%</w:t>
            </w:r>
          </w:p>
        </w:tc>
      </w:tr>
      <w:tr w:rsidR="00950725" w14:paraId="202030E1" w14:textId="77777777" w:rsidTr="00950725">
        <w:trPr>
          <w:trHeight w:val="338"/>
        </w:trPr>
        <w:tc>
          <w:tcPr>
            <w:tcW w:w="4253" w:type="dxa"/>
          </w:tcPr>
          <w:p w14:paraId="5432F0E4" w14:textId="77777777" w:rsidR="00950725" w:rsidRDefault="00950725" w:rsidP="00950725">
            <w:pPr>
              <w:pStyle w:val="TableText"/>
            </w:pPr>
            <w:r>
              <w:t>Centre</w:t>
            </w:r>
            <w:r>
              <w:rPr>
                <w:spacing w:val="7"/>
              </w:rPr>
              <w:t xml:space="preserve"> </w:t>
            </w:r>
            <w:r>
              <w:t>Adverse</w:t>
            </w:r>
            <w:r>
              <w:rPr>
                <w:spacing w:val="8"/>
              </w:rPr>
              <w:t xml:space="preserve"> </w:t>
            </w:r>
            <w:r>
              <w:t>Reaction</w:t>
            </w:r>
            <w:r>
              <w:rPr>
                <w:spacing w:val="8"/>
              </w:rPr>
              <w:t xml:space="preserve"> </w:t>
            </w:r>
            <w:r>
              <w:t>Monitoring</w:t>
            </w:r>
            <w:r>
              <w:rPr>
                <w:spacing w:val="8"/>
              </w:rPr>
              <w:t xml:space="preserve"> </w:t>
            </w:r>
            <w:r>
              <w:t>(CARM)</w:t>
            </w:r>
          </w:p>
        </w:tc>
        <w:tc>
          <w:tcPr>
            <w:tcW w:w="1370" w:type="dxa"/>
          </w:tcPr>
          <w:p w14:paraId="41504899" w14:textId="77777777" w:rsidR="00950725" w:rsidRDefault="00950725" w:rsidP="00950725">
            <w:pPr>
              <w:pStyle w:val="TableText"/>
              <w:jc w:val="right"/>
            </w:pPr>
            <w:r>
              <w:t>100%</w:t>
            </w:r>
          </w:p>
        </w:tc>
        <w:tc>
          <w:tcPr>
            <w:tcW w:w="1370" w:type="dxa"/>
          </w:tcPr>
          <w:p w14:paraId="3FFDF365" w14:textId="77777777" w:rsidR="00950725" w:rsidRDefault="00950725" w:rsidP="00950725">
            <w:pPr>
              <w:pStyle w:val="TableText"/>
              <w:jc w:val="right"/>
            </w:pPr>
            <w:r>
              <w:rPr>
                <w:w w:val="105"/>
              </w:rPr>
              <w:t>99%</w:t>
            </w:r>
          </w:p>
        </w:tc>
        <w:tc>
          <w:tcPr>
            <w:tcW w:w="1371" w:type="dxa"/>
          </w:tcPr>
          <w:p w14:paraId="0C6F2D0E" w14:textId="77777777" w:rsidR="00950725" w:rsidRDefault="00950725" w:rsidP="00950725">
            <w:pPr>
              <w:pStyle w:val="TableText"/>
              <w:jc w:val="right"/>
            </w:pPr>
            <w:r>
              <w:t>100%</w:t>
            </w:r>
          </w:p>
        </w:tc>
      </w:tr>
      <w:tr w:rsidR="00950725" w14:paraId="02E5F232" w14:textId="77777777" w:rsidTr="00950725">
        <w:trPr>
          <w:trHeight w:val="338"/>
        </w:trPr>
        <w:tc>
          <w:tcPr>
            <w:tcW w:w="4253" w:type="dxa"/>
          </w:tcPr>
          <w:p w14:paraId="0DFFE376" w14:textId="77777777" w:rsidR="00950725" w:rsidRDefault="00950725" w:rsidP="00950725">
            <w:pPr>
              <w:pStyle w:val="TableText"/>
            </w:pPr>
            <w:r>
              <w:t>COVID-19</w:t>
            </w:r>
            <w:r>
              <w:rPr>
                <w:spacing w:val="22"/>
              </w:rPr>
              <w:t xml:space="preserve"> </w:t>
            </w:r>
            <w:r>
              <w:t>Vaccination</w:t>
            </w:r>
            <w:r>
              <w:rPr>
                <w:spacing w:val="22"/>
              </w:rPr>
              <w:t xml:space="preserve"> </w:t>
            </w:r>
            <w:r>
              <w:t>and</w:t>
            </w:r>
            <w:r>
              <w:rPr>
                <w:spacing w:val="23"/>
              </w:rPr>
              <w:t xml:space="preserve"> </w:t>
            </w:r>
            <w:r>
              <w:t>Immunisation</w:t>
            </w:r>
            <w:r>
              <w:rPr>
                <w:spacing w:val="22"/>
              </w:rPr>
              <w:t xml:space="preserve"> </w:t>
            </w:r>
            <w:r>
              <w:t>Programme</w:t>
            </w:r>
            <w:r>
              <w:rPr>
                <w:spacing w:val="23"/>
              </w:rPr>
              <w:t xml:space="preserve"> </w:t>
            </w:r>
            <w:r>
              <w:t>(CVIP)</w:t>
            </w:r>
          </w:p>
        </w:tc>
        <w:tc>
          <w:tcPr>
            <w:tcW w:w="1370" w:type="dxa"/>
          </w:tcPr>
          <w:p w14:paraId="2CC5D06E" w14:textId="77777777" w:rsidR="00950725" w:rsidRDefault="00950725" w:rsidP="00950725">
            <w:pPr>
              <w:pStyle w:val="TableText"/>
              <w:jc w:val="right"/>
            </w:pPr>
            <w:r>
              <w:t>100%</w:t>
            </w:r>
          </w:p>
        </w:tc>
        <w:tc>
          <w:tcPr>
            <w:tcW w:w="1370" w:type="dxa"/>
          </w:tcPr>
          <w:p w14:paraId="3BD9C608" w14:textId="77777777" w:rsidR="00950725" w:rsidRDefault="00950725" w:rsidP="00950725">
            <w:pPr>
              <w:pStyle w:val="TableText"/>
              <w:jc w:val="right"/>
            </w:pPr>
            <w:r>
              <w:rPr>
                <w:w w:val="105"/>
              </w:rPr>
              <w:t>99%</w:t>
            </w:r>
          </w:p>
        </w:tc>
        <w:tc>
          <w:tcPr>
            <w:tcW w:w="1371" w:type="dxa"/>
          </w:tcPr>
          <w:p w14:paraId="2C8EF1FB" w14:textId="77777777" w:rsidR="00950725" w:rsidRDefault="00950725" w:rsidP="00950725">
            <w:pPr>
              <w:pStyle w:val="TableText"/>
              <w:jc w:val="right"/>
            </w:pPr>
            <w:r>
              <w:rPr>
                <w:w w:val="105"/>
              </w:rPr>
              <w:t>99.97%</w:t>
            </w:r>
          </w:p>
        </w:tc>
      </w:tr>
      <w:tr w:rsidR="00950725" w:rsidRPr="00950725" w14:paraId="28B4DF43" w14:textId="77777777" w:rsidTr="00950725">
        <w:trPr>
          <w:trHeight w:val="333"/>
        </w:trPr>
        <w:tc>
          <w:tcPr>
            <w:tcW w:w="4253" w:type="dxa"/>
          </w:tcPr>
          <w:p w14:paraId="4A890AA1" w14:textId="77777777" w:rsidR="00950725" w:rsidRPr="00950725" w:rsidRDefault="00950725" w:rsidP="00950725">
            <w:pPr>
              <w:pStyle w:val="TableText"/>
              <w:rPr>
                <w:b/>
                <w:bCs/>
              </w:rPr>
            </w:pPr>
            <w:r w:rsidRPr="00950725">
              <w:rPr>
                <w:b/>
                <w:bCs/>
                <w:w w:val="115"/>
              </w:rPr>
              <w:t>Total</w:t>
            </w:r>
          </w:p>
        </w:tc>
        <w:tc>
          <w:tcPr>
            <w:tcW w:w="1370" w:type="dxa"/>
          </w:tcPr>
          <w:p w14:paraId="0669B19D" w14:textId="77777777" w:rsidR="00950725" w:rsidRPr="00950725" w:rsidRDefault="00950725" w:rsidP="00950725">
            <w:pPr>
              <w:pStyle w:val="TableText"/>
              <w:jc w:val="right"/>
              <w:rPr>
                <w:b/>
                <w:bCs/>
              </w:rPr>
            </w:pPr>
            <w:r w:rsidRPr="00950725">
              <w:rPr>
                <w:b/>
                <w:bCs/>
                <w:w w:val="105"/>
              </w:rPr>
              <w:t>99.86%</w:t>
            </w:r>
          </w:p>
        </w:tc>
        <w:tc>
          <w:tcPr>
            <w:tcW w:w="1370" w:type="dxa"/>
          </w:tcPr>
          <w:p w14:paraId="1FCF8677" w14:textId="77777777" w:rsidR="00950725" w:rsidRPr="00950725" w:rsidRDefault="00950725" w:rsidP="00950725">
            <w:pPr>
              <w:pStyle w:val="TableText"/>
              <w:jc w:val="right"/>
              <w:rPr>
                <w:b/>
                <w:bCs/>
              </w:rPr>
            </w:pPr>
            <w:r w:rsidRPr="00950725">
              <w:rPr>
                <w:b/>
                <w:bCs/>
                <w:w w:val="105"/>
              </w:rPr>
              <w:t>99%</w:t>
            </w:r>
          </w:p>
        </w:tc>
        <w:tc>
          <w:tcPr>
            <w:tcW w:w="1371" w:type="dxa"/>
          </w:tcPr>
          <w:p w14:paraId="77664012" w14:textId="77777777" w:rsidR="00950725" w:rsidRPr="00950725" w:rsidRDefault="00950725" w:rsidP="00950725">
            <w:pPr>
              <w:pStyle w:val="TableText"/>
              <w:jc w:val="right"/>
              <w:rPr>
                <w:b/>
                <w:bCs/>
              </w:rPr>
            </w:pPr>
            <w:r w:rsidRPr="00950725">
              <w:rPr>
                <w:b/>
                <w:bCs/>
                <w:w w:val="105"/>
              </w:rPr>
              <w:t>99.65%</w:t>
            </w:r>
          </w:p>
        </w:tc>
      </w:tr>
    </w:tbl>
    <w:p w14:paraId="2ACC2627" w14:textId="1B730F4A" w:rsidR="00CB0000" w:rsidRDefault="00BD4046" w:rsidP="00BD4046">
      <w:pPr>
        <w:pStyle w:val="Note"/>
        <w:rPr>
          <w:rFonts w:eastAsia="Arial Unicode MS"/>
        </w:rPr>
      </w:pPr>
      <w:r w:rsidRPr="00BD4046">
        <w:rPr>
          <w:rFonts w:eastAsia="Arial Unicode MS"/>
        </w:rPr>
        <w:t>Note 1: In last year’s report (2020/21), a calculation error was made when totalling the availability of the systems listed. The total for 2020/21 was incorrectly calculated as 99.97 percent. The value in the table above has been updated to reflect the correct value, 99.86 percent (0.11 percent less than what was reported last year).</w:t>
      </w:r>
    </w:p>
    <w:p w14:paraId="281E447B" w14:textId="2A6DF0E1" w:rsidR="00BD4046" w:rsidRDefault="00BD4046" w:rsidP="00BD4046">
      <w:pPr>
        <w:rPr>
          <w:rFonts w:eastAsia="Arial Unicode MS"/>
        </w:rPr>
      </w:pPr>
    </w:p>
    <w:p w14:paraId="56BEA28E" w14:textId="6A6F11FA" w:rsidR="00BD4046" w:rsidRDefault="00BD4046" w:rsidP="00BD4046">
      <w:pPr>
        <w:rPr>
          <w:rFonts w:eastAsia="Arial Unicode MS"/>
        </w:rPr>
      </w:pPr>
    </w:p>
    <w:p w14:paraId="42118F58" w14:textId="77777777" w:rsidR="00BD4046" w:rsidRDefault="00BD4046" w:rsidP="00BD4046">
      <w:pPr>
        <w:rPr>
          <w:rFonts w:eastAsia="Arial Unicode MS"/>
        </w:rPr>
      </w:pPr>
    </w:p>
    <w:p w14:paraId="652F8B2F" w14:textId="77777777" w:rsidR="00BD4046" w:rsidRDefault="00BD4046" w:rsidP="00BD4046">
      <w:pPr>
        <w:pStyle w:val="Heading4"/>
      </w:pPr>
      <w:r>
        <w:rPr>
          <w:w w:val="105"/>
        </w:rPr>
        <w:lastRenderedPageBreak/>
        <w:t>Financial</w:t>
      </w:r>
      <w:r>
        <w:rPr>
          <w:spacing w:val="-5"/>
          <w:w w:val="105"/>
        </w:rPr>
        <w:t xml:space="preserve"> </w:t>
      </w:r>
      <w:r>
        <w:rPr>
          <w:w w:val="105"/>
        </w:rPr>
        <w:t>performance</w:t>
      </w: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268"/>
        <w:gridCol w:w="1453"/>
        <w:gridCol w:w="1453"/>
        <w:gridCol w:w="1453"/>
        <w:gridCol w:w="1453"/>
      </w:tblGrid>
      <w:tr w:rsidR="00BD4046" w:rsidRPr="00CB0000" w14:paraId="58E44A0C" w14:textId="77777777" w:rsidTr="00453DB4">
        <w:trPr>
          <w:trHeight w:val="543"/>
        </w:trPr>
        <w:tc>
          <w:tcPr>
            <w:tcW w:w="2268" w:type="dxa"/>
            <w:tcBorders>
              <w:top w:val="nil"/>
              <w:bottom w:val="nil"/>
            </w:tcBorders>
            <w:shd w:val="clear" w:color="auto" w:fill="D9D9D9" w:themeFill="background1" w:themeFillShade="D9"/>
          </w:tcPr>
          <w:p w14:paraId="6BFB664F" w14:textId="29D28D14" w:rsidR="00BD4046" w:rsidRPr="00CB0000" w:rsidRDefault="00BD4046" w:rsidP="00FE6758">
            <w:pPr>
              <w:pStyle w:val="TableText"/>
              <w:rPr>
                <w:b/>
                <w:bCs/>
              </w:rPr>
            </w:pPr>
            <w:r w:rsidRPr="00BD4046">
              <w:rPr>
                <w:b/>
                <w:bCs/>
              </w:rPr>
              <w:t>Health sector information systems</w:t>
            </w:r>
          </w:p>
        </w:tc>
        <w:tc>
          <w:tcPr>
            <w:tcW w:w="1453" w:type="dxa"/>
            <w:tcBorders>
              <w:top w:val="nil"/>
              <w:bottom w:val="nil"/>
            </w:tcBorders>
            <w:shd w:val="clear" w:color="auto" w:fill="D9D9D9" w:themeFill="background1" w:themeFillShade="D9"/>
          </w:tcPr>
          <w:p w14:paraId="2690D58B" w14:textId="77777777" w:rsidR="00BD4046" w:rsidRPr="00CB0000" w:rsidRDefault="00BD4046" w:rsidP="00FE6758">
            <w:pPr>
              <w:pStyle w:val="TableText"/>
              <w:jc w:val="right"/>
              <w:rPr>
                <w:b/>
                <w:bCs/>
              </w:rPr>
            </w:pPr>
            <w:r w:rsidRPr="00CB0000">
              <w:rPr>
                <w:b/>
                <w:bCs/>
              </w:rPr>
              <w:t>Actual</w:t>
            </w:r>
          </w:p>
        </w:tc>
        <w:tc>
          <w:tcPr>
            <w:tcW w:w="1453" w:type="dxa"/>
            <w:tcBorders>
              <w:top w:val="nil"/>
              <w:bottom w:val="nil"/>
            </w:tcBorders>
            <w:shd w:val="clear" w:color="auto" w:fill="D9D9D9" w:themeFill="background1" w:themeFillShade="D9"/>
          </w:tcPr>
          <w:p w14:paraId="1D5CFE41" w14:textId="77777777" w:rsidR="00BD4046" w:rsidRPr="00CB0000" w:rsidRDefault="00BD4046" w:rsidP="00FE6758">
            <w:pPr>
              <w:pStyle w:val="TableText"/>
              <w:jc w:val="right"/>
              <w:rPr>
                <w:b/>
                <w:bCs/>
              </w:rPr>
            </w:pPr>
            <w:r w:rsidRPr="00CB0000">
              <w:rPr>
                <w:b/>
                <w:bCs/>
              </w:rPr>
              <w:t xml:space="preserve">Main </w:t>
            </w:r>
            <w:r w:rsidRPr="00CB0000">
              <w:rPr>
                <w:b/>
                <w:bCs/>
              </w:rPr>
              <w:br/>
              <w:t>estimates</w:t>
            </w:r>
          </w:p>
        </w:tc>
        <w:tc>
          <w:tcPr>
            <w:tcW w:w="1453" w:type="dxa"/>
            <w:tcBorders>
              <w:top w:val="nil"/>
              <w:bottom w:val="nil"/>
            </w:tcBorders>
            <w:shd w:val="clear" w:color="auto" w:fill="D9D9D9" w:themeFill="background1" w:themeFillShade="D9"/>
          </w:tcPr>
          <w:p w14:paraId="1392C567" w14:textId="77777777" w:rsidR="00BD4046" w:rsidRPr="00CB0000" w:rsidRDefault="00BD4046" w:rsidP="00FE6758">
            <w:pPr>
              <w:pStyle w:val="TableText"/>
              <w:jc w:val="right"/>
              <w:rPr>
                <w:b/>
                <w:bCs/>
              </w:rPr>
            </w:pPr>
            <w:r w:rsidRPr="00CB0000">
              <w:rPr>
                <w:b/>
                <w:bCs/>
              </w:rPr>
              <w:t>Voted appropriation</w:t>
            </w:r>
          </w:p>
        </w:tc>
        <w:tc>
          <w:tcPr>
            <w:tcW w:w="1453" w:type="dxa"/>
            <w:tcBorders>
              <w:top w:val="nil"/>
              <w:bottom w:val="nil"/>
            </w:tcBorders>
            <w:shd w:val="clear" w:color="auto" w:fill="D9D9D9" w:themeFill="background1" w:themeFillShade="D9"/>
          </w:tcPr>
          <w:p w14:paraId="00ABC655" w14:textId="77777777" w:rsidR="00BD4046" w:rsidRPr="00CB0000" w:rsidRDefault="00BD4046" w:rsidP="00FE6758">
            <w:pPr>
              <w:pStyle w:val="TableText"/>
              <w:jc w:val="right"/>
              <w:rPr>
                <w:b/>
                <w:bCs/>
              </w:rPr>
            </w:pPr>
            <w:r w:rsidRPr="00CB0000">
              <w:rPr>
                <w:b/>
                <w:bCs/>
              </w:rPr>
              <w:t>Actual</w:t>
            </w:r>
          </w:p>
        </w:tc>
      </w:tr>
      <w:tr w:rsidR="00BD4046" w:rsidRPr="00CB0000" w14:paraId="3E5CCDC4" w14:textId="77777777" w:rsidTr="00453DB4">
        <w:tc>
          <w:tcPr>
            <w:tcW w:w="2268" w:type="dxa"/>
            <w:tcBorders>
              <w:top w:val="nil"/>
              <w:bottom w:val="nil"/>
            </w:tcBorders>
            <w:shd w:val="clear" w:color="auto" w:fill="D9D9D9" w:themeFill="background1" w:themeFillShade="D9"/>
          </w:tcPr>
          <w:p w14:paraId="48F99DC7" w14:textId="77777777" w:rsidR="00BD4046" w:rsidRPr="00CB0000" w:rsidRDefault="00BD4046" w:rsidP="00FE6758">
            <w:pPr>
              <w:pStyle w:val="TableText"/>
              <w:rPr>
                <w:b/>
                <w:bCs/>
              </w:rPr>
            </w:pPr>
          </w:p>
        </w:tc>
        <w:tc>
          <w:tcPr>
            <w:tcW w:w="1453" w:type="dxa"/>
            <w:tcBorders>
              <w:top w:val="nil"/>
              <w:bottom w:val="nil"/>
            </w:tcBorders>
            <w:shd w:val="clear" w:color="auto" w:fill="D9D9D9" w:themeFill="background1" w:themeFillShade="D9"/>
          </w:tcPr>
          <w:p w14:paraId="2B26C46B" w14:textId="77777777" w:rsidR="00BD4046" w:rsidRPr="00CB0000" w:rsidRDefault="00BD4046" w:rsidP="00FE6758">
            <w:pPr>
              <w:pStyle w:val="TableText"/>
              <w:jc w:val="right"/>
              <w:rPr>
                <w:b/>
                <w:bCs/>
              </w:rPr>
            </w:pPr>
            <w:r w:rsidRPr="00CB0000">
              <w:rPr>
                <w:b/>
                <w:bCs/>
              </w:rPr>
              <w:t>2021/22</w:t>
            </w:r>
          </w:p>
          <w:p w14:paraId="094A10A5" w14:textId="77777777" w:rsidR="00BD4046" w:rsidRPr="00CB0000" w:rsidRDefault="00BD4046"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796D4043" w14:textId="77777777" w:rsidR="00BD4046" w:rsidRPr="00CB0000" w:rsidRDefault="00BD4046" w:rsidP="00FE6758">
            <w:pPr>
              <w:pStyle w:val="TableText"/>
              <w:jc w:val="right"/>
              <w:rPr>
                <w:b/>
                <w:bCs/>
              </w:rPr>
            </w:pPr>
            <w:r w:rsidRPr="00CB0000">
              <w:rPr>
                <w:b/>
                <w:bCs/>
              </w:rPr>
              <w:t>2021/22</w:t>
            </w:r>
          </w:p>
          <w:p w14:paraId="6F473EA0" w14:textId="77777777" w:rsidR="00BD4046" w:rsidRPr="00CB0000" w:rsidRDefault="00BD4046"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1B3A7CBC" w14:textId="77777777" w:rsidR="00BD4046" w:rsidRPr="00CB0000" w:rsidRDefault="00BD4046" w:rsidP="00FE6758">
            <w:pPr>
              <w:pStyle w:val="TableText"/>
              <w:jc w:val="right"/>
              <w:rPr>
                <w:b/>
                <w:bCs/>
              </w:rPr>
            </w:pPr>
            <w:r w:rsidRPr="00CB0000">
              <w:rPr>
                <w:b/>
                <w:bCs/>
              </w:rPr>
              <w:t>2021/22</w:t>
            </w:r>
          </w:p>
          <w:p w14:paraId="2DCFEE79" w14:textId="77777777" w:rsidR="00BD4046" w:rsidRPr="00CB0000" w:rsidRDefault="00BD4046"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1CFC57F3" w14:textId="77777777" w:rsidR="00BD4046" w:rsidRPr="00CB0000" w:rsidRDefault="00BD4046" w:rsidP="00FE6758">
            <w:pPr>
              <w:pStyle w:val="TableText"/>
              <w:jc w:val="right"/>
              <w:rPr>
                <w:b/>
                <w:bCs/>
              </w:rPr>
            </w:pPr>
            <w:r w:rsidRPr="00CB0000">
              <w:rPr>
                <w:b/>
                <w:bCs/>
              </w:rPr>
              <w:t>2021/22</w:t>
            </w:r>
          </w:p>
          <w:p w14:paraId="17C6BD67" w14:textId="77777777" w:rsidR="00BD4046" w:rsidRPr="00CB0000" w:rsidRDefault="00BD4046" w:rsidP="00FE6758">
            <w:pPr>
              <w:pStyle w:val="TableText"/>
              <w:jc w:val="right"/>
              <w:rPr>
                <w:b/>
                <w:bCs/>
              </w:rPr>
            </w:pPr>
            <w:r w:rsidRPr="00CB0000">
              <w:rPr>
                <w:b/>
                <w:bCs/>
              </w:rPr>
              <w:t>$000</w:t>
            </w:r>
          </w:p>
        </w:tc>
      </w:tr>
      <w:tr w:rsidR="00BD4046" w:rsidRPr="00CB0000" w14:paraId="178CC58C" w14:textId="77777777" w:rsidTr="00453DB4">
        <w:tc>
          <w:tcPr>
            <w:tcW w:w="2268" w:type="dxa"/>
            <w:tcBorders>
              <w:top w:val="nil"/>
            </w:tcBorders>
          </w:tcPr>
          <w:p w14:paraId="094EBEA2" w14:textId="55CCEE88" w:rsidR="00BD4046" w:rsidRPr="00CB0000" w:rsidRDefault="00BD4046" w:rsidP="00BD4046">
            <w:pPr>
              <w:pStyle w:val="TableText"/>
            </w:pPr>
            <w:r w:rsidRPr="00466E9A">
              <w:t>Crown revenue</w:t>
            </w:r>
          </w:p>
        </w:tc>
        <w:tc>
          <w:tcPr>
            <w:tcW w:w="1453" w:type="dxa"/>
            <w:tcBorders>
              <w:top w:val="nil"/>
            </w:tcBorders>
          </w:tcPr>
          <w:p w14:paraId="2CF40BF1" w14:textId="21B2821C" w:rsidR="00BD4046" w:rsidRPr="00CB0000" w:rsidRDefault="00BD4046" w:rsidP="00BD4046">
            <w:pPr>
              <w:pStyle w:val="TableText"/>
              <w:jc w:val="right"/>
            </w:pPr>
            <w:r w:rsidRPr="00466E9A">
              <w:t>106,519</w:t>
            </w:r>
          </w:p>
        </w:tc>
        <w:tc>
          <w:tcPr>
            <w:tcW w:w="1453" w:type="dxa"/>
            <w:tcBorders>
              <w:top w:val="nil"/>
            </w:tcBorders>
          </w:tcPr>
          <w:p w14:paraId="297AF425" w14:textId="341A7EEB" w:rsidR="00BD4046" w:rsidRPr="00CB0000" w:rsidRDefault="00BD4046" w:rsidP="00BD4046">
            <w:pPr>
              <w:pStyle w:val="TableText"/>
              <w:jc w:val="right"/>
            </w:pPr>
            <w:r w:rsidRPr="00466E9A">
              <w:t>101,647</w:t>
            </w:r>
          </w:p>
        </w:tc>
        <w:tc>
          <w:tcPr>
            <w:tcW w:w="1453" w:type="dxa"/>
            <w:tcBorders>
              <w:top w:val="nil"/>
            </w:tcBorders>
          </w:tcPr>
          <w:p w14:paraId="6CF4EFE1" w14:textId="18627E9A" w:rsidR="00BD4046" w:rsidRPr="00CB0000" w:rsidRDefault="00BD4046" w:rsidP="00BD4046">
            <w:pPr>
              <w:pStyle w:val="TableText"/>
              <w:jc w:val="right"/>
            </w:pPr>
            <w:r w:rsidRPr="00466E9A">
              <w:t>240,222</w:t>
            </w:r>
          </w:p>
        </w:tc>
        <w:tc>
          <w:tcPr>
            <w:tcW w:w="1453" w:type="dxa"/>
            <w:tcBorders>
              <w:top w:val="nil"/>
            </w:tcBorders>
          </w:tcPr>
          <w:p w14:paraId="0BA36CAC" w14:textId="26882852" w:rsidR="00BD4046" w:rsidRPr="00CB0000" w:rsidRDefault="00BD4046" w:rsidP="00BD4046">
            <w:pPr>
              <w:pStyle w:val="TableText"/>
              <w:jc w:val="right"/>
            </w:pPr>
            <w:r w:rsidRPr="00466E9A">
              <w:t>240,222</w:t>
            </w:r>
          </w:p>
        </w:tc>
      </w:tr>
      <w:tr w:rsidR="00BD4046" w:rsidRPr="00CB0000" w14:paraId="5E12CD65" w14:textId="77777777" w:rsidTr="00453DB4">
        <w:tc>
          <w:tcPr>
            <w:tcW w:w="2268" w:type="dxa"/>
          </w:tcPr>
          <w:p w14:paraId="0E835525" w14:textId="4955FA49" w:rsidR="00BD4046" w:rsidRPr="00CB0000" w:rsidRDefault="00BD4046" w:rsidP="00BD4046">
            <w:pPr>
              <w:pStyle w:val="TableText"/>
            </w:pPr>
            <w:r w:rsidRPr="00466E9A">
              <w:t>Other revenue</w:t>
            </w:r>
          </w:p>
        </w:tc>
        <w:tc>
          <w:tcPr>
            <w:tcW w:w="1453" w:type="dxa"/>
          </w:tcPr>
          <w:p w14:paraId="5F661247" w14:textId="0FA8BD45" w:rsidR="00BD4046" w:rsidRPr="00CB0000" w:rsidRDefault="00BD4046" w:rsidP="00BD4046">
            <w:pPr>
              <w:pStyle w:val="TableText"/>
              <w:jc w:val="right"/>
            </w:pPr>
            <w:r w:rsidRPr="00466E9A">
              <w:t>16</w:t>
            </w:r>
          </w:p>
        </w:tc>
        <w:tc>
          <w:tcPr>
            <w:tcW w:w="1453" w:type="dxa"/>
          </w:tcPr>
          <w:p w14:paraId="69D82394" w14:textId="3EFF0FD0" w:rsidR="00BD4046" w:rsidRPr="00CB0000" w:rsidRDefault="00BD4046" w:rsidP="00BD4046">
            <w:pPr>
              <w:pStyle w:val="TableText"/>
              <w:jc w:val="right"/>
            </w:pPr>
            <w:r w:rsidRPr="00466E9A">
              <w:t>-</w:t>
            </w:r>
          </w:p>
        </w:tc>
        <w:tc>
          <w:tcPr>
            <w:tcW w:w="1453" w:type="dxa"/>
          </w:tcPr>
          <w:p w14:paraId="23D9D349" w14:textId="74D81F7F" w:rsidR="00BD4046" w:rsidRPr="00CB0000" w:rsidRDefault="00BD4046" w:rsidP="00BD4046">
            <w:pPr>
              <w:pStyle w:val="TableText"/>
              <w:jc w:val="right"/>
            </w:pPr>
            <w:r w:rsidRPr="00466E9A">
              <w:t>1,053</w:t>
            </w:r>
          </w:p>
        </w:tc>
        <w:tc>
          <w:tcPr>
            <w:tcW w:w="1453" w:type="dxa"/>
          </w:tcPr>
          <w:p w14:paraId="768B6E49" w14:textId="23E20164" w:rsidR="00BD4046" w:rsidRPr="00CB0000" w:rsidRDefault="00BD4046" w:rsidP="00BD4046">
            <w:pPr>
              <w:pStyle w:val="TableText"/>
              <w:jc w:val="right"/>
            </w:pPr>
            <w:r w:rsidRPr="00466E9A">
              <w:t>712</w:t>
            </w:r>
          </w:p>
        </w:tc>
      </w:tr>
      <w:tr w:rsidR="00BD4046" w:rsidRPr="00CB0000" w14:paraId="483F6F03" w14:textId="77777777" w:rsidTr="00453DB4">
        <w:tc>
          <w:tcPr>
            <w:tcW w:w="2268" w:type="dxa"/>
          </w:tcPr>
          <w:p w14:paraId="125E84AB" w14:textId="5B8B7125" w:rsidR="00BD4046" w:rsidRPr="00CB0000" w:rsidRDefault="00BD4046" w:rsidP="00BD4046">
            <w:pPr>
              <w:pStyle w:val="TableText"/>
            </w:pPr>
            <w:r w:rsidRPr="00466E9A">
              <w:t>Total revenue</w:t>
            </w:r>
          </w:p>
        </w:tc>
        <w:tc>
          <w:tcPr>
            <w:tcW w:w="1453" w:type="dxa"/>
          </w:tcPr>
          <w:p w14:paraId="4F1459F4" w14:textId="519838B1" w:rsidR="00BD4046" w:rsidRPr="00CB0000" w:rsidRDefault="00BD4046" w:rsidP="00BD4046">
            <w:pPr>
              <w:pStyle w:val="TableText"/>
              <w:jc w:val="right"/>
            </w:pPr>
            <w:r w:rsidRPr="00466E9A">
              <w:t>106,535</w:t>
            </w:r>
          </w:p>
        </w:tc>
        <w:tc>
          <w:tcPr>
            <w:tcW w:w="1453" w:type="dxa"/>
          </w:tcPr>
          <w:p w14:paraId="5ACBCA91" w14:textId="0D590DC6" w:rsidR="00BD4046" w:rsidRPr="00CB0000" w:rsidRDefault="00BD4046" w:rsidP="00BD4046">
            <w:pPr>
              <w:pStyle w:val="TableText"/>
              <w:jc w:val="right"/>
            </w:pPr>
            <w:r w:rsidRPr="00466E9A">
              <w:t>101,647</w:t>
            </w:r>
          </w:p>
        </w:tc>
        <w:tc>
          <w:tcPr>
            <w:tcW w:w="1453" w:type="dxa"/>
          </w:tcPr>
          <w:p w14:paraId="57271037" w14:textId="338BD803" w:rsidR="00BD4046" w:rsidRPr="00CB0000" w:rsidRDefault="00BD4046" w:rsidP="00BD4046">
            <w:pPr>
              <w:pStyle w:val="TableText"/>
              <w:jc w:val="right"/>
            </w:pPr>
            <w:r w:rsidRPr="00466E9A">
              <w:t>241,275</w:t>
            </w:r>
          </w:p>
        </w:tc>
        <w:tc>
          <w:tcPr>
            <w:tcW w:w="1453" w:type="dxa"/>
          </w:tcPr>
          <w:p w14:paraId="10A5EB45" w14:textId="431C837A" w:rsidR="00BD4046" w:rsidRPr="00CB0000" w:rsidRDefault="00BD4046" w:rsidP="00BD4046">
            <w:pPr>
              <w:pStyle w:val="TableText"/>
              <w:jc w:val="right"/>
            </w:pPr>
            <w:r w:rsidRPr="00466E9A">
              <w:t>240,934</w:t>
            </w:r>
          </w:p>
        </w:tc>
      </w:tr>
      <w:tr w:rsidR="00BD4046" w:rsidRPr="00CB0000" w14:paraId="71E71218" w14:textId="77777777" w:rsidTr="00453DB4">
        <w:tc>
          <w:tcPr>
            <w:tcW w:w="2268" w:type="dxa"/>
          </w:tcPr>
          <w:p w14:paraId="4492A1BA" w14:textId="0D6EA3C1" w:rsidR="00BD4046" w:rsidRPr="00CB0000" w:rsidRDefault="00BD4046" w:rsidP="00BD4046">
            <w:pPr>
              <w:pStyle w:val="TableText"/>
            </w:pPr>
            <w:r w:rsidRPr="00466E9A">
              <w:t>Total expenses</w:t>
            </w:r>
          </w:p>
        </w:tc>
        <w:tc>
          <w:tcPr>
            <w:tcW w:w="1453" w:type="dxa"/>
          </w:tcPr>
          <w:p w14:paraId="48533C07" w14:textId="7E814B7B" w:rsidR="00BD4046" w:rsidRPr="00CB0000" w:rsidRDefault="00BD4046" w:rsidP="00BD4046">
            <w:pPr>
              <w:pStyle w:val="TableText"/>
              <w:jc w:val="right"/>
            </w:pPr>
            <w:r w:rsidRPr="00466E9A">
              <w:t>93,445</w:t>
            </w:r>
          </w:p>
        </w:tc>
        <w:tc>
          <w:tcPr>
            <w:tcW w:w="1453" w:type="dxa"/>
          </w:tcPr>
          <w:p w14:paraId="3C32C21E" w14:textId="5BA89C75" w:rsidR="00BD4046" w:rsidRPr="00CB0000" w:rsidRDefault="00BD4046" w:rsidP="00BD4046">
            <w:pPr>
              <w:pStyle w:val="TableText"/>
              <w:jc w:val="right"/>
            </w:pPr>
            <w:r w:rsidRPr="00466E9A">
              <w:t>101,647</w:t>
            </w:r>
          </w:p>
        </w:tc>
        <w:tc>
          <w:tcPr>
            <w:tcW w:w="1453" w:type="dxa"/>
          </w:tcPr>
          <w:p w14:paraId="024DD01E" w14:textId="4E8BB426" w:rsidR="00BD4046" w:rsidRPr="00CB0000" w:rsidRDefault="00BD4046" w:rsidP="00BD4046">
            <w:pPr>
              <w:pStyle w:val="TableText"/>
              <w:jc w:val="right"/>
            </w:pPr>
            <w:r w:rsidRPr="00466E9A">
              <w:t>270,275</w:t>
            </w:r>
          </w:p>
        </w:tc>
        <w:tc>
          <w:tcPr>
            <w:tcW w:w="1453" w:type="dxa"/>
          </w:tcPr>
          <w:p w14:paraId="7E35D2DB" w14:textId="4D9C98AA" w:rsidR="00BD4046" w:rsidRPr="00CB0000" w:rsidRDefault="00BD4046" w:rsidP="00BD4046">
            <w:pPr>
              <w:pStyle w:val="TableText"/>
              <w:jc w:val="right"/>
            </w:pPr>
            <w:r w:rsidRPr="00466E9A">
              <w:t>196,579</w:t>
            </w:r>
          </w:p>
        </w:tc>
      </w:tr>
      <w:tr w:rsidR="00BD4046" w:rsidRPr="00CB0000" w14:paraId="7E76B0EA" w14:textId="77777777" w:rsidTr="00453DB4">
        <w:tc>
          <w:tcPr>
            <w:tcW w:w="2268" w:type="dxa"/>
          </w:tcPr>
          <w:p w14:paraId="48AE2146" w14:textId="1CD23B27" w:rsidR="00BD4046" w:rsidRPr="00CB0000" w:rsidRDefault="00BD4046" w:rsidP="00BD4046">
            <w:pPr>
              <w:pStyle w:val="TableText"/>
            </w:pPr>
            <w:r w:rsidRPr="00466E9A">
              <w:t>Net surplus (deficit)</w:t>
            </w:r>
          </w:p>
        </w:tc>
        <w:tc>
          <w:tcPr>
            <w:tcW w:w="1453" w:type="dxa"/>
          </w:tcPr>
          <w:p w14:paraId="5B3F4C53" w14:textId="0F7F0275" w:rsidR="00BD4046" w:rsidRPr="00CB0000" w:rsidRDefault="00BD4046" w:rsidP="00BD4046">
            <w:pPr>
              <w:pStyle w:val="TableText"/>
              <w:jc w:val="right"/>
            </w:pPr>
            <w:r w:rsidRPr="00466E9A">
              <w:t>13,090</w:t>
            </w:r>
          </w:p>
        </w:tc>
        <w:tc>
          <w:tcPr>
            <w:tcW w:w="1453" w:type="dxa"/>
          </w:tcPr>
          <w:p w14:paraId="265FFA73" w14:textId="619AD367" w:rsidR="00BD4046" w:rsidRPr="00CB0000" w:rsidRDefault="00BD4046" w:rsidP="00BD4046">
            <w:pPr>
              <w:pStyle w:val="TableText"/>
              <w:jc w:val="right"/>
            </w:pPr>
            <w:r w:rsidRPr="00466E9A">
              <w:t>-</w:t>
            </w:r>
          </w:p>
        </w:tc>
        <w:tc>
          <w:tcPr>
            <w:tcW w:w="1453" w:type="dxa"/>
          </w:tcPr>
          <w:p w14:paraId="4B17CFA4" w14:textId="06950E1D" w:rsidR="00BD4046" w:rsidRPr="00CB0000" w:rsidRDefault="00BD4046" w:rsidP="00BD4046">
            <w:pPr>
              <w:pStyle w:val="TableText"/>
              <w:jc w:val="right"/>
            </w:pPr>
            <w:r w:rsidRPr="00466E9A">
              <w:t>(29,000)</w:t>
            </w:r>
          </w:p>
        </w:tc>
        <w:tc>
          <w:tcPr>
            <w:tcW w:w="1453" w:type="dxa"/>
          </w:tcPr>
          <w:p w14:paraId="6B859374" w14:textId="22E881CB" w:rsidR="00BD4046" w:rsidRPr="00CB0000" w:rsidRDefault="00BD4046" w:rsidP="00BD4046">
            <w:pPr>
              <w:pStyle w:val="TableText"/>
              <w:jc w:val="right"/>
            </w:pPr>
            <w:r w:rsidRPr="00466E9A">
              <w:t>44,355</w:t>
            </w:r>
          </w:p>
        </w:tc>
      </w:tr>
    </w:tbl>
    <w:p w14:paraId="28A4F1B9" w14:textId="3D6930D3" w:rsidR="00BD4046" w:rsidRDefault="00BD4046" w:rsidP="00BD4046">
      <w:pPr>
        <w:rPr>
          <w:rFonts w:eastAsia="Arial Unicode MS"/>
        </w:rPr>
      </w:pPr>
    </w:p>
    <w:p w14:paraId="7672EEA7" w14:textId="5E163089" w:rsidR="00BD4046" w:rsidRDefault="00BD4046" w:rsidP="00BD4046">
      <w:pPr>
        <w:rPr>
          <w:rFonts w:eastAsia="Arial Unicode MS"/>
        </w:rPr>
      </w:pPr>
      <w:r w:rsidRPr="00BD4046">
        <w:rPr>
          <w:rFonts w:eastAsia="Arial Unicode MS"/>
        </w:rPr>
        <w:t>The appropriation actual spend was higher than the original budget to fund increased COVID-19 related technology costs, including managing COVID-19 in the community, additional operational support costs and enhancements to meet increased technology requirements including the integration of other health information technology with My COVID Record.</w:t>
      </w:r>
    </w:p>
    <w:p w14:paraId="1450CFAA" w14:textId="77777777" w:rsidR="00BD4046" w:rsidRPr="00BD4046" w:rsidRDefault="00BD4046" w:rsidP="00BD4046">
      <w:pPr>
        <w:rPr>
          <w:rFonts w:eastAsia="Arial Unicode MS"/>
        </w:rPr>
      </w:pPr>
    </w:p>
    <w:p w14:paraId="323A6F76" w14:textId="7B3B62B4" w:rsidR="00BD4046" w:rsidRDefault="00BD4046" w:rsidP="00BD4046">
      <w:pPr>
        <w:rPr>
          <w:rFonts w:eastAsia="Arial Unicode MS"/>
        </w:rPr>
      </w:pPr>
      <w:r w:rsidRPr="00BD4046">
        <w:rPr>
          <w:rFonts w:eastAsia="Arial Unicode MS"/>
        </w:rPr>
        <w:t>The underspend against the updated budget is due to COVID-19 related disruptions and delays, such as delays in on-boarding resources due to constraints in the current recruitment market, which pushed some activities into the 2022/23 year.</w:t>
      </w:r>
    </w:p>
    <w:p w14:paraId="30468B34" w14:textId="77777777" w:rsidR="00BD4046" w:rsidRPr="00BD4046" w:rsidRDefault="00BD4046" w:rsidP="00BD4046">
      <w:pPr>
        <w:rPr>
          <w:rFonts w:eastAsia="Arial Unicode MS"/>
        </w:rPr>
      </w:pPr>
    </w:p>
    <w:p w14:paraId="0782ED24" w14:textId="1D570E74" w:rsidR="00BD4046" w:rsidRDefault="00BD4046" w:rsidP="00BD4046">
      <w:pPr>
        <w:rPr>
          <w:rFonts w:eastAsia="Arial Unicode MS"/>
        </w:rPr>
      </w:pPr>
      <w:r w:rsidRPr="00BD4046">
        <w:rPr>
          <w:rFonts w:eastAsia="Arial Unicode MS"/>
        </w:rPr>
        <w:t>The Joint Ministers have approved an in-principle expense transfer of up to $71.235 million from 2021/22 to 2022/23 which will be confirmed as part of the 2022 October Baseline Update.</w:t>
      </w:r>
    </w:p>
    <w:p w14:paraId="5C338D4D" w14:textId="77777777" w:rsidR="00BD4046" w:rsidRPr="00BD4046" w:rsidRDefault="00BD4046" w:rsidP="00BD4046">
      <w:pPr>
        <w:pStyle w:val="Heading3"/>
      </w:pPr>
      <w:bookmarkStart w:id="39" w:name="_Toc117264946"/>
      <w:r w:rsidRPr="00BD4046">
        <w:t>Managing the Purchase of Services</w:t>
      </w:r>
      <w:bookmarkEnd w:id="39"/>
    </w:p>
    <w:p w14:paraId="40C0B1A4" w14:textId="28C1E409" w:rsidR="00BD4046" w:rsidRDefault="00BD4046" w:rsidP="00BD4046">
      <w:pPr>
        <w:rPr>
          <w:rFonts w:eastAsia="Arial Unicode MS"/>
        </w:rPr>
      </w:pPr>
      <w:r w:rsidRPr="00BD4046">
        <w:rPr>
          <w:rFonts w:eastAsia="Arial Unicode MS"/>
        </w:rPr>
        <w:t>This appropriation is limited to purchasing services for the public and health and disability sector on behalf of the Crown, for those services where the Ministry has responsibility for the purchasing function (i.e. funding is not devolved to another entity).</w:t>
      </w:r>
    </w:p>
    <w:p w14:paraId="3155E518" w14:textId="77777777" w:rsidR="00BD4046" w:rsidRPr="00BD4046" w:rsidRDefault="00BD4046" w:rsidP="00BD4046">
      <w:pPr>
        <w:rPr>
          <w:rFonts w:eastAsia="Arial Unicode MS"/>
        </w:rPr>
      </w:pPr>
    </w:p>
    <w:p w14:paraId="3B6BC548" w14:textId="77777777" w:rsidR="00BD4046" w:rsidRPr="00BD4046" w:rsidRDefault="00BD4046" w:rsidP="00BD4046">
      <w:pPr>
        <w:rPr>
          <w:rFonts w:eastAsia="Arial Unicode MS"/>
        </w:rPr>
      </w:pPr>
      <w:r w:rsidRPr="00BD4046">
        <w:rPr>
          <w:rFonts w:eastAsia="Arial Unicode MS"/>
        </w:rPr>
        <w:t>This appropriation is intended to achieve the administration of health and disability services, purchased on behalf of the Crown in line with Government priorities and the Ministry of Health’s strategic intentions (as outlined in the Ministry of Health’s Statement of Strategic Intentions).</w:t>
      </w:r>
    </w:p>
    <w:p w14:paraId="4402EEC4" w14:textId="77777777" w:rsidR="00BD4046" w:rsidRDefault="00BD4046" w:rsidP="00BD4046">
      <w:pPr>
        <w:pStyle w:val="Heading4"/>
        <w:sectPr w:rsidR="00BD4046" w:rsidSect="00C26282">
          <w:pgSz w:w="11907" w:h="16840" w:code="9"/>
          <w:pgMar w:top="1418" w:right="1701" w:bottom="1134" w:left="1843" w:header="284" w:footer="425" w:gutter="284"/>
          <w:cols w:space="720"/>
        </w:sectPr>
      </w:pPr>
    </w:p>
    <w:p w14:paraId="0B430CAC" w14:textId="33364507" w:rsidR="00BD4046" w:rsidRDefault="00BD4046" w:rsidP="00BD4046">
      <w:pPr>
        <w:pStyle w:val="Heading4"/>
      </w:pPr>
      <w:r w:rsidRPr="00BD4046">
        <w:lastRenderedPageBreak/>
        <w:t>Performance assessment</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170"/>
      </w:tblGrid>
      <w:tr w:rsidR="00BD4046" w:rsidRPr="00950725" w14:paraId="7EFD83F6" w14:textId="77777777" w:rsidTr="00FE6758">
        <w:trPr>
          <w:trHeight w:val="496"/>
          <w:tblHeader/>
        </w:trPr>
        <w:tc>
          <w:tcPr>
            <w:tcW w:w="3686" w:type="dxa"/>
            <w:tcBorders>
              <w:top w:val="nil"/>
              <w:bottom w:val="nil"/>
            </w:tcBorders>
            <w:shd w:val="clear" w:color="auto" w:fill="D9D9D9" w:themeFill="background1" w:themeFillShade="D9"/>
          </w:tcPr>
          <w:p w14:paraId="06565E24" w14:textId="02A2CB8F" w:rsidR="00BD4046" w:rsidRPr="00950725" w:rsidRDefault="006A19AA" w:rsidP="00FE6758">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3A665003" w14:textId="77777777" w:rsidR="00BD4046" w:rsidRPr="00950725" w:rsidRDefault="00BD4046" w:rsidP="00FE6758">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02186121" w14:textId="77777777" w:rsidR="00BD4046" w:rsidRPr="00950725" w:rsidRDefault="00BD4046" w:rsidP="00FE6758">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128A63A0" w14:textId="07C2C3B0" w:rsidR="00BD4046" w:rsidRPr="00950725" w:rsidRDefault="00BD4046" w:rsidP="00975ED6">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621C9E9B" w14:textId="77777777" w:rsidR="00BD4046" w:rsidRPr="00950725" w:rsidRDefault="00BD4046" w:rsidP="00FE6758">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BD4046" w14:paraId="45D2E16E" w14:textId="77777777" w:rsidTr="00FE6758">
        <w:trPr>
          <w:trHeight w:val="344"/>
          <w:tblHeader/>
        </w:trPr>
        <w:tc>
          <w:tcPr>
            <w:tcW w:w="3686" w:type="dxa"/>
            <w:tcBorders>
              <w:top w:val="nil"/>
              <w:bottom w:val="nil"/>
            </w:tcBorders>
            <w:shd w:val="clear" w:color="auto" w:fill="D9D9D9" w:themeFill="background1" w:themeFillShade="D9"/>
          </w:tcPr>
          <w:p w14:paraId="5EBC6489" w14:textId="77777777" w:rsidR="00BD4046" w:rsidRDefault="00BD4046" w:rsidP="00FE6758">
            <w:pPr>
              <w:pStyle w:val="TableText"/>
              <w:spacing w:after="0"/>
              <w:rPr>
                <w:w w:val="105"/>
              </w:rPr>
            </w:pPr>
          </w:p>
        </w:tc>
        <w:tc>
          <w:tcPr>
            <w:tcW w:w="1169" w:type="dxa"/>
            <w:tcBorders>
              <w:top w:val="nil"/>
              <w:bottom w:val="nil"/>
            </w:tcBorders>
            <w:shd w:val="clear" w:color="auto" w:fill="D9D9D9" w:themeFill="background1" w:themeFillShade="D9"/>
          </w:tcPr>
          <w:p w14:paraId="7C69B275" w14:textId="77777777" w:rsidR="00BD4046" w:rsidRDefault="00BD4046"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7DF038C6" w14:textId="77777777" w:rsidR="00BD4046" w:rsidRDefault="00BD4046" w:rsidP="00FE6758">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03BEF0F4" w14:textId="77777777" w:rsidR="00BD4046" w:rsidRDefault="00BD4046"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4F2E7F35" w14:textId="77777777" w:rsidR="00BD4046" w:rsidRDefault="00BD4046" w:rsidP="00FE6758">
            <w:pPr>
              <w:pStyle w:val="TableText"/>
              <w:jc w:val="right"/>
              <w:rPr>
                <w:rFonts w:ascii="Times New Roman"/>
              </w:rPr>
            </w:pPr>
          </w:p>
        </w:tc>
      </w:tr>
      <w:tr w:rsidR="00BD4046" w:rsidRPr="00950725" w14:paraId="70A4EE7C" w14:textId="77777777" w:rsidTr="00FE6758">
        <w:trPr>
          <w:trHeight w:val="344"/>
        </w:trPr>
        <w:tc>
          <w:tcPr>
            <w:tcW w:w="3686" w:type="dxa"/>
            <w:tcBorders>
              <w:top w:val="nil"/>
            </w:tcBorders>
          </w:tcPr>
          <w:p w14:paraId="461F163F" w14:textId="0CA3069B" w:rsidR="00BD4046" w:rsidRPr="00950725" w:rsidRDefault="00BD4046" w:rsidP="00BD4046">
            <w:pPr>
              <w:pStyle w:val="TableText"/>
              <w:rPr>
                <w:b/>
                <w:bCs/>
              </w:rPr>
            </w:pPr>
            <w:r w:rsidRPr="00B85ED5">
              <w:t>The Ministry procurement process is in line with government standards</w:t>
            </w:r>
          </w:p>
        </w:tc>
        <w:tc>
          <w:tcPr>
            <w:tcW w:w="1169" w:type="dxa"/>
            <w:tcBorders>
              <w:top w:val="nil"/>
            </w:tcBorders>
          </w:tcPr>
          <w:p w14:paraId="31A54E32" w14:textId="65411CC2" w:rsidR="00BD4046" w:rsidRPr="00950725" w:rsidRDefault="00BD4046" w:rsidP="00BD4046">
            <w:pPr>
              <w:pStyle w:val="TableText"/>
              <w:jc w:val="right"/>
              <w:rPr>
                <w:rFonts w:ascii="Times New Roman"/>
                <w:b/>
                <w:bCs/>
              </w:rPr>
            </w:pPr>
            <w:r w:rsidRPr="00B85ED5">
              <w:t>Achieved</w:t>
            </w:r>
          </w:p>
        </w:tc>
        <w:tc>
          <w:tcPr>
            <w:tcW w:w="1170" w:type="dxa"/>
            <w:tcBorders>
              <w:top w:val="nil"/>
            </w:tcBorders>
          </w:tcPr>
          <w:p w14:paraId="2DB5AFCE" w14:textId="0DF91E03" w:rsidR="00BD4046" w:rsidRPr="00950725" w:rsidRDefault="00BD4046" w:rsidP="00BD4046">
            <w:pPr>
              <w:pStyle w:val="TableText"/>
              <w:jc w:val="right"/>
              <w:rPr>
                <w:rFonts w:ascii="Times New Roman"/>
                <w:b/>
                <w:bCs/>
              </w:rPr>
            </w:pPr>
            <w:r w:rsidRPr="00B85ED5">
              <w:t>Achieved</w:t>
            </w:r>
          </w:p>
        </w:tc>
        <w:tc>
          <w:tcPr>
            <w:tcW w:w="1169" w:type="dxa"/>
            <w:tcBorders>
              <w:top w:val="nil"/>
            </w:tcBorders>
          </w:tcPr>
          <w:p w14:paraId="2E262AEF" w14:textId="29012345" w:rsidR="00BD4046" w:rsidRPr="00950725" w:rsidRDefault="00BD4046" w:rsidP="00BD4046">
            <w:pPr>
              <w:pStyle w:val="TableText"/>
              <w:jc w:val="right"/>
              <w:rPr>
                <w:rFonts w:ascii="Times New Roman"/>
                <w:b/>
                <w:bCs/>
              </w:rPr>
            </w:pPr>
            <w:r w:rsidRPr="00B85ED5">
              <w:t>Achieved</w:t>
            </w:r>
          </w:p>
        </w:tc>
        <w:tc>
          <w:tcPr>
            <w:tcW w:w="1170" w:type="dxa"/>
            <w:tcBorders>
              <w:top w:val="nil"/>
            </w:tcBorders>
          </w:tcPr>
          <w:p w14:paraId="0949D60A" w14:textId="434F19EF" w:rsidR="00BD4046" w:rsidRPr="00BD4046" w:rsidRDefault="00BD4046" w:rsidP="00BD4046">
            <w:pPr>
              <w:pStyle w:val="TableText"/>
              <w:jc w:val="right"/>
              <w:rPr>
                <w:rFonts w:ascii="Times New Roman"/>
                <w:b/>
                <w:bCs/>
              </w:rPr>
            </w:pPr>
            <w:r w:rsidRPr="00BD4046">
              <w:rPr>
                <w:b/>
                <w:bCs/>
              </w:rPr>
              <w:sym w:font="Wingdings" w:char="F0FC"/>
            </w:r>
          </w:p>
        </w:tc>
      </w:tr>
      <w:tr w:rsidR="00BD4046" w14:paraId="01A5658E" w14:textId="77777777" w:rsidTr="00BD4046">
        <w:trPr>
          <w:trHeight w:val="77"/>
        </w:trPr>
        <w:tc>
          <w:tcPr>
            <w:tcW w:w="3686" w:type="dxa"/>
          </w:tcPr>
          <w:p w14:paraId="699B0DC2" w14:textId="0874CC99" w:rsidR="00BD4046" w:rsidRDefault="00BD4046" w:rsidP="00BD4046">
            <w:pPr>
              <w:pStyle w:val="TableText"/>
            </w:pPr>
            <w:r w:rsidRPr="00B85ED5">
              <w:t>The percentage of Ministry feedback to Crown funding agreement variation (CFAV) monitoring reports that are supplied to DHBs within agreed timeframes (Note 1)</w:t>
            </w:r>
          </w:p>
        </w:tc>
        <w:tc>
          <w:tcPr>
            <w:tcW w:w="1169" w:type="dxa"/>
          </w:tcPr>
          <w:p w14:paraId="7C6BB9EB" w14:textId="513CD0E2" w:rsidR="00BD4046" w:rsidRDefault="00BD4046" w:rsidP="00BD4046">
            <w:pPr>
              <w:pStyle w:val="TableText"/>
              <w:jc w:val="right"/>
            </w:pPr>
            <w:r w:rsidRPr="00B85ED5">
              <w:t>67%</w:t>
            </w:r>
          </w:p>
        </w:tc>
        <w:tc>
          <w:tcPr>
            <w:tcW w:w="1170" w:type="dxa"/>
          </w:tcPr>
          <w:p w14:paraId="4BC87989" w14:textId="48078135" w:rsidR="00BD4046" w:rsidRDefault="00BD4046" w:rsidP="00BD4046">
            <w:pPr>
              <w:pStyle w:val="TableText"/>
              <w:jc w:val="right"/>
            </w:pPr>
            <w:r w:rsidRPr="00B85ED5">
              <w:t>95%</w:t>
            </w:r>
          </w:p>
        </w:tc>
        <w:tc>
          <w:tcPr>
            <w:tcW w:w="1169" w:type="dxa"/>
          </w:tcPr>
          <w:p w14:paraId="64EB5EB3" w14:textId="5DAB005B" w:rsidR="00BD4046" w:rsidRDefault="00BD4046" w:rsidP="00BD4046">
            <w:pPr>
              <w:pStyle w:val="TableText"/>
              <w:jc w:val="right"/>
            </w:pPr>
            <w:r w:rsidRPr="00B85ED5">
              <w:t>85.3%</w:t>
            </w:r>
          </w:p>
        </w:tc>
        <w:tc>
          <w:tcPr>
            <w:tcW w:w="1170" w:type="dxa"/>
          </w:tcPr>
          <w:p w14:paraId="349CE261" w14:textId="4CA2C090" w:rsidR="00BD4046" w:rsidRPr="00BD4046" w:rsidRDefault="00BD4046" w:rsidP="00BD4046">
            <w:pPr>
              <w:pStyle w:val="TableText"/>
              <w:jc w:val="right"/>
              <w:rPr>
                <w:rFonts w:cs="Segoe UI"/>
                <w:sz w:val="28"/>
              </w:rPr>
            </w:pPr>
            <w:r w:rsidRPr="00BD4046">
              <w:rPr>
                <w:rFonts w:cs="Segoe UI"/>
                <w:sz w:val="24"/>
                <w:szCs w:val="18"/>
              </w:rPr>
              <w:sym w:font="Wingdings" w:char="F0FB"/>
            </w:r>
          </w:p>
        </w:tc>
      </w:tr>
      <w:tr w:rsidR="00BD4046" w14:paraId="3728BDCC" w14:textId="77777777" w:rsidTr="00FE6758">
        <w:trPr>
          <w:trHeight w:val="578"/>
        </w:trPr>
        <w:tc>
          <w:tcPr>
            <w:tcW w:w="3686" w:type="dxa"/>
          </w:tcPr>
          <w:p w14:paraId="4135A28C" w14:textId="2FDD6E2C" w:rsidR="00BD4046" w:rsidRDefault="00BD4046" w:rsidP="00BD4046">
            <w:pPr>
              <w:pStyle w:val="TableText"/>
            </w:pPr>
            <w:r w:rsidRPr="00B85ED5">
              <w:t>The percentage of complaints in regards to Disability Support Services (DSS) that receive either a resolution notification or progress update within 20 working days of DSS receiving the complaint</w:t>
            </w:r>
          </w:p>
        </w:tc>
        <w:tc>
          <w:tcPr>
            <w:tcW w:w="1169" w:type="dxa"/>
          </w:tcPr>
          <w:p w14:paraId="41A9A3E9" w14:textId="7278F953" w:rsidR="00BD4046" w:rsidRDefault="00BD4046" w:rsidP="00BD4046">
            <w:pPr>
              <w:pStyle w:val="TableText"/>
              <w:jc w:val="right"/>
            </w:pPr>
            <w:r w:rsidRPr="00B85ED5">
              <w:t>85.5%</w:t>
            </w:r>
          </w:p>
        </w:tc>
        <w:tc>
          <w:tcPr>
            <w:tcW w:w="1170" w:type="dxa"/>
          </w:tcPr>
          <w:p w14:paraId="2401F8CA" w14:textId="31446BC1" w:rsidR="00BD4046" w:rsidRDefault="00BD4046" w:rsidP="00BD4046">
            <w:pPr>
              <w:pStyle w:val="TableText"/>
              <w:jc w:val="right"/>
            </w:pPr>
            <w:r w:rsidRPr="00B85ED5">
              <w:t>95%</w:t>
            </w:r>
          </w:p>
        </w:tc>
        <w:tc>
          <w:tcPr>
            <w:tcW w:w="1169" w:type="dxa"/>
          </w:tcPr>
          <w:p w14:paraId="7AB21A5F" w14:textId="33F6CEF1" w:rsidR="00BD4046" w:rsidRDefault="00BD4046" w:rsidP="00BD4046">
            <w:pPr>
              <w:pStyle w:val="TableText"/>
              <w:jc w:val="right"/>
            </w:pPr>
            <w:r w:rsidRPr="00B85ED5">
              <w:t>96.6%</w:t>
            </w:r>
          </w:p>
        </w:tc>
        <w:tc>
          <w:tcPr>
            <w:tcW w:w="1170" w:type="dxa"/>
          </w:tcPr>
          <w:p w14:paraId="1DAAA92C" w14:textId="77777777" w:rsidR="00BD4046" w:rsidRPr="00BD4046" w:rsidRDefault="00BD4046" w:rsidP="00BD4046">
            <w:pPr>
              <w:pStyle w:val="TableText"/>
              <w:jc w:val="right"/>
              <w:rPr>
                <w:rFonts w:ascii="Franklin Gothic Heavy" w:hAnsi="Franklin Gothic Heavy"/>
                <w:b/>
                <w:bCs/>
                <w:sz w:val="28"/>
              </w:rPr>
            </w:pPr>
            <w:r w:rsidRPr="00BD4046">
              <w:rPr>
                <w:b/>
                <w:bCs/>
              </w:rPr>
              <w:sym w:font="Wingdings" w:char="F0FC"/>
            </w:r>
          </w:p>
        </w:tc>
      </w:tr>
    </w:tbl>
    <w:p w14:paraId="03D342BF" w14:textId="77777777" w:rsidR="00BD4046" w:rsidRPr="00BD4046" w:rsidRDefault="00BD4046" w:rsidP="00BD4046">
      <w:pPr>
        <w:pStyle w:val="Note"/>
        <w:rPr>
          <w:rFonts w:eastAsia="Arial Unicode MS"/>
        </w:rPr>
      </w:pPr>
      <w:r w:rsidRPr="00BD4046">
        <w:rPr>
          <w:rFonts w:eastAsia="Arial Unicode MS"/>
        </w:rPr>
        <w:t>Note 1: The achievement of this measure was heavily dependent on the timeliness of the Ministry of Health’s subject matter experts providing feedback in the database within agreed timeframes.</w:t>
      </w:r>
    </w:p>
    <w:p w14:paraId="5EA4037F" w14:textId="4F3B0B62" w:rsidR="00BD4046" w:rsidRDefault="00BD4046" w:rsidP="00BD4046">
      <w:pPr>
        <w:pStyle w:val="Note"/>
        <w:rPr>
          <w:rFonts w:eastAsia="Arial Unicode MS"/>
        </w:rPr>
      </w:pPr>
      <w:r w:rsidRPr="00BD4046">
        <w:rPr>
          <w:rFonts w:eastAsia="Arial Unicode MS"/>
        </w:rPr>
        <w:t>We ensure we give the subject matter experts as many reminders as possible about timeframes and communicate expectations for completing reviews. As the Ministry’s subject matter experts face competing work demands and resource constraints, monitoring feedback to DHBs within agreed timeframes continues to be a challenge.</w:t>
      </w:r>
    </w:p>
    <w:p w14:paraId="5D61169A" w14:textId="77777777" w:rsidR="00BD4046" w:rsidRDefault="00BD4046" w:rsidP="00BD4046">
      <w:pPr>
        <w:pStyle w:val="Heading4"/>
      </w:pPr>
      <w:r>
        <w:rPr>
          <w:w w:val="105"/>
        </w:rPr>
        <w:t>Financial</w:t>
      </w:r>
      <w:r>
        <w:rPr>
          <w:spacing w:val="-5"/>
          <w:w w:val="105"/>
        </w:rPr>
        <w:t xml:space="preserve"> </w:t>
      </w:r>
      <w:r>
        <w:rPr>
          <w:w w:val="105"/>
        </w:rPr>
        <w:t>performance</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552"/>
        <w:gridCol w:w="1453"/>
        <w:gridCol w:w="1453"/>
        <w:gridCol w:w="1453"/>
        <w:gridCol w:w="1453"/>
      </w:tblGrid>
      <w:tr w:rsidR="00BD4046" w:rsidRPr="00CB0000" w14:paraId="2D3118FB" w14:textId="77777777" w:rsidTr="00FE6758">
        <w:trPr>
          <w:trHeight w:val="543"/>
        </w:trPr>
        <w:tc>
          <w:tcPr>
            <w:tcW w:w="2552" w:type="dxa"/>
            <w:tcBorders>
              <w:top w:val="nil"/>
              <w:bottom w:val="nil"/>
            </w:tcBorders>
            <w:shd w:val="clear" w:color="auto" w:fill="D9D9D9" w:themeFill="background1" w:themeFillShade="D9"/>
          </w:tcPr>
          <w:p w14:paraId="70AD0B1A" w14:textId="1F64FF14" w:rsidR="00BD4046" w:rsidRPr="00CB0000" w:rsidRDefault="00BD4046" w:rsidP="00BD4046">
            <w:pPr>
              <w:pStyle w:val="TableText"/>
              <w:rPr>
                <w:b/>
                <w:bCs/>
              </w:rPr>
            </w:pPr>
            <w:r w:rsidRPr="00BD4046">
              <w:rPr>
                <w:b/>
                <w:bCs/>
              </w:rPr>
              <w:t>Managing the purchase of services</w:t>
            </w:r>
          </w:p>
        </w:tc>
        <w:tc>
          <w:tcPr>
            <w:tcW w:w="1453" w:type="dxa"/>
            <w:tcBorders>
              <w:top w:val="nil"/>
              <w:bottom w:val="nil"/>
            </w:tcBorders>
            <w:shd w:val="clear" w:color="auto" w:fill="D9D9D9" w:themeFill="background1" w:themeFillShade="D9"/>
          </w:tcPr>
          <w:p w14:paraId="398FD9A2" w14:textId="77777777" w:rsidR="00BD4046" w:rsidRPr="00CB0000" w:rsidRDefault="00BD4046" w:rsidP="00FE6758">
            <w:pPr>
              <w:pStyle w:val="TableText"/>
              <w:jc w:val="right"/>
              <w:rPr>
                <w:b/>
                <w:bCs/>
              </w:rPr>
            </w:pPr>
            <w:r w:rsidRPr="00CB0000">
              <w:rPr>
                <w:b/>
                <w:bCs/>
              </w:rPr>
              <w:t>Actual</w:t>
            </w:r>
          </w:p>
        </w:tc>
        <w:tc>
          <w:tcPr>
            <w:tcW w:w="1453" w:type="dxa"/>
            <w:tcBorders>
              <w:top w:val="nil"/>
              <w:bottom w:val="nil"/>
            </w:tcBorders>
            <w:shd w:val="clear" w:color="auto" w:fill="D9D9D9" w:themeFill="background1" w:themeFillShade="D9"/>
          </w:tcPr>
          <w:p w14:paraId="5E9CF8FC" w14:textId="77777777" w:rsidR="00BD4046" w:rsidRPr="00CB0000" w:rsidRDefault="00BD4046" w:rsidP="00FE6758">
            <w:pPr>
              <w:pStyle w:val="TableText"/>
              <w:jc w:val="right"/>
              <w:rPr>
                <w:b/>
                <w:bCs/>
              </w:rPr>
            </w:pPr>
            <w:r w:rsidRPr="00CB0000">
              <w:rPr>
                <w:b/>
                <w:bCs/>
              </w:rPr>
              <w:t xml:space="preserve">Main </w:t>
            </w:r>
            <w:r w:rsidRPr="00CB0000">
              <w:rPr>
                <w:b/>
                <w:bCs/>
              </w:rPr>
              <w:br/>
              <w:t>estimates</w:t>
            </w:r>
          </w:p>
        </w:tc>
        <w:tc>
          <w:tcPr>
            <w:tcW w:w="1453" w:type="dxa"/>
            <w:tcBorders>
              <w:top w:val="nil"/>
              <w:bottom w:val="nil"/>
            </w:tcBorders>
            <w:shd w:val="clear" w:color="auto" w:fill="D9D9D9" w:themeFill="background1" w:themeFillShade="D9"/>
          </w:tcPr>
          <w:p w14:paraId="4708D348" w14:textId="77777777" w:rsidR="00BD4046" w:rsidRPr="00CB0000" w:rsidRDefault="00BD4046" w:rsidP="00FE6758">
            <w:pPr>
              <w:pStyle w:val="TableText"/>
              <w:jc w:val="right"/>
              <w:rPr>
                <w:b/>
                <w:bCs/>
              </w:rPr>
            </w:pPr>
            <w:r w:rsidRPr="00CB0000">
              <w:rPr>
                <w:b/>
                <w:bCs/>
              </w:rPr>
              <w:t>Voted appropriation</w:t>
            </w:r>
          </w:p>
        </w:tc>
        <w:tc>
          <w:tcPr>
            <w:tcW w:w="1453" w:type="dxa"/>
            <w:tcBorders>
              <w:top w:val="nil"/>
              <w:bottom w:val="nil"/>
            </w:tcBorders>
            <w:shd w:val="clear" w:color="auto" w:fill="D9D9D9" w:themeFill="background1" w:themeFillShade="D9"/>
          </w:tcPr>
          <w:p w14:paraId="389E5509" w14:textId="77777777" w:rsidR="00BD4046" w:rsidRPr="00CB0000" w:rsidRDefault="00BD4046" w:rsidP="00FE6758">
            <w:pPr>
              <w:pStyle w:val="TableText"/>
              <w:jc w:val="right"/>
              <w:rPr>
                <w:b/>
                <w:bCs/>
              </w:rPr>
            </w:pPr>
            <w:r w:rsidRPr="00CB0000">
              <w:rPr>
                <w:b/>
                <w:bCs/>
              </w:rPr>
              <w:t>Actual</w:t>
            </w:r>
          </w:p>
        </w:tc>
      </w:tr>
      <w:tr w:rsidR="00BD4046" w:rsidRPr="00CB0000" w14:paraId="52CB219C" w14:textId="77777777" w:rsidTr="00FE6758">
        <w:tc>
          <w:tcPr>
            <w:tcW w:w="2552" w:type="dxa"/>
            <w:tcBorders>
              <w:top w:val="nil"/>
              <w:bottom w:val="nil"/>
            </w:tcBorders>
            <w:shd w:val="clear" w:color="auto" w:fill="D9D9D9" w:themeFill="background1" w:themeFillShade="D9"/>
          </w:tcPr>
          <w:p w14:paraId="4F981F70" w14:textId="77777777" w:rsidR="00BD4046" w:rsidRPr="00CB0000" w:rsidRDefault="00BD4046" w:rsidP="00FE6758">
            <w:pPr>
              <w:pStyle w:val="TableText"/>
              <w:rPr>
                <w:b/>
                <w:bCs/>
              </w:rPr>
            </w:pPr>
          </w:p>
        </w:tc>
        <w:tc>
          <w:tcPr>
            <w:tcW w:w="1453" w:type="dxa"/>
            <w:tcBorders>
              <w:top w:val="nil"/>
              <w:bottom w:val="nil"/>
            </w:tcBorders>
            <w:shd w:val="clear" w:color="auto" w:fill="D9D9D9" w:themeFill="background1" w:themeFillShade="D9"/>
          </w:tcPr>
          <w:p w14:paraId="19FAE5C1" w14:textId="77777777" w:rsidR="00BD4046" w:rsidRPr="00CB0000" w:rsidRDefault="00BD4046" w:rsidP="00FE6758">
            <w:pPr>
              <w:pStyle w:val="TableText"/>
              <w:jc w:val="right"/>
              <w:rPr>
                <w:b/>
                <w:bCs/>
              </w:rPr>
            </w:pPr>
            <w:r w:rsidRPr="00CB0000">
              <w:rPr>
                <w:b/>
                <w:bCs/>
              </w:rPr>
              <w:t>2021/22</w:t>
            </w:r>
          </w:p>
          <w:p w14:paraId="494CDD54" w14:textId="77777777" w:rsidR="00BD4046" w:rsidRPr="00CB0000" w:rsidRDefault="00BD4046"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24D3AC8B" w14:textId="77777777" w:rsidR="00BD4046" w:rsidRPr="00CB0000" w:rsidRDefault="00BD4046" w:rsidP="00FE6758">
            <w:pPr>
              <w:pStyle w:val="TableText"/>
              <w:jc w:val="right"/>
              <w:rPr>
                <w:b/>
                <w:bCs/>
              </w:rPr>
            </w:pPr>
            <w:r w:rsidRPr="00CB0000">
              <w:rPr>
                <w:b/>
                <w:bCs/>
              </w:rPr>
              <w:t>2021/22</w:t>
            </w:r>
          </w:p>
          <w:p w14:paraId="678F1FD8" w14:textId="77777777" w:rsidR="00BD4046" w:rsidRPr="00CB0000" w:rsidRDefault="00BD4046"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78C58904" w14:textId="77777777" w:rsidR="00BD4046" w:rsidRPr="00CB0000" w:rsidRDefault="00BD4046" w:rsidP="00FE6758">
            <w:pPr>
              <w:pStyle w:val="TableText"/>
              <w:jc w:val="right"/>
              <w:rPr>
                <w:b/>
                <w:bCs/>
              </w:rPr>
            </w:pPr>
            <w:r w:rsidRPr="00CB0000">
              <w:rPr>
                <w:b/>
                <w:bCs/>
              </w:rPr>
              <w:t>2021/22</w:t>
            </w:r>
          </w:p>
          <w:p w14:paraId="4D265FB4" w14:textId="77777777" w:rsidR="00BD4046" w:rsidRPr="00CB0000" w:rsidRDefault="00BD4046"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543262F7" w14:textId="77777777" w:rsidR="00BD4046" w:rsidRPr="00CB0000" w:rsidRDefault="00BD4046" w:rsidP="00FE6758">
            <w:pPr>
              <w:pStyle w:val="TableText"/>
              <w:jc w:val="right"/>
              <w:rPr>
                <w:b/>
                <w:bCs/>
              </w:rPr>
            </w:pPr>
            <w:r w:rsidRPr="00CB0000">
              <w:rPr>
                <w:b/>
                <w:bCs/>
              </w:rPr>
              <w:t>2021/22</w:t>
            </w:r>
          </w:p>
          <w:p w14:paraId="2C0B911F" w14:textId="77777777" w:rsidR="00BD4046" w:rsidRPr="00CB0000" w:rsidRDefault="00BD4046" w:rsidP="00FE6758">
            <w:pPr>
              <w:pStyle w:val="TableText"/>
              <w:jc w:val="right"/>
              <w:rPr>
                <w:b/>
                <w:bCs/>
              </w:rPr>
            </w:pPr>
            <w:r w:rsidRPr="00CB0000">
              <w:rPr>
                <w:b/>
                <w:bCs/>
              </w:rPr>
              <w:t>$000</w:t>
            </w:r>
          </w:p>
        </w:tc>
      </w:tr>
      <w:tr w:rsidR="00B104C4" w:rsidRPr="00CB0000" w14:paraId="27AB4108" w14:textId="77777777" w:rsidTr="00FE6758">
        <w:tc>
          <w:tcPr>
            <w:tcW w:w="2552" w:type="dxa"/>
            <w:tcBorders>
              <w:top w:val="nil"/>
            </w:tcBorders>
          </w:tcPr>
          <w:p w14:paraId="55D54539" w14:textId="77777777" w:rsidR="00B104C4" w:rsidRPr="00CB0000" w:rsidRDefault="00B104C4" w:rsidP="00B104C4">
            <w:pPr>
              <w:pStyle w:val="TableText"/>
            </w:pPr>
            <w:r w:rsidRPr="00466E9A">
              <w:t>Crown revenue</w:t>
            </w:r>
          </w:p>
        </w:tc>
        <w:tc>
          <w:tcPr>
            <w:tcW w:w="1453" w:type="dxa"/>
            <w:tcBorders>
              <w:top w:val="nil"/>
            </w:tcBorders>
          </w:tcPr>
          <w:p w14:paraId="71CD7698" w14:textId="0DB86317" w:rsidR="00B104C4" w:rsidRPr="00CB0000" w:rsidRDefault="00B104C4" w:rsidP="00B104C4">
            <w:pPr>
              <w:pStyle w:val="TableText"/>
              <w:jc w:val="right"/>
            </w:pPr>
            <w:r w:rsidRPr="00A97258">
              <w:t>71,556</w:t>
            </w:r>
          </w:p>
        </w:tc>
        <w:tc>
          <w:tcPr>
            <w:tcW w:w="1453" w:type="dxa"/>
            <w:tcBorders>
              <w:top w:val="nil"/>
            </w:tcBorders>
          </w:tcPr>
          <w:p w14:paraId="724B8BB8" w14:textId="17BB7C32" w:rsidR="00B104C4" w:rsidRPr="00CB0000" w:rsidRDefault="00B104C4" w:rsidP="00B104C4">
            <w:pPr>
              <w:pStyle w:val="TableText"/>
              <w:jc w:val="right"/>
            </w:pPr>
            <w:r w:rsidRPr="00A97258">
              <w:t>74,185</w:t>
            </w:r>
          </w:p>
        </w:tc>
        <w:tc>
          <w:tcPr>
            <w:tcW w:w="1453" w:type="dxa"/>
            <w:tcBorders>
              <w:top w:val="nil"/>
            </w:tcBorders>
          </w:tcPr>
          <w:p w14:paraId="573BFE44" w14:textId="00E0957F" w:rsidR="00B104C4" w:rsidRPr="00CB0000" w:rsidRDefault="00B104C4" w:rsidP="00B104C4">
            <w:pPr>
              <w:pStyle w:val="TableText"/>
              <w:jc w:val="right"/>
            </w:pPr>
            <w:r w:rsidRPr="00A97258">
              <w:t>83,773</w:t>
            </w:r>
          </w:p>
        </w:tc>
        <w:tc>
          <w:tcPr>
            <w:tcW w:w="1453" w:type="dxa"/>
            <w:tcBorders>
              <w:top w:val="nil"/>
            </w:tcBorders>
          </w:tcPr>
          <w:p w14:paraId="33964A40" w14:textId="54C90473" w:rsidR="00B104C4" w:rsidRPr="00CB0000" w:rsidRDefault="00B104C4" w:rsidP="00B104C4">
            <w:pPr>
              <w:pStyle w:val="TableText"/>
              <w:jc w:val="right"/>
            </w:pPr>
            <w:r w:rsidRPr="00A97258">
              <w:t>83,773</w:t>
            </w:r>
          </w:p>
        </w:tc>
      </w:tr>
      <w:tr w:rsidR="00B104C4" w:rsidRPr="00CB0000" w14:paraId="5F7AF044" w14:textId="77777777" w:rsidTr="00FE6758">
        <w:tc>
          <w:tcPr>
            <w:tcW w:w="2552" w:type="dxa"/>
          </w:tcPr>
          <w:p w14:paraId="6FEAAA31" w14:textId="77777777" w:rsidR="00B104C4" w:rsidRPr="00CB0000" w:rsidRDefault="00B104C4" w:rsidP="00B104C4">
            <w:pPr>
              <w:pStyle w:val="TableText"/>
            </w:pPr>
            <w:r w:rsidRPr="00466E9A">
              <w:t>Other revenue</w:t>
            </w:r>
          </w:p>
        </w:tc>
        <w:tc>
          <w:tcPr>
            <w:tcW w:w="1453" w:type="dxa"/>
          </w:tcPr>
          <w:p w14:paraId="18901549" w14:textId="62629F49" w:rsidR="00B104C4" w:rsidRPr="00CB0000" w:rsidRDefault="00B104C4" w:rsidP="00B104C4">
            <w:pPr>
              <w:pStyle w:val="TableText"/>
              <w:jc w:val="right"/>
            </w:pPr>
            <w:r w:rsidRPr="00A97258">
              <w:t>734</w:t>
            </w:r>
          </w:p>
        </w:tc>
        <w:tc>
          <w:tcPr>
            <w:tcW w:w="1453" w:type="dxa"/>
          </w:tcPr>
          <w:p w14:paraId="6A8D522E" w14:textId="2AA0F331" w:rsidR="00B104C4" w:rsidRPr="00CB0000" w:rsidRDefault="00B104C4" w:rsidP="00B104C4">
            <w:pPr>
              <w:pStyle w:val="TableText"/>
              <w:jc w:val="right"/>
            </w:pPr>
            <w:r w:rsidRPr="00A97258">
              <w:t>1,484</w:t>
            </w:r>
          </w:p>
        </w:tc>
        <w:tc>
          <w:tcPr>
            <w:tcW w:w="1453" w:type="dxa"/>
          </w:tcPr>
          <w:p w14:paraId="4A96A58C" w14:textId="0525EFB1" w:rsidR="00B104C4" w:rsidRPr="00CB0000" w:rsidRDefault="00B104C4" w:rsidP="00B104C4">
            <w:pPr>
              <w:pStyle w:val="TableText"/>
              <w:jc w:val="right"/>
            </w:pPr>
            <w:r w:rsidRPr="00A97258">
              <w:t>1,484</w:t>
            </w:r>
          </w:p>
        </w:tc>
        <w:tc>
          <w:tcPr>
            <w:tcW w:w="1453" w:type="dxa"/>
          </w:tcPr>
          <w:p w14:paraId="1059C8D9" w14:textId="276F87BA" w:rsidR="00B104C4" w:rsidRPr="00CB0000" w:rsidRDefault="00B104C4" w:rsidP="00B104C4">
            <w:pPr>
              <w:pStyle w:val="TableText"/>
              <w:jc w:val="right"/>
            </w:pPr>
            <w:r w:rsidRPr="00A97258">
              <w:t>13</w:t>
            </w:r>
          </w:p>
        </w:tc>
      </w:tr>
      <w:tr w:rsidR="00B104C4" w:rsidRPr="00CB0000" w14:paraId="3A6200DC" w14:textId="77777777" w:rsidTr="00FE6758">
        <w:tc>
          <w:tcPr>
            <w:tcW w:w="2552" w:type="dxa"/>
          </w:tcPr>
          <w:p w14:paraId="0A604CD4" w14:textId="77777777" w:rsidR="00B104C4" w:rsidRPr="00CB0000" w:rsidRDefault="00B104C4" w:rsidP="00B104C4">
            <w:pPr>
              <w:pStyle w:val="TableText"/>
            </w:pPr>
            <w:r w:rsidRPr="00466E9A">
              <w:t>Total revenue</w:t>
            </w:r>
          </w:p>
        </w:tc>
        <w:tc>
          <w:tcPr>
            <w:tcW w:w="1453" w:type="dxa"/>
          </w:tcPr>
          <w:p w14:paraId="2B70189D" w14:textId="07582753" w:rsidR="00B104C4" w:rsidRPr="00CB0000" w:rsidRDefault="00B104C4" w:rsidP="00B104C4">
            <w:pPr>
              <w:pStyle w:val="TableText"/>
              <w:jc w:val="right"/>
            </w:pPr>
            <w:r w:rsidRPr="00A97258">
              <w:t>72,290</w:t>
            </w:r>
          </w:p>
        </w:tc>
        <w:tc>
          <w:tcPr>
            <w:tcW w:w="1453" w:type="dxa"/>
          </w:tcPr>
          <w:p w14:paraId="066D1056" w14:textId="21493EDA" w:rsidR="00B104C4" w:rsidRPr="00CB0000" w:rsidRDefault="00B104C4" w:rsidP="00B104C4">
            <w:pPr>
              <w:pStyle w:val="TableText"/>
              <w:jc w:val="right"/>
            </w:pPr>
            <w:r w:rsidRPr="00A97258">
              <w:t>75,669</w:t>
            </w:r>
          </w:p>
        </w:tc>
        <w:tc>
          <w:tcPr>
            <w:tcW w:w="1453" w:type="dxa"/>
          </w:tcPr>
          <w:p w14:paraId="211869CB" w14:textId="2F531B58" w:rsidR="00B104C4" w:rsidRPr="00CB0000" w:rsidRDefault="00B104C4" w:rsidP="00B104C4">
            <w:pPr>
              <w:pStyle w:val="TableText"/>
              <w:jc w:val="right"/>
            </w:pPr>
            <w:r w:rsidRPr="00A97258">
              <w:t>85,257</w:t>
            </w:r>
          </w:p>
        </w:tc>
        <w:tc>
          <w:tcPr>
            <w:tcW w:w="1453" w:type="dxa"/>
          </w:tcPr>
          <w:p w14:paraId="409F4D37" w14:textId="7948CD51" w:rsidR="00B104C4" w:rsidRPr="00CB0000" w:rsidRDefault="00B104C4" w:rsidP="00B104C4">
            <w:pPr>
              <w:pStyle w:val="TableText"/>
              <w:jc w:val="right"/>
            </w:pPr>
            <w:r w:rsidRPr="00A97258">
              <w:t>83,786</w:t>
            </w:r>
          </w:p>
        </w:tc>
      </w:tr>
      <w:tr w:rsidR="00B104C4" w:rsidRPr="00CB0000" w14:paraId="282DD5E5" w14:textId="77777777" w:rsidTr="00FE6758">
        <w:tc>
          <w:tcPr>
            <w:tcW w:w="2552" w:type="dxa"/>
          </w:tcPr>
          <w:p w14:paraId="5CC7D582" w14:textId="77777777" w:rsidR="00B104C4" w:rsidRPr="00CB0000" w:rsidRDefault="00B104C4" w:rsidP="00B104C4">
            <w:pPr>
              <w:pStyle w:val="TableText"/>
            </w:pPr>
            <w:r w:rsidRPr="00466E9A">
              <w:t>Total expenses</w:t>
            </w:r>
          </w:p>
        </w:tc>
        <w:tc>
          <w:tcPr>
            <w:tcW w:w="1453" w:type="dxa"/>
          </w:tcPr>
          <w:p w14:paraId="7956B10B" w14:textId="193FF227" w:rsidR="00B104C4" w:rsidRPr="00CB0000" w:rsidRDefault="00B104C4" w:rsidP="00B104C4">
            <w:pPr>
              <w:pStyle w:val="TableText"/>
              <w:jc w:val="right"/>
            </w:pPr>
            <w:r w:rsidRPr="00A97258">
              <w:t>71,199</w:t>
            </w:r>
          </w:p>
        </w:tc>
        <w:tc>
          <w:tcPr>
            <w:tcW w:w="1453" w:type="dxa"/>
          </w:tcPr>
          <w:p w14:paraId="0DD2E484" w14:textId="4C7F1D48" w:rsidR="00B104C4" w:rsidRPr="00CB0000" w:rsidRDefault="00B104C4" w:rsidP="00B104C4">
            <w:pPr>
              <w:pStyle w:val="TableText"/>
              <w:jc w:val="right"/>
            </w:pPr>
            <w:r w:rsidRPr="00A97258">
              <w:t>75,669</w:t>
            </w:r>
          </w:p>
        </w:tc>
        <w:tc>
          <w:tcPr>
            <w:tcW w:w="1453" w:type="dxa"/>
          </w:tcPr>
          <w:p w14:paraId="6E95569F" w14:textId="7E4F1A08" w:rsidR="00B104C4" w:rsidRPr="00CB0000" w:rsidRDefault="00B104C4" w:rsidP="00B104C4">
            <w:pPr>
              <w:pStyle w:val="TableText"/>
              <w:jc w:val="right"/>
            </w:pPr>
            <w:r w:rsidRPr="00A97258">
              <w:t>85,257</w:t>
            </w:r>
          </w:p>
        </w:tc>
        <w:tc>
          <w:tcPr>
            <w:tcW w:w="1453" w:type="dxa"/>
          </w:tcPr>
          <w:p w14:paraId="7228F437" w14:textId="034CB298" w:rsidR="00B104C4" w:rsidRPr="00CB0000" w:rsidRDefault="00B104C4" w:rsidP="00B104C4">
            <w:pPr>
              <w:pStyle w:val="TableText"/>
              <w:jc w:val="right"/>
            </w:pPr>
            <w:r w:rsidRPr="00A97258">
              <w:t>79,421</w:t>
            </w:r>
          </w:p>
        </w:tc>
      </w:tr>
      <w:tr w:rsidR="00B104C4" w:rsidRPr="00CB0000" w14:paraId="2DAFC1AF" w14:textId="77777777" w:rsidTr="00FE6758">
        <w:tc>
          <w:tcPr>
            <w:tcW w:w="2552" w:type="dxa"/>
          </w:tcPr>
          <w:p w14:paraId="01738C09" w14:textId="77777777" w:rsidR="00B104C4" w:rsidRPr="00CB0000" w:rsidRDefault="00B104C4" w:rsidP="00B104C4">
            <w:pPr>
              <w:pStyle w:val="TableText"/>
            </w:pPr>
            <w:r w:rsidRPr="00466E9A">
              <w:t>Net surplus (deficit)</w:t>
            </w:r>
          </w:p>
        </w:tc>
        <w:tc>
          <w:tcPr>
            <w:tcW w:w="1453" w:type="dxa"/>
          </w:tcPr>
          <w:p w14:paraId="48CFE094" w14:textId="412462B1" w:rsidR="00B104C4" w:rsidRPr="00CB0000" w:rsidRDefault="00B104C4" w:rsidP="00B104C4">
            <w:pPr>
              <w:pStyle w:val="TableText"/>
              <w:jc w:val="right"/>
            </w:pPr>
            <w:r w:rsidRPr="00A97258">
              <w:t>1,091</w:t>
            </w:r>
          </w:p>
        </w:tc>
        <w:tc>
          <w:tcPr>
            <w:tcW w:w="1453" w:type="dxa"/>
          </w:tcPr>
          <w:p w14:paraId="69E76727" w14:textId="6E2F63E8" w:rsidR="00B104C4" w:rsidRPr="00CB0000" w:rsidRDefault="00B104C4" w:rsidP="00B104C4">
            <w:pPr>
              <w:pStyle w:val="TableText"/>
              <w:jc w:val="right"/>
            </w:pPr>
            <w:r w:rsidRPr="00A97258">
              <w:t>-</w:t>
            </w:r>
          </w:p>
        </w:tc>
        <w:tc>
          <w:tcPr>
            <w:tcW w:w="1453" w:type="dxa"/>
          </w:tcPr>
          <w:p w14:paraId="6D6D4338" w14:textId="6C4273CB" w:rsidR="00B104C4" w:rsidRPr="00CB0000" w:rsidRDefault="00B104C4" w:rsidP="00B104C4">
            <w:pPr>
              <w:pStyle w:val="TableText"/>
              <w:jc w:val="right"/>
            </w:pPr>
            <w:r w:rsidRPr="00A97258">
              <w:t>-</w:t>
            </w:r>
          </w:p>
        </w:tc>
        <w:tc>
          <w:tcPr>
            <w:tcW w:w="1453" w:type="dxa"/>
          </w:tcPr>
          <w:p w14:paraId="13B8A572" w14:textId="48738005" w:rsidR="00B104C4" w:rsidRPr="00CB0000" w:rsidRDefault="00B104C4" w:rsidP="00B104C4">
            <w:pPr>
              <w:pStyle w:val="TableText"/>
              <w:jc w:val="right"/>
            </w:pPr>
            <w:r w:rsidRPr="00A97258">
              <w:t>4,365</w:t>
            </w:r>
          </w:p>
        </w:tc>
      </w:tr>
    </w:tbl>
    <w:p w14:paraId="4AA6240D" w14:textId="77777777" w:rsidR="00BD4046" w:rsidRDefault="00BD4046" w:rsidP="00BD4046">
      <w:pPr>
        <w:rPr>
          <w:rFonts w:eastAsia="Arial Unicode MS"/>
        </w:rPr>
      </w:pPr>
    </w:p>
    <w:p w14:paraId="54B681F7" w14:textId="629644B6" w:rsidR="00B104C4" w:rsidRDefault="00B104C4" w:rsidP="00B104C4">
      <w:pPr>
        <w:rPr>
          <w:rFonts w:eastAsia="Arial Unicode MS"/>
        </w:rPr>
      </w:pPr>
      <w:r w:rsidRPr="00B104C4">
        <w:rPr>
          <w:rFonts w:eastAsia="Arial Unicode MS"/>
        </w:rPr>
        <w:t>The underspend against the updated budget is due to the residual work required in 2022/23 to support the ongoing responsibilities of the Ministry in relation to the Health and Disability System Reform, and delays in the enhanced influenza immunisation programme as the COVID-19 vaccine programme remains a top priority.</w:t>
      </w:r>
    </w:p>
    <w:p w14:paraId="39D6D3A8" w14:textId="77777777" w:rsidR="00B104C4" w:rsidRPr="00B104C4" w:rsidRDefault="00B104C4" w:rsidP="00B104C4">
      <w:pPr>
        <w:rPr>
          <w:rFonts w:eastAsia="Arial Unicode MS"/>
        </w:rPr>
      </w:pPr>
    </w:p>
    <w:p w14:paraId="4F267AEA" w14:textId="77777777" w:rsidR="00B104C4" w:rsidRDefault="00B104C4" w:rsidP="00B104C4">
      <w:pPr>
        <w:rPr>
          <w:rFonts w:eastAsia="Arial Unicode MS"/>
        </w:rPr>
        <w:sectPr w:rsidR="00B104C4" w:rsidSect="00C26282">
          <w:pgSz w:w="11907" w:h="16840" w:code="9"/>
          <w:pgMar w:top="1418" w:right="1701" w:bottom="1134" w:left="1843" w:header="284" w:footer="425" w:gutter="284"/>
          <w:cols w:space="720"/>
        </w:sectPr>
      </w:pPr>
      <w:r w:rsidRPr="00B104C4">
        <w:rPr>
          <w:rFonts w:eastAsia="Arial Unicode MS"/>
        </w:rPr>
        <w:t>The Joint Ministers have approved an in-principle expense transfer of up to $5.145 million from 2021/22 to 2022/23 which will be confirmed as part of the 2022 October Baseline Update.</w:t>
      </w:r>
    </w:p>
    <w:p w14:paraId="6D51DF3E" w14:textId="77777777" w:rsidR="00B104C4" w:rsidRPr="00B104C4" w:rsidRDefault="00B104C4" w:rsidP="00B104C4">
      <w:pPr>
        <w:pStyle w:val="Heading3"/>
        <w:spacing w:before="0"/>
      </w:pPr>
      <w:bookmarkStart w:id="40" w:name="_Toc117264947"/>
      <w:r w:rsidRPr="00B104C4">
        <w:lastRenderedPageBreak/>
        <w:t>Payment Services</w:t>
      </w:r>
      <w:bookmarkEnd w:id="40"/>
    </w:p>
    <w:p w14:paraId="78EE3B11" w14:textId="4F31C165" w:rsidR="00B104C4" w:rsidRDefault="00B104C4" w:rsidP="00B104C4">
      <w:pPr>
        <w:rPr>
          <w:rFonts w:eastAsia="Arial Unicode MS"/>
        </w:rPr>
      </w:pPr>
      <w:r w:rsidRPr="00B104C4">
        <w:rPr>
          <w:rFonts w:eastAsia="Arial Unicode MS"/>
        </w:rPr>
        <w:t>This appropriation is limited to the administration and audit of contracts and payments on behalf of the Crown and Crown agencies.</w:t>
      </w:r>
    </w:p>
    <w:p w14:paraId="42D528F7" w14:textId="77777777" w:rsidR="00B104C4" w:rsidRPr="00B104C4" w:rsidRDefault="00B104C4" w:rsidP="00B104C4">
      <w:pPr>
        <w:rPr>
          <w:rFonts w:eastAsia="Arial Unicode MS"/>
        </w:rPr>
      </w:pPr>
    </w:p>
    <w:p w14:paraId="665CEA98" w14:textId="77777777" w:rsidR="00B104C4" w:rsidRPr="00B104C4" w:rsidRDefault="00B104C4" w:rsidP="00B104C4">
      <w:pPr>
        <w:rPr>
          <w:rFonts w:eastAsia="Arial Unicode MS"/>
        </w:rPr>
      </w:pPr>
      <w:r w:rsidRPr="00B104C4">
        <w:rPr>
          <w:rFonts w:eastAsia="Arial Unicode MS"/>
        </w:rPr>
        <w:t>This appropriation is intended to provide for timely and appropriate payments to be made to eligible parties (including eligible health service providers and consumers) and contracts to be audited and processed efficiently and effectively.</w:t>
      </w:r>
    </w:p>
    <w:p w14:paraId="2FE78B75" w14:textId="06916D71" w:rsidR="00BD4046" w:rsidRDefault="00B104C4" w:rsidP="00B104C4">
      <w:pPr>
        <w:pStyle w:val="Heading4"/>
      </w:pPr>
      <w:r w:rsidRPr="00B104C4">
        <w:t>Performance assessment</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170"/>
      </w:tblGrid>
      <w:tr w:rsidR="00B104C4" w:rsidRPr="00950725" w14:paraId="6D5C87F4" w14:textId="77777777" w:rsidTr="00FE6758">
        <w:trPr>
          <w:trHeight w:val="496"/>
          <w:tblHeader/>
        </w:trPr>
        <w:tc>
          <w:tcPr>
            <w:tcW w:w="3686" w:type="dxa"/>
            <w:tcBorders>
              <w:top w:val="nil"/>
              <w:bottom w:val="nil"/>
            </w:tcBorders>
            <w:shd w:val="clear" w:color="auto" w:fill="D9D9D9" w:themeFill="background1" w:themeFillShade="D9"/>
          </w:tcPr>
          <w:p w14:paraId="22E8E21C" w14:textId="21612E28" w:rsidR="00B104C4" w:rsidRPr="00950725" w:rsidRDefault="006A19AA" w:rsidP="00FE6758">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5B372017" w14:textId="77777777" w:rsidR="00B104C4" w:rsidRPr="00950725" w:rsidRDefault="00B104C4" w:rsidP="00FE6758">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6CD6FCFA" w14:textId="77777777" w:rsidR="00B104C4" w:rsidRPr="00950725" w:rsidRDefault="00B104C4" w:rsidP="00FE6758">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27DF91CB" w14:textId="32E7F585" w:rsidR="00B104C4" w:rsidRPr="00950725" w:rsidRDefault="00B104C4" w:rsidP="00975ED6">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46E8D5BD" w14:textId="77777777" w:rsidR="00B104C4" w:rsidRPr="00950725" w:rsidRDefault="00B104C4" w:rsidP="00FE6758">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B104C4" w14:paraId="7C582E2F" w14:textId="77777777" w:rsidTr="00FE6758">
        <w:trPr>
          <w:trHeight w:val="344"/>
          <w:tblHeader/>
        </w:trPr>
        <w:tc>
          <w:tcPr>
            <w:tcW w:w="3686" w:type="dxa"/>
            <w:tcBorders>
              <w:top w:val="nil"/>
              <w:bottom w:val="nil"/>
            </w:tcBorders>
            <w:shd w:val="clear" w:color="auto" w:fill="D9D9D9" w:themeFill="background1" w:themeFillShade="D9"/>
          </w:tcPr>
          <w:p w14:paraId="11D882BF" w14:textId="77777777" w:rsidR="00B104C4" w:rsidRDefault="00B104C4" w:rsidP="00FE6758">
            <w:pPr>
              <w:pStyle w:val="TableText"/>
              <w:spacing w:after="0"/>
              <w:rPr>
                <w:w w:val="105"/>
              </w:rPr>
            </w:pPr>
          </w:p>
        </w:tc>
        <w:tc>
          <w:tcPr>
            <w:tcW w:w="1169" w:type="dxa"/>
            <w:tcBorders>
              <w:top w:val="nil"/>
              <w:bottom w:val="nil"/>
            </w:tcBorders>
            <w:shd w:val="clear" w:color="auto" w:fill="D9D9D9" w:themeFill="background1" w:themeFillShade="D9"/>
          </w:tcPr>
          <w:p w14:paraId="3A1C8A77" w14:textId="77777777" w:rsidR="00B104C4" w:rsidRDefault="00B104C4"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73F8D018" w14:textId="77777777" w:rsidR="00B104C4" w:rsidRDefault="00B104C4" w:rsidP="00FE6758">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2B5412E5" w14:textId="77777777" w:rsidR="00B104C4" w:rsidRDefault="00B104C4"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53659D81" w14:textId="77777777" w:rsidR="00B104C4" w:rsidRDefault="00B104C4" w:rsidP="00FE6758">
            <w:pPr>
              <w:pStyle w:val="TableText"/>
              <w:jc w:val="right"/>
              <w:rPr>
                <w:rFonts w:ascii="Times New Roman"/>
              </w:rPr>
            </w:pPr>
          </w:p>
        </w:tc>
      </w:tr>
      <w:tr w:rsidR="00B104C4" w:rsidRPr="00950725" w14:paraId="32191082" w14:textId="77777777" w:rsidTr="00FE6758">
        <w:trPr>
          <w:trHeight w:val="344"/>
        </w:trPr>
        <w:tc>
          <w:tcPr>
            <w:tcW w:w="3686" w:type="dxa"/>
            <w:tcBorders>
              <w:top w:val="nil"/>
            </w:tcBorders>
          </w:tcPr>
          <w:p w14:paraId="5DF0B67C" w14:textId="72D3FBA4" w:rsidR="00B104C4" w:rsidRPr="00950725" w:rsidRDefault="00B104C4" w:rsidP="00B104C4">
            <w:pPr>
              <w:pStyle w:val="TableText"/>
              <w:rPr>
                <w:b/>
                <w:bCs/>
              </w:rPr>
            </w:pPr>
            <w:r w:rsidRPr="00581718">
              <w:t>The percentage of claims paid on time</w:t>
            </w:r>
          </w:p>
        </w:tc>
        <w:tc>
          <w:tcPr>
            <w:tcW w:w="1169" w:type="dxa"/>
            <w:tcBorders>
              <w:top w:val="nil"/>
            </w:tcBorders>
          </w:tcPr>
          <w:p w14:paraId="7695A529" w14:textId="6A83C1AF" w:rsidR="00B104C4" w:rsidRPr="00950725" w:rsidRDefault="00B104C4" w:rsidP="00B104C4">
            <w:pPr>
              <w:pStyle w:val="TableText"/>
              <w:jc w:val="right"/>
              <w:rPr>
                <w:rFonts w:ascii="Times New Roman"/>
                <w:b/>
                <w:bCs/>
              </w:rPr>
            </w:pPr>
            <w:r w:rsidRPr="00102C9D">
              <w:t>99.9%</w:t>
            </w:r>
          </w:p>
        </w:tc>
        <w:tc>
          <w:tcPr>
            <w:tcW w:w="1170" w:type="dxa"/>
            <w:tcBorders>
              <w:top w:val="nil"/>
            </w:tcBorders>
          </w:tcPr>
          <w:p w14:paraId="65EE083C" w14:textId="2F969010" w:rsidR="00B104C4" w:rsidRPr="00950725" w:rsidRDefault="00B104C4" w:rsidP="00B104C4">
            <w:pPr>
              <w:pStyle w:val="TableText"/>
              <w:jc w:val="right"/>
              <w:rPr>
                <w:rFonts w:ascii="Times New Roman"/>
                <w:b/>
                <w:bCs/>
              </w:rPr>
            </w:pPr>
            <w:r w:rsidRPr="00102C9D">
              <w:t>98%</w:t>
            </w:r>
          </w:p>
        </w:tc>
        <w:tc>
          <w:tcPr>
            <w:tcW w:w="1169" w:type="dxa"/>
            <w:tcBorders>
              <w:top w:val="nil"/>
            </w:tcBorders>
          </w:tcPr>
          <w:p w14:paraId="77BEC6D3" w14:textId="26D33F63" w:rsidR="00B104C4" w:rsidRPr="00950725" w:rsidRDefault="00B104C4" w:rsidP="00B104C4">
            <w:pPr>
              <w:pStyle w:val="TableText"/>
              <w:jc w:val="right"/>
              <w:rPr>
                <w:rFonts w:ascii="Times New Roman"/>
                <w:b/>
                <w:bCs/>
              </w:rPr>
            </w:pPr>
            <w:r w:rsidRPr="00102C9D">
              <w:t>99.7%</w:t>
            </w:r>
          </w:p>
        </w:tc>
        <w:tc>
          <w:tcPr>
            <w:tcW w:w="1170" w:type="dxa"/>
            <w:tcBorders>
              <w:top w:val="nil"/>
            </w:tcBorders>
          </w:tcPr>
          <w:p w14:paraId="6CDE9578" w14:textId="77777777" w:rsidR="00B104C4" w:rsidRPr="00BD4046" w:rsidRDefault="00B104C4" w:rsidP="00B104C4">
            <w:pPr>
              <w:pStyle w:val="TableText"/>
              <w:jc w:val="right"/>
              <w:rPr>
                <w:rFonts w:ascii="Times New Roman"/>
                <w:b/>
                <w:bCs/>
              </w:rPr>
            </w:pPr>
            <w:r w:rsidRPr="00BD4046">
              <w:rPr>
                <w:b/>
                <w:bCs/>
              </w:rPr>
              <w:sym w:font="Wingdings" w:char="F0FC"/>
            </w:r>
          </w:p>
        </w:tc>
      </w:tr>
      <w:tr w:rsidR="00B104C4" w14:paraId="6CC3C1BE" w14:textId="77777777" w:rsidTr="00FE6758">
        <w:trPr>
          <w:trHeight w:val="77"/>
        </w:trPr>
        <w:tc>
          <w:tcPr>
            <w:tcW w:w="3686" w:type="dxa"/>
          </w:tcPr>
          <w:p w14:paraId="069B2512" w14:textId="7520D557" w:rsidR="00B104C4" w:rsidRDefault="00B104C4" w:rsidP="00B104C4">
            <w:pPr>
              <w:pStyle w:val="TableText"/>
            </w:pPr>
            <w:r w:rsidRPr="00581718">
              <w:t>The percentage of claims processed accurately</w:t>
            </w:r>
          </w:p>
        </w:tc>
        <w:tc>
          <w:tcPr>
            <w:tcW w:w="1169" w:type="dxa"/>
          </w:tcPr>
          <w:p w14:paraId="08E9CEDA" w14:textId="007FF270" w:rsidR="00B104C4" w:rsidRDefault="00B104C4" w:rsidP="00B104C4">
            <w:pPr>
              <w:pStyle w:val="TableText"/>
              <w:jc w:val="right"/>
            </w:pPr>
            <w:r w:rsidRPr="00102C9D">
              <w:t>95.3%</w:t>
            </w:r>
          </w:p>
        </w:tc>
        <w:tc>
          <w:tcPr>
            <w:tcW w:w="1170" w:type="dxa"/>
          </w:tcPr>
          <w:p w14:paraId="0CB1343A" w14:textId="3C84141D" w:rsidR="00B104C4" w:rsidRDefault="00B104C4" w:rsidP="00B104C4">
            <w:pPr>
              <w:pStyle w:val="TableText"/>
              <w:jc w:val="right"/>
            </w:pPr>
            <w:r w:rsidRPr="00102C9D">
              <w:t>95%</w:t>
            </w:r>
          </w:p>
        </w:tc>
        <w:tc>
          <w:tcPr>
            <w:tcW w:w="1169" w:type="dxa"/>
          </w:tcPr>
          <w:p w14:paraId="052D3CF0" w14:textId="6FBF983C" w:rsidR="00B104C4" w:rsidRDefault="00B104C4" w:rsidP="00B104C4">
            <w:pPr>
              <w:pStyle w:val="TableText"/>
              <w:jc w:val="right"/>
            </w:pPr>
            <w:r w:rsidRPr="00102C9D">
              <w:t>100%</w:t>
            </w:r>
          </w:p>
        </w:tc>
        <w:tc>
          <w:tcPr>
            <w:tcW w:w="1170" w:type="dxa"/>
          </w:tcPr>
          <w:p w14:paraId="33876894" w14:textId="7D02F875" w:rsidR="00B104C4" w:rsidRPr="00BD4046" w:rsidRDefault="00B104C4" w:rsidP="00B104C4">
            <w:pPr>
              <w:pStyle w:val="TableText"/>
              <w:jc w:val="right"/>
              <w:rPr>
                <w:rFonts w:cs="Segoe UI"/>
                <w:sz w:val="28"/>
              </w:rPr>
            </w:pPr>
            <w:r w:rsidRPr="00BD4046">
              <w:rPr>
                <w:b/>
                <w:bCs/>
              </w:rPr>
              <w:sym w:font="Wingdings" w:char="F0FC"/>
            </w:r>
          </w:p>
        </w:tc>
      </w:tr>
      <w:tr w:rsidR="00B104C4" w14:paraId="57CC190C" w14:textId="77777777" w:rsidTr="00FE6758">
        <w:trPr>
          <w:trHeight w:val="578"/>
        </w:trPr>
        <w:tc>
          <w:tcPr>
            <w:tcW w:w="3686" w:type="dxa"/>
          </w:tcPr>
          <w:p w14:paraId="2CEC76E8" w14:textId="6E478CCE" w:rsidR="00B104C4" w:rsidRDefault="00B104C4" w:rsidP="00B104C4">
            <w:pPr>
              <w:pStyle w:val="TableText"/>
            </w:pPr>
            <w:r w:rsidRPr="00581718">
              <w:t>The percentage of all draft agreements prepared for funders within target timeframes (Note 1)</w:t>
            </w:r>
          </w:p>
        </w:tc>
        <w:tc>
          <w:tcPr>
            <w:tcW w:w="1169" w:type="dxa"/>
          </w:tcPr>
          <w:p w14:paraId="069A76E1" w14:textId="4CC0C2A1" w:rsidR="00B104C4" w:rsidRDefault="00B104C4" w:rsidP="00B104C4">
            <w:pPr>
              <w:pStyle w:val="TableText"/>
              <w:jc w:val="right"/>
            </w:pPr>
            <w:r w:rsidRPr="00102C9D">
              <w:t>84.9%</w:t>
            </w:r>
          </w:p>
        </w:tc>
        <w:tc>
          <w:tcPr>
            <w:tcW w:w="1170" w:type="dxa"/>
          </w:tcPr>
          <w:p w14:paraId="6ECF4BFC" w14:textId="445EF5E3" w:rsidR="00B104C4" w:rsidRDefault="00B104C4" w:rsidP="00B104C4">
            <w:pPr>
              <w:pStyle w:val="TableText"/>
              <w:jc w:val="right"/>
            </w:pPr>
            <w:r w:rsidRPr="00102C9D">
              <w:t>95%</w:t>
            </w:r>
          </w:p>
        </w:tc>
        <w:tc>
          <w:tcPr>
            <w:tcW w:w="1169" w:type="dxa"/>
          </w:tcPr>
          <w:p w14:paraId="21A2EFDF" w14:textId="04C4A20A" w:rsidR="00B104C4" w:rsidRDefault="00B104C4" w:rsidP="00B104C4">
            <w:pPr>
              <w:pStyle w:val="TableText"/>
              <w:jc w:val="right"/>
            </w:pPr>
            <w:r w:rsidRPr="00102C9D">
              <w:t>77.4%</w:t>
            </w:r>
          </w:p>
        </w:tc>
        <w:tc>
          <w:tcPr>
            <w:tcW w:w="1170" w:type="dxa"/>
          </w:tcPr>
          <w:p w14:paraId="02D8F217" w14:textId="4251E07A" w:rsidR="00B104C4" w:rsidRPr="00BD4046" w:rsidRDefault="00B104C4" w:rsidP="00B104C4">
            <w:pPr>
              <w:pStyle w:val="TableText"/>
              <w:jc w:val="right"/>
              <w:rPr>
                <w:rFonts w:ascii="Franklin Gothic Heavy" w:hAnsi="Franklin Gothic Heavy"/>
                <w:b/>
                <w:bCs/>
                <w:sz w:val="28"/>
              </w:rPr>
            </w:pPr>
            <w:r w:rsidRPr="00BD4046">
              <w:rPr>
                <w:rFonts w:cs="Segoe UI"/>
                <w:sz w:val="24"/>
                <w:szCs w:val="18"/>
              </w:rPr>
              <w:sym w:font="Wingdings" w:char="F0FB"/>
            </w:r>
          </w:p>
        </w:tc>
      </w:tr>
      <w:tr w:rsidR="00B104C4" w14:paraId="1DFF86F2" w14:textId="77777777" w:rsidTr="00FE6758">
        <w:trPr>
          <w:trHeight w:val="578"/>
        </w:trPr>
        <w:tc>
          <w:tcPr>
            <w:tcW w:w="3686" w:type="dxa"/>
          </w:tcPr>
          <w:p w14:paraId="3B1BB4D1" w14:textId="49F1B2DF" w:rsidR="00B104C4" w:rsidRPr="00B85ED5" w:rsidRDefault="00B104C4" w:rsidP="00B104C4">
            <w:pPr>
              <w:pStyle w:val="TableText"/>
            </w:pPr>
            <w:r w:rsidRPr="00581718">
              <w:t>The percentage of agreements prepared accurately</w:t>
            </w:r>
          </w:p>
        </w:tc>
        <w:tc>
          <w:tcPr>
            <w:tcW w:w="1169" w:type="dxa"/>
          </w:tcPr>
          <w:p w14:paraId="30F48BD5" w14:textId="0688FA9B" w:rsidR="00B104C4" w:rsidRPr="00B85ED5" w:rsidRDefault="00B104C4" w:rsidP="00B104C4">
            <w:pPr>
              <w:pStyle w:val="TableText"/>
              <w:jc w:val="right"/>
            </w:pPr>
            <w:r w:rsidRPr="00102C9D">
              <w:t>100%</w:t>
            </w:r>
          </w:p>
        </w:tc>
        <w:tc>
          <w:tcPr>
            <w:tcW w:w="1170" w:type="dxa"/>
          </w:tcPr>
          <w:p w14:paraId="30A53AB4" w14:textId="5002BCC9" w:rsidR="00B104C4" w:rsidRPr="00B85ED5" w:rsidRDefault="00B104C4" w:rsidP="00B104C4">
            <w:pPr>
              <w:pStyle w:val="TableText"/>
              <w:jc w:val="right"/>
            </w:pPr>
            <w:r w:rsidRPr="00102C9D">
              <w:t>95%</w:t>
            </w:r>
          </w:p>
        </w:tc>
        <w:tc>
          <w:tcPr>
            <w:tcW w:w="1169" w:type="dxa"/>
          </w:tcPr>
          <w:p w14:paraId="4DC9DA71" w14:textId="141158DE" w:rsidR="00B104C4" w:rsidRPr="00B85ED5" w:rsidRDefault="00B104C4" w:rsidP="00B104C4">
            <w:pPr>
              <w:pStyle w:val="TableText"/>
              <w:jc w:val="right"/>
            </w:pPr>
            <w:r w:rsidRPr="00102C9D">
              <w:t>100%</w:t>
            </w:r>
          </w:p>
        </w:tc>
        <w:tc>
          <w:tcPr>
            <w:tcW w:w="1170" w:type="dxa"/>
          </w:tcPr>
          <w:p w14:paraId="53CDECBA" w14:textId="5BB9EA12" w:rsidR="00B104C4" w:rsidRPr="00B104C4" w:rsidRDefault="00B104C4" w:rsidP="00B104C4">
            <w:pPr>
              <w:pStyle w:val="TableText"/>
              <w:jc w:val="right"/>
              <w:rPr>
                <w:b/>
                <w:bCs/>
              </w:rPr>
            </w:pPr>
            <w:r w:rsidRPr="00BD4046">
              <w:rPr>
                <w:b/>
                <w:bCs/>
              </w:rPr>
              <w:sym w:font="Wingdings" w:char="F0FC"/>
            </w:r>
          </w:p>
        </w:tc>
      </w:tr>
      <w:tr w:rsidR="00B104C4" w14:paraId="6623F6C4" w14:textId="77777777" w:rsidTr="00FE6758">
        <w:trPr>
          <w:trHeight w:val="578"/>
        </w:trPr>
        <w:tc>
          <w:tcPr>
            <w:tcW w:w="3686" w:type="dxa"/>
          </w:tcPr>
          <w:p w14:paraId="5B2B581C" w14:textId="5867EE8D" w:rsidR="00B104C4" w:rsidRPr="00B85ED5" w:rsidRDefault="00B104C4" w:rsidP="00B104C4">
            <w:pPr>
              <w:pStyle w:val="TableText"/>
            </w:pPr>
            <w:r w:rsidRPr="00581718">
              <w:t>The percentage of calls to contact centre answered within service specifications for timeliness (20 seconds) (Note 2)</w:t>
            </w:r>
          </w:p>
        </w:tc>
        <w:tc>
          <w:tcPr>
            <w:tcW w:w="1169" w:type="dxa"/>
          </w:tcPr>
          <w:p w14:paraId="28E00284" w14:textId="788AFB10" w:rsidR="00B104C4" w:rsidRPr="00B85ED5" w:rsidRDefault="00B104C4" w:rsidP="00B104C4">
            <w:pPr>
              <w:pStyle w:val="TableText"/>
              <w:jc w:val="right"/>
            </w:pPr>
            <w:r w:rsidRPr="00102C9D">
              <w:t>72.7%</w:t>
            </w:r>
          </w:p>
        </w:tc>
        <w:tc>
          <w:tcPr>
            <w:tcW w:w="1170" w:type="dxa"/>
          </w:tcPr>
          <w:p w14:paraId="34CD3B59" w14:textId="06CE7A6B" w:rsidR="00B104C4" w:rsidRPr="00B85ED5" w:rsidRDefault="00B104C4" w:rsidP="00B104C4">
            <w:pPr>
              <w:pStyle w:val="TableText"/>
              <w:jc w:val="right"/>
            </w:pPr>
            <w:r w:rsidRPr="00102C9D">
              <w:t>80%</w:t>
            </w:r>
          </w:p>
        </w:tc>
        <w:tc>
          <w:tcPr>
            <w:tcW w:w="1169" w:type="dxa"/>
          </w:tcPr>
          <w:p w14:paraId="406AA46B" w14:textId="3A3B1A09" w:rsidR="00B104C4" w:rsidRPr="00B85ED5" w:rsidRDefault="00B104C4" w:rsidP="00B104C4">
            <w:pPr>
              <w:pStyle w:val="TableText"/>
              <w:jc w:val="right"/>
            </w:pPr>
            <w:r w:rsidRPr="00102C9D">
              <w:t>28.2%</w:t>
            </w:r>
          </w:p>
        </w:tc>
        <w:tc>
          <w:tcPr>
            <w:tcW w:w="1170" w:type="dxa"/>
          </w:tcPr>
          <w:p w14:paraId="5632639A" w14:textId="23FE39F4" w:rsidR="00B104C4" w:rsidRPr="00B104C4" w:rsidRDefault="00B104C4" w:rsidP="00B104C4">
            <w:pPr>
              <w:pStyle w:val="TableText"/>
              <w:jc w:val="right"/>
              <w:rPr>
                <w:b/>
                <w:bCs/>
              </w:rPr>
            </w:pPr>
            <w:r w:rsidRPr="00277010">
              <w:rPr>
                <w:rFonts w:cs="Segoe UI"/>
                <w:sz w:val="24"/>
                <w:szCs w:val="18"/>
              </w:rPr>
              <w:sym w:font="Wingdings" w:char="F0FB"/>
            </w:r>
          </w:p>
        </w:tc>
      </w:tr>
      <w:tr w:rsidR="00B104C4" w14:paraId="6D58ABF5" w14:textId="77777777" w:rsidTr="00FE6758">
        <w:trPr>
          <w:trHeight w:val="578"/>
        </w:trPr>
        <w:tc>
          <w:tcPr>
            <w:tcW w:w="3686" w:type="dxa"/>
          </w:tcPr>
          <w:p w14:paraId="4EAFD5B0" w14:textId="26377363" w:rsidR="00B104C4" w:rsidRPr="00B85ED5" w:rsidRDefault="00B104C4" w:rsidP="00B104C4">
            <w:pPr>
              <w:pStyle w:val="TableText"/>
            </w:pPr>
            <w:r w:rsidRPr="00581718">
              <w:t>The percentage of calls abandoned by callers prior to being answered by the contact centre is less than (Note 3)</w:t>
            </w:r>
          </w:p>
        </w:tc>
        <w:tc>
          <w:tcPr>
            <w:tcW w:w="1169" w:type="dxa"/>
          </w:tcPr>
          <w:p w14:paraId="4AA59BC0" w14:textId="0862A9D5" w:rsidR="00B104C4" w:rsidRPr="00B85ED5" w:rsidRDefault="00B104C4" w:rsidP="00B104C4">
            <w:pPr>
              <w:pStyle w:val="TableText"/>
              <w:jc w:val="right"/>
            </w:pPr>
            <w:r w:rsidRPr="00102C9D">
              <w:t>4.5%</w:t>
            </w:r>
          </w:p>
        </w:tc>
        <w:tc>
          <w:tcPr>
            <w:tcW w:w="1170" w:type="dxa"/>
          </w:tcPr>
          <w:p w14:paraId="4E54F448" w14:textId="4C1A0CB2" w:rsidR="00B104C4" w:rsidRPr="00B85ED5" w:rsidRDefault="00B104C4" w:rsidP="00B104C4">
            <w:pPr>
              <w:pStyle w:val="TableText"/>
              <w:jc w:val="right"/>
            </w:pPr>
            <w:r w:rsidRPr="00102C9D">
              <w:t>5%</w:t>
            </w:r>
          </w:p>
        </w:tc>
        <w:tc>
          <w:tcPr>
            <w:tcW w:w="1169" w:type="dxa"/>
          </w:tcPr>
          <w:p w14:paraId="2C2C5EB3" w14:textId="1E65EAF9" w:rsidR="00B104C4" w:rsidRPr="00B85ED5" w:rsidRDefault="00B104C4" w:rsidP="00B104C4">
            <w:pPr>
              <w:pStyle w:val="TableText"/>
              <w:jc w:val="right"/>
            </w:pPr>
            <w:r w:rsidRPr="00102C9D">
              <w:t>16.2%</w:t>
            </w:r>
          </w:p>
        </w:tc>
        <w:tc>
          <w:tcPr>
            <w:tcW w:w="1170" w:type="dxa"/>
          </w:tcPr>
          <w:p w14:paraId="3D39CC20" w14:textId="6B020B06" w:rsidR="00B104C4" w:rsidRPr="00B104C4" w:rsidRDefault="00B104C4" w:rsidP="00B104C4">
            <w:pPr>
              <w:pStyle w:val="TableText"/>
              <w:jc w:val="right"/>
              <w:rPr>
                <w:b/>
                <w:bCs/>
              </w:rPr>
            </w:pPr>
            <w:r w:rsidRPr="00277010">
              <w:rPr>
                <w:rFonts w:cs="Segoe UI"/>
                <w:sz w:val="24"/>
                <w:szCs w:val="18"/>
              </w:rPr>
              <w:sym w:font="Wingdings" w:char="F0FB"/>
            </w:r>
          </w:p>
        </w:tc>
      </w:tr>
      <w:tr w:rsidR="00B104C4" w14:paraId="67813217" w14:textId="77777777" w:rsidTr="00FE6758">
        <w:trPr>
          <w:trHeight w:val="578"/>
        </w:trPr>
        <w:tc>
          <w:tcPr>
            <w:tcW w:w="3686" w:type="dxa"/>
          </w:tcPr>
          <w:p w14:paraId="7BEE621A" w14:textId="3852607A" w:rsidR="00B104C4" w:rsidRPr="00B85ED5" w:rsidRDefault="00B104C4" w:rsidP="00B104C4">
            <w:pPr>
              <w:pStyle w:val="TableText"/>
            </w:pPr>
            <w:r w:rsidRPr="00581718">
              <w:t>The percentage of enquiries resolved within 10 working days (Note 4)</w:t>
            </w:r>
          </w:p>
        </w:tc>
        <w:tc>
          <w:tcPr>
            <w:tcW w:w="1169" w:type="dxa"/>
          </w:tcPr>
          <w:p w14:paraId="03366C65" w14:textId="46F411EC" w:rsidR="00B104C4" w:rsidRPr="00B85ED5" w:rsidRDefault="00B104C4" w:rsidP="00B104C4">
            <w:pPr>
              <w:pStyle w:val="TableText"/>
              <w:jc w:val="right"/>
            </w:pPr>
            <w:r w:rsidRPr="00102C9D">
              <w:t>93%</w:t>
            </w:r>
          </w:p>
        </w:tc>
        <w:tc>
          <w:tcPr>
            <w:tcW w:w="1170" w:type="dxa"/>
          </w:tcPr>
          <w:p w14:paraId="59E9165D" w14:textId="1C605ECE" w:rsidR="00B104C4" w:rsidRPr="00B85ED5" w:rsidRDefault="00B104C4" w:rsidP="00B104C4">
            <w:pPr>
              <w:pStyle w:val="TableText"/>
              <w:jc w:val="right"/>
            </w:pPr>
            <w:r w:rsidRPr="00102C9D">
              <w:t>95%</w:t>
            </w:r>
          </w:p>
        </w:tc>
        <w:tc>
          <w:tcPr>
            <w:tcW w:w="1169" w:type="dxa"/>
          </w:tcPr>
          <w:p w14:paraId="5E0BC60D" w14:textId="3821D708" w:rsidR="00B104C4" w:rsidRPr="00B85ED5" w:rsidRDefault="00B104C4" w:rsidP="00B104C4">
            <w:pPr>
              <w:pStyle w:val="TableText"/>
              <w:jc w:val="right"/>
            </w:pPr>
            <w:r w:rsidRPr="00102C9D">
              <w:t>89.4%</w:t>
            </w:r>
          </w:p>
        </w:tc>
        <w:tc>
          <w:tcPr>
            <w:tcW w:w="1170" w:type="dxa"/>
          </w:tcPr>
          <w:p w14:paraId="04B9D085" w14:textId="486DC6A9" w:rsidR="00B104C4" w:rsidRPr="00B104C4" w:rsidRDefault="00B104C4" w:rsidP="00B104C4">
            <w:pPr>
              <w:pStyle w:val="TableText"/>
              <w:jc w:val="right"/>
              <w:rPr>
                <w:b/>
                <w:bCs/>
              </w:rPr>
            </w:pPr>
            <w:r w:rsidRPr="00277010">
              <w:rPr>
                <w:rFonts w:cs="Segoe UI"/>
                <w:sz w:val="24"/>
                <w:szCs w:val="18"/>
              </w:rPr>
              <w:sym w:font="Wingdings" w:char="F0FB"/>
            </w:r>
          </w:p>
        </w:tc>
      </w:tr>
      <w:tr w:rsidR="00B104C4" w14:paraId="66C402D0" w14:textId="77777777" w:rsidTr="00FE6758">
        <w:trPr>
          <w:trHeight w:val="578"/>
        </w:trPr>
        <w:tc>
          <w:tcPr>
            <w:tcW w:w="3686" w:type="dxa"/>
          </w:tcPr>
          <w:p w14:paraId="04219968" w14:textId="4B4BF50C" w:rsidR="00B104C4" w:rsidRPr="00B85ED5" w:rsidRDefault="00B104C4" w:rsidP="00B104C4">
            <w:pPr>
              <w:pStyle w:val="TableText"/>
            </w:pPr>
            <w:r w:rsidRPr="00581718">
              <w:t>Ratio of financial value of identified recoverable losses from audit and compliance activities against operational costs (Note 5)</w:t>
            </w:r>
          </w:p>
        </w:tc>
        <w:tc>
          <w:tcPr>
            <w:tcW w:w="1169" w:type="dxa"/>
          </w:tcPr>
          <w:p w14:paraId="1806D38C" w14:textId="054331B7" w:rsidR="00B104C4" w:rsidRPr="00B85ED5" w:rsidRDefault="00B104C4" w:rsidP="00B104C4">
            <w:pPr>
              <w:pStyle w:val="TableText"/>
              <w:jc w:val="right"/>
            </w:pPr>
            <w:r w:rsidRPr="00102C9D">
              <w:t>New measure</w:t>
            </w:r>
          </w:p>
        </w:tc>
        <w:tc>
          <w:tcPr>
            <w:tcW w:w="1170" w:type="dxa"/>
          </w:tcPr>
          <w:p w14:paraId="58EE4E24" w14:textId="7DD6EADB" w:rsidR="00B104C4" w:rsidRPr="00B85ED5" w:rsidRDefault="00B104C4" w:rsidP="00B104C4">
            <w:pPr>
              <w:pStyle w:val="TableText"/>
              <w:jc w:val="right"/>
            </w:pPr>
            <w:r w:rsidRPr="00102C9D">
              <w:t>1.8:1</w:t>
            </w:r>
          </w:p>
        </w:tc>
        <w:tc>
          <w:tcPr>
            <w:tcW w:w="1169" w:type="dxa"/>
          </w:tcPr>
          <w:p w14:paraId="4938A254" w14:textId="38FCC84C" w:rsidR="00B104C4" w:rsidRPr="00B85ED5" w:rsidRDefault="00B104C4" w:rsidP="00B104C4">
            <w:pPr>
              <w:pStyle w:val="TableText"/>
              <w:jc w:val="right"/>
            </w:pPr>
            <w:r w:rsidRPr="00102C9D">
              <w:t>1.6:1</w:t>
            </w:r>
          </w:p>
        </w:tc>
        <w:tc>
          <w:tcPr>
            <w:tcW w:w="1170" w:type="dxa"/>
          </w:tcPr>
          <w:p w14:paraId="1CB855E5" w14:textId="366B275F" w:rsidR="00B104C4" w:rsidRPr="00B104C4" w:rsidRDefault="00B104C4" w:rsidP="00B104C4">
            <w:pPr>
              <w:pStyle w:val="TableText"/>
              <w:jc w:val="right"/>
              <w:rPr>
                <w:b/>
                <w:bCs/>
              </w:rPr>
            </w:pPr>
            <w:r w:rsidRPr="00277010">
              <w:rPr>
                <w:rFonts w:cs="Segoe UI"/>
                <w:sz w:val="24"/>
                <w:szCs w:val="18"/>
              </w:rPr>
              <w:sym w:font="Wingdings" w:char="F0FB"/>
            </w:r>
          </w:p>
        </w:tc>
      </w:tr>
      <w:tr w:rsidR="00B104C4" w14:paraId="1C2CFBB3" w14:textId="77777777" w:rsidTr="00FE6758">
        <w:trPr>
          <w:trHeight w:val="578"/>
        </w:trPr>
        <w:tc>
          <w:tcPr>
            <w:tcW w:w="3686" w:type="dxa"/>
          </w:tcPr>
          <w:p w14:paraId="48F434B0" w14:textId="3C04A733" w:rsidR="00B104C4" w:rsidRPr="00B85ED5" w:rsidRDefault="00B104C4" w:rsidP="00B104C4">
            <w:pPr>
              <w:pStyle w:val="TableText"/>
            </w:pPr>
            <w:r w:rsidRPr="00581718">
              <w:t>Ratio of financial value of averted losses from audit and compliance activities to operational costs (Note 5)</w:t>
            </w:r>
          </w:p>
        </w:tc>
        <w:tc>
          <w:tcPr>
            <w:tcW w:w="1169" w:type="dxa"/>
          </w:tcPr>
          <w:p w14:paraId="5B9610E3" w14:textId="549CE573" w:rsidR="00B104C4" w:rsidRPr="00B85ED5" w:rsidRDefault="00B104C4" w:rsidP="00B104C4">
            <w:pPr>
              <w:pStyle w:val="TableText"/>
              <w:jc w:val="right"/>
            </w:pPr>
            <w:r w:rsidRPr="00102C9D">
              <w:t>New measure</w:t>
            </w:r>
          </w:p>
        </w:tc>
        <w:tc>
          <w:tcPr>
            <w:tcW w:w="1170" w:type="dxa"/>
          </w:tcPr>
          <w:p w14:paraId="2712C336" w14:textId="221B3E74" w:rsidR="00B104C4" w:rsidRPr="00B85ED5" w:rsidRDefault="00B104C4" w:rsidP="00B104C4">
            <w:pPr>
              <w:pStyle w:val="TableText"/>
              <w:jc w:val="right"/>
            </w:pPr>
            <w:r w:rsidRPr="00102C9D">
              <w:t>4:1</w:t>
            </w:r>
          </w:p>
        </w:tc>
        <w:tc>
          <w:tcPr>
            <w:tcW w:w="1169" w:type="dxa"/>
          </w:tcPr>
          <w:p w14:paraId="15D7B3EE" w14:textId="0A379B2C" w:rsidR="00B104C4" w:rsidRPr="00B85ED5" w:rsidRDefault="00B104C4" w:rsidP="00B104C4">
            <w:pPr>
              <w:pStyle w:val="TableText"/>
              <w:jc w:val="right"/>
            </w:pPr>
            <w:r w:rsidRPr="00102C9D">
              <w:t>3.9:1</w:t>
            </w:r>
          </w:p>
        </w:tc>
        <w:tc>
          <w:tcPr>
            <w:tcW w:w="1170" w:type="dxa"/>
          </w:tcPr>
          <w:p w14:paraId="0F1E659D" w14:textId="47D24985" w:rsidR="00B104C4" w:rsidRPr="00B104C4" w:rsidRDefault="00B104C4" w:rsidP="00B104C4">
            <w:pPr>
              <w:pStyle w:val="TableText"/>
              <w:jc w:val="right"/>
              <w:rPr>
                <w:b/>
                <w:bCs/>
              </w:rPr>
            </w:pPr>
            <w:r w:rsidRPr="00277010">
              <w:rPr>
                <w:rFonts w:cs="Segoe UI"/>
                <w:sz w:val="24"/>
                <w:szCs w:val="18"/>
              </w:rPr>
              <w:sym w:font="Wingdings" w:char="F0FB"/>
            </w:r>
          </w:p>
        </w:tc>
      </w:tr>
    </w:tbl>
    <w:p w14:paraId="419B5F0B" w14:textId="77777777" w:rsidR="00A900A4" w:rsidRPr="00A900A4" w:rsidRDefault="00A900A4" w:rsidP="00A900A4">
      <w:pPr>
        <w:pStyle w:val="Note"/>
        <w:rPr>
          <w:rFonts w:eastAsia="Arial Unicode MS"/>
        </w:rPr>
      </w:pPr>
      <w:r w:rsidRPr="00A900A4">
        <w:rPr>
          <w:rFonts w:eastAsia="Arial Unicode MS"/>
        </w:rPr>
        <w:t>Note 1: High volume of activity and unforeseen challenges, along with the transition to the Te Whatu Ora | Health New Zealand, have impacted the processing capacity. The health sector reforms and the establishment of the new funding entities has created a more complex contracting environment for FY 21/22. Sector Operations has played a central role in supporting the new organisations, which has led to a significant increase in the time spent assisting funders on how to contract as new funder/commissioners rather than simply drafting agreements.</w:t>
      </w:r>
    </w:p>
    <w:p w14:paraId="2D6BF46F" w14:textId="2E1B52AE" w:rsidR="00A900A4" w:rsidRPr="00A900A4" w:rsidRDefault="00A900A4" w:rsidP="00A900A4">
      <w:pPr>
        <w:pStyle w:val="Note"/>
        <w:rPr>
          <w:rFonts w:eastAsia="Arial Unicode MS"/>
        </w:rPr>
      </w:pPr>
      <w:r w:rsidRPr="00A900A4">
        <w:rPr>
          <w:rFonts w:eastAsia="Arial Unicode MS"/>
        </w:rPr>
        <w:t>Note 2: Call volumes throughout the year were high due to the pandemic. Demand from New Zealanders was unprecedented as they sought support for COVID related enquiries and clarification on changes to the COVID policy regulations. This put significant pressure on the Contact Centres ability to manage calls in a timely manner. Annually, there was a 18 percent increase in call volumes. From January to June, there was a 27 percent increase in volumes. Staff Covid and winter illness also put significant pressure on the</w:t>
      </w:r>
      <w:r w:rsidR="00987CB9">
        <w:rPr>
          <w:rFonts w:eastAsia="Arial Unicode MS"/>
        </w:rPr>
        <w:t xml:space="preserve"> </w:t>
      </w:r>
      <w:r w:rsidRPr="00A900A4">
        <w:rPr>
          <w:rFonts w:eastAsia="Arial Unicode MS"/>
        </w:rPr>
        <w:t>Contact Centre’s ability to manage calls in a timely manner.</w:t>
      </w:r>
    </w:p>
    <w:p w14:paraId="218D245D" w14:textId="77777777" w:rsidR="00A900A4" w:rsidRPr="00A900A4" w:rsidRDefault="00A900A4" w:rsidP="00A900A4">
      <w:pPr>
        <w:pStyle w:val="Note"/>
        <w:rPr>
          <w:rFonts w:eastAsia="Arial Unicode MS"/>
        </w:rPr>
      </w:pPr>
      <w:r w:rsidRPr="00A900A4">
        <w:rPr>
          <w:rFonts w:eastAsia="Arial Unicode MS"/>
        </w:rPr>
        <w:lastRenderedPageBreak/>
        <w:t>It has also been identified that there is an issue with the software that calculates the service levels. This is being investigated by the vendor.</w:t>
      </w:r>
    </w:p>
    <w:p w14:paraId="14203622" w14:textId="50D835E0" w:rsidR="00B104C4" w:rsidRDefault="00A900A4" w:rsidP="00A900A4">
      <w:pPr>
        <w:pStyle w:val="Note"/>
        <w:rPr>
          <w:rFonts w:eastAsia="Arial Unicode MS"/>
        </w:rPr>
      </w:pPr>
      <w:r w:rsidRPr="00A900A4">
        <w:rPr>
          <w:rFonts w:eastAsia="Arial Unicode MS"/>
        </w:rPr>
        <w:t>Note 3: The high call abandonment percentage is related to the high volume of calls to contact centre (see Note 2), resulting in longer wait times.</w:t>
      </w:r>
    </w:p>
    <w:p w14:paraId="32FC475E" w14:textId="77777777" w:rsidR="00A900A4" w:rsidRPr="00A900A4" w:rsidRDefault="00A900A4" w:rsidP="00A900A4">
      <w:pPr>
        <w:pStyle w:val="Note"/>
        <w:rPr>
          <w:rFonts w:eastAsia="Arial Unicode MS"/>
        </w:rPr>
      </w:pPr>
      <w:r w:rsidRPr="00A900A4">
        <w:rPr>
          <w:rFonts w:eastAsia="Arial Unicode MS"/>
        </w:rPr>
        <w:t>Note 4: We did not meet the Budget Standard due to a dip in January 2022 where only 30.4% of enquires were resolved within ten working days due to the holiday period. Since January 2022, we have been meeting/ exceeding the Budget Standard due to the increased workforce capacity.</w:t>
      </w:r>
    </w:p>
    <w:p w14:paraId="134AAE2E" w14:textId="77777777" w:rsidR="00A900A4" w:rsidRPr="00A900A4" w:rsidRDefault="00A900A4" w:rsidP="00A900A4">
      <w:pPr>
        <w:pStyle w:val="Note"/>
        <w:rPr>
          <w:rFonts w:eastAsia="Arial Unicode MS"/>
        </w:rPr>
      </w:pPr>
      <w:r w:rsidRPr="00A900A4">
        <w:rPr>
          <w:rFonts w:eastAsia="Arial Unicode MS"/>
        </w:rPr>
        <w:t>Note 5: The first six months of the year saw the cumulative and ongoing effect of the COVID-19 lockdown along with the diversion of our Audit and Compliance staff to assist with COVID-19 contact tracing. Lockdowns, travel restrictions, assisting with COVID-19 contact tracing, staff sickness and the need to be sensitive with the health providers by not interfering with their delivery of services, have all have impeded the audit and investigative process on-site and the delivery of these targets.</w:t>
      </w:r>
    </w:p>
    <w:p w14:paraId="1197B608" w14:textId="72486B36" w:rsidR="00A900A4" w:rsidRDefault="00A900A4" w:rsidP="00A900A4">
      <w:pPr>
        <w:pStyle w:val="Note"/>
        <w:rPr>
          <w:rFonts w:eastAsia="Arial Unicode MS"/>
        </w:rPr>
      </w:pPr>
      <w:r w:rsidRPr="00A900A4">
        <w:rPr>
          <w:rFonts w:eastAsia="Arial Unicode MS"/>
        </w:rPr>
        <w:t>The gradual reduction of COVID-19 related restrictions has enabled audit and investigative services to resume fully. Despite these improvements, the effect of the COVID-19 restrictions over the entire year resulted in these measures being marginally lower than the Budget Standard.</w:t>
      </w:r>
    </w:p>
    <w:p w14:paraId="333641EC" w14:textId="77777777" w:rsidR="00A900A4" w:rsidRDefault="00A900A4" w:rsidP="00A900A4">
      <w:pPr>
        <w:pStyle w:val="Heading4"/>
      </w:pPr>
      <w:r>
        <w:rPr>
          <w:w w:val="105"/>
        </w:rPr>
        <w:t>Financial</w:t>
      </w:r>
      <w:r>
        <w:rPr>
          <w:spacing w:val="-5"/>
          <w:w w:val="105"/>
        </w:rPr>
        <w:t xml:space="preserve"> </w:t>
      </w:r>
      <w:r>
        <w:rPr>
          <w:w w:val="105"/>
        </w:rPr>
        <w:t>performance</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552"/>
        <w:gridCol w:w="1453"/>
        <w:gridCol w:w="1453"/>
        <w:gridCol w:w="1453"/>
        <w:gridCol w:w="1453"/>
      </w:tblGrid>
      <w:tr w:rsidR="00A900A4" w:rsidRPr="00CB0000" w14:paraId="77BA7E47" w14:textId="77777777" w:rsidTr="00FE6758">
        <w:trPr>
          <w:trHeight w:val="543"/>
        </w:trPr>
        <w:tc>
          <w:tcPr>
            <w:tcW w:w="2552" w:type="dxa"/>
            <w:tcBorders>
              <w:top w:val="nil"/>
              <w:bottom w:val="nil"/>
            </w:tcBorders>
            <w:shd w:val="clear" w:color="auto" w:fill="D9D9D9" w:themeFill="background1" w:themeFillShade="D9"/>
          </w:tcPr>
          <w:p w14:paraId="438BC79C" w14:textId="416C98F8" w:rsidR="00A900A4" w:rsidRPr="00CB0000" w:rsidRDefault="00A900A4" w:rsidP="00FE6758">
            <w:pPr>
              <w:pStyle w:val="TableText"/>
              <w:rPr>
                <w:b/>
                <w:bCs/>
              </w:rPr>
            </w:pPr>
            <w:r w:rsidRPr="00A900A4">
              <w:rPr>
                <w:b/>
                <w:bCs/>
              </w:rPr>
              <w:t>Payment services</w:t>
            </w:r>
          </w:p>
        </w:tc>
        <w:tc>
          <w:tcPr>
            <w:tcW w:w="1453" w:type="dxa"/>
            <w:tcBorders>
              <w:top w:val="nil"/>
              <w:bottom w:val="nil"/>
            </w:tcBorders>
            <w:shd w:val="clear" w:color="auto" w:fill="D9D9D9" w:themeFill="background1" w:themeFillShade="D9"/>
          </w:tcPr>
          <w:p w14:paraId="64759372" w14:textId="77777777" w:rsidR="00A900A4" w:rsidRPr="00CB0000" w:rsidRDefault="00A900A4" w:rsidP="00FE6758">
            <w:pPr>
              <w:pStyle w:val="TableText"/>
              <w:jc w:val="right"/>
              <w:rPr>
                <w:b/>
                <w:bCs/>
              </w:rPr>
            </w:pPr>
            <w:r w:rsidRPr="00CB0000">
              <w:rPr>
                <w:b/>
                <w:bCs/>
              </w:rPr>
              <w:t>Actual</w:t>
            </w:r>
          </w:p>
        </w:tc>
        <w:tc>
          <w:tcPr>
            <w:tcW w:w="1453" w:type="dxa"/>
            <w:tcBorders>
              <w:top w:val="nil"/>
              <w:bottom w:val="nil"/>
            </w:tcBorders>
            <w:shd w:val="clear" w:color="auto" w:fill="D9D9D9" w:themeFill="background1" w:themeFillShade="D9"/>
          </w:tcPr>
          <w:p w14:paraId="0DA66C36" w14:textId="77777777" w:rsidR="00A900A4" w:rsidRPr="00CB0000" w:rsidRDefault="00A900A4" w:rsidP="00FE6758">
            <w:pPr>
              <w:pStyle w:val="TableText"/>
              <w:jc w:val="right"/>
              <w:rPr>
                <w:b/>
                <w:bCs/>
              </w:rPr>
            </w:pPr>
            <w:r w:rsidRPr="00CB0000">
              <w:rPr>
                <w:b/>
                <w:bCs/>
              </w:rPr>
              <w:t xml:space="preserve">Main </w:t>
            </w:r>
            <w:r w:rsidRPr="00CB0000">
              <w:rPr>
                <w:b/>
                <w:bCs/>
              </w:rPr>
              <w:br/>
              <w:t>estimates</w:t>
            </w:r>
          </w:p>
        </w:tc>
        <w:tc>
          <w:tcPr>
            <w:tcW w:w="1453" w:type="dxa"/>
            <w:tcBorders>
              <w:top w:val="nil"/>
              <w:bottom w:val="nil"/>
            </w:tcBorders>
            <w:shd w:val="clear" w:color="auto" w:fill="D9D9D9" w:themeFill="background1" w:themeFillShade="D9"/>
          </w:tcPr>
          <w:p w14:paraId="44920765" w14:textId="77777777" w:rsidR="00A900A4" w:rsidRPr="00CB0000" w:rsidRDefault="00A900A4" w:rsidP="00FE6758">
            <w:pPr>
              <w:pStyle w:val="TableText"/>
              <w:jc w:val="right"/>
              <w:rPr>
                <w:b/>
                <w:bCs/>
              </w:rPr>
            </w:pPr>
            <w:r w:rsidRPr="00CB0000">
              <w:rPr>
                <w:b/>
                <w:bCs/>
              </w:rPr>
              <w:t>Voted appropriation</w:t>
            </w:r>
          </w:p>
        </w:tc>
        <w:tc>
          <w:tcPr>
            <w:tcW w:w="1453" w:type="dxa"/>
            <w:tcBorders>
              <w:top w:val="nil"/>
              <w:bottom w:val="nil"/>
            </w:tcBorders>
            <w:shd w:val="clear" w:color="auto" w:fill="D9D9D9" w:themeFill="background1" w:themeFillShade="D9"/>
          </w:tcPr>
          <w:p w14:paraId="313274E0" w14:textId="77777777" w:rsidR="00A900A4" w:rsidRPr="00CB0000" w:rsidRDefault="00A900A4" w:rsidP="00FE6758">
            <w:pPr>
              <w:pStyle w:val="TableText"/>
              <w:jc w:val="right"/>
              <w:rPr>
                <w:b/>
                <w:bCs/>
              </w:rPr>
            </w:pPr>
            <w:r w:rsidRPr="00CB0000">
              <w:rPr>
                <w:b/>
                <w:bCs/>
              </w:rPr>
              <w:t>Actual</w:t>
            </w:r>
          </w:p>
        </w:tc>
      </w:tr>
      <w:tr w:rsidR="00A900A4" w:rsidRPr="00CB0000" w14:paraId="4C6CAA02" w14:textId="77777777" w:rsidTr="00FE6758">
        <w:tc>
          <w:tcPr>
            <w:tcW w:w="2552" w:type="dxa"/>
            <w:tcBorders>
              <w:top w:val="nil"/>
              <w:bottom w:val="nil"/>
            </w:tcBorders>
            <w:shd w:val="clear" w:color="auto" w:fill="D9D9D9" w:themeFill="background1" w:themeFillShade="D9"/>
          </w:tcPr>
          <w:p w14:paraId="488B5FE1" w14:textId="77777777" w:rsidR="00A900A4" w:rsidRPr="00CB0000" w:rsidRDefault="00A900A4" w:rsidP="00FE6758">
            <w:pPr>
              <w:pStyle w:val="TableText"/>
              <w:rPr>
                <w:b/>
                <w:bCs/>
              </w:rPr>
            </w:pPr>
          </w:p>
        </w:tc>
        <w:tc>
          <w:tcPr>
            <w:tcW w:w="1453" w:type="dxa"/>
            <w:tcBorders>
              <w:top w:val="nil"/>
              <w:bottom w:val="nil"/>
            </w:tcBorders>
            <w:shd w:val="clear" w:color="auto" w:fill="D9D9D9" w:themeFill="background1" w:themeFillShade="D9"/>
          </w:tcPr>
          <w:p w14:paraId="25EA1EC5" w14:textId="77777777" w:rsidR="00A900A4" w:rsidRPr="00CB0000" w:rsidRDefault="00A900A4" w:rsidP="00FE6758">
            <w:pPr>
              <w:pStyle w:val="TableText"/>
              <w:jc w:val="right"/>
              <w:rPr>
                <w:b/>
                <w:bCs/>
              </w:rPr>
            </w:pPr>
            <w:r w:rsidRPr="00CB0000">
              <w:rPr>
                <w:b/>
                <w:bCs/>
              </w:rPr>
              <w:t>2021/22</w:t>
            </w:r>
          </w:p>
          <w:p w14:paraId="21AB31DA" w14:textId="77777777" w:rsidR="00A900A4" w:rsidRPr="00CB0000" w:rsidRDefault="00A900A4"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3FA43A35" w14:textId="77777777" w:rsidR="00A900A4" w:rsidRPr="00CB0000" w:rsidRDefault="00A900A4" w:rsidP="00FE6758">
            <w:pPr>
              <w:pStyle w:val="TableText"/>
              <w:jc w:val="right"/>
              <w:rPr>
                <w:b/>
                <w:bCs/>
              </w:rPr>
            </w:pPr>
            <w:r w:rsidRPr="00CB0000">
              <w:rPr>
                <w:b/>
                <w:bCs/>
              </w:rPr>
              <w:t>2021/22</w:t>
            </w:r>
          </w:p>
          <w:p w14:paraId="1A59DE12" w14:textId="77777777" w:rsidR="00A900A4" w:rsidRPr="00CB0000" w:rsidRDefault="00A900A4"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04A911B7" w14:textId="77777777" w:rsidR="00A900A4" w:rsidRPr="00CB0000" w:rsidRDefault="00A900A4" w:rsidP="00FE6758">
            <w:pPr>
              <w:pStyle w:val="TableText"/>
              <w:jc w:val="right"/>
              <w:rPr>
                <w:b/>
                <w:bCs/>
              </w:rPr>
            </w:pPr>
            <w:r w:rsidRPr="00CB0000">
              <w:rPr>
                <w:b/>
                <w:bCs/>
              </w:rPr>
              <w:t>2021/22</w:t>
            </w:r>
          </w:p>
          <w:p w14:paraId="65193D4B" w14:textId="77777777" w:rsidR="00A900A4" w:rsidRPr="00CB0000" w:rsidRDefault="00A900A4"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14515FB5" w14:textId="77777777" w:rsidR="00A900A4" w:rsidRPr="00CB0000" w:rsidRDefault="00A900A4" w:rsidP="00FE6758">
            <w:pPr>
              <w:pStyle w:val="TableText"/>
              <w:jc w:val="right"/>
              <w:rPr>
                <w:b/>
                <w:bCs/>
              </w:rPr>
            </w:pPr>
            <w:r w:rsidRPr="00CB0000">
              <w:rPr>
                <w:b/>
                <w:bCs/>
              </w:rPr>
              <w:t>2021/22</w:t>
            </w:r>
          </w:p>
          <w:p w14:paraId="10D16717" w14:textId="77777777" w:rsidR="00A900A4" w:rsidRPr="00CB0000" w:rsidRDefault="00A900A4" w:rsidP="00FE6758">
            <w:pPr>
              <w:pStyle w:val="TableText"/>
              <w:jc w:val="right"/>
              <w:rPr>
                <w:b/>
                <w:bCs/>
              </w:rPr>
            </w:pPr>
            <w:r w:rsidRPr="00CB0000">
              <w:rPr>
                <w:b/>
                <w:bCs/>
              </w:rPr>
              <w:t>$000</w:t>
            </w:r>
          </w:p>
        </w:tc>
      </w:tr>
      <w:tr w:rsidR="00A900A4" w:rsidRPr="00CB0000" w14:paraId="4F922B09" w14:textId="77777777" w:rsidTr="00FE6758">
        <w:tc>
          <w:tcPr>
            <w:tcW w:w="2552" w:type="dxa"/>
            <w:tcBorders>
              <w:top w:val="nil"/>
            </w:tcBorders>
          </w:tcPr>
          <w:p w14:paraId="7FC2E198" w14:textId="77777777" w:rsidR="00A900A4" w:rsidRPr="00CB0000" w:rsidRDefault="00A900A4" w:rsidP="00A900A4">
            <w:pPr>
              <w:pStyle w:val="TableText"/>
            </w:pPr>
            <w:r w:rsidRPr="00466E9A">
              <w:t>Crown revenue</w:t>
            </w:r>
          </w:p>
        </w:tc>
        <w:tc>
          <w:tcPr>
            <w:tcW w:w="1453" w:type="dxa"/>
            <w:tcBorders>
              <w:top w:val="nil"/>
            </w:tcBorders>
          </w:tcPr>
          <w:p w14:paraId="7255805F" w14:textId="5804A9C1" w:rsidR="00A900A4" w:rsidRPr="00CB0000" w:rsidRDefault="00A900A4" w:rsidP="00A900A4">
            <w:pPr>
              <w:pStyle w:val="TableText"/>
              <w:jc w:val="right"/>
            </w:pPr>
            <w:r w:rsidRPr="00AB2969">
              <w:t>18,710</w:t>
            </w:r>
          </w:p>
        </w:tc>
        <w:tc>
          <w:tcPr>
            <w:tcW w:w="1453" w:type="dxa"/>
            <w:tcBorders>
              <w:top w:val="nil"/>
            </w:tcBorders>
          </w:tcPr>
          <w:p w14:paraId="552ABBF7" w14:textId="45F12F99" w:rsidR="00A900A4" w:rsidRPr="00CB0000" w:rsidRDefault="00A900A4" w:rsidP="00A900A4">
            <w:pPr>
              <w:pStyle w:val="TableText"/>
              <w:jc w:val="right"/>
            </w:pPr>
            <w:r w:rsidRPr="00AB2969">
              <w:t>18,430</w:t>
            </w:r>
          </w:p>
        </w:tc>
        <w:tc>
          <w:tcPr>
            <w:tcW w:w="1453" w:type="dxa"/>
            <w:tcBorders>
              <w:top w:val="nil"/>
            </w:tcBorders>
          </w:tcPr>
          <w:p w14:paraId="6379CB85" w14:textId="50BBDC4B" w:rsidR="00A900A4" w:rsidRPr="00CB0000" w:rsidRDefault="00A900A4" w:rsidP="00A900A4">
            <w:pPr>
              <w:pStyle w:val="TableText"/>
              <w:jc w:val="right"/>
            </w:pPr>
            <w:r w:rsidRPr="00AB2969">
              <w:t>18,180</w:t>
            </w:r>
          </w:p>
        </w:tc>
        <w:tc>
          <w:tcPr>
            <w:tcW w:w="1453" w:type="dxa"/>
            <w:tcBorders>
              <w:top w:val="nil"/>
            </w:tcBorders>
          </w:tcPr>
          <w:p w14:paraId="52819085" w14:textId="51FF0FAC" w:rsidR="00A900A4" w:rsidRPr="00CB0000" w:rsidRDefault="00A900A4" w:rsidP="00A900A4">
            <w:pPr>
              <w:pStyle w:val="TableText"/>
              <w:jc w:val="right"/>
            </w:pPr>
            <w:r w:rsidRPr="00AB2969">
              <w:t>18,180</w:t>
            </w:r>
          </w:p>
        </w:tc>
      </w:tr>
      <w:tr w:rsidR="00A900A4" w:rsidRPr="00CB0000" w14:paraId="39ED0B13" w14:textId="77777777" w:rsidTr="00FE6758">
        <w:tc>
          <w:tcPr>
            <w:tcW w:w="2552" w:type="dxa"/>
          </w:tcPr>
          <w:p w14:paraId="3589E79D" w14:textId="77777777" w:rsidR="00A900A4" w:rsidRPr="00CB0000" w:rsidRDefault="00A900A4" w:rsidP="00A900A4">
            <w:pPr>
              <w:pStyle w:val="TableText"/>
            </w:pPr>
            <w:r w:rsidRPr="00466E9A">
              <w:t>Other revenue</w:t>
            </w:r>
          </w:p>
        </w:tc>
        <w:tc>
          <w:tcPr>
            <w:tcW w:w="1453" w:type="dxa"/>
          </w:tcPr>
          <w:p w14:paraId="068748BB" w14:textId="41091EF0" w:rsidR="00A900A4" w:rsidRPr="00CB0000" w:rsidRDefault="00A900A4" w:rsidP="00A900A4">
            <w:pPr>
              <w:pStyle w:val="TableText"/>
              <w:jc w:val="right"/>
            </w:pPr>
            <w:r w:rsidRPr="00AB2969">
              <w:t>27</w:t>
            </w:r>
          </w:p>
        </w:tc>
        <w:tc>
          <w:tcPr>
            <w:tcW w:w="1453" w:type="dxa"/>
          </w:tcPr>
          <w:p w14:paraId="0EFDE77B" w14:textId="15F4B4C8" w:rsidR="00A900A4" w:rsidRPr="00CB0000" w:rsidRDefault="00A900A4" w:rsidP="00A900A4">
            <w:pPr>
              <w:pStyle w:val="TableText"/>
              <w:jc w:val="right"/>
            </w:pPr>
            <w:r w:rsidRPr="00AB2969">
              <w:t>-</w:t>
            </w:r>
          </w:p>
        </w:tc>
        <w:tc>
          <w:tcPr>
            <w:tcW w:w="1453" w:type="dxa"/>
          </w:tcPr>
          <w:p w14:paraId="3DA62057" w14:textId="67C81D18" w:rsidR="00A900A4" w:rsidRPr="00CB0000" w:rsidRDefault="00A900A4" w:rsidP="00A900A4">
            <w:pPr>
              <w:pStyle w:val="TableText"/>
              <w:jc w:val="right"/>
            </w:pPr>
            <w:r w:rsidRPr="00AB2969">
              <w:t>-</w:t>
            </w:r>
          </w:p>
        </w:tc>
        <w:tc>
          <w:tcPr>
            <w:tcW w:w="1453" w:type="dxa"/>
          </w:tcPr>
          <w:p w14:paraId="29338E76" w14:textId="031103A7" w:rsidR="00A900A4" w:rsidRPr="00CB0000" w:rsidRDefault="00A900A4" w:rsidP="00A900A4">
            <w:pPr>
              <w:pStyle w:val="TableText"/>
              <w:jc w:val="right"/>
            </w:pPr>
            <w:r w:rsidRPr="00AB2969">
              <w:t>-</w:t>
            </w:r>
          </w:p>
        </w:tc>
      </w:tr>
      <w:tr w:rsidR="00A900A4" w:rsidRPr="00CB0000" w14:paraId="1247433D" w14:textId="77777777" w:rsidTr="00FE6758">
        <w:tc>
          <w:tcPr>
            <w:tcW w:w="2552" w:type="dxa"/>
          </w:tcPr>
          <w:p w14:paraId="55CEB94F" w14:textId="77777777" w:rsidR="00A900A4" w:rsidRPr="00CB0000" w:rsidRDefault="00A900A4" w:rsidP="00A900A4">
            <w:pPr>
              <w:pStyle w:val="TableText"/>
            </w:pPr>
            <w:r w:rsidRPr="00466E9A">
              <w:t>Total revenue</w:t>
            </w:r>
          </w:p>
        </w:tc>
        <w:tc>
          <w:tcPr>
            <w:tcW w:w="1453" w:type="dxa"/>
          </w:tcPr>
          <w:p w14:paraId="76A7EAA1" w14:textId="3EC5E0A7" w:rsidR="00A900A4" w:rsidRPr="00CB0000" w:rsidRDefault="00A900A4" w:rsidP="00A900A4">
            <w:pPr>
              <w:pStyle w:val="TableText"/>
              <w:jc w:val="right"/>
            </w:pPr>
            <w:r w:rsidRPr="00AB2969">
              <w:t>18,737</w:t>
            </w:r>
          </w:p>
        </w:tc>
        <w:tc>
          <w:tcPr>
            <w:tcW w:w="1453" w:type="dxa"/>
          </w:tcPr>
          <w:p w14:paraId="22E12803" w14:textId="48484F58" w:rsidR="00A900A4" w:rsidRPr="00CB0000" w:rsidRDefault="00A900A4" w:rsidP="00A900A4">
            <w:pPr>
              <w:pStyle w:val="TableText"/>
              <w:jc w:val="right"/>
            </w:pPr>
            <w:r w:rsidRPr="00AB2969">
              <w:t>18,430</w:t>
            </w:r>
          </w:p>
        </w:tc>
        <w:tc>
          <w:tcPr>
            <w:tcW w:w="1453" w:type="dxa"/>
          </w:tcPr>
          <w:p w14:paraId="32C8C8F1" w14:textId="1918CA4C" w:rsidR="00A900A4" w:rsidRPr="00CB0000" w:rsidRDefault="00A900A4" w:rsidP="00A900A4">
            <w:pPr>
              <w:pStyle w:val="TableText"/>
              <w:jc w:val="right"/>
            </w:pPr>
            <w:r w:rsidRPr="00AB2969">
              <w:t>18,180</w:t>
            </w:r>
          </w:p>
        </w:tc>
        <w:tc>
          <w:tcPr>
            <w:tcW w:w="1453" w:type="dxa"/>
          </w:tcPr>
          <w:p w14:paraId="5BD194D3" w14:textId="67158B97" w:rsidR="00A900A4" w:rsidRPr="00CB0000" w:rsidRDefault="00A900A4" w:rsidP="00A900A4">
            <w:pPr>
              <w:pStyle w:val="TableText"/>
              <w:jc w:val="right"/>
            </w:pPr>
            <w:r w:rsidRPr="00AB2969">
              <w:t>18,180</w:t>
            </w:r>
          </w:p>
        </w:tc>
      </w:tr>
      <w:tr w:rsidR="00A900A4" w:rsidRPr="00CB0000" w14:paraId="70AFDE73" w14:textId="77777777" w:rsidTr="00FE6758">
        <w:tc>
          <w:tcPr>
            <w:tcW w:w="2552" w:type="dxa"/>
          </w:tcPr>
          <w:p w14:paraId="52EB33CE" w14:textId="77777777" w:rsidR="00A900A4" w:rsidRPr="00CB0000" w:rsidRDefault="00A900A4" w:rsidP="00A900A4">
            <w:pPr>
              <w:pStyle w:val="TableText"/>
            </w:pPr>
            <w:r w:rsidRPr="00466E9A">
              <w:t>Total expenses</w:t>
            </w:r>
          </w:p>
        </w:tc>
        <w:tc>
          <w:tcPr>
            <w:tcW w:w="1453" w:type="dxa"/>
          </w:tcPr>
          <w:p w14:paraId="242F4BF7" w14:textId="409912B9" w:rsidR="00A900A4" w:rsidRPr="00CB0000" w:rsidRDefault="00A900A4" w:rsidP="00A900A4">
            <w:pPr>
              <w:pStyle w:val="TableText"/>
              <w:jc w:val="right"/>
            </w:pPr>
            <w:r w:rsidRPr="00AB2969">
              <w:t>19,600</w:t>
            </w:r>
          </w:p>
        </w:tc>
        <w:tc>
          <w:tcPr>
            <w:tcW w:w="1453" w:type="dxa"/>
          </w:tcPr>
          <w:p w14:paraId="45820C4F" w14:textId="4B700824" w:rsidR="00A900A4" w:rsidRPr="00CB0000" w:rsidRDefault="00A900A4" w:rsidP="00A900A4">
            <w:pPr>
              <w:pStyle w:val="TableText"/>
              <w:jc w:val="right"/>
            </w:pPr>
            <w:r w:rsidRPr="00AB2969">
              <w:t>18,430</w:t>
            </w:r>
          </w:p>
        </w:tc>
        <w:tc>
          <w:tcPr>
            <w:tcW w:w="1453" w:type="dxa"/>
          </w:tcPr>
          <w:p w14:paraId="291F1AC7" w14:textId="23F52B1D" w:rsidR="00A900A4" w:rsidRPr="00CB0000" w:rsidRDefault="00A900A4" w:rsidP="00A900A4">
            <w:pPr>
              <w:pStyle w:val="TableText"/>
              <w:jc w:val="right"/>
            </w:pPr>
            <w:r w:rsidRPr="00AB2969">
              <w:t>18,180</w:t>
            </w:r>
          </w:p>
        </w:tc>
        <w:tc>
          <w:tcPr>
            <w:tcW w:w="1453" w:type="dxa"/>
          </w:tcPr>
          <w:p w14:paraId="2953033C" w14:textId="0F83CFCE" w:rsidR="00A900A4" w:rsidRPr="00CB0000" w:rsidRDefault="00A900A4" w:rsidP="00A900A4">
            <w:pPr>
              <w:pStyle w:val="TableText"/>
              <w:jc w:val="right"/>
            </w:pPr>
            <w:r w:rsidRPr="00AB2969">
              <w:t>17,653</w:t>
            </w:r>
          </w:p>
        </w:tc>
      </w:tr>
      <w:tr w:rsidR="00A900A4" w:rsidRPr="00CB0000" w14:paraId="3154538A" w14:textId="77777777" w:rsidTr="00FE6758">
        <w:tc>
          <w:tcPr>
            <w:tcW w:w="2552" w:type="dxa"/>
          </w:tcPr>
          <w:p w14:paraId="25F5D0D3" w14:textId="77777777" w:rsidR="00A900A4" w:rsidRPr="00CB0000" w:rsidRDefault="00A900A4" w:rsidP="00A900A4">
            <w:pPr>
              <w:pStyle w:val="TableText"/>
            </w:pPr>
            <w:r w:rsidRPr="00466E9A">
              <w:t>Net surplus (deficit)</w:t>
            </w:r>
          </w:p>
        </w:tc>
        <w:tc>
          <w:tcPr>
            <w:tcW w:w="1453" w:type="dxa"/>
          </w:tcPr>
          <w:p w14:paraId="6258E99F" w14:textId="4EC7C443" w:rsidR="00A900A4" w:rsidRPr="00CB0000" w:rsidRDefault="00A900A4" w:rsidP="00A900A4">
            <w:pPr>
              <w:pStyle w:val="TableText"/>
              <w:jc w:val="right"/>
            </w:pPr>
            <w:r w:rsidRPr="00AB2969">
              <w:t>(863)</w:t>
            </w:r>
          </w:p>
        </w:tc>
        <w:tc>
          <w:tcPr>
            <w:tcW w:w="1453" w:type="dxa"/>
          </w:tcPr>
          <w:p w14:paraId="080750BB" w14:textId="60C1218B" w:rsidR="00A900A4" w:rsidRPr="00CB0000" w:rsidRDefault="00A900A4" w:rsidP="00A900A4">
            <w:pPr>
              <w:pStyle w:val="TableText"/>
              <w:jc w:val="right"/>
            </w:pPr>
            <w:r w:rsidRPr="00AB2969">
              <w:t>-</w:t>
            </w:r>
          </w:p>
        </w:tc>
        <w:tc>
          <w:tcPr>
            <w:tcW w:w="1453" w:type="dxa"/>
          </w:tcPr>
          <w:p w14:paraId="1BB0D2DA" w14:textId="6C30BE37" w:rsidR="00A900A4" w:rsidRPr="00CB0000" w:rsidRDefault="00A900A4" w:rsidP="00A900A4">
            <w:pPr>
              <w:pStyle w:val="TableText"/>
              <w:jc w:val="right"/>
            </w:pPr>
            <w:r w:rsidRPr="00AB2969">
              <w:t>-</w:t>
            </w:r>
          </w:p>
        </w:tc>
        <w:tc>
          <w:tcPr>
            <w:tcW w:w="1453" w:type="dxa"/>
          </w:tcPr>
          <w:p w14:paraId="6995C285" w14:textId="24FE3353" w:rsidR="00A900A4" w:rsidRPr="00CB0000" w:rsidRDefault="00A900A4" w:rsidP="00A900A4">
            <w:pPr>
              <w:pStyle w:val="TableText"/>
              <w:jc w:val="right"/>
            </w:pPr>
            <w:r w:rsidRPr="00AB2969">
              <w:t>527</w:t>
            </w:r>
          </w:p>
        </w:tc>
      </w:tr>
    </w:tbl>
    <w:p w14:paraId="3103E0AA" w14:textId="77777777" w:rsidR="00A900A4" w:rsidRPr="00A900A4" w:rsidRDefault="00A900A4" w:rsidP="00A900A4">
      <w:pPr>
        <w:pStyle w:val="Heading3"/>
      </w:pPr>
      <w:bookmarkStart w:id="41" w:name="_Toc117264948"/>
      <w:r w:rsidRPr="00A900A4">
        <w:t>Regulatory and Enforcement Services</w:t>
      </w:r>
      <w:bookmarkEnd w:id="41"/>
    </w:p>
    <w:p w14:paraId="7CCEB218" w14:textId="33B0C147" w:rsidR="00A900A4" w:rsidRDefault="00A900A4" w:rsidP="00A900A4">
      <w:pPr>
        <w:rPr>
          <w:rFonts w:eastAsia="Arial Unicode MS"/>
        </w:rPr>
      </w:pPr>
      <w:r w:rsidRPr="00A900A4">
        <w:rPr>
          <w:rFonts w:eastAsia="Arial Unicode MS"/>
        </w:rPr>
        <w:t>This appropriation is limited to implementing, enforcing and administering health- and disability-related legislation and regulations, and provision of regulatory advice to the sector and to Ministers, and support services for committees established under statute or appointed by the Minister pursuant to legislation.</w:t>
      </w:r>
    </w:p>
    <w:p w14:paraId="1EF37E03" w14:textId="77777777" w:rsidR="00A900A4" w:rsidRPr="00A900A4" w:rsidRDefault="00A900A4" w:rsidP="00A900A4">
      <w:pPr>
        <w:rPr>
          <w:rFonts w:eastAsia="Arial Unicode MS"/>
        </w:rPr>
      </w:pPr>
    </w:p>
    <w:p w14:paraId="209348D8" w14:textId="77777777" w:rsidR="00A900A4" w:rsidRPr="00A900A4" w:rsidRDefault="00A900A4" w:rsidP="00A900A4">
      <w:pPr>
        <w:rPr>
          <w:rFonts w:eastAsia="Arial Unicode MS"/>
        </w:rPr>
      </w:pPr>
      <w:r w:rsidRPr="00A900A4">
        <w:rPr>
          <w:rFonts w:eastAsia="Arial Unicode MS"/>
        </w:rPr>
        <w:t>This appropriation is intended to ensure that health and disability services are regulated so that appropriate standards are followed.</w:t>
      </w:r>
    </w:p>
    <w:p w14:paraId="79085E66" w14:textId="77777777" w:rsidR="00A900A4" w:rsidRDefault="00A900A4" w:rsidP="00A900A4">
      <w:pPr>
        <w:pStyle w:val="Heading4"/>
        <w:sectPr w:rsidR="00A900A4" w:rsidSect="00C26282">
          <w:pgSz w:w="11907" w:h="16840" w:code="9"/>
          <w:pgMar w:top="1418" w:right="1701" w:bottom="1134" w:left="1843" w:header="284" w:footer="425" w:gutter="284"/>
          <w:cols w:space="720"/>
        </w:sectPr>
      </w:pPr>
    </w:p>
    <w:p w14:paraId="124EEDCA" w14:textId="4E06E191" w:rsidR="00A900A4" w:rsidRDefault="00A900A4" w:rsidP="00A900A4">
      <w:pPr>
        <w:pStyle w:val="Heading4"/>
      </w:pPr>
      <w:r w:rsidRPr="00A900A4">
        <w:lastRenderedPageBreak/>
        <w:t>Performance assessment</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170"/>
      </w:tblGrid>
      <w:tr w:rsidR="00A900A4" w:rsidRPr="00950725" w14:paraId="3A039ACB" w14:textId="77777777" w:rsidTr="00FE6758">
        <w:trPr>
          <w:trHeight w:val="496"/>
          <w:tblHeader/>
        </w:trPr>
        <w:tc>
          <w:tcPr>
            <w:tcW w:w="3686" w:type="dxa"/>
            <w:tcBorders>
              <w:top w:val="nil"/>
              <w:bottom w:val="nil"/>
            </w:tcBorders>
            <w:shd w:val="clear" w:color="auto" w:fill="D9D9D9" w:themeFill="background1" w:themeFillShade="D9"/>
          </w:tcPr>
          <w:p w14:paraId="06FABA07" w14:textId="0992C24C" w:rsidR="00A900A4" w:rsidRPr="00950725" w:rsidRDefault="006A19AA" w:rsidP="00FE6758">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5BBF5F81" w14:textId="77777777" w:rsidR="00A900A4" w:rsidRPr="00950725" w:rsidRDefault="00A900A4" w:rsidP="00FE6758">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57BFC435" w14:textId="77777777" w:rsidR="00A900A4" w:rsidRPr="00950725" w:rsidRDefault="00A900A4" w:rsidP="00FE6758">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40C52232" w14:textId="2B6A9522" w:rsidR="00A900A4" w:rsidRPr="00950725" w:rsidRDefault="00A900A4" w:rsidP="00975ED6">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65BDB632" w14:textId="77777777" w:rsidR="00A900A4" w:rsidRPr="00950725" w:rsidRDefault="00A900A4" w:rsidP="00FE6758">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A900A4" w14:paraId="5313B68B" w14:textId="77777777" w:rsidTr="00FE6758">
        <w:trPr>
          <w:trHeight w:val="344"/>
          <w:tblHeader/>
        </w:trPr>
        <w:tc>
          <w:tcPr>
            <w:tcW w:w="3686" w:type="dxa"/>
            <w:tcBorders>
              <w:top w:val="nil"/>
              <w:bottom w:val="nil"/>
            </w:tcBorders>
            <w:shd w:val="clear" w:color="auto" w:fill="D9D9D9" w:themeFill="background1" w:themeFillShade="D9"/>
          </w:tcPr>
          <w:p w14:paraId="37563689" w14:textId="77777777" w:rsidR="00A900A4" w:rsidRDefault="00A900A4" w:rsidP="00FE6758">
            <w:pPr>
              <w:pStyle w:val="TableText"/>
              <w:spacing w:after="0"/>
              <w:rPr>
                <w:w w:val="105"/>
              </w:rPr>
            </w:pPr>
          </w:p>
        </w:tc>
        <w:tc>
          <w:tcPr>
            <w:tcW w:w="1169" w:type="dxa"/>
            <w:tcBorders>
              <w:top w:val="nil"/>
              <w:bottom w:val="nil"/>
            </w:tcBorders>
            <w:shd w:val="clear" w:color="auto" w:fill="D9D9D9" w:themeFill="background1" w:themeFillShade="D9"/>
          </w:tcPr>
          <w:p w14:paraId="017708FB" w14:textId="77777777" w:rsidR="00A900A4" w:rsidRDefault="00A900A4"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4EA0252D" w14:textId="77777777" w:rsidR="00A900A4" w:rsidRDefault="00A900A4" w:rsidP="00FE6758">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70BF1EB1" w14:textId="77777777" w:rsidR="00A900A4" w:rsidRDefault="00A900A4"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6F094E74" w14:textId="77777777" w:rsidR="00A900A4" w:rsidRDefault="00A900A4" w:rsidP="00FE6758">
            <w:pPr>
              <w:pStyle w:val="TableText"/>
              <w:jc w:val="right"/>
              <w:rPr>
                <w:rFonts w:ascii="Times New Roman"/>
              </w:rPr>
            </w:pPr>
          </w:p>
        </w:tc>
      </w:tr>
      <w:tr w:rsidR="00A900A4" w:rsidRPr="00950725" w14:paraId="72B3C809" w14:textId="77777777" w:rsidTr="00FE6758">
        <w:trPr>
          <w:trHeight w:val="344"/>
        </w:trPr>
        <w:tc>
          <w:tcPr>
            <w:tcW w:w="3686" w:type="dxa"/>
            <w:tcBorders>
              <w:top w:val="nil"/>
            </w:tcBorders>
          </w:tcPr>
          <w:p w14:paraId="364EDCD2" w14:textId="795AA5DC" w:rsidR="00A900A4" w:rsidRPr="00950725" w:rsidRDefault="00A900A4" w:rsidP="00A900A4">
            <w:pPr>
              <w:pStyle w:val="TableText"/>
              <w:rPr>
                <w:b/>
                <w:bCs/>
              </w:rPr>
            </w:pPr>
            <w:r w:rsidRPr="00727AE5">
              <w:t>The percentage of high priority incident notifications relating to medicines and medical devices that undergo an initial evaluation within 5 working days</w:t>
            </w:r>
          </w:p>
        </w:tc>
        <w:tc>
          <w:tcPr>
            <w:tcW w:w="1169" w:type="dxa"/>
            <w:tcBorders>
              <w:top w:val="nil"/>
            </w:tcBorders>
          </w:tcPr>
          <w:p w14:paraId="0A7A3477" w14:textId="79D127C5" w:rsidR="00A900A4" w:rsidRPr="00950725" w:rsidRDefault="00A900A4" w:rsidP="00A900A4">
            <w:pPr>
              <w:pStyle w:val="TableText"/>
              <w:jc w:val="right"/>
              <w:rPr>
                <w:rFonts w:ascii="Times New Roman"/>
                <w:b/>
                <w:bCs/>
              </w:rPr>
            </w:pPr>
            <w:r w:rsidRPr="00B10040">
              <w:t>New measure</w:t>
            </w:r>
          </w:p>
        </w:tc>
        <w:tc>
          <w:tcPr>
            <w:tcW w:w="1170" w:type="dxa"/>
            <w:tcBorders>
              <w:top w:val="nil"/>
            </w:tcBorders>
          </w:tcPr>
          <w:p w14:paraId="0D3B7A59" w14:textId="72239E50" w:rsidR="00A900A4" w:rsidRPr="00950725" w:rsidRDefault="00A900A4" w:rsidP="00A900A4">
            <w:pPr>
              <w:pStyle w:val="TableText"/>
              <w:jc w:val="right"/>
              <w:rPr>
                <w:rFonts w:ascii="Times New Roman"/>
                <w:b/>
                <w:bCs/>
              </w:rPr>
            </w:pPr>
            <w:r w:rsidRPr="00B10040">
              <w:t>90%</w:t>
            </w:r>
          </w:p>
        </w:tc>
        <w:tc>
          <w:tcPr>
            <w:tcW w:w="1169" w:type="dxa"/>
            <w:tcBorders>
              <w:top w:val="nil"/>
            </w:tcBorders>
          </w:tcPr>
          <w:p w14:paraId="3DD155E4" w14:textId="71E63596" w:rsidR="00A900A4" w:rsidRPr="00950725" w:rsidRDefault="00A900A4" w:rsidP="00A900A4">
            <w:pPr>
              <w:pStyle w:val="TableText"/>
              <w:jc w:val="right"/>
              <w:rPr>
                <w:rFonts w:ascii="Times New Roman"/>
                <w:b/>
                <w:bCs/>
              </w:rPr>
            </w:pPr>
            <w:r w:rsidRPr="00B10040">
              <w:t>97%</w:t>
            </w:r>
          </w:p>
        </w:tc>
        <w:tc>
          <w:tcPr>
            <w:tcW w:w="1170" w:type="dxa"/>
            <w:tcBorders>
              <w:top w:val="nil"/>
            </w:tcBorders>
          </w:tcPr>
          <w:p w14:paraId="22D8D017" w14:textId="77777777" w:rsidR="00A900A4" w:rsidRPr="00BD4046" w:rsidRDefault="00A900A4" w:rsidP="00A900A4">
            <w:pPr>
              <w:pStyle w:val="TableText"/>
              <w:jc w:val="right"/>
              <w:rPr>
                <w:rFonts w:ascii="Times New Roman"/>
                <w:b/>
                <w:bCs/>
              </w:rPr>
            </w:pPr>
            <w:r w:rsidRPr="00BD4046">
              <w:rPr>
                <w:b/>
                <w:bCs/>
              </w:rPr>
              <w:sym w:font="Wingdings" w:char="F0FC"/>
            </w:r>
          </w:p>
        </w:tc>
      </w:tr>
      <w:tr w:rsidR="00A900A4" w14:paraId="75656726" w14:textId="77777777" w:rsidTr="00FE6758">
        <w:trPr>
          <w:trHeight w:val="77"/>
        </w:trPr>
        <w:tc>
          <w:tcPr>
            <w:tcW w:w="3686" w:type="dxa"/>
          </w:tcPr>
          <w:p w14:paraId="760DFE9F" w14:textId="2599E1EF" w:rsidR="00A900A4" w:rsidRDefault="00A900A4" w:rsidP="00A900A4">
            <w:pPr>
              <w:pStyle w:val="TableText"/>
            </w:pPr>
            <w:r w:rsidRPr="00727AE5">
              <w:t>The percentage of all certificates issued to providers under the Health and Disability Services (Safety) Act 2001 within target timeframes (Note 1)</w:t>
            </w:r>
          </w:p>
        </w:tc>
        <w:tc>
          <w:tcPr>
            <w:tcW w:w="1169" w:type="dxa"/>
          </w:tcPr>
          <w:p w14:paraId="11EE159F" w14:textId="27A2AEBC" w:rsidR="00A900A4" w:rsidRDefault="00A900A4" w:rsidP="00A900A4">
            <w:pPr>
              <w:pStyle w:val="TableText"/>
              <w:jc w:val="right"/>
            </w:pPr>
            <w:r w:rsidRPr="00B10040">
              <w:t>93%</w:t>
            </w:r>
          </w:p>
        </w:tc>
        <w:tc>
          <w:tcPr>
            <w:tcW w:w="1170" w:type="dxa"/>
          </w:tcPr>
          <w:p w14:paraId="75C031FA" w14:textId="271623DC" w:rsidR="00A900A4" w:rsidRDefault="00A900A4" w:rsidP="00A900A4">
            <w:pPr>
              <w:pStyle w:val="TableText"/>
              <w:jc w:val="right"/>
            </w:pPr>
            <w:r w:rsidRPr="00B10040">
              <w:t>90%</w:t>
            </w:r>
          </w:p>
        </w:tc>
        <w:tc>
          <w:tcPr>
            <w:tcW w:w="1169" w:type="dxa"/>
          </w:tcPr>
          <w:p w14:paraId="694A2D04" w14:textId="176A864B" w:rsidR="00A900A4" w:rsidRDefault="00A900A4" w:rsidP="00A900A4">
            <w:pPr>
              <w:pStyle w:val="TableText"/>
              <w:jc w:val="right"/>
            </w:pPr>
            <w:r w:rsidRPr="00B10040">
              <w:t>91%</w:t>
            </w:r>
          </w:p>
        </w:tc>
        <w:tc>
          <w:tcPr>
            <w:tcW w:w="1170" w:type="dxa"/>
          </w:tcPr>
          <w:p w14:paraId="5DADF38E" w14:textId="39C73577" w:rsidR="00A900A4" w:rsidRPr="00BD4046" w:rsidRDefault="00A900A4" w:rsidP="00A900A4">
            <w:pPr>
              <w:pStyle w:val="TableText"/>
              <w:jc w:val="right"/>
              <w:rPr>
                <w:rFonts w:cs="Segoe UI"/>
                <w:sz w:val="28"/>
              </w:rPr>
            </w:pPr>
            <w:r w:rsidRPr="00E1157F">
              <w:rPr>
                <w:b/>
                <w:bCs/>
              </w:rPr>
              <w:sym w:font="Wingdings" w:char="F0FC"/>
            </w:r>
          </w:p>
        </w:tc>
      </w:tr>
      <w:tr w:rsidR="00A900A4" w14:paraId="7E73DFA1" w14:textId="77777777" w:rsidTr="00FE6758">
        <w:trPr>
          <w:trHeight w:val="578"/>
        </w:trPr>
        <w:tc>
          <w:tcPr>
            <w:tcW w:w="3686" w:type="dxa"/>
          </w:tcPr>
          <w:p w14:paraId="4E331178" w14:textId="1B7D4ECA" w:rsidR="00A900A4" w:rsidRDefault="00A900A4" w:rsidP="00A900A4">
            <w:pPr>
              <w:pStyle w:val="TableText"/>
            </w:pPr>
            <w:r w:rsidRPr="00727AE5">
              <w:t>Percentage of licences and authorities issued under the Medicines Act 1981 and Misuse of Drugs Act 1975 within target timeframes</w:t>
            </w:r>
          </w:p>
        </w:tc>
        <w:tc>
          <w:tcPr>
            <w:tcW w:w="1169" w:type="dxa"/>
          </w:tcPr>
          <w:p w14:paraId="1831FB64" w14:textId="6CAE96C7" w:rsidR="00A900A4" w:rsidRDefault="00A900A4" w:rsidP="00A900A4">
            <w:pPr>
              <w:pStyle w:val="TableText"/>
              <w:jc w:val="right"/>
            </w:pPr>
            <w:r w:rsidRPr="00B10040">
              <w:t>95%</w:t>
            </w:r>
          </w:p>
        </w:tc>
        <w:tc>
          <w:tcPr>
            <w:tcW w:w="1170" w:type="dxa"/>
          </w:tcPr>
          <w:p w14:paraId="5085FA27" w14:textId="00DB3E97" w:rsidR="00A900A4" w:rsidRDefault="00A900A4" w:rsidP="00A900A4">
            <w:pPr>
              <w:pStyle w:val="TableText"/>
              <w:jc w:val="right"/>
            </w:pPr>
            <w:r w:rsidRPr="00B10040">
              <w:t>90%</w:t>
            </w:r>
          </w:p>
        </w:tc>
        <w:tc>
          <w:tcPr>
            <w:tcW w:w="1169" w:type="dxa"/>
          </w:tcPr>
          <w:p w14:paraId="3EDA874E" w14:textId="75FCE8B7" w:rsidR="00A900A4" w:rsidRDefault="00A900A4" w:rsidP="00A900A4">
            <w:pPr>
              <w:pStyle w:val="TableText"/>
              <w:jc w:val="right"/>
            </w:pPr>
            <w:r w:rsidRPr="00B10040">
              <w:t>94%</w:t>
            </w:r>
          </w:p>
        </w:tc>
        <w:tc>
          <w:tcPr>
            <w:tcW w:w="1170" w:type="dxa"/>
          </w:tcPr>
          <w:p w14:paraId="60858CB5" w14:textId="2A5AE49B" w:rsidR="00A900A4" w:rsidRPr="00BD4046" w:rsidRDefault="00A900A4" w:rsidP="00A900A4">
            <w:pPr>
              <w:pStyle w:val="TableText"/>
              <w:jc w:val="right"/>
              <w:rPr>
                <w:rFonts w:ascii="Franklin Gothic Heavy" w:hAnsi="Franklin Gothic Heavy"/>
                <w:b/>
                <w:bCs/>
                <w:sz w:val="28"/>
              </w:rPr>
            </w:pPr>
            <w:r w:rsidRPr="00E1157F">
              <w:rPr>
                <w:b/>
                <w:bCs/>
              </w:rPr>
              <w:sym w:font="Wingdings" w:char="F0FC"/>
            </w:r>
          </w:p>
        </w:tc>
      </w:tr>
      <w:tr w:rsidR="00A900A4" w14:paraId="2782F8CA" w14:textId="77777777" w:rsidTr="00FE6758">
        <w:trPr>
          <w:trHeight w:val="578"/>
        </w:trPr>
        <w:tc>
          <w:tcPr>
            <w:tcW w:w="3686" w:type="dxa"/>
          </w:tcPr>
          <w:p w14:paraId="3E572890" w14:textId="3144615E" w:rsidR="00A900A4" w:rsidRPr="00B85ED5" w:rsidRDefault="00A900A4" w:rsidP="00A900A4">
            <w:pPr>
              <w:pStyle w:val="TableText"/>
            </w:pPr>
            <w:r w:rsidRPr="00727AE5">
              <w:t>The percentage of all licences and consents issued to radiation users under the Radiation Safety Act 2016 within 10 working days of the receipt of all information and payment of the required fee (Note 2)</w:t>
            </w:r>
          </w:p>
        </w:tc>
        <w:tc>
          <w:tcPr>
            <w:tcW w:w="1169" w:type="dxa"/>
          </w:tcPr>
          <w:p w14:paraId="30BBE691" w14:textId="0278A7BA" w:rsidR="00A900A4" w:rsidRPr="00B85ED5" w:rsidRDefault="00A900A4" w:rsidP="00A900A4">
            <w:pPr>
              <w:pStyle w:val="TableText"/>
              <w:jc w:val="right"/>
            </w:pPr>
            <w:r w:rsidRPr="00B10040">
              <w:t>94%</w:t>
            </w:r>
          </w:p>
        </w:tc>
        <w:tc>
          <w:tcPr>
            <w:tcW w:w="1170" w:type="dxa"/>
          </w:tcPr>
          <w:p w14:paraId="338922BE" w14:textId="69C73128" w:rsidR="00A900A4" w:rsidRPr="00B85ED5" w:rsidRDefault="00A900A4" w:rsidP="00A900A4">
            <w:pPr>
              <w:pStyle w:val="TableText"/>
              <w:jc w:val="right"/>
            </w:pPr>
            <w:r w:rsidRPr="00B10040">
              <w:t>90%</w:t>
            </w:r>
          </w:p>
        </w:tc>
        <w:tc>
          <w:tcPr>
            <w:tcW w:w="1169" w:type="dxa"/>
          </w:tcPr>
          <w:p w14:paraId="2F06933D" w14:textId="19B5BA48" w:rsidR="00A900A4" w:rsidRPr="00B85ED5" w:rsidRDefault="00A900A4" w:rsidP="00A900A4">
            <w:pPr>
              <w:pStyle w:val="TableText"/>
              <w:jc w:val="right"/>
            </w:pPr>
            <w:r w:rsidRPr="00B10040">
              <w:t>93%</w:t>
            </w:r>
          </w:p>
        </w:tc>
        <w:tc>
          <w:tcPr>
            <w:tcW w:w="1170" w:type="dxa"/>
          </w:tcPr>
          <w:p w14:paraId="2A4B5830" w14:textId="7C00E7FF" w:rsidR="00A900A4" w:rsidRPr="00B104C4" w:rsidRDefault="00A900A4" w:rsidP="00A900A4">
            <w:pPr>
              <w:pStyle w:val="TableText"/>
              <w:jc w:val="right"/>
              <w:rPr>
                <w:b/>
                <w:bCs/>
              </w:rPr>
            </w:pPr>
            <w:r w:rsidRPr="00E1157F">
              <w:rPr>
                <w:b/>
                <w:bCs/>
              </w:rPr>
              <w:sym w:font="Wingdings" w:char="F0FC"/>
            </w:r>
          </w:p>
        </w:tc>
      </w:tr>
      <w:tr w:rsidR="00A900A4" w14:paraId="72D1F48D" w14:textId="77777777" w:rsidTr="00FE6758">
        <w:trPr>
          <w:trHeight w:val="578"/>
        </w:trPr>
        <w:tc>
          <w:tcPr>
            <w:tcW w:w="3686" w:type="dxa"/>
          </w:tcPr>
          <w:p w14:paraId="668F1E92" w14:textId="27581FA7" w:rsidR="00A900A4" w:rsidRPr="00B85ED5" w:rsidRDefault="00A900A4" w:rsidP="00A900A4">
            <w:pPr>
              <w:pStyle w:val="TableText"/>
            </w:pPr>
            <w:r w:rsidRPr="00727AE5">
              <w:t>The percentage of all New Medicines Applications (for ministerial consent to market) that receive an initial assessment within 200 days (Note 3)</w:t>
            </w:r>
          </w:p>
        </w:tc>
        <w:tc>
          <w:tcPr>
            <w:tcW w:w="1169" w:type="dxa"/>
          </w:tcPr>
          <w:p w14:paraId="1B94A1EE" w14:textId="6BB8121A" w:rsidR="00A900A4" w:rsidRPr="00B85ED5" w:rsidRDefault="00A900A4" w:rsidP="00A900A4">
            <w:pPr>
              <w:pStyle w:val="TableText"/>
              <w:jc w:val="right"/>
            </w:pPr>
            <w:r w:rsidRPr="00B10040">
              <w:t>82%</w:t>
            </w:r>
          </w:p>
        </w:tc>
        <w:tc>
          <w:tcPr>
            <w:tcW w:w="1170" w:type="dxa"/>
          </w:tcPr>
          <w:p w14:paraId="3014E79A" w14:textId="0F9B6742" w:rsidR="00A900A4" w:rsidRPr="00B85ED5" w:rsidRDefault="00A900A4" w:rsidP="00A900A4">
            <w:pPr>
              <w:pStyle w:val="TableText"/>
              <w:jc w:val="right"/>
            </w:pPr>
            <w:r w:rsidRPr="00B10040">
              <w:t>80%</w:t>
            </w:r>
          </w:p>
        </w:tc>
        <w:tc>
          <w:tcPr>
            <w:tcW w:w="1169" w:type="dxa"/>
          </w:tcPr>
          <w:p w14:paraId="2D05C501" w14:textId="57D51389" w:rsidR="00A900A4" w:rsidRPr="00B85ED5" w:rsidRDefault="00A900A4" w:rsidP="00A900A4">
            <w:pPr>
              <w:pStyle w:val="TableText"/>
              <w:jc w:val="right"/>
            </w:pPr>
            <w:r w:rsidRPr="00B10040">
              <w:t>74%</w:t>
            </w:r>
          </w:p>
        </w:tc>
        <w:tc>
          <w:tcPr>
            <w:tcW w:w="1170" w:type="dxa"/>
          </w:tcPr>
          <w:p w14:paraId="51638AD5" w14:textId="199D2C18" w:rsidR="00A900A4" w:rsidRPr="00B104C4" w:rsidRDefault="00A900A4" w:rsidP="00A900A4">
            <w:pPr>
              <w:pStyle w:val="TableText"/>
              <w:jc w:val="right"/>
              <w:rPr>
                <w:b/>
                <w:bCs/>
              </w:rPr>
            </w:pPr>
            <w:r w:rsidRPr="00277010">
              <w:rPr>
                <w:rFonts w:cs="Segoe UI"/>
                <w:sz w:val="24"/>
                <w:szCs w:val="18"/>
              </w:rPr>
              <w:sym w:font="Wingdings" w:char="F0FB"/>
            </w:r>
          </w:p>
        </w:tc>
      </w:tr>
      <w:tr w:rsidR="00A900A4" w14:paraId="46020869" w14:textId="77777777" w:rsidTr="00FE6758">
        <w:trPr>
          <w:trHeight w:val="578"/>
        </w:trPr>
        <w:tc>
          <w:tcPr>
            <w:tcW w:w="3686" w:type="dxa"/>
          </w:tcPr>
          <w:p w14:paraId="7B9FC9FE" w14:textId="7AC30E99" w:rsidR="00A900A4" w:rsidRPr="00B85ED5" w:rsidRDefault="00A900A4" w:rsidP="00A900A4">
            <w:pPr>
              <w:pStyle w:val="TableText"/>
            </w:pPr>
            <w:r w:rsidRPr="00727AE5">
              <w:t>The percentage of all Changed Medicines Notifications (for ministerial consent to market) responded to within 45 days</w:t>
            </w:r>
          </w:p>
        </w:tc>
        <w:tc>
          <w:tcPr>
            <w:tcW w:w="1169" w:type="dxa"/>
          </w:tcPr>
          <w:p w14:paraId="3C151062" w14:textId="245B5054" w:rsidR="00A900A4" w:rsidRPr="00B85ED5" w:rsidRDefault="00A900A4" w:rsidP="00A900A4">
            <w:pPr>
              <w:pStyle w:val="TableText"/>
              <w:jc w:val="right"/>
            </w:pPr>
            <w:r w:rsidRPr="00B10040">
              <w:t>100%</w:t>
            </w:r>
          </w:p>
        </w:tc>
        <w:tc>
          <w:tcPr>
            <w:tcW w:w="1170" w:type="dxa"/>
          </w:tcPr>
          <w:p w14:paraId="0F2243DD" w14:textId="5E256D06" w:rsidR="00A900A4" w:rsidRPr="00B85ED5" w:rsidRDefault="00A900A4" w:rsidP="00A900A4">
            <w:pPr>
              <w:pStyle w:val="TableText"/>
              <w:jc w:val="right"/>
            </w:pPr>
            <w:r w:rsidRPr="00B10040">
              <w:t>100%</w:t>
            </w:r>
          </w:p>
        </w:tc>
        <w:tc>
          <w:tcPr>
            <w:tcW w:w="1169" w:type="dxa"/>
          </w:tcPr>
          <w:p w14:paraId="30923AF8" w14:textId="5CD45618" w:rsidR="00A900A4" w:rsidRPr="00B85ED5" w:rsidRDefault="00A900A4" w:rsidP="00A900A4">
            <w:pPr>
              <w:pStyle w:val="TableText"/>
              <w:jc w:val="right"/>
            </w:pPr>
            <w:r w:rsidRPr="00B10040">
              <w:t>99%</w:t>
            </w:r>
          </w:p>
        </w:tc>
        <w:tc>
          <w:tcPr>
            <w:tcW w:w="1170" w:type="dxa"/>
          </w:tcPr>
          <w:p w14:paraId="74ED1315" w14:textId="67203915" w:rsidR="00A900A4" w:rsidRPr="00B104C4" w:rsidRDefault="00A900A4" w:rsidP="00A900A4">
            <w:pPr>
              <w:pStyle w:val="TableText"/>
              <w:jc w:val="right"/>
              <w:rPr>
                <w:b/>
                <w:bCs/>
              </w:rPr>
            </w:pPr>
            <w:r w:rsidRPr="00277010">
              <w:rPr>
                <w:rFonts w:cs="Segoe UI"/>
                <w:sz w:val="24"/>
                <w:szCs w:val="18"/>
              </w:rPr>
              <w:sym w:font="Wingdings" w:char="F0FB"/>
            </w:r>
          </w:p>
        </w:tc>
      </w:tr>
      <w:tr w:rsidR="00A900A4" w14:paraId="35540FEF" w14:textId="77777777" w:rsidTr="00FE6758">
        <w:trPr>
          <w:trHeight w:val="578"/>
        </w:trPr>
        <w:tc>
          <w:tcPr>
            <w:tcW w:w="3686" w:type="dxa"/>
          </w:tcPr>
          <w:p w14:paraId="570980AE" w14:textId="281407FB" w:rsidR="00A900A4" w:rsidRPr="00B85ED5" w:rsidRDefault="00A900A4" w:rsidP="00A900A4">
            <w:pPr>
              <w:pStyle w:val="TableText"/>
            </w:pPr>
            <w:r w:rsidRPr="00727AE5">
              <w:t>Average rating for statutory committee satisfaction with secretariat services provided by the Ministry</w:t>
            </w:r>
          </w:p>
        </w:tc>
        <w:tc>
          <w:tcPr>
            <w:tcW w:w="1169" w:type="dxa"/>
          </w:tcPr>
          <w:p w14:paraId="229A7991" w14:textId="58F7CB88" w:rsidR="00A900A4" w:rsidRPr="00B85ED5" w:rsidRDefault="00A900A4" w:rsidP="00A900A4">
            <w:pPr>
              <w:pStyle w:val="TableText"/>
              <w:jc w:val="right"/>
            </w:pPr>
            <w:r w:rsidRPr="00B10040">
              <w:t>3.58</w:t>
            </w:r>
          </w:p>
        </w:tc>
        <w:tc>
          <w:tcPr>
            <w:tcW w:w="1170" w:type="dxa"/>
          </w:tcPr>
          <w:p w14:paraId="1B3667CD" w14:textId="72212F63" w:rsidR="00A900A4" w:rsidRPr="00B85ED5" w:rsidRDefault="00A900A4" w:rsidP="00A900A4">
            <w:pPr>
              <w:pStyle w:val="TableText"/>
              <w:jc w:val="right"/>
            </w:pPr>
            <w:r w:rsidRPr="00B10040">
              <w:t xml:space="preserve">4 out of 5 </w:t>
            </w:r>
            <w:r>
              <w:br/>
            </w:r>
            <w:r w:rsidRPr="00B10040">
              <w:t>or greater</w:t>
            </w:r>
          </w:p>
        </w:tc>
        <w:tc>
          <w:tcPr>
            <w:tcW w:w="1169" w:type="dxa"/>
          </w:tcPr>
          <w:p w14:paraId="1138D8D3" w14:textId="7F4E2537" w:rsidR="00A900A4" w:rsidRPr="00B85ED5" w:rsidRDefault="00A900A4" w:rsidP="00A900A4">
            <w:pPr>
              <w:pStyle w:val="TableText"/>
              <w:jc w:val="right"/>
            </w:pPr>
            <w:r w:rsidRPr="00B10040">
              <w:t>4.6 out</w:t>
            </w:r>
            <w:r>
              <w:t xml:space="preserve"> </w:t>
            </w:r>
            <w:r>
              <w:br/>
              <w:t>of 5</w:t>
            </w:r>
          </w:p>
        </w:tc>
        <w:tc>
          <w:tcPr>
            <w:tcW w:w="1170" w:type="dxa"/>
          </w:tcPr>
          <w:p w14:paraId="4CE2D6B7" w14:textId="1048D3F1" w:rsidR="00A900A4" w:rsidRPr="00B104C4" w:rsidRDefault="00A900A4" w:rsidP="00A900A4">
            <w:pPr>
              <w:pStyle w:val="TableText"/>
              <w:jc w:val="right"/>
              <w:rPr>
                <w:b/>
                <w:bCs/>
              </w:rPr>
            </w:pPr>
            <w:r w:rsidRPr="00E1157F">
              <w:rPr>
                <w:b/>
                <w:bCs/>
              </w:rPr>
              <w:sym w:font="Wingdings" w:char="F0FC"/>
            </w:r>
          </w:p>
        </w:tc>
      </w:tr>
    </w:tbl>
    <w:p w14:paraId="223772EF" w14:textId="77777777" w:rsidR="00A514F0" w:rsidRPr="00A514F0" w:rsidRDefault="00A514F0" w:rsidP="00A514F0">
      <w:pPr>
        <w:pStyle w:val="Note"/>
        <w:rPr>
          <w:rFonts w:eastAsia="Arial Unicode MS"/>
        </w:rPr>
      </w:pPr>
      <w:r w:rsidRPr="00A514F0">
        <w:rPr>
          <w:rFonts w:eastAsia="Arial Unicode MS"/>
        </w:rPr>
        <w:t>Note 1: 334 out of 369 certificates met the required timeframes. While the performance measure was met, the result is lower than it could have been primarily due to HealthCERT audits for healthcare providers being impacted by COVID-19. These impacts resulted in cancellations, delays, and extensions.</w:t>
      </w:r>
    </w:p>
    <w:p w14:paraId="44410348" w14:textId="77777777" w:rsidR="00A514F0" w:rsidRPr="00A514F0" w:rsidRDefault="00A514F0" w:rsidP="00A514F0">
      <w:pPr>
        <w:pStyle w:val="Note"/>
        <w:rPr>
          <w:rFonts w:eastAsia="Arial Unicode MS"/>
        </w:rPr>
      </w:pPr>
      <w:r w:rsidRPr="00A514F0">
        <w:rPr>
          <w:rFonts w:eastAsia="Arial Unicode MS"/>
        </w:rPr>
        <w:t>Note 2: Considerable effort has gone into issuing licences and consents this year, particularly in the fourth quarter where there was a spike in demand for dental licences. The development of a new Radiation Database will lead to an increased workload in the short to medium term, increasing some of current required work effort.</w:t>
      </w:r>
    </w:p>
    <w:p w14:paraId="7AAE2CD4" w14:textId="54FC195A" w:rsidR="00A900A4" w:rsidRDefault="00A514F0" w:rsidP="00A514F0">
      <w:pPr>
        <w:pStyle w:val="Note"/>
        <w:rPr>
          <w:rFonts w:eastAsia="Arial Unicode MS"/>
        </w:rPr>
      </w:pPr>
      <w:r w:rsidRPr="00A514F0">
        <w:rPr>
          <w:rFonts w:eastAsia="Arial Unicode MS"/>
        </w:rPr>
        <w:t>Note 3: 101 of 136 New Medicines Applications received an initial assessment within 200 days. All new medicine and change medicine applications relating to COVID-19 vaccines and therapies were assigned priority assessments, impacting the timeliness of other applications.</w:t>
      </w:r>
    </w:p>
    <w:p w14:paraId="66656D41" w14:textId="5C1D5577" w:rsidR="00A514F0" w:rsidRDefault="00A514F0" w:rsidP="00A514F0">
      <w:pPr>
        <w:rPr>
          <w:rFonts w:eastAsia="Arial Unicode MS"/>
        </w:rPr>
      </w:pPr>
    </w:p>
    <w:p w14:paraId="25AD002C" w14:textId="77777777" w:rsidR="00A514F0" w:rsidRDefault="00A514F0" w:rsidP="00A514F0">
      <w:pPr>
        <w:pStyle w:val="Heading4"/>
        <w:rPr>
          <w:w w:val="105"/>
        </w:rPr>
        <w:sectPr w:rsidR="00A514F0" w:rsidSect="00C26282">
          <w:pgSz w:w="11907" w:h="16840" w:code="9"/>
          <w:pgMar w:top="1418" w:right="1701" w:bottom="1134" w:left="1843" w:header="284" w:footer="425" w:gutter="284"/>
          <w:cols w:space="720"/>
        </w:sectPr>
      </w:pPr>
    </w:p>
    <w:p w14:paraId="6BF191F0" w14:textId="2AB610BE" w:rsidR="00A514F0" w:rsidRDefault="00A514F0" w:rsidP="00A514F0">
      <w:pPr>
        <w:pStyle w:val="Heading4"/>
      </w:pPr>
      <w:r>
        <w:rPr>
          <w:w w:val="105"/>
        </w:rPr>
        <w:lastRenderedPageBreak/>
        <w:t>Financial</w:t>
      </w:r>
      <w:r>
        <w:rPr>
          <w:spacing w:val="-5"/>
          <w:w w:val="105"/>
        </w:rPr>
        <w:t xml:space="preserve"> </w:t>
      </w:r>
      <w:r>
        <w:rPr>
          <w:w w:val="105"/>
        </w:rPr>
        <w:t>performance</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552"/>
        <w:gridCol w:w="1453"/>
        <w:gridCol w:w="1453"/>
        <w:gridCol w:w="1453"/>
        <w:gridCol w:w="1453"/>
      </w:tblGrid>
      <w:tr w:rsidR="00A514F0" w:rsidRPr="00CB0000" w14:paraId="33E6A7C8" w14:textId="77777777" w:rsidTr="00FE6758">
        <w:trPr>
          <w:trHeight w:val="543"/>
        </w:trPr>
        <w:tc>
          <w:tcPr>
            <w:tcW w:w="2552" w:type="dxa"/>
            <w:tcBorders>
              <w:top w:val="nil"/>
              <w:bottom w:val="nil"/>
            </w:tcBorders>
            <w:shd w:val="clear" w:color="auto" w:fill="D9D9D9" w:themeFill="background1" w:themeFillShade="D9"/>
          </w:tcPr>
          <w:p w14:paraId="2D78921C" w14:textId="1804444D" w:rsidR="00A514F0" w:rsidRPr="00CB0000" w:rsidRDefault="00A514F0" w:rsidP="00FE6758">
            <w:pPr>
              <w:pStyle w:val="TableText"/>
              <w:rPr>
                <w:b/>
                <w:bCs/>
              </w:rPr>
            </w:pPr>
            <w:r w:rsidRPr="00A514F0">
              <w:rPr>
                <w:b/>
                <w:bCs/>
              </w:rPr>
              <w:t>Regulatory and enforcement services</w:t>
            </w:r>
          </w:p>
        </w:tc>
        <w:tc>
          <w:tcPr>
            <w:tcW w:w="1453" w:type="dxa"/>
            <w:tcBorders>
              <w:top w:val="nil"/>
              <w:bottom w:val="nil"/>
            </w:tcBorders>
            <w:shd w:val="clear" w:color="auto" w:fill="D9D9D9" w:themeFill="background1" w:themeFillShade="D9"/>
          </w:tcPr>
          <w:p w14:paraId="058A01A2" w14:textId="77777777" w:rsidR="00A514F0" w:rsidRPr="00CB0000" w:rsidRDefault="00A514F0" w:rsidP="00FE6758">
            <w:pPr>
              <w:pStyle w:val="TableText"/>
              <w:jc w:val="right"/>
              <w:rPr>
                <w:b/>
                <w:bCs/>
              </w:rPr>
            </w:pPr>
            <w:r w:rsidRPr="00CB0000">
              <w:rPr>
                <w:b/>
                <w:bCs/>
              </w:rPr>
              <w:t>Actual</w:t>
            </w:r>
          </w:p>
        </w:tc>
        <w:tc>
          <w:tcPr>
            <w:tcW w:w="1453" w:type="dxa"/>
            <w:tcBorders>
              <w:top w:val="nil"/>
              <w:bottom w:val="nil"/>
            </w:tcBorders>
            <w:shd w:val="clear" w:color="auto" w:fill="D9D9D9" w:themeFill="background1" w:themeFillShade="D9"/>
          </w:tcPr>
          <w:p w14:paraId="1A6D65F1" w14:textId="77777777" w:rsidR="00A514F0" w:rsidRPr="00CB0000" w:rsidRDefault="00A514F0" w:rsidP="00FE6758">
            <w:pPr>
              <w:pStyle w:val="TableText"/>
              <w:jc w:val="right"/>
              <w:rPr>
                <w:b/>
                <w:bCs/>
              </w:rPr>
            </w:pPr>
            <w:r w:rsidRPr="00CB0000">
              <w:rPr>
                <w:b/>
                <w:bCs/>
              </w:rPr>
              <w:t xml:space="preserve">Main </w:t>
            </w:r>
            <w:r w:rsidRPr="00CB0000">
              <w:rPr>
                <w:b/>
                <w:bCs/>
              </w:rPr>
              <w:br/>
              <w:t>estimates</w:t>
            </w:r>
          </w:p>
        </w:tc>
        <w:tc>
          <w:tcPr>
            <w:tcW w:w="1453" w:type="dxa"/>
            <w:tcBorders>
              <w:top w:val="nil"/>
              <w:bottom w:val="nil"/>
            </w:tcBorders>
            <w:shd w:val="clear" w:color="auto" w:fill="D9D9D9" w:themeFill="background1" w:themeFillShade="D9"/>
          </w:tcPr>
          <w:p w14:paraId="71EC89F7" w14:textId="77777777" w:rsidR="00A514F0" w:rsidRPr="00CB0000" w:rsidRDefault="00A514F0" w:rsidP="00FE6758">
            <w:pPr>
              <w:pStyle w:val="TableText"/>
              <w:jc w:val="right"/>
              <w:rPr>
                <w:b/>
                <w:bCs/>
              </w:rPr>
            </w:pPr>
            <w:r w:rsidRPr="00CB0000">
              <w:rPr>
                <w:b/>
                <w:bCs/>
              </w:rPr>
              <w:t>Voted appropriation</w:t>
            </w:r>
          </w:p>
        </w:tc>
        <w:tc>
          <w:tcPr>
            <w:tcW w:w="1453" w:type="dxa"/>
            <w:tcBorders>
              <w:top w:val="nil"/>
              <w:bottom w:val="nil"/>
            </w:tcBorders>
            <w:shd w:val="clear" w:color="auto" w:fill="D9D9D9" w:themeFill="background1" w:themeFillShade="D9"/>
          </w:tcPr>
          <w:p w14:paraId="1A75CA82" w14:textId="77777777" w:rsidR="00A514F0" w:rsidRPr="00CB0000" w:rsidRDefault="00A514F0" w:rsidP="00FE6758">
            <w:pPr>
              <w:pStyle w:val="TableText"/>
              <w:jc w:val="right"/>
              <w:rPr>
                <w:b/>
                <w:bCs/>
              </w:rPr>
            </w:pPr>
            <w:r w:rsidRPr="00CB0000">
              <w:rPr>
                <w:b/>
                <w:bCs/>
              </w:rPr>
              <w:t>Actual</w:t>
            </w:r>
          </w:p>
        </w:tc>
      </w:tr>
      <w:tr w:rsidR="00A514F0" w:rsidRPr="00CB0000" w14:paraId="4236968E" w14:textId="77777777" w:rsidTr="00FE6758">
        <w:tc>
          <w:tcPr>
            <w:tcW w:w="2552" w:type="dxa"/>
            <w:tcBorders>
              <w:top w:val="nil"/>
              <w:bottom w:val="nil"/>
            </w:tcBorders>
            <w:shd w:val="clear" w:color="auto" w:fill="D9D9D9" w:themeFill="background1" w:themeFillShade="D9"/>
          </w:tcPr>
          <w:p w14:paraId="32BF733B" w14:textId="77777777" w:rsidR="00A514F0" w:rsidRPr="00CB0000" w:rsidRDefault="00A514F0" w:rsidP="00FE6758">
            <w:pPr>
              <w:pStyle w:val="TableText"/>
              <w:rPr>
                <w:b/>
                <w:bCs/>
              </w:rPr>
            </w:pPr>
          </w:p>
        </w:tc>
        <w:tc>
          <w:tcPr>
            <w:tcW w:w="1453" w:type="dxa"/>
            <w:tcBorders>
              <w:top w:val="nil"/>
              <w:bottom w:val="nil"/>
            </w:tcBorders>
            <w:shd w:val="clear" w:color="auto" w:fill="D9D9D9" w:themeFill="background1" w:themeFillShade="D9"/>
          </w:tcPr>
          <w:p w14:paraId="75B47486" w14:textId="77777777" w:rsidR="00A514F0" w:rsidRPr="00CB0000" w:rsidRDefault="00A514F0" w:rsidP="00FE6758">
            <w:pPr>
              <w:pStyle w:val="TableText"/>
              <w:jc w:val="right"/>
              <w:rPr>
                <w:b/>
                <w:bCs/>
              </w:rPr>
            </w:pPr>
            <w:r w:rsidRPr="00CB0000">
              <w:rPr>
                <w:b/>
                <w:bCs/>
              </w:rPr>
              <w:t>2021/22</w:t>
            </w:r>
          </w:p>
          <w:p w14:paraId="26E72D92" w14:textId="77777777" w:rsidR="00A514F0" w:rsidRPr="00CB0000" w:rsidRDefault="00A514F0"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0DCBFB4E" w14:textId="77777777" w:rsidR="00A514F0" w:rsidRPr="00CB0000" w:rsidRDefault="00A514F0" w:rsidP="00FE6758">
            <w:pPr>
              <w:pStyle w:val="TableText"/>
              <w:jc w:val="right"/>
              <w:rPr>
                <w:b/>
                <w:bCs/>
              </w:rPr>
            </w:pPr>
            <w:r w:rsidRPr="00CB0000">
              <w:rPr>
                <w:b/>
                <w:bCs/>
              </w:rPr>
              <w:t>2021/22</w:t>
            </w:r>
          </w:p>
          <w:p w14:paraId="65749AD4" w14:textId="77777777" w:rsidR="00A514F0" w:rsidRPr="00CB0000" w:rsidRDefault="00A514F0"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45649965" w14:textId="77777777" w:rsidR="00A514F0" w:rsidRPr="00CB0000" w:rsidRDefault="00A514F0" w:rsidP="00FE6758">
            <w:pPr>
              <w:pStyle w:val="TableText"/>
              <w:jc w:val="right"/>
              <w:rPr>
                <w:b/>
                <w:bCs/>
              </w:rPr>
            </w:pPr>
            <w:r w:rsidRPr="00CB0000">
              <w:rPr>
                <w:b/>
                <w:bCs/>
              </w:rPr>
              <w:t>2021/22</w:t>
            </w:r>
          </w:p>
          <w:p w14:paraId="3F5DA47D" w14:textId="77777777" w:rsidR="00A514F0" w:rsidRPr="00CB0000" w:rsidRDefault="00A514F0"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067C1F5D" w14:textId="77777777" w:rsidR="00A514F0" w:rsidRPr="00CB0000" w:rsidRDefault="00A514F0" w:rsidP="00FE6758">
            <w:pPr>
              <w:pStyle w:val="TableText"/>
              <w:jc w:val="right"/>
              <w:rPr>
                <w:b/>
                <w:bCs/>
              </w:rPr>
            </w:pPr>
            <w:r w:rsidRPr="00CB0000">
              <w:rPr>
                <w:b/>
                <w:bCs/>
              </w:rPr>
              <w:t>2021/22</w:t>
            </w:r>
          </w:p>
          <w:p w14:paraId="62CBDEFE" w14:textId="77777777" w:rsidR="00A514F0" w:rsidRPr="00CB0000" w:rsidRDefault="00A514F0" w:rsidP="00FE6758">
            <w:pPr>
              <w:pStyle w:val="TableText"/>
              <w:jc w:val="right"/>
              <w:rPr>
                <w:b/>
                <w:bCs/>
              </w:rPr>
            </w:pPr>
            <w:r w:rsidRPr="00CB0000">
              <w:rPr>
                <w:b/>
                <w:bCs/>
              </w:rPr>
              <w:t>$000</w:t>
            </w:r>
          </w:p>
        </w:tc>
      </w:tr>
      <w:tr w:rsidR="00A514F0" w:rsidRPr="00CB0000" w14:paraId="4C4843DD" w14:textId="77777777" w:rsidTr="00FE6758">
        <w:tc>
          <w:tcPr>
            <w:tcW w:w="2552" w:type="dxa"/>
            <w:tcBorders>
              <w:top w:val="nil"/>
            </w:tcBorders>
          </w:tcPr>
          <w:p w14:paraId="433AAF16" w14:textId="77777777" w:rsidR="00A514F0" w:rsidRPr="00CB0000" w:rsidRDefault="00A514F0" w:rsidP="00A514F0">
            <w:pPr>
              <w:pStyle w:val="TableText"/>
            </w:pPr>
            <w:r w:rsidRPr="00466E9A">
              <w:t>Crown revenue</w:t>
            </w:r>
          </w:p>
        </w:tc>
        <w:tc>
          <w:tcPr>
            <w:tcW w:w="1453" w:type="dxa"/>
            <w:tcBorders>
              <w:top w:val="nil"/>
            </w:tcBorders>
          </w:tcPr>
          <w:p w14:paraId="3D5BAF3E" w14:textId="63936DCE" w:rsidR="00A514F0" w:rsidRPr="00CB0000" w:rsidRDefault="00A514F0" w:rsidP="00A514F0">
            <w:pPr>
              <w:pStyle w:val="TableText"/>
              <w:jc w:val="right"/>
            </w:pPr>
            <w:r w:rsidRPr="00B07C14">
              <w:t>12,795</w:t>
            </w:r>
          </w:p>
        </w:tc>
        <w:tc>
          <w:tcPr>
            <w:tcW w:w="1453" w:type="dxa"/>
            <w:tcBorders>
              <w:top w:val="nil"/>
            </w:tcBorders>
          </w:tcPr>
          <w:p w14:paraId="015EA59C" w14:textId="54B6DBCC" w:rsidR="00A514F0" w:rsidRPr="00CB0000" w:rsidRDefault="00A514F0" w:rsidP="00A514F0">
            <w:pPr>
              <w:pStyle w:val="TableText"/>
              <w:jc w:val="right"/>
            </w:pPr>
            <w:r w:rsidRPr="00B07C14">
              <w:t>16,029</w:t>
            </w:r>
          </w:p>
        </w:tc>
        <w:tc>
          <w:tcPr>
            <w:tcW w:w="1453" w:type="dxa"/>
            <w:tcBorders>
              <w:top w:val="nil"/>
            </w:tcBorders>
          </w:tcPr>
          <w:p w14:paraId="2703FB1C" w14:textId="561C96CD" w:rsidR="00A514F0" w:rsidRPr="00CB0000" w:rsidRDefault="00A514F0" w:rsidP="00A514F0">
            <w:pPr>
              <w:pStyle w:val="TableText"/>
              <w:jc w:val="right"/>
            </w:pPr>
            <w:r w:rsidRPr="00B07C14">
              <w:t>16,579</w:t>
            </w:r>
          </w:p>
        </w:tc>
        <w:tc>
          <w:tcPr>
            <w:tcW w:w="1453" w:type="dxa"/>
            <w:tcBorders>
              <w:top w:val="nil"/>
            </w:tcBorders>
          </w:tcPr>
          <w:p w14:paraId="5EC525CE" w14:textId="11670EA5" w:rsidR="00A514F0" w:rsidRPr="00CB0000" w:rsidRDefault="00A514F0" w:rsidP="00A514F0">
            <w:pPr>
              <w:pStyle w:val="TableText"/>
              <w:jc w:val="right"/>
            </w:pPr>
            <w:r w:rsidRPr="00B07C14">
              <w:t>16,579</w:t>
            </w:r>
          </w:p>
        </w:tc>
      </w:tr>
      <w:tr w:rsidR="00A514F0" w:rsidRPr="00CB0000" w14:paraId="70A42193" w14:textId="77777777" w:rsidTr="00FE6758">
        <w:tc>
          <w:tcPr>
            <w:tcW w:w="2552" w:type="dxa"/>
          </w:tcPr>
          <w:p w14:paraId="0B60465C" w14:textId="77777777" w:rsidR="00A514F0" w:rsidRPr="00CB0000" w:rsidRDefault="00A514F0" w:rsidP="00A514F0">
            <w:pPr>
              <w:pStyle w:val="TableText"/>
            </w:pPr>
            <w:r w:rsidRPr="00466E9A">
              <w:t>Other revenue</w:t>
            </w:r>
          </w:p>
        </w:tc>
        <w:tc>
          <w:tcPr>
            <w:tcW w:w="1453" w:type="dxa"/>
          </w:tcPr>
          <w:p w14:paraId="0777FF6F" w14:textId="384B8439" w:rsidR="00A514F0" w:rsidRPr="00CB0000" w:rsidRDefault="00A514F0" w:rsidP="00A514F0">
            <w:pPr>
              <w:pStyle w:val="TableText"/>
              <w:jc w:val="right"/>
            </w:pPr>
            <w:r w:rsidRPr="00B07C14">
              <w:t>13,022</w:t>
            </w:r>
          </w:p>
        </w:tc>
        <w:tc>
          <w:tcPr>
            <w:tcW w:w="1453" w:type="dxa"/>
          </w:tcPr>
          <w:p w14:paraId="218EE7CB" w14:textId="0E0DA994" w:rsidR="00A514F0" w:rsidRPr="00CB0000" w:rsidRDefault="00A514F0" w:rsidP="00A514F0">
            <w:pPr>
              <w:pStyle w:val="TableText"/>
              <w:jc w:val="right"/>
            </w:pPr>
            <w:r w:rsidRPr="00B07C14">
              <w:t>15,949</w:t>
            </w:r>
          </w:p>
        </w:tc>
        <w:tc>
          <w:tcPr>
            <w:tcW w:w="1453" w:type="dxa"/>
          </w:tcPr>
          <w:p w14:paraId="025F1F81" w14:textId="5AAC1E6D" w:rsidR="00A514F0" w:rsidRPr="00CB0000" w:rsidRDefault="00A514F0" w:rsidP="00A514F0">
            <w:pPr>
              <w:pStyle w:val="TableText"/>
              <w:jc w:val="right"/>
            </w:pPr>
            <w:r w:rsidRPr="00B07C14">
              <w:t>16,334</w:t>
            </w:r>
          </w:p>
        </w:tc>
        <w:tc>
          <w:tcPr>
            <w:tcW w:w="1453" w:type="dxa"/>
          </w:tcPr>
          <w:p w14:paraId="164859A7" w14:textId="70348D43" w:rsidR="00A514F0" w:rsidRPr="00CB0000" w:rsidRDefault="00A514F0" w:rsidP="00A514F0">
            <w:pPr>
              <w:pStyle w:val="TableText"/>
              <w:jc w:val="right"/>
            </w:pPr>
            <w:r w:rsidRPr="00B07C14">
              <w:t>16,552</w:t>
            </w:r>
          </w:p>
        </w:tc>
      </w:tr>
      <w:tr w:rsidR="00A514F0" w:rsidRPr="00CB0000" w14:paraId="71934C80" w14:textId="77777777" w:rsidTr="00FE6758">
        <w:tc>
          <w:tcPr>
            <w:tcW w:w="2552" w:type="dxa"/>
          </w:tcPr>
          <w:p w14:paraId="63A9074D" w14:textId="77777777" w:rsidR="00A514F0" w:rsidRPr="00CB0000" w:rsidRDefault="00A514F0" w:rsidP="00A514F0">
            <w:pPr>
              <w:pStyle w:val="TableText"/>
            </w:pPr>
            <w:r w:rsidRPr="00466E9A">
              <w:t>Total revenue</w:t>
            </w:r>
          </w:p>
        </w:tc>
        <w:tc>
          <w:tcPr>
            <w:tcW w:w="1453" w:type="dxa"/>
          </w:tcPr>
          <w:p w14:paraId="6689FB66" w14:textId="72334D09" w:rsidR="00A514F0" w:rsidRPr="00CB0000" w:rsidRDefault="00A514F0" w:rsidP="00A514F0">
            <w:pPr>
              <w:pStyle w:val="TableText"/>
              <w:jc w:val="right"/>
            </w:pPr>
            <w:r w:rsidRPr="00B07C14">
              <w:t>25,817</w:t>
            </w:r>
          </w:p>
        </w:tc>
        <w:tc>
          <w:tcPr>
            <w:tcW w:w="1453" w:type="dxa"/>
          </w:tcPr>
          <w:p w14:paraId="567E5D82" w14:textId="0D9D5E6E" w:rsidR="00A514F0" w:rsidRPr="00CB0000" w:rsidRDefault="00A514F0" w:rsidP="00A514F0">
            <w:pPr>
              <w:pStyle w:val="TableText"/>
              <w:jc w:val="right"/>
            </w:pPr>
            <w:r w:rsidRPr="00B07C14">
              <w:t>31,978</w:t>
            </w:r>
          </w:p>
        </w:tc>
        <w:tc>
          <w:tcPr>
            <w:tcW w:w="1453" w:type="dxa"/>
          </w:tcPr>
          <w:p w14:paraId="48D61BD1" w14:textId="4A02A2BB" w:rsidR="00A514F0" w:rsidRPr="00CB0000" w:rsidRDefault="00A514F0" w:rsidP="00A514F0">
            <w:pPr>
              <w:pStyle w:val="TableText"/>
              <w:jc w:val="right"/>
            </w:pPr>
            <w:r w:rsidRPr="00B07C14">
              <w:t>32,913</w:t>
            </w:r>
          </w:p>
        </w:tc>
        <w:tc>
          <w:tcPr>
            <w:tcW w:w="1453" w:type="dxa"/>
          </w:tcPr>
          <w:p w14:paraId="58F607BA" w14:textId="766C8B3A" w:rsidR="00A514F0" w:rsidRPr="00CB0000" w:rsidRDefault="00A514F0" w:rsidP="00A514F0">
            <w:pPr>
              <w:pStyle w:val="TableText"/>
              <w:jc w:val="right"/>
            </w:pPr>
            <w:r w:rsidRPr="00B07C14">
              <w:t>33,131</w:t>
            </w:r>
          </w:p>
        </w:tc>
      </w:tr>
      <w:tr w:rsidR="00A514F0" w:rsidRPr="00CB0000" w14:paraId="1B59C5EC" w14:textId="77777777" w:rsidTr="00FE6758">
        <w:tc>
          <w:tcPr>
            <w:tcW w:w="2552" w:type="dxa"/>
          </w:tcPr>
          <w:p w14:paraId="3AEAB3DA" w14:textId="77777777" w:rsidR="00A514F0" w:rsidRPr="00CB0000" w:rsidRDefault="00A514F0" w:rsidP="00A514F0">
            <w:pPr>
              <w:pStyle w:val="TableText"/>
            </w:pPr>
            <w:r w:rsidRPr="00466E9A">
              <w:t>Total expenses</w:t>
            </w:r>
          </w:p>
        </w:tc>
        <w:tc>
          <w:tcPr>
            <w:tcW w:w="1453" w:type="dxa"/>
          </w:tcPr>
          <w:p w14:paraId="590274A8" w14:textId="7C50682C" w:rsidR="00A514F0" w:rsidRPr="00CB0000" w:rsidRDefault="00A514F0" w:rsidP="00A514F0">
            <w:pPr>
              <w:pStyle w:val="TableText"/>
              <w:jc w:val="right"/>
            </w:pPr>
            <w:r w:rsidRPr="00B07C14">
              <w:t>27,994</w:t>
            </w:r>
          </w:p>
        </w:tc>
        <w:tc>
          <w:tcPr>
            <w:tcW w:w="1453" w:type="dxa"/>
          </w:tcPr>
          <w:p w14:paraId="4E422F4A" w14:textId="685012E8" w:rsidR="00A514F0" w:rsidRPr="00CB0000" w:rsidRDefault="00A514F0" w:rsidP="00A514F0">
            <w:pPr>
              <w:pStyle w:val="TableText"/>
              <w:jc w:val="right"/>
            </w:pPr>
            <w:r w:rsidRPr="00B07C14">
              <w:t>31,978</w:t>
            </w:r>
          </w:p>
        </w:tc>
        <w:tc>
          <w:tcPr>
            <w:tcW w:w="1453" w:type="dxa"/>
          </w:tcPr>
          <w:p w14:paraId="5C1D170D" w14:textId="00FC87CA" w:rsidR="00A514F0" w:rsidRPr="00CB0000" w:rsidRDefault="00A514F0" w:rsidP="00A514F0">
            <w:pPr>
              <w:pStyle w:val="TableText"/>
              <w:jc w:val="right"/>
            </w:pPr>
            <w:r w:rsidRPr="00B07C14">
              <w:t>32,913</w:t>
            </w:r>
          </w:p>
        </w:tc>
        <w:tc>
          <w:tcPr>
            <w:tcW w:w="1453" w:type="dxa"/>
          </w:tcPr>
          <w:p w14:paraId="630A4083" w14:textId="48295080" w:rsidR="00A514F0" w:rsidRPr="00CB0000" w:rsidRDefault="00A514F0" w:rsidP="00A514F0">
            <w:pPr>
              <w:pStyle w:val="TableText"/>
              <w:jc w:val="right"/>
            </w:pPr>
            <w:r w:rsidRPr="00B07C14">
              <w:t>31,013</w:t>
            </w:r>
          </w:p>
        </w:tc>
      </w:tr>
      <w:tr w:rsidR="00A514F0" w:rsidRPr="00CB0000" w14:paraId="175ECB9D" w14:textId="77777777" w:rsidTr="00FE6758">
        <w:tc>
          <w:tcPr>
            <w:tcW w:w="2552" w:type="dxa"/>
          </w:tcPr>
          <w:p w14:paraId="5E0AAA87" w14:textId="77777777" w:rsidR="00A514F0" w:rsidRPr="00CB0000" w:rsidRDefault="00A514F0" w:rsidP="00A514F0">
            <w:pPr>
              <w:pStyle w:val="TableText"/>
            </w:pPr>
            <w:r w:rsidRPr="00466E9A">
              <w:t>Net surplus (deficit)</w:t>
            </w:r>
          </w:p>
        </w:tc>
        <w:tc>
          <w:tcPr>
            <w:tcW w:w="1453" w:type="dxa"/>
          </w:tcPr>
          <w:p w14:paraId="5A3CD4EF" w14:textId="125231EA" w:rsidR="00A514F0" w:rsidRPr="00CB0000" w:rsidRDefault="00A514F0" w:rsidP="00A514F0">
            <w:pPr>
              <w:pStyle w:val="TableText"/>
              <w:jc w:val="right"/>
            </w:pPr>
            <w:r w:rsidRPr="00B07C14">
              <w:t>(2,177)</w:t>
            </w:r>
          </w:p>
        </w:tc>
        <w:tc>
          <w:tcPr>
            <w:tcW w:w="1453" w:type="dxa"/>
          </w:tcPr>
          <w:p w14:paraId="6AC1B122" w14:textId="33D9819D" w:rsidR="00A514F0" w:rsidRPr="00CB0000" w:rsidRDefault="00A514F0" w:rsidP="00A514F0">
            <w:pPr>
              <w:pStyle w:val="TableText"/>
              <w:jc w:val="right"/>
            </w:pPr>
            <w:r w:rsidRPr="00B07C14">
              <w:t>-</w:t>
            </w:r>
          </w:p>
        </w:tc>
        <w:tc>
          <w:tcPr>
            <w:tcW w:w="1453" w:type="dxa"/>
          </w:tcPr>
          <w:p w14:paraId="23B55D2A" w14:textId="66638F26" w:rsidR="00A514F0" w:rsidRPr="00CB0000" w:rsidRDefault="00A514F0" w:rsidP="00A514F0">
            <w:pPr>
              <w:pStyle w:val="TableText"/>
              <w:jc w:val="right"/>
            </w:pPr>
            <w:r w:rsidRPr="00B07C14">
              <w:t>-</w:t>
            </w:r>
          </w:p>
        </w:tc>
        <w:tc>
          <w:tcPr>
            <w:tcW w:w="1453" w:type="dxa"/>
          </w:tcPr>
          <w:p w14:paraId="7FC3D8BD" w14:textId="4A83EC1C" w:rsidR="00A514F0" w:rsidRPr="00CB0000" w:rsidRDefault="00A514F0" w:rsidP="00A514F0">
            <w:pPr>
              <w:pStyle w:val="TableText"/>
              <w:jc w:val="right"/>
            </w:pPr>
            <w:r w:rsidRPr="00B07C14">
              <w:t>2,118</w:t>
            </w:r>
          </w:p>
        </w:tc>
      </w:tr>
    </w:tbl>
    <w:p w14:paraId="6C64A3EC" w14:textId="0B2B0F6B" w:rsidR="00A514F0" w:rsidRDefault="00A514F0" w:rsidP="00A514F0">
      <w:pPr>
        <w:rPr>
          <w:rFonts w:eastAsia="Arial Unicode MS"/>
        </w:rPr>
      </w:pPr>
    </w:p>
    <w:p w14:paraId="19007775" w14:textId="36337552" w:rsidR="00A514F0" w:rsidRDefault="00A514F0" w:rsidP="00A514F0">
      <w:pPr>
        <w:rPr>
          <w:rFonts w:eastAsia="Arial Unicode MS"/>
        </w:rPr>
      </w:pPr>
      <w:r w:rsidRPr="00A514F0">
        <w:rPr>
          <w:rFonts w:eastAsia="Arial Unicode MS"/>
        </w:rPr>
        <w:t>The underspend against the final appropriated budget is a result of delays in the build of a new radiation store, a common software platform for regulatory schemes and lower than anticipated activity in relation to the Assisted Dying scheme.</w:t>
      </w:r>
    </w:p>
    <w:p w14:paraId="6F288F0C" w14:textId="77777777" w:rsidR="00A514F0" w:rsidRPr="00A514F0" w:rsidRDefault="00A514F0" w:rsidP="00A514F0">
      <w:pPr>
        <w:rPr>
          <w:rFonts w:eastAsia="Arial Unicode MS"/>
        </w:rPr>
      </w:pPr>
    </w:p>
    <w:p w14:paraId="0DFB2AB4" w14:textId="0204AB69" w:rsidR="00A514F0" w:rsidRDefault="00A514F0" w:rsidP="00A514F0">
      <w:pPr>
        <w:rPr>
          <w:rFonts w:eastAsia="Arial Unicode MS"/>
        </w:rPr>
      </w:pPr>
      <w:r w:rsidRPr="00A514F0">
        <w:rPr>
          <w:rFonts w:eastAsia="Arial Unicode MS"/>
        </w:rPr>
        <w:t>The Joint Ministers have approved an in-principle expense transfer of up $1.550 million from 2021/22 to 2022/23 which will be confirmed as part of the 2022 October Baseline Update.</w:t>
      </w:r>
    </w:p>
    <w:p w14:paraId="31096964" w14:textId="77777777" w:rsidR="00A514F0" w:rsidRPr="00A514F0" w:rsidRDefault="00A514F0" w:rsidP="00A514F0">
      <w:pPr>
        <w:pStyle w:val="Heading3"/>
      </w:pPr>
      <w:bookmarkStart w:id="42" w:name="_Toc117264949"/>
      <w:r w:rsidRPr="00A514F0">
        <w:t>Sector Planning and Performance</w:t>
      </w:r>
      <w:bookmarkEnd w:id="42"/>
    </w:p>
    <w:p w14:paraId="511CFC5E" w14:textId="4D2DBEAF" w:rsidR="00A514F0" w:rsidRDefault="00A514F0" w:rsidP="00A514F0">
      <w:pPr>
        <w:rPr>
          <w:rFonts w:eastAsia="Arial Unicode MS"/>
        </w:rPr>
      </w:pPr>
      <w:r w:rsidRPr="00A514F0">
        <w:rPr>
          <w:rFonts w:eastAsia="Arial Unicode MS"/>
        </w:rPr>
        <w:t>This appropriation is limited to advising on and co-ordinating health sector planning and performance improvement; and funding, monitoring, and supporting the governance of health sector Crown entities, and sector co-ordination.</w:t>
      </w:r>
    </w:p>
    <w:p w14:paraId="6EF91FB4" w14:textId="77777777" w:rsidR="00A514F0" w:rsidRPr="00A514F0" w:rsidRDefault="00A514F0" w:rsidP="00A514F0">
      <w:pPr>
        <w:rPr>
          <w:rFonts w:eastAsia="Arial Unicode MS"/>
        </w:rPr>
      </w:pPr>
    </w:p>
    <w:p w14:paraId="600A7039" w14:textId="66423E50" w:rsidR="00A514F0" w:rsidRDefault="00A514F0" w:rsidP="00A514F0">
      <w:pPr>
        <w:rPr>
          <w:rFonts w:eastAsia="Arial Unicode MS"/>
        </w:rPr>
      </w:pPr>
      <w:r w:rsidRPr="00A514F0">
        <w:rPr>
          <w:rFonts w:eastAsia="Arial Unicode MS"/>
        </w:rPr>
        <w:t>This appropriation is intended to achieve: health sector services are appropriately planned, funded, and monitored; health sector Crown entities, agencies, and companies are appropriately governed; and sector co-ordination is encouraged and assisted.</w:t>
      </w:r>
    </w:p>
    <w:p w14:paraId="1EFA1DA5" w14:textId="0F0576D3" w:rsidR="00A514F0" w:rsidRDefault="00A514F0" w:rsidP="00A514F0">
      <w:pPr>
        <w:pStyle w:val="Heading4"/>
      </w:pPr>
      <w:r w:rsidRPr="00A514F0">
        <w:t>Performance assessment</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170"/>
      </w:tblGrid>
      <w:tr w:rsidR="00A514F0" w:rsidRPr="00950725" w14:paraId="5273C8F2" w14:textId="77777777" w:rsidTr="00FE6758">
        <w:trPr>
          <w:trHeight w:val="496"/>
          <w:tblHeader/>
        </w:trPr>
        <w:tc>
          <w:tcPr>
            <w:tcW w:w="3686" w:type="dxa"/>
            <w:tcBorders>
              <w:top w:val="nil"/>
              <w:bottom w:val="nil"/>
            </w:tcBorders>
            <w:shd w:val="clear" w:color="auto" w:fill="D9D9D9" w:themeFill="background1" w:themeFillShade="D9"/>
          </w:tcPr>
          <w:p w14:paraId="6C8E2A59" w14:textId="19CA9EB2" w:rsidR="00A514F0" w:rsidRPr="00950725" w:rsidRDefault="006A19AA" w:rsidP="00FE6758">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24FB7BEA" w14:textId="77777777" w:rsidR="00A514F0" w:rsidRPr="00950725" w:rsidRDefault="00A514F0" w:rsidP="00FE6758">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5ECD82EB" w14:textId="77777777" w:rsidR="00A514F0" w:rsidRPr="00950725" w:rsidRDefault="00A514F0" w:rsidP="00FE6758">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4593FAB6" w14:textId="731FF0EC" w:rsidR="00A514F0" w:rsidRPr="00950725" w:rsidRDefault="00A514F0" w:rsidP="00975ED6">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5905E6CA" w14:textId="77777777" w:rsidR="00A514F0" w:rsidRPr="00950725" w:rsidRDefault="00A514F0" w:rsidP="00FE6758">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A514F0" w14:paraId="0477FBF7" w14:textId="77777777" w:rsidTr="00FE6758">
        <w:trPr>
          <w:trHeight w:val="344"/>
          <w:tblHeader/>
        </w:trPr>
        <w:tc>
          <w:tcPr>
            <w:tcW w:w="3686" w:type="dxa"/>
            <w:tcBorders>
              <w:top w:val="nil"/>
              <w:bottom w:val="nil"/>
            </w:tcBorders>
            <w:shd w:val="clear" w:color="auto" w:fill="D9D9D9" w:themeFill="background1" w:themeFillShade="D9"/>
          </w:tcPr>
          <w:p w14:paraId="3EF0C587" w14:textId="77777777" w:rsidR="00A514F0" w:rsidRDefault="00A514F0" w:rsidP="00FE6758">
            <w:pPr>
              <w:pStyle w:val="TableText"/>
              <w:spacing w:after="0"/>
              <w:rPr>
                <w:w w:val="105"/>
              </w:rPr>
            </w:pPr>
          </w:p>
        </w:tc>
        <w:tc>
          <w:tcPr>
            <w:tcW w:w="1169" w:type="dxa"/>
            <w:tcBorders>
              <w:top w:val="nil"/>
              <w:bottom w:val="nil"/>
            </w:tcBorders>
            <w:shd w:val="clear" w:color="auto" w:fill="D9D9D9" w:themeFill="background1" w:themeFillShade="D9"/>
          </w:tcPr>
          <w:p w14:paraId="35D6AF2D" w14:textId="77777777" w:rsidR="00A514F0" w:rsidRDefault="00A514F0"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080B10BE" w14:textId="77777777" w:rsidR="00A514F0" w:rsidRDefault="00A514F0" w:rsidP="00FE6758">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2B8DEFC3" w14:textId="77777777" w:rsidR="00A514F0" w:rsidRDefault="00A514F0"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7F33E227" w14:textId="77777777" w:rsidR="00A514F0" w:rsidRDefault="00A514F0" w:rsidP="00FE6758">
            <w:pPr>
              <w:pStyle w:val="TableText"/>
              <w:jc w:val="right"/>
              <w:rPr>
                <w:rFonts w:ascii="Times New Roman"/>
              </w:rPr>
            </w:pPr>
          </w:p>
        </w:tc>
      </w:tr>
      <w:tr w:rsidR="00A514F0" w:rsidRPr="00950725" w14:paraId="02983A34" w14:textId="77777777" w:rsidTr="00FE6758">
        <w:trPr>
          <w:trHeight w:val="344"/>
        </w:trPr>
        <w:tc>
          <w:tcPr>
            <w:tcW w:w="3686" w:type="dxa"/>
            <w:tcBorders>
              <w:top w:val="nil"/>
            </w:tcBorders>
          </w:tcPr>
          <w:p w14:paraId="0A09E7B5" w14:textId="1F12EC94" w:rsidR="00A514F0" w:rsidRPr="00950725" w:rsidRDefault="00A514F0" w:rsidP="00A514F0">
            <w:pPr>
              <w:pStyle w:val="TableText"/>
              <w:rPr>
                <w:b/>
                <w:bCs/>
              </w:rPr>
            </w:pPr>
            <w:r w:rsidRPr="00113ACC">
              <w:t>Planning advice for the financial year is provided to DHBs by 31 December (Note 1)</w:t>
            </w:r>
          </w:p>
        </w:tc>
        <w:tc>
          <w:tcPr>
            <w:tcW w:w="1169" w:type="dxa"/>
            <w:tcBorders>
              <w:top w:val="nil"/>
            </w:tcBorders>
          </w:tcPr>
          <w:p w14:paraId="390ACE57" w14:textId="5163034A" w:rsidR="00A514F0" w:rsidRPr="00950725" w:rsidRDefault="00A514F0" w:rsidP="00A514F0">
            <w:pPr>
              <w:pStyle w:val="TableText"/>
              <w:jc w:val="right"/>
              <w:rPr>
                <w:rFonts w:ascii="Times New Roman"/>
                <w:b/>
                <w:bCs/>
              </w:rPr>
            </w:pPr>
            <w:r w:rsidRPr="00CD2D6F">
              <w:t>New measure</w:t>
            </w:r>
          </w:p>
        </w:tc>
        <w:tc>
          <w:tcPr>
            <w:tcW w:w="1170" w:type="dxa"/>
            <w:tcBorders>
              <w:top w:val="nil"/>
            </w:tcBorders>
          </w:tcPr>
          <w:p w14:paraId="6E9AB34C" w14:textId="5E82088B" w:rsidR="00A514F0" w:rsidRPr="00950725" w:rsidRDefault="00A514F0" w:rsidP="00A514F0">
            <w:pPr>
              <w:pStyle w:val="TableText"/>
              <w:jc w:val="right"/>
              <w:rPr>
                <w:rFonts w:ascii="Times New Roman"/>
                <w:b/>
                <w:bCs/>
              </w:rPr>
            </w:pPr>
            <w:r w:rsidRPr="00CD2D6F">
              <w:t>Achieved</w:t>
            </w:r>
          </w:p>
        </w:tc>
        <w:tc>
          <w:tcPr>
            <w:tcW w:w="1169" w:type="dxa"/>
            <w:tcBorders>
              <w:top w:val="nil"/>
            </w:tcBorders>
          </w:tcPr>
          <w:p w14:paraId="3FDD66B1" w14:textId="2C34BAF6" w:rsidR="00A514F0" w:rsidRPr="00950725" w:rsidRDefault="00A514F0" w:rsidP="00A514F0">
            <w:pPr>
              <w:pStyle w:val="TableText"/>
              <w:jc w:val="right"/>
              <w:rPr>
                <w:rFonts w:ascii="Times New Roman"/>
                <w:b/>
                <w:bCs/>
              </w:rPr>
            </w:pPr>
            <w:r w:rsidRPr="00CD2D6F">
              <w:t xml:space="preserve">Not </w:t>
            </w:r>
            <w:r>
              <w:br/>
            </w:r>
            <w:r w:rsidRPr="00CD2D6F">
              <w:t>achieved</w:t>
            </w:r>
          </w:p>
        </w:tc>
        <w:tc>
          <w:tcPr>
            <w:tcW w:w="1170" w:type="dxa"/>
            <w:tcBorders>
              <w:top w:val="nil"/>
            </w:tcBorders>
          </w:tcPr>
          <w:p w14:paraId="2BB96659" w14:textId="7BAC4507" w:rsidR="00A514F0" w:rsidRPr="00BD4046" w:rsidRDefault="00A514F0" w:rsidP="00A514F0">
            <w:pPr>
              <w:pStyle w:val="TableText"/>
              <w:jc w:val="right"/>
              <w:rPr>
                <w:rFonts w:ascii="Times New Roman"/>
                <w:b/>
                <w:bCs/>
              </w:rPr>
            </w:pPr>
            <w:r w:rsidRPr="00B47F46">
              <w:rPr>
                <w:rFonts w:cs="Segoe UI"/>
                <w:sz w:val="24"/>
                <w:szCs w:val="18"/>
              </w:rPr>
              <w:sym w:font="Wingdings" w:char="F0FB"/>
            </w:r>
          </w:p>
        </w:tc>
      </w:tr>
      <w:tr w:rsidR="00A514F0" w14:paraId="754C2079" w14:textId="77777777" w:rsidTr="00FE6758">
        <w:trPr>
          <w:trHeight w:val="77"/>
        </w:trPr>
        <w:tc>
          <w:tcPr>
            <w:tcW w:w="3686" w:type="dxa"/>
          </w:tcPr>
          <w:p w14:paraId="24FD9683" w14:textId="340AA27D" w:rsidR="00A514F0" w:rsidRDefault="00A514F0" w:rsidP="00A514F0">
            <w:pPr>
              <w:pStyle w:val="TableText"/>
            </w:pPr>
            <w:r w:rsidRPr="00113ACC">
              <w:t>Percentage of quarterly reporting output reports delivered to DHBs within 3 months of quarter end (Note 2)</w:t>
            </w:r>
          </w:p>
        </w:tc>
        <w:tc>
          <w:tcPr>
            <w:tcW w:w="1169" w:type="dxa"/>
          </w:tcPr>
          <w:p w14:paraId="2F83ED38" w14:textId="26ADBEED" w:rsidR="00A514F0" w:rsidRDefault="00A514F0" w:rsidP="00A514F0">
            <w:pPr>
              <w:pStyle w:val="TableText"/>
              <w:jc w:val="right"/>
            </w:pPr>
            <w:r w:rsidRPr="00CD2D6F">
              <w:t>New measure</w:t>
            </w:r>
          </w:p>
        </w:tc>
        <w:tc>
          <w:tcPr>
            <w:tcW w:w="1170" w:type="dxa"/>
          </w:tcPr>
          <w:p w14:paraId="73304EB7" w14:textId="72825C71" w:rsidR="00A514F0" w:rsidRDefault="00A514F0" w:rsidP="00A514F0">
            <w:pPr>
              <w:pStyle w:val="TableText"/>
              <w:jc w:val="right"/>
            </w:pPr>
            <w:r w:rsidRPr="00CD2D6F">
              <w:t>100%</w:t>
            </w:r>
          </w:p>
        </w:tc>
        <w:tc>
          <w:tcPr>
            <w:tcW w:w="1169" w:type="dxa"/>
          </w:tcPr>
          <w:p w14:paraId="1F48A65D" w14:textId="0E214CCC" w:rsidR="00A514F0" w:rsidRDefault="00A514F0" w:rsidP="00A514F0">
            <w:pPr>
              <w:pStyle w:val="TableText"/>
              <w:jc w:val="right"/>
            </w:pPr>
            <w:r w:rsidRPr="00CD2D6F">
              <w:t>0%</w:t>
            </w:r>
          </w:p>
        </w:tc>
        <w:tc>
          <w:tcPr>
            <w:tcW w:w="1170" w:type="dxa"/>
          </w:tcPr>
          <w:p w14:paraId="4122F635" w14:textId="48A980DC" w:rsidR="00A514F0" w:rsidRPr="00BD4046" w:rsidRDefault="00A514F0" w:rsidP="00A514F0">
            <w:pPr>
              <w:pStyle w:val="TableText"/>
              <w:jc w:val="right"/>
              <w:rPr>
                <w:rFonts w:cs="Segoe UI"/>
                <w:sz w:val="28"/>
              </w:rPr>
            </w:pPr>
            <w:r w:rsidRPr="00B47F46">
              <w:rPr>
                <w:rFonts w:cs="Segoe UI"/>
                <w:sz w:val="24"/>
                <w:szCs w:val="18"/>
              </w:rPr>
              <w:sym w:font="Wingdings" w:char="F0FB"/>
            </w:r>
          </w:p>
        </w:tc>
      </w:tr>
      <w:tr w:rsidR="00A514F0" w14:paraId="376D1132" w14:textId="77777777" w:rsidTr="00FE6758">
        <w:trPr>
          <w:trHeight w:val="578"/>
        </w:trPr>
        <w:tc>
          <w:tcPr>
            <w:tcW w:w="3686" w:type="dxa"/>
          </w:tcPr>
          <w:p w14:paraId="0486BE44" w14:textId="17085C25" w:rsidR="00A514F0" w:rsidRDefault="00A514F0" w:rsidP="00A514F0">
            <w:pPr>
              <w:pStyle w:val="TableText"/>
            </w:pPr>
            <w:r w:rsidRPr="00113ACC">
              <w:t>The percentage of monthly monitoring reports about DHBs provided to the Minister within agreed timeframes (Note 3)</w:t>
            </w:r>
          </w:p>
        </w:tc>
        <w:tc>
          <w:tcPr>
            <w:tcW w:w="1169" w:type="dxa"/>
          </w:tcPr>
          <w:p w14:paraId="403DF75E" w14:textId="2E8BD765" w:rsidR="00A514F0" w:rsidRDefault="00A514F0" w:rsidP="00A514F0">
            <w:pPr>
              <w:pStyle w:val="TableText"/>
              <w:jc w:val="right"/>
            </w:pPr>
            <w:r w:rsidRPr="00CD2D6F">
              <w:t>New measure</w:t>
            </w:r>
          </w:p>
        </w:tc>
        <w:tc>
          <w:tcPr>
            <w:tcW w:w="1170" w:type="dxa"/>
          </w:tcPr>
          <w:p w14:paraId="2447A1A0" w14:textId="45D31AC1" w:rsidR="00A514F0" w:rsidRDefault="00A514F0" w:rsidP="00A514F0">
            <w:pPr>
              <w:pStyle w:val="TableText"/>
              <w:jc w:val="right"/>
            </w:pPr>
            <w:r w:rsidRPr="00CD2D6F">
              <w:t>100%</w:t>
            </w:r>
          </w:p>
        </w:tc>
        <w:tc>
          <w:tcPr>
            <w:tcW w:w="1169" w:type="dxa"/>
          </w:tcPr>
          <w:p w14:paraId="6B102DBF" w14:textId="4EB62884" w:rsidR="00A514F0" w:rsidRDefault="00A514F0" w:rsidP="00A514F0">
            <w:pPr>
              <w:pStyle w:val="TableText"/>
              <w:jc w:val="right"/>
            </w:pPr>
            <w:r w:rsidRPr="00CD2D6F">
              <w:t>55%</w:t>
            </w:r>
          </w:p>
        </w:tc>
        <w:tc>
          <w:tcPr>
            <w:tcW w:w="1170" w:type="dxa"/>
          </w:tcPr>
          <w:p w14:paraId="66B7E22F" w14:textId="770327AD" w:rsidR="00A514F0" w:rsidRPr="00BD4046" w:rsidRDefault="00A514F0" w:rsidP="00A514F0">
            <w:pPr>
              <w:pStyle w:val="TableText"/>
              <w:jc w:val="right"/>
              <w:rPr>
                <w:rFonts w:ascii="Franklin Gothic Heavy" w:hAnsi="Franklin Gothic Heavy"/>
                <w:b/>
                <w:bCs/>
                <w:sz w:val="28"/>
              </w:rPr>
            </w:pPr>
            <w:r w:rsidRPr="00B47F46">
              <w:rPr>
                <w:rFonts w:cs="Segoe UI"/>
                <w:sz w:val="24"/>
                <w:szCs w:val="18"/>
              </w:rPr>
              <w:sym w:font="Wingdings" w:char="F0FB"/>
            </w:r>
          </w:p>
        </w:tc>
      </w:tr>
      <w:tr w:rsidR="00A514F0" w14:paraId="5F3B82FC" w14:textId="77777777" w:rsidTr="00FE6758">
        <w:trPr>
          <w:trHeight w:val="578"/>
        </w:trPr>
        <w:tc>
          <w:tcPr>
            <w:tcW w:w="3686" w:type="dxa"/>
          </w:tcPr>
          <w:p w14:paraId="6E39891F" w14:textId="36C3BCE7" w:rsidR="00A514F0" w:rsidRPr="00B85ED5" w:rsidRDefault="00A514F0" w:rsidP="00987CB9">
            <w:pPr>
              <w:pStyle w:val="TableText"/>
              <w:keepNext/>
            </w:pPr>
            <w:r w:rsidRPr="00113ACC">
              <w:lastRenderedPageBreak/>
              <w:t>The percentage of quarterly monitoring reports about Crown entities (excluding DHBs) provided to the Minister within agreed timeframes</w:t>
            </w:r>
          </w:p>
        </w:tc>
        <w:tc>
          <w:tcPr>
            <w:tcW w:w="1169" w:type="dxa"/>
          </w:tcPr>
          <w:p w14:paraId="304E61EC" w14:textId="3D3D37F4" w:rsidR="00A514F0" w:rsidRPr="00B85ED5" w:rsidRDefault="00A514F0" w:rsidP="00987CB9">
            <w:pPr>
              <w:pStyle w:val="TableText"/>
              <w:keepNext/>
              <w:jc w:val="right"/>
            </w:pPr>
            <w:r w:rsidRPr="00CD2D6F">
              <w:t>New measure</w:t>
            </w:r>
          </w:p>
        </w:tc>
        <w:tc>
          <w:tcPr>
            <w:tcW w:w="1170" w:type="dxa"/>
          </w:tcPr>
          <w:p w14:paraId="4A0F77B8" w14:textId="709869F9" w:rsidR="00A514F0" w:rsidRPr="00B85ED5" w:rsidRDefault="00A514F0" w:rsidP="00987CB9">
            <w:pPr>
              <w:pStyle w:val="TableText"/>
              <w:keepNext/>
              <w:jc w:val="right"/>
            </w:pPr>
            <w:r w:rsidRPr="00CD2D6F">
              <w:t>100%</w:t>
            </w:r>
          </w:p>
        </w:tc>
        <w:tc>
          <w:tcPr>
            <w:tcW w:w="1169" w:type="dxa"/>
          </w:tcPr>
          <w:p w14:paraId="4E70B7A4" w14:textId="22266999" w:rsidR="00A514F0" w:rsidRPr="00B85ED5" w:rsidRDefault="00A514F0" w:rsidP="00987CB9">
            <w:pPr>
              <w:pStyle w:val="TableText"/>
              <w:keepNext/>
              <w:jc w:val="right"/>
            </w:pPr>
            <w:r w:rsidRPr="00CD2D6F">
              <w:t>100%</w:t>
            </w:r>
          </w:p>
        </w:tc>
        <w:tc>
          <w:tcPr>
            <w:tcW w:w="1170" w:type="dxa"/>
          </w:tcPr>
          <w:p w14:paraId="5541FAB3" w14:textId="77777777" w:rsidR="00A514F0" w:rsidRPr="00B104C4" w:rsidRDefault="00A514F0" w:rsidP="00987CB9">
            <w:pPr>
              <w:pStyle w:val="TableText"/>
              <w:keepNext/>
              <w:jc w:val="right"/>
              <w:rPr>
                <w:b/>
                <w:bCs/>
              </w:rPr>
            </w:pPr>
            <w:r w:rsidRPr="00E1157F">
              <w:rPr>
                <w:b/>
                <w:bCs/>
              </w:rPr>
              <w:sym w:font="Wingdings" w:char="F0FC"/>
            </w:r>
          </w:p>
        </w:tc>
      </w:tr>
      <w:tr w:rsidR="00A514F0" w14:paraId="1282146C" w14:textId="77777777" w:rsidTr="00FE6758">
        <w:trPr>
          <w:trHeight w:val="578"/>
        </w:trPr>
        <w:tc>
          <w:tcPr>
            <w:tcW w:w="3686" w:type="dxa"/>
          </w:tcPr>
          <w:p w14:paraId="091CF536" w14:textId="0E32AC02" w:rsidR="00A514F0" w:rsidRPr="00B85ED5" w:rsidRDefault="00A514F0" w:rsidP="00A514F0">
            <w:pPr>
              <w:pStyle w:val="TableText"/>
            </w:pPr>
            <w:r w:rsidRPr="00113ACC">
              <w:t>The percentage of appointments to other health Crown entity boards (excluding DHBs) where advice is presented to the Minister prior to the current appointee’s term expiring</w:t>
            </w:r>
          </w:p>
        </w:tc>
        <w:tc>
          <w:tcPr>
            <w:tcW w:w="1169" w:type="dxa"/>
          </w:tcPr>
          <w:p w14:paraId="36F7CF2A" w14:textId="36ADDB0A" w:rsidR="00A514F0" w:rsidRPr="00B85ED5" w:rsidRDefault="00A514F0" w:rsidP="00A514F0">
            <w:pPr>
              <w:pStyle w:val="TableText"/>
              <w:jc w:val="right"/>
            </w:pPr>
            <w:r w:rsidRPr="00CD2D6F">
              <w:t>New measure</w:t>
            </w:r>
          </w:p>
        </w:tc>
        <w:tc>
          <w:tcPr>
            <w:tcW w:w="1170" w:type="dxa"/>
          </w:tcPr>
          <w:p w14:paraId="5BD36116" w14:textId="46B8DAE9" w:rsidR="00A514F0" w:rsidRPr="00B85ED5" w:rsidRDefault="00A514F0" w:rsidP="00A514F0">
            <w:pPr>
              <w:pStyle w:val="TableText"/>
              <w:jc w:val="right"/>
            </w:pPr>
            <w:r w:rsidRPr="00CD2D6F">
              <w:t>95%</w:t>
            </w:r>
          </w:p>
        </w:tc>
        <w:tc>
          <w:tcPr>
            <w:tcW w:w="1169" w:type="dxa"/>
          </w:tcPr>
          <w:p w14:paraId="5740793C" w14:textId="3CB2F30A" w:rsidR="00A514F0" w:rsidRPr="00B85ED5" w:rsidRDefault="00A514F0" w:rsidP="00A514F0">
            <w:pPr>
              <w:pStyle w:val="TableText"/>
              <w:jc w:val="right"/>
            </w:pPr>
            <w:r w:rsidRPr="00CD2D6F">
              <w:t>100%</w:t>
            </w:r>
          </w:p>
        </w:tc>
        <w:tc>
          <w:tcPr>
            <w:tcW w:w="1170" w:type="dxa"/>
          </w:tcPr>
          <w:p w14:paraId="5F77D061" w14:textId="38FB2F3A" w:rsidR="00A514F0" w:rsidRPr="00B104C4" w:rsidRDefault="00A514F0" w:rsidP="00A514F0">
            <w:pPr>
              <w:pStyle w:val="TableText"/>
              <w:jc w:val="right"/>
              <w:rPr>
                <w:b/>
                <w:bCs/>
              </w:rPr>
            </w:pPr>
            <w:r w:rsidRPr="00E1157F">
              <w:rPr>
                <w:b/>
                <w:bCs/>
              </w:rPr>
              <w:sym w:font="Wingdings" w:char="F0FC"/>
            </w:r>
          </w:p>
        </w:tc>
      </w:tr>
      <w:tr w:rsidR="00A514F0" w14:paraId="3C7A09EF" w14:textId="77777777" w:rsidTr="00FE6758">
        <w:trPr>
          <w:trHeight w:val="578"/>
        </w:trPr>
        <w:tc>
          <w:tcPr>
            <w:tcW w:w="3686" w:type="dxa"/>
          </w:tcPr>
          <w:p w14:paraId="23563E64" w14:textId="48FD8425" w:rsidR="00A514F0" w:rsidRPr="00B85ED5" w:rsidRDefault="00A514F0" w:rsidP="00A514F0">
            <w:pPr>
              <w:pStyle w:val="TableText"/>
            </w:pPr>
            <w:r w:rsidRPr="00113ACC">
              <w:t>Maintain the capability and capacity to respond to national emergencies and emerging health threats (Note 4)</w:t>
            </w:r>
          </w:p>
        </w:tc>
        <w:tc>
          <w:tcPr>
            <w:tcW w:w="1169" w:type="dxa"/>
          </w:tcPr>
          <w:p w14:paraId="3EA43CEC" w14:textId="42435340" w:rsidR="00A514F0" w:rsidRPr="00B85ED5" w:rsidRDefault="00A514F0" w:rsidP="00A514F0">
            <w:pPr>
              <w:pStyle w:val="TableText"/>
              <w:jc w:val="right"/>
            </w:pPr>
            <w:r w:rsidRPr="00CD2D6F">
              <w:t xml:space="preserve">Not </w:t>
            </w:r>
            <w:r>
              <w:br/>
            </w:r>
            <w:r w:rsidRPr="00CD2D6F">
              <w:t>achieved</w:t>
            </w:r>
          </w:p>
        </w:tc>
        <w:tc>
          <w:tcPr>
            <w:tcW w:w="1170" w:type="dxa"/>
          </w:tcPr>
          <w:p w14:paraId="3DC20539" w14:textId="202E9944" w:rsidR="00A514F0" w:rsidRPr="00B85ED5" w:rsidRDefault="00A514F0" w:rsidP="00A514F0">
            <w:pPr>
              <w:pStyle w:val="TableText"/>
              <w:jc w:val="right"/>
            </w:pPr>
            <w:r w:rsidRPr="00CD2D6F">
              <w:t>Achieved</w:t>
            </w:r>
          </w:p>
        </w:tc>
        <w:tc>
          <w:tcPr>
            <w:tcW w:w="1169" w:type="dxa"/>
          </w:tcPr>
          <w:p w14:paraId="574F2D3A" w14:textId="7DF5301A" w:rsidR="00A514F0" w:rsidRPr="00B85ED5" w:rsidRDefault="00A514F0" w:rsidP="00A514F0">
            <w:pPr>
              <w:pStyle w:val="TableText"/>
              <w:jc w:val="right"/>
            </w:pPr>
            <w:r w:rsidRPr="00CD2D6F">
              <w:t>Not</w:t>
            </w:r>
            <w:r>
              <w:br/>
            </w:r>
            <w:r w:rsidRPr="00CD2D6F">
              <w:t xml:space="preserve"> achieved</w:t>
            </w:r>
          </w:p>
        </w:tc>
        <w:tc>
          <w:tcPr>
            <w:tcW w:w="1170" w:type="dxa"/>
          </w:tcPr>
          <w:p w14:paraId="1386FBE4" w14:textId="77777777" w:rsidR="00A514F0" w:rsidRPr="00B104C4" w:rsidRDefault="00A514F0" w:rsidP="00A514F0">
            <w:pPr>
              <w:pStyle w:val="TableText"/>
              <w:jc w:val="right"/>
              <w:rPr>
                <w:b/>
                <w:bCs/>
              </w:rPr>
            </w:pPr>
            <w:r w:rsidRPr="00277010">
              <w:rPr>
                <w:rFonts w:cs="Segoe UI"/>
                <w:sz w:val="24"/>
                <w:szCs w:val="18"/>
              </w:rPr>
              <w:sym w:font="Wingdings" w:char="F0FB"/>
            </w:r>
          </w:p>
        </w:tc>
      </w:tr>
    </w:tbl>
    <w:p w14:paraId="05DFE4EA" w14:textId="3EAA8570" w:rsidR="00A514F0" w:rsidRPr="00A514F0" w:rsidRDefault="00A514F0" w:rsidP="00A514F0">
      <w:pPr>
        <w:pStyle w:val="Note"/>
        <w:rPr>
          <w:rFonts w:eastAsia="Arial Unicode MS"/>
        </w:rPr>
      </w:pPr>
      <w:r w:rsidRPr="00A514F0">
        <w:rPr>
          <w:rFonts w:eastAsia="Arial Unicode MS"/>
        </w:rPr>
        <w:t>Note 1: This performance measure is no longer applicable due to system reforms and disestablishment of DHBs.</w:t>
      </w:r>
      <w:r w:rsidR="00987CB9">
        <w:rPr>
          <w:rFonts w:eastAsia="Arial Unicode MS"/>
        </w:rPr>
        <w:t xml:space="preserve"> </w:t>
      </w:r>
      <w:r w:rsidRPr="00A514F0">
        <w:rPr>
          <w:rFonts w:eastAsia="Arial Unicode MS"/>
        </w:rPr>
        <w:t>The planning advice issued to DHBs in December 2021 would have been advice for the development of DHB annual plans for the 2022/23 year. DHBs and DHB annual plans were required under the New</w:t>
      </w:r>
      <w:r w:rsidR="00987CB9">
        <w:rPr>
          <w:rFonts w:eastAsia="Arial Unicode MS"/>
        </w:rPr>
        <w:t xml:space="preserve"> </w:t>
      </w:r>
      <w:r w:rsidRPr="00A514F0">
        <w:rPr>
          <w:rFonts w:eastAsia="Arial Unicode MS"/>
        </w:rPr>
        <w:t>Zealand Health and Disability Act 2000. The Act was repealed and DHBs were disestablished on 30 June 2022.</w:t>
      </w:r>
    </w:p>
    <w:p w14:paraId="189E087A" w14:textId="0178F267" w:rsidR="00A514F0" w:rsidRPr="00A514F0" w:rsidRDefault="00A514F0" w:rsidP="00A514F0">
      <w:pPr>
        <w:pStyle w:val="Note"/>
        <w:rPr>
          <w:rFonts w:eastAsia="Arial Unicode MS"/>
        </w:rPr>
      </w:pPr>
      <w:r w:rsidRPr="00A514F0">
        <w:rPr>
          <w:rFonts w:eastAsia="Arial Unicode MS"/>
        </w:rPr>
        <w:t>Note 2:  Work continued to be re-prioritised due to the response to the outbreak of Omicron, as well as the health and disability system reform work. This delayed the release of these reports. The production of these reports was also delayed due to the availability of data and information where staff in the sector were</w:t>
      </w:r>
      <w:r w:rsidR="00987CB9">
        <w:rPr>
          <w:rFonts w:eastAsia="Arial Unicode MS"/>
        </w:rPr>
        <w:t xml:space="preserve"> </w:t>
      </w:r>
      <w:r w:rsidRPr="00A514F0">
        <w:rPr>
          <w:rFonts w:eastAsia="Arial Unicode MS"/>
        </w:rPr>
        <w:t>re-deployed.</w:t>
      </w:r>
    </w:p>
    <w:p w14:paraId="09A1B8A5" w14:textId="1FB4FA28" w:rsidR="00A514F0" w:rsidRPr="00A514F0" w:rsidRDefault="00A514F0" w:rsidP="00A514F0">
      <w:pPr>
        <w:pStyle w:val="Note"/>
        <w:rPr>
          <w:rFonts w:eastAsia="Arial Unicode MS"/>
        </w:rPr>
      </w:pPr>
      <w:r w:rsidRPr="00A514F0">
        <w:rPr>
          <w:rFonts w:eastAsia="Arial Unicode MS"/>
        </w:rPr>
        <w:t>Note 3: There were 11 reports due in the year and of these, six were delivered within the required timeframe.</w:t>
      </w:r>
      <w:r w:rsidR="00987CB9">
        <w:rPr>
          <w:rFonts w:eastAsia="Arial Unicode MS"/>
        </w:rPr>
        <w:t xml:space="preserve"> </w:t>
      </w:r>
      <w:r w:rsidRPr="00A514F0">
        <w:rPr>
          <w:rFonts w:eastAsia="Arial Unicode MS"/>
        </w:rPr>
        <w:t>Progress was made to streamline the internal sign-off process to enable the reports to be produced in line with expectations. Reports are not provided in July.</w:t>
      </w:r>
    </w:p>
    <w:p w14:paraId="5FAC3585" w14:textId="1E9BE9C8" w:rsidR="00A514F0" w:rsidRDefault="00A514F0" w:rsidP="00A514F0">
      <w:pPr>
        <w:pStyle w:val="Note"/>
        <w:rPr>
          <w:rFonts w:eastAsia="Arial Unicode MS"/>
        </w:rPr>
      </w:pPr>
      <w:r w:rsidRPr="00A514F0">
        <w:rPr>
          <w:rFonts w:eastAsia="Arial Unicode MS"/>
        </w:rPr>
        <w:t>Note 4: Since November 2020 the Emergency Management Team has responded to 18 events that required coordination, including four offshore incidents. COVID-19 has directly impacted all systems and had an impact on the sector’s ability and resources to update plans, provide training, and conduct preparation exercises. These factors have created capability and capacity challenges that will take some time to recover from.</w:t>
      </w:r>
    </w:p>
    <w:p w14:paraId="4D1E4DC5" w14:textId="77777777" w:rsidR="006A19AA" w:rsidRDefault="006A19AA" w:rsidP="006A19AA">
      <w:pPr>
        <w:pStyle w:val="Heading4"/>
      </w:pPr>
      <w:r>
        <w:rPr>
          <w:w w:val="105"/>
        </w:rPr>
        <w:t>Financial</w:t>
      </w:r>
      <w:r>
        <w:rPr>
          <w:spacing w:val="-5"/>
          <w:w w:val="105"/>
        </w:rPr>
        <w:t xml:space="preserve"> </w:t>
      </w:r>
      <w:r>
        <w:rPr>
          <w:w w:val="105"/>
        </w:rPr>
        <w:t>performance</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552"/>
        <w:gridCol w:w="1453"/>
        <w:gridCol w:w="1453"/>
        <w:gridCol w:w="1453"/>
        <w:gridCol w:w="1453"/>
      </w:tblGrid>
      <w:tr w:rsidR="006A19AA" w:rsidRPr="00CB0000" w14:paraId="18BCCDAB" w14:textId="77777777" w:rsidTr="00FE6758">
        <w:trPr>
          <w:trHeight w:val="543"/>
        </w:trPr>
        <w:tc>
          <w:tcPr>
            <w:tcW w:w="2552" w:type="dxa"/>
            <w:tcBorders>
              <w:top w:val="nil"/>
              <w:bottom w:val="nil"/>
            </w:tcBorders>
            <w:shd w:val="clear" w:color="auto" w:fill="D9D9D9" w:themeFill="background1" w:themeFillShade="D9"/>
          </w:tcPr>
          <w:p w14:paraId="1E9A4DB1" w14:textId="1CFEA67D" w:rsidR="006A19AA" w:rsidRPr="00CB0000" w:rsidRDefault="00953192" w:rsidP="00953192">
            <w:pPr>
              <w:pStyle w:val="TableText"/>
              <w:rPr>
                <w:b/>
                <w:bCs/>
              </w:rPr>
            </w:pPr>
            <w:r w:rsidRPr="00953192">
              <w:rPr>
                <w:b/>
                <w:bCs/>
              </w:rPr>
              <w:t>Sector planning and performance</w:t>
            </w:r>
          </w:p>
        </w:tc>
        <w:tc>
          <w:tcPr>
            <w:tcW w:w="1453" w:type="dxa"/>
            <w:tcBorders>
              <w:top w:val="nil"/>
              <w:bottom w:val="nil"/>
            </w:tcBorders>
            <w:shd w:val="clear" w:color="auto" w:fill="D9D9D9" w:themeFill="background1" w:themeFillShade="D9"/>
          </w:tcPr>
          <w:p w14:paraId="20A351F3" w14:textId="77777777" w:rsidR="006A19AA" w:rsidRPr="00CB0000" w:rsidRDefault="006A19AA" w:rsidP="00FE6758">
            <w:pPr>
              <w:pStyle w:val="TableText"/>
              <w:jc w:val="right"/>
              <w:rPr>
                <w:b/>
                <w:bCs/>
              </w:rPr>
            </w:pPr>
            <w:r w:rsidRPr="00CB0000">
              <w:rPr>
                <w:b/>
                <w:bCs/>
              </w:rPr>
              <w:t>Actual</w:t>
            </w:r>
          </w:p>
        </w:tc>
        <w:tc>
          <w:tcPr>
            <w:tcW w:w="1453" w:type="dxa"/>
            <w:tcBorders>
              <w:top w:val="nil"/>
              <w:bottom w:val="nil"/>
            </w:tcBorders>
            <w:shd w:val="clear" w:color="auto" w:fill="D9D9D9" w:themeFill="background1" w:themeFillShade="D9"/>
          </w:tcPr>
          <w:p w14:paraId="348B982B" w14:textId="77777777" w:rsidR="006A19AA" w:rsidRPr="00CB0000" w:rsidRDefault="006A19AA" w:rsidP="00FE6758">
            <w:pPr>
              <w:pStyle w:val="TableText"/>
              <w:jc w:val="right"/>
              <w:rPr>
                <w:b/>
                <w:bCs/>
              </w:rPr>
            </w:pPr>
            <w:r w:rsidRPr="00CB0000">
              <w:rPr>
                <w:b/>
                <w:bCs/>
              </w:rPr>
              <w:t xml:space="preserve">Main </w:t>
            </w:r>
            <w:r w:rsidRPr="00CB0000">
              <w:rPr>
                <w:b/>
                <w:bCs/>
              </w:rPr>
              <w:br/>
              <w:t>estimates</w:t>
            </w:r>
          </w:p>
        </w:tc>
        <w:tc>
          <w:tcPr>
            <w:tcW w:w="1453" w:type="dxa"/>
            <w:tcBorders>
              <w:top w:val="nil"/>
              <w:bottom w:val="nil"/>
            </w:tcBorders>
            <w:shd w:val="clear" w:color="auto" w:fill="D9D9D9" w:themeFill="background1" w:themeFillShade="D9"/>
          </w:tcPr>
          <w:p w14:paraId="6A5968A2" w14:textId="77777777" w:rsidR="006A19AA" w:rsidRPr="00CB0000" w:rsidRDefault="006A19AA" w:rsidP="00FE6758">
            <w:pPr>
              <w:pStyle w:val="TableText"/>
              <w:jc w:val="right"/>
              <w:rPr>
                <w:b/>
                <w:bCs/>
              </w:rPr>
            </w:pPr>
            <w:r w:rsidRPr="00CB0000">
              <w:rPr>
                <w:b/>
                <w:bCs/>
              </w:rPr>
              <w:t>Voted appropriation</w:t>
            </w:r>
          </w:p>
        </w:tc>
        <w:tc>
          <w:tcPr>
            <w:tcW w:w="1453" w:type="dxa"/>
            <w:tcBorders>
              <w:top w:val="nil"/>
              <w:bottom w:val="nil"/>
            </w:tcBorders>
            <w:shd w:val="clear" w:color="auto" w:fill="D9D9D9" w:themeFill="background1" w:themeFillShade="D9"/>
          </w:tcPr>
          <w:p w14:paraId="031005D7" w14:textId="77777777" w:rsidR="006A19AA" w:rsidRPr="00CB0000" w:rsidRDefault="006A19AA" w:rsidP="00FE6758">
            <w:pPr>
              <w:pStyle w:val="TableText"/>
              <w:jc w:val="right"/>
              <w:rPr>
                <w:b/>
                <w:bCs/>
              </w:rPr>
            </w:pPr>
            <w:r w:rsidRPr="00CB0000">
              <w:rPr>
                <w:b/>
                <w:bCs/>
              </w:rPr>
              <w:t>Actual</w:t>
            </w:r>
          </w:p>
        </w:tc>
      </w:tr>
      <w:tr w:rsidR="006A19AA" w:rsidRPr="00CB0000" w14:paraId="40C08C4F" w14:textId="77777777" w:rsidTr="00FE6758">
        <w:tc>
          <w:tcPr>
            <w:tcW w:w="2552" w:type="dxa"/>
            <w:tcBorders>
              <w:top w:val="nil"/>
              <w:bottom w:val="nil"/>
            </w:tcBorders>
            <w:shd w:val="clear" w:color="auto" w:fill="D9D9D9" w:themeFill="background1" w:themeFillShade="D9"/>
          </w:tcPr>
          <w:p w14:paraId="1E2AD452" w14:textId="77777777" w:rsidR="006A19AA" w:rsidRPr="00CB0000" w:rsidRDefault="006A19AA" w:rsidP="00FE6758">
            <w:pPr>
              <w:pStyle w:val="TableText"/>
              <w:rPr>
                <w:b/>
                <w:bCs/>
              </w:rPr>
            </w:pPr>
          </w:p>
        </w:tc>
        <w:tc>
          <w:tcPr>
            <w:tcW w:w="1453" w:type="dxa"/>
            <w:tcBorders>
              <w:top w:val="nil"/>
              <w:bottom w:val="nil"/>
            </w:tcBorders>
            <w:shd w:val="clear" w:color="auto" w:fill="D9D9D9" w:themeFill="background1" w:themeFillShade="D9"/>
          </w:tcPr>
          <w:p w14:paraId="6C2004EF" w14:textId="77777777" w:rsidR="006A19AA" w:rsidRPr="00CB0000" w:rsidRDefault="006A19AA" w:rsidP="00FE6758">
            <w:pPr>
              <w:pStyle w:val="TableText"/>
              <w:jc w:val="right"/>
              <w:rPr>
                <w:b/>
                <w:bCs/>
              </w:rPr>
            </w:pPr>
            <w:r w:rsidRPr="00CB0000">
              <w:rPr>
                <w:b/>
                <w:bCs/>
              </w:rPr>
              <w:t>2021/22</w:t>
            </w:r>
          </w:p>
          <w:p w14:paraId="236A390A" w14:textId="77777777" w:rsidR="006A19AA" w:rsidRPr="00CB0000" w:rsidRDefault="006A19AA"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3D1B03FB" w14:textId="77777777" w:rsidR="006A19AA" w:rsidRPr="00CB0000" w:rsidRDefault="006A19AA" w:rsidP="00FE6758">
            <w:pPr>
              <w:pStyle w:val="TableText"/>
              <w:jc w:val="right"/>
              <w:rPr>
                <w:b/>
                <w:bCs/>
              </w:rPr>
            </w:pPr>
            <w:r w:rsidRPr="00CB0000">
              <w:rPr>
                <w:b/>
                <w:bCs/>
              </w:rPr>
              <w:t>2021/22</w:t>
            </w:r>
          </w:p>
          <w:p w14:paraId="50749BBC" w14:textId="77777777" w:rsidR="006A19AA" w:rsidRPr="00CB0000" w:rsidRDefault="006A19AA"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24875630" w14:textId="77777777" w:rsidR="006A19AA" w:rsidRPr="00CB0000" w:rsidRDefault="006A19AA" w:rsidP="00FE6758">
            <w:pPr>
              <w:pStyle w:val="TableText"/>
              <w:jc w:val="right"/>
              <w:rPr>
                <w:b/>
                <w:bCs/>
              </w:rPr>
            </w:pPr>
            <w:r w:rsidRPr="00CB0000">
              <w:rPr>
                <w:b/>
                <w:bCs/>
              </w:rPr>
              <w:t>2021/22</w:t>
            </w:r>
          </w:p>
          <w:p w14:paraId="77022F93" w14:textId="77777777" w:rsidR="006A19AA" w:rsidRPr="00CB0000" w:rsidRDefault="006A19AA" w:rsidP="00FE6758">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29E806D3" w14:textId="77777777" w:rsidR="006A19AA" w:rsidRPr="00CB0000" w:rsidRDefault="006A19AA" w:rsidP="00FE6758">
            <w:pPr>
              <w:pStyle w:val="TableText"/>
              <w:jc w:val="right"/>
              <w:rPr>
                <w:b/>
                <w:bCs/>
              </w:rPr>
            </w:pPr>
            <w:r w:rsidRPr="00CB0000">
              <w:rPr>
                <w:b/>
                <w:bCs/>
              </w:rPr>
              <w:t>2021/22</w:t>
            </w:r>
          </w:p>
          <w:p w14:paraId="455AA033" w14:textId="77777777" w:rsidR="006A19AA" w:rsidRPr="00CB0000" w:rsidRDefault="006A19AA" w:rsidP="00FE6758">
            <w:pPr>
              <w:pStyle w:val="TableText"/>
              <w:jc w:val="right"/>
              <w:rPr>
                <w:b/>
                <w:bCs/>
              </w:rPr>
            </w:pPr>
            <w:r w:rsidRPr="00CB0000">
              <w:rPr>
                <w:b/>
                <w:bCs/>
              </w:rPr>
              <w:t>$000</w:t>
            </w:r>
          </w:p>
        </w:tc>
      </w:tr>
      <w:tr w:rsidR="006A19AA" w:rsidRPr="00CB0000" w14:paraId="4F9BFA33" w14:textId="77777777" w:rsidTr="00FE6758">
        <w:tc>
          <w:tcPr>
            <w:tcW w:w="2552" w:type="dxa"/>
            <w:tcBorders>
              <w:top w:val="nil"/>
            </w:tcBorders>
          </w:tcPr>
          <w:p w14:paraId="35D38CFD" w14:textId="77777777" w:rsidR="006A19AA" w:rsidRPr="00CB0000" w:rsidRDefault="006A19AA" w:rsidP="006A19AA">
            <w:pPr>
              <w:pStyle w:val="TableText"/>
            </w:pPr>
            <w:r w:rsidRPr="00466E9A">
              <w:t>Crown revenue</w:t>
            </w:r>
          </w:p>
        </w:tc>
        <w:tc>
          <w:tcPr>
            <w:tcW w:w="1453" w:type="dxa"/>
            <w:tcBorders>
              <w:top w:val="nil"/>
            </w:tcBorders>
          </w:tcPr>
          <w:p w14:paraId="0FD49B08" w14:textId="3FEF03D1" w:rsidR="006A19AA" w:rsidRPr="00CB0000" w:rsidRDefault="006A19AA" w:rsidP="006A19AA">
            <w:pPr>
              <w:pStyle w:val="TableText"/>
              <w:jc w:val="right"/>
            </w:pPr>
            <w:r w:rsidRPr="00C60966">
              <w:t>81,649</w:t>
            </w:r>
          </w:p>
        </w:tc>
        <w:tc>
          <w:tcPr>
            <w:tcW w:w="1453" w:type="dxa"/>
            <w:tcBorders>
              <w:top w:val="nil"/>
            </w:tcBorders>
          </w:tcPr>
          <w:p w14:paraId="6A4C4291" w14:textId="6A7304AA" w:rsidR="006A19AA" w:rsidRPr="00CB0000" w:rsidRDefault="006A19AA" w:rsidP="006A19AA">
            <w:pPr>
              <w:pStyle w:val="TableText"/>
              <w:jc w:val="right"/>
            </w:pPr>
            <w:r w:rsidRPr="00C60966">
              <w:t>72,141</w:t>
            </w:r>
          </w:p>
        </w:tc>
        <w:tc>
          <w:tcPr>
            <w:tcW w:w="1453" w:type="dxa"/>
            <w:tcBorders>
              <w:top w:val="nil"/>
            </w:tcBorders>
          </w:tcPr>
          <w:p w14:paraId="0AA2AB84" w14:textId="265E5F52" w:rsidR="006A19AA" w:rsidRPr="00CB0000" w:rsidRDefault="006A19AA" w:rsidP="006A19AA">
            <w:pPr>
              <w:pStyle w:val="TableText"/>
              <w:jc w:val="right"/>
            </w:pPr>
            <w:r w:rsidRPr="00C60966">
              <w:t>89,785</w:t>
            </w:r>
          </w:p>
        </w:tc>
        <w:tc>
          <w:tcPr>
            <w:tcW w:w="1453" w:type="dxa"/>
            <w:tcBorders>
              <w:top w:val="nil"/>
            </w:tcBorders>
          </w:tcPr>
          <w:p w14:paraId="1D9A9D94" w14:textId="57D1ACE8" w:rsidR="006A19AA" w:rsidRPr="00CB0000" w:rsidRDefault="006A19AA" w:rsidP="006A19AA">
            <w:pPr>
              <w:pStyle w:val="TableText"/>
              <w:jc w:val="right"/>
            </w:pPr>
            <w:r w:rsidRPr="00C60966">
              <w:t>89,785</w:t>
            </w:r>
          </w:p>
        </w:tc>
      </w:tr>
      <w:tr w:rsidR="006A19AA" w:rsidRPr="00CB0000" w14:paraId="22D92934" w14:textId="77777777" w:rsidTr="00FE6758">
        <w:tc>
          <w:tcPr>
            <w:tcW w:w="2552" w:type="dxa"/>
          </w:tcPr>
          <w:p w14:paraId="2DDA62A6" w14:textId="77777777" w:rsidR="006A19AA" w:rsidRPr="00CB0000" w:rsidRDefault="006A19AA" w:rsidP="006A19AA">
            <w:pPr>
              <w:pStyle w:val="TableText"/>
            </w:pPr>
            <w:r w:rsidRPr="00466E9A">
              <w:t>Other revenue</w:t>
            </w:r>
          </w:p>
        </w:tc>
        <w:tc>
          <w:tcPr>
            <w:tcW w:w="1453" w:type="dxa"/>
          </w:tcPr>
          <w:p w14:paraId="2E075844" w14:textId="2153DE97" w:rsidR="006A19AA" w:rsidRPr="00CB0000" w:rsidRDefault="006A19AA" w:rsidP="006A19AA">
            <w:pPr>
              <w:pStyle w:val="TableText"/>
              <w:jc w:val="right"/>
            </w:pPr>
            <w:r w:rsidRPr="00C60966">
              <w:t>2</w:t>
            </w:r>
          </w:p>
        </w:tc>
        <w:tc>
          <w:tcPr>
            <w:tcW w:w="1453" w:type="dxa"/>
          </w:tcPr>
          <w:p w14:paraId="6AD1F9FF" w14:textId="6F6B066D" w:rsidR="006A19AA" w:rsidRPr="00CB0000" w:rsidRDefault="006A19AA" w:rsidP="006A19AA">
            <w:pPr>
              <w:pStyle w:val="TableText"/>
              <w:jc w:val="right"/>
            </w:pPr>
            <w:r w:rsidRPr="00C60966">
              <w:t>149</w:t>
            </w:r>
          </w:p>
        </w:tc>
        <w:tc>
          <w:tcPr>
            <w:tcW w:w="1453" w:type="dxa"/>
          </w:tcPr>
          <w:p w14:paraId="1470AEEA" w14:textId="43D0D04B" w:rsidR="006A19AA" w:rsidRPr="00CB0000" w:rsidRDefault="006A19AA" w:rsidP="006A19AA">
            <w:pPr>
              <w:pStyle w:val="TableText"/>
              <w:jc w:val="right"/>
            </w:pPr>
            <w:r w:rsidRPr="00C60966">
              <w:t>149</w:t>
            </w:r>
          </w:p>
        </w:tc>
        <w:tc>
          <w:tcPr>
            <w:tcW w:w="1453" w:type="dxa"/>
          </w:tcPr>
          <w:p w14:paraId="41F3037A" w14:textId="20503690" w:rsidR="006A19AA" w:rsidRPr="00CB0000" w:rsidRDefault="006A19AA" w:rsidP="006A19AA">
            <w:pPr>
              <w:pStyle w:val="TableText"/>
              <w:jc w:val="right"/>
            </w:pPr>
            <w:r w:rsidRPr="00C60966">
              <w:t>2</w:t>
            </w:r>
          </w:p>
        </w:tc>
      </w:tr>
      <w:tr w:rsidR="006A19AA" w:rsidRPr="00CB0000" w14:paraId="6D935473" w14:textId="77777777" w:rsidTr="00FE6758">
        <w:tc>
          <w:tcPr>
            <w:tcW w:w="2552" w:type="dxa"/>
          </w:tcPr>
          <w:p w14:paraId="000E671E" w14:textId="77777777" w:rsidR="006A19AA" w:rsidRPr="00CB0000" w:rsidRDefault="006A19AA" w:rsidP="006A19AA">
            <w:pPr>
              <w:pStyle w:val="TableText"/>
            </w:pPr>
            <w:r w:rsidRPr="00466E9A">
              <w:t>Total revenue</w:t>
            </w:r>
          </w:p>
        </w:tc>
        <w:tc>
          <w:tcPr>
            <w:tcW w:w="1453" w:type="dxa"/>
          </w:tcPr>
          <w:p w14:paraId="4396985B" w14:textId="6DB68B6A" w:rsidR="006A19AA" w:rsidRPr="00CB0000" w:rsidRDefault="006A19AA" w:rsidP="006A19AA">
            <w:pPr>
              <w:pStyle w:val="TableText"/>
              <w:jc w:val="right"/>
            </w:pPr>
            <w:r w:rsidRPr="00C60966">
              <w:t>81,651</w:t>
            </w:r>
          </w:p>
        </w:tc>
        <w:tc>
          <w:tcPr>
            <w:tcW w:w="1453" w:type="dxa"/>
          </w:tcPr>
          <w:p w14:paraId="035FA638" w14:textId="5AE26359" w:rsidR="006A19AA" w:rsidRPr="00CB0000" w:rsidRDefault="006A19AA" w:rsidP="006A19AA">
            <w:pPr>
              <w:pStyle w:val="TableText"/>
              <w:jc w:val="right"/>
            </w:pPr>
            <w:r w:rsidRPr="00C60966">
              <w:t>72,290</w:t>
            </w:r>
          </w:p>
        </w:tc>
        <w:tc>
          <w:tcPr>
            <w:tcW w:w="1453" w:type="dxa"/>
          </w:tcPr>
          <w:p w14:paraId="07785437" w14:textId="33B5A756" w:rsidR="006A19AA" w:rsidRPr="00CB0000" w:rsidRDefault="006A19AA" w:rsidP="006A19AA">
            <w:pPr>
              <w:pStyle w:val="TableText"/>
              <w:jc w:val="right"/>
            </w:pPr>
            <w:r w:rsidRPr="00C60966">
              <w:t>89,934</w:t>
            </w:r>
          </w:p>
        </w:tc>
        <w:tc>
          <w:tcPr>
            <w:tcW w:w="1453" w:type="dxa"/>
          </w:tcPr>
          <w:p w14:paraId="2E43795B" w14:textId="13F2A459" w:rsidR="006A19AA" w:rsidRPr="00CB0000" w:rsidRDefault="006A19AA" w:rsidP="006A19AA">
            <w:pPr>
              <w:pStyle w:val="TableText"/>
              <w:jc w:val="right"/>
            </w:pPr>
            <w:r w:rsidRPr="00C60966">
              <w:t>89,787</w:t>
            </w:r>
          </w:p>
        </w:tc>
      </w:tr>
      <w:tr w:rsidR="006A19AA" w:rsidRPr="00CB0000" w14:paraId="3407E260" w14:textId="77777777" w:rsidTr="00FE6758">
        <w:tc>
          <w:tcPr>
            <w:tcW w:w="2552" w:type="dxa"/>
          </w:tcPr>
          <w:p w14:paraId="481BA90D" w14:textId="77777777" w:rsidR="006A19AA" w:rsidRPr="00CB0000" w:rsidRDefault="006A19AA" w:rsidP="006A19AA">
            <w:pPr>
              <w:pStyle w:val="TableText"/>
            </w:pPr>
            <w:r w:rsidRPr="00466E9A">
              <w:t>Total expenses</w:t>
            </w:r>
          </w:p>
        </w:tc>
        <w:tc>
          <w:tcPr>
            <w:tcW w:w="1453" w:type="dxa"/>
          </w:tcPr>
          <w:p w14:paraId="68313980" w14:textId="7A937419" w:rsidR="006A19AA" w:rsidRPr="00CB0000" w:rsidRDefault="006A19AA" w:rsidP="006A19AA">
            <w:pPr>
              <w:pStyle w:val="TableText"/>
              <w:jc w:val="right"/>
            </w:pPr>
            <w:r w:rsidRPr="00C60966">
              <w:t>73,674</w:t>
            </w:r>
          </w:p>
        </w:tc>
        <w:tc>
          <w:tcPr>
            <w:tcW w:w="1453" w:type="dxa"/>
          </w:tcPr>
          <w:p w14:paraId="4377E547" w14:textId="142A8B19" w:rsidR="006A19AA" w:rsidRPr="00CB0000" w:rsidRDefault="006A19AA" w:rsidP="006A19AA">
            <w:pPr>
              <w:pStyle w:val="TableText"/>
              <w:jc w:val="right"/>
            </w:pPr>
            <w:r w:rsidRPr="00C60966">
              <w:t>72,290</w:t>
            </w:r>
          </w:p>
        </w:tc>
        <w:tc>
          <w:tcPr>
            <w:tcW w:w="1453" w:type="dxa"/>
          </w:tcPr>
          <w:p w14:paraId="69A39F58" w14:textId="55A8DA20" w:rsidR="006A19AA" w:rsidRPr="00CB0000" w:rsidRDefault="006A19AA" w:rsidP="006A19AA">
            <w:pPr>
              <w:pStyle w:val="TableText"/>
              <w:jc w:val="right"/>
            </w:pPr>
            <w:r w:rsidRPr="00C60966">
              <w:t>89,934</w:t>
            </w:r>
          </w:p>
        </w:tc>
        <w:tc>
          <w:tcPr>
            <w:tcW w:w="1453" w:type="dxa"/>
          </w:tcPr>
          <w:p w14:paraId="4524E8E8" w14:textId="23257864" w:rsidR="006A19AA" w:rsidRPr="00CB0000" w:rsidRDefault="006A19AA" w:rsidP="006A19AA">
            <w:pPr>
              <w:pStyle w:val="TableText"/>
              <w:jc w:val="right"/>
            </w:pPr>
            <w:r w:rsidRPr="00C60966">
              <w:t>84,698</w:t>
            </w:r>
          </w:p>
        </w:tc>
      </w:tr>
      <w:tr w:rsidR="006A19AA" w:rsidRPr="00CB0000" w14:paraId="639F3503" w14:textId="77777777" w:rsidTr="00FE6758">
        <w:tc>
          <w:tcPr>
            <w:tcW w:w="2552" w:type="dxa"/>
          </w:tcPr>
          <w:p w14:paraId="2D844B67" w14:textId="77777777" w:rsidR="006A19AA" w:rsidRPr="00CB0000" w:rsidRDefault="006A19AA" w:rsidP="006A19AA">
            <w:pPr>
              <w:pStyle w:val="TableText"/>
            </w:pPr>
            <w:r w:rsidRPr="00466E9A">
              <w:t>Net surplus (deficit)</w:t>
            </w:r>
          </w:p>
        </w:tc>
        <w:tc>
          <w:tcPr>
            <w:tcW w:w="1453" w:type="dxa"/>
          </w:tcPr>
          <w:p w14:paraId="474D6FAE" w14:textId="5D1FFA03" w:rsidR="006A19AA" w:rsidRPr="00CB0000" w:rsidRDefault="006A19AA" w:rsidP="006A19AA">
            <w:pPr>
              <w:pStyle w:val="TableText"/>
              <w:jc w:val="right"/>
            </w:pPr>
            <w:r w:rsidRPr="00C60966">
              <w:t>7,977</w:t>
            </w:r>
          </w:p>
        </w:tc>
        <w:tc>
          <w:tcPr>
            <w:tcW w:w="1453" w:type="dxa"/>
          </w:tcPr>
          <w:p w14:paraId="00C24812" w14:textId="28F19703" w:rsidR="006A19AA" w:rsidRPr="00CB0000" w:rsidRDefault="006A19AA" w:rsidP="006A19AA">
            <w:pPr>
              <w:pStyle w:val="TableText"/>
              <w:jc w:val="right"/>
            </w:pPr>
            <w:r w:rsidRPr="00C60966">
              <w:t>-</w:t>
            </w:r>
          </w:p>
        </w:tc>
        <w:tc>
          <w:tcPr>
            <w:tcW w:w="1453" w:type="dxa"/>
          </w:tcPr>
          <w:p w14:paraId="3853968F" w14:textId="1207B7B1" w:rsidR="006A19AA" w:rsidRPr="00CB0000" w:rsidRDefault="006A19AA" w:rsidP="006A19AA">
            <w:pPr>
              <w:pStyle w:val="TableText"/>
              <w:jc w:val="right"/>
            </w:pPr>
            <w:r w:rsidRPr="00C60966">
              <w:t>-</w:t>
            </w:r>
          </w:p>
        </w:tc>
        <w:tc>
          <w:tcPr>
            <w:tcW w:w="1453" w:type="dxa"/>
          </w:tcPr>
          <w:p w14:paraId="79C3B261" w14:textId="2C88D94C" w:rsidR="006A19AA" w:rsidRPr="00CB0000" w:rsidRDefault="006A19AA" w:rsidP="006A19AA">
            <w:pPr>
              <w:pStyle w:val="TableText"/>
              <w:jc w:val="right"/>
            </w:pPr>
            <w:r w:rsidRPr="00C60966">
              <w:t>5,089</w:t>
            </w:r>
          </w:p>
        </w:tc>
      </w:tr>
    </w:tbl>
    <w:p w14:paraId="5E646908" w14:textId="393DAADA" w:rsidR="006A19AA" w:rsidRDefault="006A19AA" w:rsidP="006A19AA">
      <w:pPr>
        <w:rPr>
          <w:rFonts w:eastAsia="Arial Unicode MS"/>
        </w:rPr>
      </w:pPr>
    </w:p>
    <w:p w14:paraId="275ACD82" w14:textId="77777777" w:rsidR="006A19AA" w:rsidRDefault="006A19AA" w:rsidP="006A19AA">
      <w:pPr>
        <w:rPr>
          <w:rFonts w:eastAsia="Arial Unicode MS"/>
        </w:rPr>
        <w:sectPr w:rsidR="006A19AA" w:rsidSect="00C26282">
          <w:pgSz w:w="11907" w:h="16840" w:code="9"/>
          <w:pgMar w:top="1418" w:right="1701" w:bottom="1134" w:left="1843" w:header="284" w:footer="425" w:gutter="284"/>
          <w:cols w:space="720"/>
        </w:sectPr>
      </w:pPr>
    </w:p>
    <w:p w14:paraId="425E2424" w14:textId="56D43DFC" w:rsidR="006A19AA" w:rsidRPr="006A19AA" w:rsidRDefault="006A19AA" w:rsidP="006A19AA">
      <w:pPr>
        <w:rPr>
          <w:rFonts w:eastAsia="Arial Unicode MS"/>
        </w:rPr>
      </w:pPr>
      <w:r w:rsidRPr="006A19AA">
        <w:rPr>
          <w:rFonts w:eastAsia="Arial Unicode MS"/>
        </w:rPr>
        <w:lastRenderedPageBreak/>
        <w:t>Sector planning and performance actual spend was higher than the initial budget due to additional funding required to implement the three work programmes: the National</w:t>
      </w:r>
    </w:p>
    <w:p w14:paraId="309D4DE6" w14:textId="30BF749B" w:rsidR="006A19AA" w:rsidRDefault="006A19AA" w:rsidP="006A19AA">
      <w:pPr>
        <w:rPr>
          <w:rFonts w:eastAsia="Arial Unicode MS"/>
        </w:rPr>
      </w:pPr>
      <w:r w:rsidRPr="006A19AA">
        <w:rPr>
          <w:rFonts w:eastAsia="Arial Unicode MS"/>
        </w:rPr>
        <w:t>Asset Management Programme, the Mental Health Infrastructure Programme and Facility Service Planning, and additional funding to manage cost pressures for the health and disability system review.</w:t>
      </w:r>
    </w:p>
    <w:p w14:paraId="3BE92FD5" w14:textId="77777777" w:rsidR="006A19AA" w:rsidRPr="006A19AA" w:rsidRDefault="006A19AA" w:rsidP="006A19AA">
      <w:pPr>
        <w:rPr>
          <w:rFonts w:eastAsia="Arial Unicode MS"/>
        </w:rPr>
      </w:pPr>
    </w:p>
    <w:p w14:paraId="1DC23BB6" w14:textId="7BDCC9D4" w:rsidR="006A19AA" w:rsidRDefault="006A19AA" w:rsidP="006A19AA">
      <w:pPr>
        <w:rPr>
          <w:rFonts w:eastAsia="Arial Unicode MS"/>
        </w:rPr>
      </w:pPr>
      <w:r w:rsidRPr="006A19AA">
        <w:rPr>
          <w:rFonts w:eastAsia="Arial Unicode MS"/>
        </w:rPr>
        <w:t>Actual spend was lower than the final appropriated budget as a result of the impact of COVID-19 on the National Asset Management Programme and Mental Health Infrastructure Programme. Good progress is being made with work accelerating, however some work had not progressed as planned. COVID-19 also impacted some integration activities in relation to the health reforms.</w:t>
      </w:r>
    </w:p>
    <w:p w14:paraId="6037C6D8" w14:textId="77777777" w:rsidR="006A19AA" w:rsidRPr="006A19AA" w:rsidRDefault="006A19AA" w:rsidP="006A19AA">
      <w:pPr>
        <w:rPr>
          <w:rFonts w:eastAsia="Arial Unicode MS"/>
        </w:rPr>
      </w:pPr>
    </w:p>
    <w:p w14:paraId="0DD050EE" w14:textId="618AA959" w:rsidR="006A19AA" w:rsidRDefault="006A19AA" w:rsidP="006A19AA">
      <w:pPr>
        <w:rPr>
          <w:rFonts w:eastAsia="Arial Unicode MS"/>
        </w:rPr>
      </w:pPr>
      <w:r w:rsidRPr="006A19AA">
        <w:rPr>
          <w:rFonts w:eastAsia="Arial Unicode MS"/>
        </w:rPr>
        <w:t>The Joint Ministers have approved an in-principle expense transfer of up to $3 million from 2021/22 to 2022/23 which will be confirmed as part of the 2022 October Baseline Update.</w:t>
      </w:r>
    </w:p>
    <w:p w14:paraId="51C88236" w14:textId="05772F0D" w:rsidR="006A19AA" w:rsidRPr="006A19AA" w:rsidRDefault="006A19AA" w:rsidP="006A19AA">
      <w:pPr>
        <w:pStyle w:val="Heading3"/>
      </w:pPr>
      <w:bookmarkStart w:id="43" w:name="_Toc117264950"/>
      <w:r w:rsidRPr="006A19AA">
        <w:t>Health and Disability System Reform</w:t>
      </w:r>
      <w:bookmarkEnd w:id="43"/>
    </w:p>
    <w:p w14:paraId="02D20695" w14:textId="4DB94D34" w:rsidR="006A19AA" w:rsidRDefault="006A19AA" w:rsidP="006A19AA">
      <w:pPr>
        <w:rPr>
          <w:rFonts w:eastAsia="Arial Unicode MS"/>
        </w:rPr>
      </w:pPr>
      <w:r w:rsidRPr="006A19AA">
        <w:rPr>
          <w:rFonts w:eastAsia="Arial Unicode MS"/>
        </w:rPr>
        <w:t>The single overarching purpose of this appropriation is to implement health and disability system reform.</w:t>
      </w:r>
    </w:p>
    <w:p w14:paraId="033FAB46" w14:textId="77777777" w:rsidR="006A19AA" w:rsidRDefault="006A19AA" w:rsidP="006A19AA">
      <w:pPr>
        <w:pStyle w:val="Heading4"/>
      </w:pPr>
      <w:r w:rsidRPr="00A514F0">
        <w:t>Performance assessment</w:t>
      </w: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028"/>
      </w:tblGrid>
      <w:tr w:rsidR="006A19AA" w:rsidRPr="00950725" w14:paraId="6AE2FB21" w14:textId="77777777" w:rsidTr="006A19AA">
        <w:trPr>
          <w:trHeight w:val="496"/>
          <w:tblHeader/>
        </w:trPr>
        <w:tc>
          <w:tcPr>
            <w:tcW w:w="3686" w:type="dxa"/>
            <w:tcBorders>
              <w:top w:val="nil"/>
              <w:bottom w:val="nil"/>
            </w:tcBorders>
            <w:shd w:val="clear" w:color="auto" w:fill="D9D9D9" w:themeFill="background1" w:themeFillShade="D9"/>
          </w:tcPr>
          <w:p w14:paraId="3C9A3FDF" w14:textId="77777777" w:rsidR="006A19AA" w:rsidRPr="006A19AA" w:rsidRDefault="006A19AA" w:rsidP="006A19AA">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049124A3" w14:textId="77777777" w:rsidR="006A19AA" w:rsidRPr="00950725" w:rsidRDefault="006A19AA" w:rsidP="00FE6758">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4F37246E" w14:textId="77777777" w:rsidR="006A19AA" w:rsidRPr="00950725" w:rsidRDefault="006A19AA" w:rsidP="00FE6758">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1572D693" w14:textId="5A1F056C" w:rsidR="006A19AA" w:rsidRPr="00950725" w:rsidRDefault="006A19AA" w:rsidP="00975ED6">
            <w:pPr>
              <w:pStyle w:val="TableText"/>
              <w:jc w:val="right"/>
              <w:rPr>
                <w:b/>
                <w:bCs/>
              </w:rPr>
            </w:pPr>
            <w:r w:rsidRPr="00950725">
              <w:rPr>
                <w:b/>
                <w:bCs/>
                <w:w w:val="110"/>
              </w:rPr>
              <w:t>Actual</w:t>
            </w:r>
          </w:p>
        </w:tc>
        <w:tc>
          <w:tcPr>
            <w:tcW w:w="1028" w:type="dxa"/>
            <w:tcBorders>
              <w:top w:val="nil"/>
              <w:bottom w:val="nil"/>
            </w:tcBorders>
            <w:shd w:val="clear" w:color="auto" w:fill="D9D9D9" w:themeFill="background1" w:themeFillShade="D9"/>
          </w:tcPr>
          <w:p w14:paraId="719E8F0E" w14:textId="77777777" w:rsidR="006A19AA" w:rsidRPr="00950725" w:rsidRDefault="006A19AA" w:rsidP="00FE6758">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6A19AA" w14:paraId="6E4AD548" w14:textId="77777777" w:rsidTr="006A19AA">
        <w:trPr>
          <w:trHeight w:val="344"/>
          <w:tblHeader/>
        </w:trPr>
        <w:tc>
          <w:tcPr>
            <w:tcW w:w="3686" w:type="dxa"/>
            <w:tcBorders>
              <w:top w:val="nil"/>
              <w:bottom w:val="nil"/>
            </w:tcBorders>
            <w:shd w:val="clear" w:color="auto" w:fill="D9D9D9" w:themeFill="background1" w:themeFillShade="D9"/>
          </w:tcPr>
          <w:p w14:paraId="20C90253" w14:textId="77777777" w:rsidR="006A19AA" w:rsidRDefault="006A19AA" w:rsidP="00FE6758">
            <w:pPr>
              <w:pStyle w:val="TableText"/>
              <w:spacing w:after="0"/>
              <w:rPr>
                <w:w w:val="105"/>
              </w:rPr>
            </w:pPr>
          </w:p>
        </w:tc>
        <w:tc>
          <w:tcPr>
            <w:tcW w:w="1169" w:type="dxa"/>
            <w:tcBorders>
              <w:top w:val="nil"/>
              <w:bottom w:val="nil"/>
            </w:tcBorders>
            <w:shd w:val="clear" w:color="auto" w:fill="D9D9D9" w:themeFill="background1" w:themeFillShade="D9"/>
          </w:tcPr>
          <w:p w14:paraId="5A6ADBD4" w14:textId="77777777" w:rsidR="006A19AA" w:rsidRDefault="006A19AA"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50803E43" w14:textId="77777777" w:rsidR="006A19AA" w:rsidRDefault="006A19AA" w:rsidP="00FE6758">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62E17FE8" w14:textId="77777777" w:rsidR="006A19AA" w:rsidRDefault="006A19AA" w:rsidP="00FE6758">
            <w:pPr>
              <w:pStyle w:val="TableText"/>
              <w:spacing w:before="0"/>
              <w:jc w:val="right"/>
              <w:rPr>
                <w:rFonts w:ascii="Times New Roman"/>
              </w:rPr>
            </w:pPr>
            <w:r w:rsidRPr="00950725">
              <w:rPr>
                <w:b/>
                <w:bCs/>
                <w:w w:val="105"/>
              </w:rPr>
              <w:t>2021/22</w:t>
            </w:r>
          </w:p>
        </w:tc>
        <w:tc>
          <w:tcPr>
            <w:tcW w:w="1028" w:type="dxa"/>
            <w:tcBorders>
              <w:top w:val="nil"/>
              <w:bottom w:val="nil"/>
            </w:tcBorders>
            <w:shd w:val="clear" w:color="auto" w:fill="D9D9D9" w:themeFill="background1" w:themeFillShade="D9"/>
          </w:tcPr>
          <w:p w14:paraId="7FF4D2E0" w14:textId="77777777" w:rsidR="006A19AA" w:rsidRDefault="006A19AA" w:rsidP="00FE6758">
            <w:pPr>
              <w:pStyle w:val="TableText"/>
              <w:jc w:val="right"/>
              <w:rPr>
                <w:rFonts w:ascii="Times New Roman"/>
              </w:rPr>
            </w:pPr>
          </w:p>
        </w:tc>
      </w:tr>
      <w:tr w:rsidR="006A19AA" w:rsidRPr="00950725" w14:paraId="33A6C700" w14:textId="77777777" w:rsidTr="006A19AA">
        <w:trPr>
          <w:trHeight w:val="344"/>
        </w:trPr>
        <w:tc>
          <w:tcPr>
            <w:tcW w:w="3686" w:type="dxa"/>
            <w:tcBorders>
              <w:top w:val="nil"/>
              <w:bottom w:val="nil"/>
            </w:tcBorders>
          </w:tcPr>
          <w:p w14:paraId="47E51960" w14:textId="78B65427" w:rsidR="006A19AA" w:rsidRPr="00950725" w:rsidRDefault="006A19AA" w:rsidP="006A19AA">
            <w:pPr>
              <w:pStyle w:val="TableText"/>
              <w:rPr>
                <w:b/>
                <w:bCs/>
              </w:rPr>
            </w:pPr>
            <w:r w:rsidRPr="006A19AA">
              <w:rPr>
                <w:b/>
                <w:bCs/>
              </w:rPr>
              <w:t>Performance for the MCA as a whole</w:t>
            </w:r>
          </w:p>
        </w:tc>
        <w:tc>
          <w:tcPr>
            <w:tcW w:w="1169" w:type="dxa"/>
            <w:tcBorders>
              <w:top w:val="nil"/>
              <w:bottom w:val="nil"/>
            </w:tcBorders>
          </w:tcPr>
          <w:p w14:paraId="3B0B5935" w14:textId="343A8555" w:rsidR="006A19AA" w:rsidRPr="00950725" w:rsidRDefault="006A19AA" w:rsidP="006A19AA">
            <w:pPr>
              <w:pStyle w:val="TableText"/>
              <w:jc w:val="right"/>
              <w:rPr>
                <w:rFonts w:ascii="Times New Roman"/>
                <w:b/>
                <w:bCs/>
              </w:rPr>
            </w:pPr>
          </w:p>
        </w:tc>
        <w:tc>
          <w:tcPr>
            <w:tcW w:w="1170" w:type="dxa"/>
            <w:tcBorders>
              <w:top w:val="nil"/>
              <w:bottom w:val="nil"/>
            </w:tcBorders>
          </w:tcPr>
          <w:p w14:paraId="3D6A1E38" w14:textId="39587CF2" w:rsidR="006A19AA" w:rsidRPr="00950725" w:rsidRDefault="006A19AA" w:rsidP="006A19AA">
            <w:pPr>
              <w:pStyle w:val="TableText"/>
              <w:jc w:val="right"/>
              <w:rPr>
                <w:rFonts w:ascii="Times New Roman"/>
                <w:b/>
                <w:bCs/>
              </w:rPr>
            </w:pPr>
          </w:p>
        </w:tc>
        <w:tc>
          <w:tcPr>
            <w:tcW w:w="1169" w:type="dxa"/>
            <w:tcBorders>
              <w:top w:val="nil"/>
              <w:bottom w:val="nil"/>
            </w:tcBorders>
          </w:tcPr>
          <w:p w14:paraId="2B162DA0" w14:textId="488BE18B" w:rsidR="006A19AA" w:rsidRPr="00950725" w:rsidRDefault="006A19AA" w:rsidP="006A19AA">
            <w:pPr>
              <w:pStyle w:val="TableText"/>
              <w:jc w:val="right"/>
              <w:rPr>
                <w:rFonts w:ascii="Times New Roman"/>
                <w:b/>
                <w:bCs/>
              </w:rPr>
            </w:pPr>
          </w:p>
        </w:tc>
        <w:tc>
          <w:tcPr>
            <w:tcW w:w="1028" w:type="dxa"/>
            <w:tcBorders>
              <w:top w:val="nil"/>
              <w:bottom w:val="nil"/>
            </w:tcBorders>
          </w:tcPr>
          <w:p w14:paraId="0CE12074" w14:textId="367B7F31" w:rsidR="006A19AA" w:rsidRPr="00BD4046" w:rsidRDefault="006A19AA" w:rsidP="006A19AA">
            <w:pPr>
              <w:pStyle w:val="TableText"/>
              <w:jc w:val="right"/>
              <w:rPr>
                <w:rFonts w:ascii="Times New Roman"/>
                <w:b/>
                <w:bCs/>
              </w:rPr>
            </w:pPr>
          </w:p>
        </w:tc>
      </w:tr>
      <w:tr w:rsidR="006A19AA" w14:paraId="788F4882" w14:textId="77777777" w:rsidTr="006A19AA">
        <w:trPr>
          <w:trHeight w:val="77"/>
        </w:trPr>
        <w:tc>
          <w:tcPr>
            <w:tcW w:w="3686" w:type="dxa"/>
            <w:tcBorders>
              <w:top w:val="nil"/>
            </w:tcBorders>
          </w:tcPr>
          <w:p w14:paraId="202D2212" w14:textId="35C8BE45" w:rsidR="006A19AA" w:rsidRDefault="006A19AA" w:rsidP="006A19AA">
            <w:pPr>
              <w:pStyle w:val="TableText"/>
            </w:pPr>
            <w:r w:rsidRPr="006A19AA">
              <w:t>Ministerial Oversight Group satisfied with progress towards the Health and Disability System Reform deliverables agreed by Cabinet (Note 1)</w:t>
            </w:r>
          </w:p>
        </w:tc>
        <w:tc>
          <w:tcPr>
            <w:tcW w:w="1169" w:type="dxa"/>
            <w:tcBorders>
              <w:top w:val="nil"/>
            </w:tcBorders>
          </w:tcPr>
          <w:p w14:paraId="7E80C28F" w14:textId="318E0C0B" w:rsidR="006A19AA" w:rsidRDefault="006A19AA" w:rsidP="006A19AA">
            <w:pPr>
              <w:pStyle w:val="TableText"/>
              <w:jc w:val="right"/>
            </w:pPr>
            <w:r w:rsidRPr="00F83833">
              <w:t>New Measure</w:t>
            </w:r>
          </w:p>
        </w:tc>
        <w:tc>
          <w:tcPr>
            <w:tcW w:w="1170" w:type="dxa"/>
            <w:tcBorders>
              <w:top w:val="nil"/>
            </w:tcBorders>
          </w:tcPr>
          <w:p w14:paraId="2CB4E6BB" w14:textId="34F60152" w:rsidR="006A19AA" w:rsidRDefault="006A19AA" w:rsidP="006A19AA">
            <w:pPr>
              <w:pStyle w:val="TableText"/>
              <w:jc w:val="right"/>
            </w:pPr>
            <w:r w:rsidRPr="006A19AA">
              <w:t>Equal to or greater than 4 out</w:t>
            </w:r>
            <w:r>
              <w:t xml:space="preserve"> of 5</w:t>
            </w:r>
          </w:p>
        </w:tc>
        <w:tc>
          <w:tcPr>
            <w:tcW w:w="1169" w:type="dxa"/>
            <w:tcBorders>
              <w:top w:val="nil"/>
            </w:tcBorders>
          </w:tcPr>
          <w:p w14:paraId="3304544C" w14:textId="27C0A324" w:rsidR="006A19AA" w:rsidRDefault="006A19AA" w:rsidP="006A19AA">
            <w:pPr>
              <w:pStyle w:val="TableText"/>
              <w:jc w:val="right"/>
            </w:pPr>
            <w:r>
              <w:t>4</w:t>
            </w:r>
          </w:p>
        </w:tc>
        <w:tc>
          <w:tcPr>
            <w:tcW w:w="1028" w:type="dxa"/>
            <w:tcBorders>
              <w:top w:val="nil"/>
            </w:tcBorders>
          </w:tcPr>
          <w:p w14:paraId="4822C292" w14:textId="44DA2BDD" w:rsidR="006A19AA" w:rsidRPr="00BD4046" w:rsidRDefault="00987CB9" w:rsidP="006A19AA">
            <w:pPr>
              <w:pStyle w:val="TableText"/>
              <w:jc w:val="right"/>
              <w:rPr>
                <w:rFonts w:cs="Segoe UI"/>
                <w:sz w:val="28"/>
              </w:rPr>
            </w:pPr>
            <w:r w:rsidRPr="00BD4046">
              <w:rPr>
                <w:b/>
                <w:bCs/>
              </w:rPr>
              <w:sym w:font="Wingdings" w:char="F0FC"/>
            </w:r>
          </w:p>
        </w:tc>
      </w:tr>
      <w:tr w:rsidR="006A19AA" w14:paraId="65747E77" w14:textId="77777777" w:rsidTr="006A19AA">
        <w:trPr>
          <w:trHeight w:val="578"/>
        </w:trPr>
        <w:tc>
          <w:tcPr>
            <w:tcW w:w="3686" w:type="dxa"/>
          </w:tcPr>
          <w:p w14:paraId="2BDD8B87" w14:textId="76156237" w:rsidR="006A19AA" w:rsidRDefault="006A19AA" w:rsidP="006A19AA">
            <w:pPr>
              <w:pStyle w:val="TableText"/>
            </w:pPr>
            <w:r w:rsidRPr="006A19AA">
              <w:t>Minister of Health satisfied with progress towards the Health and Disability System Reform deliverables agreed by Cabinet</w:t>
            </w:r>
          </w:p>
        </w:tc>
        <w:tc>
          <w:tcPr>
            <w:tcW w:w="1169" w:type="dxa"/>
          </w:tcPr>
          <w:p w14:paraId="6D3E8DE3" w14:textId="3170BDDD" w:rsidR="006A19AA" w:rsidRDefault="006A19AA" w:rsidP="006A19AA">
            <w:pPr>
              <w:pStyle w:val="TableText"/>
              <w:jc w:val="right"/>
            </w:pPr>
            <w:r w:rsidRPr="00F83833">
              <w:t>New Measure</w:t>
            </w:r>
          </w:p>
        </w:tc>
        <w:tc>
          <w:tcPr>
            <w:tcW w:w="1170" w:type="dxa"/>
          </w:tcPr>
          <w:p w14:paraId="13D6211F" w14:textId="4675C95E" w:rsidR="006A19AA" w:rsidRDefault="006A19AA" w:rsidP="006A19AA">
            <w:pPr>
              <w:pStyle w:val="TableText"/>
              <w:jc w:val="right"/>
            </w:pPr>
            <w:r w:rsidRPr="00F4467B">
              <w:t xml:space="preserve">Equal to or greater than </w:t>
            </w:r>
            <w:r w:rsidRPr="006A19AA">
              <w:t>4 out</w:t>
            </w:r>
            <w:r>
              <w:t xml:space="preserve"> of 5</w:t>
            </w:r>
          </w:p>
        </w:tc>
        <w:tc>
          <w:tcPr>
            <w:tcW w:w="1169" w:type="dxa"/>
          </w:tcPr>
          <w:p w14:paraId="18C16C38" w14:textId="243F55A0" w:rsidR="006A19AA" w:rsidRDefault="006A19AA" w:rsidP="006A19AA">
            <w:pPr>
              <w:pStyle w:val="TableText"/>
              <w:jc w:val="right"/>
            </w:pPr>
            <w:r>
              <w:t>4</w:t>
            </w:r>
          </w:p>
        </w:tc>
        <w:tc>
          <w:tcPr>
            <w:tcW w:w="1028" w:type="dxa"/>
          </w:tcPr>
          <w:p w14:paraId="4F615E89" w14:textId="00D1A43E" w:rsidR="006A19AA" w:rsidRPr="00BD4046" w:rsidRDefault="00987CB9" w:rsidP="006A19AA">
            <w:pPr>
              <w:pStyle w:val="TableText"/>
              <w:jc w:val="right"/>
              <w:rPr>
                <w:rFonts w:ascii="Franklin Gothic Heavy" w:hAnsi="Franklin Gothic Heavy"/>
                <w:b/>
                <w:bCs/>
                <w:sz w:val="28"/>
              </w:rPr>
            </w:pPr>
            <w:r w:rsidRPr="00BD4046">
              <w:rPr>
                <w:b/>
                <w:bCs/>
              </w:rPr>
              <w:sym w:font="Wingdings" w:char="F0FC"/>
            </w:r>
          </w:p>
        </w:tc>
      </w:tr>
    </w:tbl>
    <w:p w14:paraId="4408C050" w14:textId="77777777" w:rsidR="006A19AA" w:rsidRPr="006A19AA" w:rsidRDefault="006A19AA" w:rsidP="006A19AA">
      <w:pPr>
        <w:pStyle w:val="Note"/>
        <w:rPr>
          <w:rFonts w:eastAsia="Arial Unicode MS"/>
        </w:rPr>
      </w:pPr>
      <w:r w:rsidRPr="006A19AA">
        <w:rPr>
          <w:rStyle w:val="NoteChar"/>
        </w:rPr>
        <w:t>Note 1: The result is based on an average score using responses from 4 of the 5</w:t>
      </w:r>
      <w:r w:rsidRPr="006A19AA">
        <w:rPr>
          <w:rFonts w:eastAsia="Arial Unicode MS"/>
        </w:rPr>
        <w:t xml:space="preserve"> Ministerial Oversight Group members.</w:t>
      </w:r>
    </w:p>
    <w:p w14:paraId="2BB378E4" w14:textId="77777777" w:rsidR="00953192" w:rsidRDefault="00953192" w:rsidP="006A19AA">
      <w:pPr>
        <w:pStyle w:val="Heading5"/>
        <w:sectPr w:rsidR="00953192" w:rsidSect="00C26282">
          <w:pgSz w:w="11907" w:h="16840" w:code="9"/>
          <w:pgMar w:top="1418" w:right="1701" w:bottom="1134" w:left="1843" w:header="284" w:footer="425" w:gutter="284"/>
          <w:cols w:space="720"/>
        </w:sectPr>
      </w:pPr>
    </w:p>
    <w:p w14:paraId="1EC6A896" w14:textId="5AA29ED0" w:rsidR="006A19AA" w:rsidRPr="006A19AA" w:rsidRDefault="006A19AA" w:rsidP="006A19AA">
      <w:pPr>
        <w:pStyle w:val="Heading5"/>
      </w:pPr>
      <w:r w:rsidRPr="006A19AA">
        <w:lastRenderedPageBreak/>
        <w:t>Interim Health New Zealand responsibilities Departmental output expenses – Health New Zealand</w:t>
      </w:r>
    </w:p>
    <w:p w14:paraId="22B65142" w14:textId="77777777" w:rsidR="006A19AA" w:rsidRDefault="006A19AA" w:rsidP="006A19AA">
      <w:pPr>
        <w:rPr>
          <w:rFonts w:eastAsia="Arial Unicode MS"/>
        </w:rPr>
      </w:pPr>
      <w:r w:rsidRPr="006A19AA">
        <w:rPr>
          <w:rFonts w:eastAsia="Arial Unicode MS"/>
        </w:rPr>
        <w:t>This category is limited to the establishment of Health New Zealand, delivery of initial health and disability system reform priorities, and related advice.</w:t>
      </w:r>
    </w:p>
    <w:p w14:paraId="1BB160EE" w14:textId="77777777" w:rsidR="00953192" w:rsidRDefault="00953192" w:rsidP="006A19AA">
      <w:pPr>
        <w:rPr>
          <w:rFonts w:eastAsia="Arial Unicode MS"/>
        </w:rPr>
      </w:pP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886"/>
      </w:tblGrid>
      <w:tr w:rsidR="006A19AA" w:rsidRPr="00950725" w14:paraId="37371670" w14:textId="77777777" w:rsidTr="006A19AA">
        <w:trPr>
          <w:trHeight w:val="496"/>
          <w:tblHeader/>
        </w:trPr>
        <w:tc>
          <w:tcPr>
            <w:tcW w:w="3686" w:type="dxa"/>
            <w:tcBorders>
              <w:top w:val="nil"/>
              <w:bottom w:val="nil"/>
            </w:tcBorders>
            <w:shd w:val="clear" w:color="auto" w:fill="D9D9D9" w:themeFill="background1" w:themeFillShade="D9"/>
          </w:tcPr>
          <w:p w14:paraId="10BF9E67" w14:textId="02B5F0D7" w:rsidR="006A19AA" w:rsidRPr="00950725" w:rsidRDefault="006A19AA" w:rsidP="00FE6758">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222C9E2D" w14:textId="77777777" w:rsidR="006A19AA" w:rsidRPr="00950725" w:rsidRDefault="006A19AA" w:rsidP="00FE6758">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24BCE623" w14:textId="77777777" w:rsidR="006A19AA" w:rsidRPr="00950725" w:rsidRDefault="006A19AA" w:rsidP="00FE6758">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0566C9AA" w14:textId="704449B1" w:rsidR="006A19AA" w:rsidRPr="00950725" w:rsidRDefault="006A19AA" w:rsidP="00975ED6">
            <w:pPr>
              <w:pStyle w:val="TableText"/>
              <w:jc w:val="right"/>
              <w:rPr>
                <w:b/>
                <w:bCs/>
              </w:rPr>
            </w:pPr>
            <w:r w:rsidRPr="00950725">
              <w:rPr>
                <w:b/>
                <w:bCs/>
                <w:w w:val="110"/>
              </w:rPr>
              <w:t>Actual</w:t>
            </w:r>
          </w:p>
        </w:tc>
        <w:tc>
          <w:tcPr>
            <w:tcW w:w="886" w:type="dxa"/>
            <w:tcBorders>
              <w:top w:val="nil"/>
              <w:bottom w:val="nil"/>
            </w:tcBorders>
            <w:shd w:val="clear" w:color="auto" w:fill="D9D9D9" w:themeFill="background1" w:themeFillShade="D9"/>
          </w:tcPr>
          <w:p w14:paraId="53532173" w14:textId="77777777" w:rsidR="006A19AA" w:rsidRPr="00950725" w:rsidRDefault="006A19AA" w:rsidP="00FE6758">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6A19AA" w14:paraId="688C818D" w14:textId="77777777" w:rsidTr="006A19AA">
        <w:trPr>
          <w:trHeight w:val="344"/>
          <w:tblHeader/>
        </w:trPr>
        <w:tc>
          <w:tcPr>
            <w:tcW w:w="3686" w:type="dxa"/>
            <w:tcBorders>
              <w:top w:val="nil"/>
              <w:bottom w:val="nil"/>
            </w:tcBorders>
            <w:shd w:val="clear" w:color="auto" w:fill="D9D9D9" w:themeFill="background1" w:themeFillShade="D9"/>
          </w:tcPr>
          <w:p w14:paraId="5764A279" w14:textId="77777777" w:rsidR="006A19AA" w:rsidRDefault="006A19AA" w:rsidP="00FE6758">
            <w:pPr>
              <w:pStyle w:val="TableText"/>
              <w:spacing w:after="0"/>
              <w:rPr>
                <w:w w:val="105"/>
              </w:rPr>
            </w:pPr>
          </w:p>
        </w:tc>
        <w:tc>
          <w:tcPr>
            <w:tcW w:w="1169" w:type="dxa"/>
            <w:tcBorders>
              <w:top w:val="nil"/>
              <w:bottom w:val="nil"/>
            </w:tcBorders>
            <w:shd w:val="clear" w:color="auto" w:fill="D9D9D9" w:themeFill="background1" w:themeFillShade="D9"/>
          </w:tcPr>
          <w:p w14:paraId="4AB9E95A" w14:textId="77777777" w:rsidR="006A19AA" w:rsidRDefault="006A19AA"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593A0307" w14:textId="77777777" w:rsidR="006A19AA" w:rsidRDefault="006A19AA" w:rsidP="00FE6758">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2192FB83" w14:textId="77777777" w:rsidR="006A19AA" w:rsidRDefault="006A19AA" w:rsidP="00FE6758">
            <w:pPr>
              <w:pStyle w:val="TableText"/>
              <w:spacing w:before="0"/>
              <w:jc w:val="right"/>
              <w:rPr>
                <w:rFonts w:ascii="Times New Roman"/>
              </w:rPr>
            </w:pPr>
            <w:r w:rsidRPr="00950725">
              <w:rPr>
                <w:b/>
                <w:bCs/>
                <w:w w:val="105"/>
              </w:rPr>
              <w:t>2021/22</w:t>
            </w:r>
          </w:p>
        </w:tc>
        <w:tc>
          <w:tcPr>
            <w:tcW w:w="886" w:type="dxa"/>
            <w:tcBorders>
              <w:top w:val="nil"/>
              <w:bottom w:val="nil"/>
            </w:tcBorders>
            <w:shd w:val="clear" w:color="auto" w:fill="D9D9D9" w:themeFill="background1" w:themeFillShade="D9"/>
          </w:tcPr>
          <w:p w14:paraId="1EC78D82" w14:textId="77777777" w:rsidR="006A19AA" w:rsidRDefault="006A19AA" w:rsidP="00FE6758">
            <w:pPr>
              <w:pStyle w:val="TableText"/>
              <w:jc w:val="right"/>
              <w:rPr>
                <w:rFonts w:ascii="Times New Roman"/>
              </w:rPr>
            </w:pPr>
          </w:p>
        </w:tc>
      </w:tr>
      <w:tr w:rsidR="006A19AA" w14:paraId="3F60FF1F" w14:textId="77777777" w:rsidTr="006A19AA">
        <w:trPr>
          <w:trHeight w:val="77"/>
        </w:trPr>
        <w:tc>
          <w:tcPr>
            <w:tcW w:w="3686" w:type="dxa"/>
            <w:tcBorders>
              <w:top w:val="nil"/>
            </w:tcBorders>
          </w:tcPr>
          <w:p w14:paraId="0163C82A" w14:textId="0FAC6D61" w:rsidR="006A19AA" w:rsidRDefault="006A19AA" w:rsidP="006A19AA">
            <w:pPr>
              <w:pStyle w:val="TableText"/>
            </w:pPr>
            <w:r w:rsidRPr="00E63A42">
              <w:t>Ministerial Oversight Group satisfied with progress towards the Health and Disability System Reform deliverables agreed by Cabinet</w:t>
            </w:r>
            <w:r>
              <w:t xml:space="preserve"> </w:t>
            </w:r>
            <w:r w:rsidRPr="00E63A42">
              <w:t>(Note 1)</w:t>
            </w:r>
          </w:p>
        </w:tc>
        <w:tc>
          <w:tcPr>
            <w:tcW w:w="1169" w:type="dxa"/>
            <w:tcBorders>
              <w:top w:val="nil"/>
            </w:tcBorders>
          </w:tcPr>
          <w:p w14:paraId="6C02B318" w14:textId="77777777" w:rsidR="006A19AA" w:rsidRDefault="006A19AA" w:rsidP="006A19AA">
            <w:pPr>
              <w:pStyle w:val="TableText"/>
              <w:jc w:val="right"/>
            </w:pPr>
            <w:r w:rsidRPr="00F83833">
              <w:t>New Measure</w:t>
            </w:r>
          </w:p>
        </w:tc>
        <w:tc>
          <w:tcPr>
            <w:tcW w:w="1170" w:type="dxa"/>
            <w:tcBorders>
              <w:top w:val="nil"/>
            </w:tcBorders>
          </w:tcPr>
          <w:p w14:paraId="3E9D96A2" w14:textId="155D4776" w:rsidR="006A19AA" w:rsidRDefault="006A19AA" w:rsidP="006A19AA">
            <w:pPr>
              <w:pStyle w:val="TableText"/>
              <w:jc w:val="right"/>
            </w:pPr>
            <w:r w:rsidRPr="006A19AA">
              <w:t>Equal to or greater than 4 out</w:t>
            </w:r>
            <w:r>
              <w:t xml:space="preserve"> of 5</w:t>
            </w:r>
          </w:p>
        </w:tc>
        <w:tc>
          <w:tcPr>
            <w:tcW w:w="1169" w:type="dxa"/>
            <w:tcBorders>
              <w:top w:val="nil"/>
            </w:tcBorders>
          </w:tcPr>
          <w:p w14:paraId="3EA88E0F" w14:textId="77777777" w:rsidR="006A19AA" w:rsidRDefault="006A19AA" w:rsidP="006A19AA">
            <w:pPr>
              <w:pStyle w:val="TableText"/>
              <w:jc w:val="right"/>
            </w:pPr>
            <w:r>
              <w:t>4</w:t>
            </w:r>
          </w:p>
        </w:tc>
        <w:tc>
          <w:tcPr>
            <w:tcW w:w="886" w:type="dxa"/>
            <w:tcBorders>
              <w:top w:val="nil"/>
            </w:tcBorders>
          </w:tcPr>
          <w:p w14:paraId="635E9AAE" w14:textId="7EE04128" w:rsidR="006A19AA" w:rsidRPr="00BD4046" w:rsidRDefault="00953192" w:rsidP="006A19AA">
            <w:pPr>
              <w:pStyle w:val="TableText"/>
              <w:jc w:val="right"/>
              <w:rPr>
                <w:rFonts w:cs="Segoe UI"/>
                <w:sz w:val="28"/>
              </w:rPr>
            </w:pPr>
            <w:r w:rsidRPr="00BD4046">
              <w:rPr>
                <w:b/>
                <w:bCs/>
              </w:rPr>
              <w:sym w:font="Wingdings" w:char="F0FC"/>
            </w:r>
          </w:p>
        </w:tc>
      </w:tr>
      <w:tr w:rsidR="006A19AA" w14:paraId="15F5A2A0" w14:textId="77777777" w:rsidTr="006A19AA">
        <w:trPr>
          <w:trHeight w:val="578"/>
        </w:trPr>
        <w:tc>
          <w:tcPr>
            <w:tcW w:w="3686" w:type="dxa"/>
          </w:tcPr>
          <w:p w14:paraId="0728100C" w14:textId="614114CA" w:rsidR="006A19AA" w:rsidRDefault="006A19AA" w:rsidP="006A19AA">
            <w:pPr>
              <w:pStyle w:val="TableText"/>
            </w:pPr>
            <w:r w:rsidRPr="006A19AA">
              <w:t>Minister of Health satisfied with progress towards the Health and Disability System Reform deliverables agreed by Cabinet</w:t>
            </w:r>
          </w:p>
        </w:tc>
        <w:tc>
          <w:tcPr>
            <w:tcW w:w="1169" w:type="dxa"/>
          </w:tcPr>
          <w:p w14:paraId="26FC5049" w14:textId="77777777" w:rsidR="006A19AA" w:rsidRDefault="006A19AA" w:rsidP="006A19AA">
            <w:pPr>
              <w:pStyle w:val="TableText"/>
              <w:jc w:val="right"/>
            </w:pPr>
            <w:r w:rsidRPr="00F83833">
              <w:t>New Measure</w:t>
            </w:r>
          </w:p>
        </w:tc>
        <w:tc>
          <w:tcPr>
            <w:tcW w:w="1170" w:type="dxa"/>
          </w:tcPr>
          <w:p w14:paraId="38A0D5A4" w14:textId="060BB439" w:rsidR="006A19AA" w:rsidRDefault="006A19AA" w:rsidP="006A19AA">
            <w:pPr>
              <w:pStyle w:val="TableText"/>
              <w:jc w:val="right"/>
            </w:pPr>
            <w:r w:rsidRPr="00F4467B">
              <w:t xml:space="preserve">Equal to or greater than </w:t>
            </w:r>
            <w:r w:rsidRPr="006A19AA">
              <w:t>4 out</w:t>
            </w:r>
            <w:r>
              <w:t xml:space="preserve"> of 5</w:t>
            </w:r>
          </w:p>
        </w:tc>
        <w:tc>
          <w:tcPr>
            <w:tcW w:w="1169" w:type="dxa"/>
          </w:tcPr>
          <w:p w14:paraId="0D30B53F" w14:textId="220F13F8" w:rsidR="006A19AA" w:rsidRDefault="006A19AA" w:rsidP="006A19AA">
            <w:pPr>
              <w:pStyle w:val="TableText"/>
              <w:jc w:val="right"/>
            </w:pPr>
            <w:r>
              <w:t>5</w:t>
            </w:r>
          </w:p>
        </w:tc>
        <w:tc>
          <w:tcPr>
            <w:tcW w:w="886" w:type="dxa"/>
          </w:tcPr>
          <w:p w14:paraId="20A5DC00" w14:textId="7C308C4C" w:rsidR="006A19AA" w:rsidRPr="00BD4046" w:rsidRDefault="00953192" w:rsidP="006A19AA">
            <w:pPr>
              <w:pStyle w:val="TableText"/>
              <w:jc w:val="right"/>
              <w:rPr>
                <w:rFonts w:ascii="Franklin Gothic Heavy" w:hAnsi="Franklin Gothic Heavy"/>
                <w:b/>
                <w:bCs/>
                <w:sz w:val="28"/>
              </w:rPr>
            </w:pPr>
            <w:r w:rsidRPr="00BD4046">
              <w:rPr>
                <w:b/>
                <w:bCs/>
              </w:rPr>
              <w:sym w:font="Wingdings" w:char="F0FC"/>
            </w:r>
          </w:p>
        </w:tc>
      </w:tr>
    </w:tbl>
    <w:p w14:paraId="2D3FF108" w14:textId="77777777" w:rsidR="00FE6758" w:rsidRPr="00FE6758" w:rsidRDefault="00FE6758" w:rsidP="00FE6758">
      <w:pPr>
        <w:pStyle w:val="Note"/>
        <w:rPr>
          <w:rFonts w:eastAsia="Arial Unicode MS"/>
        </w:rPr>
      </w:pPr>
      <w:r w:rsidRPr="00FE6758">
        <w:rPr>
          <w:rStyle w:val="NoteChar"/>
        </w:rPr>
        <w:t>Note 1: The result is based on an average score using responses from 4 of the 5</w:t>
      </w:r>
      <w:r w:rsidRPr="00FE6758">
        <w:rPr>
          <w:rFonts w:eastAsia="Arial Unicode MS"/>
        </w:rPr>
        <w:t xml:space="preserve"> Ministerial Oversight Group members</w:t>
      </w:r>
    </w:p>
    <w:p w14:paraId="090E7D5A" w14:textId="77777777" w:rsidR="00FE6758" w:rsidRPr="00FE6758" w:rsidRDefault="00FE6758" w:rsidP="00FE6758">
      <w:pPr>
        <w:pStyle w:val="Heading5"/>
      </w:pPr>
      <w:r w:rsidRPr="00FE6758">
        <w:t>Non-Departmental output expenses – Locality Networks</w:t>
      </w:r>
    </w:p>
    <w:p w14:paraId="284EFAC8" w14:textId="0729E694" w:rsidR="006A19AA" w:rsidRDefault="00FE6758" w:rsidP="00FE6758">
      <w:pPr>
        <w:rPr>
          <w:rFonts w:eastAsia="Arial Unicode MS"/>
        </w:rPr>
      </w:pPr>
      <w:r w:rsidRPr="00FE6758">
        <w:rPr>
          <w:rFonts w:eastAsia="Arial Unicode MS"/>
        </w:rPr>
        <w:t>This category is limited to developing, implementing and delivering Locality Networks.</w:t>
      </w:r>
    </w:p>
    <w:p w14:paraId="6D7F68A5" w14:textId="77777777" w:rsidR="00FE6758" w:rsidRDefault="00FE6758" w:rsidP="00FE6758">
      <w:pPr>
        <w:rPr>
          <w:rFonts w:eastAsia="Arial Unicode MS"/>
        </w:rPr>
      </w:pP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886"/>
      </w:tblGrid>
      <w:tr w:rsidR="00FE6758" w:rsidRPr="00950725" w14:paraId="10E28309" w14:textId="77777777" w:rsidTr="00FE6758">
        <w:trPr>
          <w:trHeight w:val="496"/>
          <w:tblHeader/>
        </w:trPr>
        <w:tc>
          <w:tcPr>
            <w:tcW w:w="3686" w:type="dxa"/>
            <w:tcBorders>
              <w:top w:val="nil"/>
              <w:bottom w:val="nil"/>
            </w:tcBorders>
            <w:shd w:val="clear" w:color="auto" w:fill="D9D9D9" w:themeFill="background1" w:themeFillShade="D9"/>
          </w:tcPr>
          <w:p w14:paraId="34F5BCDC" w14:textId="77777777" w:rsidR="00FE6758" w:rsidRPr="00950725" w:rsidRDefault="00FE6758" w:rsidP="00FE6758">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525B0555" w14:textId="77777777" w:rsidR="00FE6758" w:rsidRPr="00950725" w:rsidRDefault="00FE6758" w:rsidP="00FE6758">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08E87DAD" w14:textId="77777777" w:rsidR="00FE6758" w:rsidRPr="00950725" w:rsidRDefault="00FE6758" w:rsidP="00FE6758">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19C0064F" w14:textId="06CBF913" w:rsidR="00FE6758" w:rsidRPr="00950725" w:rsidRDefault="00FE6758" w:rsidP="00975ED6">
            <w:pPr>
              <w:pStyle w:val="TableText"/>
              <w:jc w:val="right"/>
              <w:rPr>
                <w:b/>
                <w:bCs/>
              </w:rPr>
            </w:pPr>
            <w:r w:rsidRPr="00950725">
              <w:rPr>
                <w:b/>
                <w:bCs/>
                <w:w w:val="110"/>
              </w:rPr>
              <w:t>Actual</w:t>
            </w:r>
          </w:p>
        </w:tc>
        <w:tc>
          <w:tcPr>
            <w:tcW w:w="886" w:type="dxa"/>
            <w:tcBorders>
              <w:top w:val="nil"/>
              <w:bottom w:val="nil"/>
            </w:tcBorders>
            <w:shd w:val="clear" w:color="auto" w:fill="D9D9D9" w:themeFill="background1" w:themeFillShade="D9"/>
          </w:tcPr>
          <w:p w14:paraId="76BECD9A" w14:textId="77777777" w:rsidR="00FE6758" w:rsidRPr="00950725" w:rsidRDefault="00FE6758" w:rsidP="00FE6758">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FE6758" w14:paraId="196E5C1C" w14:textId="77777777" w:rsidTr="00FE6758">
        <w:trPr>
          <w:trHeight w:val="344"/>
          <w:tblHeader/>
        </w:trPr>
        <w:tc>
          <w:tcPr>
            <w:tcW w:w="3686" w:type="dxa"/>
            <w:tcBorders>
              <w:top w:val="nil"/>
              <w:bottom w:val="nil"/>
            </w:tcBorders>
            <w:shd w:val="clear" w:color="auto" w:fill="D9D9D9" w:themeFill="background1" w:themeFillShade="D9"/>
          </w:tcPr>
          <w:p w14:paraId="5CC9ADEF" w14:textId="77777777" w:rsidR="00FE6758" w:rsidRDefault="00FE6758" w:rsidP="00FE6758">
            <w:pPr>
              <w:pStyle w:val="TableText"/>
              <w:spacing w:after="0"/>
              <w:rPr>
                <w:w w:val="105"/>
              </w:rPr>
            </w:pPr>
          </w:p>
        </w:tc>
        <w:tc>
          <w:tcPr>
            <w:tcW w:w="1169" w:type="dxa"/>
            <w:tcBorders>
              <w:top w:val="nil"/>
              <w:bottom w:val="nil"/>
            </w:tcBorders>
            <w:shd w:val="clear" w:color="auto" w:fill="D9D9D9" w:themeFill="background1" w:themeFillShade="D9"/>
          </w:tcPr>
          <w:p w14:paraId="40229678" w14:textId="77777777" w:rsidR="00FE6758" w:rsidRDefault="00FE6758" w:rsidP="00FE6758">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09F361F9" w14:textId="77777777" w:rsidR="00FE6758" w:rsidRDefault="00FE6758" w:rsidP="00FE6758">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590241E8" w14:textId="77777777" w:rsidR="00FE6758" w:rsidRDefault="00FE6758" w:rsidP="00FE6758">
            <w:pPr>
              <w:pStyle w:val="TableText"/>
              <w:spacing w:before="0"/>
              <w:jc w:val="right"/>
              <w:rPr>
                <w:rFonts w:ascii="Times New Roman"/>
              </w:rPr>
            </w:pPr>
            <w:r w:rsidRPr="00950725">
              <w:rPr>
                <w:b/>
                <w:bCs/>
                <w:w w:val="105"/>
              </w:rPr>
              <w:t>2021/22</w:t>
            </w:r>
          </w:p>
        </w:tc>
        <w:tc>
          <w:tcPr>
            <w:tcW w:w="886" w:type="dxa"/>
            <w:tcBorders>
              <w:top w:val="nil"/>
              <w:bottom w:val="nil"/>
            </w:tcBorders>
            <w:shd w:val="clear" w:color="auto" w:fill="D9D9D9" w:themeFill="background1" w:themeFillShade="D9"/>
          </w:tcPr>
          <w:p w14:paraId="46A740D1" w14:textId="77777777" w:rsidR="00FE6758" w:rsidRDefault="00FE6758" w:rsidP="00FE6758">
            <w:pPr>
              <w:pStyle w:val="TableText"/>
              <w:jc w:val="right"/>
              <w:rPr>
                <w:rFonts w:ascii="Times New Roman"/>
              </w:rPr>
            </w:pPr>
          </w:p>
        </w:tc>
      </w:tr>
      <w:tr w:rsidR="00FE6758" w14:paraId="1013ADD9" w14:textId="77777777" w:rsidTr="00FE6758">
        <w:trPr>
          <w:trHeight w:val="77"/>
        </w:trPr>
        <w:tc>
          <w:tcPr>
            <w:tcW w:w="3686" w:type="dxa"/>
            <w:tcBorders>
              <w:top w:val="nil"/>
            </w:tcBorders>
          </w:tcPr>
          <w:p w14:paraId="39D04AE8" w14:textId="5049BAAF" w:rsidR="00FE6758" w:rsidRDefault="00FE6758" w:rsidP="00FE6758">
            <w:pPr>
              <w:pStyle w:val="TableText"/>
            </w:pPr>
            <w:r w:rsidRPr="00FE6758">
              <w:t>Funding agreements in place for first phase of Locality Networks (Note 1)</w:t>
            </w:r>
          </w:p>
        </w:tc>
        <w:tc>
          <w:tcPr>
            <w:tcW w:w="1169" w:type="dxa"/>
            <w:tcBorders>
              <w:top w:val="nil"/>
            </w:tcBorders>
          </w:tcPr>
          <w:p w14:paraId="06D66A9F" w14:textId="77777777" w:rsidR="00FE6758" w:rsidRDefault="00FE6758" w:rsidP="00FE6758">
            <w:pPr>
              <w:pStyle w:val="TableText"/>
              <w:jc w:val="right"/>
            </w:pPr>
            <w:r w:rsidRPr="00F83833">
              <w:t>New Measure</w:t>
            </w:r>
          </w:p>
        </w:tc>
        <w:tc>
          <w:tcPr>
            <w:tcW w:w="1170" w:type="dxa"/>
            <w:tcBorders>
              <w:top w:val="nil"/>
            </w:tcBorders>
          </w:tcPr>
          <w:p w14:paraId="6AC4FC0C" w14:textId="0B98C6C3" w:rsidR="00FE6758" w:rsidRDefault="00FE6758" w:rsidP="00FE6758">
            <w:pPr>
              <w:pStyle w:val="TableText"/>
              <w:jc w:val="right"/>
            </w:pPr>
            <w:r w:rsidRPr="008B155F">
              <w:t>5-6</w:t>
            </w:r>
            <w:r>
              <w:t xml:space="preserve"> </w:t>
            </w:r>
            <w:r w:rsidRPr="00FE6758">
              <w:t>locality networks</w:t>
            </w:r>
            <w:r>
              <w:t xml:space="preserve"> </w:t>
            </w:r>
          </w:p>
        </w:tc>
        <w:tc>
          <w:tcPr>
            <w:tcW w:w="1169" w:type="dxa"/>
            <w:tcBorders>
              <w:top w:val="nil"/>
            </w:tcBorders>
          </w:tcPr>
          <w:p w14:paraId="22065198" w14:textId="7F0DDEBC" w:rsidR="00FE6758" w:rsidRDefault="00FE6758" w:rsidP="00FE6758">
            <w:pPr>
              <w:pStyle w:val="TableText"/>
              <w:jc w:val="right"/>
            </w:pPr>
            <w:r>
              <w:t>9</w:t>
            </w:r>
          </w:p>
        </w:tc>
        <w:tc>
          <w:tcPr>
            <w:tcW w:w="886" w:type="dxa"/>
            <w:tcBorders>
              <w:top w:val="nil"/>
            </w:tcBorders>
          </w:tcPr>
          <w:p w14:paraId="67750A29" w14:textId="6D8327AF" w:rsidR="00FE6758" w:rsidRPr="00BD4046" w:rsidRDefault="00953192" w:rsidP="00FE6758">
            <w:pPr>
              <w:pStyle w:val="TableText"/>
              <w:jc w:val="right"/>
              <w:rPr>
                <w:rFonts w:cs="Segoe UI"/>
                <w:sz w:val="28"/>
              </w:rPr>
            </w:pPr>
            <w:r w:rsidRPr="00BD4046">
              <w:rPr>
                <w:b/>
                <w:bCs/>
              </w:rPr>
              <w:sym w:font="Wingdings" w:char="F0FC"/>
            </w:r>
          </w:p>
        </w:tc>
      </w:tr>
    </w:tbl>
    <w:p w14:paraId="3605B77C" w14:textId="795B70F4" w:rsidR="00FE6758" w:rsidRDefault="00975ED6" w:rsidP="00975ED6">
      <w:pPr>
        <w:pStyle w:val="Note"/>
        <w:rPr>
          <w:rFonts w:eastAsia="Arial Unicode MS"/>
        </w:rPr>
      </w:pPr>
      <w:r w:rsidRPr="00975ED6">
        <w:rPr>
          <w:rFonts w:eastAsia="Arial Unicode MS"/>
        </w:rPr>
        <w:t>Note 1: Nine letters of agreement for Phase 1 Locality funding were implemented, with funding paid within the FY21/22 year.</w:t>
      </w:r>
    </w:p>
    <w:p w14:paraId="583B2B66" w14:textId="77777777" w:rsidR="00975ED6" w:rsidRPr="00975ED6" w:rsidRDefault="00975ED6" w:rsidP="00975ED6">
      <w:pPr>
        <w:pStyle w:val="Heading5"/>
      </w:pPr>
      <w:r w:rsidRPr="00975ED6">
        <w:t>Interim Māori Health Authority responsibilities Departmental output expenses – Māori Health Authority</w:t>
      </w:r>
    </w:p>
    <w:p w14:paraId="73C7CB42" w14:textId="7FD6101E" w:rsidR="00975ED6" w:rsidRDefault="00975ED6" w:rsidP="00975ED6">
      <w:pPr>
        <w:rPr>
          <w:rFonts w:eastAsia="Arial Unicode MS"/>
        </w:rPr>
      </w:pPr>
      <w:r w:rsidRPr="00975ED6">
        <w:rPr>
          <w:rFonts w:eastAsia="Arial Unicode MS"/>
        </w:rPr>
        <w:t>This category is limited to the establishment of a Māori Health Authority, delivery of initial hauora Māori reform priorities, and related advice.</w:t>
      </w:r>
    </w:p>
    <w:p w14:paraId="52353985" w14:textId="77777777" w:rsidR="00975ED6" w:rsidRDefault="00975ED6" w:rsidP="00975ED6">
      <w:pPr>
        <w:rPr>
          <w:rFonts w:eastAsia="Arial Unicode MS"/>
        </w:rPr>
      </w:pP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886"/>
      </w:tblGrid>
      <w:tr w:rsidR="00975ED6" w:rsidRPr="00950725" w14:paraId="6A6E5796" w14:textId="77777777" w:rsidTr="002918A6">
        <w:trPr>
          <w:trHeight w:val="496"/>
          <w:tblHeader/>
        </w:trPr>
        <w:tc>
          <w:tcPr>
            <w:tcW w:w="3686" w:type="dxa"/>
            <w:tcBorders>
              <w:top w:val="nil"/>
              <w:bottom w:val="nil"/>
            </w:tcBorders>
            <w:shd w:val="clear" w:color="auto" w:fill="D9D9D9" w:themeFill="background1" w:themeFillShade="D9"/>
          </w:tcPr>
          <w:p w14:paraId="378F3825" w14:textId="77777777" w:rsidR="00975ED6" w:rsidRPr="00950725" w:rsidRDefault="00975ED6" w:rsidP="002918A6">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0C69A934" w14:textId="77777777" w:rsidR="00975ED6" w:rsidRPr="00950725" w:rsidRDefault="00975ED6" w:rsidP="002918A6">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4C8CE77D" w14:textId="77777777" w:rsidR="00975ED6" w:rsidRPr="00950725" w:rsidRDefault="00975ED6" w:rsidP="002918A6">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549977B5" w14:textId="77777777" w:rsidR="00975ED6" w:rsidRPr="00950725" w:rsidRDefault="00975ED6" w:rsidP="002918A6">
            <w:pPr>
              <w:pStyle w:val="TableText"/>
              <w:jc w:val="right"/>
              <w:rPr>
                <w:b/>
                <w:bCs/>
              </w:rPr>
            </w:pPr>
            <w:r w:rsidRPr="00950725">
              <w:rPr>
                <w:b/>
                <w:bCs/>
                <w:w w:val="110"/>
              </w:rPr>
              <w:t>Actual</w:t>
            </w:r>
          </w:p>
        </w:tc>
        <w:tc>
          <w:tcPr>
            <w:tcW w:w="886" w:type="dxa"/>
            <w:tcBorders>
              <w:top w:val="nil"/>
              <w:bottom w:val="nil"/>
            </w:tcBorders>
            <w:shd w:val="clear" w:color="auto" w:fill="D9D9D9" w:themeFill="background1" w:themeFillShade="D9"/>
          </w:tcPr>
          <w:p w14:paraId="1E9237AB" w14:textId="77777777" w:rsidR="00975ED6" w:rsidRPr="00950725" w:rsidRDefault="00975ED6" w:rsidP="002918A6">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975ED6" w14:paraId="23AC17E0" w14:textId="77777777" w:rsidTr="002918A6">
        <w:trPr>
          <w:trHeight w:val="344"/>
          <w:tblHeader/>
        </w:trPr>
        <w:tc>
          <w:tcPr>
            <w:tcW w:w="3686" w:type="dxa"/>
            <w:tcBorders>
              <w:top w:val="nil"/>
              <w:bottom w:val="nil"/>
            </w:tcBorders>
            <w:shd w:val="clear" w:color="auto" w:fill="D9D9D9" w:themeFill="background1" w:themeFillShade="D9"/>
          </w:tcPr>
          <w:p w14:paraId="262305BD" w14:textId="77777777" w:rsidR="00975ED6" w:rsidRDefault="00975ED6" w:rsidP="002918A6">
            <w:pPr>
              <w:pStyle w:val="TableText"/>
              <w:spacing w:after="0"/>
              <w:rPr>
                <w:w w:val="105"/>
              </w:rPr>
            </w:pPr>
          </w:p>
        </w:tc>
        <w:tc>
          <w:tcPr>
            <w:tcW w:w="1169" w:type="dxa"/>
            <w:tcBorders>
              <w:top w:val="nil"/>
              <w:bottom w:val="nil"/>
            </w:tcBorders>
            <w:shd w:val="clear" w:color="auto" w:fill="D9D9D9" w:themeFill="background1" w:themeFillShade="D9"/>
          </w:tcPr>
          <w:p w14:paraId="289FDAE2" w14:textId="77777777" w:rsidR="00975ED6" w:rsidRDefault="00975ED6" w:rsidP="002918A6">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179CE4EC" w14:textId="77777777" w:rsidR="00975ED6" w:rsidRDefault="00975ED6" w:rsidP="002918A6">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7906FCE2" w14:textId="77777777" w:rsidR="00975ED6" w:rsidRDefault="00975ED6" w:rsidP="002918A6">
            <w:pPr>
              <w:pStyle w:val="TableText"/>
              <w:spacing w:before="0"/>
              <w:jc w:val="right"/>
              <w:rPr>
                <w:rFonts w:ascii="Times New Roman"/>
              </w:rPr>
            </w:pPr>
            <w:r w:rsidRPr="00950725">
              <w:rPr>
                <w:b/>
                <w:bCs/>
                <w:w w:val="105"/>
              </w:rPr>
              <w:t>2021/22</w:t>
            </w:r>
          </w:p>
        </w:tc>
        <w:tc>
          <w:tcPr>
            <w:tcW w:w="886" w:type="dxa"/>
            <w:tcBorders>
              <w:top w:val="nil"/>
              <w:bottom w:val="nil"/>
            </w:tcBorders>
            <w:shd w:val="clear" w:color="auto" w:fill="D9D9D9" w:themeFill="background1" w:themeFillShade="D9"/>
          </w:tcPr>
          <w:p w14:paraId="1C20716D" w14:textId="77777777" w:rsidR="00975ED6" w:rsidRDefault="00975ED6" w:rsidP="002918A6">
            <w:pPr>
              <w:pStyle w:val="TableText"/>
              <w:jc w:val="right"/>
              <w:rPr>
                <w:rFonts w:ascii="Times New Roman"/>
              </w:rPr>
            </w:pPr>
          </w:p>
        </w:tc>
      </w:tr>
      <w:tr w:rsidR="00975ED6" w14:paraId="1F61A3CF" w14:textId="77777777" w:rsidTr="00975ED6">
        <w:trPr>
          <w:trHeight w:val="77"/>
        </w:trPr>
        <w:tc>
          <w:tcPr>
            <w:tcW w:w="3686" w:type="dxa"/>
            <w:tcBorders>
              <w:top w:val="nil"/>
              <w:bottom w:val="single" w:sz="4" w:space="0" w:color="A6A6A6" w:themeColor="background1" w:themeShade="A6"/>
            </w:tcBorders>
          </w:tcPr>
          <w:p w14:paraId="1C1CA579" w14:textId="62832D0A" w:rsidR="00975ED6" w:rsidRDefault="00975ED6" w:rsidP="00975ED6">
            <w:pPr>
              <w:pStyle w:val="TableText"/>
            </w:pPr>
            <w:r w:rsidRPr="00975ED6">
              <w:t xml:space="preserve">Ministerial Oversight Group satisfied with progress towards the Health and Disability System Reform deliverables agreed by Cabinet </w:t>
            </w:r>
            <w:r w:rsidRPr="00FE6758">
              <w:t>(Note 1)</w:t>
            </w:r>
          </w:p>
        </w:tc>
        <w:tc>
          <w:tcPr>
            <w:tcW w:w="1169" w:type="dxa"/>
            <w:tcBorders>
              <w:top w:val="nil"/>
              <w:bottom w:val="single" w:sz="4" w:space="0" w:color="A6A6A6" w:themeColor="background1" w:themeShade="A6"/>
            </w:tcBorders>
          </w:tcPr>
          <w:p w14:paraId="1204D62C" w14:textId="77777777" w:rsidR="00975ED6" w:rsidRDefault="00975ED6" w:rsidP="00975ED6">
            <w:pPr>
              <w:pStyle w:val="TableText"/>
              <w:jc w:val="right"/>
            </w:pPr>
            <w:r w:rsidRPr="00F83833">
              <w:t>New Measure</w:t>
            </w:r>
          </w:p>
        </w:tc>
        <w:tc>
          <w:tcPr>
            <w:tcW w:w="1170" w:type="dxa"/>
            <w:tcBorders>
              <w:top w:val="nil"/>
              <w:bottom w:val="single" w:sz="4" w:space="0" w:color="A6A6A6" w:themeColor="background1" w:themeShade="A6"/>
            </w:tcBorders>
          </w:tcPr>
          <w:p w14:paraId="5E9906D6" w14:textId="0BDEFB29" w:rsidR="00975ED6" w:rsidRDefault="00975ED6" w:rsidP="00975ED6">
            <w:pPr>
              <w:pStyle w:val="TableText"/>
              <w:jc w:val="right"/>
            </w:pPr>
            <w:r w:rsidRPr="003A251F">
              <w:t>Equal to or greater than 4 out of 5</w:t>
            </w:r>
          </w:p>
        </w:tc>
        <w:tc>
          <w:tcPr>
            <w:tcW w:w="1169" w:type="dxa"/>
            <w:tcBorders>
              <w:top w:val="nil"/>
              <w:bottom w:val="single" w:sz="4" w:space="0" w:color="A6A6A6" w:themeColor="background1" w:themeShade="A6"/>
            </w:tcBorders>
          </w:tcPr>
          <w:p w14:paraId="2FA82A11" w14:textId="50A88748" w:rsidR="00975ED6" w:rsidRDefault="00975ED6" w:rsidP="00975ED6">
            <w:pPr>
              <w:pStyle w:val="TableText"/>
              <w:jc w:val="right"/>
            </w:pPr>
            <w:r>
              <w:t>4</w:t>
            </w:r>
          </w:p>
        </w:tc>
        <w:tc>
          <w:tcPr>
            <w:tcW w:w="886" w:type="dxa"/>
            <w:tcBorders>
              <w:top w:val="nil"/>
              <w:bottom w:val="single" w:sz="4" w:space="0" w:color="A6A6A6" w:themeColor="background1" w:themeShade="A6"/>
            </w:tcBorders>
          </w:tcPr>
          <w:p w14:paraId="61629E59" w14:textId="1848FB95" w:rsidR="00975ED6" w:rsidRPr="00BD4046" w:rsidRDefault="00975ED6" w:rsidP="00975ED6">
            <w:pPr>
              <w:pStyle w:val="TableText"/>
              <w:jc w:val="right"/>
              <w:rPr>
                <w:rFonts w:cs="Segoe UI"/>
                <w:sz w:val="28"/>
              </w:rPr>
            </w:pPr>
            <w:r w:rsidRPr="00E1157F">
              <w:rPr>
                <w:b/>
                <w:bCs/>
              </w:rPr>
              <w:sym w:font="Wingdings" w:char="F0FC"/>
            </w:r>
          </w:p>
        </w:tc>
      </w:tr>
      <w:tr w:rsidR="00975ED6" w14:paraId="7D2BC78C" w14:textId="77777777" w:rsidTr="00975ED6">
        <w:trPr>
          <w:trHeight w:val="77"/>
        </w:trPr>
        <w:tc>
          <w:tcPr>
            <w:tcW w:w="3686" w:type="dxa"/>
            <w:tcBorders>
              <w:top w:val="single" w:sz="4" w:space="0" w:color="A6A6A6" w:themeColor="background1" w:themeShade="A6"/>
            </w:tcBorders>
          </w:tcPr>
          <w:p w14:paraId="0C55E96B" w14:textId="6559D9F1" w:rsidR="00975ED6" w:rsidRPr="00FE6758" w:rsidRDefault="00975ED6" w:rsidP="00975ED6">
            <w:pPr>
              <w:pStyle w:val="TableText"/>
            </w:pPr>
            <w:r w:rsidRPr="00975ED6">
              <w:t>Minister of Health satisfied with progress towards the Health and Disability System Reform deliverables agreed by Cabinet</w:t>
            </w:r>
          </w:p>
        </w:tc>
        <w:tc>
          <w:tcPr>
            <w:tcW w:w="1169" w:type="dxa"/>
            <w:tcBorders>
              <w:top w:val="single" w:sz="4" w:space="0" w:color="A6A6A6" w:themeColor="background1" w:themeShade="A6"/>
            </w:tcBorders>
          </w:tcPr>
          <w:p w14:paraId="56E854FC" w14:textId="3CB479BF" w:rsidR="00975ED6" w:rsidRPr="00F83833" w:rsidRDefault="00975ED6" w:rsidP="00975ED6">
            <w:pPr>
              <w:pStyle w:val="TableText"/>
              <w:jc w:val="right"/>
            </w:pPr>
            <w:r w:rsidRPr="00F83833">
              <w:t>New Measure</w:t>
            </w:r>
          </w:p>
        </w:tc>
        <w:tc>
          <w:tcPr>
            <w:tcW w:w="1170" w:type="dxa"/>
            <w:tcBorders>
              <w:top w:val="single" w:sz="4" w:space="0" w:color="A6A6A6" w:themeColor="background1" w:themeShade="A6"/>
            </w:tcBorders>
          </w:tcPr>
          <w:p w14:paraId="2A111A58" w14:textId="045607D3" w:rsidR="00975ED6" w:rsidRPr="008B155F" w:rsidRDefault="00975ED6" w:rsidP="00975ED6">
            <w:pPr>
              <w:pStyle w:val="TableText"/>
              <w:jc w:val="right"/>
            </w:pPr>
            <w:r w:rsidRPr="003A251F">
              <w:t>Equal to or greater than 4 out of 5</w:t>
            </w:r>
          </w:p>
        </w:tc>
        <w:tc>
          <w:tcPr>
            <w:tcW w:w="1169" w:type="dxa"/>
            <w:tcBorders>
              <w:top w:val="single" w:sz="4" w:space="0" w:color="A6A6A6" w:themeColor="background1" w:themeShade="A6"/>
            </w:tcBorders>
          </w:tcPr>
          <w:p w14:paraId="6D2C70CA" w14:textId="70C6DDF9" w:rsidR="00975ED6" w:rsidRDefault="00975ED6" w:rsidP="00975ED6">
            <w:pPr>
              <w:pStyle w:val="TableText"/>
              <w:jc w:val="right"/>
            </w:pPr>
            <w:r>
              <w:t>5</w:t>
            </w:r>
          </w:p>
        </w:tc>
        <w:tc>
          <w:tcPr>
            <w:tcW w:w="886" w:type="dxa"/>
            <w:tcBorders>
              <w:top w:val="single" w:sz="4" w:space="0" w:color="A6A6A6" w:themeColor="background1" w:themeShade="A6"/>
            </w:tcBorders>
          </w:tcPr>
          <w:p w14:paraId="5CEFF8E1" w14:textId="42E845F7" w:rsidR="00975ED6" w:rsidRPr="00BD4046" w:rsidRDefault="00975ED6" w:rsidP="00975ED6">
            <w:pPr>
              <w:pStyle w:val="TableText"/>
              <w:jc w:val="right"/>
              <w:rPr>
                <w:rFonts w:cs="Segoe UI"/>
                <w:sz w:val="28"/>
              </w:rPr>
            </w:pPr>
            <w:r w:rsidRPr="00E1157F">
              <w:rPr>
                <w:b/>
                <w:bCs/>
              </w:rPr>
              <w:sym w:font="Wingdings" w:char="F0FC"/>
            </w:r>
          </w:p>
        </w:tc>
      </w:tr>
    </w:tbl>
    <w:p w14:paraId="22AA5F5B" w14:textId="77777777" w:rsidR="00975ED6" w:rsidRPr="00975ED6" w:rsidRDefault="00975ED6" w:rsidP="00975ED6">
      <w:pPr>
        <w:pStyle w:val="Note"/>
        <w:rPr>
          <w:rFonts w:eastAsia="Arial Unicode MS"/>
        </w:rPr>
      </w:pPr>
      <w:r w:rsidRPr="00975ED6">
        <w:rPr>
          <w:rFonts w:eastAsia="Arial Unicode MS"/>
        </w:rPr>
        <w:t>Note 1: The result is based on an average score using responses from 4 of the 5 Ministerial Oversight Group members</w:t>
      </w:r>
    </w:p>
    <w:p w14:paraId="7D18F87A" w14:textId="77777777" w:rsidR="00975ED6" w:rsidRPr="00975ED6" w:rsidRDefault="00975ED6" w:rsidP="00975ED6">
      <w:pPr>
        <w:pStyle w:val="Heading5"/>
      </w:pPr>
      <w:r w:rsidRPr="00975ED6">
        <w:lastRenderedPageBreak/>
        <w:t>Non-Departmental output expenses – Hauora Māori</w:t>
      </w:r>
    </w:p>
    <w:p w14:paraId="6991E784" w14:textId="0B790D27" w:rsidR="00975ED6" w:rsidRDefault="00975ED6" w:rsidP="00975ED6">
      <w:pPr>
        <w:rPr>
          <w:rFonts w:eastAsia="Arial Unicode MS"/>
        </w:rPr>
      </w:pPr>
      <w:r w:rsidRPr="00975ED6">
        <w:rPr>
          <w:rFonts w:eastAsia="Arial Unicode MS"/>
        </w:rPr>
        <w:t>This category is limited to developing, implementing and delivering hauora Māori services, supporting the development of hauora Māori providers, developing partnerships with iwi, and other related initiatives.</w:t>
      </w:r>
    </w:p>
    <w:p w14:paraId="3DFA58F3" w14:textId="77777777" w:rsidR="00975ED6" w:rsidRDefault="00975ED6" w:rsidP="00975ED6">
      <w:pPr>
        <w:rPr>
          <w:rFonts w:eastAsia="Arial Unicode MS"/>
        </w:rPr>
      </w:pP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886"/>
      </w:tblGrid>
      <w:tr w:rsidR="00975ED6" w:rsidRPr="00950725" w14:paraId="6C9F12EA" w14:textId="77777777" w:rsidTr="002918A6">
        <w:trPr>
          <w:trHeight w:val="496"/>
          <w:tblHeader/>
        </w:trPr>
        <w:tc>
          <w:tcPr>
            <w:tcW w:w="3686" w:type="dxa"/>
            <w:tcBorders>
              <w:top w:val="nil"/>
              <w:bottom w:val="nil"/>
            </w:tcBorders>
            <w:shd w:val="clear" w:color="auto" w:fill="D9D9D9" w:themeFill="background1" w:themeFillShade="D9"/>
          </w:tcPr>
          <w:p w14:paraId="21DEF363" w14:textId="77777777" w:rsidR="00975ED6" w:rsidRPr="00950725" w:rsidRDefault="00975ED6" w:rsidP="002918A6">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012BE892" w14:textId="77777777" w:rsidR="00975ED6" w:rsidRPr="00950725" w:rsidRDefault="00975ED6" w:rsidP="002918A6">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0C85E715" w14:textId="77777777" w:rsidR="00975ED6" w:rsidRPr="00950725" w:rsidRDefault="00975ED6" w:rsidP="002918A6">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07FED365" w14:textId="77777777" w:rsidR="00975ED6" w:rsidRPr="00950725" w:rsidRDefault="00975ED6" w:rsidP="002918A6">
            <w:pPr>
              <w:pStyle w:val="TableText"/>
              <w:jc w:val="right"/>
              <w:rPr>
                <w:b/>
                <w:bCs/>
              </w:rPr>
            </w:pPr>
            <w:r w:rsidRPr="00950725">
              <w:rPr>
                <w:b/>
                <w:bCs/>
                <w:w w:val="110"/>
              </w:rPr>
              <w:t>Actual</w:t>
            </w:r>
          </w:p>
        </w:tc>
        <w:tc>
          <w:tcPr>
            <w:tcW w:w="886" w:type="dxa"/>
            <w:tcBorders>
              <w:top w:val="nil"/>
              <w:bottom w:val="nil"/>
            </w:tcBorders>
            <w:shd w:val="clear" w:color="auto" w:fill="D9D9D9" w:themeFill="background1" w:themeFillShade="D9"/>
          </w:tcPr>
          <w:p w14:paraId="56008299" w14:textId="77777777" w:rsidR="00975ED6" w:rsidRPr="00950725" w:rsidRDefault="00975ED6" w:rsidP="002918A6">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975ED6" w14:paraId="3A80000D" w14:textId="77777777" w:rsidTr="002918A6">
        <w:trPr>
          <w:trHeight w:val="344"/>
          <w:tblHeader/>
        </w:trPr>
        <w:tc>
          <w:tcPr>
            <w:tcW w:w="3686" w:type="dxa"/>
            <w:tcBorders>
              <w:top w:val="nil"/>
              <w:bottom w:val="nil"/>
            </w:tcBorders>
            <w:shd w:val="clear" w:color="auto" w:fill="D9D9D9" w:themeFill="background1" w:themeFillShade="D9"/>
          </w:tcPr>
          <w:p w14:paraId="2DA58FBF" w14:textId="77777777" w:rsidR="00975ED6" w:rsidRDefault="00975ED6" w:rsidP="002918A6">
            <w:pPr>
              <w:pStyle w:val="TableText"/>
              <w:spacing w:after="0"/>
              <w:rPr>
                <w:w w:val="105"/>
              </w:rPr>
            </w:pPr>
          </w:p>
        </w:tc>
        <w:tc>
          <w:tcPr>
            <w:tcW w:w="1169" w:type="dxa"/>
            <w:tcBorders>
              <w:top w:val="nil"/>
              <w:bottom w:val="nil"/>
            </w:tcBorders>
            <w:shd w:val="clear" w:color="auto" w:fill="D9D9D9" w:themeFill="background1" w:themeFillShade="D9"/>
          </w:tcPr>
          <w:p w14:paraId="43886C3A" w14:textId="77777777" w:rsidR="00975ED6" w:rsidRDefault="00975ED6" w:rsidP="002918A6">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63ACBEBE" w14:textId="77777777" w:rsidR="00975ED6" w:rsidRDefault="00975ED6" w:rsidP="002918A6">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751E5869" w14:textId="77777777" w:rsidR="00975ED6" w:rsidRDefault="00975ED6" w:rsidP="002918A6">
            <w:pPr>
              <w:pStyle w:val="TableText"/>
              <w:spacing w:before="0"/>
              <w:jc w:val="right"/>
              <w:rPr>
                <w:rFonts w:ascii="Times New Roman"/>
              </w:rPr>
            </w:pPr>
            <w:r w:rsidRPr="00950725">
              <w:rPr>
                <w:b/>
                <w:bCs/>
                <w:w w:val="105"/>
              </w:rPr>
              <w:t>2021/22</w:t>
            </w:r>
          </w:p>
        </w:tc>
        <w:tc>
          <w:tcPr>
            <w:tcW w:w="886" w:type="dxa"/>
            <w:tcBorders>
              <w:top w:val="nil"/>
              <w:bottom w:val="nil"/>
            </w:tcBorders>
            <w:shd w:val="clear" w:color="auto" w:fill="D9D9D9" w:themeFill="background1" w:themeFillShade="D9"/>
          </w:tcPr>
          <w:p w14:paraId="2832A8BC" w14:textId="77777777" w:rsidR="00975ED6" w:rsidRDefault="00975ED6" w:rsidP="002918A6">
            <w:pPr>
              <w:pStyle w:val="TableText"/>
              <w:jc w:val="right"/>
              <w:rPr>
                <w:rFonts w:ascii="Times New Roman"/>
              </w:rPr>
            </w:pPr>
          </w:p>
        </w:tc>
      </w:tr>
      <w:tr w:rsidR="00975ED6" w14:paraId="46C2BCA0" w14:textId="77777777" w:rsidTr="002918A6">
        <w:trPr>
          <w:trHeight w:val="77"/>
        </w:trPr>
        <w:tc>
          <w:tcPr>
            <w:tcW w:w="3686" w:type="dxa"/>
            <w:tcBorders>
              <w:top w:val="nil"/>
              <w:bottom w:val="single" w:sz="4" w:space="0" w:color="A6A6A6" w:themeColor="background1" w:themeShade="A6"/>
            </w:tcBorders>
          </w:tcPr>
          <w:p w14:paraId="5B8EBEB3" w14:textId="2E7DF349" w:rsidR="00975ED6" w:rsidRDefault="00975ED6" w:rsidP="00975ED6">
            <w:pPr>
              <w:pStyle w:val="TableText"/>
            </w:pPr>
            <w:r w:rsidRPr="00060833">
              <w:t>Commissioning plan in place for delivery of hauora Māori services</w:t>
            </w:r>
          </w:p>
        </w:tc>
        <w:tc>
          <w:tcPr>
            <w:tcW w:w="1169" w:type="dxa"/>
            <w:tcBorders>
              <w:top w:val="nil"/>
              <w:bottom w:val="single" w:sz="4" w:space="0" w:color="A6A6A6" w:themeColor="background1" w:themeShade="A6"/>
            </w:tcBorders>
          </w:tcPr>
          <w:p w14:paraId="0E36B9EA" w14:textId="77777777" w:rsidR="00975ED6" w:rsidRDefault="00975ED6" w:rsidP="00975ED6">
            <w:pPr>
              <w:pStyle w:val="TableText"/>
              <w:jc w:val="right"/>
            </w:pPr>
            <w:r w:rsidRPr="00F83833">
              <w:t>New Measure</w:t>
            </w:r>
          </w:p>
        </w:tc>
        <w:tc>
          <w:tcPr>
            <w:tcW w:w="1170" w:type="dxa"/>
            <w:tcBorders>
              <w:top w:val="nil"/>
              <w:bottom w:val="single" w:sz="4" w:space="0" w:color="A6A6A6" w:themeColor="background1" w:themeShade="A6"/>
            </w:tcBorders>
          </w:tcPr>
          <w:p w14:paraId="6486F429" w14:textId="795E4ABE" w:rsidR="00975ED6" w:rsidRDefault="00975ED6" w:rsidP="00975ED6">
            <w:pPr>
              <w:pStyle w:val="TableText"/>
              <w:jc w:val="right"/>
            </w:pPr>
            <w:r w:rsidRPr="006F2FAC">
              <w:t>Achieved</w:t>
            </w:r>
          </w:p>
        </w:tc>
        <w:tc>
          <w:tcPr>
            <w:tcW w:w="1169" w:type="dxa"/>
            <w:tcBorders>
              <w:top w:val="nil"/>
              <w:bottom w:val="single" w:sz="4" w:space="0" w:color="A6A6A6" w:themeColor="background1" w:themeShade="A6"/>
            </w:tcBorders>
          </w:tcPr>
          <w:p w14:paraId="2851C4E7" w14:textId="6D89FE2B" w:rsidR="00975ED6" w:rsidRDefault="00975ED6" w:rsidP="00975ED6">
            <w:pPr>
              <w:pStyle w:val="TableText"/>
              <w:jc w:val="right"/>
            </w:pPr>
            <w:r w:rsidRPr="006F2FAC">
              <w:t>Achieved</w:t>
            </w:r>
          </w:p>
        </w:tc>
        <w:tc>
          <w:tcPr>
            <w:tcW w:w="886" w:type="dxa"/>
            <w:tcBorders>
              <w:top w:val="nil"/>
              <w:bottom w:val="single" w:sz="4" w:space="0" w:color="A6A6A6" w:themeColor="background1" w:themeShade="A6"/>
            </w:tcBorders>
          </w:tcPr>
          <w:p w14:paraId="63FB9CFF" w14:textId="77777777" w:rsidR="00975ED6" w:rsidRPr="00BD4046" w:rsidRDefault="00975ED6" w:rsidP="00975ED6">
            <w:pPr>
              <w:pStyle w:val="TableText"/>
              <w:jc w:val="right"/>
              <w:rPr>
                <w:rFonts w:cs="Segoe UI"/>
                <w:sz w:val="28"/>
              </w:rPr>
            </w:pPr>
            <w:r w:rsidRPr="00E1157F">
              <w:rPr>
                <w:b/>
                <w:bCs/>
              </w:rPr>
              <w:sym w:font="Wingdings" w:char="F0FC"/>
            </w:r>
          </w:p>
        </w:tc>
      </w:tr>
      <w:tr w:rsidR="00975ED6" w14:paraId="6788F056" w14:textId="77777777" w:rsidTr="002918A6">
        <w:trPr>
          <w:trHeight w:val="77"/>
        </w:trPr>
        <w:tc>
          <w:tcPr>
            <w:tcW w:w="3686" w:type="dxa"/>
            <w:tcBorders>
              <w:top w:val="single" w:sz="4" w:space="0" w:color="A6A6A6" w:themeColor="background1" w:themeShade="A6"/>
            </w:tcBorders>
          </w:tcPr>
          <w:p w14:paraId="37CB25BC" w14:textId="417970F6" w:rsidR="00975ED6" w:rsidRPr="00FE6758" w:rsidRDefault="00975ED6" w:rsidP="00975ED6">
            <w:pPr>
              <w:pStyle w:val="TableText"/>
            </w:pPr>
            <w:r w:rsidRPr="00060833">
              <w:t>Delivery in accordance with the commissioning plan</w:t>
            </w:r>
          </w:p>
        </w:tc>
        <w:tc>
          <w:tcPr>
            <w:tcW w:w="1169" w:type="dxa"/>
            <w:tcBorders>
              <w:top w:val="single" w:sz="4" w:space="0" w:color="A6A6A6" w:themeColor="background1" w:themeShade="A6"/>
            </w:tcBorders>
          </w:tcPr>
          <w:p w14:paraId="07736E73" w14:textId="77777777" w:rsidR="00975ED6" w:rsidRPr="00F83833" w:rsidRDefault="00975ED6" w:rsidP="00975ED6">
            <w:pPr>
              <w:pStyle w:val="TableText"/>
              <w:jc w:val="right"/>
            </w:pPr>
            <w:r w:rsidRPr="00F83833">
              <w:t>New Measure</w:t>
            </w:r>
          </w:p>
        </w:tc>
        <w:tc>
          <w:tcPr>
            <w:tcW w:w="1170" w:type="dxa"/>
            <w:tcBorders>
              <w:top w:val="single" w:sz="4" w:space="0" w:color="A6A6A6" w:themeColor="background1" w:themeShade="A6"/>
            </w:tcBorders>
          </w:tcPr>
          <w:p w14:paraId="7260DA63" w14:textId="3D5F420F" w:rsidR="00975ED6" w:rsidRPr="008B155F" w:rsidRDefault="00975ED6" w:rsidP="00975ED6">
            <w:pPr>
              <w:pStyle w:val="TableText"/>
              <w:jc w:val="right"/>
            </w:pPr>
            <w:r w:rsidRPr="006F2FAC">
              <w:t>Achieved</w:t>
            </w:r>
          </w:p>
        </w:tc>
        <w:tc>
          <w:tcPr>
            <w:tcW w:w="1169" w:type="dxa"/>
            <w:tcBorders>
              <w:top w:val="single" w:sz="4" w:space="0" w:color="A6A6A6" w:themeColor="background1" w:themeShade="A6"/>
            </w:tcBorders>
          </w:tcPr>
          <w:p w14:paraId="08A6F30B" w14:textId="32DC0522" w:rsidR="00975ED6" w:rsidRDefault="00975ED6" w:rsidP="00975ED6">
            <w:pPr>
              <w:pStyle w:val="TableText"/>
              <w:jc w:val="right"/>
            </w:pPr>
            <w:r w:rsidRPr="006F2FAC">
              <w:t>Achieved</w:t>
            </w:r>
          </w:p>
        </w:tc>
        <w:tc>
          <w:tcPr>
            <w:tcW w:w="886" w:type="dxa"/>
            <w:tcBorders>
              <w:top w:val="single" w:sz="4" w:space="0" w:color="A6A6A6" w:themeColor="background1" w:themeShade="A6"/>
            </w:tcBorders>
          </w:tcPr>
          <w:p w14:paraId="07C68FD7" w14:textId="77777777" w:rsidR="00975ED6" w:rsidRPr="00BD4046" w:rsidRDefault="00975ED6" w:rsidP="00975ED6">
            <w:pPr>
              <w:pStyle w:val="TableText"/>
              <w:jc w:val="right"/>
              <w:rPr>
                <w:rFonts w:cs="Segoe UI"/>
                <w:sz w:val="28"/>
              </w:rPr>
            </w:pPr>
            <w:r w:rsidRPr="00E1157F">
              <w:rPr>
                <w:b/>
                <w:bCs/>
              </w:rPr>
              <w:sym w:font="Wingdings" w:char="F0FC"/>
            </w:r>
          </w:p>
        </w:tc>
      </w:tr>
    </w:tbl>
    <w:p w14:paraId="47F0C03A" w14:textId="77777777" w:rsidR="00975ED6" w:rsidRDefault="00975ED6" w:rsidP="00975ED6">
      <w:pPr>
        <w:pStyle w:val="Heading4"/>
      </w:pPr>
      <w:r>
        <w:rPr>
          <w:w w:val="105"/>
        </w:rPr>
        <w:t>Financial</w:t>
      </w:r>
      <w:r>
        <w:rPr>
          <w:spacing w:val="-5"/>
          <w:w w:val="105"/>
        </w:rPr>
        <w:t xml:space="preserve"> </w:t>
      </w:r>
      <w:r>
        <w:rPr>
          <w:w w:val="105"/>
        </w:rPr>
        <w:t>performance</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552"/>
        <w:gridCol w:w="1453"/>
        <w:gridCol w:w="1453"/>
        <w:gridCol w:w="1453"/>
        <w:gridCol w:w="1453"/>
      </w:tblGrid>
      <w:tr w:rsidR="00975ED6" w:rsidRPr="00CB0000" w14:paraId="7A7B416F" w14:textId="77777777" w:rsidTr="002918A6">
        <w:trPr>
          <w:trHeight w:val="543"/>
        </w:trPr>
        <w:tc>
          <w:tcPr>
            <w:tcW w:w="2552" w:type="dxa"/>
            <w:tcBorders>
              <w:top w:val="nil"/>
              <w:bottom w:val="nil"/>
            </w:tcBorders>
            <w:shd w:val="clear" w:color="auto" w:fill="D9D9D9" w:themeFill="background1" w:themeFillShade="D9"/>
          </w:tcPr>
          <w:p w14:paraId="7A0B5A57" w14:textId="0F4A0081" w:rsidR="00975ED6" w:rsidRPr="00CB0000" w:rsidRDefault="00975ED6" w:rsidP="002918A6">
            <w:pPr>
              <w:pStyle w:val="TableText"/>
              <w:rPr>
                <w:b/>
                <w:bCs/>
              </w:rPr>
            </w:pPr>
            <w:r w:rsidRPr="00975ED6">
              <w:rPr>
                <w:b/>
                <w:bCs/>
              </w:rPr>
              <w:t>Health and Disability System Reform</w:t>
            </w:r>
          </w:p>
        </w:tc>
        <w:tc>
          <w:tcPr>
            <w:tcW w:w="1453" w:type="dxa"/>
            <w:tcBorders>
              <w:top w:val="nil"/>
              <w:bottom w:val="nil"/>
            </w:tcBorders>
            <w:shd w:val="clear" w:color="auto" w:fill="D9D9D9" w:themeFill="background1" w:themeFillShade="D9"/>
          </w:tcPr>
          <w:p w14:paraId="2095C3AD" w14:textId="77777777" w:rsidR="00975ED6" w:rsidRPr="00CB0000" w:rsidRDefault="00975ED6" w:rsidP="002918A6">
            <w:pPr>
              <w:pStyle w:val="TableText"/>
              <w:jc w:val="right"/>
              <w:rPr>
                <w:b/>
                <w:bCs/>
              </w:rPr>
            </w:pPr>
            <w:r w:rsidRPr="00CB0000">
              <w:rPr>
                <w:b/>
                <w:bCs/>
              </w:rPr>
              <w:t>Actual</w:t>
            </w:r>
          </w:p>
        </w:tc>
        <w:tc>
          <w:tcPr>
            <w:tcW w:w="1453" w:type="dxa"/>
            <w:tcBorders>
              <w:top w:val="nil"/>
              <w:bottom w:val="nil"/>
            </w:tcBorders>
            <w:shd w:val="clear" w:color="auto" w:fill="D9D9D9" w:themeFill="background1" w:themeFillShade="D9"/>
          </w:tcPr>
          <w:p w14:paraId="2C80984B" w14:textId="77777777" w:rsidR="00975ED6" w:rsidRPr="00CB0000" w:rsidRDefault="00975ED6" w:rsidP="002918A6">
            <w:pPr>
              <w:pStyle w:val="TableText"/>
              <w:jc w:val="right"/>
              <w:rPr>
                <w:b/>
                <w:bCs/>
              </w:rPr>
            </w:pPr>
            <w:r w:rsidRPr="00CB0000">
              <w:rPr>
                <w:b/>
                <w:bCs/>
              </w:rPr>
              <w:t xml:space="preserve">Main </w:t>
            </w:r>
            <w:r w:rsidRPr="00CB0000">
              <w:rPr>
                <w:b/>
                <w:bCs/>
              </w:rPr>
              <w:br/>
              <w:t>estimates</w:t>
            </w:r>
          </w:p>
        </w:tc>
        <w:tc>
          <w:tcPr>
            <w:tcW w:w="1453" w:type="dxa"/>
            <w:tcBorders>
              <w:top w:val="nil"/>
              <w:bottom w:val="nil"/>
            </w:tcBorders>
            <w:shd w:val="clear" w:color="auto" w:fill="D9D9D9" w:themeFill="background1" w:themeFillShade="D9"/>
          </w:tcPr>
          <w:p w14:paraId="5C5F43EB" w14:textId="77777777" w:rsidR="00975ED6" w:rsidRPr="00CB0000" w:rsidRDefault="00975ED6" w:rsidP="002918A6">
            <w:pPr>
              <w:pStyle w:val="TableText"/>
              <w:jc w:val="right"/>
              <w:rPr>
                <w:b/>
                <w:bCs/>
              </w:rPr>
            </w:pPr>
            <w:r w:rsidRPr="00CB0000">
              <w:rPr>
                <w:b/>
                <w:bCs/>
              </w:rPr>
              <w:t>Voted appropriation</w:t>
            </w:r>
          </w:p>
        </w:tc>
        <w:tc>
          <w:tcPr>
            <w:tcW w:w="1453" w:type="dxa"/>
            <w:tcBorders>
              <w:top w:val="nil"/>
              <w:bottom w:val="nil"/>
            </w:tcBorders>
            <w:shd w:val="clear" w:color="auto" w:fill="D9D9D9" w:themeFill="background1" w:themeFillShade="D9"/>
          </w:tcPr>
          <w:p w14:paraId="4DBD83EF" w14:textId="77777777" w:rsidR="00975ED6" w:rsidRPr="00CB0000" w:rsidRDefault="00975ED6" w:rsidP="002918A6">
            <w:pPr>
              <w:pStyle w:val="TableText"/>
              <w:jc w:val="right"/>
              <w:rPr>
                <w:b/>
                <w:bCs/>
              </w:rPr>
            </w:pPr>
            <w:r w:rsidRPr="00CB0000">
              <w:rPr>
                <w:b/>
                <w:bCs/>
              </w:rPr>
              <w:t>Actual</w:t>
            </w:r>
          </w:p>
        </w:tc>
      </w:tr>
      <w:tr w:rsidR="00975ED6" w:rsidRPr="00CB0000" w14:paraId="1AC54620" w14:textId="77777777" w:rsidTr="002918A6">
        <w:tc>
          <w:tcPr>
            <w:tcW w:w="2552" w:type="dxa"/>
            <w:tcBorders>
              <w:top w:val="nil"/>
              <w:bottom w:val="nil"/>
            </w:tcBorders>
            <w:shd w:val="clear" w:color="auto" w:fill="D9D9D9" w:themeFill="background1" w:themeFillShade="D9"/>
          </w:tcPr>
          <w:p w14:paraId="658A48D1" w14:textId="77777777" w:rsidR="00975ED6" w:rsidRPr="00CB0000" w:rsidRDefault="00975ED6" w:rsidP="002918A6">
            <w:pPr>
              <w:pStyle w:val="TableText"/>
              <w:rPr>
                <w:b/>
                <w:bCs/>
              </w:rPr>
            </w:pPr>
          </w:p>
        </w:tc>
        <w:tc>
          <w:tcPr>
            <w:tcW w:w="1453" w:type="dxa"/>
            <w:tcBorders>
              <w:top w:val="nil"/>
              <w:bottom w:val="nil"/>
            </w:tcBorders>
            <w:shd w:val="clear" w:color="auto" w:fill="D9D9D9" w:themeFill="background1" w:themeFillShade="D9"/>
          </w:tcPr>
          <w:p w14:paraId="05185FC2" w14:textId="77777777" w:rsidR="00975ED6" w:rsidRPr="00CB0000" w:rsidRDefault="00975ED6" w:rsidP="002918A6">
            <w:pPr>
              <w:pStyle w:val="TableText"/>
              <w:jc w:val="right"/>
              <w:rPr>
                <w:b/>
                <w:bCs/>
              </w:rPr>
            </w:pPr>
            <w:r w:rsidRPr="00CB0000">
              <w:rPr>
                <w:b/>
                <w:bCs/>
              </w:rPr>
              <w:t>2021/22</w:t>
            </w:r>
          </w:p>
          <w:p w14:paraId="131E4330" w14:textId="77777777" w:rsidR="00975ED6" w:rsidRPr="00CB0000" w:rsidRDefault="00975ED6" w:rsidP="002918A6">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0B043446" w14:textId="77777777" w:rsidR="00975ED6" w:rsidRPr="00CB0000" w:rsidRDefault="00975ED6" w:rsidP="002918A6">
            <w:pPr>
              <w:pStyle w:val="TableText"/>
              <w:jc w:val="right"/>
              <w:rPr>
                <w:b/>
                <w:bCs/>
              </w:rPr>
            </w:pPr>
            <w:r w:rsidRPr="00CB0000">
              <w:rPr>
                <w:b/>
                <w:bCs/>
              </w:rPr>
              <w:t>2021/22</w:t>
            </w:r>
          </w:p>
          <w:p w14:paraId="3B561EDF" w14:textId="77777777" w:rsidR="00975ED6" w:rsidRPr="00CB0000" w:rsidRDefault="00975ED6" w:rsidP="002918A6">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71EB28C0" w14:textId="77777777" w:rsidR="00975ED6" w:rsidRPr="00CB0000" w:rsidRDefault="00975ED6" w:rsidP="002918A6">
            <w:pPr>
              <w:pStyle w:val="TableText"/>
              <w:jc w:val="right"/>
              <w:rPr>
                <w:b/>
                <w:bCs/>
              </w:rPr>
            </w:pPr>
            <w:r w:rsidRPr="00CB0000">
              <w:rPr>
                <w:b/>
                <w:bCs/>
              </w:rPr>
              <w:t>2021/22</w:t>
            </w:r>
          </w:p>
          <w:p w14:paraId="6587427C" w14:textId="77777777" w:rsidR="00975ED6" w:rsidRPr="00CB0000" w:rsidRDefault="00975ED6" w:rsidP="002918A6">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110E8F41" w14:textId="77777777" w:rsidR="00975ED6" w:rsidRPr="00CB0000" w:rsidRDefault="00975ED6" w:rsidP="002918A6">
            <w:pPr>
              <w:pStyle w:val="TableText"/>
              <w:jc w:val="right"/>
              <w:rPr>
                <w:b/>
                <w:bCs/>
              </w:rPr>
            </w:pPr>
            <w:r w:rsidRPr="00CB0000">
              <w:rPr>
                <w:b/>
                <w:bCs/>
              </w:rPr>
              <w:t>2021/22</w:t>
            </w:r>
          </w:p>
          <w:p w14:paraId="769A5BEB" w14:textId="77777777" w:rsidR="00975ED6" w:rsidRPr="00CB0000" w:rsidRDefault="00975ED6" w:rsidP="002918A6">
            <w:pPr>
              <w:pStyle w:val="TableText"/>
              <w:jc w:val="right"/>
              <w:rPr>
                <w:b/>
                <w:bCs/>
              </w:rPr>
            </w:pPr>
            <w:r w:rsidRPr="00CB0000">
              <w:rPr>
                <w:b/>
                <w:bCs/>
              </w:rPr>
              <w:t>$000</w:t>
            </w:r>
          </w:p>
        </w:tc>
      </w:tr>
      <w:tr w:rsidR="00975ED6" w:rsidRPr="00CB0000" w14:paraId="34FD8879" w14:textId="77777777" w:rsidTr="002918A6">
        <w:tc>
          <w:tcPr>
            <w:tcW w:w="4005" w:type="dxa"/>
            <w:gridSpan w:val="2"/>
            <w:tcBorders>
              <w:top w:val="nil"/>
            </w:tcBorders>
          </w:tcPr>
          <w:p w14:paraId="481A1381" w14:textId="77777777" w:rsidR="00975ED6" w:rsidRPr="00975ED6" w:rsidRDefault="00975ED6" w:rsidP="00975ED6">
            <w:pPr>
              <w:pStyle w:val="TableText"/>
              <w:rPr>
                <w:b/>
                <w:bCs/>
              </w:rPr>
            </w:pPr>
            <w:r w:rsidRPr="00975ED6">
              <w:rPr>
                <w:b/>
                <w:bCs/>
              </w:rPr>
              <w:t>Departmental output expenses</w:t>
            </w:r>
          </w:p>
          <w:p w14:paraId="70DCE1D1" w14:textId="2B6B1734" w:rsidR="00975ED6" w:rsidRPr="00CB0000" w:rsidRDefault="00975ED6" w:rsidP="00975ED6">
            <w:pPr>
              <w:pStyle w:val="TableText"/>
            </w:pPr>
            <w:r w:rsidRPr="00975ED6">
              <w:rPr>
                <w:b/>
                <w:bCs/>
              </w:rPr>
              <w:t>Health New Zealand</w:t>
            </w:r>
          </w:p>
        </w:tc>
        <w:tc>
          <w:tcPr>
            <w:tcW w:w="1453" w:type="dxa"/>
            <w:tcBorders>
              <w:top w:val="nil"/>
            </w:tcBorders>
          </w:tcPr>
          <w:p w14:paraId="64CFFD25" w14:textId="3C8082B0" w:rsidR="00975ED6" w:rsidRPr="00CB0000" w:rsidRDefault="00975ED6" w:rsidP="002918A6">
            <w:pPr>
              <w:pStyle w:val="TableText"/>
              <w:jc w:val="right"/>
            </w:pPr>
          </w:p>
        </w:tc>
        <w:tc>
          <w:tcPr>
            <w:tcW w:w="1453" w:type="dxa"/>
            <w:tcBorders>
              <w:top w:val="nil"/>
            </w:tcBorders>
          </w:tcPr>
          <w:p w14:paraId="1A2F55C7" w14:textId="5BD2AE95" w:rsidR="00975ED6" w:rsidRPr="00CB0000" w:rsidRDefault="00975ED6" w:rsidP="002918A6">
            <w:pPr>
              <w:pStyle w:val="TableText"/>
              <w:jc w:val="right"/>
            </w:pPr>
          </w:p>
        </w:tc>
        <w:tc>
          <w:tcPr>
            <w:tcW w:w="1453" w:type="dxa"/>
            <w:tcBorders>
              <w:top w:val="nil"/>
            </w:tcBorders>
          </w:tcPr>
          <w:p w14:paraId="24FA64E6" w14:textId="25021454" w:rsidR="00975ED6" w:rsidRPr="00CB0000" w:rsidRDefault="00975ED6" w:rsidP="002918A6">
            <w:pPr>
              <w:pStyle w:val="TableText"/>
              <w:jc w:val="right"/>
            </w:pPr>
          </w:p>
        </w:tc>
      </w:tr>
      <w:tr w:rsidR="00975ED6" w:rsidRPr="00CB0000" w14:paraId="4675D3B1" w14:textId="77777777" w:rsidTr="002918A6">
        <w:tc>
          <w:tcPr>
            <w:tcW w:w="2552" w:type="dxa"/>
          </w:tcPr>
          <w:p w14:paraId="7D695748" w14:textId="1235F50A" w:rsidR="00975ED6" w:rsidRPr="00CB0000" w:rsidRDefault="00975ED6" w:rsidP="00975ED6">
            <w:pPr>
              <w:pStyle w:val="TableText"/>
            </w:pPr>
            <w:r w:rsidRPr="00964244">
              <w:t>Crown revenue</w:t>
            </w:r>
          </w:p>
        </w:tc>
        <w:tc>
          <w:tcPr>
            <w:tcW w:w="1453" w:type="dxa"/>
          </w:tcPr>
          <w:p w14:paraId="4D465061" w14:textId="009B536D" w:rsidR="00975ED6" w:rsidRPr="00CB0000" w:rsidRDefault="00975ED6" w:rsidP="00975ED6">
            <w:pPr>
              <w:pStyle w:val="TableText"/>
              <w:jc w:val="right"/>
            </w:pPr>
            <w:r w:rsidRPr="00915718">
              <w:t>-</w:t>
            </w:r>
          </w:p>
        </w:tc>
        <w:tc>
          <w:tcPr>
            <w:tcW w:w="1453" w:type="dxa"/>
          </w:tcPr>
          <w:p w14:paraId="1D867062" w14:textId="61DC225C" w:rsidR="00975ED6" w:rsidRPr="00CB0000" w:rsidRDefault="00975ED6" w:rsidP="00975ED6">
            <w:pPr>
              <w:pStyle w:val="TableText"/>
              <w:jc w:val="right"/>
            </w:pPr>
            <w:r w:rsidRPr="00915718">
              <w:t>21,495</w:t>
            </w:r>
          </w:p>
        </w:tc>
        <w:tc>
          <w:tcPr>
            <w:tcW w:w="1453" w:type="dxa"/>
          </w:tcPr>
          <w:p w14:paraId="49921C98" w14:textId="551F123E" w:rsidR="00975ED6" w:rsidRPr="00CB0000" w:rsidRDefault="00975ED6" w:rsidP="00975ED6">
            <w:pPr>
              <w:pStyle w:val="TableText"/>
              <w:jc w:val="right"/>
            </w:pPr>
            <w:r w:rsidRPr="00915718">
              <w:t>25,495</w:t>
            </w:r>
          </w:p>
        </w:tc>
        <w:tc>
          <w:tcPr>
            <w:tcW w:w="1453" w:type="dxa"/>
          </w:tcPr>
          <w:p w14:paraId="055FC784" w14:textId="240BAC44" w:rsidR="00975ED6" w:rsidRPr="00CB0000" w:rsidRDefault="00975ED6" w:rsidP="00975ED6">
            <w:pPr>
              <w:pStyle w:val="TableText"/>
              <w:jc w:val="right"/>
            </w:pPr>
            <w:r w:rsidRPr="00915718">
              <w:t>25,495</w:t>
            </w:r>
          </w:p>
        </w:tc>
      </w:tr>
      <w:tr w:rsidR="00975ED6" w:rsidRPr="00CB0000" w14:paraId="170BA468" w14:textId="77777777" w:rsidTr="002918A6">
        <w:tc>
          <w:tcPr>
            <w:tcW w:w="2552" w:type="dxa"/>
          </w:tcPr>
          <w:p w14:paraId="314704BE" w14:textId="3B063C0D" w:rsidR="00975ED6" w:rsidRPr="00CB0000" w:rsidRDefault="00975ED6" w:rsidP="00975ED6">
            <w:pPr>
              <w:pStyle w:val="TableText"/>
            </w:pPr>
            <w:r w:rsidRPr="00964244">
              <w:t>Other revenue</w:t>
            </w:r>
          </w:p>
        </w:tc>
        <w:tc>
          <w:tcPr>
            <w:tcW w:w="1453" w:type="dxa"/>
          </w:tcPr>
          <w:p w14:paraId="0C8DC5E4" w14:textId="6EDC7B13" w:rsidR="00975ED6" w:rsidRPr="00CB0000" w:rsidRDefault="00975ED6" w:rsidP="00975ED6">
            <w:pPr>
              <w:pStyle w:val="TableText"/>
              <w:jc w:val="right"/>
            </w:pPr>
            <w:r w:rsidRPr="00915718">
              <w:t>-</w:t>
            </w:r>
          </w:p>
        </w:tc>
        <w:tc>
          <w:tcPr>
            <w:tcW w:w="1453" w:type="dxa"/>
          </w:tcPr>
          <w:p w14:paraId="35ED7FA4" w14:textId="1B6A87F5" w:rsidR="00975ED6" w:rsidRPr="00CB0000" w:rsidRDefault="00975ED6" w:rsidP="00975ED6">
            <w:pPr>
              <w:pStyle w:val="TableText"/>
              <w:jc w:val="right"/>
            </w:pPr>
            <w:r w:rsidRPr="00915718">
              <w:t>-</w:t>
            </w:r>
          </w:p>
        </w:tc>
        <w:tc>
          <w:tcPr>
            <w:tcW w:w="1453" w:type="dxa"/>
          </w:tcPr>
          <w:p w14:paraId="734678D0" w14:textId="60EE85D0" w:rsidR="00975ED6" w:rsidRPr="00CB0000" w:rsidRDefault="00975ED6" w:rsidP="00975ED6">
            <w:pPr>
              <w:pStyle w:val="TableText"/>
              <w:jc w:val="right"/>
            </w:pPr>
            <w:r w:rsidRPr="00915718">
              <w:t>-</w:t>
            </w:r>
          </w:p>
        </w:tc>
        <w:tc>
          <w:tcPr>
            <w:tcW w:w="1453" w:type="dxa"/>
          </w:tcPr>
          <w:p w14:paraId="7195B347" w14:textId="3990652A" w:rsidR="00975ED6" w:rsidRPr="00CB0000" w:rsidRDefault="00975ED6" w:rsidP="00975ED6">
            <w:pPr>
              <w:pStyle w:val="TableText"/>
              <w:jc w:val="right"/>
            </w:pPr>
            <w:r w:rsidRPr="00915718">
              <w:t>-</w:t>
            </w:r>
          </w:p>
        </w:tc>
      </w:tr>
      <w:tr w:rsidR="00975ED6" w:rsidRPr="00CB0000" w14:paraId="6AA52076" w14:textId="77777777" w:rsidTr="002918A6">
        <w:tc>
          <w:tcPr>
            <w:tcW w:w="2552" w:type="dxa"/>
          </w:tcPr>
          <w:p w14:paraId="34AED5C4" w14:textId="793A9A22" w:rsidR="00975ED6" w:rsidRPr="00CB0000" w:rsidRDefault="00975ED6" w:rsidP="00975ED6">
            <w:pPr>
              <w:pStyle w:val="TableText"/>
            </w:pPr>
            <w:r w:rsidRPr="00964244">
              <w:t>Total revenue</w:t>
            </w:r>
          </w:p>
        </w:tc>
        <w:tc>
          <w:tcPr>
            <w:tcW w:w="1453" w:type="dxa"/>
          </w:tcPr>
          <w:p w14:paraId="324B8B95" w14:textId="7385C59C" w:rsidR="00975ED6" w:rsidRPr="00CB0000" w:rsidRDefault="00975ED6" w:rsidP="00975ED6">
            <w:pPr>
              <w:pStyle w:val="TableText"/>
              <w:jc w:val="right"/>
            </w:pPr>
            <w:r w:rsidRPr="00915718">
              <w:t>-</w:t>
            </w:r>
          </w:p>
        </w:tc>
        <w:tc>
          <w:tcPr>
            <w:tcW w:w="1453" w:type="dxa"/>
          </w:tcPr>
          <w:p w14:paraId="1736A2A1" w14:textId="6DFAEB34" w:rsidR="00975ED6" w:rsidRPr="00CB0000" w:rsidRDefault="00975ED6" w:rsidP="00975ED6">
            <w:pPr>
              <w:pStyle w:val="TableText"/>
              <w:jc w:val="right"/>
            </w:pPr>
            <w:r w:rsidRPr="00915718">
              <w:t>21,495</w:t>
            </w:r>
          </w:p>
        </w:tc>
        <w:tc>
          <w:tcPr>
            <w:tcW w:w="1453" w:type="dxa"/>
          </w:tcPr>
          <w:p w14:paraId="2609C99D" w14:textId="4E1E1BB5" w:rsidR="00975ED6" w:rsidRPr="00CB0000" w:rsidRDefault="00975ED6" w:rsidP="00975ED6">
            <w:pPr>
              <w:pStyle w:val="TableText"/>
              <w:jc w:val="right"/>
            </w:pPr>
            <w:r w:rsidRPr="00915718">
              <w:t>25,495</w:t>
            </w:r>
          </w:p>
        </w:tc>
        <w:tc>
          <w:tcPr>
            <w:tcW w:w="1453" w:type="dxa"/>
          </w:tcPr>
          <w:p w14:paraId="60885EAE" w14:textId="7419C54B" w:rsidR="00975ED6" w:rsidRPr="00CB0000" w:rsidRDefault="00975ED6" w:rsidP="00975ED6">
            <w:pPr>
              <w:pStyle w:val="TableText"/>
              <w:jc w:val="right"/>
            </w:pPr>
            <w:r w:rsidRPr="00915718">
              <w:t>25,495</w:t>
            </w:r>
          </w:p>
        </w:tc>
      </w:tr>
      <w:tr w:rsidR="00975ED6" w:rsidRPr="00CB0000" w14:paraId="06AFDE8E" w14:textId="77777777" w:rsidTr="002918A6">
        <w:tc>
          <w:tcPr>
            <w:tcW w:w="2552" w:type="dxa"/>
          </w:tcPr>
          <w:p w14:paraId="5BDB343E" w14:textId="5837FB44" w:rsidR="00975ED6" w:rsidRPr="00CB0000" w:rsidRDefault="00975ED6" w:rsidP="00975ED6">
            <w:pPr>
              <w:pStyle w:val="TableText"/>
            </w:pPr>
            <w:r w:rsidRPr="00964244">
              <w:t>Total expenses</w:t>
            </w:r>
          </w:p>
        </w:tc>
        <w:tc>
          <w:tcPr>
            <w:tcW w:w="1453" w:type="dxa"/>
          </w:tcPr>
          <w:p w14:paraId="03702583" w14:textId="1BB2C695" w:rsidR="00975ED6" w:rsidRPr="00CB0000" w:rsidRDefault="00975ED6" w:rsidP="00975ED6">
            <w:pPr>
              <w:pStyle w:val="TableText"/>
              <w:jc w:val="right"/>
            </w:pPr>
            <w:r w:rsidRPr="00915718">
              <w:t>-</w:t>
            </w:r>
          </w:p>
        </w:tc>
        <w:tc>
          <w:tcPr>
            <w:tcW w:w="1453" w:type="dxa"/>
          </w:tcPr>
          <w:p w14:paraId="005BD727" w14:textId="3479112E" w:rsidR="00975ED6" w:rsidRPr="00CB0000" w:rsidRDefault="00975ED6" w:rsidP="00975ED6">
            <w:pPr>
              <w:pStyle w:val="TableText"/>
              <w:jc w:val="right"/>
            </w:pPr>
            <w:r w:rsidRPr="00915718">
              <w:t>21,495</w:t>
            </w:r>
          </w:p>
        </w:tc>
        <w:tc>
          <w:tcPr>
            <w:tcW w:w="1453" w:type="dxa"/>
          </w:tcPr>
          <w:p w14:paraId="5E59AE5C" w14:textId="2394DD64" w:rsidR="00975ED6" w:rsidRPr="00CB0000" w:rsidRDefault="00975ED6" w:rsidP="00975ED6">
            <w:pPr>
              <w:pStyle w:val="TableText"/>
              <w:jc w:val="right"/>
            </w:pPr>
            <w:r w:rsidRPr="00915718">
              <w:t>25,495</w:t>
            </w:r>
          </w:p>
        </w:tc>
        <w:tc>
          <w:tcPr>
            <w:tcW w:w="1453" w:type="dxa"/>
          </w:tcPr>
          <w:p w14:paraId="3182EC4C" w14:textId="20FE0A57" w:rsidR="00975ED6" w:rsidRPr="00CB0000" w:rsidRDefault="00975ED6" w:rsidP="00975ED6">
            <w:pPr>
              <w:pStyle w:val="TableText"/>
              <w:jc w:val="right"/>
            </w:pPr>
            <w:r w:rsidRPr="00915718">
              <w:t>22,081</w:t>
            </w:r>
          </w:p>
        </w:tc>
      </w:tr>
      <w:tr w:rsidR="00975ED6" w:rsidRPr="00CB0000" w14:paraId="4AB88628" w14:textId="77777777" w:rsidTr="002918A6">
        <w:tc>
          <w:tcPr>
            <w:tcW w:w="2552" w:type="dxa"/>
          </w:tcPr>
          <w:p w14:paraId="7F184ACC" w14:textId="76AF55B6" w:rsidR="00975ED6" w:rsidRPr="00CB0000" w:rsidRDefault="00975ED6" w:rsidP="00975ED6">
            <w:pPr>
              <w:pStyle w:val="TableText"/>
            </w:pPr>
            <w:r w:rsidRPr="00964244">
              <w:t>Net surplus (deficit)</w:t>
            </w:r>
          </w:p>
        </w:tc>
        <w:tc>
          <w:tcPr>
            <w:tcW w:w="1453" w:type="dxa"/>
          </w:tcPr>
          <w:p w14:paraId="61FA5F2E" w14:textId="4CDF6A3F" w:rsidR="00975ED6" w:rsidRPr="00CB0000" w:rsidRDefault="00975ED6" w:rsidP="00975ED6">
            <w:pPr>
              <w:pStyle w:val="TableText"/>
              <w:jc w:val="right"/>
            </w:pPr>
            <w:r w:rsidRPr="00915718">
              <w:t>-</w:t>
            </w:r>
          </w:p>
        </w:tc>
        <w:tc>
          <w:tcPr>
            <w:tcW w:w="1453" w:type="dxa"/>
          </w:tcPr>
          <w:p w14:paraId="5D225747" w14:textId="31FBC708" w:rsidR="00975ED6" w:rsidRPr="00CB0000" w:rsidRDefault="00975ED6" w:rsidP="00975ED6">
            <w:pPr>
              <w:pStyle w:val="TableText"/>
              <w:jc w:val="right"/>
            </w:pPr>
            <w:r w:rsidRPr="00915718">
              <w:t>-</w:t>
            </w:r>
          </w:p>
        </w:tc>
        <w:tc>
          <w:tcPr>
            <w:tcW w:w="1453" w:type="dxa"/>
          </w:tcPr>
          <w:p w14:paraId="097B2A65" w14:textId="230F5713" w:rsidR="00975ED6" w:rsidRPr="00CB0000" w:rsidRDefault="00975ED6" w:rsidP="00975ED6">
            <w:pPr>
              <w:pStyle w:val="TableText"/>
              <w:jc w:val="right"/>
            </w:pPr>
            <w:r w:rsidRPr="00915718">
              <w:t>-</w:t>
            </w:r>
          </w:p>
        </w:tc>
        <w:tc>
          <w:tcPr>
            <w:tcW w:w="1453" w:type="dxa"/>
          </w:tcPr>
          <w:p w14:paraId="551611DF" w14:textId="1E8C2D3A" w:rsidR="00975ED6" w:rsidRPr="00CB0000" w:rsidRDefault="00975ED6" w:rsidP="00975ED6">
            <w:pPr>
              <w:pStyle w:val="TableText"/>
              <w:jc w:val="right"/>
            </w:pPr>
            <w:r w:rsidRPr="00915718">
              <w:t>3,414</w:t>
            </w:r>
          </w:p>
        </w:tc>
      </w:tr>
      <w:tr w:rsidR="00975ED6" w:rsidRPr="00975ED6" w14:paraId="1F6560FB" w14:textId="77777777" w:rsidTr="002918A6">
        <w:tc>
          <w:tcPr>
            <w:tcW w:w="2552" w:type="dxa"/>
          </w:tcPr>
          <w:p w14:paraId="137AAF5F" w14:textId="387244B2" w:rsidR="00975ED6" w:rsidRPr="00975ED6" w:rsidRDefault="00975ED6" w:rsidP="002918A6">
            <w:pPr>
              <w:pStyle w:val="TableText"/>
              <w:rPr>
                <w:b/>
                <w:bCs/>
              </w:rPr>
            </w:pPr>
            <w:r w:rsidRPr="00975ED6">
              <w:rPr>
                <w:b/>
                <w:bCs/>
              </w:rPr>
              <w:t>Māori Health Authority</w:t>
            </w:r>
          </w:p>
        </w:tc>
        <w:tc>
          <w:tcPr>
            <w:tcW w:w="1453" w:type="dxa"/>
          </w:tcPr>
          <w:p w14:paraId="64A69DBC" w14:textId="77777777" w:rsidR="00975ED6" w:rsidRPr="00975ED6" w:rsidRDefault="00975ED6" w:rsidP="002918A6">
            <w:pPr>
              <w:pStyle w:val="TableText"/>
              <w:jc w:val="right"/>
              <w:rPr>
                <w:b/>
                <w:bCs/>
              </w:rPr>
            </w:pPr>
          </w:p>
        </w:tc>
        <w:tc>
          <w:tcPr>
            <w:tcW w:w="1453" w:type="dxa"/>
          </w:tcPr>
          <w:p w14:paraId="66FE2769" w14:textId="77777777" w:rsidR="00975ED6" w:rsidRPr="00975ED6" w:rsidRDefault="00975ED6" w:rsidP="002918A6">
            <w:pPr>
              <w:pStyle w:val="TableText"/>
              <w:jc w:val="right"/>
              <w:rPr>
                <w:b/>
                <w:bCs/>
              </w:rPr>
            </w:pPr>
          </w:p>
        </w:tc>
        <w:tc>
          <w:tcPr>
            <w:tcW w:w="1453" w:type="dxa"/>
          </w:tcPr>
          <w:p w14:paraId="3F3AD97C" w14:textId="77777777" w:rsidR="00975ED6" w:rsidRPr="00975ED6" w:rsidRDefault="00975ED6" w:rsidP="002918A6">
            <w:pPr>
              <w:pStyle w:val="TableText"/>
              <w:jc w:val="right"/>
              <w:rPr>
                <w:b/>
                <w:bCs/>
              </w:rPr>
            </w:pPr>
          </w:p>
        </w:tc>
        <w:tc>
          <w:tcPr>
            <w:tcW w:w="1453" w:type="dxa"/>
          </w:tcPr>
          <w:p w14:paraId="4FB64AEE" w14:textId="77777777" w:rsidR="00975ED6" w:rsidRPr="00975ED6" w:rsidRDefault="00975ED6" w:rsidP="002918A6">
            <w:pPr>
              <w:pStyle w:val="TableText"/>
              <w:jc w:val="right"/>
              <w:rPr>
                <w:b/>
                <w:bCs/>
              </w:rPr>
            </w:pPr>
          </w:p>
        </w:tc>
      </w:tr>
      <w:tr w:rsidR="00975ED6" w:rsidRPr="00CB0000" w14:paraId="0F18C522" w14:textId="77777777" w:rsidTr="002918A6">
        <w:tc>
          <w:tcPr>
            <w:tcW w:w="2552" w:type="dxa"/>
          </w:tcPr>
          <w:p w14:paraId="0E85B704" w14:textId="70EEAFF7" w:rsidR="00975ED6" w:rsidRPr="00CB0000" w:rsidRDefault="00975ED6" w:rsidP="00975ED6">
            <w:pPr>
              <w:pStyle w:val="TableText"/>
            </w:pPr>
            <w:r w:rsidRPr="00964244">
              <w:t>Crown revenue</w:t>
            </w:r>
          </w:p>
        </w:tc>
        <w:tc>
          <w:tcPr>
            <w:tcW w:w="1453" w:type="dxa"/>
          </w:tcPr>
          <w:p w14:paraId="3ACADF4F" w14:textId="0A30FAAA" w:rsidR="00975ED6" w:rsidRPr="00CB0000" w:rsidRDefault="00975ED6" w:rsidP="00975ED6">
            <w:pPr>
              <w:pStyle w:val="TableText"/>
              <w:jc w:val="right"/>
            </w:pPr>
            <w:r w:rsidRPr="00D5190E">
              <w:t>-</w:t>
            </w:r>
          </w:p>
        </w:tc>
        <w:tc>
          <w:tcPr>
            <w:tcW w:w="1453" w:type="dxa"/>
          </w:tcPr>
          <w:p w14:paraId="13E59EC9" w14:textId="514F567A" w:rsidR="00975ED6" w:rsidRPr="00CB0000" w:rsidRDefault="00975ED6" w:rsidP="00975ED6">
            <w:pPr>
              <w:pStyle w:val="TableText"/>
              <w:jc w:val="right"/>
            </w:pPr>
            <w:r w:rsidRPr="00D5190E">
              <w:t>23,119</w:t>
            </w:r>
          </w:p>
        </w:tc>
        <w:tc>
          <w:tcPr>
            <w:tcW w:w="1453" w:type="dxa"/>
          </w:tcPr>
          <w:p w14:paraId="6B094AA0" w14:textId="2A0B617D" w:rsidR="00975ED6" w:rsidRPr="00CB0000" w:rsidRDefault="00975ED6" w:rsidP="00975ED6">
            <w:pPr>
              <w:pStyle w:val="TableText"/>
              <w:jc w:val="right"/>
            </w:pPr>
            <w:r w:rsidRPr="00D5190E">
              <w:t>24,139</w:t>
            </w:r>
          </w:p>
        </w:tc>
        <w:tc>
          <w:tcPr>
            <w:tcW w:w="1453" w:type="dxa"/>
          </w:tcPr>
          <w:p w14:paraId="5E80D283" w14:textId="6B3D1552" w:rsidR="00975ED6" w:rsidRPr="00CB0000" w:rsidRDefault="00975ED6" w:rsidP="00975ED6">
            <w:pPr>
              <w:pStyle w:val="TableText"/>
              <w:jc w:val="right"/>
            </w:pPr>
            <w:r w:rsidRPr="00D5190E">
              <w:t>24,139</w:t>
            </w:r>
          </w:p>
        </w:tc>
      </w:tr>
      <w:tr w:rsidR="00975ED6" w:rsidRPr="00CB0000" w14:paraId="5C5CE43C" w14:textId="77777777" w:rsidTr="002918A6">
        <w:tc>
          <w:tcPr>
            <w:tcW w:w="2552" w:type="dxa"/>
          </w:tcPr>
          <w:p w14:paraId="6ED24D16" w14:textId="0FE18614" w:rsidR="00975ED6" w:rsidRPr="00CB0000" w:rsidRDefault="00975ED6" w:rsidP="00975ED6">
            <w:pPr>
              <w:pStyle w:val="TableText"/>
            </w:pPr>
            <w:r w:rsidRPr="00964244">
              <w:t>Other revenue</w:t>
            </w:r>
          </w:p>
        </w:tc>
        <w:tc>
          <w:tcPr>
            <w:tcW w:w="1453" w:type="dxa"/>
          </w:tcPr>
          <w:p w14:paraId="14E42F2B" w14:textId="2167DA36" w:rsidR="00975ED6" w:rsidRPr="00CB0000" w:rsidRDefault="00975ED6" w:rsidP="00975ED6">
            <w:pPr>
              <w:pStyle w:val="TableText"/>
              <w:jc w:val="right"/>
            </w:pPr>
            <w:r w:rsidRPr="00D5190E">
              <w:t>-</w:t>
            </w:r>
          </w:p>
        </w:tc>
        <w:tc>
          <w:tcPr>
            <w:tcW w:w="1453" w:type="dxa"/>
          </w:tcPr>
          <w:p w14:paraId="10F246F0" w14:textId="14D1CCAB" w:rsidR="00975ED6" w:rsidRPr="00CB0000" w:rsidRDefault="00975ED6" w:rsidP="00975ED6">
            <w:pPr>
              <w:pStyle w:val="TableText"/>
              <w:jc w:val="right"/>
            </w:pPr>
            <w:r w:rsidRPr="00D5190E">
              <w:t>-</w:t>
            </w:r>
          </w:p>
        </w:tc>
        <w:tc>
          <w:tcPr>
            <w:tcW w:w="1453" w:type="dxa"/>
          </w:tcPr>
          <w:p w14:paraId="39980F26" w14:textId="1B07379E" w:rsidR="00975ED6" w:rsidRPr="00CB0000" w:rsidRDefault="00975ED6" w:rsidP="00975ED6">
            <w:pPr>
              <w:pStyle w:val="TableText"/>
              <w:jc w:val="right"/>
            </w:pPr>
            <w:r w:rsidRPr="00D5190E">
              <w:t>-</w:t>
            </w:r>
          </w:p>
        </w:tc>
        <w:tc>
          <w:tcPr>
            <w:tcW w:w="1453" w:type="dxa"/>
          </w:tcPr>
          <w:p w14:paraId="1989F3DB" w14:textId="721B7B5B" w:rsidR="00975ED6" w:rsidRPr="00CB0000" w:rsidRDefault="00975ED6" w:rsidP="00975ED6">
            <w:pPr>
              <w:pStyle w:val="TableText"/>
              <w:jc w:val="right"/>
            </w:pPr>
            <w:r w:rsidRPr="00D5190E">
              <w:t>-</w:t>
            </w:r>
          </w:p>
        </w:tc>
      </w:tr>
      <w:tr w:rsidR="00975ED6" w:rsidRPr="00CB0000" w14:paraId="01B936C2" w14:textId="77777777" w:rsidTr="002918A6">
        <w:tc>
          <w:tcPr>
            <w:tcW w:w="2552" w:type="dxa"/>
          </w:tcPr>
          <w:p w14:paraId="599A406C" w14:textId="59E15DBE" w:rsidR="00975ED6" w:rsidRPr="00CB0000" w:rsidRDefault="00975ED6" w:rsidP="00975ED6">
            <w:pPr>
              <w:pStyle w:val="TableText"/>
            </w:pPr>
            <w:r w:rsidRPr="00964244">
              <w:t>Total revenue</w:t>
            </w:r>
          </w:p>
        </w:tc>
        <w:tc>
          <w:tcPr>
            <w:tcW w:w="1453" w:type="dxa"/>
          </w:tcPr>
          <w:p w14:paraId="0DA64BA0" w14:textId="235847C6" w:rsidR="00975ED6" w:rsidRPr="00CB0000" w:rsidRDefault="00975ED6" w:rsidP="00975ED6">
            <w:pPr>
              <w:pStyle w:val="TableText"/>
              <w:jc w:val="right"/>
            </w:pPr>
            <w:r w:rsidRPr="00D5190E">
              <w:t>-</w:t>
            </w:r>
          </w:p>
        </w:tc>
        <w:tc>
          <w:tcPr>
            <w:tcW w:w="1453" w:type="dxa"/>
          </w:tcPr>
          <w:p w14:paraId="3FAFEB2D" w14:textId="2B6691A9" w:rsidR="00975ED6" w:rsidRPr="00CB0000" w:rsidRDefault="00975ED6" w:rsidP="00975ED6">
            <w:pPr>
              <w:pStyle w:val="TableText"/>
              <w:jc w:val="right"/>
            </w:pPr>
            <w:r w:rsidRPr="00D5190E">
              <w:t>23,119</w:t>
            </w:r>
          </w:p>
        </w:tc>
        <w:tc>
          <w:tcPr>
            <w:tcW w:w="1453" w:type="dxa"/>
          </w:tcPr>
          <w:p w14:paraId="5ADE0413" w14:textId="19BEF4F1" w:rsidR="00975ED6" w:rsidRPr="00CB0000" w:rsidRDefault="00975ED6" w:rsidP="00975ED6">
            <w:pPr>
              <w:pStyle w:val="TableText"/>
              <w:jc w:val="right"/>
            </w:pPr>
            <w:r w:rsidRPr="00D5190E">
              <w:t>24,139</w:t>
            </w:r>
          </w:p>
        </w:tc>
        <w:tc>
          <w:tcPr>
            <w:tcW w:w="1453" w:type="dxa"/>
          </w:tcPr>
          <w:p w14:paraId="124F27DE" w14:textId="7C25AE11" w:rsidR="00975ED6" w:rsidRPr="00CB0000" w:rsidRDefault="00975ED6" w:rsidP="00975ED6">
            <w:pPr>
              <w:pStyle w:val="TableText"/>
              <w:jc w:val="right"/>
            </w:pPr>
            <w:r w:rsidRPr="00D5190E">
              <w:t>24,139</w:t>
            </w:r>
          </w:p>
        </w:tc>
      </w:tr>
      <w:tr w:rsidR="00975ED6" w:rsidRPr="00CB0000" w14:paraId="5B04384A" w14:textId="77777777" w:rsidTr="002918A6">
        <w:tc>
          <w:tcPr>
            <w:tcW w:w="2552" w:type="dxa"/>
          </w:tcPr>
          <w:p w14:paraId="04B589DC" w14:textId="35D62FDF" w:rsidR="00975ED6" w:rsidRPr="00CB0000" w:rsidRDefault="00975ED6" w:rsidP="00975ED6">
            <w:pPr>
              <w:pStyle w:val="TableText"/>
            </w:pPr>
            <w:r w:rsidRPr="00964244">
              <w:t>Total expenses</w:t>
            </w:r>
          </w:p>
        </w:tc>
        <w:tc>
          <w:tcPr>
            <w:tcW w:w="1453" w:type="dxa"/>
          </w:tcPr>
          <w:p w14:paraId="43766B27" w14:textId="4C93C8D2" w:rsidR="00975ED6" w:rsidRPr="00CB0000" w:rsidRDefault="00975ED6" w:rsidP="00975ED6">
            <w:pPr>
              <w:pStyle w:val="TableText"/>
              <w:jc w:val="right"/>
            </w:pPr>
            <w:r w:rsidRPr="00D5190E">
              <w:t>-</w:t>
            </w:r>
          </w:p>
        </w:tc>
        <w:tc>
          <w:tcPr>
            <w:tcW w:w="1453" w:type="dxa"/>
          </w:tcPr>
          <w:p w14:paraId="30F993C8" w14:textId="03633A81" w:rsidR="00975ED6" w:rsidRPr="00CB0000" w:rsidRDefault="00975ED6" w:rsidP="00975ED6">
            <w:pPr>
              <w:pStyle w:val="TableText"/>
              <w:jc w:val="right"/>
            </w:pPr>
            <w:r w:rsidRPr="00D5190E">
              <w:t>23,119</w:t>
            </w:r>
          </w:p>
        </w:tc>
        <w:tc>
          <w:tcPr>
            <w:tcW w:w="1453" w:type="dxa"/>
          </w:tcPr>
          <w:p w14:paraId="71A7269C" w14:textId="6A1FB0D3" w:rsidR="00975ED6" w:rsidRPr="00CB0000" w:rsidRDefault="00975ED6" w:rsidP="00975ED6">
            <w:pPr>
              <w:pStyle w:val="TableText"/>
              <w:jc w:val="right"/>
            </w:pPr>
            <w:r w:rsidRPr="00D5190E">
              <w:t>24,139</w:t>
            </w:r>
          </w:p>
        </w:tc>
        <w:tc>
          <w:tcPr>
            <w:tcW w:w="1453" w:type="dxa"/>
          </w:tcPr>
          <w:p w14:paraId="34812F66" w14:textId="1DF3A3E9" w:rsidR="00975ED6" w:rsidRPr="00CB0000" w:rsidRDefault="00975ED6" w:rsidP="00975ED6">
            <w:pPr>
              <w:pStyle w:val="TableText"/>
              <w:jc w:val="right"/>
            </w:pPr>
            <w:r w:rsidRPr="00D5190E">
              <w:t>7,660</w:t>
            </w:r>
          </w:p>
        </w:tc>
      </w:tr>
      <w:tr w:rsidR="00975ED6" w:rsidRPr="00CB0000" w14:paraId="7CEE210C" w14:textId="77777777" w:rsidTr="002918A6">
        <w:tc>
          <w:tcPr>
            <w:tcW w:w="2552" w:type="dxa"/>
          </w:tcPr>
          <w:p w14:paraId="682F6583" w14:textId="74F73C6D" w:rsidR="00975ED6" w:rsidRPr="00CB0000" w:rsidRDefault="00975ED6" w:rsidP="00975ED6">
            <w:pPr>
              <w:pStyle w:val="TableText"/>
            </w:pPr>
            <w:r w:rsidRPr="00964244">
              <w:t>Net surplus (deficit)</w:t>
            </w:r>
          </w:p>
        </w:tc>
        <w:tc>
          <w:tcPr>
            <w:tcW w:w="1453" w:type="dxa"/>
          </w:tcPr>
          <w:p w14:paraId="7D56400F" w14:textId="26E3E5E8" w:rsidR="00975ED6" w:rsidRPr="00CB0000" w:rsidRDefault="00975ED6" w:rsidP="00975ED6">
            <w:pPr>
              <w:pStyle w:val="TableText"/>
              <w:jc w:val="right"/>
            </w:pPr>
            <w:r w:rsidRPr="00D5190E">
              <w:t>-</w:t>
            </w:r>
          </w:p>
        </w:tc>
        <w:tc>
          <w:tcPr>
            <w:tcW w:w="1453" w:type="dxa"/>
          </w:tcPr>
          <w:p w14:paraId="70E467BF" w14:textId="2DCC6CB9" w:rsidR="00975ED6" w:rsidRPr="00CB0000" w:rsidRDefault="00975ED6" w:rsidP="00975ED6">
            <w:pPr>
              <w:pStyle w:val="TableText"/>
              <w:jc w:val="right"/>
            </w:pPr>
            <w:r w:rsidRPr="00D5190E">
              <w:t>-</w:t>
            </w:r>
          </w:p>
        </w:tc>
        <w:tc>
          <w:tcPr>
            <w:tcW w:w="1453" w:type="dxa"/>
          </w:tcPr>
          <w:p w14:paraId="056D0499" w14:textId="733138A9" w:rsidR="00975ED6" w:rsidRPr="00CB0000" w:rsidRDefault="00975ED6" w:rsidP="00975ED6">
            <w:pPr>
              <w:pStyle w:val="TableText"/>
              <w:jc w:val="right"/>
            </w:pPr>
            <w:r w:rsidRPr="00D5190E">
              <w:t>-</w:t>
            </w:r>
          </w:p>
        </w:tc>
        <w:tc>
          <w:tcPr>
            <w:tcW w:w="1453" w:type="dxa"/>
          </w:tcPr>
          <w:p w14:paraId="42561EF3" w14:textId="347F2B06" w:rsidR="00975ED6" w:rsidRPr="00CB0000" w:rsidRDefault="00975ED6" w:rsidP="00975ED6">
            <w:pPr>
              <w:pStyle w:val="TableText"/>
              <w:jc w:val="right"/>
            </w:pPr>
            <w:r w:rsidRPr="00D5190E">
              <w:t>16,479</w:t>
            </w:r>
          </w:p>
        </w:tc>
      </w:tr>
      <w:tr w:rsidR="00975ED6" w:rsidRPr="00975ED6" w14:paraId="2D27050D" w14:textId="77777777" w:rsidTr="002918A6">
        <w:tc>
          <w:tcPr>
            <w:tcW w:w="4005" w:type="dxa"/>
            <w:gridSpan w:val="2"/>
          </w:tcPr>
          <w:p w14:paraId="596543A9" w14:textId="770DD804" w:rsidR="00975ED6" w:rsidRPr="00975ED6" w:rsidRDefault="00975ED6" w:rsidP="00975ED6">
            <w:pPr>
              <w:pStyle w:val="TableText"/>
              <w:rPr>
                <w:b/>
                <w:bCs/>
              </w:rPr>
            </w:pPr>
            <w:r w:rsidRPr="00975ED6">
              <w:rPr>
                <w:b/>
                <w:bCs/>
              </w:rPr>
              <w:t>Non-departmental output expenses</w:t>
            </w:r>
          </w:p>
        </w:tc>
        <w:tc>
          <w:tcPr>
            <w:tcW w:w="1453" w:type="dxa"/>
          </w:tcPr>
          <w:p w14:paraId="1CE18BBB" w14:textId="77777777" w:rsidR="00975ED6" w:rsidRPr="00975ED6" w:rsidRDefault="00975ED6" w:rsidP="002918A6">
            <w:pPr>
              <w:pStyle w:val="TableText"/>
              <w:jc w:val="right"/>
              <w:rPr>
                <w:b/>
                <w:bCs/>
              </w:rPr>
            </w:pPr>
          </w:p>
        </w:tc>
        <w:tc>
          <w:tcPr>
            <w:tcW w:w="1453" w:type="dxa"/>
          </w:tcPr>
          <w:p w14:paraId="13BA368A" w14:textId="77777777" w:rsidR="00975ED6" w:rsidRPr="00975ED6" w:rsidRDefault="00975ED6" w:rsidP="002918A6">
            <w:pPr>
              <w:pStyle w:val="TableText"/>
              <w:jc w:val="right"/>
              <w:rPr>
                <w:b/>
                <w:bCs/>
              </w:rPr>
            </w:pPr>
          </w:p>
        </w:tc>
        <w:tc>
          <w:tcPr>
            <w:tcW w:w="1453" w:type="dxa"/>
          </w:tcPr>
          <w:p w14:paraId="69CB090C" w14:textId="77777777" w:rsidR="00975ED6" w:rsidRPr="00975ED6" w:rsidRDefault="00975ED6" w:rsidP="002918A6">
            <w:pPr>
              <w:pStyle w:val="TableText"/>
              <w:jc w:val="right"/>
              <w:rPr>
                <w:b/>
                <w:bCs/>
              </w:rPr>
            </w:pPr>
          </w:p>
        </w:tc>
      </w:tr>
      <w:tr w:rsidR="00975ED6" w:rsidRPr="00CB0000" w14:paraId="35CEF07F" w14:textId="77777777" w:rsidTr="002918A6">
        <w:tc>
          <w:tcPr>
            <w:tcW w:w="2552" w:type="dxa"/>
          </w:tcPr>
          <w:p w14:paraId="50730D7B" w14:textId="601E0E50" w:rsidR="00975ED6" w:rsidRPr="00975ED6" w:rsidRDefault="00975ED6" w:rsidP="002918A6">
            <w:pPr>
              <w:pStyle w:val="TableText"/>
              <w:rPr>
                <w:b/>
                <w:bCs/>
              </w:rPr>
            </w:pPr>
            <w:r w:rsidRPr="00975ED6">
              <w:rPr>
                <w:b/>
                <w:bCs/>
              </w:rPr>
              <w:t>Hauora Māori</w:t>
            </w:r>
          </w:p>
        </w:tc>
        <w:tc>
          <w:tcPr>
            <w:tcW w:w="1453" w:type="dxa"/>
          </w:tcPr>
          <w:p w14:paraId="68D8F7DB" w14:textId="77777777" w:rsidR="00975ED6" w:rsidRPr="00CB0000" w:rsidRDefault="00975ED6" w:rsidP="002918A6">
            <w:pPr>
              <w:pStyle w:val="TableText"/>
              <w:jc w:val="right"/>
            </w:pPr>
          </w:p>
        </w:tc>
        <w:tc>
          <w:tcPr>
            <w:tcW w:w="1453" w:type="dxa"/>
          </w:tcPr>
          <w:p w14:paraId="66A97408" w14:textId="77777777" w:rsidR="00975ED6" w:rsidRPr="00CB0000" w:rsidRDefault="00975ED6" w:rsidP="002918A6">
            <w:pPr>
              <w:pStyle w:val="TableText"/>
              <w:jc w:val="right"/>
            </w:pPr>
          </w:p>
        </w:tc>
        <w:tc>
          <w:tcPr>
            <w:tcW w:w="1453" w:type="dxa"/>
          </w:tcPr>
          <w:p w14:paraId="0DD55131" w14:textId="77777777" w:rsidR="00975ED6" w:rsidRPr="00CB0000" w:rsidRDefault="00975ED6" w:rsidP="002918A6">
            <w:pPr>
              <w:pStyle w:val="TableText"/>
              <w:jc w:val="right"/>
            </w:pPr>
          </w:p>
        </w:tc>
        <w:tc>
          <w:tcPr>
            <w:tcW w:w="1453" w:type="dxa"/>
          </w:tcPr>
          <w:p w14:paraId="4B98890F" w14:textId="77777777" w:rsidR="00975ED6" w:rsidRPr="00CB0000" w:rsidRDefault="00975ED6" w:rsidP="002918A6">
            <w:pPr>
              <w:pStyle w:val="TableText"/>
              <w:jc w:val="right"/>
            </w:pPr>
          </w:p>
        </w:tc>
      </w:tr>
      <w:tr w:rsidR="00975ED6" w:rsidRPr="00CB0000" w14:paraId="1F9F42BC" w14:textId="77777777" w:rsidTr="002918A6">
        <w:tc>
          <w:tcPr>
            <w:tcW w:w="2552" w:type="dxa"/>
          </w:tcPr>
          <w:p w14:paraId="19A10AD9" w14:textId="5928363F" w:rsidR="00975ED6" w:rsidRPr="00CB0000" w:rsidRDefault="00975ED6" w:rsidP="00975ED6">
            <w:pPr>
              <w:pStyle w:val="TableText"/>
            </w:pPr>
            <w:r w:rsidRPr="00CD012A">
              <w:t>Total expenses</w:t>
            </w:r>
          </w:p>
        </w:tc>
        <w:tc>
          <w:tcPr>
            <w:tcW w:w="1453" w:type="dxa"/>
          </w:tcPr>
          <w:p w14:paraId="5229E971" w14:textId="180D92A4" w:rsidR="00975ED6" w:rsidRPr="00CB0000" w:rsidRDefault="00975ED6" w:rsidP="00975ED6">
            <w:pPr>
              <w:pStyle w:val="TableText"/>
              <w:jc w:val="right"/>
            </w:pPr>
            <w:r w:rsidRPr="00195AB7">
              <w:t>-</w:t>
            </w:r>
          </w:p>
        </w:tc>
        <w:tc>
          <w:tcPr>
            <w:tcW w:w="1453" w:type="dxa"/>
          </w:tcPr>
          <w:p w14:paraId="2CED8040" w14:textId="5BBF6908" w:rsidR="00975ED6" w:rsidRPr="00CB0000" w:rsidRDefault="00975ED6" w:rsidP="00975ED6">
            <w:pPr>
              <w:pStyle w:val="TableText"/>
              <w:jc w:val="right"/>
            </w:pPr>
            <w:r w:rsidRPr="00195AB7">
              <w:t>17,396</w:t>
            </w:r>
          </w:p>
        </w:tc>
        <w:tc>
          <w:tcPr>
            <w:tcW w:w="1453" w:type="dxa"/>
          </w:tcPr>
          <w:p w14:paraId="2E5DD5D1" w14:textId="592D2E5F" w:rsidR="00975ED6" w:rsidRPr="00CB0000" w:rsidRDefault="00975ED6" w:rsidP="00975ED6">
            <w:pPr>
              <w:pStyle w:val="TableText"/>
              <w:jc w:val="right"/>
            </w:pPr>
            <w:r w:rsidRPr="00195AB7">
              <w:t>17,396</w:t>
            </w:r>
          </w:p>
        </w:tc>
        <w:tc>
          <w:tcPr>
            <w:tcW w:w="1453" w:type="dxa"/>
          </w:tcPr>
          <w:p w14:paraId="60E0801A" w14:textId="3558E3E1" w:rsidR="00975ED6" w:rsidRPr="00CB0000" w:rsidRDefault="00975ED6" w:rsidP="00975ED6">
            <w:pPr>
              <w:pStyle w:val="TableText"/>
              <w:jc w:val="right"/>
            </w:pPr>
            <w:r w:rsidRPr="00195AB7">
              <w:t>8,760</w:t>
            </w:r>
          </w:p>
        </w:tc>
      </w:tr>
      <w:tr w:rsidR="00975ED6" w:rsidRPr="00975ED6" w14:paraId="1982EF67" w14:textId="77777777" w:rsidTr="002918A6">
        <w:tc>
          <w:tcPr>
            <w:tcW w:w="2552" w:type="dxa"/>
          </w:tcPr>
          <w:p w14:paraId="45FE0CFF" w14:textId="76B5FA42" w:rsidR="00975ED6" w:rsidRPr="00975ED6" w:rsidRDefault="00975ED6" w:rsidP="00975ED6">
            <w:pPr>
              <w:pStyle w:val="TableText"/>
              <w:rPr>
                <w:b/>
                <w:bCs/>
              </w:rPr>
            </w:pPr>
            <w:r w:rsidRPr="00975ED6">
              <w:rPr>
                <w:b/>
                <w:bCs/>
              </w:rPr>
              <w:t>Locality networks</w:t>
            </w:r>
          </w:p>
        </w:tc>
        <w:tc>
          <w:tcPr>
            <w:tcW w:w="1453" w:type="dxa"/>
          </w:tcPr>
          <w:p w14:paraId="3E455B05" w14:textId="77777777" w:rsidR="00975ED6" w:rsidRPr="00975ED6" w:rsidRDefault="00975ED6" w:rsidP="00975ED6">
            <w:pPr>
              <w:pStyle w:val="TableText"/>
              <w:jc w:val="right"/>
              <w:rPr>
                <w:b/>
                <w:bCs/>
              </w:rPr>
            </w:pPr>
          </w:p>
        </w:tc>
        <w:tc>
          <w:tcPr>
            <w:tcW w:w="1453" w:type="dxa"/>
          </w:tcPr>
          <w:p w14:paraId="05C19421" w14:textId="77777777" w:rsidR="00975ED6" w:rsidRPr="00975ED6" w:rsidRDefault="00975ED6" w:rsidP="00975ED6">
            <w:pPr>
              <w:pStyle w:val="TableText"/>
              <w:jc w:val="right"/>
              <w:rPr>
                <w:b/>
                <w:bCs/>
              </w:rPr>
            </w:pPr>
          </w:p>
        </w:tc>
        <w:tc>
          <w:tcPr>
            <w:tcW w:w="1453" w:type="dxa"/>
          </w:tcPr>
          <w:p w14:paraId="6E5C6A23" w14:textId="77777777" w:rsidR="00975ED6" w:rsidRPr="00975ED6" w:rsidRDefault="00975ED6" w:rsidP="00975ED6">
            <w:pPr>
              <w:pStyle w:val="TableText"/>
              <w:jc w:val="right"/>
              <w:rPr>
                <w:b/>
                <w:bCs/>
              </w:rPr>
            </w:pPr>
          </w:p>
        </w:tc>
        <w:tc>
          <w:tcPr>
            <w:tcW w:w="1453" w:type="dxa"/>
          </w:tcPr>
          <w:p w14:paraId="6A60AABC" w14:textId="77777777" w:rsidR="00975ED6" w:rsidRPr="00975ED6" w:rsidRDefault="00975ED6" w:rsidP="00975ED6">
            <w:pPr>
              <w:pStyle w:val="TableText"/>
              <w:jc w:val="right"/>
              <w:rPr>
                <w:b/>
                <w:bCs/>
              </w:rPr>
            </w:pPr>
          </w:p>
        </w:tc>
      </w:tr>
      <w:tr w:rsidR="00975ED6" w:rsidRPr="00CB0000" w14:paraId="78CDF266" w14:textId="77777777" w:rsidTr="002918A6">
        <w:tc>
          <w:tcPr>
            <w:tcW w:w="2552" w:type="dxa"/>
          </w:tcPr>
          <w:p w14:paraId="09D44B6A" w14:textId="3E4E9AFB" w:rsidR="00975ED6" w:rsidRPr="00CB0000" w:rsidRDefault="00975ED6" w:rsidP="00975ED6">
            <w:pPr>
              <w:pStyle w:val="TableText"/>
            </w:pPr>
            <w:r w:rsidRPr="00CD012A">
              <w:t>Total expenses</w:t>
            </w:r>
          </w:p>
        </w:tc>
        <w:tc>
          <w:tcPr>
            <w:tcW w:w="1453" w:type="dxa"/>
          </w:tcPr>
          <w:p w14:paraId="305DDEBA" w14:textId="2E2B01C3" w:rsidR="00975ED6" w:rsidRPr="00CB0000" w:rsidRDefault="00975ED6" w:rsidP="00975ED6">
            <w:pPr>
              <w:pStyle w:val="TableText"/>
              <w:jc w:val="right"/>
            </w:pPr>
            <w:r w:rsidRPr="00195AB7">
              <w:t>-</w:t>
            </w:r>
          </w:p>
        </w:tc>
        <w:tc>
          <w:tcPr>
            <w:tcW w:w="1453" w:type="dxa"/>
          </w:tcPr>
          <w:p w14:paraId="1C364869" w14:textId="42EF5335" w:rsidR="00975ED6" w:rsidRPr="00CB0000" w:rsidRDefault="00975ED6" w:rsidP="00975ED6">
            <w:pPr>
              <w:pStyle w:val="TableText"/>
              <w:jc w:val="right"/>
            </w:pPr>
            <w:r w:rsidRPr="00195AB7">
              <w:t>9,642</w:t>
            </w:r>
          </w:p>
        </w:tc>
        <w:tc>
          <w:tcPr>
            <w:tcW w:w="1453" w:type="dxa"/>
          </w:tcPr>
          <w:p w14:paraId="69849884" w14:textId="7257E906" w:rsidR="00975ED6" w:rsidRPr="00CB0000" w:rsidRDefault="00975ED6" w:rsidP="00975ED6">
            <w:pPr>
              <w:pStyle w:val="TableText"/>
              <w:jc w:val="right"/>
            </w:pPr>
            <w:r w:rsidRPr="00195AB7">
              <w:t>9,642</w:t>
            </w:r>
          </w:p>
        </w:tc>
        <w:tc>
          <w:tcPr>
            <w:tcW w:w="1453" w:type="dxa"/>
          </w:tcPr>
          <w:p w14:paraId="1EDBFEE2" w14:textId="3193840A" w:rsidR="00975ED6" w:rsidRPr="00CB0000" w:rsidRDefault="00975ED6" w:rsidP="00975ED6">
            <w:pPr>
              <w:pStyle w:val="TableText"/>
              <w:jc w:val="right"/>
            </w:pPr>
            <w:r w:rsidRPr="00195AB7">
              <w:t>-</w:t>
            </w:r>
          </w:p>
        </w:tc>
      </w:tr>
      <w:tr w:rsidR="00975ED6" w:rsidRPr="00975ED6" w14:paraId="2689B2C0" w14:textId="77777777" w:rsidTr="002918A6">
        <w:tc>
          <w:tcPr>
            <w:tcW w:w="2552" w:type="dxa"/>
          </w:tcPr>
          <w:p w14:paraId="7C0E39A6" w14:textId="689C6353" w:rsidR="00975ED6" w:rsidRPr="00975ED6" w:rsidRDefault="00975ED6" w:rsidP="00975ED6">
            <w:pPr>
              <w:pStyle w:val="TableText"/>
              <w:rPr>
                <w:b/>
                <w:bCs/>
              </w:rPr>
            </w:pPr>
            <w:r w:rsidRPr="00975ED6">
              <w:rPr>
                <w:b/>
                <w:bCs/>
              </w:rPr>
              <w:t>Total MCA expenses</w:t>
            </w:r>
          </w:p>
        </w:tc>
        <w:tc>
          <w:tcPr>
            <w:tcW w:w="1453" w:type="dxa"/>
          </w:tcPr>
          <w:p w14:paraId="48C692CF" w14:textId="77777777" w:rsidR="00975ED6" w:rsidRPr="00975ED6" w:rsidRDefault="00975ED6" w:rsidP="00975ED6">
            <w:pPr>
              <w:pStyle w:val="TableText"/>
              <w:jc w:val="right"/>
              <w:rPr>
                <w:b/>
                <w:bCs/>
              </w:rPr>
            </w:pPr>
          </w:p>
        </w:tc>
        <w:tc>
          <w:tcPr>
            <w:tcW w:w="1453" w:type="dxa"/>
          </w:tcPr>
          <w:p w14:paraId="04FAF2A2" w14:textId="033D4D07" w:rsidR="00975ED6" w:rsidRPr="00953192" w:rsidRDefault="00975ED6" w:rsidP="00975ED6">
            <w:pPr>
              <w:pStyle w:val="TableText"/>
              <w:jc w:val="right"/>
              <w:rPr>
                <w:b/>
                <w:bCs/>
              </w:rPr>
            </w:pPr>
            <w:r w:rsidRPr="00953192">
              <w:rPr>
                <w:b/>
                <w:bCs/>
              </w:rPr>
              <w:t>71,652</w:t>
            </w:r>
          </w:p>
        </w:tc>
        <w:tc>
          <w:tcPr>
            <w:tcW w:w="1453" w:type="dxa"/>
          </w:tcPr>
          <w:p w14:paraId="2A3AE5C1" w14:textId="61C0AD67" w:rsidR="00975ED6" w:rsidRPr="00953192" w:rsidRDefault="00975ED6" w:rsidP="00975ED6">
            <w:pPr>
              <w:pStyle w:val="TableText"/>
              <w:jc w:val="right"/>
              <w:rPr>
                <w:b/>
                <w:bCs/>
              </w:rPr>
            </w:pPr>
            <w:r w:rsidRPr="00953192">
              <w:rPr>
                <w:b/>
                <w:bCs/>
              </w:rPr>
              <w:t>76,672</w:t>
            </w:r>
          </w:p>
        </w:tc>
        <w:tc>
          <w:tcPr>
            <w:tcW w:w="1453" w:type="dxa"/>
          </w:tcPr>
          <w:p w14:paraId="308CD9BB" w14:textId="37C93A89" w:rsidR="00975ED6" w:rsidRPr="00953192" w:rsidRDefault="00975ED6" w:rsidP="00975ED6">
            <w:pPr>
              <w:pStyle w:val="TableText"/>
              <w:jc w:val="right"/>
              <w:rPr>
                <w:b/>
                <w:bCs/>
              </w:rPr>
            </w:pPr>
            <w:r w:rsidRPr="00953192">
              <w:rPr>
                <w:b/>
                <w:bCs/>
              </w:rPr>
              <w:t>38,501</w:t>
            </w:r>
          </w:p>
        </w:tc>
      </w:tr>
    </w:tbl>
    <w:p w14:paraId="23F990E1" w14:textId="77777777" w:rsidR="00975ED6" w:rsidRDefault="00975ED6" w:rsidP="00975ED6">
      <w:pPr>
        <w:rPr>
          <w:rFonts w:eastAsia="Arial Unicode MS"/>
        </w:rPr>
      </w:pPr>
    </w:p>
    <w:p w14:paraId="62A55F56" w14:textId="3D5E088F" w:rsidR="00975ED6" w:rsidRDefault="00975ED6" w:rsidP="00975ED6">
      <w:pPr>
        <w:rPr>
          <w:rFonts w:eastAsia="Arial Unicode MS"/>
        </w:rPr>
      </w:pPr>
      <w:r w:rsidRPr="00975ED6">
        <w:rPr>
          <w:rFonts w:eastAsia="Arial Unicode MS"/>
        </w:rPr>
        <w:t>This multi-category appropriation was established in 2021/22. Its single overarching purpose is to implement health and disability system reform.</w:t>
      </w:r>
    </w:p>
    <w:p w14:paraId="5B7B1B8E" w14:textId="77777777" w:rsidR="00975ED6" w:rsidRPr="00975ED6" w:rsidRDefault="00975ED6" w:rsidP="00975ED6">
      <w:pPr>
        <w:rPr>
          <w:rFonts w:eastAsia="Arial Unicode MS"/>
        </w:rPr>
      </w:pPr>
    </w:p>
    <w:p w14:paraId="7D473F7A" w14:textId="1CDD0CFA" w:rsidR="00975ED6" w:rsidRDefault="00975ED6" w:rsidP="00975ED6">
      <w:pPr>
        <w:rPr>
          <w:rFonts w:eastAsia="Arial Unicode MS"/>
        </w:rPr>
      </w:pPr>
      <w:r w:rsidRPr="00975ED6">
        <w:rPr>
          <w:rFonts w:eastAsia="Arial Unicode MS"/>
        </w:rPr>
        <w:lastRenderedPageBreak/>
        <w:t>Health and disability system reform MCA actual spend was lower than budget due to the longer time taken than initially planned to scope, consult and finalise function transfers on the Interim Health New Zealand and Interim Māori Health Authority work programmes, which is partly driven by disruptions caused by COVID-19.</w:t>
      </w:r>
    </w:p>
    <w:p w14:paraId="674785FF" w14:textId="77777777" w:rsidR="00975ED6" w:rsidRPr="00975ED6" w:rsidRDefault="00975ED6" w:rsidP="00975ED6">
      <w:pPr>
        <w:rPr>
          <w:rFonts w:eastAsia="Arial Unicode MS"/>
        </w:rPr>
      </w:pPr>
    </w:p>
    <w:p w14:paraId="315B3856" w14:textId="3DEC63CD" w:rsidR="00975ED6" w:rsidRDefault="00975ED6" w:rsidP="00975ED6">
      <w:pPr>
        <w:rPr>
          <w:rFonts w:eastAsia="Arial Unicode MS"/>
        </w:rPr>
      </w:pPr>
      <w:r w:rsidRPr="00975ED6">
        <w:rPr>
          <w:rFonts w:eastAsia="Arial Unicode MS"/>
        </w:rPr>
        <w:t>While the implementation for the work programmes has commenced and the critical changes were in place for the 1 July transfer, there were some residual works required to support the ongoing responsibilities extending into 2022/23.</w:t>
      </w:r>
    </w:p>
    <w:p w14:paraId="30BD72FC" w14:textId="77777777" w:rsidR="00975ED6" w:rsidRPr="00975ED6" w:rsidRDefault="00975ED6" w:rsidP="00975ED6">
      <w:pPr>
        <w:rPr>
          <w:rFonts w:eastAsia="Arial Unicode MS"/>
        </w:rPr>
      </w:pPr>
    </w:p>
    <w:p w14:paraId="6B7378DE" w14:textId="51CA812F" w:rsidR="00975ED6" w:rsidRDefault="00975ED6" w:rsidP="00975ED6">
      <w:pPr>
        <w:rPr>
          <w:rFonts w:eastAsia="Arial Unicode MS"/>
        </w:rPr>
      </w:pPr>
      <w:r w:rsidRPr="00975ED6">
        <w:rPr>
          <w:rFonts w:eastAsia="Arial Unicode MS"/>
        </w:rPr>
        <w:t>Further, the work is underway with Iwi-Māori Partnership Boards to create services that could include health education, pūrākau, resource development, and models centred on addressing the wider social and environmental determinants of health in their communities. The provision of these services would extend into 2022/23.</w:t>
      </w:r>
    </w:p>
    <w:p w14:paraId="60CAC309" w14:textId="5DA91DBD" w:rsidR="00975ED6" w:rsidRDefault="00975ED6" w:rsidP="00975ED6">
      <w:pPr>
        <w:rPr>
          <w:rFonts w:eastAsia="Arial Unicode MS"/>
        </w:rPr>
      </w:pPr>
    </w:p>
    <w:p w14:paraId="0922786E" w14:textId="77777777" w:rsidR="00975ED6" w:rsidRPr="00975ED6" w:rsidRDefault="00975ED6" w:rsidP="00975ED6">
      <w:pPr>
        <w:rPr>
          <w:rFonts w:eastAsia="Arial Unicode MS"/>
        </w:rPr>
      </w:pPr>
      <w:r w:rsidRPr="00975ED6">
        <w:rPr>
          <w:rFonts w:eastAsia="Arial Unicode MS"/>
        </w:rPr>
        <w:t>The Joint Ministers have approved in-principle expense transfers from 2021/22 to 2022/23 of up to:</w:t>
      </w:r>
    </w:p>
    <w:p w14:paraId="0A72DC45" w14:textId="57F4DDA2" w:rsidR="00975ED6" w:rsidRPr="00975ED6" w:rsidRDefault="00975ED6" w:rsidP="00747497">
      <w:pPr>
        <w:pStyle w:val="Bullet"/>
        <w:rPr>
          <w:rFonts w:eastAsia="Arial Unicode MS"/>
        </w:rPr>
      </w:pPr>
      <w:r w:rsidRPr="00975ED6">
        <w:rPr>
          <w:rFonts w:eastAsia="Arial Unicode MS"/>
        </w:rPr>
        <w:t>Health New Zealand - $9 million</w:t>
      </w:r>
    </w:p>
    <w:p w14:paraId="73790167" w14:textId="33C01D9F" w:rsidR="00975ED6" w:rsidRPr="00975ED6" w:rsidRDefault="00975ED6" w:rsidP="00747497">
      <w:pPr>
        <w:pStyle w:val="Bullet"/>
        <w:rPr>
          <w:rFonts w:eastAsia="Arial Unicode MS"/>
        </w:rPr>
      </w:pPr>
      <w:r w:rsidRPr="00975ED6">
        <w:rPr>
          <w:rFonts w:eastAsia="Arial Unicode MS"/>
        </w:rPr>
        <w:t>Māori Health Authority - $17 million</w:t>
      </w:r>
    </w:p>
    <w:p w14:paraId="0437D16B" w14:textId="00AA030C" w:rsidR="00975ED6" w:rsidRPr="00975ED6" w:rsidRDefault="00975ED6" w:rsidP="00747497">
      <w:pPr>
        <w:pStyle w:val="Bullet"/>
        <w:rPr>
          <w:rFonts w:eastAsia="Arial Unicode MS"/>
        </w:rPr>
      </w:pPr>
      <w:r w:rsidRPr="00975ED6">
        <w:rPr>
          <w:rFonts w:eastAsia="Arial Unicode MS"/>
        </w:rPr>
        <w:t>Hauora Māori - $9.642 million</w:t>
      </w:r>
    </w:p>
    <w:p w14:paraId="6C69B93B" w14:textId="5B9649F3" w:rsidR="00975ED6" w:rsidRPr="00975ED6" w:rsidRDefault="00975ED6" w:rsidP="00747497">
      <w:pPr>
        <w:pStyle w:val="Bullet"/>
        <w:rPr>
          <w:rFonts w:eastAsia="Arial Unicode MS"/>
        </w:rPr>
      </w:pPr>
      <w:r w:rsidRPr="00975ED6">
        <w:rPr>
          <w:rFonts w:eastAsia="Arial Unicode MS"/>
        </w:rPr>
        <w:t>Locality Networks - $17.393 million</w:t>
      </w:r>
    </w:p>
    <w:p w14:paraId="6154DD45" w14:textId="77777777" w:rsidR="00747497" w:rsidRDefault="00747497" w:rsidP="00975ED6">
      <w:pPr>
        <w:rPr>
          <w:rFonts w:eastAsia="Arial Unicode MS"/>
        </w:rPr>
      </w:pPr>
    </w:p>
    <w:p w14:paraId="3BE6C3F6" w14:textId="0FB998B4" w:rsidR="00975ED6" w:rsidRDefault="00747497" w:rsidP="00975ED6">
      <w:pPr>
        <w:rPr>
          <w:rFonts w:eastAsia="Arial Unicode MS"/>
        </w:rPr>
      </w:pPr>
      <w:r>
        <w:rPr>
          <w:rFonts w:eastAsia="Arial Unicode MS"/>
        </w:rPr>
        <w:t>T</w:t>
      </w:r>
      <w:r w:rsidR="00975ED6" w:rsidRPr="00975ED6">
        <w:rPr>
          <w:rFonts w:eastAsia="Arial Unicode MS"/>
        </w:rPr>
        <w:t>he in-principle expense transfers will be confirmed as part of the 2022 October Baseline Update.</w:t>
      </w:r>
    </w:p>
    <w:p w14:paraId="736D5302" w14:textId="4FF32750" w:rsidR="00747497" w:rsidRPr="00747497" w:rsidRDefault="00747497" w:rsidP="00747497">
      <w:pPr>
        <w:pStyle w:val="Heading3"/>
      </w:pPr>
      <w:bookmarkStart w:id="44" w:name="_Toc117264951"/>
      <w:r w:rsidRPr="00747497">
        <w:t>National Response to COVID-19 Across the Health Sector</w:t>
      </w:r>
      <w:bookmarkEnd w:id="44"/>
    </w:p>
    <w:p w14:paraId="44166970" w14:textId="6BE8E7C5" w:rsidR="00747497" w:rsidRDefault="00747497" w:rsidP="00747497">
      <w:pPr>
        <w:rPr>
          <w:rFonts w:eastAsia="Arial Unicode MS"/>
        </w:rPr>
      </w:pPr>
      <w:r w:rsidRPr="00747497">
        <w:rPr>
          <w:rFonts w:eastAsia="Arial Unicode MS"/>
        </w:rPr>
        <w:t>The single overarching purpose of this appropriation is to implement a national response to COVID-19 across the health sector.</w:t>
      </w:r>
    </w:p>
    <w:p w14:paraId="611050D9" w14:textId="77777777" w:rsidR="00747497" w:rsidRPr="00747497" w:rsidRDefault="00747497" w:rsidP="00747497">
      <w:pPr>
        <w:rPr>
          <w:rFonts w:eastAsia="Arial Unicode MS"/>
        </w:rPr>
      </w:pPr>
    </w:p>
    <w:p w14:paraId="2AD7D551" w14:textId="77777777" w:rsidR="00747497" w:rsidRPr="00747497" w:rsidRDefault="00747497" w:rsidP="00747497">
      <w:pPr>
        <w:rPr>
          <w:rFonts w:eastAsia="Arial Unicode MS"/>
        </w:rPr>
      </w:pPr>
      <w:r w:rsidRPr="00747497">
        <w:rPr>
          <w:rFonts w:eastAsia="Arial Unicode MS"/>
        </w:rPr>
        <w:t>This appropriation is intended to provide for the national response to the COVID-19 pandemic across the health sector.</w:t>
      </w:r>
    </w:p>
    <w:p w14:paraId="31C6A078" w14:textId="788D2EFC" w:rsidR="00747497" w:rsidRDefault="00747497" w:rsidP="00747497">
      <w:pPr>
        <w:pStyle w:val="Heading4"/>
      </w:pPr>
      <w:r w:rsidRPr="00747497">
        <w:t>Performance assessment</w:t>
      </w: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028"/>
      </w:tblGrid>
      <w:tr w:rsidR="00747497" w:rsidRPr="00950725" w14:paraId="7190D34F" w14:textId="77777777" w:rsidTr="002918A6">
        <w:trPr>
          <w:trHeight w:val="496"/>
          <w:tblHeader/>
        </w:trPr>
        <w:tc>
          <w:tcPr>
            <w:tcW w:w="3686" w:type="dxa"/>
            <w:tcBorders>
              <w:top w:val="nil"/>
              <w:bottom w:val="nil"/>
            </w:tcBorders>
            <w:shd w:val="clear" w:color="auto" w:fill="D9D9D9" w:themeFill="background1" w:themeFillShade="D9"/>
          </w:tcPr>
          <w:p w14:paraId="36DA8943" w14:textId="77777777" w:rsidR="00747497" w:rsidRPr="006A19AA" w:rsidRDefault="00747497" w:rsidP="002918A6">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78D0A701" w14:textId="77777777" w:rsidR="00747497" w:rsidRPr="00950725" w:rsidRDefault="00747497" w:rsidP="002918A6">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77A3BF21" w14:textId="77777777" w:rsidR="00747497" w:rsidRPr="00950725" w:rsidRDefault="00747497" w:rsidP="002918A6">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5FE8593C" w14:textId="77777777" w:rsidR="00747497" w:rsidRPr="00950725" w:rsidRDefault="00747497" w:rsidP="002918A6">
            <w:pPr>
              <w:pStyle w:val="TableText"/>
              <w:jc w:val="right"/>
              <w:rPr>
                <w:b/>
                <w:bCs/>
              </w:rPr>
            </w:pPr>
            <w:r w:rsidRPr="00950725">
              <w:rPr>
                <w:b/>
                <w:bCs/>
                <w:w w:val="110"/>
              </w:rPr>
              <w:t>Actual</w:t>
            </w:r>
          </w:p>
        </w:tc>
        <w:tc>
          <w:tcPr>
            <w:tcW w:w="1028" w:type="dxa"/>
            <w:tcBorders>
              <w:top w:val="nil"/>
              <w:bottom w:val="nil"/>
            </w:tcBorders>
            <w:shd w:val="clear" w:color="auto" w:fill="D9D9D9" w:themeFill="background1" w:themeFillShade="D9"/>
          </w:tcPr>
          <w:p w14:paraId="6FB44390" w14:textId="77777777" w:rsidR="00747497" w:rsidRPr="00950725" w:rsidRDefault="00747497" w:rsidP="002918A6">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747497" w14:paraId="495BAD9E" w14:textId="77777777" w:rsidTr="002918A6">
        <w:trPr>
          <w:trHeight w:val="344"/>
          <w:tblHeader/>
        </w:trPr>
        <w:tc>
          <w:tcPr>
            <w:tcW w:w="3686" w:type="dxa"/>
            <w:tcBorders>
              <w:top w:val="nil"/>
              <w:bottom w:val="nil"/>
            </w:tcBorders>
            <w:shd w:val="clear" w:color="auto" w:fill="D9D9D9" w:themeFill="background1" w:themeFillShade="D9"/>
          </w:tcPr>
          <w:p w14:paraId="5C078265" w14:textId="77777777" w:rsidR="00747497" w:rsidRDefault="00747497" w:rsidP="002918A6">
            <w:pPr>
              <w:pStyle w:val="TableText"/>
              <w:spacing w:after="0"/>
              <w:rPr>
                <w:w w:val="105"/>
              </w:rPr>
            </w:pPr>
          </w:p>
        </w:tc>
        <w:tc>
          <w:tcPr>
            <w:tcW w:w="1169" w:type="dxa"/>
            <w:tcBorders>
              <w:top w:val="nil"/>
              <w:bottom w:val="nil"/>
            </w:tcBorders>
            <w:shd w:val="clear" w:color="auto" w:fill="D9D9D9" w:themeFill="background1" w:themeFillShade="D9"/>
          </w:tcPr>
          <w:p w14:paraId="272250E8" w14:textId="77777777" w:rsidR="00747497" w:rsidRDefault="00747497" w:rsidP="002918A6">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6A86A38E" w14:textId="77777777" w:rsidR="00747497" w:rsidRDefault="00747497" w:rsidP="002918A6">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4A3D5F2B" w14:textId="77777777" w:rsidR="00747497" w:rsidRDefault="00747497" w:rsidP="002918A6">
            <w:pPr>
              <w:pStyle w:val="TableText"/>
              <w:spacing w:before="0"/>
              <w:jc w:val="right"/>
              <w:rPr>
                <w:rFonts w:ascii="Times New Roman"/>
              </w:rPr>
            </w:pPr>
            <w:r w:rsidRPr="00950725">
              <w:rPr>
                <w:b/>
                <w:bCs/>
                <w:w w:val="105"/>
              </w:rPr>
              <w:t>2021/22</w:t>
            </w:r>
          </w:p>
        </w:tc>
        <w:tc>
          <w:tcPr>
            <w:tcW w:w="1028" w:type="dxa"/>
            <w:tcBorders>
              <w:top w:val="nil"/>
              <w:bottom w:val="nil"/>
            </w:tcBorders>
            <w:shd w:val="clear" w:color="auto" w:fill="D9D9D9" w:themeFill="background1" w:themeFillShade="D9"/>
          </w:tcPr>
          <w:p w14:paraId="2F78D3A2" w14:textId="77777777" w:rsidR="00747497" w:rsidRDefault="00747497" w:rsidP="002918A6">
            <w:pPr>
              <w:pStyle w:val="TableText"/>
              <w:jc w:val="right"/>
              <w:rPr>
                <w:rFonts w:ascii="Times New Roman"/>
              </w:rPr>
            </w:pPr>
          </w:p>
        </w:tc>
      </w:tr>
      <w:tr w:rsidR="00747497" w:rsidRPr="00950725" w14:paraId="62C922C7" w14:textId="77777777" w:rsidTr="002918A6">
        <w:trPr>
          <w:trHeight w:val="344"/>
        </w:trPr>
        <w:tc>
          <w:tcPr>
            <w:tcW w:w="3686" w:type="dxa"/>
            <w:tcBorders>
              <w:top w:val="nil"/>
              <w:bottom w:val="nil"/>
            </w:tcBorders>
          </w:tcPr>
          <w:p w14:paraId="5D204FFA" w14:textId="77777777" w:rsidR="00747497" w:rsidRPr="00950725" w:rsidRDefault="00747497" w:rsidP="002918A6">
            <w:pPr>
              <w:pStyle w:val="TableText"/>
              <w:rPr>
                <w:b/>
                <w:bCs/>
              </w:rPr>
            </w:pPr>
            <w:r w:rsidRPr="006A19AA">
              <w:rPr>
                <w:b/>
                <w:bCs/>
              </w:rPr>
              <w:t>Performance for the MCA as a whole</w:t>
            </w:r>
          </w:p>
        </w:tc>
        <w:tc>
          <w:tcPr>
            <w:tcW w:w="1169" w:type="dxa"/>
            <w:tcBorders>
              <w:top w:val="nil"/>
              <w:bottom w:val="nil"/>
            </w:tcBorders>
          </w:tcPr>
          <w:p w14:paraId="3BA911E5" w14:textId="77777777" w:rsidR="00747497" w:rsidRPr="00950725" w:rsidRDefault="00747497" w:rsidP="002918A6">
            <w:pPr>
              <w:pStyle w:val="TableText"/>
              <w:jc w:val="right"/>
              <w:rPr>
                <w:rFonts w:ascii="Times New Roman"/>
                <w:b/>
                <w:bCs/>
              </w:rPr>
            </w:pPr>
          </w:p>
        </w:tc>
        <w:tc>
          <w:tcPr>
            <w:tcW w:w="1170" w:type="dxa"/>
            <w:tcBorders>
              <w:top w:val="nil"/>
              <w:bottom w:val="nil"/>
            </w:tcBorders>
          </w:tcPr>
          <w:p w14:paraId="6020637E" w14:textId="77777777" w:rsidR="00747497" w:rsidRPr="00950725" w:rsidRDefault="00747497" w:rsidP="002918A6">
            <w:pPr>
              <w:pStyle w:val="TableText"/>
              <w:jc w:val="right"/>
              <w:rPr>
                <w:rFonts w:ascii="Times New Roman"/>
                <w:b/>
                <w:bCs/>
              </w:rPr>
            </w:pPr>
          </w:p>
        </w:tc>
        <w:tc>
          <w:tcPr>
            <w:tcW w:w="1169" w:type="dxa"/>
            <w:tcBorders>
              <w:top w:val="nil"/>
              <w:bottom w:val="nil"/>
            </w:tcBorders>
          </w:tcPr>
          <w:p w14:paraId="5595C8CA" w14:textId="77777777" w:rsidR="00747497" w:rsidRPr="00950725" w:rsidRDefault="00747497" w:rsidP="002918A6">
            <w:pPr>
              <w:pStyle w:val="TableText"/>
              <w:jc w:val="right"/>
              <w:rPr>
                <w:rFonts w:ascii="Times New Roman"/>
                <w:b/>
                <w:bCs/>
              </w:rPr>
            </w:pPr>
          </w:p>
        </w:tc>
        <w:tc>
          <w:tcPr>
            <w:tcW w:w="1028" w:type="dxa"/>
            <w:tcBorders>
              <w:top w:val="nil"/>
              <w:bottom w:val="nil"/>
            </w:tcBorders>
          </w:tcPr>
          <w:p w14:paraId="6E44DC6D" w14:textId="77777777" w:rsidR="00747497" w:rsidRPr="00BD4046" w:rsidRDefault="00747497" w:rsidP="002918A6">
            <w:pPr>
              <w:pStyle w:val="TableText"/>
              <w:jc w:val="right"/>
              <w:rPr>
                <w:rFonts w:ascii="Times New Roman"/>
                <w:b/>
                <w:bCs/>
              </w:rPr>
            </w:pPr>
          </w:p>
        </w:tc>
      </w:tr>
      <w:tr w:rsidR="00747497" w14:paraId="1F4F47F8" w14:textId="77777777" w:rsidTr="002918A6">
        <w:trPr>
          <w:trHeight w:val="77"/>
        </w:trPr>
        <w:tc>
          <w:tcPr>
            <w:tcW w:w="3686" w:type="dxa"/>
            <w:tcBorders>
              <w:top w:val="nil"/>
            </w:tcBorders>
          </w:tcPr>
          <w:p w14:paraId="59481CC2" w14:textId="4C682D6E" w:rsidR="00747497" w:rsidRDefault="00747497" w:rsidP="002918A6">
            <w:pPr>
              <w:pStyle w:val="TableText"/>
            </w:pPr>
            <w:r w:rsidRPr="00747497">
              <w:t>Ministerial satisfaction with the national response to COVID-19 across the health sector (Note 1)</w:t>
            </w:r>
          </w:p>
        </w:tc>
        <w:tc>
          <w:tcPr>
            <w:tcW w:w="1169" w:type="dxa"/>
            <w:tcBorders>
              <w:top w:val="nil"/>
            </w:tcBorders>
          </w:tcPr>
          <w:p w14:paraId="3E8430F8" w14:textId="49CBFC44" w:rsidR="00747497" w:rsidRDefault="00747497" w:rsidP="002918A6">
            <w:pPr>
              <w:pStyle w:val="TableText"/>
              <w:jc w:val="right"/>
            </w:pPr>
            <w:r>
              <w:t>4</w:t>
            </w:r>
          </w:p>
        </w:tc>
        <w:tc>
          <w:tcPr>
            <w:tcW w:w="1170" w:type="dxa"/>
            <w:tcBorders>
              <w:top w:val="nil"/>
            </w:tcBorders>
          </w:tcPr>
          <w:p w14:paraId="7057628C" w14:textId="77777777" w:rsidR="00747497" w:rsidRDefault="00747497" w:rsidP="002918A6">
            <w:pPr>
              <w:pStyle w:val="TableText"/>
              <w:jc w:val="right"/>
            </w:pPr>
            <w:r w:rsidRPr="006A19AA">
              <w:t>Equal to or greater than 4 out</w:t>
            </w:r>
            <w:r>
              <w:t xml:space="preserve"> of 5</w:t>
            </w:r>
          </w:p>
        </w:tc>
        <w:tc>
          <w:tcPr>
            <w:tcW w:w="1169" w:type="dxa"/>
            <w:tcBorders>
              <w:top w:val="nil"/>
            </w:tcBorders>
          </w:tcPr>
          <w:p w14:paraId="636C877F" w14:textId="77777777" w:rsidR="00747497" w:rsidRDefault="00747497" w:rsidP="002918A6">
            <w:pPr>
              <w:pStyle w:val="TableText"/>
              <w:jc w:val="right"/>
            </w:pPr>
            <w:r>
              <w:t>4</w:t>
            </w:r>
          </w:p>
        </w:tc>
        <w:tc>
          <w:tcPr>
            <w:tcW w:w="1028" w:type="dxa"/>
            <w:tcBorders>
              <w:top w:val="nil"/>
            </w:tcBorders>
          </w:tcPr>
          <w:p w14:paraId="5597100B" w14:textId="546BECC9" w:rsidR="00747497" w:rsidRPr="00BD4046" w:rsidRDefault="00953192" w:rsidP="002918A6">
            <w:pPr>
              <w:pStyle w:val="TableText"/>
              <w:jc w:val="right"/>
              <w:rPr>
                <w:rFonts w:cs="Segoe UI"/>
                <w:sz w:val="28"/>
              </w:rPr>
            </w:pPr>
            <w:r w:rsidRPr="00E1157F">
              <w:rPr>
                <w:b/>
                <w:bCs/>
              </w:rPr>
              <w:sym w:font="Wingdings" w:char="F0FC"/>
            </w:r>
          </w:p>
        </w:tc>
      </w:tr>
    </w:tbl>
    <w:p w14:paraId="29D03300" w14:textId="5164EA43" w:rsidR="00747497" w:rsidRDefault="00747497" w:rsidP="00747497">
      <w:pPr>
        <w:pStyle w:val="Note"/>
        <w:rPr>
          <w:rFonts w:eastAsia="Arial Unicode MS"/>
        </w:rPr>
      </w:pPr>
      <w:r w:rsidRPr="00747497">
        <w:rPr>
          <w:rFonts w:eastAsia="Arial Unicode MS"/>
        </w:rPr>
        <w:t>Note 1 Hon Dr Verrall, the Minister for COVID-19 Response was the Minister surveyed for the satisfaction with the national response to COVID-19 across the health sector.</w:t>
      </w:r>
    </w:p>
    <w:p w14:paraId="1E3D97C2" w14:textId="77777777" w:rsidR="00747497" w:rsidRDefault="00747497" w:rsidP="00747497">
      <w:pPr>
        <w:pStyle w:val="Heading4"/>
        <w:sectPr w:rsidR="00747497" w:rsidSect="00C26282">
          <w:pgSz w:w="11907" w:h="16840" w:code="9"/>
          <w:pgMar w:top="1418" w:right="1701" w:bottom="1134" w:left="1843" w:header="284" w:footer="425" w:gutter="284"/>
          <w:cols w:space="720"/>
        </w:sectPr>
      </w:pPr>
    </w:p>
    <w:p w14:paraId="71B1B564" w14:textId="4988C014" w:rsidR="00747497" w:rsidRDefault="00747497" w:rsidP="002918A6">
      <w:pPr>
        <w:pStyle w:val="Heading5"/>
      </w:pPr>
      <w:r w:rsidRPr="00747497">
        <w:lastRenderedPageBreak/>
        <w:t xml:space="preserve">Departmental output expenses – National health response to COVID-19 </w:t>
      </w:r>
    </w:p>
    <w:p w14:paraId="43ADEDD0" w14:textId="3BF3B4CF" w:rsidR="00747497" w:rsidRDefault="00747497" w:rsidP="00747497">
      <w:pPr>
        <w:rPr>
          <w:rFonts w:eastAsia="Arial Unicode MS"/>
        </w:rPr>
      </w:pPr>
      <w:r w:rsidRPr="00747497">
        <w:rPr>
          <w:rFonts w:eastAsia="Arial Unicode MS"/>
        </w:rPr>
        <w:t>This category is intended to achieve the following: To enable the Ministry of Health to maintain the capacity and capability to respond to the COVID-19 pandemic.</w:t>
      </w:r>
    </w:p>
    <w:p w14:paraId="0F6C400B" w14:textId="3385538F" w:rsidR="00747497" w:rsidRDefault="00747497" w:rsidP="00747497">
      <w:pPr>
        <w:rPr>
          <w:rFonts w:eastAsia="Arial Unicode MS"/>
        </w:rPr>
      </w:pP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028"/>
      </w:tblGrid>
      <w:tr w:rsidR="00747497" w:rsidRPr="00950725" w14:paraId="5A7F7FD1" w14:textId="77777777" w:rsidTr="00747497">
        <w:trPr>
          <w:trHeight w:val="496"/>
          <w:tblHeader/>
        </w:trPr>
        <w:tc>
          <w:tcPr>
            <w:tcW w:w="3686" w:type="dxa"/>
            <w:tcBorders>
              <w:top w:val="nil"/>
              <w:bottom w:val="nil"/>
            </w:tcBorders>
            <w:shd w:val="clear" w:color="auto" w:fill="D9D9D9" w:themeFill="background1" w:themeFillShade="D9"/>
          </w:tcPr>
          <w:p w14:paraId="61ED2EFB" w14:textId="77777777" w:rsidR="00747497" w:rsidRPr="006A19AA" w:rsidRDefault="00747497" w:rsidP="00747497">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689D0298" w14:textId="77777777" w:rsidR="00747497" w:rsidRPr="00950725" w:rsidRDefault="00747497" w:rsidP="00747497">
            <w:pPr>
              <w:pStyle w:val="TableText"/>
              <w:jc w:val="right"/>
              <w:rPr>
                <w:b/>
                <w:bCs/>
              </w:rPr>
            </w:pPr>
            <w:r w:rsidRPr="00950725">
              <w:rPr>
                <w:b/>
                <w:bCs/>
                <w:w w:val="110"/>
              </w:rPr>
              <w:t>Actual</w:t>
            </w:r>
          </w:p>
          <w:p w14:paraId="63304333" w14:textId="6A7964CC" w:rsidR="00747497" w:rsidRPr="00950725" w:rsidRDefault="00747497" w:rsidP="00747497">
            <w:pPr>
              <w:pStyle w:val="TableText"/>
              <w:spacing w:before="0"/>
              <w:jc w:val="right"/>
              <w:rPr>
                <w:b/>
                <w:bCs/>
              </w:rPr>
            </w:pPr>
            <w:r w:rsidRPr="00950725">
              <w:rPr>
                <w:b/>
                <w:bCs/>
                <w:w w:val="105"/>
              </w:rPr>
              <w:t>2021/22</w:t>
            </w:r>
          </w:p>
        </w:tc>
        <w:tc>
          <w:tcPr>
            <w:tcW w:w="1170" w:type="dxa"/>
            <w:tcBorders>
              <w:top w:val="nil"/>
              <w:bottom w:val="nil"/>
            </w:tcBorders>
            <w:shd w:val="clear" w:color="auto" w:fill="D9D9D9" w:themeFill="background1" w:themeFillShade="D9"/>
          </w:tcPr>
          <w:p w14:paraId="448E9BDA" w14:textId="77777777" w:rsidR="00747497" w:rsidRPr="00950725" w:rsidRDefault="00747497" w:rsidP="00747497">
            <w:pPr>
              <w:pStyle w:val="TableText"/>
              <w:jc w:val="right"/>
              <w:rPr>
                <w:b/>
                <w:bCs/>
                <w:w w:val="110"/>
              </w:rPr>
            </w:pPr>
            <w:r>
              <w:rPr>
                <w:b/>
                <w:bCs/>
                <w:w w:val="105"/>
              </w:rPr>
              <w:t>Target</w:t>
            </w:r>
          </w:p>
          <w:p w14:paraId="4D8EEA92" w14:textId="2DFDC619" w:rsidR="00747497" w:rsidRPr="00950725" w:rsidRDefault="00747497" w:rsidP="00747497">
            <w:pPr>
              <w:pStyle w:val="TableText"/>
              <w:spacing w:before="0"/>
              <w:jc w:val="right"/>
              <w:rPr>
                <w:b/>
                <w:bCs/>
                <w:w w:val="110"/>
              </w:rPr>
            </w:pPr>
            <w:r w:rsidRPr="00950725">
              <w:rPr>
                <w:b/>
                <w:bCs/>
                <w:w w:val="105"/>
              </w:rPr>
              <w:t>2021/22</w:t>
            </w:r>
          </w:p>
        </w:tc>
        <w:tc>
          <w:tcPr>
            <w:tcW w:w="1169" w:type="dxa"/>
            <w:tcBorders>
              <w:top w:val="nil"/>
              <w:bottom w:val="nil"/>
            </w:tcBorders>
            <w:shd w:val="clear" w:color="auto" w:fill="D9D9D9" w:themeFill="background1" w:themeFillShade="D9"/>
          </w:tcPr>
          <w:p w14:paraId="02FC7099" w14:textId="77777777" w:rsidR="00747497" w:rsidRPr="00950725" w:rsidRDefault="00747497" w:rsidP="00747497">
            <w:pPr>
              <w:pStyle w:val="TableText"/>
              <w:jc w:val="right"/>
              <w:rPr>
                <w:b/>
                <w:bCs/>
              </w:rPr>
            </w:pPr>
            <w:r w:rsidRPr="00950725">
              <w:rPr>
                <w:b/>
                <w:bCs/>
                <w:w w:val="110"/>
              </w:rPr>
              <w:t>Actual</w:t>
            </w:r>
          </w:p>
          <w:p w14:paraId="7EC9C438" w14:textId="297851F5" w:rsidR="00747497" w:rsidRPr="00950725" w:rsidRDefault="00747497" w:rsidP="00747497">
            <w:pPr>
              <w:pStyle w:val="TableText"/>
              <w:spacing w:before="0"/>
              <w:jc w:val="right"/>
              <w:rPr>
                <w:b/>
                <w:bCs/>
              </w:rPr>
            </w:pPr>
            <w:r w:rsidRPr="00950725">
              <w:rPr>
                <w:b/>
                <w:bCs/>
                <w:w w:val="105"/>
              </w:rPr>
              <w:t>2021/22</w:t>
            </w:r>
          </w:p>
        </w:tc>
        <w:tc>
          <w:tcPr>
            <w:tcW w:w="1028" w:type="dxa"/>
            <w:tcBorders>
              <w:top w:val="nil"/>
              <w:bottom w:val="nil"/>
            </w:tcBorders>
            <w:shd w:val="clear" w:color="auto" w:fill="D9D9D9" w:themeFill="background1" w:themeFillShade="D9"/>
          </w:tcPr>
          <w:p w14:paraId="1D7988BD" w14:textId="77777777" w:rsidR="00747497" w:rsidRPr="00950725" w:rsidRDefault="00747497" w:rsidP="00747497">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747497" w14:paraId="45D3ED9D" w14:textId="77777777" w:rsidTr="002918A6">
        <w:trPr>
          <w:trHeight w:val="77"/>
        </w:trPr>
        <w:tc>
          <w:tcPr>
            <w:tcW w:w="3686" w:type="dxa"/>
            <w:tcBorders>
              <w:top w:val="nil"/>
              <w:bottom w:val="single" w:sz="4" w:space="0" w:color="A6A6A6" w:themeColor="background1" w:themeShade="A6"/>
            </w:tcBorders>
          </w:tcPr>
          <w:p w14:paraId="0EE56638" w14:textId="3A3B1BDF" w:rsidR="00747497" w:rsidRDefault="00747497" w:rsidP="00747497">
            <w:pPr>
              <w:pStyle w:val="TableText"/>
            </w:pPr>
            <w:r w:rsidRPr="000306FC">
              <w:t>Ministerial satisfaction with the Ministry of Health’s management and coordination of the national response to the COVID-19 across the health sector (Note 1) (Note 2)</w:t>
            </w:r>
          </w:p>
        </w:tc>
        <w:tc>
          <w:tcPr>
            <w:tcW w:w="1169" w:type="dxa"/>
            <w:tcBorders>
              <w:top w:val="nil"/>
              <w:bottom w:val="single" w:sz="4" w:space="0" w:color="A6A6A6" w:themeColor="background1" w:themeShade="A6"/>
            </w:tcBorders>
          </w:tcPr>
          <w:p w14:paraId="118F187C" w14:textId="77777777" w:rsidR="00747497" w:rsidRDefault="00747497" w:rsidP="00747497">
            <w:pPr>
              <w:pStyle w:val="TableText"/>
              <w:jc w:val="right"/>
            </w:pPr>
            <w:r>
              <w:t>4</w:t>
            </w:r>
          </w:p>
        </w:tc>
        <w:tc>
          <w:tcPr>
            <w:tcW w:w="1170" w:type="dxa"/>
            <w:tcBorders>
              <w:top w:val="nil"/>
              <w:bottom w:val="single" w:sz="4" w:space="0" w:color="A6A6A6" w:themeColor="background1" w:themeShade="A6"/>
            </w:tcBorders>
          </w:tcPr>
          <w:p w14:paraId="39AB11FB" w14:textId="77777777" w:rsidR="00747497" w:rsidRDefault="00747497" w:rsidP="00747497">
            <w:pPr>
              <w:pStyle w:val="TableText"/>
              <w:jc w:val="right"/>
            </w:pPr>
            <w:r w:rsidRPr="006A19AA">
              <w:t>Equal to or greater than 4 out</w:t>
            </w:r>
            <w:r>
              <w:t xml:space="preserve"> of 5</w:t>
            </w:r>
          </w:p>
        </w:tc>
        <w:tc>
          <w:tcPr>
            <w:tcW w:w="1169" w:type="dxa"/>
            <w:tcBorders>
              <w:top w:val="nil"/>
              <w:bottom w:val="single" w:sz="4" w:space="0" w:color="A6A6A6" w:themeColor="background1" w:themeShade="A6"/>
            </w:tcBorders>
          </w:tcPr>
          <w:p w14:paraId="72DDA837" w14:textId="77777777" w:rsidR="00747497" w:rsidRDefault="00747497" w:rsidP="00747497">
            <w:pPr>
              <w:pStyle w:val="TableText"/>
              <w:jc w:val="right"/>
            </w:pPr>
            <w:r>
              <w:t>4</w:t>
            </w:r>
          </w:p>
        </w:tc>
        <w:tc>
          <w:tcPr>
            <w:tcW w:w="1028" w:type="dxa"/>
            <w:tcBorders>
              <w:top w:val="nil"/>
              <w:bottom w:val="single" w:sz="4" w:space="0" w:color="A6A6A6" w:themeColor="background1" w:themeShade="A6"/>
            </w:tcBorders>
          </w:tcPr>
          <w:p w14:paraId="3C8B449C" w14:textId="4B67C844" w:rsidR="00747497" w:rsidRPr="00BD4046" w:rsidRDefault="00953192" w:rsidP="00747497">
            <w:pPr>
              <w:pStyle w:val="TableText"/>
              <w:jc w:val="right"/>
              <w:rPr>
                <w:rFonts w:cs="Segoe UI"/>
                <w:sz w:val="28"/>
              </w:rPr>
            </w:pPr>
            <w:r w:rsidRPr="00E1157F">
              <w:rPr>
                <w:b/>
                <w:bCs/>
              </w:rPr>
              <w:sym w:font="Wingdings" w:char="F0FC"/>
            </w:r>
          </w:p>
        </w:tc>
      </w:tr>
      <w:tr w:rsidR="00747497" w14:paraId="21A91FD0" w14:textId="77777777" w:rsidTr="002918A6">
        <w:trPr>
          <w:trHeight w:val="77"/>
        </w:trPr>
        <w:tc>
          <w:tcPr>
            <w:tcW w:w="3686" w:type="dxa"/>
            <w:tcBorders>
              <w:top w:val="single" w:sz="4" w:space="0" w:color="A6A6A6" w:themeColor="background1" w:themeShade="A6"/>
            </w:tcBorders>
          </w:tcPr>
          <w:p w14:paraId="135E7EA0" w14:textId="766772C3" w:rsidR="00747497" w:rsidRPr="00747497" w:rsidRDefault="00747497" w:rsidP="00747497">
            <w:pPr>
              <w:pStyle w:val="TableText"/>
            </w:pPr>
            <w:r>
              <w:t>Mechanisms in place to routinely capture and inform public health science, response operations, intelligence, operational feedback, and public perceptions, concerns and trust (Note 3)</w:t>
            </w:r>
          </w:p>
        </w:tc>
        <w:tc>
          <w:tcPr>
            <w:tcW w:w="1169" w:type="dxa"/>
            <w:tcBorders>
              <w:top w:val="single" w:sz="4" w:space="0" w:color="A6A6A6" w:themeColor="background1" w:themeShade="A6"/>
            </w:tcBorders>
          </w:tcPr>
          <w:p w14:paraId="2B2C7CD2" w14:textId="42764573" w:rsidR="00747497" w:rsidRDefault="00747497" w:rsidP="00747497">
            <w:pPr>
              <w:pStyle w:val="TableText"/>
              <w:jc w:val="right"/>
            </w:pPr>
            <w:r w:rsidRPr="00183EB4">
              <w:t>New measure</w:t>
            </w:r>
          </w:p>
        </w:tc>
        <w:tc>
          <w:tcPr>
            <w:tcW w:w="1170" w:type="dxa"/>
            <w:tcBorders>
              <w:top w:val="single" w:sz="4" w:space="0" w:color="A6A6A6" w:themeColor="background1" w:themeShade="A6"/>
            </w:tcBorders>
          </w:tcPr>
          <w:p w14:paraId="64BD3CB5" w14:textId="4E533334" w:rsidR="00747497" w:rsidRPr="006A19AA" w:rsidRDefault="00747497" w:rsidP="00747497">
            <w:pPr>
              <w:pStyle w:val="TableText"/>
              <w:jc w:val="right"/>
            </w:pPr>
            <w:r w:rsidRPr="00183EB4">
              <w:t>Achieved</w:t>
            </w:r>
          </w:p>
        </w:tc>
        <w:tc>
          <w:tcPr>
            <w:tcW w:w="1169" w:type="dxa"/>
            <w:tcBorders>
              <w:top w:val="single" w:sz="4" w:space="0" w:color="A6A6A6" w:themeColor="background1" w:themeShade="A6"/>
            </w:tcBorders>
          </w:tcPr>
          <w:p w14:paraId="4ACEE357" w14:textId="68E03757" w:rsidR="00747497" w:rsidRDefault="00747497" w:rsidP="00747497">
            <w:pPr>
              <w:pStyle w:val="TableText"/>
              <w:jc w:val="right"/>
            </w:pPr>
            <w:r w:rsidRPr="00183EB4">
              <w:t>Achieved</w:t>
            </w:r>
          </w:p>
        </w:tc>
        <w:tc>
          <w:tcPr>
            <w:tcW w:w="1028" w:type="dxa"/>
            <w:tcBorders>
              <w:top w:val="single" w:sz="4" w:space="0" w:color="A6A6A6" w:themeColor="background1" w:themeShade="A6"/>
            </w:tcBorders>
          </w:tcPr>
          <w:p w14:paraId="7DF4568B" w14:textId="677AAC19" w:rsidR="00747497" w:rsidRPr="00BD4046" w:rsidRDefault="00953192" w:rsidP="00747497">
            <w:pPr>
              <w:pStyle w:val="TableText"/>
              <w:jc w:val="right"/>
              <w:rPr>
                <w:rFonts w:cs="Segoe UI"/>
                <w:sz w:val="28"/>
              </w:rPr>
            </w:pPr>
            <w:r w:rsidRPr="00E1157F">
              <w:rPr>
                <w:b/>
                <w:bCs/>
              </w:rPr>
              <w:sym w:font="Wingdings" w:char="F0FC"/>
            </w:r>
          </w:p>
        </w:tc>
      </w:tr>
    </w:tbl>
    <w:p w14:paraId="4413E52E" w14:textId="77777777" w:rsidR="00747497" w:rsidRPr="00747497" w:rsidRDefault="00747497" w:rsidP="00747497">
      <w:pPr>
        <w:pStyle w:val="Note"/>
        <w:rPr>
          <w:rFonts w:eastAsia="Arial Unicode MS"/>
        </w:rPr>
      </w:pPr>
      <w:r w:rsidRPr="00747497">
        <w:rPr>
          <w:rFonts w:eastAsia="Arial Unicode MS"/>
        </w:rPr>
        <w:t>Note 1: Hon Dr Verrall, the Minister for COVID-19 Response, was the Minister surveyed for the satisfaction with the national response to COVID-19 across the health sector.</w:t>
      </w:r>
    </w:p>
    <w:p w14:paraId="4A4BFEAF" w14:textId="77777777" w:rsidR="00747497" w:rsidRPr="00747497" w:rsidRDefault="00747497" w:rsidP="00747497">
      <w:pPr>
        <w:pStyle w:val="Note"/>
        <w:rPr>
          <w:rFonts w:eastAsia="Arial Unicode MS"/>
        </w:rPr>
      </w:pPr>
      <w:r w:rsidRPr="00747497">
        <w:rPr>
          <w:rFonts w:eastAsia="Arial Unicode MS"/>
        </w:rPr>
        <w:t>Note 2: This performance measure was not included in the Vote Health estimates. We have included it as additional information.</w:t>
      </w:r>
    </w:p>
    <w:p w14:paraId="1CE354B7" w14:textId="0EB98FB9" w:rsidR="00747497" w:rsidRDefault="00747497" w:rsidP="00747497">
      <w:pPr>
        <w:pStyle w:val="Note"/>
        <w:rPr>
          <w:rFonts w:eastAsia="Arial Unicode MS"/>
        </w:rPr>
      </w:pPr>
      <w:r w:rsidRPr="00747497">
        <w:rPr>
          <w:rFonts w:eastAsia="Arial Unicode MS"/>
        </w:rPr>
        <w:t>Note 3: Monitoring any Variants of Concern using Whole Genome Sequencing on shore, scanning of international databases and literature to provide insights into New Zealand’s behaviours, attitudes and practices to COVID-19 response measures and decisions.</w:t>
      </w:r>
    </w:p>
    <w:p w14:paraId="3A57E8FA" w14:textId="77777777" w:rsidR="002918A6" w:rsidRDefault="002918A6" w:rsidP="002918A6">
      <w:pPr>
        <w:pStyle w:val="Heading5"/>
      </w:pPr>
      <w:r w:rsidRPr="002918A6">
        <w:t xml:space="preserve">Non-departmental output expenses – COVID-19 public health response </w:t>
      </w:r>
    </w:p>
    <w:p w14:paraId="7751CDCD" w14:textId="3CE35F56" w:rsidR="002918A6" w:rsidRDefault="002918A6" w:rsidP="002918A6">
      <w:pPr>
        <w:rPr>
          <w:rFonts w:eastAsia="Arial Unicode MS"/>
        </w:rPr>
      </w:pPr>
      <w:r w:rsidRPr="002918A6">
        <w:rPr>
          <w:rFonts w:eastAsia="Arial Unicode MS"/>
        </w:rPr>
        <w:t>This category is intended to achieve the following: Provide for the ongoing public health response to the COVID-19 pandemic.</w:t>
      </w:r>
    </w:p>
    <w:p w14:paraId="79CD2E78" w14:textId="4F7CB5B1" w:rsidR="002918A6" w:rsidRDefault="002918A6" w:rsidP="002918A6">
      <w:pPr>
        <w:rPr>
          <w:rFonts w:eastAsia="Arial Unicode MS"/>
        </w:rPr>
      </w:pP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028"/>
      </w:tblGrid>
      <w:tr w:rsidR="002918A6" w:rsidRPr="00950725" w14:paraId="50AB6BBA" w14:textId="77777777" w:rsidTr="002918A6">
        <w:trPr>
          <w:trHeight w:val="496"/>
          <w:tblHeader/>
        </w:trPr>
        <w:tc>
          <w:tcPr>
            <w:tcW w:w="3686" w:type="dxa"/>
            <w:tcBorders>
              <w:top w:val="nil"/>
              <w:bottom w:val="nil"/>
            </w:tcBorders>
            <w:shd w:val="clear" w:color="auto" w:fill="D9D9D9" w:themeFill="background1" w:themeFillShade="D9"/>
          </w:tcPr>
          <w:p w14:paraId="4C285960" w14:textId="77777777" w:rsidR="002918A6" w:rsidRPr="006A19AA" w:rsidRDefault="002918A6" w:rsidP="002918A6">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42F9A126" w14:textId="77777777" w:rsidR="002918A6" w:rsidRPr="00950725" w:rsidRDefault="002918A6" w:rsidP="002918A6">
            <w:pPr>
              <w:pStyle w:val="TableText"/>
              <w:jc w:val="right"/>
              <w:rPr>
                <w:b/>
                <w:bCs/>
              </w:rPr>
            </w:pPr>
            <w:r w:rsidRPr="00950725">
              <w:rPr>
                <w:b/>
                <w:bCs/>
                <w:w w:val="110"/>
              </w:rPr>
              <w:t>Actual</w:t>
            </w:r>
          </w:p>
          <w:p w14:paraId="7DA81082" w14:textId="77777777" w:rsidR="002918A6" w:rsidRPr="00950725" w:rsidRDefault="002918A6" w:rsidP="002918A6">
            <w:pPr>
              <w:pStyle w:val="TableText"/>
              <w:spacing w:before="0"/>
              <w:jc w:val="right"/>
              <w:rPr>
                <w:b/>
                <w:bCs/>
              </w:rPr>
            </w:pPr>
            <w:r w:rsidRPr="00950725">
              <w:rPr>
                <w:b/>
                <w:bCs/>
                <w:w w:val="105"/>
              </w:rPr>
              <w:t>2021/22</w:t>
            </w:r>
          </w:p>
        </w:tc>
        <w:tc>
          <w:tcPr>
            <w:tcW w:w="1170" w:type="dxa"/>
            <w:tcBorders>
              <w:top w:val="nil"/>
              <w:bottom w:val="nil"/>
            </w:tcBorders>
            <w:shd w:val="clear" w:color="auto" w:fill="D9D9D9" w:themeFill="background1" w:themeFillShade="D9"/>
          </w:tcPr>
          <w:p w14:paraId="338E4609" w14:textId="77777777" w:rsidR="002918A6" w:rsidRPr="00950725" w:rsidRDefault="002918A6" w:rsidP="002918A6">
            <w:pPr>
              <w:pStyle w:val="TableText"/>
              <w:jc w:val="right"/>
              <w:rPr>
                <w:b/>
                <w:bCs/>
                <w:w w:val="110"/>
              </w:rPr>
            </w:pPr>
            <w:r>
              <w:rPr>
                <w:b/>
                <w:bCs/>
                <w:w w:val="105"/>
              </w:rPr>
              <w:t>Target</w:t>
            </w:r>
          </w:p>
          <w:p w14:paraId="74219604" w14:textId="77777777" w:rsidR="002918A6" w:rsidRPr="00950725" w:rsidRDefault="002918A6" w:rsidP="002918A6">
            <w:pPr>
              <w:pStyle w:val="TableText"/>
              <w:spacing w:before="0"/>
              <w:jc w:val="right"/>
              <w:rPr>
                <w:b/>
                <w:bCs/>
                <w:w w:val="110"/>
              </w:rPr>
            </w:pPr>
            <w:r w:rsidRPr="00950725">
              <w:rPr>
                <w:b/>
                <w:bCs/>
                <w:w w:val="105"/>
              </w:rPr>
              <w:t>2021/22</w:t>
            </w:r>
          </w:p>
        </w:tc>
        <w:tc>
          <w:tcPr>
            <w:tcW w:w="1169" w:type="dxa"/>
            <w:tcBorders>
              <w:top w:val="nil"/>
              <w:bottom w:val="nil"/>
            </w:tcBorders>
            <w:shd w:val="clear" w:color="auto" w:fill="D9D9D9" w:themeFill="background1" w:themeFillShade="D9"/>
          </w:tcPr>
          <w:p w14:paraId="478513FC" w14:textId="77777777" w:rsidR="002918A6" w:rsidRPr="00950725" w:rsidRDefault="002918A6" w:rsidP="002918A6">
            <w:pPr>
              <w:pStyle w:val="TableText"/>
              <w:jc w:val="right"/>
              <w:rPr>
                <w:b/>
                <w:bCs/>
              </w:rPr>
            </w:pPr>
            <w:r w:rsidRPr="00950725">
              <w:rPr>
                <w:b/>
                <w:bCs/>
                <w:w w:val="110"/>
              </w:rPr>
              <w:t>Actual</w:t>
            </w:r>
          </w:p>
          <w:p w14:paraId="575C8030" w14:textId="77777777" w:rsidR="002918A6" w:rsidRPr="00950725" w:rsidRDefault="002918A6" w:rsidP="002918A6">
            <w:pPr>
              <w:pStyle w:val="TableText"/>
              <w:spacing w:before="0"/>
              <w:jc w:val="right"/>
              <w:rPr>
                <w:b/>
                <w:bCs/>
              </w:rPr>
            </w:pPr>
            <w:r w:rsidRPr="00950725">
              <w:rPr>
                <w:b/>
                <w:bCs/>
                <w:w w:val="105"/>
              </w:rPr>
              <w:t>2021/22</w:t>
            </w:r>
          </w:p>
        </w:tc>
        <w:tc>
          <w:tcPr>
            <w:tcW w:w="1028" w:type="dxa"/>
            <w:tcBorders>
              <w:top w:val="nil"/>
              <w:bottom w:val="nil"/>
            </w:tcBorders>
            <w:shd w:val="clear" w:color="auto" w:fill="D9D9D9" w:themeFill="background1" w:themeFillShade="D9"/>
          </w:tcPr>
          <w:p w14:paraId="12AEA2E2" w14:textId="77777777" w:rsidR="002918A6" w:rsidRPr="00950725" w:rsidRDefault="002918A6" w:rsidP="002918A6">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2918A6" w14:paraId="1E0929E1" w14:textId="77777777" w:rsidTr="002918A6">
        <w:trPr>
          <w:trHeight w:val="77"/>
        </w:trPr>
        <w:tc>
          <w:tcPr>
            <w:tcW w:w="3686" w:type="dxa"/>
            <w:tcBorders>
              <w:top w:val="nil"/>
              <w:bottom w:val="single" w:sz="4" w:space="0" w:color="A6A6A6" w:themeColor="background1" w:themeShade="A6"/>
            </w:tcBorders>
          </w:tcPr>
          <w:p w14:paraId="5B509E2D" w14:textId="0FD42A4C" w:rsidR="002918A6" w:rsidRDefault="002918A6" w:rsidP="002918A6">
            <w:pPr>
              <w:pStyle w:val="TableText"/>
            </w:pPr>
            <w:r w:rsidRPr="00350A8A">
              <w:t>Monitoring Border worker testing compliance through the Border Worker testing Register (PCR testing) (Note 1)</w:t>
            </w:r>
          </w:p>
        </w:tc>
        <w:tc>
          <w:tcPr>
            <w:tcW w:w="1169" w:type="dxa"/>
            <w:tcBorders>
              <w:top w:val="nil"/>
              <w:bottom w:val="single" w:sz="4" w:space="0" w:color="A6A6A6" w:themeColor="background1" w:themeShade="A6"/>
            </w:tcBorders>
          </w:tcPr>
          <w:p w14:paraId="3ED11BDC" w14:textId="5B02994E" w:rsidR="002918A6" w:rsidRDefault="002918A6" w:rsidP="002918A6">
            <w:pPr>
              <w:pStyle w:val="TableText"/>
              <w:jc w:val="right"/>
            </w:pPr>
            <w:r w:rsidRPr="007641C3">
              <w:t>New measure</w:t>
            </w:r>
          </w:p>
        </w:tc>
        <w:tc>
          <w:tcPr>
            <w:tcW w:w="1170" w:type="dxa"/>
            <w:tcBorders>
              <w:top w:val="nil"/>
              <w:bottom w:val="single" w:sz="4" w:space="0" w:color="A6A6A6" w:themeColor="background1" w:themeShade="A6"/>
            </w:tcBorders>
          </w:tcPr>
          <w:p w14:paraId="772695E5" w14:textId="7F3417A7" w:rsidR="002918A6" w:rsidRDefault="002918A6" w:rsidP="002918A6">
            <w:pPr>
              <w:pStyle w:val="TableText"/>
              <w:jc w:val="right"/>
            </w:pPr>
            <w:r w:rsidRPr="007641C3">
              <w:t xml:space="preserve">Greater </w:t>
            </w:r>
            <w:r>
              <w:br/>
            </w:r>
            <w:r w:rsidRPr="007641C3">
              <w:t>than 90% compliance</w:t>
            </w:r>
          </w:p>
        </w:tc>
        <w:tc>
          <w:tcPr>
            <w:tcW w:w="1169" w:type="dxa"/>
            <w:tcBorders>
              <w:top w:val="nil"/>
              <w:bottom w:val="single" w:sz="4" w:space="0" w:color="A6A6A6" w:themeColor="background1" w:themeShade="A6"/>
            </w:tcBorders>
          </w:tcPr>
          <w:p w14:paraId="1E515D44" w14:textId="1DEED93B" w:rsidR="002918A6" w:rsidRDefault="002918A6" w:rsidP="002918A6">
            <w:pPr>
              <w:pStyle w:val="TableText"/>
              <w:jc w:val="right"/>
            </w:pPr>
            <w:r w:rsidRPr="007641C3">
              <w:t>89.93%</w:t>
            </w:r>
          </w:p>
        </w:tc>
        <w:tc>
          <w:tcPr>
            <w:tcW w:w="1028" w:type="dxa"/>
            <w:tcBorders>
              <w:top w:val="nil"/>
              <w:bottom w:val="single" w:sz="4" w:space="0" w:color="A6A6A6" w:themeColor="background1" w:themeShade="A6"/>
            </w:tcBorders>
          </w:tcPr>
          <w:p w14:paraId="3273C2E9" w14:textId="1AD2A817" w:rsidR="002918A6" w:rsidRPr="00BD4046" w:rsidRDefault="002918A6" w:rsidP="002918A6">
            <w:pPr>
              <w:pStyle w:val="TableText"/>
              <w:jc w:val="right"/>
              <w:rPr>
                <w:rFonts w:cs="Segoe UI"/>
                <w:sz w:val="28"/>
              </w:rPr>
            </w:pPr>
            <w:r w:rsidRPr="00B47F46">
              <w:rPr>
                <w:rFonts w:cs="Segoe UI"/>
                <w:sz w:val="24"/>
                <w:szCs w:val="18"/>
              </w:rPr>
              <w:sym w:font="Wingdings" w:char="F0FB"/>
            </w:r>
          </w:p>
        </w:tc>
      </w:tr>
      <w:tr w:rsidR="002918A6" w14:paraId="2CA077F5" w14:textId="77777777" w:rsidTr="002918A6">
        <w:trPr>
          <w:trHeight w:val="77"/>
        </w:trPr>
        <w:tc>
          <w:tcPr>
            <w:tcW w:w="3686" w:type="dxa"/>
            <w:tcBorders>
              <w:top w:val="single" w:sz="4" w:space="0" w:color="A6A6A6" w:themeColor="background1" w:themeShade="A6"/>
              <w:bottom w:val="single" w:sz="4" w:space="0" w:color="A6A6A6" w:themeColor="background1" w:themeShade="A6"/>
            </w:tcBorders>
          </w:tcPr>
          <w:p w14:paraId="60987048" w14:textId="5967594F" w:rsidR="002918A6" w:rsidRPr="00747497" w:rsidRDefault="002918A6" w:rsidP="002918A6">
            <w:pPr>
              <w:pStyle w:val="TableText"/>
            </w:pPr>
            <w:r w:rsidRPr="00350A8A">
              <w:t>Minimum of 90% of New Zealanders can access COVID-19 testing within a 20 minute drive to a testing point. This includes priority population groups and people at higher risk of serious illness from COVID-19 (Note 2)</w:t>
            </w:r>
          </w:p>
        </w:tc>
        <w:tc>
          <w:tcPr>
            <w:tcW w:w="1169" w:type="dxa"/>
            <w:tcBorders>
              <w:top w:val="single" w:sz="4" w:space="0" w:color="A6A6A6" w:themeColor="background1" w:themeShade="A6"/>
              <w:bottom w:val="single" w:sz="4" w:space="0" w:color="A6A6A6" w:themeColor="background1" w:themeShade="A6"/>
            </w:tcBorders>
          </w:tcPr>
          <w:p w14:paraId="5318684D" w14:textId="6F106574" w:rsidR="002918A6" w:rsidRDefault="002918A6" w:rsidP="002918A6">
            <w:pPr>
              <w:pStyle w:val="TableText"/>
              <w:jc w:val="right"/>
            </w:pPr>
            <w:r w:rsidRPr="007641C3">
              <w:t>New measure</w:t>
            </w:r>
          </w:p>
        </w:tc>
        <w:tc>
          <w:tcPr>
            <w:tcW w:w="1170" w:type="dxa"/>
            <w:tcBorders>
              <w:top w:val="single" w:sz="4" w:space="0" w:color="A6A6A6" w:themeColor="background1" w:themeShade="A6"/>
              <w:bottom w:val="single" w:sz="4" w:space="0" w:color="A6A6A6" w:themeColor="background1" w:themeShade="A6"/>
            </w:tcBorders>
          </w:tcPr>
          <w:p w14:paraId="6A662C42" w14:textId="6310F5BF" w:rsidR="002918A6" w:rsidRPr="006A19AA" w:rsidRDefault="002918A6" w:rsidP="002918A6">
            <w:pPr>
              <w:pStyle w:val="TableText"/>
              <w:jc w:val="right"/>
            </w:pPr>
            <w:r w:rsidRPr="007641C3">
              <w:t>Achieved</w:t>
            </w:r>
          </w:p>
        </w:tc>
        <w:tc>
          <w:tcPr>
            <w:tcW w:w="1169" w:type="dxa"/>
            <w:tcBorders>
              <w:top w:val="single" w:sz="4" w:space="0" w:color="A6A6A6" w:themeColor="background1" w:themeShade="A6"/>
              <w:bottom w:val="single" w:sz="4" w:space="0" w:color="A6A6A6" w:themeColor="background1" w:themeShade="A6"/>
            </w:tcBorders>
          </w:tcPr>
          <w:p w14:paraId="6CBCDB75" w14:textId="1CB07BBA" w:rsidR="002918A6" w:rsidRDefault="002918A6" w:rsidP="002918A6">
            <w:pPr>
              <w:pStyle w:val="TableText"/>
              <w:jc w:val="right"/>
            </w:pPr>
            <w:r w:rsidRPr="007641C3">
              <w:t>Achieved</w:t>
            </w:r>
          </w:p>
        </w:tc>
        <w:tc>
          <w:tcPr>
            <w:tcW w:w="1028" w:type="dxa"/>
            <w:tcBorders>
              <w:top w:val="single" w:sz="4" w:space="0" w:color="A6A6A6" w:themeColor="background1" w:themeShade="A6"/>
              <w:bottom w:val="single" w:sz="4" w:space="0" w:color="A6A6A6" w:themeColor="background1" w:themeShade="A6"/>
            </w:tcBorders>
          </w:tcPr>
          <w:p w14:paraId="243BFE88" w14:textId="346EE9D9" w:rsidR="002918A6" w:rsidRPr="00BD4046" w:rsidRDefault="002918A6" w:rsidP="002918A6">
            <w:pPr>
              <w:pStyle w:val="TableText"/>
              <w:jc w:val="right"/>
              <w:rPr>
                <w:rFonts w:cs="Segoe UI"/>
                <w:sz w:val="28"/>
              </w:rPr>
            </w:pPr>
            <w:r w:rsidRPr="00E1157F">
              <w:rPr>
                <w:b/>
                <w:bCs/>
              </w:rPr>
              <w:sym w:font="Wingdings" w:char="F0FC"/>
            </w:r>
          </w:p>
        </w:tc>
      </w:tr>
      <w:tr w:rsidR="002918A6" w14:paraId="2F9F77E4" w14:textId="77777777" w:rsidTr="002918A6">
        <w:trPr>
          <w:trHeight w:val="77"/>
        </w:trPr>
        <w:tc>
          <w:tcPr>
            <w:tcW w:w="3686" w:type="dxa"/>
            <w:tcBorders>
              <w:top w:val="single" w:sz="4" w:space="0" w:color="A6A6A6" w:themeColor="background1" w:themeShade="A6"/>
            </w:tcBorders>
          </w:tcPr>
          <w:p w14:paraId="758BA2C0" w14:textId="77777777" w:rsidR="002918A6" w:rsidRDefault="002918A6" w:rsidP="002918A6">
            <w:pPr>
              <w:pStyle w:val="TableText"/>
            </w:pPr>
            <w:r>
              <w:t>Maintain an average of 12-week stock in Ministry’s National Personal Protective</w:t>
            </w:r>
          </w:p>
          <w:p w14:paraId="1FEB4975" w14:textId="152901A1" w:rsidR="002918A6" w:rsidRPr="00747497" w:rsidRDefault="002918A6" w:rsidP="002918A6">
            <w:pPr>
              <w:pStyle w:val="TableText"/>
            </w:pPr>
            <w:r>
              <w:t>Equipment (PPE) and Critical Medical Supply Chain</w:t>
            </w:r>
          </w:p>
        </w:tc>
        <w:tc>
          <w:tcPr>
            <w:tcW w:w="1169" w:type="dxa"/>
            <w:tcBorders>
              <w:top w:val="single" w:sz="4" w:space="0" w:color="A6A6A6" w:themeColor="background1" w:themeShade="A6"/>
            </w:tcBorders>
          </w:tcPr>
          <w:p w14:paraId="206DD044" w14:textId="39875228" w:rsidR="002918A6" w:rsidRDefault="002918A6" w:rsidP="002918A6">
            <w:pPr>
              <w:pStyle w:val="TableText"/>
              <w:jc w:val="right"/>
            </w:pPr>
            <w:r w:rsidRPr="007641C3">
              <w:t>New measure</w:t>
            </w:r>
          </w:p>
        </w:tc>
        <w:tc>
          <w:tcPr>
            <w:tcW w:w="1170" w:type="dxa"/>
            <w:tcBorders>
              <w:top w:val="single" w:sz="4" w:space="0" w:color="A6A6A6" w:themeColor="background1" w:themeShade="A6"/>
            </w:tcBorders>
          </w:tcPr>
          <w:p w14:paraId="2FDB9479" w14:textId="17679C3B" w:rsidR="002918A6" w:rsidRPr="006A19AA" w:rsidRDefault="002918A6" w:rsidP="002918A6">
            <w:pPr>
              <w:pStyle w:val="TableText"/>
              <w:jc w:val="right"/>
            </w:pPr>
            <w:r w:rsidRPr="007641C3">
              <w:t>Achieved</w:t>
            </w:r>
          </w:p>
        </w:tc>
        <w:tc>
          <w:tcPr>
            <w:tcW w:w="1169" w:type="dxa"/>
            <w:tcBorders>
              <w:top w:val="single" w:sz="4" w:space="0" w:color="A6A6A6" w:themeColor="background1" w:themeShade="A6"/>
            </w:tcBorders>
          </w:tcPr>
          <w:p w14:paraId="15DBC2A5" w14:textId="7CE132C9" w:rsidR="002918A6" w:rsidRDefault="002918A6" w:rsidP="002918A6">
            <w:pPr>
              <w:pStyle w:val="TableText"/>
              <w:jc w:val="right"/>
            </w:pPr>
            <w:r w:rsidRPr="007641C3">
              <w:t>Achieved</w:t>
            </w:r>
          </w:p>
        </w:tc>
        <w:tc>
          <w:tcPr>
            <w:tcW w:w="1028" w:type="dxa"/>
            <w:tcBorders>
              <w:top w:val="single" w:sz="4" w:space="0" w:color="A6A6A6" w:themeColor="background1" w:themeShade="A6"/>
            </w:tcBorders>
          </w:tcPr>
          <w:p w14:paraId="2AC701DE" w14:textId="1E0E00E7" w:rsidR="002918A6" w:rsidRPr="00BD4046" w:rsidRDefault="002918A6" w:rsidP="002918A6">
            <w:pPr>
              <w:pStyle w:val="TableText"/>
              <w:jc w:val="right"/>
              <w:rPr>
                <w:rFonts w:cs="Segoe UI"/>
                <w:sz w:val="28"/>
              </w:rPr>
            </w:pPr>
            <w:r w:rsidRPr="00E1157F">
              <w:rPr>
                <w:b/>
                <w:bCs/>
              </w:rPr>
              <w:sym w:font="Wingdings" w:char="F0FC"/>
            </w:r>
          </w:p>
        </w:tc>
      </w:tr>
      <w:tr w:rsidR="002918A6" w14:paraId="43BBEEC5" w14:textId="77777777" w:rsidTr="002918A6">
        <w:trPr>
          <w:trHeight w:val="77"/>
        </w:trPr>
        <w:tc>
          <w:tcPr>
            <w:tcW w:w="3686" w:type="dxa"/>
            <w:tcBorders>
              <w:top w:val="single" w:sz="4" w:space="0" w:color="A6A6A6" w:themeColor="background1" w:themeShade="A6"/>
            </w:tcBorders>
          </w:tcPr>
          <w:p w14:paraId="6E724A38" w14:textId="4492CB8D" w:rsidR="002918A6" w:rsidRPr="00747497" w:rsidRDefault="002918A6" w:rsidP="002918A6">
            <w:pPr>
              <w:pStyle w:val="TableText"/>
            </w:pPr>
            <w:r w:rsidRPr="002918A6">
              <w:t>The Ministry provides support to MIQ teams with information, guidance and dedicated health services aligned to infection prevention and control protocols (Note 3)</w:t>
            </w:r>
          </w:p>
        </w:tc>
        <w:tc>
          <w:tcPr>
            <w:tcW w:w="1169" w:type="dxa"/>
            <w:tcBorders>
              <w:top w:val="single" w:sz="4" w:space="0" w:color="A6A6A6" w:themeColor="background1" w:themeShade="A6"/>
            </w:tcBorders>
          </w:tcPr>
          <w:p w14:paraId="31964AD1" w14:textId="6666416D" w:rsidR="002918A6" w:rsidRDefault="002918A6" w:rsidP="002918A6">
            <w:pPr>
              <w:pStyle w:val="TableText"/>
              <w:jc w:val="right"/>
            </w:pPr>
            <w:r w:rsidRPr="007641C3">
              <w:t>New measure</w:t>
            </w:r>
          </w:p>
        </w:tc>
        <w:tc>
          <w:tcPr>
            <w:tcW w:w="1170" w:type="dxa"/>
            <w:tcBorders>
              <w:top w:val="single" w:sz="4" w:space="0" w:color="A6A6A6" w:themeColor="background1" w:themeShade="A6"/>
            </w:tcBorders>
          </w:tcPr>
          <w:p w14:paraId="6DC11328" w14:textId="7BE8EEE6" w:rsidR="002918A6" w:rsidRPr="006A19AA" w:rsidRDefault="002918A6" w:rsidP="002918A6">
            <w:pPr>
              <w:pStyle w:val="TableText"/>
              <w:jc w:val="right"/>
            </w:pPr>
            <w:r w:rsidRPr="007641C3">
              <w:t>Achieved</w:t>
            </w:r>
          </w:p>
        </w:tc>
        <w:tc>
          <w:tcPr>
            <w:tcW w:w="1169" w:type="dxa"/>
            <w:tcBorders>
              <w:top w:val="single" w:sz="4" w:space="0" w:color="A6A6A6" w:themeColor="background1" w:themeShade="A6"/>
            </w:tcBorders>
          </w:tcPr>
          <w:p w14:paraId="2308E091" w14:textId="3221FADF" w:rsidR="002918A6" w:rsidRDefault="002918A6" w:rsidP="002918A6">
            <w:pPr>
              <w:pStyle w:val="TableText"/>
              <w:jc w:val="right"/>
            </w:pPr>
            <w:r w:rsidRPr="007641C3">
              <w:t>Achieved</w:t>
            </w:r>
          </w:p>
        </w:tc>
        <w:tc>
          <w:tcPr>
            <w:tcW w:w="1028" w:type="dxa"/>
            <w:tcBorders>
              <w:top w:val="single" w:sz="4" w:space="0" w:color="A6A6A6" w:themeColor="background1" w:themeShade="A6"/>
            </w:tcBorders>
          </w:tcPr>
          <w:p w14:paraId="269BD80B" w14:textId="1A4553F2" w:rsidR="002918A6" w:rsidRPr="00BD4046" w:rsidRDefault="002918A6" w:rsidP="002918A6">
            <w:pPr>
              <w:pStyle w:val="TableText"/>
              <w:jc w:val="right"/>
              <w:rPr>
                <w:rFonts w:cs="Segoe UI"/>
                <w:sz w:val="28"/>
              </w:rPr>
            </w:pPr>
            <w:r w:rsidRPr="00E1157F">
              <w:rPr>
                <w:b/>
                <w:bCs/>
              </w:rPr>
              <w:sym w:font="Wingdings" w:char="F0FC"/>
            </w:r>
          </w:p>
        </w:tc>
      </w:tr>
      <w:tr w:rsidR="002918A6" w14:paraId="47176C14" w14:textId="77777777" w:rsidTr="002918A6">
        <w:trPr>
          <w:trHeight w:val="77"/>
        </w:trPr>
        <w:tc>
          <w:tcPr>
            <w:tcW w:w="3686" w:type="dxa"/>
            <w:tcBorders>
              <w:top w:val="single" w:sz="4" w:space="0" w:color="A6A6A6" w:themeColor="background1" w:themeShade="A6"/>
            </w:tcBorders>
          </w:tcPr>
          <w:p w14:paraId="6986105D" w14:textId="4E287162" w:rsidR="002918A6" w:rsidRPr="00747497" w:rsidRDefault="002918A6" w:rsidP="002918A6">
            <w:pPr>
              <w:pStyle w:val="TableText"/>
            </w:pPr>
            <w:r w:rsidRPr="002918A6">
              <w:t>Maintain Public Health contact tracing and case management capacity through scalable telehealth services and digital pathways in line with response/pandemic requirements (Note 4)</w:t>
            </w:r>
          </w:p>
        </w:tc>
        <w:tc>
          <w:tcPr>
            <w:tcW w:w="1169" w:type="dxa"/>
            <w:tcBorders>
              <w:top w:val="single" w:sz="4" w:space="0" w:color="A6A6A6" w:themeColor="background1" w:themeShade="A6"/>
            </w:tcBorders>
          </w:tcPr>
          <w:p w14:paraId="572EA2EA" w14:textId="5CA206AA" w:rsidR="002918A6" w:rsidRDefault="002918A6" w:rsidP="002918A6">
            <w:pPr>
              <w:pStyle w:val="TableText"/>
              <w:jc w:val="right"/>
            </w:pPr>
            <w:r w:rsidRPr="007641C3">
              <w:t>New measure</w:t>
            </w:r>
          </w:p>
        </w:tc>
        <w:tc>
          <w:tcPr>
            <w:tcW w:w="1170" w:type="dxa"/>
            <w:tcBorders>
              <w:top w:val="single" w:sz="4" w:space="0" w:color="A6A6A6" w:themeColor="background1" w:themeShade="A6"/>
            </w:tcBorders>
          </w:tcPr>
          <w:p w14:paraId="332CD0C3" w14:textId="4EE696CD" w:rsidR="002918A6" w:rsidRPr="006A19AA" w:rsidRDefault="002918A6" w:rsidP="002918A6">
            <w:pPr>
              <w:pStyle w:val="TableText"/>
              <w:jc w:val="right"/>
            </w:pPr>
            <w:r w:rsidRPr="007641C3">
              <w:t>Up to 1,000 cases per</w:t>
            </w:r>
          </w:p>
        </w:tc>
        <w:tc>
          <w:tcPr>
            <w:tcW w:w="1169" w:type="dxa"/>
            <w:tcBorders>
              <w:top w:val="single" w:sz="4" w:space="0" w:color="A6A6A6" w:themeColor="background1" w:themeShade="A6"/>
            </w:tcBorders>
          </w:tcPr>
          <w:p w14:paraId="595195F1" w14:textId="3CAE0F11" w:rsidR="002918A6" w:rsidRDefault="002918A6" w:rsidP="002918A6">
            <w:pPr>
              <w:pStyle w:val="TableText"/>
              <w:jc w:val="right"/>
            </w:pPr>
            <w:r>
              <w:t>24,100</w:t>
            </w:r>
          </w:p>
        </w:tc>
        <w:tc>
          <w:tcPr>
            <w:tcW w:w="1028" w:type="dxa"/>
            <w:tcBorders>
              <w:top w:val="single" w:sz="4" w:space="0" w:color="A6A6A6" w:themeColor="background1" w:themeShade="A6"/>
            </w:tcBorders>
          </w:tcPr>
          <w:p w14:paraId="29F214DF" w14:textId="70B21CF7" w:rsidR="002918A6" w:rsidRPr="00BD4046" w:rsidRDefault="002918A6" w:rsidP="002918A6">
            <w:pPr>
              <w:pStyle w:val="TableText"/>
              <w:jc w:val="right"/>
              <w:rPr>
                <w:rFonts w:cs="Segoe UI"/>
                <w:sz w:val="28"/>
              </w:rPr>
            </w:pPr>
            <w:r w:rsidRPr="00E1157F">
              <w:rPr>
                <w:b/>
                <w:bCs/>
              </w:rPr>
              <w:sym w:font="Wingdings" w:char="F0FC"/>
            </w:r>
          </w:p>
        </w:tc>
      </w:tr>
    </w:tbl>
    <w:p w14:paraId="16E4F79E" w14:textId="77777777" w:rsidR="002918A6" w:rsidRPr="002918A6" w:rsidRDefault="002918A6" w:rsidP="002918A6">
      <w:pPr>
        <w:pStyle w:val="Note"/>
        <w:rPr>
          <w:rFonts w:eastAsia="Arial Unicode MS"/>
        </w:rPr>
      </w:pPr>
      <w:r w:rsidRPr="002918A6">
        <w:rPr>
          <w:rFonts w:eastAsia="Arial Unicode MS"/>
        </w:rPr>
        <w:lastRenderedPageBreak/>
        <w:t>Note 1: Indicative data between July 2021 and 16 February 2022 shows achieved target of 89.93%. The data only goes until 16 February which is when testing was changed to RATs. As a self-administered and self- reported test that did not align with the Required Testing Order, RAT compliance could not be reliably counted on as a compliance measure from that time. Due to changes in the Maritime Border order, Maritime staff were not required to test from 2 May 2022.</w:t>
      </w:r>
    </w:p>
    <w:p w14:paraId="68FC1B46" w14:textId="77777777" w:rsidR="002918A6" w:rsidRPr="002918A6" w:rsidRDefault="002918A6" w:rsidP="002918A6">
      <w:pPr>
        <w:pStyle w:val="Note"/>
        <w:rPr>
          <w:rFonts w:eastAsia="Arial Unicode MS"/>
        </w:rPr>
      </w:pPr>
      <w:r w:rsidRPr="002918A6">
        <w:rPr>
          <w:rFonts w:eastAsia="Arial Unicode MS"/>
        </w:rPr>
        <w:t>Note 2: Priority population groups are represented by communities disproportionately affected by COVID-19 outbreaks. This includes people with comorbidity, compromised immunity, older people, people in aged care facilities, and population groups with other risk factors.</w:t>
      </w:r>
    </w:p>
    <w:p w14:paraId="2AAF3315" w14:textId="77777777" w:rsidR="002918A6" w:rsidRPr="002918A6" w:rsidRDefault="002918A6" w:rsidP="002918A6">
      <w:pPr>
        <w:pStyle w:val="Note"/>
        <w:rPr>
          <w:rFonts w:eastAsia="Arial Unicode MS"/>
        </w:rPr>
      </w:pPr>
      <w:r w:rsidRPr="002918A6">
        <w:rPr>
          <w:rFonts w:eastAsia="Arial Unicode MS"/>
        </w:rPr>
        <w:t>Measures of success include the number and geographic coverage of priority population groups by community providers contracted by the Ministry to deliver supervised RATs (including Māori providers); the number and geographic coverage of RATs delivered to aged residential care facilities and the disability community etc.</w:t>
      </w:r>
    </w:p>
    <w:p w14:paraId="1E4780A0" w14:textId="77777777" w:rsidR="002918A6" w:rsidRPr="002918A6" w:rsidRDefault="002918A6" w:rsidP="002918A6">
      <w:pPr>
        <w:pStyle w:val="Note"/>
        <w:rPr>
          <w:rFonts w:eastAsia="Arial Unicode MS"/>
        </w:rPr>
      </w:pPr>
      <w:r w:rsidRPr="002918A6">
        <w:rPr>
          <w:rFonts w:eastAsia="Arial Unicode MS"/>
        </w:rPr>
        <w:t>Note 3: Regular audits for Infection Prevention and Control (IPC) were undertaken against the IPC Standard Operating Procedure (SOP) to ensure a level of compliance.</w:t>
      </w:r>
    </w:p>
    <w:p w14:paraId="381E455B" w14:textId="77777777" w:rsidR="002918A6" w:rsidRPr="002918A6" w:rsidRDefault="002918A6" w:rsidP="002918A6">
      <w:pPr>
        <w:pStyle w:val="Note"/>
        <w:rPr>
          <w:rFonts w:eastAsia="Arial Unicode MS"/>
        </w:rPr>
      </w:pPr>
      <w:r w:rsidRPr="002918A6">
        <w:rPr>
          <w:rFonts w:eastAsia="Arial Unicode MS"/>
        </w:rPr>
        <w:t>IPC SOPs were readily accessible online to all staff in MIQ. IPC SOPs were regularly reviewed. This occurred when new public health advice was available or changes to IPC protocols were identified as required. After each review, IPC SOPs were distributed to all MIQs via Ministry for Business, Innovation and Employment’s (MBIE) MIQ distribution networks.</w:t>
      </w:r>
    </w:p>
    <w:p w14:paraId="7C57759E" w14:textId="77777777" w:rsidR="002918A6" w:rsidRPr="002918A6" w:rsidRDefault="002918A6" w:rsidP="002918A6">
      <w:pPr>
        <w:pStyle w:val="Note"/>
        <w:rPr>
          <w:rFonts w:eastAsia="Arial Unicode MS"/>
        </w:rPr>
      </w:pPr>
      <w:r w:rsidRPr="002918A6">
        <w:rPr>
          <w:rFonts w:eastAsia="Arial Unicode MS"/>
        </w:rPr>
        <w:t>Note 4: Significant case investigation and contact tracing capacity were increased across the twelve Public Health Units (PHUs) as well as the national telehealth services contracted by the National Investigation and Tracing Centre (NITC) due to the COVID-19 response.</w:t>
      </w:r>
    </w:p>
    <w:p w14:paraId="42482C21" w14:textId="3B274067" w:rsidR="002918A6" w:rsidRPr="002918A6" w:rsidRDefault="002918A6" w:rsidP="002918A6">
      <w:pPr>
        <w:pStyle w:val="Note"/>
        <w:rPr>
          <w:rFonts w:eastAsia="Arial Unicode MS"/>
        </w:rPr>
      </w:pPr>
      <w:r w:rsidRPr="002918A6">
        <w:rPr>
          <w:rFonts w:eastAsia="Arial Unicode MS"/>
        </w:rPr>
        <w:t>In November 2021, the National Case Investigation Service (NCIS) was stood up to significantly increase the national case investigation capacity, enabling public health units to focus on higher risk exposure events.</w:t>
      </w:r>
    </w:p>
    <w:p w14:paraId="3AC0EF23" w14:textId="68291B4A" w:rsidR="002918A6" w:rsidRPr="002918A6" w:rsidRDefault="002918A6" w:rsidP="002918A6">
      <w:pPr>
        <w:pStyle w:val="Note"/>
        <w:rPr>
          <w:rFonts w:eastAsia="Arial Unicode MS"/>
        </w:rPr>
      </w:pPr>
      <w:r w:rsidRPr="002918A6">
        <w:rPr>
          <w:rFonts w:eastAsia="Arial Unicode MS"/>
        </w:rPr>
        <w:t>In response to Omicron, digital tools (online case investigation forms and text message communications) were developed for the public who are digitally-enabled, further aiding the scalability of the service.</w:t>
      </w:r>
    </w:p>
    <w:p w14:paraId="16A2F1B3" w14:textId="77777777" w:rsidR="002918A6" w:rsidRPr="002918A6" w:rsidRDefault="002918A6" w:rsidP="002918A6">
      <w:pPr>
        <w:pStyle w:val="Note"/>
        <w:rPr>
          <w:rFonts w:eastAsia="Arial Unicode MS"/>
        </w:rPr>
      </w:pPr>
      <w:r w:rsidRPr="002918A6">
        <w:rPr>
          <w:rFonts w:eastAsia="Arial Unicode MS"/>
        </w:rPr>
        <w:t>These digital pathways, combined with the national case investigation service, offer significant capacity and capability, and the service successfully scaled to respond to ~24,000 case per day at the peak of the Omicron outbreak (March 2022).</w:t>
      </w:r>
    </w:p>
    <w:p w14:paraId="7E532A21" w14:textId="6229FF83" w:rsidR="002918A6" w:rsidRDefault="002918A6" w:rsidP="002918A6">
      <w:pPr>
        <w:pStyle w:val="Heading4"/>
      </w:pPr>
      <w:r w:rsidRPr="002918A6">
        <w:t>Financial performance</w:t>
      </w: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552"/>
        <w:gridCol w:w="1453"/>
        <w:gridCol w:w="1453"/>
        <w:gridCol w:w="1453"/>
        <w:gridCol w:w="1453"/>
      </w:tblGrid>
      <w:tr w:rsidR="00953192" w:rsidRPr="00CB0000" w14:paraId="1A400B5F" w14:textId="77777777" w:rsidTr="008C677C">
        <w:trPr>
          <w:trHeight w:val="543"/>
        </w:trPr>
        <w:tc>
          <w:tcPr>
            <w:tcW w:w="2552" w:type="dxa"/>
            <w:vMerge w:val="restart"/>
            <w:tcBorders>
              <w:top w:val="nil"/>
            </w:tcBorders>
            <w:shd w:val="clear" w:color="auto" w:fill="D9D9D9" w:themeFill="background1" w:themeFillShade="D9"/>
          </w:tcPr>
          <w:p w14:paraId="0986866A" w14:textId="0B074E4C" w:rsidR="00953192" w:rsidRPr="00CB0000" w:rsidRDefault="00953192" w:rsidP="00953192">
            <w:pPr>
              <w:pStyle w:val="TableText"/>
              <w:rPr>
                <w:b/>
                <w:bCs/>
              </w:rPr>
            </w:pPr>
            <w:r w:rsidRPr="00953192">
              <w:rPr>
                <w:b/>
                <w:bCs/>
              </w:rPr>
              <w:t xml:space="preserve">National response to </w:t>
            </w:r>
            <w:r>
              <w:rPr>
                <w:b/>
                <w:bCs/>
              </w:rPr>
              <w:t>C</w:t>
            </w:r>
            <w:r w:rsidRPr="00953192">
              <w:rPr>
                <w:b/>
                <w:bCs/>
              </w:rPr>
              <w:t>OVID-19 across the health sector</w:t>
            </w:r>
          </w:p>
        </w:tc>
        <w:tc>
          <w:tcPr>
            <w:tcW w:w="1453" w:type="dxa"/>
            <w:tcBorders>
              <w:top w:val="nil"/>
              <w:bottom w:val="nil"/>
            </w:tcBorders>
            <w:shd w:val="clear" w:color="auto" w:fill="D9D9D9" w:themeFill="background1" w:themeFillShade="D9"/>
          </w:tcPr>
          <w:p w14:paraId="08DF4D81" w14:textId="77777777" w:rsidR="00953192" w:rsidRPr="00CB0000" w:rsidRDefault="00953192" w:rsidP="001D0A8A">
            <w:pPr>
              <w:pStyle w:val="TableText"/>
              <w:jc w:val="right"/>
              <w:rPr>
                <w:b/>
                <w:bCs/>
              </w:rPr>
            </w:pPr>
            <w:r w:rsidRPr="00CB0000">
              <w:rPr>
                <w:b/>
                <w:bCs/>
              </w:rPr>
              <w:t>Actual</w:t>
            </w:r>
          </w:p>
        </w:tc>
        <w:tc>
          <w:tcPr>
            <w:tcW w:w="1453" w:type="dxa"/>
            <w:tcBorders>
              <w:top w:val="nil"/>
              <w:bottom w:val="nil"/>
            </w:tcBorders>
            <w:shd w:val="clear" w:color="auto" w:fill="D9D9D9" w:themeFill="background1" w:themeFillShade="D9"/>
          </w:tcPr>
          <w:p w14:paraId="79ACFBCB" w14:textId="77777777" w:rsidR="00953192" w:rsidRPr="00CB0000" w:rsidRDefault="00953192" w:rsidP="001D0A8A">
            <w:pPr>
              <w:pStyle w:val="TableText"/>
              <w:jc w:val="right"/>
              <w:rPr>
                <w:b/>
                <w:bCs/>
              </w:rPr>
            </w:pPr>
            <w:r w:rsidRPr="00CB0000">
              <w:rPr>
                <w:b/>
                <w:bCs/>
              </w:rPr>
              <w:t xml:space="preserve">Main </w:t>
            </w:r>
            <w:r w:rsidRPr="00CB0000">
              <w:rPr>
                <w:b/>
                <w:bCs/>
              </w:rPr>
              <w:br/>
              <w:t>estimates</w:t>
            </w:r>
          </w:p>
        </w:tc>
        <w:tc>
          <w:tcPr>
            <w:tcW w:w="1453" w:type="dxa"/>
            <w:tcBorders>
              <w:top w:val="nil"/>
              <w:bottom w:val="nil"/>
            </w:tcBorders>
            <w:shd w:val="clear" w:color="auto" w:fill="D9D9D9" w:themeFill="background1" w:themeFillShade="D9"/>
          </w:tcPr>
          <w:p w14:paraId="7C4481D8" w14:textId="77777777" w:rsidR="00953192" w:rsidRPr="00CB0000" w:rsidRDefault="00953192" w:rsidP="001D0A8A">
            <w:pPr>
              <w:pStyle w:val="TableText"/>
              <w:jc w:val="right"/>
              <w:rPr>
                <w:b/>
                <w:bCs/>
              </w:rPr>
            </w:pPr>
            <w:r w:rsidRPr="00CB0000">
              <w:rPr>
                <w:b/>
                <w:bCs/>
              </w:rPr>
              <w:t>Voted appropriation</w:t>
            </w:r>
          </w:p>
        </w:tc>
        <w:tc>
          <w:tcPr>
            <w:tcW w:w="1453" w:type="dxa"/>
            <w:tcBorders>
              <w:top w:val="nil"/>
              <w:bottom w:val="nil"/>
            </w:tcBorders>
            <w:shd w:val="clear" w:color="auto" w:fill="D9D9D9" w:themeFill="background1" w:themeFillShade="D9"/>
          </w:tcPr>
          <w:p w14:paraId="6B363945" w14:textId="77777777" w:rsidR="00953192" w:rsidRPr="00CB0000" w:rsidRDefault="00953192" w:rsidP="001D0A8A">
            <w:pPr>
              <w:pStyle w:val="TableText"/>
              <w:jc w:val="right"/>
              <w:rPr>
                <w:b/>
                <w:bCs/>
              </w:rPr>
            </w:pPr>
            <w:r w:rsidRPr="00CB0000">
              <w:rPr>
                <w:b/>
                <w:bCs/>
              </w:rPr>
              <w:t>Actual</w:t>
            </w:r>
          </w:p>
        </w:tc>
      </w:tr>
      <w:tr w:rsidR="00953192" w:rsidRPr="00CB0000" w14:paraId="48DE98C4" w14:textId="77777777" w:rsidTr="008C677C">
        <w:tc>
          <w:tcPr>
            <w:tcW w:w="2552" w:type="dxa"/>
            <w:vMerge/>
            <w:tcBorders>
              <w:bottom w:val="nil"/>
            </w:tcBorders>
            <w:shd w:val="clear" w:color="auto" w:fill="D9D9D9" w:themeFill="background1" w:themeFillShade="D9"/>
          </w:tcPr>
          <w:p w14:paraId="2601065E" w14:textId="77777777" w:rsidR="00953192" w:rsidRPr="00CB0000" w:rsidRDefault="00953192" w:rsidP="001D0A8A">
            <w:pPr>
              <w:pStyle w:val="TableText"/>
              <w:rPr>
                <w:b/>
                <w:bCs/>
              </w:rPr>
            </w:pPr>
          </w:p>
        </w:tc>
        <w:tc>
          <w:tcPr>
            <w:tcW w:w="1453" w:type="dxa"/>
            <w:tcBorders>
              <w:top w:val="nil"/>
              <w:bottom w:val="nil"/>
            </w:tcBorders>
            <w:shd w:val="clear" w:color="auto" w:fill="D9D9D9" w:themeFill="background1" w:themeFillShade="D9"/>
          </w:tcPr>
          <w:p w14:paraId="105E093C" w14:textId="77777777" w:rsidR="00953192" w:rsidRPr="00CB0000" w:rsidRDefault="00953192" w:rsidP="001D0A8A">
            <w:pPr>
              <w:pStyle w:val="TableText"/>
              <w:jc w:val="right"/>
              <w:rPr>
                <w:b/>
                <w:bCs/>
              </w:rPr>
            </w:pPr>
            <w:r w:rsidRPr="00CB0000">
              <w:rPr>
                <w:b/>
                <w:bCs/>
              </w:rPr>
              <w:t>2021/22</w:t>
            </w:r>
          </w:p>
          <w:p w14:paraId="02950869" w14:textId="77777777" w:rsidR="00953192" w:rsidRPr="00CB0000" w:rsidRDefault="00953192" w:rsidP="001D0A8A">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2A704DCE" w14:textId="77777777" w:rsidR="00953192" w:rsidRPr="00CB0000" w:rsidRDefault="00953192" w:rsidP="001D0A8A">
            <w:pPr>
              <w:pStyle w:val="TableText"/>
              <w:jc w:val="right"/>
              <w:rPr>
                <w:b/>
                <w:bCs/>
              </w:rPr>
            </w:pPr>
            <w:r w:rsidRPr="00CB0000">
              <w:rPr>
                <w:b/>
                <w:bCs/>
              </w:rPr>
              <w:t>2021/22</w:t>
            </w:r>
          </w:p>
          <w:p w14:paraId="3165B161" w14:textId="77777777" w:rsidR="00953192" w:rsidRPr="00CB0000" w:rsidRDefault="00953192" w:rsidP="001D0A8A">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2552A30B" w14:textId="77777777" w:rsidR="00953192" w:rsidRPr="00CB0000" w:rsidRDefault="00953192" w:rsidP="001D0A8A">
            <w:pPr>
              <w:pStyle w:val="TableText"/>
              <w:jc w:val="right"/>
              <w:rPr>
                <w:b/>
                <w:bCs/>
              </w:rPr>
            </w:pPr>
            <w:r w:rsidRPr="00CB0000">
              <w:rPr>
                <w:b/>
                <w:bCs/>
              </w:rPr>
              <w:t>2021/22</w:t>
            </w:r>
          </w:p>
          <w:p w14:paraId="6E459770" w14:textId="77777777" w:rsidR="00953192" w:rsidRPr="00CB0000" w:rsidRDefault="00953192" w:rsidP="001D0A8A">
            <w:pPr>
              <w:pStyle w:val="TableText"/>
              <w:jc w:val="right"/>
              <w:rPr>
                <w:b/>
                <w:bCs/>
              </w:rPr>
            </w:pPr>
            <w:r w:rsidRPr="00CB0000">
              <w:rPr>
                <w:b/>
                <w:bCs/>
              </w:rPr>
              <w:t>$000</w:t>
            </w:r>
          </w:p>
        </w:tc>
        <w:tc>
          <w:tcPr>
            <w:tcW w:w="1453" w:type="dxa"/>
            <w:tcBorders>
              <w:top w:val="nil"/>
              <w:bottom w:val="nil"/>
            </w:tcBorders>
            <w:shd w:val="clear" w:color="auto" w:fill="D9D9D9" w:themeFill="background1" w:themeFillShade="D9"/>
          </w:tcPr>
          <w:p w14:paraId="7ECF9799" w14:textId="77777777" w:rsidR="00953192" w:rsidRPr="00CB0000" w:rsidRDefault="00953192" w:rsidP="001D0A8A">
            <w:pPr>
              <w:pStyle w:val="TableText"/>
              <w:jc w:val="right"/>
              <w:rPr>
                <w:b/>
                <w:bCs/>
              </w:rPr>
            </w:pPr>
            <w:r w:rsidRPr="00CB0000">
              <w:rPr>
                <w:b/>
                <w:bCs/>
              </w:rPr>
              <w:t>2021/22</w:t>
            </w:r>
          </w:p>
          <w:p w14:paraId="7CF7C8C8" w14:textId="77777777" w:rsidR="00953192" w:rsidRPr="00CB0000" w:rsidRDefault="00953192" w:rsidP="001D0A8A">
            <w:pPr>
              <w:pStyle w:val="TableText"/>
              <w:jc w:val="right"/>
              <w:rPr>
                <w:b/>
                <w:bCs/>
              </w:rPr>
            </w:pPr>
            <w:r w:rsidRPr="00CB0000">
              <w:rPr>
                <w:b/>
                <w:bCs/>
              </w:rPr>
              <w:t>$000</w:t>
            </w:r>
          </w:p>
        </w:tc>
      </w:tr>
      <w:tr w:rsidR="004908AC" w:rsidRPr="00CB0000" w14:paraId="6A34AFF4" w14:textId="77777777" w:rsidTr="001D0A8A">
        <w:tc>
          <w:tcPr>
            <w:tcW w:w="4005" w:type="dxa"/>
            <w:gridSpan w:val="2"/>
            <w:tcBorders>
              <w:top w:val="nil"/>
            </w:tcBorders>
          </w:tcPr>
          <w:p w14:paraId="1E9777A3" w14:textId="77777777" w:rsidR="004908AC" w:rsidRPr="00975ED6" w:rsidRDefault="004908AC" w:rsidP="001D0A8A">
            <w:pPr>
              <w:pStyle w:val="TableText"/>
              <w:rPr>
                <w:b/>
                <w:bCs/>
              </w:rPr>
            </w:pPr>
            <w:r w:rsidRPr="00975ED6">
              <w:rPr>
                <w:b/>
                <w:bCs/>
              </w:rPr>
              <w:t>Departmental output expenses</w:t>
            </w:r>
          </w:p>
          <w:p w14:paraId="33D5794A" w14:textId="56056E10" w:rsidR="004908AC" w:rsidRPr="00CB0000" w:rsidRDefault="004908AC" w:rsidP="001D0A8A">
            <w:pPr>
              <w:pStyle w:val="TableText"/>
            </w:pPr>
            <w:r w:rsidRPr="004908AC">
              <w:rPr>
                <w:b/>
                <w:bCs/>
              </w:rPr>
              <w:t>National health response to COVID-19</w:t>
            </w:r>
          </w:p>
        </w:tc>
        <w:tc>
          <w:tcPr>
            <w:tcW w:w="1453" w:type="dxa"/>
            <w:tcBorders>
              <w:top w:val="nil"/>
            </w:tcBorders>
          </w:tcPr>
          <w:p w14:paraId="1F9AD3E4" w14:textId="77777777" w:rsidR="004908AC" w:rsidRPr="00CB0000" w:rsidRDefault="004908AC" w:rsidP="001D0A8A">
            <w:pPr>
              <w:pStyle w:val="TableText"/>
              <w:jc w:val="right"/>
            </w:pPr>
          </w:p>
        </w:tc>
        <w:tc>
          <w:tcPr>
            <w:tcW w:w="1453" w:type="dxa"/>
            <w:tcBorders>
              <w:top w:val="nil"/>
            </w:tcBorders>
          </w:tcPr>
          <w:p w14:paraId="11BF9AA9" w14:textId="77777777" w:rsidR="004908AC" w:rsidRPr="00CB0000" w:rsidRDefault="004908AC" w:rsidP="001D0A8A">
            <w:pPr>
              <w:pStyle w:val="TableText"/>
              <w:jc w:val="right"/>
            </w:pPr>
          </w:p>
        </w:tc>
        <w:tc>
          <w:tcPr>
            <w:tcW w:w="1453" w:type="dxa"/>
            <w:tcBorders>
              <w:top w:val="nil"/>
            </w:tcBorders>
          </w:tcPr>
          <w:p w14:paraId="7E9D0E25" w14:textId="77777777" w:rsidR="004908AC" w:rsidRPr="00CB0000" w:rsidRDefault="004908AC" w:rsidP="001D0A8A">
            <w:pPr>
              <w:pStyle w:val="TableText"/>
              <w:jc w:val="right"/>
            </w:pPr>
          </w:p>
        </w:tc>
      </w:tr>
      <w:tr w:rsidR="004908AC" w:rsidRPr="00CB0000" w14:paraId="68BEC141" w14:textId="77777777" w:rsidTr="001D0A8A">
        <w:tc>
          <w:tcPr>
            <w:tcW w:w="2552" w:type="dxa"/>
          </w:tcPr>
          <w:p w14:paraId="024F1011" w14:textId="77777777" w:rsidR="004908AC" w:rsidRPr="00CB0000" w:rsidRDefault="004908AC" w:rsidP="004908AC">
            <w:pPr>
              <w:pStyle w:val="TableText"/>
            </w:pPr>
            <w:r w:rsidRPr="00964244">
              <w:t>Crown revenue</w:t>
            </w:r>
          </w:p>
        </w:tc>
        <w:tc>
          <w:tcPr>
            <w:tcW w:w="1453" w:type="dxa"/>
          </w:tcPr>
          <w:p w14:paraId="2E280949" w14:textId="7079C3FF" w:rsidR="004908AC" w:rsidRPr="00CB0000" w:rsidRDefault="004908AC" w:rsidP="004908AC">
            <w:pPr>
              <w:pStyle w:val="TableText"/>
              <w:jc w:val="right"/>
            </w:pPr>
            <w:r w:rsidRPr="004F3EC3">
              <w:t>21,711</w:t>
            </w:r>
          </w:p>
        </w:tc>
        <w:tc>
          <w:tcPr>
            <w:tcW w:w="1453" w:type="dxa"/>
          </w:tcPr>
          <w:p w14:paraId="50F8F656" w14:textId="1F8B9D77" w:rsidR="004908AC" w:rsidRPr="00CB0000" w:rsidRDefault="004908AC" w:rsidP="004908AC">
            <w:pPr>
              <w:pStyle w:val="TableText"/>
              <w:jc w:val="right"/>
            </w:pPr>
            <w:r w:rsidRPr="004F3EC3">
              <w:t>43,297</w:t>
            </w:r>
          </w:p>
        </w:tc>
        <w:tc>
          <w:tcPr>
            <w:tcW w:w="1453" w:type="dxa"/>
          </w:tcPr>
          <w:p w14:paraId="7A0F104A" w14:textId="684B837A" w:rsidR="004908AC" w:rsidRPr="00CB0000" w:rsidRDefault="004908AC" w:rsidP="004908AC">
            <w:pPr>
              <w:pStyle w:val="TableText"/>
              <w:jc w:val="right"/>
            </w:pPr>
            <w:r w:rsidRPr="004F3EC3">
              <w:t>89,497</w:t>
            </w:r>
          </w:p>
        </w:tc>
        <w:tc>
          <w:tcPr>
            <w:tcW w:w="1453" w:type="dxa"/>
          </w:tcPr>
          <w:p w14:paraId="2EF0D8ED" w14:textId="281FF675" w:rsidR="004908AC" w:rsidRPr="00CB0000" w:rsidRDefault="004908AC" w:rsidP="004908AC">
            <w:pPr>
              <w:pStyle w:val="TableText"/>
              <w:jc w:val="right"/>
            </w:pPr>
            <w:r w:rsidRPr="004F3EC3">
              <w:t>89,497</w:t>
            </w:r>
          </w:p>
        </w:tc>
      </w:tr>
      <w:tr w:rsidR="004908AC" w:rsidRPr="00CB0000" w14:paraId="2AE61255" w14:textId="77777777" w:rsidTr="001D0A8A">
        <w:tc>
          <w:tcPr>
            <w:tcW w:w="2552" w:type="dxa"/>
          </w:tcPr>
          <w:p w14:paraId="7908CD8D" w14:textId="77777777" w:rsidR="004908AC" w:rsidRPr="00CB0000" w:rsidRDefault="004908AC" w:rsidP="004908AC">
            <w:pPr>
              <w:pStyle w:val="TableText"/>
            </w:pPr>
            <w:r w:rsidRPr="00964244">
              <w:t>Other revenue</w:t>
            </w:r>
          </w:p>
        </w:tc>
        <w:tc>
          <w:tcPr>
            <w:tcW w:w="1453" w:type="dxa"/>
          </w:tcPr>
          <w:p w14:paraId="61C28C7D" w14:textId="6C75A4FE" w:rsidR="004908AC" w:rsidRPr="00CB0000" w:rsidRDefault="004908AC" w:rsidP="004908AC">
            <w:pPr>
              <w:pStyle w:val="TableText"/>
              <w:jc w:val="right"/>
            </w:pPr>
            <w:r w:rsidRPr="004F3EC3">
              <w:t>-</w:t>
            </w:r>
          </w:p>
        </w:tc>
        <w:tc>
          <w:tcPr>
            <w:tcW w:w="1453" w:type="dxa"/>
          </w:tcPr>
          <w:p w14:paraId="7F947165" w14:textId="78478D65" w:rsidR="004908AC" w:rsidRPr="00CB0000" w:rsidRDefault="004908AC" w:rsidP="004908AC">
            <w:pPr>
              <w:pStyle w:val="TableText"/>
              <w:jc w:val="right"/>
            </w:pPr>
            <w:r w:rsidRPr="004F3EC3">
              <w:t>-</w:t>
            </w:r>
          </w:p>
        </w:tc>
        <w:tc>
          <w:tcPr>
            <w:tcW w:w="1453" w:type="dxa"/>
          </w:tcPr>
          <w:p w14:paraId="7CCF35A9" w14:textId="6C0855E6" w:rsidR="004908AC" w:rsidRPr="00CB0000" w:rsidRDefault="004908AC" w:rsidP="004908AC">
            <w:pPr>
              <w:pStyle w:val="TableText"/>
              <w:jc w:val="right"/>
            </w:pPr>
            <w:r w:rsidRPr="004F3EC3">
              <w:t>-</w:t>
            </w:r>
          </w:p>
        </w:tc>
        <w:tc>
          <w:tcPr>
            <w:tcW w:w="1453" w:type="dxa"/>
          </w:tcPr>
          <w:p w14:paraId="344A8BE8" w14:textId="16D43C49" w:rsidR="004908AC" w:rsidRPr="00CB0000" w:rsidRDefault="004908AC" w:rsidP="004908AC">
            <w:pPr>
              <w:pStyle w:val="TableText"/>
              <w:jc w:val="right"/>
            </w:pPr>
            <w:r w:rsidRPr="004F3EC3">
              <w:t>-</w:t>
            </w:r>
          </w:p>
        </w:tc>
      </w:tr>
      <w:tr w:rsidR="004908AC" w:rsidRPr="00CB0000" w14:paraId="6D63FA07" w14:textId="77777777" w:rsidTr="001D0A8A">
        <w:tc>
          <w:tcPr>
            <w:tcW w:w="2552" w:type="dxa"/>
          </w:tcPr>
          <w:p w14:paraId="575A128E" w14:textId="77777777" w:rsidR="004908AC" w:rsidRPr="00CB0000" w:rsidRDefault="004908AC" w:rsidP="004908AC">
            <w:pPr>
              <w:pStyle w:val="TableText"/>
            </w:pPr>
            <w:r w:rsidRPr="00964244">
              <w:t>Total revenue</w:t>
            </w:r>
          </w:p>
        </w:tc>
        <w:tc>
          <w:tcPr>
            <w:tcW w:w="1453" w:type="dxa"/>
          </w:tcPr>
          <w:p w14:paraId="3586BCF6" w14:textId="5A51289D" w:rsidR="004908AC" w:rsidRPr="00CB0000" w:rsidRDefault="004908AC" w:rsidP="004908AC">
            <w:pPr>
              <w:pStyle w:val="TableText"/>
              <w:jc w:val="right"/>
            </w:pPr>
            <w:r w:rsidRPr="004F3EC3">
              <w:t>21,711</w:t>
            </w:r>
          </w:p>
        </w:tc>
        <w:tc>
          <w:tcPr>
            <w:tcW w:w="1453" w:type="dxa"/>
          </w:tcPr>
          <w:p w14:paraId="0D0BE803" w14:textId="768FE43A" w:rsidR="004908AC" w:rsidRPr="00CB0000" w:rsidRDefault="004908AC" w:rsidP="004908AC">
            <w:pPr>
              <w:pStyle w:val="TableText"/>
              <w:jc w:val="right"/>
            </w:pPr>
            <w:r w:rsidRPr="004F3EC3">
              <w:t>43,297</w:t>
            </w:r>
          </w:p>
        </w:tc>
        <w:tc>
          <w:tcPr>
            <w:tcW w:w="1453" w:type="dxa"/>
          </w:tcPr>
          <w:p w14:paraId="1CD068E0" w14:textId="09337312" w:rsidR="004908AC" w:rsidRPr="00CB0000" w:rsidRDefault="004908AC" w:rsidP="004908AC">
            <w:pPr>
              <w:pStyle w:val="TableText"/>
              <w:jc w:val="right"/>
            </w:pPr>
            <w:r w:rsidRPr="004F3EC3">
              <w:t>89,497</w:t>
            </w:r>
          </w:p>
        </w:tc>
        <w:tc>
          <w:tcPr>
            <w:tcW w:w="1453" w:type="dxa"/>
          </w:tcPr>
          <w:p w14:paraId="02540C2E" w14:textId="15D21F88" w:rsidR="004908AC" w:rsidRPr="00CB0000" w:rsidRDefault="004908AC" w:rsidP="004908AC">
            <w:pPr>
              <w:pStyle w:val="TableText"/>
              <w:jc w:val="right"/>
            </w:pPr>
            <w:r w:rsidRPr="004F3EC3">
              <w:t>89,497</w:t>
            </w:r>
          </w:p>
        </w:tc>
      </w:tr>
      <w:tr w:rsidR="004908AC" w:rsidRPr="00CB0000" w14:paraId="27C28AA2" w14:textId="77777777" w:rsidTr="001D0A8A">
        <w:tc>
          <w:tcPr>
            <w:tcW w:w="2552" w:type="dxa"/>
          </w:tcPr>
          <w:p w14:paraId="2F7BDD07" w14:textId="77777777" w:rsidR="004908AC" w:rsidRPr="00CB0000" w:rsidRDefault="004908AC" w:rsidP="004908AC">
            <w:pPr>
              <w:pStyle w:val="TableText"/>
            </w:pPr>
            <w:r w:rsidRPr="00964244">
              <w:t>Total expenses</w:t>
            </w:r>
          </w:p>
        </w:tc>
        <w:tc>
          <w:tcPr>
            <w:tcW w:w="1453" w:type="dxa"/>
          </w:tcPr>
          <w:p w14:paraId="3DDB111D" w14:textId="438F64B2" w:rsidR="004908AC" w:rsidRPr="00CB0000" w:rsidRDefault="004908AC" w:rsidP="004908AC">
            <w:pPr>
              <w:pStyle w:val="TableText"/>
              <w:jc w:val="right"/>
            </w:pPr>
            <w:r w:rsidRPr="004F3EC3">
              <w:t>13,250</w:t>
            </w:r>
          </w:p>
        </w:tc>
        <w:tc>
          <w:tcPr>
            <w:tcW w:w="1453" w:type="dxa"/>
          </w:tcPr>
          <w:p w14:paraId="182C4886" w14:textId="6F16D82E" w:rsidR="004908AC" w:rsidRPr="00CB0000" w:rsidRDefault="004908AC" w:rsidP="004908AC">
            <w:pPr>
              <w:pStyle w:val="TableText"/>
              <w:jc w:val="right"/>
            </w:pPr>
            <w:r w:rsidRPr="004F3EC3">
              <w:t>43,297</w:t>
            </w:r>
          </w:p>
        </w:tc>
        <w:tc>
          <w:tcPr>
            <w:tcW w:w="1453" w:type="dxa"/>
          </w:tcPr>
          <w:p w14:paraId="75E6FEFD" w14:textId="5A703C8B" w:rsidR="004908AC" w:rsidRPr="00CB0000" w:rsidRDefault="004908AC" w:rsidP="004908AC">
            <w:pPr>
              <w:pStyle w:val="TableText"/>
              <w:jc w:val="right"/>
            </w:pPr>
            <w:r w:rsidRPr="004F3EC3">
              <w:t>89,497</w:t>
            </w:r>
          </w:p>
        </w:tc>
        <w:tc>
          <w:tcPr>
            <w:tcW w:w="1453" w:type="dxa"/>
          </w:tcPr>
          <w:p w14:paraId="39D12699" w14:textId="1ECF86A0" w:rsidR="004908AC" w:rsidRPr="00CB0000" w:rsidRDefault="004908AC" w:rsidP="004908AC">
            <w:pPr>
              <w:pStyle w:val="TableText"/>
              <w:jc w:val="right"/>
            </w:pPr>
            <w:r w:rsidRPr="004F3EC3">
              <w:t>66,875</w:t>
            </w:r>
          </w:p>
        </w:tc>
      </w:tr>
      <w:tr w:rsidR="004908AC" w:rsidRPr="00CB0000" w14:paraId="1FF799C1" w14:textId="77777777" w:rsidTr="001D0A8A">
        <w:tc>
          <w:tcPr>
            <w:tcW w:w="2552" w:type="dxa"/>
          </w:tcPr>
          <w:p w14:paraId="6D4D3487" w14:textId="77777777" w:rsidR="004908AC" w:rsidRPr="00CB0000" w:rsidRDefault="004908AC" w:rsidP="004908AC">
            <w:pPr>
              <w:pStyle w:val="TableText"/>
            </w:pPr>
            <w:r w:rsidRPr="00964244">
              <w:t>Net surplus (deficit)</w:t>
            </w:r>
          </w:p>
        </w:tc>
        <w:tc>
          <w:tcPr>
            <w:tcW w:w="1453" w:type="dxa"/>
          </w:tcPr>
          <w:p w14:paraId="45E50A6A" w14:textId="4D52EE77" w:rsidR="004908AC" w:rsidRPr="00CB0000" w:rsidRDefault="004908AC" w:rsidP="004908AC">
            <w:pPr>
              <w:pStyle w:val="TableText"/>
              <w:jc w:val="right"/>
            </w:pPr>
            <w:r w:rsidRPr="004F3EC3">
              <w:t>8,461</w:t>
            </w:r>
          </w:p>
        </w:tc>
        <w:tc>
          <w:tcPr>
            <w:tcW w:w="1453" w:type="dxa"/>
          </w:tcPr>
          <w:p w14:paraId="7ECD6995" w14:textId="0193308A" w:rsidR="004908AC" w:rsidRPr="00CB0000" w:rsidRDefault="004908AC" w:rsidP="004908AC">
            <w:pPr>
              <w:pStyle w:val="TableText"/>
              <w:jc w:val="right"/>
            </w:pPr>
            <w:r w:rsidRPr="004F3EC3">
              <w:t>-</w:t>
            </w:r>
          </w:p>
        </w:tc>
        <w:tc>
          <w:tcPr>
            <w:tcW w:w="1453" w:type="dxa"/>
          </w:tcPr>
          <w:p w14:paraId="29587A9B" w14:textId="06B9C16E" w:rsidR="004908AC" w:rsidRPr="00CB0000" w:rsidRDefault="004908AC" w:rsidP="004908AC">
            <w:pPr>
              <w:pStyle w:val="TableText"/>
              <w:jc w:val="right"/>
            </w:pPr>
            <w:r w:rsidRPr="004F3EC3">
              <w:t>-</w:t>
            </w:r>
          </w:p>
        </w:tc>
        <w:tc>
          <w:tcPr>
            <w:tcW w:w="1453" w:type="dxa"/>
          </w:tcPr>
          <w:p w14:paraId="4264615A" w14:textId="1F3E3B48" w:rsidR="004908AC" w:rsidRPr="00CB0000" w:rsidRDefault="004908AC" w:rsidP="004908AC">
            <w:pPr>
              <w:pStyle w:val="TableText"/>
              <w:jc w:val="right"/>
            </w:pPr>
            <w:r w:rsidRPr="004F3EC3">
              <w:t>22,622</w:t>
            </w:r>
          </w:p>
        </w:tc>
      </w:tr>
      <w:tr w:rsidR="004908AC" w:rsidRPr="00975ED6" w14:paraId="2CCCCD30" w14:textId="77777777" w:rsidTr="001D0A8A">
        <w:tc>
          <w:tcPr>
            <w:tcW w:w="5458" w:type="dxa"/>
            <w:gridSpan w:val="3"/>
          </w:tcPr>
          <w:p w14:paraId="089A1E8E" w14:textId="77777777" w:rsidR="004908AC" w:rsidRDefault="004908AC" w:rsidP="004908AC">
            <w:pPr>
              <w:pStyle w:val="TableText"/>
              <w:rPr>
                <w:b/>
                <w:bCs/>
              </w:rPr>
            </w:pPr>
            <w:r w:rsidRPr="004908AC">
              <w:rPr>
                <w:b/>
                <w:bCs/>
              </w:rPr>
              <w:t xml:space="preserve">Non-departmental output expenses </w:t>
            </w:r>
          </w:p>
          <w:p w14:paraId="78EF261A" w14:textId="1B92D659" w:rsidR="004908AC" w:rsidRPr="00975ED6" w:rsidRDefault="004908AC" w:rsidP="004908AC">
            <w:pPr>
              <w:pStyle w:val="TableText"/>
              <w:rPr>
                <w:b/>
                <w:bCs/>
              </w:rPr>
            </w:pPr>
            <w:r w:rsidRPr="004908AC">
              <w:rPr>
                <w:b/>
                <w:bCs/>
              </w:rPr>
              <w:t>COVID-19 public health response</w:t>
            </w:r>
          </w:p>
        </w:tc>
        <w:tc>
          <w:tcPr>
            <w:tcW w:w="1453" w:type="dxa"/>
          </w:tcPr>
          <w:p w14:paraId="0995B42D" w14:textId="77777777" w:rsidR="004908AC" w:rsidRPr="00975ED6" w:rsidRDefault="004908AC" w:rsidP="001D0A8A">
            <w:pPr>
              <w:pStyle w:val="TableText"/>
              <w:jc w:val="right"/>
              <w:rPr>
                <w:b/>
                <w:bCs/>
              </w:rPr>
            </w:pPr>
          </w:p>
        </w:tc>
        <w:tc>
          <w:tcPr>
            <w:tcW w:w="1453" w:type="dxa"/>
          </w:tcPr>
          <w:p w14:paraId="4F2DD838" w14:textId="77777777" w:rsidR="004908AC" w:rsidRPr="00975ED6" w:rsidRDefault="004908AC" w:rsidP="001D0A8A">
            <w:pPr>
              <w:pStyle w:val="TableText"/>
              <w:jc w:val="right"/>
              <w:rPr>
                <w:b/>
                <w:bCs/>
              </w:rPr>
            </w:pPr>
          </w:p>
        </w:tc>
      </w:tr>
      <w:tr w:rsidR="004908AC" w:rsidRPr="00CB0000" w14:paraId="3207F355" w14:textId="77777777" w:rsidTr="001D0A8A">
        <w:tc>
          <w:tcPr>
            <w:tcW w:w="2552" w:type="dxa"/>
          </w:tcPr>
          <w:p w14:paraId="5015DA26" w14:textId="77777777" w:rsidR="004908AC" w:rsidRPr="00CB0000" w:rsidRDefault="004908AC" w:rsidP="004908AC">
            <w:pPr>
              <w:pStyle w:val="TableText"/>
            </w:pPr>
            <w:r w:rsidRPr="00CD012A">
              <w:t>Total expenses</w:t>
            </w:r>
          </w:p>
        </w:tc>
        <w:tc>
          <w:tcPr>
            <w:tcW w:w="1453" w:type="dxa"/>
          </w:tcPr>
          <w:p w14:paraId="715EC1B0" w14:textId="785FA89E" w:rsidR="004908AC" w:rsidRPr="00CB0000" w:rsidRDefault="004908AC" w:rsidP="004908AC">
            <w:pPr>
              <w:pStyle w:val="TableText"/>
              <w:jc w:val="right"/>
            </w:pPr>
            <w:r w:rsidRPr="00BA5AF0">
              <w:t>217,580</w:t>
            </w:r>
          </w:p>
        </w:tc>
        <w:tc>
          <w:tcPr>
            <w:tcW w:w="1453" w:type="dxa"/>
          </w:tcPr>
          <w:p w14:paraId="5B396DA1" w14:textId="0A0ADF9F" w:rsidR="004908AC" w:rsidRPr="00CB0000" w:rsidRDefault="004908AC" w:rsidP="004908AC">
            <w:pPr>
              <w:pStyle w:val="TableText"/>
              <w:jc w:val="right"/>
            </w:pPr>
            <w:r w:rsidRPr="006B7401">
              <w:t>850,725</w:t>
            </w:r>
          </w:p>
        </w:tc>
        <w:tc>
          <w:tcPr>
            <w:tcW w:w="1453" w:type="dxa"/>
          </w:tcPr>
          <w:p w14:paraId="452F9A85" w14:textId="0E0C7D95" w:rsidR="004908AC" w:rsidRPr="00CB0000" w:rsidRDefault="004908AC" w:rsidP="004908AC">
            <w:pPr>
              <w:pStyle w:val="TableText"/>
              <w:jc w:val="right"/>
            </w:pPr>
            <w:r w:rsidRPr="00233950">
              <w:t>3,772,907</w:t>
            </w:r>
          </w:p>
        </w:tc>
        <w:tc>
          <w:tcPr>
            <w:tcW w:w="1453" w:type="dxa"/>
          </w:tcPr>
          <w:p w14:paraId="4E47C2C6" w14:textId="27FD64D0" w:rsidR="004908AC" w:rsidRPr="00CB0000" w:rsidRDefault="004908AC" w:rsidP="004908AC">
            <w:pPr>
              <w:pStyle w:val="TableText"/>
              <w:jc w:val="right"/>
            </w:pPr>
            <w:r w:rsidRPr="00B86F6C">
              <w:t>2,406,847</w:t>
            </w:r>
          </w:p>
        </w:tc>
      </w:tr>
      <w:tr w:rsidR="004908AC" w:rsidRPr="00975ED6" w14:paraId="1FA188CA" w14:textId="77777777" w:rsidTr="001D0A8A">
        <w:tc>
          <w:tcPr>
            <w:tcW w:w="2552" w:type="dxa"/>
          </w:tcPr>
          <w:p w14:paraId="760ECFB4" w14:textId="77777777" w:rsidR="004908AC" w:rsidRPr="00975ED6" w:rsidRDefault="004908AC" w:rsidP="004908AC">
            <w:pPr>
              <w:pStyle w:val="TableText"/>
              <w:rPr>
                <w:b/>
                <w:bCs/>
              </w:rPr>
            </w:pPr>
            <w:r w:rsidRPr="00975ED6">
              <w:rPr>
                <w:b/>
                <w:bCs/>
              </w:rPr>
              <w:t>Total MCA expenses</w:t>
            </w:r>
          </w:p>
        </w:tc>
        <w:tc>
          <w:tcPr>
            <w:tcW w:w="1453" w:type="dxa"/>
          </w:tcPr>
          <w:p w14:paraId="314325B3" w14:textId="08D49ED4" w:rsidR="004908AC" w:rsidRPr="00953192" w:rsidRDefault="004908AC" w:rsidP="004908AC">
            <w:pPr>
              <w:pStyle w:val="TableText"/>
              <w:jc w:val="right"/>
              <w:rPr>
                <w:b/>
                <w:bCs/>
              </w:rPr>
            </w:pPr>
            <w:r w:rsidRPr="00953192">
              <w:rPr>
                <w:b/>
                <w:bCs/>
              </w:rPr>
              <w:t>230,830</w:t>
            </w:r>
          </w:p>
        </w:tc>
        <w:tc>
          <w:tcPr>
            <w:tcW w:w="1453" w:type="dxa"/>
          </w:tcPr>
          <w:p w14:paraId="780A20DC" w14:textId="5E3189DC" w:rsidR="004908AC" w:rsidRPr="00953192" w:rsidRDefault="004908AC" w:rsidP="004908AC">
            <w:pPr>
              <w:pStyle w:val="TableText"/>
              <w:jc w:val="right"/>
              <w:rPr>
                <w:b/>
                <w:bCs/>
              </w:rPr>
            </w:pPr>
            <w:r w:rsidRPr="00953192">
              <w:rPr>
                <w:b/>
                <w:bCs/>
              </w:rPr>
              <w:t>894,022</w:t>
            </w:r>
          </w:p>
        </w:tc>
        <w:tc>
          <w:tcPr>
            <w:tcW w:w="1453" w:type="dxa"/>
          </w:tcPr>
          <w:p w14:paraId="379B9A26" w14:textId="103A6512" w:rsidR="004908AC" w:rsidRPr="00953192" w:rsidRDefault="004908AC" w:rsidP="004908AC">
            <w:pPr>
              <w:pStyle w:val="TableText"/>
              <w:jc w:val="right"/>
              <w:rPr>
                <w:b/>
                <w:bCs/>
              </w:rPr>
            </w:pPr>
            <w:r w:rsidRPr="00953192">
              <w:rPr>
                <w:b/>
                <w:bCs/>
              </w:rPr>
              <w:t>3,862,404</w:t>
            </w:r>
          </w:p>
        </w:tc>
        <w:tc>
          <w:tcPr>
            <w:tcW w:w="1453" w:type="dxa"/>
          </w:tcPr>
          <w:p w14:paraId="677571F4" w14:textId="3F114EE9" w:rsidR="004908AC" w:rsidRPr="00953192" w:rsidRDefault="004908AC" w:rsidP="004908AC">
            <w:pPr>
              <w:pStyle w:val="TableText"/>
              <w:jc w:val="right"/>
              <w:rPr>
                <w:b/>
                <w:bCs/>
              </w:rPr>
            </w:pPr>
            <w:r w:rsidRPr="00953192">
              <w:rPr>
                <w:b/>
                <w:bCs/>
              </w:rPr>
              <w:t>2,473,722</w:t>
            </w:r>
          </w:p>
        </w:tc>
      </w:tr>
    </w:tbl>
    <w:p w14:paraId="003C373C" w14:textId="77777777" w:rsidR="004908AC" w:rsidRPr="004908AC" w:rsidRDefault="004908AC" w:rsidP="004908AC"/>
    <w:p w14:paraId="036EC92C" w14:textId="77777777" w:rsidR="002918A6" w:rsidRDefault="002918A6" w:rsidP="002918A6">
      <w:pPr>
        <w:rPr>
          <w:rFonts w:eastAsia="Arial Unicode MS"/>
        </w:rPr>
      </w:pPr>
    </w:p>
    <w:p w14:paraId="4EB172BC" w14:textId="088B7589" w:rsidR="002918A6" w:rsidRDefault="002918A6" w:rsidP="002918A6">
      <w:pPr>
        <w:rPr>
          <w:rFonts w:eastAsia="Arial Unicode MS"/>
        </w:rPr>
      </w:pPr>
    </w:p>
    <w:p w14:paraId="6928C289" w14:textId="626E29E3" w:rsidR="002918A6" w:rsidRDefault="002918A6" w:rsidP="002918A6">
      <w:pPr>
        <w:rPr>
          <w:rFonts w:eastAsia="Arial Unicode MS"/>
        </w:rPr>
      </w:pPr>
    </w:p>
    <w:p w14:paraId="7F3547CC" w14:textId="77777777" w:rsidR="004908AC" w:rsidRPr="004908AC" w:rsidRDefault="004908AC" w:rsidP="004908AC">
      <w:pPr>
        <w:rPr>
          <w:rFonts w:eastAsia="Arial Unicode MS"/>
        </w:rPr>
      </w:pPr>
      <w:r w:rsidRPr="004908AC">
        <w:rPr>
          <w:rFonts w:eastAsia="Arial Unicode MS"/>
        </w:rPr>
        <w:lastRenderedPageBreak/>
        <w:t>The National response to COVID-19 across the health sector actual spend was higher than the initial budget due to additional funding required for:</w:t>
      </w:r>
    </w:p>
    <w:p w14:paraId="3A10604F" w14:textId="090E8076" w:rsidR="004908AC" w:rsidRPr="004908AC" w:rsidRDefault="004908AC" w:rsidP="004908AC">
      <w:pPr>
        <w:pStyle w:val="Bullet"/>
        <w:rPr>
          <w:rFonts w:eastAsia="Arial Unicode MS"/>
        </w:rPr>
      </w:pPr>
      <w:r w:rsidRPr="004908AC">
        <w:rPr>
          <w:rFonts w:eastAsia="Arial Unicode MS"/>
        </w:rPr>
        <w:t>meeting the ongoing costs of the public health response to COVID-19 and supporting community-based testing for COVID-19</w:t>
      </w:r>
    </w:p>
    <w:p w14:paraId="214B92A3" w14:textId="4B721187" w:rsidR="004908AC" w:rsidRPr="004908AC" w:rsidRDefault="004908AC" w:rsidP="004908AC">
      <w:pPr>
        <w:pStyle w:val="Bullet"/>
        <w:rPr>
          <w:rFonts w:eastAsia="Arial Unicode MS"/>
        </w:rPr>
      </w:pPr>
      <w:r w:rsidRPr="004908AC">
        <w:rPr>
          <w:rFonts w:eastAsia="Arial Unicode MS"/>
        </w:rPr>
        <w:t>supporting the ongoing health system response to COVID-19 including testing, case investigation, contact tracing and to support the transition to the minimisation and protection framework</w:t>
      </w:r>
    </w:p>
    <w:p w14:paraId="6B454C2E" w14:textId="0070CA70" w:rsidR="004908AC" w:rsidRPr="004908AC" w:rsidRDefault="004908AC" w:rsidP="004908AC">
      <w:pPr>
        <w:pStyle w:val="Bullet"/>
        <w:rPr>
          <w:rFonts w:eastAsia="Arial Unicode MS"/>
        </w:rPr>
      </w:pPr>
      <w:r w:rsidRPr="004908AC">
        <w:rPr>
          <w:rFonts w:eastAsia="Arial Unicode MS"/>
        </w:rPr>
        <w:t>supporting the delivery of the COVID-19 Care in the community work programme which devolves responsibility for various parts of the patient journey to appropriate local providers via regional coordination centres</w:t>
      </w:r>
    </w:p>
    <w:p w14:paraId="5C88802A" w14:textId="290FC0DD" w:rsidR="004908AC" w:rsidRPr="004908AC" w:rsidRDefault="004908AC" w:rsidP="004908AC">
      <w:pPr>
        <w:pStyle w:val="Bullet"/>
        <w:rPr>
          <w:rFonts w:eastAsia="Arial Unicode MS"/>
        </w:rPr>
      </w:pPr>
      <w:r w:rsidRPr="004908AC">
        <w:rPr>
          <w:rFonts w:eastAsia="Arial Unicode MS"/>
        </w:rPr>
        <w:t>additional supply of personal protective equipment (PPE) to meet demand requirements.</w:t>
      </w:r>
    </w:p>
    <w:p w14:paraId="69388ACF" w14:textId="77777777" w:rsidR="004908AC" w:rsidRDefault="004908AC" w:rsidP="004908AC">
      <w:pPr>
        <w:rPr>
          <w:rFonts w:eastAsia="Arial Unicode MS"/>
        </w:rPr>
      </w:pPr>
    </w:p>
    <w:p w14:paraId="7BA9A40B" w14:textId="5C66A799" w:rsidR="004908AC" w:rsidRPr="004908AC" w:rsidRDefault="004908AC" w:rsidP="004908AC">
      <w:pPr>
        <w:rPr>
          <w:rFonts w:eastAsia="Arial Unicode MS"/>
        </w:rPr>
      </w:pPr>
      <w:r w:rsidRPr="004908AC">
        <w:rPr>
          <w:rFonts w:eastAsia="Arial Unicode MS"/>
        </w:rPr>
        <w:t>The Joint Ministers have approved in-principle expense transfers from 2021/22 to 2022/23 of up to:</w:t>
      </w:r>
    </w:p>
    <w:p w14:paraId="36074391" w14:textId="50BD3304" w:rsidR="004908AC" w:rsidRPr="004908AC" w:rsidRDefault="004908AC" w:rsidP="004908AC">
      <w:pPr>
        <w:pStyle w:val="Bullet"/>
        <w:rPr>
          <w:rFonts w:eastAsia="Arial Unicode MS"/>
        </w:rPr>
      </w:pPr>
      <w:r w:rsidRPr="004908AC">
        <w:rPr>
          <w:rFonts w:eastAsia="Arial Unicode MS"/>
        </w:rPr>
        <w:t>National health response to COVID-19 - $16 million</w:t>
      </w:r>
    </w:p>
    <w:p w14:paraId="4FB7D808" w14:textId="101B2B95" w:rsidR="004908AC" w:rsidRPr="004908AC" w:rsidRDefault="004908AC" w:rsidP="004908AC">
      <w:pPr>
        <w:pStyle w:val="Bullet"/>
        <w:rPr>
          <w:rFonts w:eastAsia="Arial Unicode MS"/>
        </w:rPr>
      </w:pPr>
      <w:r w:rsidRPr="004908AC">
        <w:rPr>
          <w:rFonts w:eastAsia="Arial Unicode MS"/>
        </w:rPr>
        <w:t>COVID-19 Public Health response - $1,149.268 million</w:t>
      </w:r>
    </w:p>
    <w:p w14:paraId="747F6885" w14:textId="77777777" w:rsidR="004908AC" w:rsidRDefault="004908AC" w:rsidP="004908AC">
      <w:pPr>
        <w:rPr>
          <w:rFonts w:eastAsia="Arial Unicode MS"/>
        </w:rPr>
      </w:pPr>
    </w:p>
    <w:p w14:paraId="3749DE34" w14:textId="56D9A2E3" w:rsidR="004908AC" w:rsidRDefault="004908AC" w:rsidP="004908AC">
      <w:pPr>
        <w:rPr>
          <w:rFonts w:eastAsia="Arial Unicode MS"/>
        </w:rPr>
      </w:pPr>
      <w:r w:rsidRPr="004908AC">
        <w:rPr>
          <w:rFonts w:eastAsia="Arial Unicode MS"/>
        </w:rPr>
        <w:t>The in-principle expense transfers will be confirmed as part of the 2022 October Baseline Update.</w:t>
      </w:r>
    </w:p>
    <w:p w14:paraId="43EA640A" w14:textId="77777777" w:rsidR="004908AC" w:rsidRPr="004908AC" w:rsidRDefault="004908AC" w:rsidP="004908AC">
      <w:pPr>
        <w:pStyle w:val="Heading3"/>
      </w:pPr>
      <w:bookmarkStart w:id="45" w:name="_Toc117264952"/>
      <w:r w:rsidRPr="004908AC">
        <w:t>Implementing the COVID-19 Vaccine Strategy</w:t>
      </w:r>
      <w:bookmarkEnd w:id="45"/>
    </w:p>
    <w:p w14:paraId="120CB352" w14:textId="3FEE96C8" w:rsidR="004908AC" w:rsidRDefault="004908AC" w:rsidP="004908AC">
      <w:pPr>
        <w:rPr>
          <w:rFonts w:eastAsia="Arial Unicode MS"/>
        </w:rPr>
      </w:pPr>
      <w:r w:rsidRPr="004908AC">
        <w:rPr>
          <w:rFonts w:eastAsia="Arial Unicode MS"/>
        </w:rPr>
        <w:t>The single overarching purpose of this appropriation is to implement the COVID-19 vaccine strategy so as to minimise the health impacts of COVID-19.</w:t>
      </w:r>
    </w:p>
    <w:p w14:paraId="3F1B3C44" w14:textId="77777777" w:rsidR="004908AC" w:rsidRPr="004908AC" w:rsidRDefault="004908AC" w:rsidP="004908AC">
      <w:pPr>
        <w:rPr>
          <w:rFonts w:eastAsia="Arial Unicode MS"/>
        </w:rPr>
      </w:pPr>
    </w:p>
    <w:p w14:paraId="0C48028C" w14:textId="77777777" w:rsidR="004908AC" w:rsidRPr="004908AC" w:rsidRDefault="004908AC" w:rsidP="004908AC">
      <w:pPr>
        <w:rPr>
          <w:rFonts w:eastAsia="Arial Unicode MS"/>
        </w:rPr>
      </w:pPr>
      <w:r w:rsidRPr="004908AC">
        <w:rPr>
          <w:rFonts w:eastAsia="Arial Unicode MS"/>
        </w:rPr>
        <w:t>This appropriation is intended for the purchase of potential and proven COVID-19 vaccines and other therapeutics and the delivery of COVID-19 vaccines through an immunisation programme.</w:t>
      </w:r>
    </w:p>
    <w:p w14:paraId="18AC0CDC" w14:textId="12E3CCBB" w:rsidR="004908AC" w:rsidRDefault="004908AC" w:rsidP="004908AC">
      <w:pPr>
        <w:pStyle w:val="Heading4"/>
      </w:pPr>
      <w:r w:rsidRPr="004908AC">
        <w:t>Performance assessment</w:t>
      </w: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028"/>
      </w:tblGrid>
      <w:tr w:rsidR="004908AC" w:rsidRPr="00950725" w14:paraId="2E29485E" w14:textId="77777777" w:rsidTr="001D0A8A">
        <w:trPr>
          <w:trHeight w:val="496"/>
          <w:tblHeader/>
        </w:trPr>
        <w:tc>
          <w:tcPr>
            <w:tcW w:w="3686" w:type="dxa"/>
            <w:tcBorders>
              <w:top w:val="nil"/>
              <w:bottom w:val="nil"/>
            </w:tcBorders>
            <w:shd w:val="clear" w:color="auto" w:fill="D9D9D9" w:themeFill="background1" w:themeFillShade="D9"/>
          </w:tcPr>
          <w:p w14:paraId="4B17ADF2" w14:textId="77777777" w:rsidR="004908AC" w:rsidRPr="006A19AA" w:rsidRDefault="004908AC" w:rsidP="001D0A8A">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6678EF42" w14:textId="77777777" w:rsidR="004908AC" w:rsidRPr="00950725" w:rsidRDefault="004908AC" w:rsidP="001D0A8A">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487FA8B8" w14:textId="77777777" w:rsidR="004908AC" w:rsidRPr="00950725" w:rsidRDefault="004908AC" w:rsidP="001D0A8A">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64786A57" w14:textId="77777777" w:rsidR="004908AC" w:rsidRPr="00950725" w:rsidRDefault="004908AC" w:rsidP="001D0A8A">
            <w:pPr>
              <w:pStyle w:val="TableText"/>
              <w:jc w:val="right"/>
              <w:rPr>
                <w:b/>
                <w:bCs/>
              </w:rPr>
            </w:pPr>
            <w:r w:rsidRPr="00950725">
              <w:rPr>
                <w:b/>
                <w:bCs/>
                <w:w w:val="110"/>
              </w:rPr>
              <w:t>Actual</w:t>
            </w:r>
          </w:p>
        </w:tc>
        <w:tc>
          <w:tcPr>
            <w:tcW w:w="1028" w:type="dxa"/>
            <w:tcBorders>
              <w:top w:val="nil"/>
              <w:bottom w:val="nil"/>
            </w:tcBorders>
            <w:shd w:val="clear" w:color="auto" w:fill="D9D9D9" w:themeFill="background1" w:themeFillShade="D9"/>
          </w:tcPr>
          <w:p w14:paraId="7A948117" w14:textId="77777777" w:rsidR="004908AC" w:rsidRPr="00950725" w:rsidRDefault="004908AC" w:rsidP="001D0A8A">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4908AC" w14:paraId="10815A6F" w14:textId="77777777" w:rsidTr="001D0A8A">
        <w:trPr>
          <w:trHeight w:val="344"/>
          <w:tblHeader/>
        </w:trPr>
        <w:tc>
          <w:tcPr>
            <w:tcW w:w="3686" w:type="dxa"/>
            <w:tcBorders>
              <w:top w:val="nil"/>
              <w:bottom w:val="nil"/>
            </w:tcBorders>
            <w:shd w:val="clear" w:color="auto" w:fill="D9D9D9" w:themeFill="background1" w:themeFillShade="D9"/>
          </w:tcPr>
          <w:p w14:paraId="00C9FF1E" w14:textId="77777777" w:rsidR="004908AC" w:rsidRDefault="004908AC" w:rsidP="001D0A8A">
            <w:pPr>
              <w:pStyle w:val="TableText"/>
              <w:spacing w:after="0"/>
              <w:rPr>
                <w:w w:val="105"/>
              </w:rPr>
            </w:pPr>
          </w:p>
        </w:tc>
        <w:tc>
          <w:tcPr>
            <w:tcW w:w="1169" w:type="dxa"/>
            <w:tcBorders>
              <w:top w:val="nil"/>
              <w:bottom w:val="nil"/>
            </w:tcBorders>
            <w:shd w:val="clear" w:color="auto" w:fill="D9D9D9" w:themeFill="background1" w:themeFillShade="D9"/>
          </w:tcPr>
          <w:p w14:paraId="604CC184" w14:textId="77777777" w:rsidR="004908AC" w:rsidRDefault="004908AC" w:rsidP="001D0A8A">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7BA8D7D1" w14:textId="77777777" w:rsidR="004908AC" w:rsidRDefault="004908AC" w:rsidP="001D0A8A">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176C63B1" w14:textId="77777777" w:rsidR="004908AC" w:rsidRDefault="004908AC" w:rsidP="001D0A8A">
            <w:pPr>
              <w:pStyle w:val="TableText"/>
              <w:spacing w:before="0"/>
              <w:jc w:val="right"/>
              <w:rPr>
                <w:rFonts w:ascii="Times New Roman"/>
              </w:rPr>
            </w:pPr>
            <w:r w:rsidRPr="00950725">
              <w:rPr>
                <w:b/>
                <w:bCs/>
                <w:w w:val="105"/>
              </w:rPr>
              <w:t>2021/22</w:t>
            </w:r>
          </w:p>
        </w:tc>
        <w:tc>
          <w:tcPr>
            <w:tcW w:w="1028" w:type="dxa"/>
            <w:tcBorders>
              <w:top w:val="nil"/>
              <w:bottom w:val="nil"/>
            </w:tcBorders>
            <w:shd w:val="clear" w:color="auto" w:fill="D9D9D9" w:themeFill="background1" w:themeFillShade="D9"/>
          </w:tcPr>
          <w:p w14:paraId="34392D08" w14:textId="77777777" w:rsidR="004908AC" w:rsidRDefault="004908AC" w:rsidP="001D0A8A">
            <w:pPr>
              <w:pStyle w:val="TableText"/>
              <w:jc w:val="right"/>
              <w:rPr>
                <w:rFonts w:ascii="Times New Roman"/>
              </w:rPr>
            </w:pPr>
          </w:p>
        </w:tc>
      </w:tr>
      <w:tr w:rsidR="004908AC" w:rsidRPr="00950725" w14:paraId="50653A77" w14:textId="77777777" w:rsidTr="001D0A8A">
        <w:trPr>
          <w:trHeight w:val="344"/>
        </w:trPr>
        <w:tc>
          <w:tcPr>
            <w:tcW w:w="3686" w:type="dxa"/>
            <w:tcBorders>
              <w:top w:val="nil"/>
              <w:bottom w:val="nil"/>
            </w:tcBorders>
          </w:tcPr>
          <w:p w14:paraId="4D771596" w14:textId="77777777" w:rsidR="004908AC" w:rsidRPr="00950725" w:rsidRDefault="004908AC" w:rsidP="001D0A8A">
            <w:pPr>
              <w:pStyle w:val="TableText"/>
              <w:rPr>
                <w:b/>
                <w:bCs/>
              </w:rPr>
            </w:pPr>
            <w:r w:rsidRPr="006A19AA">
              <w:rPr>
                <w:b/>
                <w:bCs/>
              </w:rPr>
              <w:t>Performance for the MCA as a whole</w:t>
            </w:r>
          </w:p>
        </w:tc>
        <w:tc>
          <w:tcPr>
            <w:tcW w:w="1169" w:type="dxa"/>
            <w:tcBorders>
              <w:top w:val="nil"/>
              <w:bottom w:val="nil"/>
            </w:tcBorders>
          </w:tcPr>
          <w:p w14:paraId="6C83FD59" w14:textId="77777777" w:rsidR="004908AC" w:rsidRPr="00950725" w:rsidRDefault="004908AC" w:rsidP="001D0A8A">
            <w:pPr>
              <w:pStyle w:val="TableText"/>
              <w:jc w:val="right"/>
              <w:rPr>
                <w:rFonts w:ascii="Times New Roman"/>
                <w:b/>
                <w:bCs/>
              </w:rPr>
            </w:pPr>
          </w:p>
        </w:tc>
        <w:tc>
          <w:tcPr>
            <w:tcW w:w="1170" w:type="dxa"/>
            <w:tcBorders>
              <w:top w:val="nil"/>
              <w:bottom w:val="nil"/>
            </w:tcBorders>
          </w:tcPr>
          <w:p w14:paraId="1E9B21B7" w14:textId="77777777" w:rsidR="004908AC" w:rsidRPr="00950725" w:rsidRDefault="004908AC" w:rsidP="001D0A8A">
            <w:pPr>
              <w:pStyle w:val="TableText"/>
              <w:jc w:val="right"/>
              <w:rPr>
                <w:rFonts w:ascii="Times New Roman"/>
                <w:b/>
                <w:bCs/>
              </w:rPr>
            </w:pPr>
          </w:p>
        </w:tc>
        <w:tc>
          <w:tcPr>
            <w:tcW w:w="1169" w:type="dxa"/>
            <w:tcBorders>
              <w:top w:val="nil"/>
              <w:bottom w:val="nil"/>
            </w:tcBorders>
          </w:tcPr>
          <w:p w14:paraId="40692FFD" w14:textId="77777777" w:rsidR="004908AC" w:rsidRPr="00950725" w:rsidRDefault="004908AC" w:rsidP="001D0A8A">
            <w:pPr>
              <w:pStyle w:val="TableText"/>
              <w:jc w:val="right"/>
              <w:rPr>
                <w:rFonts w:ascii="Times New Roman"/>
                <w:b/>
                <w:bCs/>
              </w:rPr>
            </w:pPr>
          </w:p>
        </w:tc>
        <w:tc>
          <w:tcPr>
            <w:tcW w:w="1028" w:type="dxa"/>
            <w:tcBorders>
              <w:top w:val="nil"/>
              <w:bottom w:val="nil"/>
            </w:tcBorders>
          </w:tcPr>
          <w:p w14:paraId="1E62D3D4" w14:textId="77777777" w:rsidR="004908AC" w:rsidRPr="00BD4046" w:rsidRDefault="004908AC" w:rsidP="001D0A8A">
            <w:pPr>
              <w:pStyle w:val="TableText"/>
              <w:jc w:val="right"/>
              <w:rPr>
                <w:rFonts w:ascii="Times New Roman"/>
                <w:b/>
                <w:bCs/>
              </w:rPr>
            </w:pPr>
          </w:p>
        </w:tc>
      </w:tr>
      <w:tr w:rsidR="004908AC" w14:paraId="08EDB329" w14:textId="77777777" w:rsidTr="001D0A8A">
        <w:trPr>
          <w:trHeight w:val="77"/>
        </w:trPr>
        <w:tc>
          <w:tcPr>
            <w:tcW w:w="3686" w:type="dxa"/>
            <w:tcBorders>
              <w:top w:val="nil"/>
            </w:tcBorders>
          </w:tcPr>
          <w:p w14:paraId="5680C7E3" w14:textId="5938CBED" w:rsidR="004908AC" w:rsidRDefault="004908AC" w:rsidP="001D0A8A">
            <w:pPr>
              <w:pStyle w:val="TableText"/>
            </w:pPr>
            <w:r w:rsidRPr="004908AC">
              <w:t>Ministerial satisfaction with the implementation of the COVID-19 vaccine strategy</w:t>
            </w:r>
          </w:p>
        </w:tc>
        <w:tc>
          <w:tcPr>
            <w:tcW w:w="1169" w:type="dxa"/>
            <w:tcBorders>
              <w:top w:val="nil"/>
            </w:tcBorders>
          </w:tcPr>
          <w:p w14:paraId="25813572" w14:textId="1BAAA1FB" w:rsidR="004908AC" w:rsidRDefault="004908AC" w:rsidP="001D0A8A">
            <w:pPr>
              <w:pStyle w:val="TableText"/>
              <w:jc w:val="right"/>
            </w:pPr>
            <w:r>
              <w:t>5</w:t>
            </w:r>
          </w:p>
        </w:tc>
        <w:tc>
          <w:tcPr>
            <w:tcW w:w="1170" w:type="dxa"/>
            <w:tcBorders>
              <w:top w:val="nil"/>
            </w:tcBorders>
          </w:tcPr>
          <w:p w14:paraId="68EC120E" w14:textId="77777777" w:rsidR="004908AC" w:rsidRDefault="004908AC" w:rsidP="001D0A8A">
            <w:pPr>
              <w:pStyle w:val="TableText"/>
              <w:jc w:val="right"/>
            </w:pPr>
            <w:r w:rsidRPr="006A19AA">
              <w:t>Equal to or greater than 4 out</w:t>
            </w:r>
            <w:r>
              <w:t xml:space="preserve"> of 5</w:t>
            </w:r>
          </w:p>
        </w:tc>
        <w:tc>
          <w:tcPr>
            <w:tcW w:w="1169" w:type="dxa"/>
            <w:tcBorders>
              <w:top w:val="nil"/>
            </w:tcBorders>
          </w:tcPr>
          <w:p w14:paraId="437D9367" w14:textId="46E309E4" w:rsidR="004908AC" w:rsidRDefault="004908AC" w:rsidP="001D0A8A">
            <w:pPr>
              <w:pStyle w:val="TableText"/>
              <w:jc w:val="right"/>
            </w:pPr>
            <w:r>
              <w:t>5</w:t>
            </w:r>
          </w:p>
        </w:tc>
        <w:tc>
          <w:tcPr>
            <w:tcW w:w="1028" w:type="dxa"/>
            <w:tcBorders>
              <w:top w:val="nil"/>
            </w:tcBorders>
          </w:tcPr>
          <w:p w14:paraId="438CBAF9" w14:textId="143F4605" w:rsidR="004908AC" w:rsidRPr="00BD4046" w:rsidRDefault="004908AC" w:rsidP="001D0A8A">
            <w:pPr>
              <w:pStyle w:val="TableText"/>
              <w:jc w:val="right"/>
              <w:rPr>
                <w:rFonts w:cs="Segoe UI"/>
                <w:sz w:val="28"/>
              </w:rPr>
            </w:pPr>
            <w:r w:rsidRPr="00E1157F">
              <w:rPr>
                <w:b/>
                <w:bCs/>
              </w:rPr>
              <w:sym w:font="Wingdings" w:char="F0FC"/>
            </w:r>
          </w:p>
        </w:tc>
      </w:tr>
    </w:tbl>
    <w:p w14:paraId="7523EC7F" w14:textId="77777777" w:rsidR="00953192" w:rsidRDefault="00953192" w:rsidP="004908AC">
      <w:pPr>
        <w:pStyle w:val="Heading5"/>
        <w:sectPr w:rsidR="00953192" w:rsidSect="00C26282">
          <w:pgSz w:w="11907" w:h="16840" w:code="9"/>
          <w:pgMar w:top="1418" w:right="1701" w:bottom="1134" w:left="1843" w:header="284" w:footer="425" w:gutter="284"/>
          <w:cols w:space="720"/>
        </w:sectPr>
      </w:pPr>
    </w:p>
    <w:p w14:paraId="1371E8E0" w14:textId="2346FB50" w:rsidR="004908AC" w:rsidRPr="004908AC" w:rsidRDefault="004908AC" w:rsidP="004908AC">
      <w:pPr>
        <w:pStyle w:val="Heading5"/>
      </w:pPr>
      <w:r w:rsidRPr="004908AC">
        <w:lastRenderedPageBreak/>
        <w:t>Departmental output expenses – Supporting the implementation of the COVID-19 vaccine strategy</w:t>
      </w:r>
    </w:p>
    <w:p w14:paraId="58D108F6" w14:textId="4E442A70" w:rsidR="004908AC" w:rsidRDefault="004908AC" w:rsidP="004908AC">
      <w:pPr>
        <w:rPr>
          <w:rFonts w:eastAsia="Arial Unicode MS"/>
        </w:rPr>
      </w:pPr>
      <w:r w:rsidRPr="004908AC">
        <w:rPr>
          <w:rFonts w:eastAsia="Arial Unicode MS"/>
        </w:rPr>
        <w:t>This category is limited to advising on the COVID-19 Vaccine Strategy, administering the purchase of COVID-19 vaccines and other therapeutics, and supporting the delivery of an immunisation programme for COVID-19 vaccines.</w:t>
      </w:r>
    </w:p>
    <w:p w14:paraId="281CEDBF" w14:textId="78D970CE" w:rsidR="004908AC" w:rsidRDefault="004908AC" w:rsidP="004908AC">
      <w:pPr>
        <w:rPr>
          <w:rFonts w:eastAsia="Arial Unicode MS"/>
        </w:rPr>
      </w:pP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028"/>
      </w:tblGrid>
      <w:tr w:rsidR="004908AC" w:rsidRPr="00950725" w14:paraId="1C938B8E" w14:textId="77777777" w:rsidTr="001D0A8A">
        <w:trPr>
          <w:trHeight w:val="496"/>
          <w:tblHeader/>
        </w:trPr>
        <w:tc>
          <w:tcPr>
            <w:tcW w:w="3686" w:type="dxa"/>
            <w:tcBorders>
              <w:top w:val="nil"/>
              <w:bottom w:val="nil"/>
            </w:tcBorders>
            <w:shd w:val="clear" w:color="auto" w:fill="D9D9D9" w:themeFill="background1" w:themeFillShade="D9"/>
          </w:tcPr>
          <w:p w14:paraId="4D37B550" w14:textId="77777777" w:rsidR="004908AC" w:rsidRPr="006A19AA" w:rsidRDefault="004908AC" w:rsidP="001D0A8A">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6D339A12" w14:textId="77777777" w:rsidR="004908AC" w:rsidRPr="00950725" w:rsidRDefault="004908AC" w:rsidP="001D0A8A">
            <w:pPr>
              <w:pStyle w:val="TableText"/>
              <w:jc w:val="right"/>
              <w:rPr>
                <w:b/>
                <w:bCs/>
              </w:rPr>
            </w:pPr>
            <w:r w:rsidRPr="00950725">
              <w:rPr>
                <w:b/>
                <w:bCs/>
                <w:w w:val="110"/>
              </w:rPr>
              <w:t>Actual</w:t>
            </w:r>
          </w:p>
          <w:p w14:paraId="6FAAA6D6" w14:textId="77777777" w:rsidR="004908AC" w:rsidRPr="00950725" w:rsidRDefault="004908AC" w:rsidP="001D0A8A">
            <w:pPr>
              <w:pStyle w:val="TableText"/>
              <w:spacing w:before="0"/>
              <w:jc w:val="right"/>
              <w:rPr>
                <w:b/>
                <w:bCs/>
              </w:rPr>
            </w:pPr>
            <w:r w:rsidRPr="00950725">
              <w:rPr>
                <w:b/>
                <w:bCs/>
                <w:w w:val="105"/>
              </w:rPr>
              <w:t>2021/22</w:t>
            </w:r>
          </w:p>
        </w:tc>
        <w:tc>
          <w:tcPr>
            <w:tcW w:w="1170" w:type="dxa"/>
            <w:tcBorders>
              <w:top w:val="nil"/>
              <w:bottom w:val="nil"/>
            </w:tcBorders>
            <w:shd w:val="clear" w:color="auto" w:fill="D9D9D9" w:themeFill="background1" w:themeFillShade="D9"/>
          </w:tcPr>
          <w:p w14:paraId="00CF5B27" w14:textId="77777777" w:rsidR="004908AC" w:rsidRPr="00950725" w:rsidRDefault="004908AC" w:rsidP="001D0A8A">
            <w:pPr>
              <w:pStyle w:val="TableText"/>
              <w:jc w:val="right"/>
              <w:rPr>
                <w:b/>
                <w:bCs/>
                <w:w w:val="110"/>
              </w:rPr>
            </w:pPr>
            <w:r>
              <w:rPr>
                <w:b/>
                <w:bCs/>
                <w:w w:val="105"/>
              </w:rPr>
              <w:t>Target</w:t>
            </w:r>
          </w:p>
          <w:p w14:paraId="2DE8A0F0" w14:textId="77777777" w:rsidR="004908AC" w:rsidRPr="00950725" w:rsidRDefault="004908AC" w:rsidP="001D0A8A">
            <w:pPr>
              <w:pStyle w:val="TableText"/>
              <w:spacing w:before="0"/>
              <w:jc w:val="right"/>
              <w:rPr>
                <w:b/>
                <w:bCs/>
                <w:w w:val="110"/>
              </w:rPr>
            </w:pPr>
            <w:r w:rsidRPr="00950725">
              <w:rPr>
                <w:b/>
                <w:bCs/>
                <w:w w:val="105"/>
              </w:rPr>
              <w:t>2021/22</w:t>
            </w:r>
          </w:p>
        </w:tc>
        <w:tc>
          <w:tcPr>
            <w:tcW w:w="1169" w:type="dxa"/>
            <w:tcBorders>
              <w:top w:val="nil"/>
              <w:bottom w:val="nil"/>
            </w:tcBorders>
            <w:shd w:val="clear" w:color="auto" w:fill="D9D9D9" w:themeFill="background1" w:themeFillShade="D9"/>
          </w:tcPr>
          <w:p w14:paraId="5072F2C0" w14:textId="77777777" w:rsidR="004908AC" w:rsidRPr="00950725" w:rsidRDefault="004908AC" w:rsidP="001D0A8A">
            <w:pPr>
              <w:pStyle w:val="TableText"/>
              <w:jc w:val="right"/>
              <w:rPr>
                <w:b/>
                <w:bCs/>
              </w:rPr>
            </w:pPr>
            <w:r w:rsidRPr="00950725">
              <w:rPr>
                <w:b/>
                <w:bCs/>
                <w:w w:val="110"/>
              </w:rPr>
              <w:t>Actual</w:t>
            </w:r>
          </w:p>
          <w:p w14:paraId="64D793BD" w14:textId="77777777" w:rsidR="004908AC" w:rsidRPr="00950725" w:rsidRDefault="004908AC" w:rsidP="001D0A8A">
            <w:pPr>
              <w:pStyle w:val="TableText"/>
              <w:spacing w:before="0"/>
              <w:jc w:val="right"/>
              <w:rPr>
                <w:b/>
                <w:bCs/>
              </w:rPr>
            </w:pPr>
            <w:r w:rsidRPr="00950725">
              <w:rPr>
                <w:b/>
                <w:bCs/>
                <w:w w:val="105"/>
              </w:rPr>
              <w:t>2021/22</w:t>
            </w:r>
          </w:p>
        </w:tc>
        <w:tc>
          <w:tcPr>
            <w:tcW w:w="1028" w:type="dxa"/>
            <w:tcBorders>
              <w:top w:val="nil"/>
              <w:bottom w:val="nil"/>
            </w:tcBorders>
            <w:shd w:val="clear" w:color="auto" w:fill="D9D9D9" w:themeFill="background1" w:themeFillShade="D9"/>
          </w:tcPr>
          <w:p w14:paraId="3D4BB60B" w14:textId="77777777" w:rsidR="004908AC" w:rsidRPr="00950725" w:rsidRDefault="004908AC" w:rsidP="001D0A8A">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4908AC" w14:paraId="1EE22C75" w14:textId="77777777" w:rsidTr="001D0A8A">
        <w:trPr>
          <w:trHeight w:val="77"/>
        </w:trPr>
        <w:tc>
          <w:tcPr>
            <w:tcW w:w="3686" w:type="dxa"/>
            <w:tcBorders>
              <w:top w:val="nil"/>
              <w:bottom w:val="single" w:sz="4" w:space="0" w:color="A6A6A6" w:themeColor="background1" w:themeShade="A6"/>
            </w:tcBorders>
          </w:tcPr>
          <w:p w14:paraId="635D8BF8" w14:textId="361C4728" w:rsidR="004908AC" w:rsidRDefault="004908AC" w:rsidP="001D0A8A">
            <w:pPr>
              <w:pStyle w:val="TableText"/>
            </w:pPr>
            <w:r w:rsidRPr="004908AC">
              <w:t>Ministerial satisfaction on Ministry advice in relation to the COVID-19 vaccine strategy</w:t>
            </w:r>
          </w:p>
        </w:tc>
        <w:tc>
          <w:tcPr>
            <w:tcW w:w="1169" w:type="dxa"/>
            <w:tcBorders>
              <w:top w:val="nil"/>
              <w:bottom w:val="single" w:sz="4" w:space="0" w:color="A6A6A6" w:themeColor="background1" w:themeShade="A6"/>
            </w:tcBorders>
          </w:tcPr>
          <w:p w14:paraId="16CF8A94" w14:textId="77777777" w:rsidR="004908AC" w:rsidRDefault="004908AC" w:rsidP="001D0A8A">
            <w:pPr>
              <w:pStyle w:val="TableText"/>
              <w:jc w:val="right"/>
            </w:pPr>
            <w:r w:rsidRPr="007641C3">
              <w:t>New measure</w:t>
            </w:r>
          </w:p>
        </w:tc>
        <w:tc>
          <w:tcPr>
            <w:tcW w:w="1170" w:type="dxa"/>
            <w:tcBorders>
              <w:top w:val="nil"/>
              <w:bottom w:val="single" w:sz="4" w:space="0" w:color="A6A6A6" w:themeColor="background1" w:themeShade="A6"/>
            </w:tcBorders>
          </w:tcPr>
          <w:p w14:paraId="33040F4E" w14:textId="5FD7B292" w:rsidR="004908AC" w:rsidRDefault="004908AC" w:rsidP="004908AC">
            <w:pPr>
              <w:pStyle w:val="TableText"/>
              <w:jc w:val="right"/>
            </w:pPr>
            <w:r>
              <w:t>Equal to or greater than 4 out of 5</w:t>
            </w:r>
          </w:p>
        </w:tc>
        <w:tc>
          <w:tcPr>
            <w:tcW w:w="1169" w:type="dxa"/>
            <w:tcBorders>
              <w:top w:val="nil"/>
              <w:bottom w:val="single" w:sz="4" w:space="0" w:color="A6A6A6" w:themeColor="background1" w:themeShade="A6"/>
            </w:tcBorders>
          </w:tcPr>
          <w:p w14:paraId="3DCBFE60" w14:textId="6CFE8875" w:rsidR="004908AC" w:rsidRDefault="004908AC" w:rsidP="001D0A8A">
            <w:pPr>
              <w:pStyle w:val="TableText"/>
              <w:jc w:val="right"/>
            </w:pPr>
            <w:r>
              <w:t>5</w:t>
            </w:r>
          </w:p>
        </w:tc>
        <w:tc>
          <w:tcPr>
            <w:tcW w:w="1028" w:type="dxa"/>
            <w:tcBorders>
              <w:top w:val="nil"/>
              <w:bottom w:val="single" w:sz="4" w:space="0" w:color="A6A6A6" w:themeColor="background1" w:themeShade="A6"/>
            </w:tcBorders>
          </w:tcPr>
          <w:p w14:paraId="55EA76F3" w14:textId="795E35FB" w:rsidR="004908AC" w:rsidRPr="00BD4046" w:rsidRDefault="004908AC" w:rsidP="001D0A8A">
            <w:pPr>
              <w:pStyle w:val="TableText"/>
              <w:jc w:val="right"/>
              <w:rPr>
                <w:rFonts w:cs="Segoe UI"/>
                <w:sz w:val="28"/>
              </w:rPr>
            </w:pPr>
            <w:r w:rsidRPr="00E1157F">
              <w:rPr>
                <w:b/>
                <w:bCs/>
              </w:rPr>
              <w:sym w:font="Wingdings" w:char="F0FC"/>
            </w:r>
          </w:p>
        </w:tc>
      </w:tr>
    </w:tbl>
    <w:p w14:paraId="5479E165" w14:textId="77777777" w:rsidR="004908AC" w:rsidRPr="004908AC" w:rsidRDefault="004908AC" w:rsidP="004908AC">
      <w:pPr>
        <w:pStyle w:val="Heading5"/>
      </w:pPr>
      <w:r w:rsidRPr="004908AC">
        <w:t>Non-departmental output expenses – Implementing the COVID-19 immunisation programme</w:t>
      </w:r>
    </w:p>
    <w:p w14:paraId="4E1668AC" w14:textId="4B963027" w:rsidR="004908AC" w:rsidRDefault="004908AC" w:rsidP="004908AC">
      <w:pPr>
        <w:rPr>
          <w:rFonts w:eastAsia="Arial Unicode MS"/>
        </w:rPr>
      </w:pPr>
      <w:r w:rsidRPr="004908AC">
        <w:rPr>
          <w:rFonts w:eastAsia="Arial Unicode MS"/>
        </w:rPr>
        <w:t>This category is limited to delivering approved vaccines through an immunisation programme as part of minimising the health impacts of COVID-19.</w:t>
      </w:r>
    </w:p>
    <w:p w14:paraId="5BC2266D" w14:textId="424910C5" w:rsidR="004908AC" w:rsidRDefault="004908AC" w:rsidP="004908AC">
      <w:pPr>
        <w:rPr>
          <w:rFonts w:eastAsia="Arial Unicode MS"/>
        </w:rPr>
      </w:pP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028"/>
      </w:tblGrid>
      <w:tr w:rsidR="00B631F9" w:rsidRPr="00950725" w14:paraId="76CDBF29" w14:textId="77777777" w:rsidTr="001D0A8A">
        <w:trPr>
          <w:trHeight w:val="496"/>
          <w:tblHeader/>
        </w:trPr>
        <w:tc>
          <w:tcPr>
            <w:tcW w:w="3686" w:type="dxa"/>
            <w:tcBorders>
              <w:top w:val="nil"/>
              <w:bottom w:val="nil"/>
            </w:tcBorders>
            <w:shd w:val="clear" w:color="auto" w:fill="D9D9D9" w:themeFill="background1" w:themeFillShade="D9"/>
          </w:tcPr>
          <w:p w14:paraId="7E315E63" w14:textId="77777777" w:rsidR="00B631F9" w:rsidRPr="006A19AA" w:rsidRDefault="00B631F9" w:rsidP="00B631F9">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3ED4F2AD" w14:textId="55E0BB3F" w:rsidR="00B631F9" w:rsidRPr="00950725" w:rsidRDefault="00B631F9" w:rsidP="00B631F9">
            <w:pPr>
              <w:pStyle w:val="TableText"/>
              <w:spacing w:before="0"/>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53B3BF27" w14:textId="204EC8C2" w:rsidR="00B631F9" w:rsidRPr="00950725" w:rsidRDefault="00B631F9" w:rsidP="00B631F9">
            <w:pPr>
              <w:pStyle w:val="TableText"/>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241A22E4" w14:textId="6EF91A76" w:rsidR="00B631F9" w:rsidRPr="00950725" w:rsidRDefault="00B631F9" w:rsidP="00B631F9">
            <w:pPr>
              <w:pStyle w:val="TableText"/>
              <w:spacing w:before="0"/>
              <w:jc w:val="right"/>
              <w:rPr>
                <w:b/>
                <w:bCs/>
              </w:rPr>
            </w:pPr>
            <w:r w:rsidRPr="00950725">
              <w:rPr>
                <w:b/>
                <w:bCs/>
                <w:w w:val="110"/>
              </w:rPr>
              <w:t>Actual</w:t>
            </w:r>
          </w:p>
        </w:tc>
        <w:tc>
          <w:tcPr>
            <w:tcW w:w="1028" w:type="dxa"/>
            <w:tcBorders>
              <w:top w:val="nil"/>
              <w:bottom w:val="nil"/>
            </w:tcBorders>
            <w:shd w:val="clear" w:color="auto" w:fill="D9D9D9" w:themeFill="background1" w:themeFillShade="D9"/>
          </w:tcPr>
          <w:p w14:paraId="19B95A66" w14:textId="714194F1" w:rsidR="00B631F9" w:rsidRPr="00950725" w:rsidRDefault="00B631F9" w:rsidP="00B631F9">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B631F9" w:rsidRPr="00950725" w14:paraId="58AF4A1C" w14:textId="77777777" w:rsidTr="00B631F9">
        <w:trPr>
          <w:trHeight w:val="340"/>
          <w:tblHeader/>
        </w:trPr>
        <w:tc>
          <w:tcPr>
            <w:tcW w:w="3686" w:type="dxa"/>
            <w:tcBorders>
              <w:top w:val="nil"/>
              <w:bottom w:val="nil"/>
            </w:tcBorders>
            <w:shd w:val="clear" w:color="auto" w:fill="D9D9D9" w:themeFill="background1" w:themeFillShade="D9"/>
          </w:tcPr>
          <w:p w14:paraId="736884AA" w14:textId="77777777" w:rsidR="00B631F9" w:rsidRPr="006A19AA" w:rsidRDefault="00B631F9" w:rsidP="00B631F9">
            <w:pPr>
              <w:pStyle w:val="TableText"/>
              <w:spacing w:before="0" w:after="0"/>
              <w:rPr>
                <w:b/>
                <w:bCs/>
              </w:rPr>
            </w:pPr>
          </w:p>
        </w:tc>
        <w:tc>
          <w:tcPr>
            <w:tcW w:w="1169" w:type="dxa"/>
            <w:tcBorders>
              <w:top w:val="nil"/>
              <w:bottom w:val="nil"/>
            </w:tcBorders>
            <w:shd w:val="clear" w:color="auto" w:fill="D9D9D9" w:themeFill="background1" w:themeFillShade="D9"/>
          </w:tcPr>
          <w:p w14:paraId="0BB65995" w14:textId="72493385" w:rsidR="00B631F9" w:rsidRPr="00950725" w:rsidRDefault="00B631F9" w:rsidP="00B631F9">
            <w:pPr>
              <w:pStyle w:val="TableText"/>
              <w:spacing w:before="0" w:after="0"/>
              <w:jc w:val="right"/>
              <w:rPr>
                <w:b/>
                <w:bCs/>
                <w:w w:val="110"/>
              </w:rPr>
            </w:pPr>
            <w:r w:rsidRPr="00950725">
              <w:rPr>
                <w:b/>
                <w:bCs/>
                <w:w w:val="105"/>
              </w:rPr>
              <w:t>2021/22</w:t>
            </w:r>
          </w:p>
        </w:tc>
        <w:tc>
          <w:tcPr>
            <w:tcW w:w="1170" w:type="dxa"/>
            <w:tcBorders>
              <w:top w:val="nil"/>
              <w:bottom w:val="nil"/>
            </w:tcBorders>
            <w:shd w:val="clear" w:color="auto" w:fill="D9D9D9" w:themeFill="background1" w:themeFillShade="D9"/>
          </w:tcPr>
          <w:p w14:paraId="6D976B4A" w14:textId="7D4A622F" w:rsidR="00B631F9" w:rsidRPr="00950725" w:rsidRDefault="00B631F9" w:rsidP="00B631F9">
            <w:pPr>
              <w:pStyle w:val="TableText"/>
              <w:spacing w:before="0" w:after="0"/>
              <w:jc w:val="right"/>
              <w:rPr>
                <w:b/>
                <w:bCs/>
                <w:w w:val="105"/>
              </w:rPr>
            </w:pPr>
            <w:r w:rsidRPr="00950725">
              <w:rPr>
                <w:b/>
                <w:bCs/>
                <w:w w:val="105"/>
              </w:rPr>
              <w:t>2021/22</w:t>
            </w:r>
          </w:p>
        </w:tc>
        <w:tc>
          <w:tcPr>
            <w:tcW w:w="1169" w:type="dxa"/>
            <w:tcBorders>
              <w:top w:val="nil"/>
              <w:bottom w:val="nil"/>
            </w:tcBorders>
            <w:shd w:val="clear" w:color="auto" w:fill="D9D9D9" w:themeFill="background1" w:themeFillShade="D9"/>
          </w:tcPr>
          <w:p w14:paraId="64FBDEA1" w14:textId="29A5A26E" w:rsidR="00B631F9" w:rsidRPr="00950725" w:rsidRDefault="00B631F9" w:rsidP="00B631F9">
            <w:pPr>
              <w:pStyle w:val="TableText"/>
              <w:spacing w:before="0" w:after="0"/>
              <w:jc w:val="right"/>
              <w:rPr>
                <w:b/>
                <w:bCs/>
                <w:w w:val="110"/>
              </w:rPr>
            </w:pPr>
            <w:r w:rsidRPr="00950725">
              <w:rPr>
                <w:b/>
                <w:bCs/>
                <w:w w:val="105"/>
              </w:rPr>
              <w:t>2021/22</w:t>
            </w:r>
          </w:p>
        </w:tc>
        <w:tc>
          <w:tcPr>
            <w:tcW w:w="1028" w:type="dxa"/>
            <w:tcBorders>
              <w:top w:val="nil"/>
              <w:bottom w:val="nil"/>
            </w:tcBorders>
            <w:shd w:val="clear" w:color="auto" w:fill="D9D9D9" w:themeFill="background1" w:themeFillShade="D9"/>
          </w:tcPr>
          <w:p w14:paraId="2D98C44B" w14:textId="77777777" w:rsidR="00B631F9" w:rsidRPr="00950725" w:rsidRDefault="00B631F9" w:rsidP="00B631F9">
            <w:pPr>
              <w:pStyle w:val="TableText"/>
              <w:spacing w:before="0" w:after="0"/>
              <w:jc w:val="right"/>
              <w:rPr>
                <w:b/>
                <w:bCs/>
                <w:spacing w:val="-3"/>
                <w:w w:val="110"/>
              </w:rPr>
            </w:pPr>
          </w:p>
        </w:tc>
      </w:tr>
      <w:tr w:rsidR="004908AC" w14:paraId="08EDE98C" w14:textId="77777777" w:rsidTr="004908AC">
        <w:trPr>
          <w:trHeight w:val="77"/>
        </w:trPr>
        <w:tc>
          <w:tcPr>
            <w:tcW w:w="3686" w:type="dxa"/>
            <w:tcBorders>
              <w:top w:val="nil"/>
              <w:bottom w:val="single" w:sz="4" w:space="0" w:color="A6A6A6" w:themeColor="background1" w:themeShade="A6"/>
            </w:tcBorders>
          </w:tcPr>
          <w:p w14:paraId="4E2B8C5E" w14:textId="20A23ED5" w:rsidR="004908AC" w:rsidRDefault="004908AC" w:rsidP="004908AC">
            <w:pPr>
              <w:pStyle w:val="TableText"/>
            </w:pPr>
            <w:r w:rsidRPr="008959CB">
              <w:t>Providers are enabled to deliver COVID-19 vaccinations in line with national guidance, operations policies, and service standards (Note 1)</w:t>
            </w:r>
          </w:p>
        </w:tc>
        <w:tc>
          <w:tcPr>
            <w:tcW w:w="1169" w:type="dxa"/>
            <w:tcBorders>
              <w:top w:val="nil"/>
              <w:bottom w:val="single" w:sz="4" w:space="0" w:color="A6A6A6" w:themeColor="background1" w:themeShade="A6"/>
            </w:tcBorders>
          </w:tcPr>
          <w:p w14:paraId="77B4D161" w14:textId="6DFD7101" w:rsidR="004908AC" w:rsidRDefault="004908AC" w:rsidP="004908AC">
            <w:pPr>
              <w:pStyle w:val="TableText"/>
              <w:jc w:val="right"/>
            </w:pPr>
            <w:r w:rsidRPr="00691227">
              <w:t>New measure</w:t>
            </w:r>
          </w:p>
        </w:tc>
        <w:tc>
          <w:tcPr>
            <w:tcW w:w="1170" w:type="dxa"/>
            <w:tcBorders>
              <w:top w:val="nil"/>
              <w:bottom w:val="single" w:sz="4" w:space="0" w:color="A6A6A6" w:themeColor="background1" w:themeShade="A6"/>
            </w:tcBorders>
          </w:tcPr>
          <w:p w14:paraId="6ED17145" w14:textId="25CDA354" w:rsidR="004908AC" w:rsidRDefault="004908AC" w:rsidP="004908AC">
            <w:pPr>
              <w:pStyle w:val="TableText"/>
              <w:jc w:val="right"/>
            </w:pPr>
            <w:r w:rsidRPr="00691227">
              <w:t>Achieved</w:t>
            </w:r>
          </w:p>
        </w:tc>
        <w:tc>
          <w:tcPr>
            <w:tcW w:w="1169" w:type="dxa"/>
            <w:tcBorders>
              <w:top w:val="nil"/>
              <w:bottom w:val="single" w:sz="4" w:space="0" w:color="A6A6A6" w:themeColor="background1" w:themeShade="A6"/>
            </w:tcBorders>
          </w:tcPr>
          <w:p w14:paraId="73F347CB" w14:textId="55DB4A34" w:rsidR="004908AC" w:rsidRDefault="004908AC" w:rsidP="004908AC">
            <w:pPr>
              <w:pStyle w:val="TableText"/>
              <w:jc w:val="right"/>
            </w:pPr>
            <w:r w:rsidRPr="00691227">
              <w:t>Achieved</w:t>
            </w:r>
          </w:p>
        </w:tc>
        <w:tc>
          <w:tcPr>
            <w:tcW w:w="1028" w:type="dxa"/>
            <w:tcBorders>
              <w:top w:val="nil"/>
              <w:bottom w:val="single" w:sz="4" w:space="0" w:color="A6A6A6" w:themeColor="background1" w:themeShade="A6"/>
            </w:tcBorders>
          </w:tcPr>
          <w:p w14:paraId="57162DF5" w14:textId="77777777" w:rsidR="004908AC" w:rsidRPr="00BD4046" w:rsidRDefault="004908AC" w:rsidP="004908AC">
            <w:pPr>
              <w:pStyle w:val="TableText"/>
              <w:jc w:val="right"/>
              <w:rPr>
                <w:rFonts w:cs="Segoe UI"/>
                <w:sz w:val="28"/>
              </w:rPr>
            </w:pPr>
            <w:r w:rsidRPr="00E1157F">
              <w:rPr>
                <w:b/>
                <w:bCs/>
              </w:rPr>
              <w:sym w:font="Wingdings" w:char="F0FC"/>
            </w:r>
          </w:p>
        </w:tc>
      </w:tr>
      <w:tr w:rsidR="004908AC" w14:paraId="4A86B42F" w14:textId="77777777" w:rsidTr="004908AC">
        <w:trPr>
          <w:trHeight w:val="77"/>
        </w:trPr>
        <w:tc>
          <w:tcPr>
            <w:tcW w:w="3686" w:type="dxa"/>
            <w:tcBorders>
              <w:top w:val="single" w:sz="4" w:space="0" w:color="A6A6A6" w:themeColor="background1" w:themeShade="A6"/>
              <w:bottom w:val="single" w:sz="4" w:space="0" w:color="A6A6A6" w:themeColor="background1" w:themeShade="A6"/>
            </w:tcBorders>
          </w:tcPr>
          <w:p w14:paraId="09F35DE0" w14:textId="0B514048" w:rsidR="004908AC" w:rsidRPr="004908AC" w:rsidRDefault="004908AC" w:rsidP="004908AC">
            <w:pPr>
              <w:pStyle w:val="TableText"/>
            </w:pPr>
            <w:r w:rsidRPr="008959CB">
              <w:t>Number of approved COVID-19 vaccines administered to individuals in line with the policy settings</w:t>
            </w:r>
          </w:p>
        </w:tc>
        <w:tc>
          <w:tcPr>
            <w:tcW w:w="1169" w:type="dxa"/>
            <w:tcBorders>
              <w:top w:val="single" w:sz="4" w:space="0" w:color="A6A6A6" w:themeColor="background1" w:themeShade="A6"/>
              <w:bottom w:val="single" w:sz="4" w:space="0" w:color="A6A6A6" w:themeColor="background1" w:themeShade="A6"/>
            </w:tcBorders>
          </w:tcPr>
          <w:p w14:paraId="5865102C" w14:textId="58BAA12E" w:rsidR="004908AC" w:rsidRPr="007641C3" w:rsidRDefault="004908AC" w:rsidP="004908AC">
            <w:pPr>
              <w:pStyle w:val="TableText"/>
              <w:jc w:val="right"/>
            </w:pPr>
            <w:r w:rsidRPr="00691227">
              <w:t>Achieved</w:t>
            </w:r>
          </w:p>
        </w:tc>
        <w:tc>
          <w:tcPr>
            <w:tcW w:w="1170" w:type="dxa"/>
            <w:tcBorders>
              <w:top w:val="single" w:sz="4" w:space="0" w:color="A6A6A6" w:themeColor="background1" w:themeShade="A6"/>
              <w:bottom w:val="single" w:sz="4" w:space="0" w:color="A6A6A6" w:themeColor="background1" w:themeShade="A6"/>
            </w:tcBorders>
          </w:tcPr>
          <w:p w14:paraId="382A5D5C" w14:textId="0AC637F5" w:rsidR="004908AC" w:rsidRDefault="004908AC" w:rsidP="004908AC">
            <w:pPr>
              <w:pStyle w:val="TableText"/>
              <w:jc w:val="right"/>
            </w:pPr>
            <w:r w:rsidRPr="00691227">
              <w:t>Achieved</w:t>
            </w:r>
          </w:p>
        </w:tc>
        <w:tc>
          <w:tcPr>
            <w:tcW w:w="1169" w:type="dxa"/>
            <w:tcBorders>
              <w:top w:val="single" w:sz="4" w:space="0" w:color="A6A6A6" w:themeColor="background1" w:themeShade="A6"/>
              <w:bottom w:val="single" w:sz="4" w:space="0" w:color="A6A6A6" w:themeColor="background1" w:themeShade="A6"/>
            </w:tcBorders>
          </w:tcPr>
          <w:p w14:paraId="4C4C6DD5" w14:textId="715D6819" w:rsidR="004908AC" w:rsidRDefault="004908AC" w:rsidP="004908AC">
            <w:pPr>
              <w:pStyle w:val="TableText"/>
              <w:jc w:val="right"/>
            </w:pPr>
            <w:r w:rsidRPr="00691227">
              <w:t>9,967,210</w:t>
            </w:r>
          </w:p>
        </w:tc>
        <w:tc>
          <w:tcPr>
            <w:tcW w:w="1028" w:type="dxa"/>
            <w:tcBorders>
              <w:top w:val="single" w:sz="4" w:space="0" w:color="A6A6A6" w:themeColor="background1" w:themeShade="A6"/>
              <w:bottom w:val="single" w:sz="4" w:space="0" w:color="A6A6A6" w:themeColor="background1" w:themeShade="A6"/>
            </w:tcBorders>
          </w:tcPr>
          <w:p w14:paraId="2B1E754C" w14:textId="66C97C3C" w:rsidR="004908AC" w:rsidRPr="00E1157F" w:rsidRDefault="00EF79FD" w:rsidP="004908AC">
            <w:pPr>
              <w:pStyle w:val="TableText"/>
              <w:jc w:val="right"/>
              <w:rPr>
                <w:b/>
                <w:bCs/>
              </w:rPr>
            </w:pPr>
            <w:r w:rsidRPr="00E1157F">
              <w:rPr>
                <w:b/>
                <w:bCs/>
              </w:rPr>
              <w:sym w:font="Wingdings" w:char="F0FC"/>
            </w:r>
          </w:p>
        </w:tc>
      </w:tr>
    </w:tbl>
    <w:p w14:paraId="55D4F57E" w14:textId="2870E4A6" w:rsidR="00EF79FD" w:rsidRPr="00EF79FD" w:rsidRDefault="00EF79FD" w:rsidP="00EF79FD">
      <w:pPr>
        <w:pStyle w:val="Note"/>
        <w:rPr>
          <w:rFonts w:eastAsia="Arial Unicode MS"/>
        </w:rPr>
      </w:pPr>
      <w:r w:rsidRPr="00EF79FD">
        <w:rPr>
          <w:rFonts w:eastAsia="Arial Unicode MS"/>
        </w:rPr>
        <w:t>Note 1: The programme released the COVID Vaccine and Immunisation Programme (CVIP) operating guidelines in late February 2021, and the Service Standards in May 2021. The provider requirement is adherence.</w:t>
      </w:r>
      <w:r w:rsidR="00B631F9">
        <w:rPr>
          <w:rFonts w:eastAsia="Arial Unicode MS"/>
        </w:rPr>
        <w:t xml:space="preserve"> </w:t>
      </w:r>
      <w:r w:rsidRPr="00EF79FD">
        <w:rPr>
          <w:rFonts w:eastAsia="Arial Unicode MS"/>
        </w:rPr>
        <w:t>Conformance to the Service Standards will be assessed in 2022/23.</w:t>
      </w:r>
    </w:p>
    <w:p w14:paraId="137A0519" w14:textId="77777777" w:rsidR="00EF79FD" w:rsidRPr="00EF79FD" w:rsidRDefault="00EF79FD" w:rsidP="00EF79FD">
      <w:pPr>
        <w:pStyle w:val="Heading5"/>
      </w:pPr>
      <w:r w:rsidRPr="00EF79FD">
        <w:t>Purchasing potential and proven COVID-19 vaccines and other therapeutics</w:t>
      </w:r>
    </w:p>
    <w:p w14:paraId="081521FF" w14:textId="01E315A3" w:rsidR="004908AC" w:rsidRDefault="00EF79FD" w:rsidP="00EF79FD">
      <w:pPr>
        <w:rPr>
          <w:rFonts w:eastAsia="Arial Unicode MS"/>
        </w:rPr>
      </w:pPr>
      <w:r w:rsidRPr="00EF79FD">
        <w:rPr>
          <w:rFonts w:eastAsia="Arial Unicode MS"/>
        </w:rPr>
        <w:t>This category is limited to obtaining potential and proven vaccines and therapeutics as part of minimising the health impacts of COVID-19.</w:t>
      </w:r>
    </w:p>
    <w:p w14:paraId="7FC1C31C" w14:textId="44D99F70" w:rsidR="00EF79FD" w:rsidRDefault="00EF79FD" w:rsidP="00EF79FD">
      <w:pPr>
        <w:rPr>
          <w:rFonts w:eastAsia="Arial Unicode MS"/>
        </w:rPr>
      </w:pP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1169"/>
        <w:gridCol w:w="1170"/>
        <w:gridCol w:w="1169"/>
        <w:gridCol w:w="1028"/>
      </w:tblGrid>
      <w:tr w:rsidR="00DA0F62" w:rsidRPr="00950725" w14:paraId="5CE608A7" w14:textId="77777777" w:rsidTr="001D0A8A">
        <w:trPr>
          <w:trHeight w:val="496"/>
          <w:tblHeader/>
        </w:trPr>
        <w:tc>
          <w:tcPr>
            <w:tcW w:w="3686" w:type="dxa"/>
            <w:tcBorders>
              <w:top w:val="nil"/>
              <w:bottom w:val="nil"/>
            </w:tcBorders>
            <w:shd w:val="clear" w:color="auto" w:fill="D9D9D9" w:themeFill="background1" w:themeFillShade="D9"/>
          </w:tcPr>
          <w:p w14:paraId="568B6204" w14:textId="77777777" w:rsidR="00DA0F62" w:rsidRPr="006A19AA" w:rsidRDefault="00DA0F62" w:rsidP="001D0A8A">
            <w:pPr>
              <w:pStyle w:val="TableText"/>
              <w:rPr>
                <w:b/>
                <w:bCs/>
              </w:rPr>
            </w:pPr>
            <w:r w:rsidRPr="006A19AA">
              <w:rPr>
                <w:b/>
                <w:bCs/>
              </w:rPr>
              <w:t>Performance measure</w:t>
            </w:r>
          </w:p>
        </w:tc>
        <w:tc>
          <w:tcPr>
            <w:tcW w:w="1169" w:type="dxa"/>
            <w:tcBorders>
              <w:top w:val="nil"/>
              <w:bottom w:val="nil"/>
            </w:tcBorders>
            <w:shd w:val="clear" w:color="auto" w:fill="D9D9D9" w:themeFill="background1" w:themeFillShade="D9"/>
          </w:tcPr>
          <w:p w14:paraId="3C3C0C05" w14:textId="77777777" w:rsidR="00DA0F62" w:rsidRPr="00950725" w:rsidRDefault="00DA0F62" w:rsidP="001D0A8A">
            <w:pPr>
              <w:pStyle w:val="TableText"/>
              <w:jc w:val="right"/>
              <w:rPr>
                <w:b/>
                <w:bCs/>
              </w:rPr>
            </w:pPr>
            <w:r w:rsidRPr="00950725">
              <w:rPr>
                <w:b/>
                <w:bCs/>
                <w:w w:val="110"/>
              </w:rPr>
              <w:t>Actual</w:t>
            </w:r>
          </w:p>
        </w:tc>
        <w:tc>
          <w:tcPr>
            <w:tcW w:w="1170" w:type="dxa"/>
            <w:tcBorders>
              <w:top w:val="nil"/>
              <w:bottom w:val="nil"/>
            </w:tcBorders>
            <w:shd w:val="clear" w:color="auto" w:fill="D9D9D9" w:themeFill="background1" w:themeFillShade="D9"/>
          </w:tcPr>
          <w:p w14:paraId="66A5EA1D" w14:textId="77777777" w:rsidR="00DA0F62" w:rsidRPr="00950725" w:rsidRDefault="00DA0F62" w:rsidP="001D0A8A">
            <w:pPr>
              <w:pStyle w:val="TableText"/>
              <w:spacing w:after="0"/>
              <w:jc w:val="right"/>
              <w:rPr>
                <w:b/>
                <w:bCs/>
                <w:w w:val="110"/>
              </w:rPr>
            </w:pPr>
            <w:r w:rsidRPr="00950725">
              <w:rPr>
                <w:b/>
                <w:bCs/>
                <w:w w:val="105"/>
              </w:rPr>
              <w:t>Budget</w:t>
            </w:r>
            <w:r w:rsidRPr="00950725">
              <w:rPr>
                <w:b/>
                <w:bCs/>
                <w:spacing w:val="-50"/>
                <w:w w:val="105"/>
              </w:rPr>
              <w:t xml:space="preserve"> </w:t>
            </w:r>
            <w:r w:rsidRPr="00950725">
              <w:rPr>
                <w:b/>
                <w:bCs/>
                <w:w w:val="110"/>
              </w:rPr>
              <w:t>Standard</w:t>
            </w:r>
          </w:p>
        </w:tc>
        <w:tc>
          <w:tcPr>
            <w:tcW w:w="1169" w:type="dxa"/>
            <w:tcBorders>
              <w:top w:val="nil"/>
              <w:bottom w:val="nil"/>
            </w:tcBorders>
            <w:shd w:val="clear" w:color="auto" w:fill="D9D9D9" w:themeFill="background1" w:themeFillShade="D9"/>
          </w:tcPr>
          <w:p w14:paraId="061353A0" w14:textId="77777777" w:rsidR="00DA0F62" w:rsidRPr="00950725" w:rsidRDefault="00DA0F62" w:rsidP="001D0A8A">
            <w:pPr>
              <w:pStyle w:val="TableText"/>
              <w:jc w:val="right"/>
              <w:rPr>
                <w:b/>
                <w:bCs/>
              </w:rPr>
            </w:pPr>
            <w:r w:rsidRPr="00950725">
              <w:rPr>
                <w:b/>
                <w:bCs/>
                <w:w w:val="110"/>
              </w:rPr>
              <w:t>Actual</w:t>
            </w:r>
          </w:p>
        </w:tc>
        <w:tc>
          <w:tcPr>
            <w:tcW w:w="1028" w:type="dxa"/>
            <w:tcBorders>
              <w:top w:val="nil"/>
              <w:bottom w:val="nil"/>
            </w:tcBorders>
            <w:shd w:val="clear" w:color="auto" w:fill="D9D9D9" w:themeFill="background1" w:themeFillShade="D9"/>
          </w:tcPr>
          <w:p w14:paraId="2E7BC29F" w14:textId="77777777" w:rsidR="00DA0F62" w:rsidRPr="00950725" w:rsidRDefault="00DA0F62" w:rsidP="001D0A8A">
            <w:pPr>
              <w:pStyle w:val="TableText"/>
              <w:jc w:val="right"/>
              <w:rPr>
                <w:b/>
                <w:bCs/>
              </w:rPr>
            </w:pPr>
            <w:r w:rsidRPr="00950725">
              <w:rPr>
                <w:b/>
                <w:bCs/>
                <w:spacing w:val="-3"/>
                <w:w w:val="110"/>
              </w:rPr>
              <w:t xml:space="preserve">At </w:t>
            </w:r>
            <w:r w:rsidRPr="00950725">
              <w:rPr>
                <w:b/>
                <w:bCs/>
                <w:spacing w:val="-2"/>
                <w:w w:val="110"/>
              </w:rPr>
              <w:t>a</w:t>
            </w:r>
            <w:r>
              <w:rPr>
                <w:b/>
                <w:bCs/>
                <w:spacing w:val="-2"/>
                <w:w w:val="110"/>
              </w:rPr>
              <w:br/>
            </w:r>
            <w:r w:rsidRPr="00950725">
              <w:rPr>
                <w:b/>
                <w:bCs/>
                <w:spacing w:val="-53"/>
                <w:w w:val="110"/>
              </w:rPr>
              <w:t xml:space="preserve"> </w:t>
            </w:r>
            <w:r w:rsidRPr="00950725">
              <w:rPr>
                <w:b/>
                <w:bCs/>
                <w:w w:val="110"/>
              </w:rPr>
              <w:t>glance</w:t>
            </w:r>
          </w:p>
        </w:tc>
      </w:tr>
      <w:tr w:rsidR="00DA0F62" w14:paraId="7907C63B" w14:textId="77777777" w:rsidTr="001D0A8A">
        <w:trPr>
          <w:trHeight w:val="344"/>
          <w:tblHeader/>
        </w:trPr>
        <w:tc>
          <w:tcPr>
            <w:tcW w:w="3686" w:type="dxa"/>
            <w:tcBorders>
              <w:top w:val="nil"/>
              <w:bottom w:val="nil"/>
            </w:tcBorders>
            <w:shd w:val="clear" w:color="auto" w:fill="D9D9D9" w:themeFill="background1" w:themeFillShade="D9"/>
          </w:tcPr>
          <w:p w14:paraId="7FE6E606" w14:textId="77777777" w:rsidR="00DA0F62" w:rsidRDefault="00DA0F62" w:rsidP="001D0A8A">
            <w:pPr>
              <w:pStyle w:val="TableText"/>
              <w:spacing w:after="0"/>
              <w:rPr>
                <w:w w:val="105"/>
              </w:rPr>
            </w:pPr>
          </w:p>
        </w:tc>
        <w:tc>
          <w:tcPr>
            <w:tcW w:w="1169" w:type="dxa"/>
            <w:tcBorders>
              <w:top w:val="nil"/>
              <w:bottom w:val="nil"/>
            </w:tcBorders>
            <w:shd w:val="clear" w:color="auto" w:fill="D9D9D9" w:themeFill="background1" w:themeFillShade="D9"/>
          </w:tcPr>
          <w:p w14:paraId="581381F1" w14:textId="77777777" w:rsidR="00DA0F62" w:rsidRDefault="00DA0F62" w:rsidP="001D0A8A">
            <w:pPr>
              <w:pStyle w:val="TableText"/>
              <w:spacing w:before="0"/>
              <w:jc w:val="right"/>
              <w:rPr>
                <w:rFonts w:ascii="Times New Roman"/>
              </w:rPr>
            </w:pPr>
            <w:r w:rsidRPr="00950725">
              <w:rPr>
                <w:b/>
                <w:bCs/>
                <w:w w:val="105"/>
              </w:rPr>
              <w:t>2021/22</w:t>
            </w:r>
          </w:p>
        </w:tc>
        <w:tc>
          <w:tcPr>
            <w:tcW w:w="1170" w:type="dxa"/>
            <w:tcBorders>
              <w:top w:val="nil"/>
              <w:bottom w:val="nil"/>
            </w:tcBorders>
            <w:shd w:val="clear" w:color="auto" w:fill="D9D9D9" w:themeFill="background1" w:themeFillShade="D9"/>
          </w:tcPr>
          <w:p w14:paraId="7F6CEDDD" w14:textId="77777777" w:rsidR="00DA0F62" w:rsidRDefault="00DA0F62" w:rsidP="001D0A8A">
            <w:pPr>
              <w:pStyle w:val="TableText"/>
              <w:spacing w:before="0"/>
              <w:jc w:val="right"/>
              <w:rPr>
                <w:rFonts w:ascii="Times New Roman"/>
              </w:rPr>
            </w:pPr>
            <w:r w:rsidRPr="00950725">
              <w:rPr>
                <w:b/>
                <w:bCs/>
                <w:w w:val="105"/>
              </w:rPr>
              <w:t>2021/22</w:t>
            </w:r>
          </w:p>
        </w:tc>
        <w:tc>
          <w:tcPr>
            <w:tcW w:w="1169" w:type="dxa"/>
            <w:tcBorders>
              <w:top w:val="nil"/>
              <w:bottom w:val="nil"/>
            </w:tcBorders>
            <w:shd w:val="clear" w:color="auto" w:fill="D9D9D9" w:themeFill="background1" w:themeFillShade="D9"/>
          </w:tcPr>
          <w:p w14:paraId="10EE2608" w14:textId="77777777" w:rsidR="00DA0F62" w:rsidRDefault="00DA0F62" w:rsidP="001D0A8A">
            <w:pPr>
              <w:pStyle w:val="TableText"/>
              <w:spacing w:before="0"/>
              <w:jc w:val="right"/>
              <w:rPr>
                <w:rFonts w:ascii="Times New Roman"/>
              </w:rPr>
            </w:pPr>
            <w:r w:rsidRPr="00950725">
              <w:rPr>
                <w:b/>
                <w:bCs/>
                <w:w w:val="105"/>
              </w:rPr>
              <w:t>2021/22</w:t>
            </w:r>
          </w:p>
        </w:tc>
        <w:tc>
          <w:tcPr>
            <w:tcW w:w="1028" w:type="dxa"/>
            <w:tcBorders>
              <w:top w:val="nil"/>
              <w:bottom w:val="nil"/>
            </w:tcBorders>
            <w:shd w:val="clear" w:color="auto" w:fill="D9D9D9" w:themeFill="background1" w:themeFillShade="D9"/>
          </w:tcPr>
          <w:p w14:paraId="1B35C65E" w14:textId="77777777" w:rsidR="00DA0F62" w:rsidRDefault="00DA0F62" w:rsidP="001D0A8A">
            <w:pPr>
              <w:pStyle w:val="TableText"/>
              <w:jc w:val="right"/>
              <w:rPr>
                <w:rFonts w:ascii="Times New Roman"/>
              </w:rPr>
            </w:pPr>
          </w:p>
        </w:tc>
      </w:tr>
      <w:tr w:rsidR="00DA0F62" w14:paraId="4B2BD18C" w14:textId="77777777" w:rsidTr="00DA0F62">
        <w:trPr>
          <w:trHeight w:val="77"/>
        </w:trPr>
        <w:tc>
          <w:tcPr>
            <w:tcW w:w="3686" w:type="dxa"/>
            <w:tcBorders>
              <w:top w:val="nil"/>
              <w:bottom w:val="single" w:sz="4" w:space="0" w:color="A6A6A6" w:themeColor="background1" w:themeShade="A6"/>
            </w:tcBorders>
          </w:tcPr>
          <w:p w14:paraId="0E939872" w14:textId="27D31F96" w:rsidR="00DA0F62" w:rsidRDefault="00DA0F62" w:rsidP="00DA0F62">
            <w:pPr>
              <w:pStyle w:val="TableText"/>
            </w:pPr>
            <w:r w:rsidRPr="00CB33B2">
              <w:t>Number of COVID-19 vaccine doses purchased by Pharmac and received by the Ministry of Health in the central storage facilities (Note 1)</w:t>
            </w:r>
          </w:p>
        </w:tc>
        <w:tc>
          <w:tcPr>
            <w:tcW w:w="1169" w:type="dxa"/>
            <w:tcBorders>
              <w:top w:val="nil"/>
              <w:bottom w:val="single" w:sz="4" w:space="0" w:color="A6A6A6" w:themeColor="background1" w:themeShade="A6"/>
            </w:tcBorders>
          </w:tcPr>
          <w:p w14:paraId="4F4C0AC8" w14:textId="7CD90032" w:rsidR="00DA0F62" w:rsidRDefault="00DA0F62" w:rsidP="00DA0F62">
            <w:pPr>
              <w:pStyle w:val="TableText"/>
              <w:jc w:val="right"/>
            </w:pPr>
            <w:r w:rsidRPr="00D31550">
              <w:t>New measure</w:t>
            </w:r>
          </w:p>
        </w:tc>
        <w:tc>
          <w:tcPr>
            <w:tcW w:w="1170" w:type="dxa"/>
            <w:tcBorders>
              <w:top w:val="nil"/>
              <w:bottom w:val="single" w:sz="4" w:space="0" w:color="A6A6A6" w:themeColor="background1" w:themeShade="A6"/>
            </w:tcBorders>
          </w:tcPr>
          <w:p w14:paraId="33466B6E" w14:textId="38B88147" w:rsidR="00DA0F62" w:rsidRDefault="00DA0F62" w:rsidP="00DA0F62">
            <w:pPr>
              <w:pStyle w:val="TableText"/>
              <w:jc w:val="right"/>
            </w:pPr>
            <w:r w:rsidRPr="00D31550">
              <w:t>Achieved</w:t>
            </w:r>
          </w:p>
        </w:tc>
        <w:tc>
          <w:tcPr>
            <w:tcW w:w="1169" w:type="dxa"/>
            <w:tcBorders>
              <w:top w:val="nil"/>
              <w:bottom w:val="single" w:sz="4" w:space="0" w:color="A6A6A6" w:themeColor="background1" w:themeShade="A6"/>
            </w:tcBorders>
          </w:tcPr>
          <w:p w14:paraId="2F942D75" w14:textId="6BDA871A" w:rsidR="00DA0F62" w:rsidRDefault="00DA0F62" w:rsidP="00DA0F62">
            <w:pPr>
              <w:pStyle w:val="TableText"/>
              <w:jc w:val="right"/>
            </w:pPr>
            <w:r w:rsidRPr="00D31550">
              <w:t>15,340,610</w:t>
            </w:r>
          </w:p>
        </w:tc>
        <w:tc>
          <w:tcPr>
            <w:tcW w:w="1028" w:type="dxa"/>
            <w:tcBorders>
              <w:top w:val="nil"/>
              <w:bottom w:val="single" w:sz="4" w:space="0" w:color="A6A6A6" w:themeColor="background1" w:themeShade="A6"/>
            </w:tcBorders>
          </w:tcPr>
          <w:p w14:paraId="62A0BAD1" w14:textId="46DA4C42" w:rsidR="00DA0F62" w:rsidRPr="00BD4046" w:rsidRDefault="00DA0F62" w:rsidP="00DA0F62">
            <w:pPr>
              <w:pStyle w:val="TableText"/>
              <w:jc w:val="right"/>
              <w:rPr>
                <w:rFonts w:cs="Segoe UI"/>
                <w:sz w:val="28"/>
              </w:rPr>
            </w:pPr>
            <w:r w:rsidRPr="005546FF">
              <w:rPr>
                <w:b/>
                <w:bCs/>
              </w:rPr>
              <w:sym w:font="Wingdings" w:char="F0FC"/>
            </w:r>
          </w:p>
        </w:tc>
      </w:tr>
      <w:tr w:rsidR="00DA0F62" w14:paraId="4775805A" w14:textId="77777777" w:rsidTr="00DA0F62">
        <w:trPr>
          <w:trHeight w:val="77"/>
        </w:trPr>
        <w:tc>
          <w:tcPr>
            <w:tcW w:w="3686" w:type="dxa"/>
            <w:tcBorders>
              <w:top w:val="single" w:sz="4" w:space="0" w:color="A6A6A6" w:themeColor="background1" w:themeShade="A6"/>
            </w:tcBorders>
          </w:tcPr>
          <w:p w14:paraId="2777BE51" w14:textId="696F7AC8" w:rsidR="00DA0F62" w:rsidRPr="004908AC" w:rsidRDefault="00DA0F62" w:rsidP="00DA0F62">
            <w:pPr>
              <w:pStyle w:val="TableText"/>
            </w:pPr>
            <w:r w:rsidRPr="00CB33B2">
              <w:t>Number of COVID-19 therapeutics purchased by Pharmac and available for treatment of COVID-19 in accordance with guidelines issued by the Ministry of Health (Note 2)</w:t>
            </w:r>
          </w:p>
        </w:tc>
        <w:tc>
          <w:tcPr>
            <w:tcW w:w="1169" w:type="dxa"/>
            <w:tcBorders>
              <w:top w:val="single" w:sz="4" w:space="0" w:color="A6A6A6" w:themeColor="background1" w:themeShade="A6"/>
            </w:tcBorders>
          </w:tcPr>
          <w:p w14:paraId="37CCE572" w14:textId="397DE63C" w:rsidR="00DA0F62" w:rsidRDefault="00DA0F62" w:rsidP="00DA0F62">
            <w:pPr>
              <w:pStyle w:val="TableText"/>
              <w:jc w:val="right"/>
            </w:pPr>
            <w:r w:rsidRPr="00D31550">
              <w:t>New measure</w:t>
            </w:r>
          </w:p>
        </w:tc>
        <w:tc>
          <w:tcPr>
            <w:tcW w:w="1170" w:type="dxa"/>
            <w:tcBorders>
              <w:top w:val="single" w:sz="4" w:space="0" w:color="A6A6A6" w:themeColor="background1" w:themeShade="A6"/>
            </w:tcBorders>
          </w:tcPr>
          <w:p w14:paraId="4A8B0CD9" w14:textId="2DF653F4" w:rsidR="00DA0F62" w:rsidRPr="006A19AA" w:rsidRDefault="00DA0F62" w:rsidP="00DA0F62">
            <w:pPr>
              <w:pStyle w:val="TableText"/>
              <w:jc w:val="right"/>
            </w:pPr>
            <w:r w:rsidRPr="00D31550">
              <w:t>Achieved</w:t>
            </w:r>
          </w:p>
        </w:tc>
        <w:tc>
          <w:tcPr>
            <w:tcW w:w="1169" w:type="dxa"/>
            <w:tcBorders>
              <w:top w:val="single" w:sz="4" w:space="0" w:color="A6A6A6" w:themeColor="background1" w:themeShade="A6"/>
            </w:tcBorders>
          </w:tcPr>
          <w:p w14:paraId="5378B0C8" w14:textId="5DFF8E68" w:rsidR="00DA0F62" w:rsidRDefault="00DA0F62" w:rsidP="00DA0F62">
            <w:pPr>
              <w:pStyle w:val="TableText"/>
              <w:jc w:val="right"/>
            </w:pPr>
            <w:r w:rsidRPr="00D31550">
              <w:t>7</w:t>
            </w:r>
          </w:p>
        </w:tc>
        <w:tc>
          <w:tcPr>
            <w:tcW w:w="1028" w:type="dxa"/>
            <w:tcBorders>
              <w:top w:val="single" w:sz="4" w:space="0" w:color="A6A6A6" w:themeColor="background1" w:themeShade="A6"/>
            </w:tcBorders>
          </w:tcPr>
          <w:p w14:paraId="5822BB3A" w14:textId="5040ECA4" w:rsidR="00DA0F62" w:rsidRPr="00E1157F" w:rsidRDefault="00DA0F62" w:rsidP="00DA0F62">
            <w:pPr>
              <w:pStyle w:val="TableText"/>
              <w:jc w:val="right"/>
              <w:rPr>
                <w:b/>
                <w:bCs/>
              </w:rPr>
            </w:pPr>
            <w:r w:rsidRPr="005546FF">
              <w:rPr>
                <w:b/>
                <w:bCs/>
              </w:rPr>
              <w:sym w:font="Wingdings" w:char="F0FC"/>
            </w:r>
          </w:p>
        </w:tc>
      </w:tr>
    </w:tbl>
    <w:p w14:paraId="6BC6612E" w14:textId="77777777" w:rsidR="00DA0F62" w:rsidRDefault="00DA0F62" w:rsidP="00EF79FD">
      <w:pPr>
        <w:rPr>
          <w:rFonts w:eastAsia="Arial Unicode MS"/>
        </w:rPr>
      </w:pPr>
    </w:p>
    <w:p w14:paraId="46ED56E4" w14:textId="0D6178E6" w:rsidR="00DA0F62" w:rsidRPr="00DA0F62" w:rsidRDefault="00DA0F62" w:rsidP="00DA0F62">
      <w:pPr>
        <w:pStyle w:val="Note"/>
        <w:rPr>
          <w:rFonts w:eastAsia="Arial Unicode MS"/>
        </w:rPr>
      </w:pPr>
      <w:r w:rsidRPr="00DA0F62">
        <w:rPr>
          <w:rFonts w:eastAsia="Arial Unicode MS"/>
        </w:rPr>
        <w:lastRenderedPageBreak/>
        <w:t>Note 1: The Ministry of Health led the purchasing function of COVID-19 vaccine doses until 1 July 2022, when the function transferred to Pharmac. Most of vaccine purchasing was completed via advanced purchasing</w:t>
      </w:r>
      <w:r>
        <w:rPr>
          <w:rFonts w:eastAsia="Arial Unicode MS"/>
        </w:rPr>
        <w:t xml:space="preserve"> </w:t>
      </w:r>
      <w:r w:rsidRPr="00DA0F62">
        <w:rPr>
          <w:rFonts w:eastAsia="Arial Unicode MS"/>
        </w:rPr>
        <w:t>agreements in 2020.</w:t>
      </w:r>
    </w:p>
    <w:p w14:paraId="1A2B3B1B" w14:textId="77777777" w:rsidR="00DA0F62" w:rsidRPr="00DA0F62" w:rsidRDefault="00DA0F62" w:rsidP="00DA0F62">
      <w:pPr>
        <w:pStyle w:val="Note"/>
        <w:rPr>
          <w:rFonts w:eastAsia="Arial Unicode MS"/>
        </w:rPr>
      </w:pPr>
      <w:r w:rsidRPr="00DA0F62">
        <w:rPr>
          <w:rFonts w:eastAsia="Arial Unicode MS"/>
        </w:rPr>
        <w:t>Note 2: Four of the therapeutics are for use in hospitals. These are Baricitinib, Casirivimab with imdevimab (Ronapreve), and remdesivir. The work for these treatments has been led by Pharmac with input from their clinical advisors. The Ministry has led the production of clinical guidance as needed following the treatments becoming available and Pharmac establishing access criteria.</w:t>
      </w:r>
    </w:p>
    <w:p w14:paraId="5008EFC4" w14:textId="6F67BF48" w:rsidR="00EF79FD" w:rsidRDefault="00DA0F62" w:rsidP="00DA0F62">
      <w:pPr>
        <w:pStyle w:val="Note"/>
        <w:rPr>
          <w:rFonts w:eastAsia="Arial Unicode MS"/>
        </w:rPr>
      </w:pPr>
      <w:r w:rsidRPr="00DA0F62">
        <w:rPr>
          <w:rFonts w:eastAsia="Arial Unicode MS"/>
        </w:rPr>
        <w:t>The remaining three therapeutics are for use in both primary care or hospital these are Nirmatrelvir and Ritonavir (brand name Paxlovid), molnupiravir and the pre-exposure prophylaxis therapy Evusheld.</w:t>
      </w:r>
    </w:p>
    <w:p w14:paraId="6A3E8148" w14:textId="77777777" w:rsidR="00DA0F62" w:rsidRPr="00DA0F62" w:rsidRDefault="00DA0F62" w:rsidP="00216075">
      <w:pPr>
        <w:pStyle w:val="Heading3"/>
      </w:pPr>
      <w:bookmarkStart w:id="46" w:name="_Toc117264953"/>
      <w:r w:rsidRPr="00DA0F62">
        <w:t>Additional performance information: COVID-19 vaccinations and mortality</w:t>
      </w:r>
      <w:bookmarkEnd w:id="46"/>
    </w:p>
    <w:p w14:paraId="7AF2A58F" w14:textId="77777777" w:rsidR="00DA0F62" w:rsidRPr="00DA0F62" w:rsidRDefault="00DA0F62" w:rsidP="00DA0F62">
      <w:pPr>
        <w:rPr>
          <w:rFonts w:eastAsia="Arial Unicode MS"/>
        </w:rPr>
      </w:pPr>
      <w:r w:rsidRPr="00DA0F62">
        <w:rPr>
          <w:rFonts w:eastAsia="Arial Unicode MS"/>
        </w:rPr>
        <w:t>To determine the vaccination rates of the eligible population and deaths that are attributed to COVID-19 in Aotearoa, we have included additional information for the performance measures pertaining to Implementing the COVID-19 Vaccine Strategy.</w:t>
      </w:r>
    </w:p>
    <w:p w14:paraId="49C64933" w14:textId="77777777" w:rsidR="00DA0F62" w:rsidRPr="00DA0F62" w:rsidRDefault="00DA0F62" w:rsidP="00216075">
      <w:pPr>
        <w:pStyle w:val="Heading4"/>
      </w:pPr>
      <w:r w:rsidRPr="00DA0F62">
        <w:t>COVID-19 vaccinations</w:t>
      </w:r>
    </w:p>
    <w:p w14:paraId="415C9B46" w14:textId="641E4A05" w:rsidR="00DA0F62" w:rsidRDefault="00DA0F62" w:rsidP="00DA0F62">
      <w:pPr>
        <w:rPr>
          <w:rFonts w:eastAsia="Arial Unicode MS"/>
        </w:rPr>
      </w:pPr>
      <w:r w:rsidRPr="00DA0F62">
        <w:rPr>
          <w:rFonts w:eastAsia="Arial Unicode MS"/>
        </w:rPr>
        <w:t>The Ministry of Health uses health service user (HSU) data as the denominator to determine the COVID-19 vaccination coverage. This section describes the percentage of the eligible population who have received the vaccination. Individuals are included in</w:t>
      </w:r>
      <w:r>
        <w:rPr>
          <w:rFonts w:eastAsia="Arial Unicode MS"/>
        </w:rPr>
        <w:t xml:space="preserve"> </w:t>
      </w:r>
      <w:r w:rsidRPr="00DA0F62">
        <w:rPr>
          <w:rFonts w:eastAsia="Arial Unicode MS"/>
        </w:rPr>
        <w:t>the HSU if they were enrolled with a primary health organisation, or if they received health services in a given calendar year (shown in the box, below).</w:t>
      </w:r>
    </w:p>
    <w:p w14:paraId="790A7CED" w14:textId="77777777" w:rsidR="00DA0F62" w:rsidRPr="00DA0F62" w:rsidRDefault="00DA0F62" w:rsidP="00DA0F62">
      <w:pPr>
        <w:rPr>
          <w:rFonts w:eastAsia="Arial Unicode MS"/>
        </w:rPr>
      </w:pPr>
    </w:p>
    <w:p w14:paraId="18BD97BC" w14:textId="77777777" w:rsidR="00DA0F62" w:rsidRPr="00DA0F62" w:rsidRDefault="00DA0F62" w:rsidP="00DA0F62">
      <w:pPr>
        <w:rPr>
          <w:rFonts w:eastAsia="Arial Unicode MS"/>
        </w:rPr>
      </w:pPr>
      <w:r w:rsidRPr="00DA0F62">
        <w:rPr>
          <w:rFonts w:eastAsia="Arial Unicode MS"/>
        </w:rPr>
        <w:t>As of 8 August 2022, there are two versions of the HSU available for determining COVID-19 vaccination coverage:</w:t>
      </w:r>
    </w:p>
    <w:p w14:paraId="1B9BCB43" w14:textId="77777777" w:rsidR="00DA0F62" w:rsidRPr="00216075" w:rsidRDefault="00DA0F62" w:rsidP="00216075">
      <w:pPr>
        <w:pStyle w:val="Heading5"/>
      </w:pPr>
      <w:r w:rsidRPr="00216075">
        <w:t>HSU 2021</w:t>
      </w:r>
    </w:p>
    <w:p w14:paraId="42D19B9C" w14:textId="77777777" w:rsidR="00DA0F62" w:rsidRPr="00DA0F62" w:rsidRDefault="00DA0F62" w:rsidP="00DA0F62">
      <w:pPr>
        <w:rPr>
          <w:rFonts w:eastAsia="Arial Unicode MS"/>
        </w:rPr>
      </w:pPr>
      <w:r w:rsidRPr="00DA0F62">
        <w:rPr>
          <w:rFonts w:eastAsia="Arial Unicode MS"/>
        </w:rPr>
        <w:t>People are included if they were:</w:t>
      </w:r>
    </w:p>
    <w:p w14:paraId="7E4B9A71" w14:textId="21FFC9F5" w:rsidR="00DA0F62" w:rsidRPr="00DA0F62" w:rsidRDefault="00DA0F62" w:rsidP="00DA0F62">
      <w:pPr>
        <w:pStyle w:val="Bullet"/>
        <w:rPr>
          <w:rFonts w:eastAsia="Arial Unicode MS"/>
        </w:rPr>
      </w:pPr>
      <w:r w:rsidRPr="00DA0F62">
        <w:rPr>
          <w:rFonts w:eastAsia="Arial Unicode MS"/>
        </w:rPr>
        <w:t>alive on 31 December 2021</w:t>
      </w:r>
    </w:p>
    <w:p w14:paraId="3570DB09" w14:textId="533665C6" w:rsidR="00DA0F62" w:rsidRPr="00DA0F62" w:rsidRDefault="00DA0F62" w:rsidP="00DA0F62">
      <w:pPr>
        <w:pStyle w:val="Bullet"/>
        <w:rPr>
          <w:rFonts w:eastAsia="Arial Unicode MS"/>
        </w:rPr>
      </w:pPr>
      <w:r w:rsidRPr="00DA0F62">
        <w:rPr>
          <w:rFonts w:eastAsia="Arial Unicode MS"/>
        </w:rPr>
        <w:t>enrolled with a primary health organisation or received health services in the 2021 calendar year.</w:t>
      </w:r>
    </w:p>
    <w:p w14:paraId="458FB705" w14:textId="77777777" w:rsidR="00DA0F62" w:rsidRPr="00216075" w:rsidRDefault="00DA0F62" w:rsidP="00216075">
      <w:pPr>
        <w:pStyle w:val="Heading5"/>
      </w:pPr>
      <w:r w:rsidRPr="00216075">
        <w:t>HSU 2020</w:t>
      </w:r>
    </w:p>
    <w:p w14:paraId="356D10FC" w14:textId="77777777" w:rsidR="00DA0F62" w:rsidRPr="00DA0F62" w:rsidRDefault="00DA0F62" w:rsidP="00DA0F62">
      <w:pPr>
        <w:rPr>
          <w:rFonts w:eastAsia="Arial Unicode MS"/>
        </w:rPr>
      </w:pPr>
      <w:r w:rsidRPr="00DA0F62">
        <w:rPr>
          <w:rFonts w:eastAsia="Arial Unicode MS"/>
        </w:rPr>
        <w:t>People are included if they were:</w:t>
      </w:r>
    </w:p>
    <w:p w14:paraId="3431690B" w14:textId="26B7462A" w:rsidR="00DA0F62" w:rsidRPr="00DA0F62" w:rsidRDefault="00DA0F62" w:rsidP="00DA0F62">
      <w:pPr>
        <w:pStyle w:val="Bullet"/>
        <w:rPr>
          <w:rFonts w:eastAsia="Arial Unicode MS"/>
        </w:rPr>
      </w:pPr>
      <w:r w:rsidRPr="00DA0F62">
        <w:rPr>
          <w:rFonts w:eastAsia="Arial Unicode MS"/>
        </w:rPr>
        <w:t>alive on 1 July 2020,</w:t>
      </w:r>
    </w:p>
    <w:p w14:paraId="66978823" w14:textId="36703F41" w:rsidR="00DA0F62" w:rsidRPr="00DA0F62" w:rsidRDefault="00DA0F62" w:rsidP="00DA0F62">
      <w:pPr>
        <w:pStyle w:val="Bullet"/>
        <w:rPr>
          <w:rFonts w:eastAsia="Arial Unicode MS"/>
        </w:rPr>
      </w:pPr>
      <w:r w:rsidRPr="00DA0F62">
        <w:rPr>
          <w:rFonts w:eastAsia="Arial Unicode MS"/>
        </w:rPr>
        <w:t>enrolled with a primary health organisation or received health services in the 2020 calendar year.</w:t>
      </w:r>
    </w:p>
    <w:p w14:paraId="5E4E88F2" w14:textId="77777777" w:rsidR="00DA0F62" w:rsidRPr="00DA0F62" w:rsidRDefault="00DA0F62" w:rsidP="00DA0F62">
      <w:pPr>
        <w:rPr>
          <w:rFonts w:eastAsia="Arial Unicode MS"/>
        </w:rPr>
      </w:pPr>
    </w:p>
    <w:p w14:paraId="05E88AC7" w14:textId="0B3782D9" w:rsidR="00DA0F62" w:rsidRDefault="00DA0F62" w:rsidP="00DA0F62">
      <w:pPr>
        <w:rPr>
          <w:rFonts w:eastAsia="Arial Unicode MS"/>
        </w:rPr>
      </w:pPr>
      <w:r w:rsidRPr="00DA0F62">
        <w:rPr>
          <w:rFonts w:eastAsia="Arial Unicode MS"/>
        </w:rPr>
        <w:t>During 2021/22, the Ministry reported the COVID-19 vaccination coverage using HSU 2020. This information was routinely referenced publicly, as well as in published reports and updates.</w:t>
      </w:r>
    </w:p>
    <w:p w14:paraId="6BA37753" w14:textId="77777777" w:rsidR="00DA0F62" w:rsidRPr="00DA0F62" w:rsidRDefault="00DA0F62" w:rsidP="00DA0F62">
      <w:pPr>
        <w:rPr>
          <w:rFonts w:eastAsia="Arial Unicode MS"/>
        </w:rPr>
      </w:pPr>
    </w:p>
    <w:p w14:paraId="4520A61F" w14:textId="7925A9B4" w:rsidR="00DA0F62" w:rsidRDefault="00DA0F62" w:rsidP="00DA0F62">
      <w:pPr>
        <w:rPr>
          <w:rFonts w:eastAsia="Arial Unicode MS"/>
        </w:rPr>
      </w:pPr>
      <w:r w:rsidRPr="00DA0F62">
        <w:rPr>
          <w:rFonts w:eastAsia="Arial Unicode MS"/>
        </w:rPr>
        <w:t>On 8 August 2022, the HSU 2020 version was officially superseded by HSU 2021. While the HSU 2021 was not used to report COVID-19 vaccination coverage during 2021/22, it is the preferred version to use in this report as the data is more up to date and relevant.</w:t>
      </w:r>
    </w:p>
    <w:p w14:paraId="34EC56A7" w14:textId="77777777" w:rsidR="00DA0F62" w:rsidRPr="00DA0F62" w:rsidRDefault="00DA0F62" w:rsidP="00DA0F62">
      <w:pPr>
        <w:rPr>
          <w:rFonts w:eastAsia="Arial Unicode MS"/>
        </w:rPr>
      </w:pPr>
    </w:p>
    <w:p w14:paraId="0E42A0B2" w14:textId="2727AA57" w:rsidR="00DA0F62" w:rsidRDefault="00DA0F62" w:rsidP="00DA0F62">
      <w:pPr>
        <w:rPr>
          <w:rFonts w:eastAsia="Arial Unicode MS"/>
        </w:rPr>
      </w:pPr>
      <w:r w:rsidRPr="00DA0F62">
        <w:rPr>
          <w:rFonts w:eastAsia="Arial Unicode MS"/>
        </w:rPr>
        <w:t>More information on the HSU data, including a comparison against Stats NZ population data, is available in ‘Further notes on the HSU datasets’, at the end of this section.</w:t>
      </w:r>
    </w:p>
    <w:p w14:paraId="55EE34D0" w14:textId="77777777" w:rsidR="00DA0F62" w:rsidRPr="00DA0F62" w:rsidRDefault="00DA0F62" w:rsidP="00216075">
      <w:pPr>
        <w:pStyle w:val="Heading4"/>
      </w:pPr>
      <w:r w:rsidRPr="00DA0F62">
        <w:t>Percentage of the eligible population who have completed their primary COVID-19 vaccination course: Comparing HSU 2021 and HSU 2020</w:t>
      </w:r>
    </w:p>
    <w:p w14:paraId="2276CF46" w14:textId="260D2651" w:rsidR="00DA0F62" w:rsidRPr="00DA0F62" w:rsidRDefault="00DA0F62" w:rsidP="00DA0F62">
      <w:pPr>
        <w:rPr>
          <w:rFonts w:eastAsia="Arial Unicode MS"/>
        </w:rPr>
      </w:pPr>
      <w:r w:rsidRPr="00DA0F62">
        <w:rPr>
          <w:rFonts w:eastAsia="Arial Unicode MS"/>
        </w:rPr>
        <w:t>To determine the coverage of the COVID-19 vaccine across the population of Aotearoa, we have used the HSU 2021 data as the denominator (the figure which the total eligible population vaccinated is divided by). The suitability of the HSU for this purpose was reviewed by Stats NZ, with their findings and recommendations published on 4 August</w:t>
      </w:r>
      <w:r>
        <w:rPr>
          <w:rFonts w:eastAsia="Arial Unicode MS"/>
        </w:rPr>
        <w:t xml:space="preserve"> </w:t>
      </w:r>
      <w:r w:rsidRPr="00DA0F62">
        <w:rPr>
          <w:rFonts w:eastAsia="Arial Unicode MS"/>
        </w:rPr>
        <w:t>2022.</w:t>
      </w:r>
      <w:r>
        <w:rPr>
          <w:rStyle w:val="FootnoteReference"/>
          <w:rFonts w:eastAsia="Arial Unicode MS"/>
        </w:rPr>
        <w:footnoteReference w:id="23"/>
      </w:r>
    </w:p>
    <w:p w14:paraId="2773A16D" w14:textId="3049ED36" w:rsidR="00DA0F62" w:rsidRDefault="00DA0F62" w:rsidP="00216075">
      <w:pPr>
        <w:pStyle w:val="Heading5"/>
      </w:pPr>
      <w:r w:rsidRPr="00DA0F62">
        <w:t>Percentage of the eligible population who have completed their primary COVID-19 vaccination course</w:t>
      </w:r>
      <w:r>
        <w:rPr>
          <w:rStyle w:val="FootnoteReference"/>
        </w:rPr>
        <w:footnoteReference w:id="24"/>
      </w:r>
      <w:r w:rsidRPr="00DA0F62">
        <w:t xml:space="preserve">  (HSU 2021 vs HSU 2020)</w:t>
      </w: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276"/>
        <w:gridCol w:w="3402"/>
        <w:gridCol w:w="3402"/>
      </w:tblGrid>
      <w:tr w:rsidR="00DA0F62" w:rsidRPr="00DA0F62" w14:paraId="5671D75E" w14:textId="77777777" w:rsidTr="00DA0F62">
        <w:trPr>
          <w:trHeight w:val="1069"/>
        </w:trPr>
        <w:tc>
          <w:tcPr>
            <w:tcW w:w="1276" w:type="dxa"/>
            <w:shd w:val="clear" w:color="auto" w:fill="D9D9D9" w:themeFill="background1" w:themeFillShade="D9"/>
          </w:tcPr>
          <w:p w14:paraId="635ECCAD" w14:textId="541C1C2F" w:rsidR="00DA0F62" w:rsidRPr="00DA0F62" w:rsidRDefault="00DA0F62" w:rsidP="00DA0F62">
            <w:pPr>
              <w:pStyle w:val="TableText"/>
              <w:rPr>
                <w:b/>
                <w:bCs/>
              </w:rPr>
            </w:pPr>
            <w:r w:rsidRPr="00DA0F62">
              <w:rPr>
                <w:b/>
                <w:bCs/>
              </w:rPr>
              <w:t>Year</w:t>
            </w:r>
            <w:r w:rsidRPr="00DA0F62">
              <w:rPr>
                <w:rStyle w:val="FootnoteReference"/>
                <w:b/>
                <w:bCs/>
              </w:rPr>
              <w:footnoteReference w:id="25"/>
            </w:r>
          </w:p>
        </w:tc>
        <w:tc>
          <w:tcPr>
            <w:tcW w:w="3402" w:type="dxa"/>
            <w:shd w:val="clear" w:color="auto" w:fill="D9D9D9" w:themeFill="background1" w:themeFillShade="D9"/>
          </w:tcPr>
          <w:p w14:paraId="46DF0754" w14:textId="77777777" w:rsidR="00DA0F62" w:rsidRPr="00DA0F62" w:rsidRDefault="00DA0F62" w:rsidP="00DA0F62">
            <w:pPr>
              <w:pStyle w:val="TableText"/>
              <w:jc w:val="right"/>
              <w:rPr>
                <w:b/>
                <w:bCs/>
              </w:rPr>
            </w:pPr>
            <w:r w:rsidRPr="00DA0F62">
              <w:rPr>
                <w:b/>
                <w:bCs/>
              </w:rPr>
              <w:t>HSU 2021</w:t>
            </w:r>
          </w:p>
          <w:p w14:paraId="3E00BD99" w14:textId="338E10FB" w:rsidR="00DA0F62" w:rsidRPr="00DA0F62" w:rsidRDefault="00DA0F62" w:rsidP="00DA0F62">
            <w:pPr>
              <w:pStyle w:val="TableText"/>
              <w:jc w:val="right"/>
              <w:rPr>
                <w:b/>
                <w:bCs/>
              </w:rPr>
            </w:pPr>
            <w:r w:rsidRPr="00DA0F62">
              <w:rPr>
                <w:b/>
                <w:bCs/>
              </w:rPr>
              <w:t xml:space="preserve">Percentage of the eligible </w:t>
            </w:r>
            <w:r>
              <w:rPr>
                <w:b/>
                <w:bCs/>
              </w:rPr>
              <w:br/>
            </w:r>
            <w:r w:rsidRPr="00DA0F62">
              <w:rPr>
                <w:b/>
                <w:bCs/>
              </w:rPr>
              <w:t>population who have completed</w:t>
            </w:r>
            <w:r>
              <w:rPr>
                <w:b/>
                <w:bCs/>
              </w:rPr>
              <w:t xml:space="preserve"> </w:t>
            </w:r>
            <w:r>
              <w:rPr>
                <w:b/>
                <w:bCs/>
              </w:rPr>
              <w:br/>
            </w:r>
            <w:r w:rsidRPr="00DA0F62">
              <w:rPr>
                <w:b/>
                <w:bCs/>
              </w:rPr>
              <w:t>their primary course</w:t>
            </w:r>
          </w:p>
        </w:tc>
        <w:tc>
          <w:tcPr>
            <w:tcW w:w="3402" w:type="dxa"/>
            <w:shd w:val="clear" w:color="auto" w:fill="D9D9D9" w:themeFill="background1" w:themeFillShade="D9"/>
          </w:tcPr>
          <w:p w14:paraId="3D765C57" w14:textId="77777777" w:rsidR="00DA0F62" w:rsidRPr="00DA0F62" w:rsidRDefault="00DA0F62" w:rsidP="00DA0F62">
            <w:pPr>
              <w:pStyle w:val="TableText"/>
              <w:jc w:val="right"/>
              <w:rPr>
                <w:b/>
                <w:bCs/>
              </w:rPr>
            </w:pPr>
            <w:r w:rsidRPr="00DA0F62">
              <w:rPr>
                <w:b/>
                <w:bCs/>
              </w:rPr>
              <w:t>HSU 2020</w:t>
            </w:r>
          </w:p>
          <w:p w14:paraId="13AFB2FA" w14:textId="51516D2C" w:rsidR="00DA0F62" w:rsidRPr="00DA0F62" w:rsidRDefault="00DA0F62" w:rsidP="00DA0F62">
            <w:pPr>
              <w:pStyle w:val="TableText"/>
              <w:jc w:val="right"/>
              <w:rPr>
                <w:b/>
                <w:bCs/>
              </w:rPr>
            </w:pPr>
            <w:r w:rsidRPr="00DA0F62">
              <w:rPr>
                <w:b/>
                <w:bCs/>
              </w:rPr>
              <w:t xml:space="preserve">Percentage of the eligible </w:t>
            </w:r>
            <w:r>
              <w:rPr>
                <w:b/>
                <w:bCs/>
              </w:rPr>
              <w:br/>
            </w:r>
            <w:r w:rsidRPr="00DA0F62">
              <w:rPr>
                <w:b/>
                <w:bCs/>
              </w:rPr>
              <w:t>population who have completed</w:t>
            </w:r>
            <w:r>
              <w:rPr>
                <w:b/>
                <w:bCs/>
              </w:rPr>
              <w:br/>
            </w:r>
            <w:r w:rsidRPr="00DA0F62">
              <w:rPr>
                <w:b/>
                <w:bCs/>
              </w:rPr>
              <w:t>their primary course</w:t>
            </w:r>
          </w:p>
        </w:tc>
      </w:tr>
      <w:tr w:rsidR="00DA0F62" w14:paraId="5054FEF1" w14:textId="77777777" w:rsidTr="00DA0F62">
        <w:trPr>
          <w:trHeight w:val="344"/>
        </w:trPr>
        <w:tc>
          <w:tcPr>
            <w:tcW w:w="1276" w:type="dxa"/>
          </w:tcPr>
          <w:p w14:paraId="68601F7A" w14:textId="77777777" w:rsidR="00DA0F62" w:rsidRPr="00DA0F62" w:rsidRDefault="00DA0F62" w:rsidP="00DA0F62">
            <w:pPr>
              <w:pStyle w:val="TableText"/>
            </w:pPr>
            <w:r w:rsidRPr="00DA0F62">
              <w:t>2020/2021</w:t>
            </w:r>
          </w:p>
        </w:tc>
        <w:tc>
          <w:tcPr>
            <w:tcW w:w="3402" w:type="dxa"/>
          </w:tcPr>
          <w:p w14:paraId="4AA48A40" w14:textId="77777777" w:rsidR="00DA0F62" w:rsidRPr="00DA0F62" w:rsidRDefault="00DA0F62" w:rsidP="00DA0F62">
            <w:pPr>
              <w:pStyle w:val="TableText"/>
              <w:jc w:val="right"/>
            </w:pPr>
            <w:r w:rsidRPr="00DA0F62">
              <w:t>10.50%</w:t>
            </w:r>
          </w:p>
        </w:tc>
        <w:tc>
          <w:tcPr>
            <w:tcW w:w="3402" w:type="dxa"/>
          </w:tcPr>
          <w:p w14:paraId="2558878D" w14:textId="77777777" w:rsidR="00DA0F62" w:rsidRPr="00DA0F62" w:rsidRDefault="00DA0F62" w:rsidP="00DA0F62">
            <w:pPr>
              <w:pStyle w:val="TableText"/>
              <w:jc w:val="right"/>
            </w:pPr>
            <w:r w:rsidRPr="00DA0F62">
              <w:t>11.11%</w:t>
            </w:r>
          </w:p>
        </w:tc>
      </w:tr>
      <w:tr w:rsidR="00DA0F62" w14:paraId="3F7EC5B5" w14:textId="77777777" w:rsidTr="00DA0F62">
        <w:trPr>
          <w:trHeight w:val="338"/>
        </w:trPr>
        <w:tc>
          <w:tcPr>
            <w:tcW w:w="1276" w:type="dxa"/>
          </w:tcPr>
          <w:p w14:paraId="67C551C5" w14:textId="77777777" w:rsidR="00DA0F62" w:rsidRPr="00DA0F62" w:rsidRDefault="00DA0F62" w:rsidP="00DA0F62">
            <w:pPr>
              <w:pStyle w:val="TableText"/>
            </w:pPr>
            <w:r w:rsidRPr="00DA0F62">
              <w:t>2021/2022</w:t>
            </w:r>
          </w:p>
        </w:tc>
        <w:tc>
          <w:tcPr>
            <w:tcW w:w="3402" w:type="dxa"/>
          </w:tcPr>
          <w:p w14:paraId="17DED3D3" w14:textId="77777777" w:rsidR="00DA0F62" w:rsidRPr="00DA0F62" w:rsidRDefault="00DA0F62" w:rsidP="00DA0F62">
            <w:pPr>
              <w:pStyle w:val="TableText"/>
              <w:jc w:val="right"/>
            </w:pPr>
            <w:r w:rsidRPr="00DA0F62">
              <w:t>79.93%</w:t>
            </w:r>
          </w:p>
        </w:tc>
        <w:tc>
          <w:tcPr>
            <w:tcW w:w="3402" w:type="dxa"/>
          </w:tcPr>
          <w:p w14:paraId="5A7116A6" w14:textId="77777777" w:rsidR="00DA0F62" w:rsidRPr="00DA0F62" w:rsidRDefault="00DA0F62" w:rsidP="00DA0F62">
            <w:pPr>
              <w:pStyle w:val="TableText"/>
              <w:jc w:val="right"/>
            </w:pPr>
            <w:r w:rsidRPr="00DA0F62">
              <w:t>84.55%</w:t>
            </w:r>
          </w:p>
        </w:tc>
      </w:tr>
      <w:tr w:rsidR="00DA0F62" w14:paraId="31BD8D70" w14:textId="77777777" w:rsidTr="00DA0F62">
        <w:trPr>
          <w:trHeight w:val="333"/>
        </w:trPr>
        <w:tc>
          <w:tcPr>
            <w:tcW w:w="1276" w:type="dxa"/>
          </w:tcPr>
          <w:p w14:paraId="7D737DB4" w14:textId="77777777" w:rsidR="00DA0F62" w:rsidRPr="00B631F9" w:rsidRDefault="00DA0F62" w:rsidP="00DA0F62">
            <w:pPr>
              <w:pStyle w:val="TableText"/>
              <w:rPr>
                <w:b/>
                <w:bCs/>
              </w:rPr>
            </w:pPr>
            <w:r w:rsidRPr="00B631F9">
              <w:rPr>
                <w:b/>
                <w:bCs/>
              </w:rPr>
              <w:t>Total</w:t>
            </w:r>
          </w:p>
        </w:tc>
        <w:tc>
          <w:tcPr>
            <w:tcW w:w="3402" w:type="dxa"/>
          </w:tcPr>
          <w:p w14:paraId="52AA5122" w14:textId="77777777" w:rsidR="00DA0F62" w:rsidRPr="00B631F9" w:rsidRDefault="00DA0F62" w:rsidP="00DA0F62">
            <w:pPr>
              <w:pStyle w:val="TableText"/>
              <w:jc w:val="right"/>
              <w:rPr>
                <w:b/>
                <w:bCs/>
              </w:rPr>
            </w:pPr>
            <w:r w:rsidRPr="00B631F9">
              <w:rPr>
                <w:b/>
                <w:bCs/>
              </w:rPr>
              <w:t>90.43%</w:t>
            </w:r>
          </w:p>
        </w:tc>
        <w:tc>
          <w:tcPr>
            <w:tcW w:w="3402" w:type="dxa"/>
          </w:tcPr>
          <w:p w14:paraId="6AF7712C" w14:textId="77777777" w:rsidR="00DA0F62" w:rsidRPr="00B631F9" w:rsidRDefault="00DA0F62" w:rsidP="00DA0F62">
            <w:pPr>
              <w:pStyle w:val="TableText"/>
              <w:jc w:val="right"/>
              <w:rPr>
                <w:b/>
                <w:bCs/>
              </w:rPr>
            </w:pPr>
            <w:r w:rsidRPr="00B631F9">
              <w:rPr>
                <w:b/>
                <w:bCs/>
              </w:rPr>
              <w:t>95.66%</w:t>
            </w:r>
          </w:p>
        </w:tc>
      </w:tr>
    </w:tbl>
    <w:p w14:paraId="691EF30B" w14:textId="1EF26169" w:rsidR="00DA0F62" w:rsidRDefault="00DA0F62" w:rsidP="00DA0F62">
      <w:pPr>
        <w:rPr>
          <w:rFonts w:eastAsia="Arial Unicode MS"/>
        </w:rPr>
      </w:pPr>
    </w:p>
    <w:p w14:paraId="1BEEA49B" w14:textId="6E97F036" w:rsidR="00DA0F62" w:rsidRDefault="00DA0F62" w:rsidP="00DA0F62">
      <w:pPr>
        <w:rPr>
          <w:rFonts w:eastAsia="Arial Unicode MS"/>
        </w:rPr>
      </w:pPr>
      <w:r w:rsidRPr="00DA0F62">
        <w:rPr>
          <w:rFonts w:eastAsia="Arial Unicode MS"/>
        </w:rPr>
        <w:t>Using HSU 2021 to determine the percentage of the eligible population who have completed their primary course, the coverage is calculated to be 90.43%, compared with 95.66% using HSU 2020 as at 30 June 2022.</w:t>
      </w:r>
    </w:p>
    <w:p w14:paraId="55E733BD" w14:textId="77777777" w:rsidR="00DA0F62" w:rsidRPr="00DA0F62" w:rsidRDefault="00DA0F62" w:rsidP="00DA0F62">
      <w:pPr>
        <w:rPr>
          <w:rFonts w:eastAsia="Arial Unicode MS"/>
        </w:rPr>
      </w:pPr>
    </w:p>
    <w:p w14:paraId="2D2D8EF9" w14:textId="77777777" w:rsidR="00DA0F62" w:rsidRPr="00DA0F62" w:rsidRDefault="00DA0F62" w:rsidP="00DA0F62">
      <w:pPr>
        <w:rPr>
          <w:rFonts w:eastAsia="Arial Unicode MS"/>
        </w:rPr>
      </w:pPr>
      <w:r w:rsidRPr="00DA0F62">
        <w:rPr>
          <w:rFonts w:eastAsia="Arial Unicode MS"/>
        </w:rPr>
        <w:t>The difference in the percentage of the eligible population vaccinated using HSU 2021, compared with using HSU 2020, reflects an increase in the number of individuals</w:t>
      </w:r>
    </w:p>
    <w:p w14:paraId="538FC366" w14:textId="4E1C0E45" w:rsidR="00DA0F62" w:rsidRDefault="00DA0F62" w:rsidP="00DA0F62">
      <w:pPr>
        <w:rPr>
          <w:rFonts w:eastAsia="Arial Unicode MS"/>
        </w:rPr>
      </w:pPr>
      <w:r w:rsidRPr="00DA0F62">
        <w:rPr>
          <w:rFonts w:eastAsia="Arial Unicode MS"/>
        </w:rPr>
        <w:t>interacting with the health system during the 2021 calendar year compared with 2020. This is partly due to the COVID-19 vaccination programme successfully vaccinating individuals who had not engaged with the health system during 2020 and as such, were not captured in HSU 2020. Additionally, it reflects the demographic changes between 1 July 2020 and 31 December 2021. This includes births, deaths and people ageing into the eligible population and migration.</w:t>
      </w:r>
    </w:p>
    <w:p w14:paraId="06C6B9EB" w14:textId="77777777" w:rsidR="004E0D94" w:rsidRPr="004E0D94" w:rsidRDefault="004E0D94" w:rsidP="00216075">
      <w:pPr>
        <w:pStyle w:val="Heading3"/>
      </w:pPr>
      <w:bookmarkStart w:id="47" w:name="_Toc117264954"/>
      <w:r w:rsidRPr="004E0D94">
        <w:lastRenderedPageBreak/>
        <w:t>COVID-19 vaccine doses administered by dose type and year</w:t>
      </w:r>
      <w:bookmarkEnd w:id="47"/>
    </w:p>
    <w:p w14:paraId="41DC26D8" w14:textId="77777777" w:rsidR="004E0D94" w:rsidRDefault="004E0D94" w:rsidP="004E0D94">
      <w:pPr>
        <w:rPr>
          <w:rFonts w:eastAsia="Arial Unicode MS"/>
        </w:rPr>
      </w:pPr>
      <w:r w:rsidRPr="004E0D94">
        <w:rPr>
          <w:rFonts w:eastAsia="Arial Unicode MS"/>
        </w:rPr>
        <w:t>The counts in the table below measure the number of COVID-19 vaccination doses administered in Aotearoa during 2021/22 and the prior financial year (2020/21). This information was obtained from the COVID-19 Vaccination and Immunisation Programme (CVIP) database.</w:t>
      </w:r>
    </w:p>
    <w:p w14:paraId="487E9937" w14:textId="77777777" w:rsidR="00B631F9" w:rsidRDefault="00B631F9" w:rsidP="004E0D94">
      <w:pPr>
        <w:rPr>
          <w:rFonts w:eastAsia="Arial Unicode MS"/>
        </w:rPr>
      </w:pPr>
    </w:p>
    <w:p w14:paraId="77DF2AEE" w14:textId="2A19E1C5" w:rsidR="004E0D94" w:rsidRDefault="004E0D94" w:rsidP="00216075">
      <w:pPr>
        <w:pStyle w:val="Heading5"/>
        <w:spacing w:before="0"/>
      </w:pPr>
      <w:r w:rsidRPr="004E0D94">
        <w:t>COVID-19 vaccine doses administered by dose type and year (HSU 2020)</w:t>
      </w: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346"/>
        <w:gridCol w:w="1347"/>
        <w:gridCol w:w="1347"/>
        <w:gridCol w:w="1346"/>
        <w:gridCol w:w="1347"/>
        <w:gridCol w:w="1347"/>
      </w:tblGrid>
      <w:tr w:rsidR="00A5542F" w:rsidRPr="004E0D94" w14:paraId="308395A7" w14:textId="77777777" w:rsidTr="001D0A8A">
        <w:trPr>
          <w:trHeight w:val="412"/>
        </w:trPr>
        <w:tc>
          <w:tcPr>
            <w:tcW w:w="1346" w:type="dxa"/>
            <w:tcBorders>
              <w:top w:val="nil"/>
              <w:bottom w:val="nil"/>
            </w:tcBorders>
            <w:shd w:val="clear" w:color="auto" w:fill="D9D9D9" w:themeFill="background1" w:themeFillShade="D9"/>
          </w:tcPr>
          <w:p w14:paraId="487B87F5" w14:textId="7CCF35F7" w:rsidR="00A5542F" w:rsidRPr="004E0D94" w:rsidRDefault="00A5542F" w:rsidP="004E0D94">
            <w:pPr>
              <w:pStyle w:val="TableText"/>
              <w:rPr>
                <w:b/>
                <w:bCs/>
              </w:rPr>
            </w:pPr>
            <w:r w:rsidRPr="004E0D94">
              <w:rPr>
                <w:b/>
                <w:bCs/>
              </w:rPr>
              <w:t>Year</w:t>
            </w:r>
            <w:r>
              <w:rPr>
                <w:rStyle w:val="FootnoteReference"/>
                <w:b/>
                <w:bCs/>
              </w:rPr>
              <w:footnoteReference w:id="26"/>
            </w:r>
          </w:p>
        </w:tc>
        <w:tc>
          <w:tcPr>
            <w:tcW w:w="6734" w:type="dxa"/>
            <w:gridSpan w:val="5"/>
            <w:tcBorders>
              <w:top w:val="nil"/>
              <w:bottom w:val="nil"/>
            </w:tcBorders>
            <w:shd w:val="clear" w:color="auto" w:fill="D9D9D9" w:themeFill="background1" w:themeFillShade="D9"/>
          </w:tcPr>
          <w:p w14:paraId="46291125" w14:textId="5C116E04" w:rsidR="00A5542F" w:rsidRPr="004E0D94" w:rsidRDefault="00A5542F" w:rsidP="00A5542F">
            <w:pPr>
              <w:pStyle w:val="TableText"/>
              <w:jc w:val="center"/>
              <w:rPr>
                <w:b/>
                <w:bCs/>
              </w:rPr>
            </w:pPr>
            <w:r w:rsidRPr="00A5542F">
              <w:rPr>
                <w:b/>
                <w:bCs/>
              </w:rPr>
              <w:t>Primary course</w:t>
            </w:r>
          </w:p>
        </w:tc>
      </w:tr>
      <w:tr w:rsidR="004E0D94" w:rsidRPr="004E0D94" w14:paraId="2B99C99C" w14:textId="77777777" w:rsidTr="00A5542F">
        <w:trPr>
          <w:trHeight w:val="412"/>
        </w:trPr>
        <w:tc>
          <w:tcPr>
            <w:tcW w:w="1346" w:type="dxa"/>
            <w:tcBorders>
              <w:top w:val="nil"/>
              <w:bottom w:val="nil"/>
            </w:tcBorders>
            <w:shd w:val="clear" w:color="auto" w:fill="D9D9D9" w:themeFill="background1" w:themeFillShade="D9"/>
          </w:tcPr>
          <w:p w14:paraId="2BC0A1F5" w14:textId="77777777" w:rsidR="004E0D94" w:rsidRPr="004E0D94" w:rsidRDefault="004E0D94" w:rsidP="004E0D94">
            <w:pPr>
              <w:pStyle w:val="TableText"/>
              <w:rPr>
                <w:b/>
                <w:bCs/>
              </w:rPr>
            </w:pPr>
          </w:p>
        </w:tc>
        <w:tc>
          <w:tcPr>
            <w:tcW w:w="1347" w:type="dxa"/>
            <w:tcBorders>
              <w:top w:val="nil"/>
              <w:bottom w:val="nil"/>
            </w:tcBorders>
            <w:shd w:val="clear" w:color="auto" w:fill="D9D9D9" w:themeFill="background1" w:themeFillShade="D9"/>
          </w:tcPr>
          <w:p w14:paraId="1811F951" w14:textId="77777777" w:rsidR="004E0D94" w:rsidRPr="004E0D94" w:rsidRDefault="004E0D94" w:rsidP="00A5542F">
            <w:pPr>
              <w:pStyle w:val="TableText"/>
              <w:jc w:val="right"/>
              <w:rPr>
                <w:b/>
                <w:bCs/>
              </w:rPr>
            </w:pPr>
            <w:r w:rsidRPr="004E0D94">
              <w:rPr>
                <w:b/>
                <w:bCs/>
              </w:rPr>
              <w:t>Dose 1</w:t>
            </w:r>
          </w:p>
        </w:tc>
        <w:tc>
          <w:tcPr>
            <w:tcW w:w="1347" w:type="dxa"/>
            <w:tcBorders>
              <w:top w:val="nil"/>
              <w:bottom w:val="nil"/>
            </w:tcBorders>
            <w:shd w:val="clear" w:color="auto" w:fill="D9D9D9" w:themeFill="background1" w:themeFillShade="D9"/>
          </w:tcPr>
          <w:p w14:paraId="04964C94" w14:textId="77777777" w:rsidR="004E0D94" w:rsidRPr="004E0D94" w:rsidRDefault="004E0D94" w:rsidP="00A5542F">
            <w:pPr>
              <w:pStyle w:val="TableText"/>
              <w:jc w:val="right"/>
              <w:rPr>
                <w:b/>
                <w:bCs/>
              </w:rPr>
            </w:pPr>
            <w:r w:rsidRPr="004E0D94">
              <w:rPr>
                <w:b/>
                <w:bCs/>
              </w:rPr>
              <w:t>Dose 2</w:t>
            </w:r>
          </w:p>
        </w:tc>
        <w:tc>
          <w:tcPr>
            <w:tcW w:w="1346" w:type="dxa"/>
            <w:tcBorders>
              <w:top w:val="nil"/>
              <w:bottom w:val="nil"/>
            </w:tcBorders>
            <w:shd w:val="clear" w:color="auto" w:fill="D9D9D9" w:themeFill="background1" w:themeFillShade="D9"/>
          </w:tcPr>
          <w:p w14:paraId="15048D6E" w14:textId="77777777" w:rsidR="004E0D94" w:rsidRPr="004E0D94" w:rsidRDefault="004E0D94" w:rsidP="00A5542F">
            <w:pPr>
              <w:pStyle w:val="TableText"/>
              <w:jc w:val="right"/>
              <w:rPr>
                <w:b/>
                <w:bCs/>
              </w:rPr>
            </w:pPr>
            <w:r w:rsidRPr="004E0D94">
              <w:rPr>
                <w:b/>
                <w:bCs/>
              </w:rPr>
              <w:t>Booster 1</w:t>
            </w:r>
          </w:p>
        </w:tc>
        <w:tc>
          <w:tcPr>
            <w:tcW w:w="1347" w:type="dxa"/>
            <w:tcBorders>
              <w:top w:val="nil"/>
              <w:bottom w:val="nil"/>
            </w:tcBorders>
            <w:shd w:val="clear" w:color="auto" w:fill="D9D9D9" w:themeFill="background1" w:themeFillShade="D9"/>
          </w:tcPr>
          <w:p w14:paraId="6AB26942" w14:textId="77777777" w:rsidR="004E0D94" w:rsidRPr="004E0D94" w:rsidRDefault="004E0D94" w:rsidP="00A5542F">
            <w:pPr>
              <w:pStyle w:val="TableText"/>
              <w:jc w:val="right"/>
              <w:rPr>
                <w:b/>
                <w:bCs/>
              </w:rPr>
            </w:pPr>
            <w:r w:rsidRPr="004E0D94">
              <w:rPr>
                <w:b/>
                <w:bCs/>
              </w:rPr>
              <w:t>Booster 2</w:t>
            </w:r>
          </w:p>
        </w:tc>
        <w:tc>
          <w:tcPr>
            <w:tcW w:w="1347" w:type="dxa"/>
            <w:tcBorders>
              <w:top w:val="nil"/>
              <w:bottom w:val="nil"/>
            </w:tcBorders>
            <w:shd w:val="clear" w:color="auto" w:fill="D9D9D9" w:themeFill="background1" w:themeFillShade="D9"/>
          </w:tcPr>
          <w:p w14:paraId="597D00EF" w14:textId="16C9B8DA" w:rsidR="004E0D94" w:rsidRPr="004E0D94" w:rsidRDefault="004E0D94" w:rsidP="00A5542F">
            <w:pPr>
              <w:pStyle w:val="TableText"/>
              <w:jc w:val="right"/>
              <w:rPr>
                <w:b/>
                <w:bCs/>
              </w:rPr>
            </w:pPr>
            <w:r w:rsidRPr="004E0D94">
              <w:rPr>
                <w:b/>
                <w:bCs/>
              </w:rPr>
              <w:t>Total</w:t>
            </w:r>
            <w:r w:rsidR="00A5542F">
              <w:rPr>
                <w:rStyle w:val="FootnoteReference"/>
                <w:b/>
                <w:bCs/>
              </w:rPr>
              <w:footnoteReference w:id="27"/>
            </w:r>
          </w:p>
        </w:tc>
      </w:tr>
      <w:tr w:rsidR="004E0D94" w:rsidRPr="004E0D94" w14:paraId="007F9C99" w14:textId="77777777" w:rsidTr="00A5542F">
        <w:trPr>
          <w:trHeight w:val="343"/>
        </w:trPr>
        <w:tc>
          <w:tcPr>
            <w:tcW w:w="1346" w:type="dxa"/>
            <w:tcBorders>
              <w:top w:val="nil"/>
            </w:tcBorders>
          </w:tcPr>
          <w:p w14:paraId="45D83805" w14:textId="77777777" w:rsidR="004E0D94" w:rsidRPr="004E0D94" w:rsidRDefault="004E0D94" w:rsidP="004E0D94">
            <w:pPr>
              <w:pStyle w:val="TableText"/>
            </w:pPr>
            <w:r w:rsidRPr="004E0D94">
              <w:t>2020/21</w:t>
            </w:r>
          </w:p>
        </w:tc>
        <w:tc>
          <w:tcPr>
            <w:tcW w:w="1347" w:type="dxa"/>
            <w:tcBorders>
              <w:top w:val="nil"/>
            </w:tcBorders>
          </w:tcPr>
          <w:p w14:paraId="12E9E333" w14:textId="77777777" w:rsidR="004E0D94" w:rsidRPr="004E0D94" w:rsidRDefault="004E0D94" w:rsidP="00A5542F">
            <w:pPr>
              <w:pStyle w:val="TableText"/>
              <w:jc w:val="right"/>
            </w:pPr>
            <w:r w:rsidRPr="004E0D94">
              <w:t>719,402</w:t>
            </w:r>
          </w:p>
        </w:tc>
        <w:tc>
          <w:tcPr>
            <w:tcW w:w="1347" w:type="dxa"/>
            <w:tcBorders>
              <w:top w:val="nil"/>
            </w:tcBorders>
          </w:tcPr>
          <w:p w14:paraId="31BDC4AA" w14:textId="77777777" w:rsidR="004E0D94" w:rsidRPr="004E0D94" w:rsidRDefault="004E0D94" w:rsidP="00A5542F">
            <w:pPr>
              <w:pStyle w:val="TableText"/>
              <w:jc w:val="right"/>
            </w:pPr>
            <w:r w:rsidRPr="004E0D94">
              <w:t>456,498</w:t>
            </w:r>
          </w:p>
        </w:tc>
        <w:tc>
          <w:tcPr>
            <w:tcW w:w="1346" w:type="dxa"/>
            <w:tcBorders>
              <w:top w:val="nil"/>
            </w:tcBorders>
          </w:tcPr>
          <w:p w14:paraId="582E7CE2" w14:textId="77777777" w:rsidR="004E0D94" w:rsidRPr="004E0D94" w:rsidRDefault="004E0D94" w:rsidP="00A5542F">
            <w:pPr>
              <w:pStyle w:val="TableText"/>
              <w:jc w:val="right"/>
            </w:pPr>
            <w:r w:rsidRPr="004E0D94">
              <w:t>1</w:t>
            </w:r>
          </w:p>
        </w:tc>
        <w:tc>
          <w:tcPr>
            <w:tcW w:w="1347" w:type="dxa"/>
            <w:tcBorders>
              <w:top w:val="nil"/>
            </w:tcBorders>
          </w:tcPr>
          <w:p w14:paraId="0A79BCC0" w14:textId="77777777" w:rsidR="004E0D94" w:rsidRPr="004E0D94" w:rsidRDefault="004E0D94" w:rsidP="00A5542F">
            <w:pPr>
              <w:pStyle w:val="TableText"/>
              <w:jc w:val="right"/>
            </w:pPr>
            <w:r w:rsidRPr="004E0D94">
              <w:t>-</w:t>
            </w:r>
          </w:p>
        </w:tc>
        <w:tc>
          <w:tcPr>
            <w:tcW w:w="1347" w:type="dxa"/>
            <w:tcBorders>
              <w:top w:val="nil"/>
            </w:tcBorders>
          </w:tcPr>
          <w:p w14:paraId="7B4AD2A2" w14:textId="77777777" w:rsidR="004E0D94" w:rsidRPr="004E0D94" w:rsidRDefault="004E0D94" w:rsidP="00A5542F">
            <w:pPr>
              <w:pStyle w:val="TableText"/>
              <w:jc w:val="right"/>
            </w:pPr>
            <w:r w:rsidRPr="004E0D94">
              <w:t>1,175,901</w:t>
            </w:r>
          </w:p>
        </w:tc>
      </w:tr>
      <w:tr w:rsidR="004E0D94" w:rsidRPr="004E0D94" w14:paraId="1FCDE353" w14:textId="77777777" w:rsidTr="004E0D94">
        <w:trPr>
          <w:trHeight w:val="338"/>
        </w:trPr>
        <w:tc>
          <w:tcPr>
            <w:tcW w:w="1346" w:type="dxa"/>
          </w:tcPr>
          <w:p w14:paraId="3AA743EB" w14:textId="77777777" w:rsidR="004E0D94" w:rsidRPr="004E0D94" w:rsidRDefault="004E0D94" w:rsidP="004E0D94">
            <w:pPr>
              <w:pStyle w:val="TableText"/>
            </w:pPr>
            <w:r w:rsidRPr="004E0D94">
              <w:t>2021/22</w:t>
            </w:r>
          </w:p>
        </w:tc>
        <w:tc>
          <w:tcPr>
            <w:tcW w:w="1347" w:type="dxa"/>
          </w:tcPr>
          <w:p w14:paraId="3DE559E7" w14:textId="77777777" w:rsidR="004E0D94" w:rsidRPr="004E0D94" w:rsidRDefault="004E0D94" w:rsidP="00A5542F">
            <w:pPr>
              <w:pStyle w:val="TableText"/>
              <w:jc w:val="right"/>
            </w:pPr>
            <w:r w:rsidRPr="004E0D94">
              <w:t>3,573,206</w:t>
            </w:r>
          </w:p>
        </w:tc>
        <w:tc>
          <w:tcPr>
            <w:tcW w:w="1347" w:type="dxa"/>
          </w:tcPr>
          <w:p w14:paraId="22B6B575" w14:textId="77777777" w:rsidR="004E0D94" w:rsidRPr="004E0D94" w:rsidRDefault="004E0D94" w:rsidP="00A5542F">
            <w:pPr>
              <w:pStyle w:val="TableText"/>
              <w:jc w:val="right"/>
            </w:pPr>
            <w:r w:rsidRPr="004E0D94">
              <w:t>3,658,233</w:t>
            </w:r>
          </w:p>
        </w:tc>
        <w:tc>
          <w:tcPr>
            <w:tcW w:w="1346" w:type="dxa"/>
          </w:tcPr>
          <w:p w14:paraId="565C085E" w14:textId="77777777" w:rsidR="004E0D94" w:rsidRPr="004E0D94" w:rsidRDefault="004E0D94" w:rsidP="00A5542F">
            <w:pPr>
              <w:pStyle w:val="TableText"/>
              <w:jc w:val="right"/>
            </w:pPr>
            <w:r w:rsidRPr="004E0D94">
              <w:t>2,681,098</w:t>
            </w:r>
          </w:p>
        </w:tc>
        <w:tc>
          <w:tcPr>
            <w:tcW w:w="1347" w:type="dxa"/>
          </w:tcPr>
          <w:p w14:paraId="23B9E733" w14:textId="77777777" w:rsidR="004E0D94" w:rsidRPr="004E0D94" w:rsidRDefault="004E0D94" w:rsidP="00A5542F">
            <w:pPr>
              <w:pStyle w:val="TableText"/>
              <w:jc w:val="right"/>
            </w:pPr>
            <w:r w:rsidRPr="004E0D94">
              <w:t>21,673</w:t>
            </w:r>
          </w:p>
        </w:tc>
        <w:tc>
          <w:tcPr>
            <w:tcW w:w="1347" w:type="dxa"/>
          </w:tcPr>
          <w:p w14:paraId="2DE75C55" w14:textId="77777777" w:rsidR="004E0D94" w:rsidRPr="004E0D94" w:rsidRDefault="004E0D94" w:rsidP="00A5542F">
            <w:pPr>
              <w:pStyle w:val="TableText"/>
              <w:jc w:val="right"/>
            </w:pPr>
            <w:r w:rsidRPr="004E0D94">
              <w:t>9,934,210</w:t>
            </w:r>
          </w:p>
        </w:tc>
      </w:tr>
      <w:tr w:rsidR="004E0D94" w:rsidRPr="004E0D94" w14:paraId="020527B9" w14:textId="77777777" w:rsidTr="004E0D94">
        <w:trPr>
          <w:trHeight w:val="333"/>
        </w:trPr>
        <w:tc>
          <w:tcPr>
            <w:tcW w:w="1346" w:type="dxa"/>
          </w:tcPr>
          <w:p w14:paraId="3896B4B4" w14:textId="77777777" w:rsidR="004E0D94" w:rsidRPr="00B631F9" w:rsidRDefault="004E0D94" w:rsidP="004E0D94">
            <w:pPr>
              <w:pStyle w:val="TableText"/>
              <w:rPr>
                <w:b/>
                <w:bCs/>
              </w:rPr>
            </w:pPr>
            <w:r w:rsidRPr="00B631F9">
              <w:rPr>
                <w:b/>
                <w:bCs/>
              </w:rPr>
              <w:t>Total</w:t>
            </w:r>
          </w:p>
        </w:tc>
        <w:tc>
          <w:tcPr>
            <w:tcW w:w="1347" w:type="dxa"/>
          </w:tcPr>
          <w:p w14:paraId="089F3729" w14:textId="77777777" w:rsidR="004E0D94" w:rsidRPr="00B631F9" w:rsidRDefault="004E0D94" w:rsidP="00A5542F">
            <w:pPr>
              <w:pStyle w:val="TableText"/>
              <w:jc w:val="right"/>
              <w:rPr>
                <w:b/>
                <w:bCs/>
              </w:rPr>
            </w:pPr>
            <w:r w:rsidRPr="00B631F9">
              <w:rPr>
                <w:b/>
                <w:bCs/>
              </w:rPr>
              <w:t>4,292,608</w:t>
            </w:r>
          </w:p>
        </w:tc>
        <w:tc>
          <w:tcPr>
            <w:tcW w:w="1347" w:type="dxa"/>
          </w:tcPr>
          <w:p w14:paraId="5F13C43C" w14:textId="77777777" w:rsidR="004E0D94" w:rsidRPr="00B631F9" w:rsidRDefault="004E0D94" w:rsidP="00A5542F">
            <w:pPr>
              <w:pStyle w:val="TableText"/>
              <w:jc w:val="right"/>
              <w:rPr>
                <w:b/>
                <w:bCs/>
              </w:rPr>
            </w:pPr>
            <w:r w:rsidRPr="00B631F9">
              <w:rPr>
                <w:b/>
                <w:bCs/>
              </w:rPr>
              <w:t>4,114,731</w:t>
            </w:r>
          </w:p>
        </w:tc>
        <w:tc>
          <w:tcPr>
            <w:tcW w:w="1346" w:type="dxa"/>
          </w:tcPr>
          <w:p w14:paraId="145C0F4F" w14:textId="77777777" w:rsidR="004E0D94" w:rsidRPr="00B631F9" w:rsidRDefault="004E0D94" w:rsidP="00A5542F">
            <w:pPr>
              <w:pStyle w:val="TableText"/>
              <w:jc w:val="right"/>
              <w:rPr>
                <w:b/>
                <w:bCs/>
              </w:rPr>
            </w:pPr>
            <w:r w:rsidRPr="00B631F9">
              <w:rPr>
                <w:b/>
                <w:bCs/>
              </w:rPr>
              <w:t>2,681,099</w:t>
            </w:r>
          </w:p>
        </w:tc>
        <w:tc>
          <w:tcPr>
            <w:tcW w:w="1347" w:type="dxa"/>
          </w:tcPr>
          <w:p w14:paraId="2AC4178D" w14:textId="77777777" w:rsidR="004E0D94" w:rsidRPr="00B631F9" w:rsidRDefault="004E0D94" w:rsidP="00A5542F">
            <w:pPr>
              <w:pStyle w:val="TableText"/>
              <w:jc w:val="right"/>
              <w:rPr>
                <w:b/>
                <w:bCs/>
              </w:rPr>
            </w:pPr>
            <w:r w:rsidRPr="00B631F9">
              <w:rPr>
                <w:b/>
                <w:bCs/>
              </w:rPr>
              <w:t>21,673</w:t>
            </w:r>
          </w:p>
        </w:tc>
        <w:tc>
          <w:tcPr>
            <w:tcW w:w="1347" w:type="dxa"/>
          </w:tcPr>
          <w:p w14:paraId="3FC84B7F" w14:textId="77777777" w:rsidR="004E0D94" w:rsidRPr="00B631F9" w:rsidRDefault="004E0D94" w:rsidP="00A5542F">
            <w:pPr>
              <w:pStyle w:val="TableText"/>
              <w:jc w:val="right"/>
              <w:rPr>
                <w:b/>
                <w:bCs/>
              </w:rPr>
            </w:pPr>
            <w:r w:rsidRPr="00B631F9">
              <w:rPr>
                <w:b/>
                <w:bCs/>
              </w:rPr>
              <w:t>11,110,111</w:t>
            </w:r>
          </w:p>
        </w:tc>
      </w:tr>
    </w:tbl>
    <w:p w14:paraId="3DF716F0" w14:textId="4B37BCE5" w:rsidR="004E0D94" w:rsidRDefault="004E0D94" w:rsidP="004E0D94">
      <w:pPr>
        <w:rPr>
          <w:rFonts w:eastAsia="Arial Unicode MS"/>
        </w:rPr>
      </w:pPr>
    </w:p>
    <w:p w14:paraId="40A2EDAB" w14:textId="3BC8BA4F" w:rsidR="004E0D94" w:rsidRDefault="004E0D94" w:rsidP="004E0D94">
      <w:pPr>
        <w:rPr>
          <w:rFonts w:eastAsia="Arial Unicode MS"/>
        </w:rPr>
      </w:pPr>
      <w:r w:rsidRPr="004E0D94">
        <w:rPr>
          <w:rFonts w:eastAsia="Arial Unicode MS"/>
        </w:rPr>
        <w:t xml:space="preserve">By 30 June 2022, a total of 11.11 million COVID-19 vaccinations had been </w:t>
      </w:r>
      <w:r w:rsidR="00B631F9">
        <w:rPr>
          <w:rFonts w:eastAsia="Arial Unicode MS"/>
        </w:rPr>
        <w:t>a</w:t>
      </w:r>
      <w:r w:rsidRPr="004E0D94">
        <w:rPr>
          <w:rFonts w:eastAsia="Arial Unicode MS"/>
        </w:rPr>
        <w:t>dministered, of which 89.4% were administered in 2021/22</w:t>
      </w:r>
      <w:r>
        <w:rPr>
          <w:rFonts w:eastAsia="Arial Unicode MS"/>
        </w:rPr>
        <w:t>.</w:t>
      </w:r>
    </w:p>
    <w:p w14:paraId="5A89DA0F" w14:textId="757F563A" w:rsidR="00A5542F" w:rsidRDefault="00A5542F" w:rsidP="004E0D94">
      <w:pPr>
        <w:rPr>
          <w:rFonts w:eastAsia="Arial Unicode MS"/>
        </w:rPr>
      </w:pPr>
    </w:p>
    <w:p w14:paraId="359B6B6C" w14:textId="77777777" w:rsidR="00A5542F" w:rsidRPr="00A5542F" w:rsidRDefault="00A5542F" w:rsidP="00A5542F">
      <w:pPr>
        <w:rPr>
          <w:rFonts w:eastAsia="Arial Unicode MS"/>
        </w:rPr>
      </w:pPr>
      <w:r w:rsidRPr="00A5542F">
        <w:rPr>
          <w:rFonts w:eastAsia="Arial Unicode MS"/>
        </w:rPr>
        <w:t>There are two similar but distinct metrics used within the following tables: Doses administered and People vaccinated. Doses administered focuses on vaccination program activities while people vaccinated uses people’s vaccination status as the primary measurement. People vaccinated includes vaccinations received overseas and recorded in CIR. Furthermore deceased persons are removed from the people vaccinated counts. Doses administered includes deceased and doesn’t include</w:t>
      </w:r>
    </w:p>
    <w:p w14:paraId="2674DBC0" w14:textId="62540F0E" w:rsidR="00A5542F" w:rsidRDefault="00A5542F" w:rsidP="00A5542F">
      <w:pPr>
        <w:rPr>
          <w:rFonts w:eastAsia="Arial Unicode MS"/>
        </w:rPr>
      </w:pPr>
      <w:r w:rsidRPr="00A5542F">
        <w:rPr>
          <w:rFonts w:eastAsia="Arial Unicode MS"/>
        </w:rPr>
        <w:t>overseas vaccinations. This causes some variation between the two measures and exact comparisons are not feasible.</w:t>
      </w:r>
    </w:p>
    <w:p w14:paraId="6C1F17E2" w14:textId="77777777" w:rsidR="00A5542F" w:rsidRPr="00A5542F" w:rsidRDefault="00A5542F" w:rsidP="00F870AE">
      <w:pPr>
        <w:pStyle w:val="Heading4"/>
      </w:pPr>
      <w:r w:rsidRPr="00A5542F">
        <w:t>COVID-19 vaccine doses administered by age group</w:t>
      </w:r>
    </w:p>
    <w:p w14:paraId="7FE42FB6" w14:textId="77777777" w:rsidR="00A5542F" w:rsidRPr="00A5542F" w:rsidRDefault="00A5542F" w:rsidP="00A5542F">
      <w:pPr>
        <w:rPr>
          <w:rFonts w:eastAsia="Arial Unicode MS"/>
        </w:rPr>
      </w:pPr>
      <w:r w:rsidRPr="00A5542F">
        <w:rPr>
          <w:rFonts w:eastAsia="Arial Unicode MS"/>
        </w:rPr>
        <w:t>The counts in the table below measure the number of COVID-19 vaccination doses administered by the age group of the individual who received the dose. This information was obtained from the CVIP database.</w:t>
      </w:r>
    </w:p>
    <w:p w14:paraId="4D255792" w14:textId="5D7AFBB1" w:rsidR="00A5542F" w:rsidRDefault="00A5542F" w:rsidP="00216075">
      <w:pPr>
        <w:pStyle w:val="Heading5"/>
      </w:pPr>
      <w:r w:rsidRPr="00A5542F">
        <w:lastRenderedPageBreak/>
        <w:t>COVID-19 vaccine doses administered by age group</w:t>
      </w:r>
      <w:r>
        <w:rPr>
          <w:rStyle w:val="FootnoteReference"/>
        </w:rPr>
        <w:footnoteReference w:id="28"/>
      </w: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134"/>
        <w:gridCol w:w="1389"/>
        <w:gridCol w:w="1389"/>
        <w:gridCol w:w="1389"/>
        <w:gridCol w:w="1389"/>
        <w:gridCol w:w="1390"/>
      </w:tblGrid>
      <w:tr w:rsidR="00A5542F" w:rsidRPr="00A5542F" w14:paraId="6DE47E03" w14:textId="77777777" w:rsidTr="00C17554">
        <w:trPr>
          <w:trHeight w:val="349"/>
          <w:tblHeader/>
        </w:trPr>
        <w:tc>
          <w:tcPr>
            <w:tcW w:w="1134" w:type="dxa"/>
            <w:tcBorders>
              <w:top w:val="nil"/>
              <w:bottom w:val="nil"/>
            </w:tcBorders>
            <w:shd w:val="clear" w:color="auto" w:fill="D9D9D9" w:themeFill="background1" w:themeFillShade="D9"/>
          </w:tcPr>
          <w:p w14:paraId="54A2DE54" w14:textId="6FBA0CAB" w:rsidR="00A5542F" w:rsidRPr="00A5542F" w:rsidRDefault="00A5542F" w:rsidP="00A5542F">
            <w:pPr>
              <w:pStyle w:val="TableText"/>
              <w:rPr>
                <w:b/>
                <w:bCs/>
                <w:w w:val="115"/>
              </w:rPr>
            </w:pPr>
            <w:r w:rsidRPr="00A5542F">
              <w:rPr>
                <w:b/>
                <w:bCs/>
                <w:w w:val="105"/>
              </w:rPr>
              <w:t>Age</w:t>
            </w:r>
            <w:r w:rsidRPr="00A5542F">
              <w:rPr>
                <w:b/>
                <w:bCs/>
                <w:spacing w:val="-7"/>
                <w:w w:val="105"/>
              </w:rPr>
              <w:t xml:space="preserve"> </w:t>
            </w:r>
            <w:r w:rsidRPr="00A5542F">
              <w:rPr>
                <w:b/>
                <w:bCs/>
                <w:w w:val="105"/>
              </w:rPr>
              <w:t>group</w:t>
            </w:r>
          </w:p>
        </w:tc>
        <w:tc>
          <w:tcPr>
            <w:tcW w:w="6946" w:type="dxa"/>
            <w:gridSpan w:val="5"/>
            <w:tcBorders>
              <w:top w:val="nil"/>
              <w:bottom w:val="nil"/>
            </w:tcBorders>
            <w:shd w:val="clear" w:color="auto" w:fill="D9D9D9" w:themeFill="background1" w:themeFillShade="D9"/>
          </w:tcPr>
          <w:p w14:paraId="76BA8DF2" w14:textId="4AD03847" w:rsidR="00A5542F" w:rsidRPr="00A5542F" w:rsidRDefault="00A5542F" w:rsidP="00A5542F">
            <w:pPr>
              <w:pStyle w:val="TableText"/>
              <w:jc w:val="center"/>
              <w:rPr>
                <w:b/>
                <w:bCs/>
                <w:w w:val="110"/>
              </w:rPr>
            </w:pPr>
            <w:r w:rsidRPr="00A5542F">
              <w:rPr>
                <w:b/>
                <w:bCs/>
                <w:w w:val="105"/>
              </w:rPr>
              <w:t>Primary</w:t>
            </w:r>
            <w:r w:rsidRPr="00A5542F">
              <w:rPr>
                <w:b/>
                <w:bCs/>
                <w:spacing w:val="7"/>
                <w:w w:val="105"/>
              </w:rPr>
              <w:t xml:space="preserve"> </w:t>
            </w:r>
            <w:r w:rsidRPr="00A5542F">
              <w:rPr>
                <w:b/>
                <w:bCs/>
                <w:w w:val="105"/>
              </w:rPr>
              <w:t>course</w:t>
            </w:r>
          </w:p>
        </w:tc>
      </w:tr>
      <w:tr w:rsidR="00A5542F" w:rsidRPr="00A5542F" w14:paraId="4A1B81ED" w14:textId="77777777" w:rsidTr="00C17554">
        <w:trPr>
          <w:trHeight w:val="349"/>
          <w:tblHeader/>
        </w:trPr>
        <w:tc>
          <w:tcPr>
            <w:tcW w:w="1134" w:type="dxa"/>
            <w:tcBorders>
              <w:top w:val="nil"/>
              <w:bottom w:val="nil"/>
            </w:tcBorders>
            <w:shd w:val="clear" w:color="auto" w:fill="D9D9D9" w:themeFill="background1" w:themeFillShade="D9"/>
          </w:tcPr>
          <w:p w14:paraId="24B725AA" w14:textId="5F72300A" w:rsidR="00A5542F" w:rsidRPr="00A5542F" w:rsidRDefault="00A5542F" w:rsidP="00A5542F">
            <w:pPr>
              <w:pStyle w:val="TableText"/>
              <w:rPr>
                <w:b/>
                <w:bCs/>
              </w:rPr>
            </w:pPr>
            <w:r w:rsidRPr="00A5542F">
              <w:rPr>
                <w:b/>
                <w:bCs/>
              </w:rPr>
              <w:t>(years)</w:t>
            </w:r>
            <w:r w:rsidRPr="00A5542F">
              <w:rPr>
                <w:rStyle w:val="FootnoteReference"/>
                <w:b/>
                <w:bCs/>
              </w:rPr>
              <w:footnoteReference w:id="29"/>
            </w:r>
          </w:p>
        </w:tc>
        <w:tc>
          <w:tcPr>
            <w:tcW w:w="1389" w:type="dxa"/>
            <w:tcBorders>
              <w:top w:val="nil"/>
              <w:bottom w:val="nil"/>
            </w:tcBorders>
            <w:shd w:val="clear" w:color="auto" w:fill="D9D9D9" w:themeFill="background1" w:themeFillShade="D9"/>
          </w:tcPr>
          <w:p w14:paraId="212CB204" w14:textId="77777777" w:rsidR="00A5542F" w:rsidRPr="00A5542F" w:rsidRDefault="00A5542F" w:rsidP="00A5542F">
            <w:pPr>
              <w:pStyle w:val="TableText"/>
              <w:jc w:val="right"/>
              <w:rPr>
                <w:b/>
                <w:bCs/>
              </w:rPr>
            </w:pPr>
            <w:r w:rsidRPr="00A5542F">
              <w:rPr>
                <w:b/>
                <w:bCs/>
              </w:rPr>
              <w:t>Dose 1</w:t>
            </w:r>
          </w:p>
        </w:tc>
        <w:tc>
          <w:tcPr>
            <w:tcW w:w="1389" w:type="dxa"/>
            <w:tcBorders>
              <w:top w:val="nil"/>
              <w:bottom w:val="nil"/>
            </w:tcBorders>
            <w:shd w:val="clear" w:color="auto" w:fill="D9D9D9" w:themeFill="background1" w:themeFillShade="D9"/>
          </w:tcPr>
          <w:p w14:paraId="4AB61354" w14:textId="77777777" w:rsidR="00A5542F" w:rsidRPr="00A5542F" w:rsidRDefault="00A5542F" w:rsidP="00A5542F">
            <w:pPr>
              <w:pStyle w:val="TableText"/>
              <w:jc w:val="right"/>
              <w:rPr>
                <w:b/>
                <w:bCs/>
              </w:rPr>
            </w:pPr>
            <w:r w:rsidRPr="00A5542F">
              <w:rPr>
                <w:b/>
                <w:bCs/>
              </w:rPr>
              <w:t>Dose 2</w:t>
            </w:r>
          </w:p>
        </w:tc>
        <w:tc>
          <w:tcPr>
            <w:tcW w:w="1389" w:type="dxa"/>
            <w:tcBorders>
              <w:top w:val="nil"/>
              <w:bottom w:val="nil"/>
            </w:tcBorders>
            <w:shd w:val="clear" w:color="auto" w:fill="D9D9D9" w:themeFill="background1" w:themeFillShade="D9"/>
          </w:tcPr>
          <w:p w14:paraId="4610491E" w14:textId="77777777" w:rsidR="00A5542F" w:rsidRPr="00A5542F" w:rsidRDefault="00A5542F" w:rsidP="00A5542F">
            <w:pPr>
              <w:pStyle w:val="TableText"/>
              <w:jc w:val="right"/>
              <w:rPr>
                <w:b/>
                <w:bCs/>
              </w:rPr>
            </w:pPr>
            <w:r w:rsidRPr="00A5542F">
              <w:rPr>
                <w:b/>
                <w:bCs/>
              </w:rPr>
              <w:t>Booster 1</w:t>
            </w:r>
          </w:p>
        </w:tc>
        <w:tc>
          <w:tcPr>
            <w:tcW w:w="1389" w:type="dxa"/>
            <w:tcBorders>
              <w:top w:val="nil"/>
              <w:bottom w:val="nil"/>
            </w:tcBorders>
            <w:shd w:val="clear" w:color="auto" w:fill="D9D9D9" w:themeFill="background1" w:themeFillShade="D9"/>
          </w:tcPr>
          <w:p w14:paraId="79D1E84D" w14:textId="77777777" w:rsidR="00A5542F" w:rsidRPr="00A5542F" w:rsidRDefault="00A5542F" w:rsidP="00A5542F">
            <w:pPr>
              <w:pStyle w:val="TableText"/>
              <w:jc w:val="right"/>
              <w:rPr>
                <w:b/>
                <w:bCs/>
              </w:rPr>
            </w:pPr>
            <w:r w:rsidRPr="00A5542F">
              <w:rPr>
                <w:b/>
                <w:bCs/>
              </w:rPr>
              <w:t>Booster 2</w:t>
            </w:r>
          </w:p>
        </w:tc>
        <w:tc>
          <w:tcPr>
            <w:tcW w:w="1390" w:type="dxa"/>
            <w:tcBorders>
              <w:top w:val="nil"/>
              <w:bottom w:val="nil"/>
            </w:tcBorders>
            <w:shd w:val="clear" w:color="auto" w:fill="D9D9D9" w:themeFill="background1" w:themeFillShade="D9"/>
          </w:tcPr>
          <w:p w14:paraId="04C9BB1A" w14:textId="580CD3C1" w:rsidR="00A5542F" w:rsidRPr="00A5542F" w:rsidRDefault="00A5542F" w:rsidP="00A5542F">
            <w:pPr>
              <w:pStyle w:val="TableText"/>
              <w:jc w:val="right"/>
              <w:rPr>
                <w:b/>
                <w:bCs/>
              </w:rPr>
            </w:pPr>
            <w:r w:rsidRPr="00A5542F">
              <w:rPr>
                <w:b/>
                <w:bCs/>
              </w:rPr>
              <w:t>Total</w:t>
            </w:r>
            <w:r w:rsidRPr="00A5542F">
              <w:rPr>
                <w:rStyle w:val="FootnoteReference"/>
                <w:b/>
                <w:bCs/>
              </w:rPr>
              <w:footnoteReference w:id="30"/>
            </w:r>
          </w:p>
        </w:tc>
      </w:tr>
      <w:tr w:rsidR="00A5542F" w14:paraId="3A3E1DEB" w14:textId="77777777" w:rsidTr="00C17554">
        <w:trPr>
          <w:trHeight w:val="343"/>
        </w:trPr>
        <w:tc>
          <w:tcPr>
            <w:tcW w:w="1134" w:type="dxa"/>
            <w:tcBorders>
              <w:top w:val="nil"/>
            </w:tcBorders>
          </w:tcPr>
          <w:p w14:paraId="1C5444C1" w14:textId="77777777" w:rsidR="00A5542F" w:rsidRPr="007771E2" w:rsidRDefault="00A5542F" w:rsidP="007771E2">
            <w:pPr>
              <w:pStyle w:val="TableText"/>
            </w:pPr>
            <w:r w:rsidRPr="007771E2">
              <w:t>0 to 11</w:t>
            </w:r>
          </w:p>
        </w:tc>
        <w:tc>
          <w:tcPr>
            <w:tcW w:w="1389" w:type="dxa"/>
            <w:tcBorders>
              <w:top w:val="nil"/>
            </w:tcBorders>
          </w:tcPr>
          <w:p w14:paraId="67DE69EA" w14:textId="77777777" w:rsidR="00A5542F" w:rsidRDefault="00A5542F" w:rsidP="00A5542F">
            <w:pPr>
              <w:pStyle w:val="TableText"/>
              <w:jc w:val="right"/>
            </w:pPr>
            <w:r>
              <w:t>264,018</w:t>
            </w:r>
          </w:p>
        </w:tc>
        <w:tc>
          <w:tcPr>
            <w:tcW w:w="1389" w:type="dxa"/>
            <w:tcBorders>
              <w:top w:val="nil"/>
            </w:tcBorders>
          </w:tcPr>
          <w:p w14:paraId="5A9232FD" w14:textId="77777777" w:rsidR="00A5542F" w:rsidRDefault="00A5542F" w:rsidP="00A5542F">
            <w:pPr>
              <w:pStyle w:val="TableText"/>
              <w:jc w:val="right"/>
            </w:pPr>
            <w:r>
              <w:t>129,996</w:t>
            </w:r>
          </w:p>
        </w:tc>
        <w:tc>
          <w:tcPr>
            <w:tcW w:w="1389" w:type="dxa"/>
            <w:tcBorders>
              <w:top w:val="nil"/>
            </w:tcBorders>
          </w:tcPr>
          <w:p w14:paraId="35BAECDA" w14:textId="77777777" w:rsidR="00A5542F" w:rsidRDefault="00A5542F" w:rsidP="00A5542F">
            <w:pPr>
              <w:pStyle w:val="TableText"/>
              <w:jc w:val="right"/>
            </w:pPr>
            <w:r>
              <w:rPr>
                <w:w w:val="165"/>
              </w:rPr>
              <w:t>-</w:t>
            </w:r>
          </w:p>
        </w:tc>
        <w:tc>
          <w:tcPr>
            <w:tcW w:w="1389" w:type="dxa"/>
            <w:tcBorders>
              <w:top w:val="nil"/>
            </w:tcBorders>
          </w:tcPr>
          <w:p w14:paraId="5F1D31F9" w14:textId="77777777" w:rsidR="00A5542F" w:rsidRDefault="00A5542F" w:rsidP="00A5542F">
            <w:pPr>
              <w:pStyle w:val="TableText"/>
              <w:jc w:val="right"/>
            </w:pPr>
            <w:r>
              <w:rPr>
                <w:w w:val="165"/>
              </w:rPr>
              <w:t>-</w:t>
            </w:r>
          </w:p>
        </w:tc>
        <w:tc>
          <w:tcPr>
            <w:tcW w:w="1390" w:type="dxa"/>
            <w:tcBorders>
              <w:top w:val="nil"/>
            </w:tcBorders>
          </w:tcPr>
          <w:p w14:paraId="7E1301EF" w14:textId="77777777" w:rsidR="00A5542F" w:rsidRDefault="00A5542F" w:rsidP="00A5542F">
            <w:pPr>
              <w:pStyle w:val="TableText"/>
              <w:jc w:val="right"/>
            </w:pPr>
            <w:r>
              <w:rPr>
                <w:w w:val="105"/>
              </w:rPr>
              <w:t>394,014</w:t>
            </w:r>
          </w:p>
        </w:tc>
      </w:tr>
      <w:tr w:rsidR="00A5542F" w14:paraId="76D5913F" w14:textId="77777777" w:rsidTr="00C17554">
        <w:trPr>
          <w:trHeight w:val="338"/>
        </w:trPr>
        <w:tc>
          <w:tcPr>
            <w:tcW w:w="1134" w:type="dxa"/>
          </w:tcPr>
          <w:p w14:paraId="7C0E9004" w14:textId="77777777" w:rsidR="00A5542F" w:rsidRPr="007771E2" w:rsidRDefault="00A5542F" w:rsidP="007771E2">
            <w:pPr>
              <w:pStyle w:val="TableText"/>
            </w:pPr>
            <w:r w:rsidRPr="007771E2">
              <w:t>12 to 15</w:t>
            </w:r>
          </w:p>
        </w:tc>
        <w:tc>
          <w:tcPr>
            <w:tcW w:w="1389" w:type="dxa"/>
          </w:tcPr>
          <w:p w14:paraId="55B7ECE0" w14:textId="77777777" w:rsidR="00A5542F" w:rsidRDefault="00A5542F" w:rsidP="00A5542F">
            <w:pPr>
              <w:pStyle w:val="TableText"/>
              <w:jc w:val="right"/>
            </w:pPr>
            <w:r>
              <w:t>261,252</w:t>
            </w:r>
          </w:p>
        </w:tc>
        <w:tc>
          <w:tcPr>
            <w:tcW w:w="1389" w:type="dxa"/>
          </w:tcPr>
          <w:p w14:paraId="0C073E4C" w14:textId="77777777" w:rsidR="00A5542F" w:rsidRDefault="00A5542F" w:rsidP="00A5542F">
            <w:pPr>
              <w:pStyle w:val="TableText"/>
              <w:jc w:val="right"/>
            </w:pPr>
            <w:r>
              <w:t>251,007</w:t>
            </w:r>
          </w:p>
        </w:tc>
        <w:tc>
          <w:tcPr>
            <w:tcW w:w="1389" w:type="dxa"/>
          </w:tcPr>
          <w:p w14:paraId="0CED92D3" w14:textId="77777777" w:rsidR="00A5542F" w:rsidRDefault="00A5542F" w:rsidP="00A5542F">
            <w:pPr>
              <w:pStyle w:val="TableText"/>
              <w:jc w:val="right"/>
            </w:pPr>
            <w:r>
              <w:t>145</w:t>
            </w:r>
          </w:p>
        </w:tc>
        <w:tc>
          <w:tcPr>
            <w:tcW w:w="1389" w:type="dxa"/>
          </w:tcPr>
          <w:p w14:paraId="11265863" w14:textId="77777777" w:rsidR="00A5542F" w:rsidRDefault="00A5542F" w:rsidP="00A5542F">
            <w:pPr>
              <w:pStyle w:val="TableText"/>
              <w:jc w:val="right"/>
            </w:pPr>
            <w:r>
              <w:rPr>
                <w:w w:val="57"/>
              </w:rPr>
              <w:t>1</w:t>
            </w:r>
          </w:p>
        </w:tc>
        <w:tc>
          <w:tcPr>
            <w:tcW w:w="1390" w:type="dxa"/>
          </w:tcPr>
          <w:p w14:paraId="07197621" w14:textId="77777777" w:rsidR="00A5542F" w:rsidRDefault="00A5542F" w:rsidP="00A5542F">
            <w:pPr>
              <w:pStyle w:val="TableText"/>
              <w:jc w:val="right"/>
            </w:pPr>
            <w:r>
              <w:rPr>
                <w:w w:val="105"/>
              </w:rPr>
              <w:t>512,405</w:t>
            </w:r>
          </w:p>
        </w:tc>
      </w:tr>
      <w:tr w:rsidR="00A5542F" w14:paraId="55896625" w14:textId="77777777" w:rsidTr="00C17554">
        <w:trPr>
          <w:trHeight w:val="338"/>
        </w:trPr>
        <w:tc>
          <w:tcPr>
            <w:tcW w:w="1134" w:type="dxa"/>
          </w:tcPr>
          <w:p w14:paraId="7A32261A" w14:textId="77777777" w:rsidR="00A5542F" w:rsidRPr="007771E2" w:rsidRDefault="00A5542F" w:rsidP="007771E2">
            <w:pPr>
              <w:pStyle w:val="TableText"/>
            </w:pPr>
            <w:r w:rsidRPr="007771E2">
              <w:t>16 to 19</w:t>
            </w:r>
          </w:p>
        </w:tc>
        <w:tc>
          <w:tcPr>
            <w:tcW w:w="1389" w:type="dxa"/>
          </w:tcPr>
          <w:p w14:paraId="70ECBC56" w14:textId="77777777" w:rsidR="00A5542F" w:rsidRDefault="00A5542F" w:rsidP="00A5542F">
            <w:pPr>
              <w:pStyle w:val="TableText"/>
              <w:jc w:val="right"/>
            </w:pPr>
            <w:r>
              <w:rPr>
                <w:w w:val="105"/>
              </w:rPr>
              <w:t>225,039</w:t>
            </w:r>
          </w:p>
        </w:tc>
        <w:tc>
          <w:tcPr>
            <w:tcW w:w="1389" w:type="dxa"/>
          </w:tcPr>
          <w:p w14:paraId="45022A0D" w14:textId="77777777" w:rsidR="00A5542F" w:rsidRDefault="00A5542F" w:rsidP="00A5542F">
            <w:pPr>
              <w:pStyle w:val="TableText"/>
              <w:jc w:val="right"/>
            </w:pPr>
            <w:r>
              <w:rPr>
                <w:w w:val="105"/>
              </w:rPr>
              <w:t>224,953</w:t>
            </w:r>
          </w:p>
        </w:tc>
        <w:tc>
          <w:tcPr>
            <w:tcW w:w="1389" w:type="dxa"/>
          </w:tcPr>
          <w:p w14:paraId="7F140378" w14:textId="77777777" w:rsidR="00A5542F" w:rsidRDefault="00A5542F" w:rsidP="00A5542F">
            <w:pPr>
              <w:pStyle w:val="TableText"/>
              <w:jc w:val="right"/>
            </w:pPr>
            <w:r>
              <w:rPr>
                <w:w w:val="105"/>
              </w:rPr>
              <w:t>75,408</w:t>
            </w:r>
          </w:p>
        </w:tc>
        <w:tc>
          <w:tcPr>
            <w:tcW w:w="1389" w:type="dxa"/>
          </w:tcPr>
          <w:p w14:paraId="3DD60F20" w14:textId="77777777" w:rsidR="00A5542F" w:rsidRDefault="00A5542F" w:rsidP="00A5542F">
            <w:pPr>
              <w:pStyle w:val="TableText"/>
              <w:jc w:val="right"/>
            </w:pPr>
            <w:r>
              <w:rPr>
                <w:w w:val="95"/>
              </w:rPr>
              <w:t>10</w:t>
            </w:r>
          </w:p>
        </w:tc>
        <w:tc>
          <w:tcPr>
            <w:tcW w:w="1390" w:type="dxa"/>
          </w:tcPr>
          <w:p w14:paraId="580F1444" w14:textId="77777777" w:rsidR="00A5542F" w:rsidRDefault="00A5542F" w:rsidP="00A5542F">
            <w:pPr>
              <w:pStyle w:val="TableText"/>
              <w:jc w:val="right"/>
            </w:pPr>
            <w:r>
              <w:rPr>
                <w:w w:val="105"/>
              </w:rPr>
              <w:t>525,410</w:t>
            </w:r>
          </w:p>
        </w:tc>
      </w:tr>
      <w:tr w:rsidR="00A5542F" w14:paraId="223D2A75" w14:textId="77777777" w:rsidTr="00C17554">
        <w:trPr>
          <w:trHeight w:val="338"/>
        </w:trPr>
        <w:tc>
          <w:tcPr>
            <w:tcW w:w="1134" w:type="dxa"/>
          </w:tcPr>
          <w:p w14:paraId="1320736F" w14:textId="77777777" w:rsidR="00A5542F" w:rsidRPr="007771E2" w:rsidRDefault="00A5542F" w:rsidP="007771E2">
            <w:pPr>
              <w:pStyle w:val="TableText"/>
            </w:pPr>
            <w:r w:rsidRPr="007771E2">
              <w:t>20 to 24</w:t>
            </w:r>
          </w:p>
        </w:tc>
        <w:tc>
          <w:tcPr>
            <w:tcW w:w="1389" w:type="dxa"/>
          </w:tcPr>
          <w:p w14:paraId="5EF92291" w14:textId="77777777" w:rsidR="00A5542F" w:rsidRDefault="00A5542F" w:rsidP="00A5542F">
            <w:pPr>
              <w:pStyle w:val="TableText"/>
              <w:jc w:val="right"/>
            </w:pPr>
            <w:r>
              <w:rPr>
                <w:w w:val="105"/>
              </w:rPr>
              <w:t>274,406</w:t>
            </w:r>
          </w:p>
        </w:tc>
        <w:tc>
          <w:tcPr>
            <w:tcW w:w="1389" w:type="dxa"/>
          </w:tcPr>
          <w:p w14:paraId="16B00C30" w14:textId="77777777" w:rsidR="00A5542F" w:rsidRDefault="00A5542F" w:rsidP="00A5542F">
            <w:pPr>
              <w:pStyle w:val="TableText"/>
              <w:jc w:val="right"/>
            </w:pPr>
            <w:r>
              <w:rPr>
                <w:w w:val="105"/>
              </w:rPr>
              <w:t>276,876</w:t>
            </w:r>
          </w:p>
        </w:tc>
        <w:tc>
          <w:tcPr>
            <w:tcW w:w="1389" w:type="dxa"/>
          </w:tcPr>
          <w:p w14:paraId="7AD05C69" w14:textId="77777777" w:rsidR="00A5542F" w:rsidRDefault="00A5542F" w:rsidP="00A5542F">
            <w:pPr>
              <w:pStyle w:val="TableText"/>
              <w:jc w:val="right"/>
            </w:pPr>
            <w:r>
              <w:t>154,605</w:t>
            </w:r>
          </w:p>
        </w:tc>
        <w:tc>
          <w:tcPr>
            <w:tcW w:w="1389" w:type="dxa"/>
          </w:tcPr>
          <w:p w14:paraId="26761338" w14:textId="77777777" w:rsidR="00A5542F" w:rsidRDefault="00A5542F" w:rsidP="00A5542F">
            <w:pPr>
              <w:pStyle w:val="TableText"/>
              <w:jc w:val="right"/>
            </w:pPr>
            <w:r>
              <w:t>37</w:t>
            </w:r>
          </w:p>
        </w:tc>
        <w:tc>
          <w:tcPr>
            <w:tcW w:w="1390" w:type="dxa"/>
          </w:tcPr>
          <w:p w14:paraId="1ACC148D" w14:textId="77777777" w:rsidR="00A5542F" w:rsidRDefault="00A5542F" w:rsidP="00A5542F">
            <w:pPr>
              <w:pStyle w:val="TableText"/>
              <w:jc w:val="right"/>
            </w:pPr>
            <w:r>
              <w:rPr>
                <w:w w:val="110"/>
              </w:rPr>
              <w:t>705,924</w:t>
            </w:r>
          </w:p>
        </w:tc>
      </w:tr>
      <w:tr w:rsidR="00A5542F" w14:paraId="059587DE" w14:textId="77777777" w:rsidTr="00C17554">
        <w:trPr>
          <w:trHeight w:val="338"/>
        </w:trPr>
        <w:tc>
          <w:tcPr>
            <w:tcW w:w="1134" w:type="dxa"/>
          </w:tcPr>
          <w:p w14:paraId="1F929E0D" w14:textId="77777777" w:rsidR="00A5542F" w:rsidRPr="007771E2" w:rsidRDefault="00A5542F" w:rsidP="007771E2">
            <w:pPr>
              <w:pStyle w:val="TableText"/>
            </w:pPr>
            <w:r w:rsidRPr="007771E2">
              <w:t>25 to 29</w:t>
            </w:r>
          </w:p>
        </w:tc>
        <w:tc>
          <w:tcPr>
            <w:tcW w:w="1389" w:type="dxa"/>
          </w:tcPr>
          <w:p w14:paraId="56C62081" w14:textId="77777777" w:rsidR="00A5542F" w:rsidRDefault="00A5542F" w:rsidP="00A5542F">
            <w:pPr>
              <w:pStyle w:val="TableText"/>
              <w:jc w:val="right"/>
            </w:pPr>
            <w:r>
              <w:t>296,341</w:t>
            </w:r>
          </w:p>
        </w:tc>
        <w:tc>
          <w:tcPr>
            <w:tcW w:w="1389" w:type="dxa"/>
          </w:tcPr>
          <w:p w14:paraId="09D9CF28" w14:textId="77777777" w:rsidR="00A5542F" w:rsidRDefault="00A5542F" w:rsidP="00A5542F">
            <w:pPr>
              <w:pStyle w:val="TableText"/>
              <w:jc w:val="right"/>
            </w:pPr>
            <w:r>
              <w:rPr>
                <w:w w:val="110"/>
              </w:rPr>
              <w:t>299,566</w:t>
            </w:r>
          </w:p>
        </w:tc>
        <w:tc>
          <w:tcPr>
            <w:tcW w:w="1389" w:type="dxa"/>
          </w:tcPr>
          <w:p w14:paraId="03ECE04A" w14:textId="77777777" w:rsidR="00A5542F" w:rsidRDefault="00A5542F" w:rsidP="00A5542F">
            <w:pPr>
              <w:pStyle w:val="TableText"/>
              <w:jc w:val="right"/>
            </w:pPr>
            <w:r>
              <w:t>178,804</w:t>
            </w:r>
          </w:p>
        </w:tc>
        <w:tc>
          <w:tcPr>
            <w:tcW w:w="1389" w:type="dxa"/>
          </w:tcPr>
          <w:p w14:paraId="3165378C" w14:textId="77777777" w:rsidR="00A5542F" w:rsidRDefault="00A5542F" w:rsidP="00A5542F">
            <w:pPr>
              <w:pStyle w:val="TableText"/>
              <w:jc w:val="right"/>
            </w:pPr>
            <w:r>
              <w:rPr>
                <w:w w:val="105"/>
              </w:rPr>
              <w:t>75</w:t>
            </w:r>
          </w:p>
        </w:tc>
        <w:tc>
          <w:tcPr>
            <w:tcW w:w="1390" w:type="dxa"/>
          </w:tcPr>
          <w:p w14:paraId="1310C656" w14:textId="77777777" w:rsidR="00A5542F" w:rsidRDefault="00A5542F" w:rsidP="00A5542F">
            <w:pPr>
              <w:pStyle w:val="TableText"/>
              <w:jc w:val="right"/>
            </w:pPr>
            <w:r>
              <w:rPr>
                <w:w w:val="105"/>
              </w:rPr>
              <w:t>774,786</w:t>
            </w:r>
          </w:p>
        </w:tc>
      </w:tr>
      <w:tr w:rsidR="00A5542F" w14:paraId="17BB3746" w14:textId="77777777" w:rsidTr="00C17554">
        <w:trPr>
          <w:trHeight w:val="338"/>
        </w:trPr>
        <w:tc>
          <w:tcPr>
            <w:tcW w:w="1134" w:type="dxa"/>
          </w:tcPr>
          <w:p w14:paraId="548A1315" w14:textId="77777777" w:rsidR="00A5542F" w:rsidRPr="007771E2" w:rsidRDefault="00A5542F" w:rsidP="007771E2">
            <w:pPr>
              <w:pStyle w:val="TableText"/>
            </w:pPr>
            <w:r w:rsidRPr="007771E2">
              <w:t>30 to 34</w:t>
            </w:r>
          </w:p>
        </w:tc>
        <w:tc>
          <w:tcPr>
            <w:tcW w:w="1389" w:type="dxa"/>
          </w:tcPr>
          <w:p w14:paraId="500AF8C0" w14:textId="77777777" w:rsidR="00A5542F" w:rsidRDefault="00A5542F" w:rsidP="00A5542F">
            <w:pPr>
              <w:pStyle w:val="TableText"/>
              <w:jc w:val="right"/>
            </w:pPr>
            <w:r>
              <w:rPr>
                <w:w w:val="110"/>
              </w:rPr>
              <w:t>308,454</w:t>
            </w:r>
          </w:p>
        </w:tc>
        <w:tc>
          <w:tcPr>
            <w:tcW w:w="1389" w:type="dxa"/>
          </w:tcPr>
          <w:p w14:paraId="4FF5BBB6" w14:textId="77777777" w:rsidR="00A5542F" w:rsidRDefault="00A5542F" w:rsidP="00A5542F">
            <w:pPr>
              <w:pStyle w:val="TableText"/>
              <w:jc w:val="right"/>
            </w:pPr>
            <w:r>
              <w:t>313,709</w:t>
            </w:r>
          </w:p>
        </w:tc>
        <w:tc>
          <w:tcPr>
            <w:tcW w:w="1389" w:type="dxa"/>
          </w:tcPr>
          <w:p w14:paraId="212F066B" w14:textId="77777777" w:rsidR="00A5542F" w:rsidRDefault="00A5542F" w:rsidP="00A5542F">
            <w:pPr>
              <w:pStyle w:val="TableText"/>
              <w:jc w:val="right"/>
            </w:pPr>
            <w:r>
              <w:rPr>
                <w:w w:val="105"/>
              </w:rPr>
              <w:t>207,833</w:t>
            </w:r>
          </w:p>
        </w:tc>
        <w:tc>
          <w:tcPr>
            <w:tcW w:w="1389" w:type="dxa"/>
          </w:tcPr>
          <w:p w14:paraId="2415ED6C" w14:textId="77777777" w:rsidR="00A5542F" w:rsidRDefault="00A5542F" w:rsidP="00A5542F">
            <w:pPr>
              <w:pStyle w:val="TableText"/>
              <w:jc w:val="right"/>
            </w:pPr>
            <w:r>
              <w:rPr>
                <w:w w:val="110"/>
              </w:rPr>
              <w:t>238</w:t>
            </w:r>
          </w:p>
        </w:tc>
        <w:tc>
          <w:tcPr>
            <w:tcW w:w="1390" w:type="dxa"/>
          </w:tcPr>
          <w:p w14:paraId="784204B3" w14:textId="77777777" w:rsidR="00A5542F" w:rsidRDefault="00A5542F" w:rsidP="00A5542F">
            <w:pPr>
              <w:pStyle w:val="TableText"/>
              <w:jc w:val="right"/>
            </w:pPr>
            <w:r>
              <w:rPr>
                <w:w w:val="110"/>
              </w:rPr>
              <w:t>830,234</w:t>
            </w:r>
          </w:p>
        </w:tc>
      </w:tr>
      <w:tr w:rsidR="00A5542F" w14:paraId="29E6D9EF" w14:textId="77777777" w:rsidTr="00C17554">
        <w:trPr>
          <w:trHeight w:val="338"/>
        </w:trPr>
        <w:tc>
          <w:tcPr>
            <w:tcW w:w="1134" w:type="dxa"/>
          </w:tcPr>
          <w:p w14:paraId="04442FCE" w14:textId="77777777" w:rsidR="00A5542F" w:rsidRPr="007771E2" w:rsidRDefault="00A5542F" w:rsidP="007771E2">
            <w:pPr>
              <w:pStyle w:val="TableText"/>
            </w:pPr>
            <w:r w:rsidRPr="007771E2">
              <w:t>35 to 39</w:t>
            </w:r>
          </w:p>
        </w:tc>
        <w:tc>
          <w:tcPr>
            <w:tcW w:w="1389" w:type="dxa"/>
          </w:tcPr>
          <w:p w14:paraId="46EAAE3A" w14:textId="77777777" w:rsidR="00A5542F" w:rsidRDefault="00A5542F" w:rsidP="00A5542F">
            <w:pPr>
              <w:pStyle w:val="TableText"/>
              <w:jc w:val="right"/>
            </w:pPr>
            <w:r>
              <w:t>277,070</w:t>
            </w:r>
          </w:p>
        </w:tc>
        <w:tc>
          <w:tcPr>
            <w:tcW w:w="1389" w:type="dxa"/>
          </w:tcPr>
          <w:p w14:paraId="342AD058" w14:textId="77777777" w:rsidR="00A5542F" w:rsidRDefault="00A5542F" w:rsidP="00A5542F">
            <w:pPr>
              <w:pStyle w:val="TableText"/>
              <w:jc w:val="right"/>
            </w:pPr>
            <w:r>
              <w:rPr>
                <w:w w:val="110"/>
              </w:rPr>
              <w:t>283,094</w:t>
            </w:r>
          </w:p>
        </w:tc>
        <w:tc>
          <w:tcPr>
            <w:tcW w:w="1389" w:type="dxa"/>
          </w:tcPr>
          <w:p w14:paraId="6987A1AC" w14:textId="77777777" w:rsidR="00A5542F" w:rsidRDefault="00A5542F" w:rsidP="00A5542F">
            <w:pPr>
              <w:pStyle w:val="TableText"/>
              <w:jc w:val="right"/>
            </w:pPr>
            <w:r>
              <w:rPr>
                <w:w w:val="105"/>
              </w:rPr>
              <w:t>205,372</w:t>
            </w:r>
          </w:p>
        </w:tc>
        <w:tc>
          <w:tcPr>
            <w:tcW w:w="1389" w:type="dxa"/>
          </w:tcPr>
          <w:p w14:paraId="13523E4B" w14:textId="77777777" w:rsidR="00A5542F" w:rsidRDefault="00A5542F" w:rsidP="00A5542F">
            <w:pPr>
              <w:pStyle w:val="TableText"/>
              <w:jc w:val="right"/>
            </w:pPr>
            <w:r>
              <w:rPr>
                <w:w w:val="105"/>
              </w:rPr>
              <w:t>233</w:t>
            </w:r>
          </w:p>
        </w:tc>
        <w:tc>
          <w:tcPr>
            <w:tcW w:w="1390" w:type="dxa"/>
          </w:tcPr>
          <w:p w14:paraId="552C91EB" w14:textId="77777777" w:rsidR="00A5542F" w:rsidRDefault="00A5542F" w:rsidP="00A5542F">
            <w:pPr>
              <w:pStyle w:val="TableText"/>
              <w:jc w:val="right"/>
            </w:pPr>
            <w:r>
              <w:rPr>
                <w:w w:val="105"/>
              </w:rPr>
              <w:t>765,769</w:t>
            </w:r>
          </w:p>
        </w:tc>
      </w:tr>
      <w:tr w:rsidR="00A5542F" w14:paraId="311769AE" w14:textId="77777777" w:rsidTr="00C17554">
        <w:trPr>
          <w:trHeight w:val="338"/>
        </w:trPr>
        <w:tc>
          <w:tcPr>
            <w:tcW w:w="1134" w:type="dxa"/>
          </w:tcPr>
          <w:p w14:paraId="18437F71" w14:textId="77777777" w:rsidR="00A5542F" w:rsidRDefault="00A5542F" w:rsidP="00A5542F">
            <w:pPr>
              <w:pStyle w:val="TableText"/>
            </w:pPr>
            <w:r>
              <w:rPr>
                <w:w w:val="110"/>
              </w:rPr>
              <w:t>40</w:t>
            </w:r>
            <w:r>
              <w:rPr>
                <w:spacing w:val="-8"/>
                <w:w w:val="110"/>
              </w:rPr>
              <w:t xml:space="preserve"> </w:t>
            </w:r>
            <w:r>
              <w:rPr>
                <w:w w:val="110"/>
              </w:rPr>
              <w:t>to</w:t>
            </w:r>
            <w:r>
              <w:rPr>
                <w:spacing w:val="-8"/>
                <w:w w:val="110"/>
              </w:rPr>
              <w:t xml:space="preserve"> </w:t>
            </w:r>
            <w:r>
              <w:rPr>
                <w:w w:val="110"/>
              </w:rPr>
              <w:t>44</w:t>
            </w:r>
          </w:p>
        </w:tc>
        <w:tc>
          <w:tcPr>
            <w:tcW w:w="1389" w:type="dxa"/>
          </w:tcPr>
          <w:p w14:paraId="707CCED1" w14:textId="77777777" w:rsidR="00A5542F" w:rsidRDefault="00A5542F" w:rsidP="00A5542F">
            <w:pPr>
              <w:pStyle w:val="TableText"/>
              <w:jc w:val="right"/>
            </w:pPr>
            <w:r>
              <w:rPr>
                <w:w w:val="105"/>
              </w:rPr>
              <w:t>253,530</w:t>
            </w:r>
          </w:p>
        </w:tc>
        <w:tc>
          <w:tcPr>
            <w:tcW w:w="1389" w:type="dxa"/>
          </w:tcPr>
          <w:p w14:paraId="7F170DAD" w14:textId="77777777" w:rsidR="00A5542F" w:rsidRDefault="00A5542F" w:rsidP="00A5542F">
            <w:pPr>
              <w:pStyle w:val="TableText"/>
              <w:jc w:val="right"/>
            </w:pPr>
            <w:r>
              <w:rPr>
                <w:w w:val="105"/>
              </w:rPr>
              <w:t>259,933</w:t>
            </w:r>
          </w:p>
        </w:tc>
        <w:tc>
          <w:tcPr>
            <w:tcW w:w="1389" w:type="dxa"/>
          </w:tcPr>
          <w:p w14:paraId="32749977" w14:textId="77777777" w:rsidR="00A5542F" w:rsidRDefault="00A5542F" w:rsidP="00A5542F">
            <w:pPr>
              <w:pStyle w:val="TableText"/>
              <w:jc w:val="right"/>
            </w:pPr>
            <w:r>
              <w:t>202,661</w:t>
            </w:r>
          </w:p>
        </w:tc>
        <w:tc>
          <w:tcPr>
            <w:tcW w:w="1389" w:type="dxa"/>
          </w:tcPr>
          <w:p w14:paraId="3E302832" w14:textId="77777777" w:rsidR="00A5542F" w:rsidRDefault="00A5542F" w:rsidP="00A5542F">
            <w:pPr>
              <w:pStyle w:val="TableText"/>
              <w:jc w:val="right"/>
            </w:pPr>
            <w:r>
              <w:rPr>
                <w:w w:val="110"/>
              </w:rPr>
              <w:t>306</w:t>
            </w:r>
          </w:p>
        </w:tc>
        <w:tc>
          <w:tcPr>
            <w:tcW w:w="1390" w:type="dxa"/>
          </w:tcPr>
          <w:p w14:paraId="5882E852" w14:textId="77777777" w:rsidR="00A5542F" w:rsidRDefault="00A5542F" w:rsidP="00A5542F">
            <w:pPr>
              <w:pStyle w:val="TableText"/>
              <w:jc w:val="right"/>
            </w:pPr>
            <w:r>
              <w:t>716,430</w:t>
            </w:r>
          </w:p>
        </w:tc>
      </w:tr>
      <w:tr w:rsidR="00A5542F" w14:paraId="14FB209D" w14:textId="77777777" w:rsidTr="00C17554">
        <w:trPr>
          <w:trHeight w:val="338"/>
        </w:trPr>
        <w:tc>
          <w:tcPr>
            <w:tcW w:w="1134" w:type="dxa"/>
          </w:tcPr>
          <w:p w14:paraId="6A3E1485" w14:textId="77777777" w:rsidR="00A5542F" w:rsidRDefault="00A5542F" w:rsidP="00A5542F">
            <w:pPr>
              <w:pStyle w:val="TableText"/>
            </w:pPr>
            <w:r>
              <w:rPr>
                <w:w w:val="110"/>
              </w:rPr>
              <w:t>45</w:t>
            </w:r>
            <w:r>
              <w:rPr>
                <w:spacing w:val="-8"/>
                <w:w w:val="110"/>
              </w:rPr>
              <w:t xml:space="preserve"> </w:t>
            </w:r>
            <w:r>
              <w:rPr>
                <w:w w:val="110"/>
              </w:rPr>
              <w:t>to</w:t>
            </w:r>
            <w:r>
              <w:rPr>
                <w:spacing w:val="-8"/>
                <w:w w:val="110"/>
              </w:rPr>
              <w:t xml:space="preserve"> </w:t>
            </w:r>
            <w:r>
              <w:rPr>
                <w:w w:val="110"/>
              </w:rPr>
              <w:t>49</w:t>
            </w:r>
          </w:p>
        </w:tc>
        <w:tc>
          <w:tcPr>
            <w:tcW w:w="1389" w:type="dxa"/>
          </w:tcPr>
          <w:p w14:paraId="6AA62A20" w14:textId="77777777" w:rsidR="00A5542F" w:rsidRDefault="00A5542F" w:rsidP="00A5542F">
            <w:pPr>
              <w:pStyle w:val="TableText"/>
              <w:jc w:val="right"/>
            </w:pPr>
            <w:r>
              <w:rPr>
                <w:w w:val="110"/>
              </w:rPr>
              <w:t>256,538</w:t>
            </w:r>
          </w:p>
        </w:tc>
        <w:tc>
          <w:tcPr>
            <w:tcW w:w="1389" w:type="dxa"/>
          </w:tcPr>
          <w:p w14:paraId="03AAF87A" w14:textId="77777777" w:rsidR="00A5542F" w:rsidRDefault="00A5542F" w:rsidP="00A5542F">
            <w:pPr>
              <w:pStyle w:val="TableText"/>
              <w:jc w:val="right"/>
            </w:pPr>
            <w:r>
              <w:rPr>
                <w:w w:val="105"/>
              </w:rPr>
              <w:t>263,867</w:t>
            </w:r>
          </w:p>
        </w:tc>
        <w:tc>
          <w:tcPr>
            <w:tcW w:w="1389" w:type="dxa"/>
          </w:tcPr>
          <w:p w14:paraId="510B148B" w14:textId="77777777" w:rsidR="00A5542F" w:rsidRDefault="00A5542F" w:rsidP="00A5542F">
            <w:pPr>
              <w:pStyle w:val="TableText"/>
              <w:jc w:val="right"/>
            </w:pPr>
            <w:r>
              <w:t>217,857</w:t>
            </w:r>
          </w:p>
        </w:tc>
        <w:tc>
          <w:tcPr>
            <w:tcW w:w="1389" w:type="dxa"/>
          </w:tcPr>
          <w:p w14:paraId="3120097D" w14:textId="77777777" w:rsidR="00A5542F" w:rsidRDefault="00A5542F" w:rsidP="00A5542F">
            <w:pPr>
              <w:pStyle w:val="TableText"/>
              <w:jc w:val="right"/>
            </w:pPr>
            <w:r>
              <w:rPr>
                <w:w w:val="110"/>
              </w:rPr>
              <w:t>428</w:t>
            </w:r>
          </w:p>
        </w:tc>
        <w:tc>
          <w:tcPr>
            <w:tcW w:w="1390" w:type="dxa"/>
          </w:tcPr>
          <w:p w14:paraId="3518D6F4" w14:textId="77777777" w:rsidR="00A5542F" w:rsidRDefault="00A5542F" w:rsidP="00A5542F">
            <w:pPr>
              <w:pStyle w:val="TableText"/>
              <w:jc w:val="right"/>
            </w:pPr>
            <w:r>
              <w:rPr>
                <w:w w:val="110"/>
              </w:rPr>
              <w:t>738,690</w:t>
            </w:r>
          </w:p>
        </w:tc>
      </w:tr>
      <w:tr w:rsidR="00A5542F" w14:paraId="3E3969C0" w14:textId="77777777" w:rsidTr="00C17554">
        <w:trPr>
          <w:trHeight w:val="338"/>
        </w:trPr>
        <w:tc>
          <w:tcPr>
            <w:tcW w:w="1134" w:type="dxa"/>
          </w:tcPr>
          <w:p w14:paraId="011EF5F0" w14:textId="77777777" w:rsidR="00A5542F" w:rsidRDefault="00A5542F" w:rsidP="00A5542F">
            <w:pPr>
              <w:pStyle w:val="TableText"/>
            </w:pPr>
            <w:r>
              <w:rPr>
                <w:w w:val="110"/>
              </w:rPr>
              <w:t>50</w:t>
            </w:r>
            <w:r>
              <w:rPr>
                <w:spacing w:val="-8"/>
                <w:w w:val="110"/>
              </w:rPr>
              <w:t xml:space="preserve"> </w:t>
            </w:r>
            <w:r>
              <w:rPr>
                <w:w w:val="110"/>
              </w:rPr>
              <w:t>to</w:t>
            </w:r>
            <w:r>
              <w:rPr>
                <w:spacing w:val="-8"/>
                <w:w w:val="110"/>
              </w:rPr>
              <w:t xml:space="preserve"> </w:t>
            </w:r>
            <w:r>
              <w:rPr>
                <w:w w:val="110"/>
              </w:rPr>
              <w:t>54</w:t>
            </w:r>
          </w:p>
        </w:tc>
        <w:tc>
          <w:tcPr>
            <w:tcW w:w="1389" w:type="dxa"/>
          </w:tcPr>
          <w:p w14:paraId="1BCDB5EE" w14:textId="77777777" w:rsidR="00A5542F" w:rsidRDefault="00A5542F" w:rsidP="00A5542F">
            <w:pPr>
              <w:pStyle w:val="TableText"/>
              <w:jc w:val="right"/>
            </w:pPr>
            <w:r>
              <w:rPr>
                <w:w w:val="105"/>
              </w:rPr>
              <w:t>256,052</w:t>
            </w:r>
          </w:p>
        </w:tc>
        <w:tc>
          <w:tcPr>
            <w:tcW w:w="1389" w:type="dxa"/>
          </w:tcPr>
          <w:p w14:paraId="3DC938B7" w14:textId="77777777" w:rsidR="00A5542F" w:rsidRDefault="00A5542F" w:rsidP="00A5542F">
            <w:pPr>
              <w:pStyle w:val="TableText"/>
              <w:jc w:val="right"/>
            </w:pPr>
            <w:r>
              <w:t>268,170</w:t>
            </w:r>
          </w:p>
        </w:tc>
        <w:tc>
          <w:tcPr>
            <w:tcW w:w="1389" w:type="dxa"/>
          </w:tcPr>
          <w:p w14:paraId="6B918DDF" w14:textId="77777777" w:rsidR="00A5542F" w:rsidRDefault="00A5542F" w:rsidP="00A5542F">
            <w:pPr>
              <w:pStyle w:val="TableText"/>
              <w:jc w:val="right"/>
            </w:pPr>
            <w:r>
              <w:rPr>
                <w:w w:val="110"/>
              </w:rPr>
              <w:t>238,404</w:t>
            </w:r>
          </w:p>
        </w:tc>
        <w:tc>
          <w:tcPr>
            <w:tcW w:w="1389" w:type="dxa"/>
          </w:tcPr>
          <w:p w14:paraId="49FC8DCF" w14:textId="77777777" w:rsidR="00A5542F" w:rsidRDefault="00A5542F" w:rsidP="00A5542F">
            <w:pPr>
              <w:pStyle w:val="TableText"/>
              <w:jc w:val="right"/>
            </w:pPr>
            <w:r>
              <w:rPr>
                <w:w w:val="115"/>
              </w:rPr>
              <w:t>864</w:t>
            </w:r>
          </w:p>
        </w:tc>
        <w:tc>
          <w:tcPr>
            <w:tcW w:w="1390" w:type="dxa"/>
          </w:tcPr>
          <w:p w14:paraId="78D92A51" w14:textId="77777777" w:rsidR="00A5542F" w:rsidRDefault="00A5542F" w:rsidP="00A5542F">
            <w:pPr>
              <w:pStyle w:val="TableText"/>
              <w:jc w:val="right"/>
            </w:pPr>
            <w:r>
              <w:rPr>
                <w:w w:val="110"/>
              </w:rPr>
              <w:t>763,490</w:t>
            </w:r>
          </w:p>
        </w:tc>
      </w:tr>
      <w:tr w:rsidR="00A5542F" w14:paraId="5B09D9B1" w14:textId="77777777" w:rsidTr="00C17554">
        <w:trPr>
          <w:trHeight w:val="338"/>
        </w:trPr>
        <w:tc>
          <w:tcPr>
            <w:tcW w:w="1134" w:type="dxa"/>
          </w:tcPr>
          <w:p w14:paraId="3B9ABC33" w14:textId="77777777" w:rsidR="00A5542F" w:rsidRDefault="00A5542F" w:rsidP="00A5542F">
            <w:pPr>
              <w:pStyle w:val="TableText"/>
            </w:pPr>
            <w:r>
              <w:rPr>
                <w:w w:val="110"/>
              </w:rPr>
              <w:t>55</w:t>
            </w:r>
            <w:r>
              <w:rPr>
                <w:spacing w:val="-8"/>
                <w:w w:val="110"/>
              </w:rPr>
              <w:t xml:space="preserve"> </w:t>
            </w:r>
            <w:r>
              <w:rPr>
                <w:w w:val="110"/>
              </w:rPr>
              <w:t>to</w:t>
            </w:r>
            <w:r>
              <w:rPr>
                <w:spacing w:val="-8"/>
                <w:w w:val="110"/>
              </w:rPr>
              <w:t xml:space="preserve"> </w:t>
            </w:r>
            <w:r>
              <w:rPr>
                <w:w w:val="110"/>
              </w:rPr>
              <w:t>59</w:t>
            </w:r>
          </w:p>
        </w:tc>
        <w:tc>
          <w:tcPr>
            <w:tcW w:w="1389" w:type="dxa"/>
          </w:tcPr>
          <w:p w14:paraId="3A32B503" w14:textId="77777777" w:rsidR="00A5542F" w:rsidRDefault="00A5542F" w:rsidP="00A5542F">
            <w:pPr>
              <w:pStyle w:val="TableText"/>
              <w:jc w:val="right"/>
            </w:pPr>
            <w:r>
              <w:t>237,752</w:t>
            </w:r>
          </w:p>
        </w:tc>
        <w:tc>
          <w:tcPr>
            <w:tcW w:w="1389" w:type="dxa"/>
          </w:tcPr>
          <w:p w14:paraId="46570EAE" w14:textId="77777777" w:rsidR="00A5542F" w:rsidRDefault="00A5542F" w:rsidP="00A5542F">
            <w:pPr>
              <w:pStyle w:val="TableText"/>
              <w:jc w:val="right"/>
            </w:pPr>
            <w:r>
              <w:t>254,715</w:t>
            </w:r>
          </w:p>
        </w:tc>
        <w:tc>
          <w:tcPr>
            <w:tcW w:w="1389" w:type="dxa"/>
          </w:tcPr>
          <w:p w14:paraId="14DAF3D8" w14:textId="77777777" w:rsidR="00A5542F" w:rsidRDefault="00A5542F" w:rsidP="00A5542F">
            <w:pPr>
              <w:pStyle w:val="TableText"/>
              <w:jc w:val="right"/>
            </w:pPr>
            <w:r>
              <w:t>243,168</w:t>
            </w:r>
          </w:p>
        </w:tc>
        <w:tc>
          <w:tcPr>
            <w:tcW w:w="1389" w:type="dxa"/>
          </w:tcPr>
          <w:p w14:paraId="2EC955A6" w14:textId="77777777" w:rsidR="00A5542F" w:rsidRDefault="00A5542F" w:rsidP="00A5542F">
            <w:pPr>
              <w:pStyle w:val="TableText"/>
              <w:jc w:val="right"/>
            </w:pPr>
            <w:r>
              <w:t>1,357</w:t>
            </w:r>
          </w:p>
        </w:tc>
        <w:tc>
          <w:tcPr>
            <w:tcW w:w="1390" w:type="dxa"/>
          </w:tcPr>
          <w:p w14:paraId="7CE79346" w14:textId="77777777" w:rsidR="00A5542F" w:rsidRDefault="00A5542F" w:rsidP="00A5542F">
            <w:pPr>
              <w:pStyle w:val="TableText"/>
              <w:jc w:val="right"/>
            </w:pPr>
            <w:r>
              <w:rPr>
                <w:w w:val="105"/>
              </w:rPr>
              <w:t>736,992</w:t>
            </w:r>
          </w:p>
        </w:tc>
      </w:tr>
      <w:tr w:rsidR="00A5542F" w14:paraId="4004C82C" w14:textId="77777777" w:rsidTr="00C17554">
        <w:trPr>
          <w:trHeight w:val="338"/>
        </w:trPr>
        <w:tc>
          <w:tcPr>
            <w:tcW w:w="1134" w:type="dxa"/>
          </w:tcPr>
          <w:p w14:paraId="23F13F7B" w14:textId="77777777" w:rsidR="00A5542F" w:rsidRDefault="00A5542F" w:rsidP="00A5542F">
            <w:pPr>
              <w:pStyle w:val="TableText"/>
            </w:pPr>
            <w:r>
              <w:rPr>
                <w:w w:val="110"/>
              </w:rPr>
              <w:t>60</w:t>
            </w:r>
            <w:r>
              <w:rPr>
                <w:spacing w:val="-8"/>
                <w:w w:val="110"/>
              </w:rPr>
              <w:t xml:space="preserve"> </w:t>
            </w:r>
            <w:r>
              <w:rPr>
                <w:w w:val="110"/>
              </w:rPr>
              <w:t>to</w:t>
            </w:r>
            <w:r>
              <w:rPr>
                <w:spacing w:val="-7"/>
                <w:w w:val="110"/>
              </w:rPr>
              <w:t xml:space="preserve"> </w:t>
            </w:r>
            <w:r>
              <w:rPr>
                <w:w w:val="110"/>
              </w:rPr>
              <w:t>64</w:t>
            </w:r>
          </w:p>
        </w:tc>
        <w:tc>
          <w:tcPr>
            <w:tcW w:w="1389" w:type="dxa"/>
          </w:tcPr>
          <w:p w14:paraId="791D25E6" w14:textId="77777777" w:rsidR="00A5542F" w:rsidRDefault="00A5542F" w:rsidP="00A5542F">
            <w:pPr>
              <w:pStyle w:val="TableText"/>
              <w:jc w:val="right"/>
            </w:pPr>
            <w:r>
              <w:t>212,843</w:t>
            </w:r>
          </w:p>
        </w:tc>
        <w:tc>
          <w:tcPr>
            <w:tcW w:w="1389" w:type="dxa"/>
          </w:tcPr>
          <w:p w14:paraId="6E43EF0C" w14:textId="77777777" w:rsidR="00A5542F" w:rsidRDefault="00A5542F" w:rsidP="00A5542F">
            <w:pPr>
              <w:pStyle w:val="TableText"/>
              <w:jc w:val="right"/>
            </w:pPr>
            <w:r>
              <w:rPr>
                <w:w w:val="105"/>
              </w:rPr>
              <w:t>235,420</w:t>
            </w:r>
          </w:p>
        </w:tc>
        <w:tc>
          <w:tcPr>
            <w:tcW w:w="1389" w:type="dxa"/>
          </w:tcPr>
          <w:p w14:paraId="3F36A15C" w14:textId="77777777" w:rsidR="00A5542F" w:rsidRDefault="00A5542F" w:rsidP="00A5542F">
            <w:pPr>
              <w:pStyle w:val="TableText"/>
              <w:jc w:val="right"/>
            </w:pPr>
            <w:r>
              <w:rPr>
                <w:w w:val="110"/>
              </w:rPr>
              <w:t>240,669</w:t>
            </w:r>
          </w:p>
        </w:tc>
        <w:tc>
          <w:tcPr>
            <w:tcW w:w="1389" w:type="dxa"/>
          </w:tcPr>
          <w:p w14:paraId="2DD925F5" w14:textId="77777777" w:rsidR="00A5542F" w:rsidRDefault="00A5542F" w:rsidP="00A5542F">
            <w:pPr>
              <w:pStyle w:val="TableText"/>
              <w:jc w:val="right"/>
            </w:pPr>
            <w:r>
              <w:t>1,933</w:t>
            </w:r>
          </w:p>
        </w:tc>
        <w:tc>
          <w:tcPr>
            <w:tcW w:w="1390" w:type="dxa"/>
          </w:tcPr>
          <w:p w14:paraId="7E91F22E" w14:textId="77777777" w:rsidR="00A5542F" w:rsidRDefault="00A5542F" w:rsidP="00A5542F">
            <w:pPr>
              <w:pStyle w:val="TableText"/>
              <w:jc w:val="right"/>
            </w:pPr>
            <w:r>
              <w:rPr>
                <w:w w:val="110"/>
              </w:rPr>
              <w:t>690,865</w:t>
            </w:r>
          </w:p>
        </w:tc>
      </w:tr>
      <w:tr w:rsidR="00A5542F" w14:paraId="1CC151AE" w14:textId="77777777" w:rsidTr="00C17554">
        <w:trPr>
          <w:trHeight w:val="338"/>
        </w:trPr>
        <w:tc>
          <w:tcPr>
            <w:tcW w:w="1134" w:type="dxa"/>
          </w:tcPr>
          <w:p w14:paraId="12800466" w14:textId="77777777" w:rsidR="00A5542F" w:rsidRDefault="00A5542F" w:rsidP="00A5542F">
            <w:pPr>
              <w:pStyle w:val="TableText"/>
            </w:pPr>
            <w:r>
              <w:rPr>
                <w:w w:val="110"/>
              </w:rPr>
              <w:t>65</w:t>
            </w:r>
            <w:r>
              <w:rPr>
                <w:spacing w:val="-7"/>
                <w:w w:val="110"/>
              </w:rPr>
              <w:t xml:space="preserve"> </w:t>
            </w:r>
            <w:r>
              <w:rPr>
                <w:w w:val="110"/>
              </w:rPr>
              <w:t>to</w:t>
            </w:r>
            <w:r>
              <w:rPr>
                <w:spacing w:val="-7"/>
                <w:w w:val="110"/>
              </w:rPr>
              <w:t xml:space="preserve"> </w:t>
            </w:r>
            <w:r>
              <w:rPr>
                <w:w w:val="110"/>
              </w:rPr>
              <w:t>69</w:t>
            </w:r>
          </w:p>
        </w:tc>
        <w:tc>
          <w:tcPr>
            <w:tcW w:w="1389" w:type="dxa"/>
          </w:tcPr>
          <w:p w14:paraId="54356A4F" w14:textId="77777777" w:rsidR="00A5542F" w:rsidRDefault="00A5542F" w:rsidP="00A5542F">
            <w:pPr>
              <w:pStyle w:val="TableText"/>
              <w:jc w:val="right"/>
            </w:pPr>
            <w:r>
              <w:t>150,183</w:t>
            </w:r>
          </w:p>
        </w:tc>
        <w:tc>
          <w:tcPr>
            <w:tcW w:w="1389" w:type="dxa"/>
          </w:tcPr>
          <w:p w14:paraId="203C4DD0" w14:textId="77777777" w:rsidR="00A5542F" w:rsidRDefault="00A5542F" w:rsidP="00A5542F">
            <w:pPr>
              <w:pStyle w:val="TableText"/>
              <w:jc w:val="right"/>
            </w:pPr>
            <w:r>
              <w:t>188,942</w:t>
            </w:r>
          </w:p>
        </w:tc>
        <w:tc>
          <w:tcPr>
            <w:tcW w:w="1389" w:type="dxa"/>
          </w:tcPr>
          <w:p w14:paraId="4481FABB" w14:textId="77777777" w:rsidR="00A5542F" w:rsidRDefault="00A5542F" w:rsidP="00A5542F">
            <w:pPr>
              <w:pStyle w:val="TableText"/>
              <w:jc w:val="right"/>
            </w:pPr>
            <w:r>
              <w:t>213,199</w:t>
            </w:r>
          </w:p>
        </w:tc>
        <w:tc>
          <w:tcPr>
            <w:tcW w:w="1389" w:type="dxa"/>
          </w:tcPr>
          <w:p w14:paraId="497CAD6D" w14:textId="77777777" w:rsidR="00A5542F" w:rsidRDefault="00A5542F" w:rsidP="00A5542F">
            <w:pPr>
              <w:pStyle w:val="TableText"/>
              <w:jc w:val="right"/>
            </w:pPr>
            <w:r>
              <w:t>3,276</w:t>
            </w:r>
          </w:p>
        </w:tc>
        <w:tc>
          <w:tcPr>
            <w:tcW w:w="1390" w:type="dxa"/>
          </w:tcPr>
          <w:p w14:paraId="4F16121A" w14:textId="77777777" w:rsidR="00A5542F" w:rsidRDefault="00A5542F" w:rsidP="00A5542F">
            <w:pPr>
              <w:pStyle w:val="TableText"/>
              <w:jc w:val="right"/>
            </w:pPr>
            <w:r>
              <w:rPr>
                <w:w w:val="115"/>
              </w:rPr>
              <w:t>555,600</w:t>
            </w:r>
          </w:p>
        </w:tc>
      </w:tr>
      <w:tr w:rsidR="00A5542F" w14:paraId="07C45EDC" w14:textId="77777777" w:rsidTr="00C17554">
        <w:trPr>
          <w:trHeight w:val="338"/>
        </w:trPr>
        <w:tc>
          <w:tcPr>
            <w:tcW w:w="1134" w:type="dxa"/>
          </w:tcPr>
          <w:p w14:paraId="3F6738B5" w14:textId="77777777" w:rsidR="00A5542F" w:rsidRDefault="00A5542F" w:rsidP="00A5542F">
            <w:pPr>
              <w:pStyle w:val="TableText"/>
            </w:pPr>
            <w:r>
              <w:rPr>
                <w:w w:val="105"/>
              </w:rPr>
              <w:t>70</w:t>
            </w:r>
            <w:r>
              <w:rPr>
                <w:spacing w:val="-6"/>
                <w:w w:val="105"/>
              </w:rPr>
              <w:t xml:space="preserve"> </w:t>
            </w:r>
            <w:r>
              <w:rPr>
                <w:w w:val="105"/>
              </w:rPr>
              <w:t>to</w:t>
            </w:r>
            <w:r>
              <w:rPr>
                <w:spacing w:val="-5"/>
                <w:w w:val="105"/>
              </w:rPr>
              <w:t xml:space="preserve"> </w:t>
            </w:r>
            <w:r>
              <w:rPr>
                <w:w w:val="105"/>
              </w:rPr>
              <w:t>74</w:t>
            </w:r>
          </w:p>
        </w:tc>
        <w:tc>
          <w:tcPr>
            <w:tcW w:w="1389" w:type="dxa"/>
          </w:tcPr>
          <w:p w14:paraId="75F74FF1" w14:textId="77777777" w:rsidR="00A5542F" w:rsidRDefault="00A5542F" w:rsidP="00A5542F">
            <w:pPr>
              <w:pStyle w:val="TableText"/>
              <w:jc w:val="right"/>
            </w:pPr>
            <w:r>
              <w:t>121,680</w:t>
            </w:r>
          </w:p>
        </w:tc>
        <w:tc>
          <w:tcPr>
            <w:tcW w:w="1389" w:type="dxa"/>
          </w:tcPr>
          <w:p w14:paraId="2BC2C8BD" w14:textId="77777777" w:rsidR="00A5542F" w:rsidRDefault="00A5542F" w:rsidP="00A5542F">
            <w:pPr>
              <w:pStyle w:val="TableText"/>
              <w:jc w:val="right"/>
            </w:pPr>
            <w:r>
              <w:t>161,545</w:t>
            </w:r>
          </w:p>
        </w:tc>
        <w:tc>
          <w:tcPr>
            <w:tcW w:w="1389" w:type="dxa"/>
          </w:tcPr>
          <w:p w14:paraId="6A9BBB9F" w14:textId="77777777" w:rsidR="00A5542F" w:rsidRDefault="00A5542F" w:rsidP="00A5542F">
            <w:pPr>
              <w:pStyle w:val="TableText"/>
              <w:jc w:val="right"/>
            </w:pPr>
            <w:r>
              <w:t>190,295</w:t>
            </w:r>
          </w:p>
        </w:tc>
        <w:tc>
          <w:tcPr>
            <w:tcW w:w="1389" w:type="dxa"/>
          </w:tcPr>
          <w:p w14:paraId="7379AF1B" w14:textId="77777777" w:rsidR="00A5542F" w:rsidRDefault="00A5542F" w:rsidP="00A5542F">
            <w:pPr>
              <w:pStyle w:val="TableText"/>
              <w:jc w:val="right"/>
            </w:pPr>
            <w:r>
              <w:rPr>
                <w:w w:val="105"/>
              </w:rPr>
              <w:t>4,326</w:t>
            </w:r>
          </w:p>
        </w:tc>
        <w:tc>
          <w:tcPr>
            <w:tcW w:w="1390" w:type="dxa"/>
          </w:tcPr>
          <w:p w14:paraId="1E3F91AD" w14:textId="77777777" w:rsidR="00A5542F" w:rsidRDefault="00A5542F" w:rsidP="00A5542F">
            <w:pPr>
              <w:pStyle w:val="TableText"/>
              <w:jc w:val="right"/>
            </w:pPr>
            <w:r>
              <w:rPr>
                <w:w w:val="110"/>
              </w:rPr>
              <w:t>477,846</w:t>
            </w:r>
          </w:p>
        </w:tc>
      </w:tr>
      <w:tr w:rsidR="00A5542F" w14:paraId="169A3C85" w14:textId="77777777" w:rsidTr="00C17554">
        <w:trPr>
          <w:trHeight w:val="338"/>
        </w:trPr>
        <w:tc>
          <w:tcPr>
            <w:tcW w:w="1134" w:type="dxa"/>
          </w:tcPr>
          <w:p w14:paraId="1377DC91" w14:textId="77777777" w:rsidR="00A5542F" w:rsidRDefault="00A5542F" w:rsidP="00A5542F">
            <w:pPr>
              <w:pStyle w:val="TableText"/>
            </w:pPr>
            <w:r>
              <w:rPr>
                <w:w w:val="105"/>
              </w:rPr>
              <w:t>75</w:t>
            </w:r>
            <w:r>
              <w:rPr>
                <w:spacing w:val="-6"/>
                <w:w w:val="105"/>
              </w:rPr>
              <w:t xml:space="preserve"> </w:t>
            </w:r>
            <w:r>
              <w:rPr>
                <w:w w:val="105"/>
              </w:rPr>
              <w:t>to</w:t>
            </w:r>
            <w:r>
              <w:rPr>
                <w:spacing w:val="-5"/>
                <w:w w:val="105"/>
              </w:rPr>
              <w:t xml:space="preserve"> </w:t>
            </w:r>
            <w:r>
              <w:rPr>
                <w:w w:val="105"/>
              </w:rPr>
              <w:t>79</w:t>
            </w:r>
          </w:p>
        </w:tc>
        <w:tc>
          <w:tcPr>
            <w:tcW w:w="1389" w:type="dxa"/>
          </w:tcPr>
          <w:p w14:paraId="78555474" w14:textId="77777777" w:rsidR="00A5542F" w:rsidRDefault="00A5542F" w:rsidP="00A5542F">
            <w:pPr>
              <w:pStyle w:val="TableText"/>
              <w:jc w:val="right"/>
            </w:pPr>
            <w:r>
              <w:rPr>
                <w:w w:val="105"/>
              </w:rPr>
              <w:t>79,834</w:t>
            </w:r>
          </w:p>
        </w:tc>
        <w:tc>
          <w:tcPr>
            <w:tcW w:w="1389" w:type="dxa"/>
          </w:tcPr>
          <w:p w14:paraId="7C95E5AA" w14:textId="77777777" w:rsidR="00A5542F" w:rsidRDefault="00A5542F" w:rsidP="00A5542F">
            <w:pPr>
              <w:pStyle w:val="TableText"/>
              <w:jc w:val="right"/>
            </w:pPr>
            <w:r>
              <w:t>109,779</w:t>
            </w:r>
          </w:p>
        </w:tc>
        <w:tc>
          <w:tcPr>
            <w:tcW w:w="1389" w:type="dxa"/>
          </w:tcPr>
          <w:p w14:paraId="1D98B0F5" w14:textId="77777777" w:rsidR="00A5542F" w:rsidRDefault="00A5542F" w:rsidP="00A5542F">
            <w:pPr>
              <w:pStyle w:val="TableText"/>
              <w:jc w:val="right"/>
            </w:pPr>
            <w:r>
              <w:t>137,359</w:t>
            </w:r>
          </w:p>
        </w:tc>
        <w:tc>
          <w:tcPr>
            <w:tcW w:w="1389" w:type="dxa"/>
          </w:tcPr>
          <w:p w14:paraId="05C966C6" w14:textId="77777777" w:rsidR="00A5542F" w:rsidRDefault="00A5542F" w:rsidP="00A5542F">
            <w:pPr>
              <w:pStyle w:val="TableText"/>
              <w:jc w:val="right"/>
            </w:pPr>
            <w:r>
              <w:t>4,017</w:t>
            </w:r>
          </w:p>
        </w:tc>
        <w:tc>
          <w:tcPr>
            <w:tcW w:w="1390" w:type="dxa"/>
          </w:tcPr>
          <w:p w14:paraId="1A785D26" w14:textId="77777777" w:rsidR="00A5542F" w:rsidRDefault="00A5542F" w:rsidP="00A5542F">
            <w:pPr>
              <w:pStyle w:val="TableText"/>
              <w:jc w:val="right"/>
            </w:pPr>
            <w:r>
              <w:rPr>
                <w:w w:val="110"/>
              </w:rPr>
              <w:t>330,989</w:t>
            </w:r>
          </w:p>
        </w:tc>
      </w:tr>
      <w:tr w:rsidR="00A5542F" w14:paraId="2A8088C7" w14:textId="77777777" w:rsidTr="00C17554">
        <w:trPr>
          <w:trHeight w:val="338"/>
        </w:trPr>
        <w:tc>
          <w:tcPr>
            <w:tcW w:w="1134" w:type="dxa"/>
          </w:tcPr>
          <w:p w14:paraId="36107942" w14:textId="77777777" w:rsidR="00A5542F" w:rsidRDefault="00A5542F" w:rsidP="00A5542F">
            <w:pPr>
              <w:pStyle w:val="TableText"/>
            </w:pPr>
            <w:r>
              <w:rPr>
                <w:w w:val="110"/>
              </w:rPr>
              <w:t>80</w:t>
            </w:r>
            <w:r>
              <w:rPr>
                <w:spacing w:val="-8"/>
                <w:w w:val="110"/>
              </w:rPr>
              <w:t xml:space="preserve"> </w:t>
            </w:r>
            <w:r>
              <w:rPr>
                <w:w w:val="110"/>
              </w:rPr>
              <w:t>to</w:t>
            </w:r>
            <w:r>
              <w:rPr>
                <w:spacing w:val="-7"/>
                <w:w w:val="110"/>
              </w:rPr>
              <w:t xml:space="preserve"> </w:t>
            </w:r>
            <w:r>
              <w:rPr>
                <w:w w:val="110"/>
              </w:rPr>
              <w:t>84</w:t>
            </w:r>
          </w:p>
        </w:tc>
        <w:tc>
          <w:tcPr>
            <w:tcW w:w="1389" w:type="dxa"/>
          </w:tcPr>
          <w:p w14:paraId="3108A2A2" w14:textId="77777777" w:rsidR="00A5542F" w:rsidRDefault="00A5542F" w:rsidP="00A5542F">
            <w:pPr>
              <w:pStyle w:val="TableText"/>
              <w:jc w:val="right"/>
            </w:pPr>
            <w:r>
              <w:t>54,501</w:t>
            </w:r>
          </w:p>
        </w:tc>
        <w:tc>
          <w:tcPr>
            <w:tcW w:w="1389" w:type="dxa"/>
          </w:tcPr>
          <w:p w14:paraId="3353E988" w14:textId="77777777" w:rsidR="00A5542F" w:rsidRDefault="00A5542F" w:rsidP="00A5542F">
            <w:pPr>
              <w:pStyle w:val="TableText"/>
              <w:jc w:val="right"/>
            </w:pPr>
            <w:r>
              <w:rPr>
                <w:w w:val="105"/>
              </w:rPr>
              <w:t>75,376</w:t>
            </w:r>
          </w:p>
        </w:tc>
        <w:tc>
          <w:tcPr>
            <w:tcW w:w="1389" w:type="dxa"/>
          </w:tcPr>
          <w:p w14:paraId="3532E797" w14:textId="77777777" w:rsidR="00A5542F" w:rsidRDefault="00A5542F" w:rsidP="00A5542F">
            <w:pPr>
              <w:pStyle w:val="TableText"/>
              <w:jc w:val="right"/>
            </w:pPr>
            <w:r>
              <w:rPr>
                <w:w w:val="110"/>
              </w:rPr>
              <w:t>95,029</w:t>
            </w:r>
          </w:p>
        </w:tc>
        <w:tc>
          <w:tcPr>
            <w:tcW w:w="1389" w:type="dxa"/>
          </w:tcPr>
          <w:p w14:paraId="7CEB55E2" w14:textId="77777777" w:rsidR="00A5542F" w:rsidRDefault="00A5542F" w:rsidP="00A5542F">
            <w:pPr>
              <w:pStyle w:val="TableText"/>
              <w:jc w:val="right"/>
            </w:pPr>
            <w:r>
              <w:rPr>
                <w:w w:val="105"/>
              </w:rPr>
              <w:t>2,678</w:t>
            </w:r>
          </w:p>
        </w:tc>
        <w:tc>
          <w:tcPr>
            <w:tcW w:w="1390" w:type="dxa"/>
          </w:tcPr>
          <w:p w14:paraId="6B4AAA9F" w14:textId="77777777" w:rsidR="00A5542F" w:rsidRDefault="00A5542F" w:rsidP="00A5542F">
            <w:pPr>
              <w:pStyle w:val="TableText"/>
              <w:jc w:val="right"/>
            </w:pPr>
            <w:r>
              <w:rPr>
                <w:w w:val="105"/>
              </w:rPr>
              <w:t>227,584</w:t>
            </w:r>
          </w:p>
        </w:tc>
      </w:tr>
      <w:tr w:rsidR="00A5542F" w14:paraId="6F91915A" w14:textId="77777777" w:rsidTr="00C17554">
        <w:trPr>
          <w:trHeight w:val="338"/>
        </w:trPr>
        <w:tc>
          <w:tcPr>
            <w:tcW w:w="1134" w:type="dxa"/>
          </w:tcPr>
          <w:p w14:paraId="200C0D3E" w14:textId="77777777" w:rsidR="00A5542F" w:rsidRDefault="00A5542F" w:rsidP="00A5542F">
            <w:pPr>
              <w:pStyle w:val="TableText"/>
            </w:pPr>
            <w:r>
              <w:rPr>
                <w:w w:val="110"/>
              </w:rPr>
              <w:t>85</w:t>
            </w:r>
            <w:r>
              <w:rPr>
                <w:spacing w:val="-8"/>
                <w:w w:val="110"/>
              </w:rPr>
              <w:t xml:space="preserve"> </w:t>
            </w:r>
            <w:r>
              <w:rPr>
                <w:w w:val="110"/>
              </w:rPr>
              <w:t>to</w:t>
            </w:r>
            <w:r>
              <w:rPr>
                <w:spacing w:val="-7"/>
                <w:w w:val="110"/>
              </w:rPr>
              <w:t xml:space="preserve"> </w:t>
            </w:r>
            <w:r>
              <w:rPr>
                <w:w w:val="110"/>
              </w:rPr>
              <w:t>89</w:t>
            </w:r>
          </w:p>
        </w:tc>
        <w:tc>
          <w:tcPr>
            <w:tcW w:w="1389" w:type="dxa"/>
          </w:tcPr>
          <w:p w14:paraId="0964B9ED" w14:textId="77777777" w:rsidR="00A5542F" w:rsidRDefault="00A5542F" w:rsidP="00A5542F">
            <w:pPr>
              <w:pStyle w:val="TableText"/>
              <w:jc w:val="right"/>
            </w:pPr>
            <w:r>
              <w:rPr>
                <w:w w:val="105"/>
              </w:rPr>
              <w:t>29,043</w:t>
            </w:r>
          </w:p>
        </w:tc>
        <w:tc>
          <w:tcPr>
            <w:tcW w:w="1389" w:type="dxa"/>
          </w:tcPr>
          <w:p w14:paraId="783D67A0" w14:textId="77777777" w:rsidR="00A5542F" w:rsidRDefault="00A5542F" w:rsidP="00A5542F">
            <w:pPr>
              <w:pStyle w:val="TableText"/>
              <w:jc w:val="right"/>
            </w:pPr>
            <w:r>
              <w:rPr>
                <w:w w:val="110"/>
              </w:rPr>
              <w:t>39,965</w:t>
            </w:r>
          </w:p>
        </w:tc>
        <w:tc>
          <w:tcPr>
            <w:tcW w:w="1389" w:type="dxa"/>
          </w:tcPr>
          <w:p w14:paraId="66BD5D9C" w14:textId="77777777" w:rsidR="00A5542F" w:rsidRDefault="00A5542F" w:rsidP="00A5542F">
            <w:pPr>
              <w:pStyle w:val="TableText"/>
              <w:jc w:val="right"/>
            </w:pPr>
            <w:r>
              <w:rPr>
                <w:w w:val="110"/>
              </w:rPr>
              <w:t>50,584</w:t>
            </w:r>
          </w:p>
        </w:tc>
        <w:tc>
          <w:tcPr>
            <w:tcW w:w="1389" w:type="dxa"/>
          </w:tcPr>
          <w:p w14:paraId="09BD0683" w14:textId="77777777" w:rsidR="00A5542F" w:rsidRDefault="00A5542F" w:rsidP="00A5542F">
            <w:pPr>
              <w:pStyle w:val="TableText"/>
              <w:jc w:val="right"/>
            </w:pPr>
            <w:r>
              <w:t>1,234</w:t>
            </w:r>
          </w:p>
        </w:tc>
        <w:tc>
          <w:tcPr>
            <w:tcW w:w="1390" w:type="dxa"/>
          </w:tcPr>
          <w:p w14:paraId="33AF8517" w14:textId="77777777" w:rsidR="00A5542F" w:rsidRDefault="00A5542F" w:rsidP="00A5542F">
            <w:pPr>
              <w:pStyle w:val="TableText"/>
              <w:jc w:val="right"/>
            </w:pPr>
            <w:r>
              <w:t>120,826</w:t>
            </w:r>
          </w:p>
        </w:tc>
      </w:tr>
      <w:tr w:rsidR="00A5542F" w14:paraId="37B7C6BC" w14:textId="77777777" w:rsidTr="00C17554">
        <w:trPr>
          <w:trHeight w:val="338"/>
        </w:trPr>
        <w:tc>
          <w:tcPr>
            <w:tcW w:w="1134" w:type="dxa"/>
          </w:tcPr>
          <w:p w14:paraId="3E822D45" w14:textId="77777777" w:rsidR="00A5542F" w:rsidRDefault="00A5542F" w:rsidP="00A5542F">
            <w:pPr>
              <w:pStyle w:val="TableText"/>
            </w:pPr>
            <w:r>
              <w:rPr>
                <w:w w:val="115"/>
              </w:rPr>
              <w:t>90+</w:t>
            </w:r>
          </w:p>
        </w:tc>
        <w:tc>
          <w:tcPr>
            <w:tcW w:w="1389" w:type="dxa"/>
          </w:tcPr>
          <w:p w14:paraId="230F8869" w14:textId="77777777" w:rsidR="00A5542F" w:rsidRDefault="00A5542F" w:rsidP="00A5542F">
            <w:pPr>
              <w:pStyle w:val="TableText"/>
              <w:jc w:val="right"/>
            </w:pPr>
            <w:r>
              <w:t>14,670</w:t>
            </w:r>
          </w:p>
        </w:tc>
        <w:tc>
          <w:tcPr>
            <w:tcW w:w="1389" w:type="dxa"/>
          </w:tcPr>
          <w:p w14:paraId="25F0DD8B" w14:textId="77777777" w:rsidR="00A5542F" w:rsidRDefault="00A5542F" w:rsidP="00A5542F">
            <w:pPr>
              <w:pStyle w:val="TableText"/>
              <w:jc w:val="right"/>
            </w:pPr>
            <w:r>
              <w:t>21,320</w:t>
            </w:r>
          </w:p>
        </w:tc>
        <w:tc>
          <w:tcPr>
            <w:tcW w:w="1389" w:type="dxa"/>
          </w:tcPr>
          <w:p w14:paraId="246FD638" w14:textId="77777777" w:rsidR="00A5542F" w:rsidRDefault="00A5542F" w:rsidP="00A5542F">
            <w:pPr>
              <w:pStyle w:val="TableText"/>
              <w:jc w:val="right"/>
            </w:pPr>
            <w:r>
              <w:rPr>
                <w:w w:val="105"/>
              </w:rPr>
              <w:t>29,706</w:t>
            </w:r>
          </w:p>
        </w:tc>
        <w:tc>
          <w:tcPr>
            <w:tcW w:w="1389" w:type="dxa"/>
          </w:tcPr>
          <w:p w14:paraId="7179E913" w14:textId="77777777" w:rsidR="00A5542F" w:rsidRDefault="00A5542F" w:rsidP="00A5542F">
            <w:pPr>
              <w:pStyle w:val="TableText"/>
              <w:jc w:val="right"/>
            </w:pPr>
            <w:r>
              <w:rPr>
                <w:w w:val="115"/>
              </w:rPr>
              <w:t>660</w:t>
            </w:r>
          </w:p>
        </w:tc>
        <w:tc>
          <w:tcPr>
            <w:tcW w:w="1390" w:type="dxa"/>
          </w:tcPr>
          <w:p w14:paraId="6CEF69B9" w14:textId="77777777" w:rsidR="00A5542F" w:rsidRDefault="00A5542F" w:rsidP="00A5542F">
            <w:pPr>
              <w:pStyle w:val="TableText"/>
              <w:jc w:val="right"/>
            </w:pPr>
            <w:r>
              <w:rPr>
                <w:w w:val="110"/>
              </w:rPr>
              <w:t>66,356</w:t>
            </w:r>
          </w:p>
        </w:tc>
      </w:tr>
      <w:tr w:rsidR="00A5542F" w:rsidRPr="00A5542F" w14:paraId="02E31FA0" w14:textId="77777777" w:rsidTr="00C17554">
        <w:trPr>
          <w:trHeight w:val="333"/>
        </w:trPr>
        <w:tc>
          <w:tcPr>
            <w:tcW w:w="1134" w:type="dxa"/>
          </w:tcPr>
          <w:p w14:paraId="204FDCC3" w14:textId="77777777" w:rsidR="00A5542F" w:rsidRPr="00A5542F" w:rsidRDefault="00A5542F" w:rsidP="00A5542F">
            <w:pPr>
              <w:pStyle w:val="TableText"/>
              <w:rPr>
                <w:b/>
                <w:bCs/>
              </w:rPr>
            </w:pPr>
            <w:r w:rsidRPr="00A5542F">
              <w:rPr>
                <w:b/>
                <w:bCs/>
                <w:w w:val="115"/>
              </w:rPr>
              <w:t>Total</w:t>
            </w:r>
          </w:p>
        </w:tc>
        <w:tc>
          <w:tcPr>
            <w:tcW w:w="1389" w:type="dxa"/>
          </w:tcPr>
          <w:p w14:paraId="32D4DCBD" w14:textId="77777777" w:rsidR="00A5542F" w:rsidRPr="00A5542F" w:rsidRDefault="00A5542F" w:rsidP="00A5542F">
            <w:pPr>
              <w:pStyle w:val="TableText"/>
              <w:jc w:val="right"/>
              <w:rPr>
                <w:b/>
                <w:bCs/>
              </w:rPr>
            </w:pPr>
            <w:r w:rsidRPr="00A5542F">
              <w:rPr>
                <w:b/>
                <w:bCs/>
                <w:w w:val="105"/>
              </w:rPr>
              <w:t>3,573,206</w:t>
            </w:r>
          </w:p>
        </w:tc>
        <w:tc>
          <w:tcPr>
            <w:tcW w:w="1389" w:type="dxa"/>
          </w:tcPr>
          <w:p w14:paraId="2B250578" w14:textId="77777777" w:rsidR="00A5542F" w:rsidRPr="00A5542F" w:rsidRDefault="00A5542F" w:rsidP="00A5542F">
            <w:pPr>
              <w:pStyle w:val="TableText"/>
              <w:jc w:val="right"/>
              <w:rPr>
                <w:b/>
                <w:bCs/>
              </w:rPr>
            </w:pPr>
            <w:r w:rsidRPr="00A5542F">
              <w:rPr>
                <w:b/>
                <w:bCs/>
                <w:w w:val="105"/>
              </w:rPr>
              <w:t>3,658,233</w:t>
            </w:r>
          </w:p>
        </w:tc>
        <w:tc>
          <w:tcPr>
            <w:tcW w:w="1389" w:type="dxa"/>
          </w:tcPr>
          <w:p w14:paraId="464F9905" w14:textId="77777777" w:rsidR="00A5542F" w:rsidRPr="00A5542F" w:rsidRDefault="00A5542F" w:rsidP="00A5542F">
            <w:pPr>
              <w:pStyle w:val="TableText"/>
              <w:jc w:val="right"/>
              <w:rPr>
                <w:b/>
                <w:bCs/>
              </w:rPr>
            </w:pPr>
            <w:r w:rsidRPr="00A5542F">
              <w:rPr>
                <w:b/>
                <w:bCs/>
                <w:w w:val="105"/>
              </w:rPr>
              <w:t>2,681,098</w:t>
            </w:r>
          </w:p>
        </w:tc>
        <w:tc>
          <w:tcPr>
            <w:tcW w:w="1389" w:type="dxa"/>
          </w:tcPr>
          <w:p w14:paraId="76AE3924" w14:textId="77777777" w:rsidR="00A5542F" w:rsidRPr="00A5542F" w:rsidRDefault="00A5542F" w:rsidP="00A5542F">
            <w:pPr>
              <w:pStyle w:val="TableText"/>
              <w:jc w:val="right"/>
              <w:rPr>
                <w:b/>
                <w:bCs/>
              </w:rPr>
            </w:pPr>
            <w:r w:rsidRPr="00A5542F">
              <w:rPr>
                <w:b/>
                <w:bCs/>
              </w:rPr>
              <w:t>21,673</w:t>
            </w:r>
          </w:p>
        </w:tc>
        <w:tc>
          <w:tcPr>
            <w:tcW w:w="1390" w:type="dxa"/>
          </w:tcPr>
          <w:p w14:paraId="14D3229A" w14:textId="77777777" w:rsidR="00A5542F" w:rsidRPr="00A5542F" w:rsidRDefault="00A5542F" w:rsidP="00A5542F">
            <w:pPr>
              <w:pStyle w:val="TableText"/>
              <w:jc w:val="right"/>
              <w:rPr>
                <w:b/>
                <w:bCs/>
              </w:rPr>
            </w:pPr>
            <w:r w:rsidRPr="00A5542F">
              <w:rPr>
                <w:b/>
                <w:bCs/>
                <w:w w:val="105"/>
              </w:rPr>
              <w:t>9,934,210</w:t>
            </w:r>
          </w:p>
        </w:tc>
      </w:tr>
    </w:tbl>
    <w:p w14:paraId="5216A325" w14:textId="4828B937" w:rsidR="00A5542F" w:rsidRDefault="00A5542F" w:rsidP="00A5542F">
      <w:pPr>
        <w:pStyle w:val="Note"/>
        <w:rPr>
          <w:rFonts w:eastAsia="Arial Unicode MS"/>
        </w:rPr>
      </w:pPr>
      <w:r w:rsidRPr="00A5542F">
        <w:rPr>
          <w:rFonts w:eastAsia="Arial Unicode MS"/>
        </w:rPr>
        <w:t>Note 1: Some demographic breakdowns appear to show more doses administered for Dose 2 compared to Dose 1. This is due to COVID-19 vaccination doses being administered in the previous financial year (2020/21).</w:t>
      </w:r>
    </w:p>
    <w:p w14:paraId="61843267" w14:textId="77777777" w:rsidR="00C17554" w:rsidRPr="00C17554" w:rsidRDefault="00C17554" w:rsidP="00216075">
      <w:pPr>
        <w:pStyle w:val="Heading3"/>
      </w:pPr>
      <w:bookmarkStart w:id="48" w:name="_Toc117264955"/>
      <w:r w:rsidRPr="00C17554">
        <w:t>COVID-19 people vaccinated by age group</w:t>
      </w:r>
      <w:bookmarkEnd w:id="48"/>
    </w:p>
    <w:p w14:paraId="278E89D0" w14:textId="5E2158EC" w:rsidR="00C17554" w:rsidRDefault="00C17554" w:rsidP="00C17554">
      <w:pPr>
        <w:rPr>
          <w:rFonts w:eastAsia="Arial Unicode MS"/>
        </w:rPr>
      </w:pPr>
      <w:r w:rsidRPr="00C17554">
        <w:rPr>
          <w:rFonts w:eastAsia="Arial Unicode MS"/>
        </w:rPr>
        <w:t>The counts and the percentages in the table below measure the number of people who received COVID-19 vaccination doses during 2021/22. This data was obtained from the CVIP database (broken down by age group), and the percentages calculated using HSU 2021 as the denominator.</w:t>
      </w:r>
    </w:p>
    <w:p w14:paraId="405D2FA6" w14:textId="77777777" w:rsidR="00C17554" w:rsidRPr="00C17554" w:rsidRDefault="00C17554" w:rsidP="00C17554">
      <w:pPr>
        <w:rPr>
          <w:rFonts w:eastAsia="Arial Unicode MS"/>
        </w:rPr>
      </w:pPr>
    </w:p>
    <w:p w14:paraId="2249B5B9" w14:textId="77777777" w:rsidR="00C17554" w:rsidRPr="00C17554" w:rsidRDefault="00C17554" w:rsidP="00C17554">
      <w:pPr>
        <w:rPr>
          <w:rFonts w:eastAsia="Arial Unicode MS"/>
        </w:rPr>
      </w:pPr>
      <w:r w:rsidRPr="00C17554">
        <w:rPr>
          <w:rFonts w:eastAsia="Arial Unicode MS"/>
        </w:rPr>
        <w:t>Please note, as this table refers to people vaccinated (and the respective percentage of a given demographic per row), it is not comparable to the table above (COVID-19 doses administered by age group).</w:t>
      </w:r>
    </w:p>
    <w:p w14:paraId="5B1BF0AB" w14:textId="77777777" w:rsidR="00C17554" w:rsidRDefault="00C17554" w:rsidP="00C17554">
      <w:pPr>
        <w:pStyle w:val="Heading5"/>
        <w:sectPr w:rsidR="00C17554" w:rsidSect="00C26282">
          <w:pgSz w:w="11907" w:h="16840" w:code="9"/>
          <w:pgMar w:top="1418" w:right="1701" w:bottom="1134" w:left="1843" w:header="284" w:footer="425" w:gutter="284"/>
          <w:cols w:space="720"/>
        </w:sectPr>
      </w:pPr>
    </w:p>
    <w:p w14:paraId="0EFA44E1" w14:textId="27462C50" w:rsidR="00C17554" w:rsidRPr="00216075" w:rsidRDefault="00C17554" w:rsidP="00216075">
      <w:pPr>
        <w:pStyle w:val="Heading5"/>
        <w:spacing w:before="0"/>
      </w:pPr>
      <w:r w:rsidRPr="00216075">
        <w:lastRenderedPageBreak/>
        <w:t>COVID-19 people vaccinated by age group during 2021/22</w:t>
      </w:r>
      <w:r w:rsidRPr="00216075">
        <w:rPr>
          <w:rStyle w:val="FootnoteReference"/>
          <w:vertAlign w:val="baseline"/>
        </w:rPr>
        <w:footnoteReference w:id="31"/>
      </w:r>
    </w:p>
    <w:tbl>
      <w:tblPr>
        <w:tblW w:w="1389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276"/>
        <w:gridCol w:w="1577"/>
        <w:gridCol w:w="1577"/>
        <w:gridCol w:w="1051"/>
        <w:gridCol w:w="526"/>
        <w:gridCol w:w="1577"/>
        <w:gridCol w:w="1577"/>
        <w:gridCol w:w="525"/>
        <w:gridCol w:w="1052"/>
        <w:gridCol w:w="1577"/>
        <w:gridCol w:w="1577"/>
      </w:tblGrid>
      <w:tr w:rsidR="00FE382E" w:rsidRPr="004D3D52" w14:paraId="1692C2FF" w14:textId="77777777" w:rsidTr="001D0A8A">
        <w:trPr>
          <w:trHeight w:val="348"/>
        </w:trPr>
        <w:tc>
          <w:tcPr>
            <w:tcW w:w="1276" w:type="dxa"/>
            <w:vMerge w:val="restart"/>
            <w:shd w:val="clear" w:color="auto" w:fill="D9D9D9" w:themeFill="background1" w:themeFillShade="D9"/>
          </w:tcPr>
          <w:p w14:paraId="670BA3C9" w14:textId="77777777" w:rsidR="00FE382E" w:rsidRPr="004D3D52" w:rsidRDefault="00FE382E" w:rsidP="001D0A8A">
            <w:pPr>
              <w:pStyle w:val="TableText"/>
              <w:rPr>
                <w:b/>
                <w:bCs/>
                <w:szCs w:val="18"/>
              </w:rPr>
            </w:pPr>
            <w:r w:rsidRPr="004D3D52">
              <w:rPr>
                <w:b/>
                <w:w w:val="105"/>
                <w:szCs w:val="18"/>
              </w:rPr>
              <w:t>Age</w:t>
            </w:r>
            <w:r w:rsidRPr="004D3D52">
              <w:rPr>
                <w:b/>
                <w:spacing w:val="1"/>
                <w:w w:val="105"/>
                <w:szCs w:val="18"/>
              </w:rPr>
              <w:t xml:space="preserve"> </w:t>
            </w:r>
            <w:r w:rsidRPr="004D3D52">
              <w:rPr>
                <w:b/>
                <w:spacing w:val="-1"/>
                <w:w w:val="105"/>
                <w:szCs w:val="18"/>
              </w:rPr>
              <w:t>group</w:t>
            </w:r>
            <w:r w:rsidRPr="004D3D52">
              <w:rPr>
                <w:rStyle w:val="FootnoteReference"/>
                <w:b/>
                <w:spacing w:val="-1"/>
                <w:w w:val="105"/>
                <w:szCs w:val="18"/>
              </w:rPr>
              <w:footnoteReference w:id="32"/>
            </w:r>
            <w:r w:rsidRPr="004D3D52">
              <w:rPr>
                <w:rFonts w:ascii="Arial"/>
                <w:b/>
                <w:spacing w:val="-27"/>
                <w:w w:val="105"/>
                <w:position w:val="6"/>
                <w:szCs w:val="18"/>
              </w:rPr>
              <w:t xml:space="preserve"> </w:t>
            </w:r>
            <w:r w:rsidRPr="004D3D52">
              <w:rPr>
                <w:rFonts w:ascii="Arial"/>
                <w:b/>
                <w:spacing w:val="-27"/>
                <w:w w:val="105"/>
                <w:position w:val="6"/>
                <w:szCs w:val="18"/>
              </w:rPr>
              <w:br/>
            </w:r>
            <w:r w:rsidRPr="004D3D52">
              <w:rPr>
                <w:b/>
                <w:w w:val="105"/>
                <w:szCs w:val="18"/>
              </w:rPr>
              <w:t>(years)</w:t>
            </w:r>
          </w:p>
        </w:tc>
        <w:tc>
          <w:tcPr>
            <w:tcW w:w="4205" w:type="dxa"/>
            <w:gridSpan w:val="3"/>
            <w:tcBorders>
              <w:top w:val="nil"/>
              <w:bottom w:val="nil"/>
            </w:tcBorders>
            <w:shd w:val="clear" w:color="auto" w:fill="D9D9D9" w:themeFill="background1" w:themeFillShade="D9"/>
          </w:tcPr>
          <w:p w14:paraId="44973E9F" w14:textId="77777777" w:rsidR="00FE382E" w:rsidRPr="004D3D52" w:rsidRDefault="00FE382E" w:rsidP="001D0A8A">
            <w:pPr>
              <w:pStyle w:val="TableText"/>
              <w:jc w:val="center"/>
              <w:rPr>
                <w:b/>
                <w:bCs/>
                <w:w w:val="105"/>
                <w:szCs w:val="18"/>
              </w:rPr>
            </w:pPr>
            <w:r w:rsidRPr="004D3D52">
              <w:rPr>
                <w:b/>
                <w:bCs/>
                <w:w w:val="110"/>
                <w:szCs w:val="18"/>
              </w:rPr>
              <w:t>Partial</w:t>
            </w:r>
            <w:r w:rsidRPr="004D3D52">
              <w:rPr>
                <w:b/>
                <w:bCs/>
                <w:spacing w:val="-9"/>
                <w:w w:val="110"/>
                <w:szCs w:val="18"/>
              </w:rPr>
              <w:t xml:space="preserve"> </w:t>
            </w:r>
            <w:r w:rsidRPr="004D3D52">
              <w:rPr>
                <w:rStyle w:val="FootnoteReference"/>
                <w:b/>
                <w:bCs/>
                <w:spacing w:val="-9"/>
                <w:w w:val="110"/>
                <w:szCs w:val="18"/>
              </w:rPr>
              <w:footnoteReference w:id="33"/>
            </w:r>
          </w:p>
        </w:tc>
        <w:tc>
          <w:tcPr>
            <w:tcW w:w="4205" w:type="dxa"/>
            <w:gridSpan w:val="4"/>
            <w:tcBorders>
              <w:top w:val="nil"/>
              <w:bottom w:val="nil"/>
            </w:tcBorders>
            <w:shd w:val="clear" w:color="auto" w:fill="D9D9D9" w:themeFill="background1" w:themeFillShade="D9"/>
          </w:tcPr>
          <w:p w14:paraId="794A231D" w14:textId="77777777" w:rsidR="00FE382E" w:rsidRPr="004D3D52" w:rsidRDefault="00FE382E" w:rsidP="001D0A8A">
            <w:pPr>
              <w:pStyle w:val="TableText"/>
              <w:jc w:val="center"/>
              <w:rPr>
                <w:b/>
                <w:bCs/>
                <w:szCs w:val="18"/>
              </w:rPr>
            </w:pPr>
            <w:r w:rsidRPr="004D3D52">
              <w:rPr>
                <w:b/>
                <w:bCs/>
                <w:spacing w:val="-1"/>
                <w:w w:val="110"/>
                <w:szCs w:val="18"/>
              </w:rPr>
              <w:t>Primary</w:t>
            </w:r>
            <w:r w:rsidRPr="004D3D52">
              <w:rPr>
                <w:b/>
                <w:bCs/>
                <w:spacing w:val="-11"/>
                <w:w w:val="110"/>
                <w:szCs w:val="18"/>
              </w:rPr>
              <w:t xml:space="preserve"> </w:t>
            </w:r>
            <w:r w:rsidRPr="004D3D52">
              <w:rPr>
                <w:b/>
                <w:bCs/>
                <w:w w:val="110"/>
                <w:szCs w:val="18"/>
              </w:rPr>
              <w:t xml:space="preserve">course </w:t>
            </w:r>
            <w:r w:rsidRPr="004D3D52">
              <w:rPr>
                <w:rStyle w:val="FootnoteReference"/>
                <w:b/>
                <w:bCs/>
                <w:w w:val="110"/>
                <w:szCs w:val="18"/>
              </w:rPr>
              <w:footnoteReference w:id="34"/>
            </w:r>
          </w:p>
        </w:tc>
        <w:tc>
          <w:tcPr>
            <w:tcW w:w="4206" w:type="dxa"/>
            <w:gridSpan w:val="3"/>
            <w:tcBorders>
              <w:top w:val="nil"/>
              <w:bottom w:val="nil"/>
            </w:tcBorders>
            <w:shd w:val="clear" w:color="auto" w:fill="D9D9D9" w:themeFill="background1" w:themeFillShade="D9"/>
          </w:tcPr>
          <w:p w14:paraId="2C320912" w14:textId="77777777" w:rsidR="00FE382E" w:rsidRPr="004D3D52" w:rsidRDefault="00FE382E" w:rsidP="001D0A8A">
            <w:pPr>
              <w:pStyle w:val="TableText"/>
              <w:jc w:val="center"/>
              <w:rPr>
                <w:b/>
                <w:bCs/>
                <w:szCs w:val="18"/>
              </w:rPr>
            </w:pPr>
            <w:r w:rsidRPr="004D3D52">
              <w:rPr>
                <w:b/>
                <w:bCs/>
                <w:w w:val="105"/>
                <w:position w:val="2"/>
                <w:szCs w:val="18"/>
              </w:rPr>
              <w:t>Booster</w:t>
            </w:r>
            <w:r w:rsidRPr="004D3D52">
              <w:rPr>
                <w:b/>
                <w:bCs/>
                <w:spacing w:val="1"/>
                <w:w w:val="105"/>
                <w:position w:val="2"/>
                <w:szCs w:val="18"/>
              </w:rPr>
              <w:t xml:space="preserve"> </w:t>
            </w:r>
            <w:r w:rsidRPr="004D3D52">
              <w:rPr>
                <w:b/>
                <w:bCs/>
                <w:w w:val="105"/>
                <w:position w:val="2"/>
                <w:szCs w:val="18"/>
              </w:rPr>
              <w:t>course</w:t>
            </w:r>
          </w:p>
        </w:tc>
      </w:tr>
      <w:tr w:rsidR="00FE382E" w:rsidRPr="004D3D52" w14:paraId="12D34F30" w14:textId="77777777" w:rsidTr="001D0A8A">
        <w:trPr>
          <w:trHeight w:val="887"/>
        </w:trPr>
        <w:tc>
          <w:tcPr>
            <w:tcW w:w="1276" w:type="dxa"/>
            <w:vMerge/>
            <w:tcBorders>
              <w:bottom w:val="nil"/>
            </w:tcBorders>
            <w:shd w:val="clear" w:color="auto" w:fill="D9D9D9" w:themeFill="background1" w:themeFillShade="D9"/>
          </w:tcPr>
          <w:p w14:paraId="174F60BE" w14:textId="77777777" w:rsidR="00FE382E" w:rsidRPr="004D3D52" w:rsidRDefault="00FE382E" w:rsidP="001D0A8A">
            <w:pPr>
              <w:pStyle w:val="TableText"/>
              <w:rPr>
                <w:b/>
                <w:bCs/>
                <w:szCs w:val="18"/>
              </w:rPr>
            </w:pPr>
          </w:p>
        </w:tc>
        <w:tc>
          <w:tcPr>
            <w:tcW w:w="1577" w:type="dxa"/>
            <w:tcBorders>
              <w:top w:val="nil"/>
              <w:bottom w:val="nil"/>
            </w:tcBorders>
            <w:shd w:val="clear" w:color="auto" w:fill="D9D9D9" w:themeFill="background1" w:themeFillShade="D9"/>
          </w:tcPr>
          <w:p w14:paraId="5B3F2406" w14:textId="77777777" w:rsidR="00FE382E" w:rsidRPr="004D3D52" w:rsidRDefault="00FE382E" w:rsidP="001D0A8A">
            <w:pPr>
              <w:pStyle w:val="TableText"/>
              <w:spacing w:before="0" w:after="0"/>
              <w:jc w:val="right"/>
              <w:rPr>
                <w:b/>
                <w:bCs/>
                <w:szCs w:val="18"/>
              </w:rPr>
            </w:pPr>
            <w:r w:rsidRPr="004D3D52">
              <w:rPr>
                <w:b/>
                <w:bCs/>
                <w:w w:val="105"/>
                <w:szCs w:val="18"/>
              </w:rPr>
              <w:t>Partially</w:t>
            </w:r>
            <w:r w:rsidRPr="004D3D52">
              <w:rPr>
                <w:b/>
                <w:bCs/>
                <w:spacing w:val="-44"/>
                <w:w w:val="105"/>
                <w:szCs w:val="18"/>
              </w:rPr>
              <w:t xml:space="preserve"> </w:t>
            </w:r>
            <w:r w:rsidRPr="004D3D52">
              <w:rPr>
                <w:b/>
                <w:bCs/>
                <w:szCs w:val="18"/>
              </w:rPr>
              <w:t>vaccinated</w:t>
            </w:r>
          </w:p>
        </w:tc>
        <w:tc>
          <w:tcPr>
            <w:tcW w:w="1577" w:type="dxa"/>
            <w:tcBorders>
              <w:top w:val="nil"/>
              <w:bottom w:val="nil"/>
            </w:tcBorders>
            <w:shd w:val="clear" w:color="auto" w:fill="D9D9D9" w:themeFill="background1" w:themeFillShade="D9"/>
          </w:tcPr>
          <w:p w14:paraId="2055F391" w14:textId="77777777" w:rsidR="00FE382E" w:rsidRPr="004D3D52" w:rsidRDefault="00FE382E" w:rsidP="001D0A8A">
            <w:pPr>
              <w:pStyle w:val="TableText"/>
              <w:spacing w:before="0" w:after="0"/>
              <w:jc w:val="right"/>
              <w:rPr>
                <w:b/>
                <w:bCs/>
                <w:szCs w:val="18"/>
              </w:rPr>
            </w:pPr>
            <w:r w:rsidRPr="004D3D52">
              <w:rPr>
                <w:b/>
                <w:bCs/>
                <w:w w:val="105"/>
                <w:szCs w:val="18"/>
              </w:rPr>
              <w:t>Partially</w:t>
            </w:r>
            <w:r w:rsidRPr="004D3D52">
              <w:rPr>
                <w:b/>
                <w:bCs/>
                <w:spacing w:val="-45"/>
                <w:w w:val="105"/>
                <w:szCs w:val="18"/>
              </w:rPr>
              <w:t xml:space="preserve"> </w:t>
            </w:r>
            <w:r w:rsidRPr="004D3D52">
              <w:rPr>
                <w:b/>
                <w:bCs/>
                <w:szCs w:val="18"/>
              </w:rPr>
              <w:t>vaccinated</w:t>
            </w:r>
          </w:p>
          <w:p w14:paraId="1C6DBF0B" w14:textId="77777777" w:rsidR="00FE382E" w:rsidRPr="004D3D52" w:rsidRDefault="00FE382E" w:rsidP="001D0A8A">
            <w:pPr>
              <w:pStyle w:val="TableText"/>
              <w:spacing w:before="0" w:after="0"/>
              <w:jc w:val="right"/>
              <w:rPr>
                <w:b/>
                <w:bCs/>
                <w:szCs w:val="18"/>
              </w:rPr>
            </w:pPr>
            <w:r w:rsidRPr="004D3D52">
              <w:rPr>
                <w:b/>
                <w:bCs/>
                <w:spacing w:val="-43"/>
                <w:szCs w:val="18"/>
              </w:rPr>
              <w:t xml:space="preserve"> </w:t>
            </w:r>
            <w:r w:rsidRPr="004D3D52">
              <w:rPr>
                <w:b/>
                <w:bCs/>
                <w:w w:val="105"/>
                <w:szCs w:val="18"/>
              </w:rPr>
              <w:t>(%</w:t>
            </w:r>
            <w:r w:rsidRPr="004D3D52">
              <w:rPr>
                <w:b/>
                <w:bCs/>
                <w:spacing w:val="-2"/>
                <w:w w:val="105"/>
                <w:szCs w:val="18"/>
              </w:rPr>
              <w:t xml:space="preserve"> </w:t>
            </w:r>
            <w:r w:rsidRPr="004D3D52">
              <w:rPr>
                <w:b/>
                <w:bCs/>
                <w:w w:val="105"/>
                <w:szCs w:val="18"/>
              </w:rPr>
              <w:t>eligible)</w:t>
            </w:r>
          </w:p>
        </w:tc>
        <w:tc>
          <w:tcPr>
            <w:tcW w:w="1577" w:type="dxa"/>
            <w:gridSpan w:val="2"/>
            <w:tcBorders>
              <w:top w:val="nil"/>
              <w:bottom w:val="nil"/>
            </w:tcBorders>
            <w:shd w:val="clear" w:color="auto" w:fill="D9D9D9" w:themeFill="background1" w:themeFillShade="D9"/>
          </w:tcPr>
          <w:p w14:paraId="3946D9C5" w14:textId="77777777" w:rsidR="00FE382E" w:rsidRPr="004D3D52" w:rsidRDefault="00FE382E" w:rsidP="001D0A8A">
            <w:pPr>
              <w:pStyle w:val="TableText"/>
              <w:spacing w:before="0" w:after="0"/>
              <w:jc w:val="right"/>
              <w:rPr>
                <w:b/>
                <w:bCs/>
                <w:spacing w:val="-44"/>
                <w:w w:val="105"/>
                <w:szCs w:val="18"/>
              </w:rPr>
            </w:pPr>
            <w:r w:rsidRPr="004D3D52">
              <w:rPr>
                <w:b/>
                <w:bCs/>
                <w:szCs w:val="18"/>
              </w:rPr>
              <w:t>Completed</w:t>
            </w:r>
            <w:r w:rsidRPr="004D3D52">
              <w:rPr>
                <w:b/>
                <w:bCs/>
                <w:spacing w:val="-42"/>
                <w:szCs w:val="18"/>
              </w:rPr>
              <w:t xml:space="preserve"> </w:t>
            </w:r>
            <w:r w:rsidRPr="004D3D52">
              <w:rPr>
                <w:b/>
                <w:bCs/>
                <w:w w:val="105"/>
                <w:szCs w:val="18"/>
              </w:rPr>
              <w:t>primary</w:t>
            </w:r>
            <w:r w:rsidRPr="004D3D52">
              <w:rPr>
                <w:b/>
                <w:bCs/>
                <w:spacing w:val="-44"/>
                <w:w w:val="105"/>
                <w:szCs w:val="18"/>
              </w:rPr>
              <w:t xml:space="preserve"> </w:t>
            </w:r>
          </w:p>
          <w:p w14:paraId="6E1D2D0F" w14:textId="77777777" w:rsidR="00FE382E" w:rsidRPr="004D3D52" w:rsidRDefault="00FE382E" w:rsidP="001D0A8A">
            <w:pPr>
              <w:pStyle w:val="TableText"/>
              <w:spacing w:before="0" w:after="0"/>
              <w:jc w:val="right"/>
              <w:rPr>
                <w:b/>
                <w:bCs/>
                <w:szCs w:val="18"/>
              </w:rPr>
            </w:pPr>
            <w:r w:rsidRPr="004D3D52">
              <w:rPr>
                <w:b/>
                <w:bCs/>
                <w:w w:val="105"/>
                <w:szCs w:val="18"/>
              </w:rPr>
              <w:t>course</w:t>
            </w:r>
          </w:p>
        </w:tc>
        <w:tc>
          <w:tcPr>
            <w:tcW w:w="1577" w:type="dxa"/>
            <w:tcBorders>
              <w:top w:val="nil"/>
              <w:bottom w:val="nil"/>
            </w:tcBorders>
            <w:shd w:val="clear" w:color="auto" w:fill="D9D9D9" w:themeFill="background1" w:themeFillShade="D9"/>
          </w:tcPr>
          <w:p w14:paraId="70569820" w14:textId="77777777" w:rsidR="00FE382E" w:rsidRPr="004D3D52" w:rsidRDefault="00FE382E" w:rsidP="001D0A8A">
            <w:pPr>
              <w:pStyle w:val="TableText"/>
              <w:spacing w:before="0" w:after="0"/>
              <w:jc w:val="right"/>
              <w:rPr>
                <w:b/>
                <w:bCs/>
                <w:szCs w:val="18"/>
              </w:rPr>
            </w:pPr>
            <w:r w:rsidRPr="004D3D52">
              <w:rPr>
                <w:b/>
                <w:bCs/>
                <w:szCs w:val="18"/>
              </w:rPr>
              <w:t>Completed</w:t>
            </w:r>
            <w:r w:rsidRPr="004D3D52">
              <w:rPr>
                <w:b/>
                <w:bCs/>
                <w:spacing w:val="-42"/>
                <w:szCs w:val="18"/>
              </w:rPr>
              <w:t xml:space="preserve"> </w:t>
            </w:r>
            <w:r w:rsidRPr="004D3D52">
              <w:rPr>
                <w:b/>
                <w:bCs/>
                <w:w w:val="105"/>
                <w:szCs w:val="18"/>
              </w:rPr>
              <w:t>primary</w:t>
            </w:r>
            <w:r>
              <w:rPr>
                <w:b/>
                <w:bCs/>
                <w:w w:val="105"/>
                <w:szCs w:val="18"/>
              </w:rPr>
              <w:t xml:space="preserve"> </w:t>
            </w:r>
            <w:r w:rsidRPr="004D3D52">
              <w:rPr>
                <w:b/>
                <w:bCs/>
                <w:spacing w:val="-44"/>
                <w:w w:val="105"/>
                <w:szCs w:val="18"/>
              </w:rPr>
              <w:t xml:space="preserve"> </w:t>
            </w:r>
            <w:r w:rsidRPr="004D3D52">
              <w:rPr>
                <w:b/>
                <w:bCs/>
                <w:w w:val="105"/>
                <w:szCs w:val="18"/>
              </w:rPr>
              <w:t>course</w:t>
            </w:r>
          </w:p>
          <w:p w14:paraId="4516F13F" w14:textId="77777777" w:rsidR="00FE382E" w:rsidRPr="004D3D52" w:rsidRDefault="00FE382E" w:rsidP="001D0A8A">
            <w:pPr>
              <w:pStyle w:val="TableText"/>
              <w:spacing w:before="0" w:after="0"/>
              <w:jc w:val="right"/>
              <w:rPr>
                <w:b/>
                <w:bCs/>
                <w:szCs w:val="18"/>
              </w:rPr>
            </w:pPr>
            <w:r w:rsidRPr="004D3D52">
              <w:rPr>
                <w:b/>
                <w:bCs/>
                <w:w w:val="105"/>
                <w:szCs w:val="18"/>
              </w:rPr>
              <w:t>(% eligible)</w:t>
            </w:r>
          </w:p>
        </w:tc>
        <w:tc>
          <w:tcPr>
            <w:tcW w:w="1577" w:type="dxa"/>
            <w:tcBorders>
              <w:top w:val="nil"/>
              <w:bottom w:val="nil"/>
            </w:tcBorders>
            <w:shd w:val="clear" w:color="auto" w:fill="D9D9D9" w:themeFill="background1" w:themeFillShade="D9"/>
          </w:tcPr>
          <w:p w14:paraId="1C31CDD6" w14:textId="77777777" w:rsidR="00FE382E" w:rsidRPr="004D3D52" w:rsidRDefault="00FE382E" w:rsidP="001D0A8A">
            <w:pPr>
              <w:pStyle w:val="TableText"/>
              <w:spacing w:before="0" w:after="0"/>
              <w:jc w:val="right"/>
              <w:rPr>
                <w:b/>
                <w:bCs/>
                <w:szCs w:val="18"/>
              </w:rPr>
            </w:pPr>
            <w:r w:rsidRPr="004D3D52">
              <w:rPr>
                <w:b/>
                <w:bCs/>
                <w:szCs w:val="18"/>
              </w:rPr>
              <w:t>Received</w:t>
            </w:r>
          </w:p>
          <w:p w14:paraId="3DB25D50" w14:textId="77777777" w:rsidR="00FE382E" w:rsidRPr="004D3D52" w:rsidRDefault="00FE382E" w:rsidP="001D0A8A">
            <w:pPr>
              <w:pStyle w:val="TableText"/>
              <w:spacing w:before="0" w:after="0"/>
              <w:jc w:val="right"/>
              <w:rPr>
                <w:b/>
                <w:bCs/>
                <w:szCs w:val="18"/>
              </w:rPr>
            </w:pPr>
            <w:r>
              <w:rPr>
                <w:b/>
                <w:bCs/>
                <w:w w:val="115"/>
                <w:szCs w:val="18"/>
              </w:rPr>
              <w:t>f</w:t>
            </w:r>
            <w:r w:rsidRPr="004D3D52">
              <w:rPr>
                <w:b/>
                <w:bCs/>
                <w:w w:val="115"/>
                <w:szCs w:val="18"/>
              </w:rPr>
              <w:t>irst</w:t>
            </w:r>
            <w:r>
              <w:rPr>
                <w:b/>
                <w:bCs/>
                <w:w w:val="115"/>
                <w:szCs w:val="18"/>
              </w:rPr>
              <w:t xml:space="preserve"> </w:t>
            </w:r>
            <w:r w:rsidRPr="004D3D52">
              <w:rPr>
                <w:b/>
                <w:bCs/>
                <w:w w:val="105"/>
                <w:szCs w:val="18"/>
              </w:rPr>
              <w:t>booster</w:t>
            </w:r>
          </w:p>
          <w:p w14:paraId="7EB2A658" w14:textId="77777777" w:rsidR="00FE382E" w:rsidRPr="004D3D52" w:rsidRDefault="00FE382E" w:rsidP="001D0A8A">
            <w:pPr>
              <w:pStyle w:val="TableText"/>
              <w:spacing w:before="0" w:after="0"/>
              <w:jc w:val="right"/>
              <w:rPr>
                <w:b/>
                <w:bCs/>
                <w:szCs w:val="18"/>
              </w:rPr>
            </w:pPr>
            <w:r w:rsidRPr="004D3D52">
              <w:rPr>
                <w:b/>
                <w:bCs/>
                <w:w w:val="105"/>
                <w:szCs w:val="18"/>
              </w:rPr>
              <w:t>(18+)</w:t>
            </w:r>
          </w:p>
        </w:tc>
        <w:tc>
          <w:tcPr>
            <w:tcW w:w="1577" w:type="dxa"/>
            <w:gridSpan w:val="2"/>
            <w:tcBorders>
              <w:top w:val="nil"/>
              <w:bottom w:val="nil"/>
            </w:tcBorders>
            <w:shd w:val="clear" w:color="auto" w:fill="D9D9D9" w:themeFill="background1" w:themeFillShade="D9"/>
          </w:tcPr>
          <w:p w14:paraId="26A46778" w14:textId="77777777" w:rsidR="00FE382E" w:rsidRPr="004D3D52" w:rsidRDefault="00FE382E" w:rsidP="001D0A8A">
            <w:pPr>
              <w:pStyle w:val="TableText"/>
              <w:spacing w:before="0" w:after="0"/>
              <w:jc w:val="right"/>
              <w:rPr>
                <w:b/>
                <w:bCs/>
                <w:szCs w:val="18"/>
              </w:rPr>
            </w:pPr>
            <w:r w:rsidRPr="004D3D52">
              <w:rPr>
                <w:b/>
                <w:bCs/>
                <w:w w:val="115"/>
                <w:szCs w:val="18"/>
              </w:rPr>
              <w:t>First</w:t>
            </w:r>
            <w:r>
              <w:rPr>
                <w:b/>
                <w:bCs/>
                <w:w w:val="115"/>
                <w:szCs w:val="18"/>
              </w:rPr>
              <w:t xml:space="preserve"> </w:t>
            </w:r>
            <w:r w:rsidRPr="004D3D52">
              <w:rPr>
                <w:b/>
                <w:bCs/>
                <w:spacing w:val="-49"/>
                <w:w w:val="115"/>
                <w:szCs w:val="18"/>
              </w:rPr>
              <w:t xml:space="preserve"> </w:t>
            </w:r>
            <w:r w:rsidRPr="004D3D52">
              <w:rPr>
                <w:b/>
                <w:bCs/>
                <w:w w:val="105"/>
                <w:szCs w:val="18"/>
              </w:rPr>
              <w:t>booster</w:t>
            </w:r>
          </w:p>
          <w:p w14:paraId="0C2236D8" w14:textId="77777777" w:rsidR="00FE382E" w:rsidRPr="004D3D52" w:rsidRDefault="00FE382E" w:rsidP="001D0A8A">
            <w:pPr>
              <w:pStyle w:val="TableText"/>
              <w:spacing w:before="0" w:after="0"/>
              <w:jc w:val="right"/>
              <w:rPr>
                <w:b/>
                <w:bCs/>
                <w:szCs w:val="18"/>
              </w:rPr>
            </w:pPr>
            <w:r w:rsidRPr="004D3D52">
              <w:rPr>
                <w:b/>
                <w:bCs/>
                <w:w w:val="105"/>
                <w:szCs w:val="18"/>
              </w:rPr>
              <w:t>(%</w:t>
            </w:r>
            <w:r w:rsidRPr="004D3D52">
              <w:rPr>
                <w:b/>
                <w:bCs/>
                <w:spacing w:val="-1"/>
                <w:w w:val="105"/>
                <w:szCs w:val="18"/>
              </w:rPr>
              <w:t xml:space="preserve"> </w:t>
            </w:r>
            <w:r w:rsidRPr="004D3D52">
              <w:rPr>
                <w:b/>
                <w:bCs/>
                <w:w w:val="105"/>
                <w:szCs w:val="18"/>
              </w:rPr>
              <w:t>eligible)</w:t>
            </w:r>
          </w:p>
          <w:p w14:paraId="179EC48D" w14:textId="77777777" w:rsidR="00FE382E" w:rsidRPr="004D3D52" w:rsidRDefault="00FE382E" w:rsidP="001D0A8A">
            <w:pPr>
              <w:pStyle w:val="TableText"/>
              <w:spacing w:before="0" w:after="0"/>
              <w:jc w:val="right"/>
              <w:rPr>
                <w:b/>
                <w:bCs/>
                <w:szCs w:val="18"/>
              </w:rPr>
            </w:pPr>
            <w:r w:rsidRPr="004D3D52">
              <w:rPr>
                <w:b/>
                <w:bCs/>
                <w:w w:val="105"/>
                <w:szCs w:val="18"/>
              </w:rPr>
              <w:t>(18+)</w:t>
            </w:r>
          </w:p>
        </w:tc>
        <w:tc>
          <w:tcPr>
            <w:tcW w:w="1577" w:type="dxa"/>
            <w:tcBorders>
              <w:top w:val="nil"/>
              <w:bottom w:val="nil"/>
            </w:tcBorders>
            <w:shd w:val="clear" w:color="auto" w:fill="D9D9D9" w:themeFill="background1" w:themeFillShade="D9"/>
          </w:tcPr>
          <w:p w14:paraId="40E72506" w14:textId="77777777" w:rsidR="00FE382E" w:rsidRPr="004D3D52" w:rsidRDefault="00FE382E" w:rsidP="001D0A8A">
            <w:pPr>
              <w:pStyle w:val="TableText"/>
              <w:spacing w:before="0" w:after="0"/>
              <w:jc w:val="right"/>
              <w:rPr>
                <w:b/>
                <w:bCs/>
                <w:spacing w:val="-44"/>
                <w:w w:val="105"/>
                <w:szCs w:val="18"/>
              </w:rPr>
            </w:pPr>
            <w:r w:rsidRPr="004D3D52">
              <w:rPr>
                <w:b/>
                <w:bCs/>
                <w:szCs w:val="18"/>
              </w:rPr>
              <w:t>Received</w:t>
            </w:r>
            <w:r>
              <w:rPr>
                <w:b/>
                <w:bCs/>
                <w:szCs w:val="18"/>
              </w:rPr>
              <w:t xml:space="preserve"> </w:t>
            </w:r>
            <w:r>
              <w:rPr>
                <w:b/>
                <w:bCs/>
                <w:szCs w:val="18"/>
              </w:rPr>
              <w:br/>
            </w:r>
            <w:r w:rsidRPr="004D3D52">
              <w:rPr>
                <w:b/>
                <w:bCs/>
                <w:spacing w:val="-42"/>
                <w:szCs w:val="18"/>
              </w:rPr>
              <w:t xml:space="preserve"> </w:t>
            </w:r>
            <w:r w:rsidRPr="004D3D52">
              <w:rPr>
                <w:b/>
                <w:bCs/>
                <w:w w:val="105"/>
                <w:szCs w:val="18"/>
              </w:rPr>
              <w:t>second</w:t>
            </w:r>
            <w:r>
              <w:rPr>
                <w:b/>
                <w:bCs/>
                <w:w w:val="105"/>
                <w:szCs w:val="18"/>
              </w:rPr>
              <w:t xml:space="preserve"> </w:t>
            </w:r>
            <w:r w:rsidRPr="004D3D52">
              <w:rPr>
                <w:b/>
                <w:bCs/>
                <w:spacing w:val="-44"/>
                <w:w w:val="105"/>
                <w:szCs w:val="18"/>
              </w:rPr>
              <w:t xml:space="preserve"> </w:t>
            </w:r>
            <w:r w:rsidRPr="004D3D52">
              <w:rPr>
                <w:b/>
                <w:bCs/>
                <w:w w:val="105"/>
                <w:szCs w:val="18"/>
              </w:rPr>
              <w:t>booster</w:t>
            </w:r>
            <w:r w:rsidRPr="004D3D52">
              <w:rPr>
                <w:b/>
                <w:bCs/>
                <w:spacing w:val="-44"/>
                <w:w w:val="105"/>
                <w:szCs w:val="18"/>
              </w:rPr>
              <w:t xml:space="preserve"> </w:t>
            </w:r>
          </w:p>
          <w:p w14:paraId="7E841BCF" w14:textId="77777777" w:rsidR="00FE382E" w:rsidRPr="004D3D52" w:rsidRDefault="00FE382E" w:rsidP="001D0A8A">
            <w:pPr>
              <w:pStyle w:val="TableText"/>
              <w:spacing w:before="0" w:after="0"/>
              <w:jc w:val="right"/>
              <w:rPr>
                <w:b/>
                <w:bCs/>
                <w:szCs w:val="18"/>
              </w:rPr>
            </w:pPr>
            <w:r w:rsidRPr="004D3D52">
              <w:rPr>
                <w:b/>
                <w:bCs/>
                <w:w w:val="110"/>
                <w:szCs w:val="18"/>
              </w:rPr>
              <w:t>(50+)</w:t>
            </w:r>
          </w:p>
        </w:tc>
        <w:tc>
          <w:tcPr>
            <w:tcW w:w="1577" w:type="dxa"/>
            <w:tcBorders>
              <w:top w:val="nil"/>
              <w:bottom w:val="nil"/>
            </w:tcBorders>
            <w:shd w:val="clear" w:color="auto" w:fill="D9D9D9" w:themeFill="background1" w:themeFillShade="D9"/>
          </w:tcPr>
          <w:p w14:paraId="2D2BE317" w14:textId="77777777" w:rsidR="00FE382E" w:rsidRPr="004D3D52" w:rsidRDefault="00FE382E" w:rsidP="001D0A8A">
            <w:pPr>
              <w:pStyle w:val="TableText"/>
              <w:spacing w:before="0" w:after="0"/>
              <w:jc w:val="right"/>
              <w:rPr>
                <w:b/>
                <w:bCs/>
                <w:szCs w:val="18"/>
              </w:rPr>
            </w:pPr>
            <w:r w:rsidRPr="004D3D52">
              <w:rPr>
                <w:b/>
                <w:bCs/>
                <w:szCs w:val="18"/>
              </w:rPr>
              <w:t>Received</w:t>
            </w:r>
            <w:r w:rsidRPr="004D3D52">
              <w:rPr>
                <w:b/>
                <w:bCs/>
                <w:spacing w:val="-43"/>
                <w:szCs w:val="18"/>
              </w:rPr>
              <w:t xml:space="preserve"> </w:t>
            </w:r>
            <w:r w:rsidRPr="004D3D52">
              <w:rPr>
                <w:b/>
                <w:bCs/>
                <w:spacing w:val="-43"/>
                <w:szCs w:val="18"/>
              </w:rPr>
              <w:br/>
            </w:r>
            <w:r w:rsidRPr="004D3D52">
              <w:rPr>
                <w:b/>
                <w:bCs/>
                <w:w w:val="105"/>
                <w:szCs w:val="18"/>
              </w:rPr>
              <w:t>second</w:t>
            </w:r>
            <w:r>
              <w:rPr>
                <w:b/>
                <w:bCs/>
                <w:w w:val="105"/>
                <w:szCs w:val="18"/>
              </w:rPr>
              <w:t xml:space="preserve"> </w:t>
            </w:r>
            <w:r w:rsidRPr="004D3D52">
              <w:rPr>
                <w:b/>
                <w:bCs/>
                <w:spacing w:val="-44"/>
                <w:w w:val="105"/>
                <w:szCs w:val="18"/>
              </w:rPr>
              <w:t xml:space="preserve"> </w:t>
            </w:r>
            <w:r w:rsidRPr="004D3D52">
              <w:rPr>
                <w:b/>
                <w:bCs/>
                <w:w w:val="105"/>
                <w:szCs w:val="18"/>
              </w:rPr>
              <w:t>booster</w:t>
            </w:r>
          </w:p>
          <w:p w14:paraId="07B3ABD2" w14:textId="77777777" w:rsidR="00FE382E" w:rsidRPr="004D3D52" w:rsidRDefault="00FE382E" w:rsidP="001D0A8A">
            <w:pPr>
              <w:pStyle w:val="TableText"/>
              <w:spacing w:before="0" w:after="0"/>
              <w:jc w:val="right"/>
              <w:rPr>
                <w:b/>
                <w:bCs/>
                <w:szCs w:val="18"/>
              </w:rPr>
            </w:pPr>
            <w:r w:rsidRPr="004D3D52">
              <w:rPr>
                <w:b/>
                <w:bCs/>
                <w:szCs w:val="18"/>
              </w:rPr>
              <w:t>%</w:t>
            </w:r>
            <w:r w:rsidRPr="004D3D52">
              <w:rPr>
                <w:b/>
                <w:bCs/>
                <w:spacing w:val="10"/>
                <w:szCs w:val="18"/>
              </w:rPr>
              <w:t xml:space="preserve"> </w:t>
            </w:r>
            <w:r w:rsidRPr="004D3D52">
              <w:rPr>
                <w:b/>
                <w:bCs/>
                <w:szCs w:val="18"/>
              </w:rPr>
              <w:t>eligible</w:t>
            </w:r>
            <w:r>
              <w:rPr>
                <w:b/>
                <w:bCs/>
                <w:szCs w:val="18"/>
              </w:rPr>
              <w:t xml:space="preserve"> </w:t>
            </w:r>
            <w:r w:rsidRPr="004D3D52">
              <w:rPr>
                <w:b/>
                <w:bCs/>
                <w:w w:val="120"/>
                <w:szCs w:val="18"/>
              </w:rPr>
              <w:t>(50+)</w:t>
            </w:r>
          </w:p>
        </w:tc>
      </w:tr>
      <w:tr w:rsidR="00FE382E" w:rsidRPr="004D3D52" w14:paraId="2E7A8497" w14:textId="77777777" w:rsidTr="001D0A8A">
        <w:trPr>
          <w:trHeight w:val="322"/>
        </w:trPr>
        <w:tc>
          <w:tcPr>
            <w:tcW w:w="1276" w:type="dxa"/>
            <w:tcBorders>
              <w:top w:val="nil"/>
              <w:bottom w:val="single" w:sz="4" w:space="0" w:color="A6A6A6" w:themeColor="background1" w:themeShade="A6"/>
            </w:tcBorders>
          </w:tcPr>
          <w:p w14:paraId="4F91AB3E" w14:textId="77777777" w:rsidR="00FE382E" w:rsidRPr="004D3D52" w:rsidRDefault="00FE382E" w:rsidP="001D0A8A">
            <w:pPr>
              <w:pStyle w:val="TableText"/>
              <w:spacing w:before="40"/>
              <w:rPr>
                <w:szCs w:val="18"/>
              </w:rPr>
            </w:pPr>
            <w:r w:rsidRPr="004D3D52">
              <w:rPr>
                <w:szCs w:val="18"/>
              </w:rPr>
              <w:t>0 to 11</w:t>
            </w:r>
          </w:p>
        </w:tc>
        <w:tc>
          <w:tcPr>
            <w:tcW w:w="1577" w:type="dxa"/>
            <w:tcBorders>
              <w:top w:val="nil"/>
              <w:bottom w:val="single" w:sz="4" w:space="0" w:color="A6A6A6" w:themeColor="background1" w:themeShade="A6"/>
            </w:tcBorders>
          </w:tcPr>
          <w:p w14:paraId="22635C51" w14:textId="77777777" w:rsidR="00FE382E" w:rsidRPr="004D3D52" w:rsidRDefault="00FE382E" w:rsidP="001D0A8A">
            <w:pPr>
              <w:pStyle w:val="TableText"/>
              <w:spacing w:before="40"/>
              <w:jc w:val="right"/>
              <w:rPr>
                <w:szCs w:val="18"/>
              </w:rPr>
            </w:pPr>
            <w:r w:rsidRPr="004D3D52">
              <w:rPr>
                <w:w w:val="105"/>
                <w:szCs w:val="18"/>
              </w:rPr>
              <w:t>224,700</w:t>
            </w:r>
          </w:p>
        </w:tc>
        <w:tc>
          <w:tcPr>
            <w:tcW w:w="1577" w:type="dxa"/>
            <w:tcBorders>
              <w:top w:val="nil"/>
              <w:bottom w:val="single" w:sz="4" w:space="0" w:color="A6A6A6" w:themeColor="background1" w:themeShade="A6"/>
            </w:tcBorders>
          </w:tcPr>
          <w:p w14:paraId="58D94D64" w14:textId="77777777" w:rsidR="00FE382E" w:rsidRPr="004D3D52" w:rsidRDefault="00FE382E" w:rsidP="001D0A8A">
            <w:pPr>
              <w:pStyle w:val="TableText"/>
              <w:spacing w:before="40"/>
              <w:jc w:val="right"/>
              <w:rPr>
                <w:szCs w:val="18"/>
              </w:rPr>
            </w:pPr>
            <w:r w:rsidRPr="004D3D52">
              <w:rPr>
                <w:w w:val="105"/>
                <w:szCs w:val="18"/>
              </w:rPr>
              <w:t>29%</w:t>
            </w:r>
          </w:p>
        </w:tc>
        <w:tc>
          <w:tcPr>
            <w:tcW w:w="1577" w:type="dxa"/>
            <w:gridSpan w:val="2"/>
            <w:tcBorders>
              <w:top w:val="nil"/>
              <w:bottom w:val="single" w:sz="4" w:space="0" w:color="A6A6A6" w:themeColor="background1" w:themeShade="A6"/>
            </w:tcBorders>
          </w:tcPr>
          <w:p w14:paraId="237AD77C" w14:textId="77777777" w:rsidR="00FE382E" w:rsidRPr="004D3D52" w:rsidRDefault="00FE382E" w:rsidP="001D0A8A">
            <w:pPr>
              <w:pStyle w:val="TableText"/>
              <w:spacing w:before="40"/>
              <w:jc w:val="right"/>
              <w:rPr>
                <w:szCs w:val="18"/>
              </w:rPr>
            </w:pPr>
            <w:r w:rsidRPr="004D3D52">
              <w:rPr>
                <w:szCs w:val="18"/>
              </w:rPr>
              <w:t>112,936</w:t>
            </w:r>
          </w:p>
        </w:tc>
        <w:tc>
          <w:tcPr>
            <w:tcW w:w="1577" w:type="dxa"/>
            <w:tcBorders>
              <w:top w:val="nil"/>
              <w:bottom w:val="single" w:sz="4" w:space="0" w:color="A6A6A6" w:themeColor="background1" w:themeShade="A6"/>
            </w:tcBorders>
          </w:tcPr>
          <w:p w14:paraId="3AA987F0" w14:textId="77777777" w:rsidR="00FE382E" w:rsidRPr="004D3D52" w:rsidRDefault="00FE382E" w:rsidP="001D0A8A">
            <w:pPr>
              <w:pStyle w:val="TableText"/>
              <w:spacing w:before="40"/>
              <w:jc w:val="right"/>
              <w:rPr>
                <w:szCs w:val="18"/>
              </w:rPr>
            </w:pPr>
            <w:r w:rsidRPr="004D3D52">
              <w:rPr>
                <w:szCs w:val="18"/>
              </w:rPr>
              <w:t>14%</w:t>
            </w:r>
          </w:p>
        </w:tc>
        <w:tc>
          <w:tcPr>
            <w:tcW w:w="1577" w:type="dxa"/>
            <w:tcBorders>
              <w:top w:val="nil"/>
              <w:bottom w:val="single" w:sz="4" w:space="0" w:color="A6A6A6" w:themeColor="background1" w:themeShade="A6"/>
            </w:tcBorders>
          </w:tcPr>
          <w:p w14:paraId="14D0DE81" w14:textId="77777777" w:rsidR="00FE382E" w:rsidRPr="004D3D52" w:rsidRDefault="00FE382E" w:rsidP="001D0A8A">
            <w:pPr>
              <w:pStyle w:val="TableText"/>
              <w:spacing w:before="40"/>
              <w:jc w:val="right"/>
              <w:rPr>
                <w:szCs w:val="18"/>
              </w:rPr>
            </w:pPr>
            <w:r w:rsidRPr="004D3D52">
              <w:rPr>
                <w:w w:val="165"/>
                <w:szCs w:val="18"/>
              </w:rPr>
              <w:t>-</w:t>
            </w:r>
          </w:p>
        </w:tc>
        <w:tc>
          <w:tcPr>
            <w:tcW w:w="1577" w:type="dxa"/>
            <w:gridSpan w:val="2"/>
            <w:tcBorders>
              <w:top w:val="nil"/>
              <w:bottom w:val="single" w:sz="4" w:space="0" w:color="A6A6A6" w:themeColor="background1" w:themeShade="A6"/>
            </w:tcBorders>
          </w:tcPr>
          <w:p w14:paraId="2BF4A5F3" w14:textId="77777777" w:rsidR="00FE382E" w:rsidRPr="004D3D52" w:rsidRDefault="00FE382E" w:rsidP="001D0A8A">
            <w:pPr>
              <w:pStyle w:val="TableText"/>
              <w:spacing w:before="40"/>
              <w:jc w:val="right"/>
              <w:rPr>
                <w:szCs w:val="18"/>
              </w:rPr>
            </w:pPr>
            <w:r w:rsidRPr="004D3D52">
              <w:rPr>
                <w:w w:val="105"/>
                <w:szCs w:val="18"/>
              </w:rPr>
              <w:t>0%</w:t>
            </w:r>
          </w:p>
        </w:tc>
        <w:tc>
          <w:tcPr>
            <w:tcW w:w="1577" w:type="dxa"/>
            <w:tcBorders>
              <w:top w:val="nil"/>
              <w:bottom w:val="single" w:sz="4" w:space="0" w:color="A6A6A6" w:themeColor="background1" w:themeShade="A6"/>
            </w:tcBorders>
          </w:tcPr>
          <w:p w14:paraId="638F1FC3" w14:textId="77777777" w:rsidR="00FE382E" w:rsidRPr="004D3D52" w:rsidRDefault="00FE382E" w:rsidP="001D0A8A">
            <w:pPr>
              <w:pStyle w:val="TableText"/>
              <w:spacing w:before="40"/>
              <w:jc w:val="right"/>
              <w:rPr>
                <w:szCs w:val="18"/>
              </w:rPr>
            </w:pPr>
            <w:r w:rsidRPr="004D3D52">
              <w:rPr>
                <w:w w:val="165"/>
                <w:szCs w:val="18"/>
              </w:rPr>
              <w:t>-</w:t>
            </w:r>
          </w:p>
        </w:tc>
        <w:tc>
          <w:tcPr>
            <w:tcW w:w="1577" w:type="dxa"/>
            <w:tcBorders>
              <w:top w:val="nil"/>
              <w:bottom w:val="single" w:sz="4" w:space="0" w:color="A6A6A6" w:themeColor="background1" w:themeShade="A6"/>
            </w:tcBorders>
          </w:tcPr>
          <w:p w14:paraId="04C2566F" w14:textId="77777777" w:rsidR="00FE382E" w:rsidRPr="004D3D52" w:rsidRDefault="00FE382E" w:rsidP="001D0A8A">
            <w:pPr>
              <w:pStyle w:val="TableText"/>
              <w:spacing w:before="40"/>
              <w:jc w:val="right"/>
              <w:rPr>
                <w:szCs w:val="18"/>
              </w:rPr>
            </w:pPr>
            <w:r w:rsidRPr="004D3D52">
              <w:rPr>
                <w:w w:val="165"/>
                <w:szCs w:val="18"/>
              </w:rPr>
              <w:t>-</w:t>
            </w:r>
          </w:p>
        </w:tc>
      </w:tr>
      <w:tr w:rsidR="00FE382E" w:rsidRPr="004D3D52" w14:paraId="3CA6E941" w14:textId="77777777" w:rsidTr="001D0A8A">
        <w:trPr>
          <w:trHeight w:val="317"/>
        </w:trPr>
        <w:tc>
          <w:tcPr>
            <w:tcW w:w="1276" w:type="dxa"/>
            <w:tcBorders>
              <w:top w:val="single" w:sz="4" w:space="0" w:color="A6A6A6" w:themeColor="background1" w:themeShade="A6"/>
            </w:tcBorders>
          </w:tcPr>
          <w:p w14:paraId="2D3D6B66" w14:textId="77777777" w:rsidR="00FE382E" w:rsidRPr="004D3D52" w:rsidRDefault="00FE382E" w:rsidP="001D0A8A">
            <w:pPr>
              <w:pStyle w:val="TableText"/>
              <w:spacing w:before="40"/>
              <w:rPr>
                <w:szCs w:val="18"/>
              </w:rPr>
            </w:pPr>
            <w:r w:rsidRPr="004D3D52">
              <w:rPr>
                <w:szCs w:val="18"/>
              </w:rPr>
              <w:t>12 to 15</w:t>
            </w:r>
          </w:p>
        </w:tc>
        <w:tc>
          <w:tcPr>
            <w:tcW w:w="1577" w:type="dxa"/>
            <w:tcBorders>
              <w:top w:val="single" w:sz="4" w:space="0" w:color="A6A6A6" w:themeColor="background1" w:themeShade="A6"/>
            </w:tcBorders>
          </w:tcPr>
          <w:p w14:paraId="284DFA07" w14:textId="77777777" w:rsidR="00FE382E" w:rsidRPr="004D3D52" w:rsidRDefault="00FE382E" w:rsidP="001D0A8A">
            <w:pPr>
              <w:pStyle w:val="TableText"/>
              <w:spacing w:before="40"/>
              <w:jc w:val="right"/>
              <w:rPr>
                <w:szCs w:val="18"/>
              </w:rPr>
            </w:pPr>
            <w:r w:rsidRPr="004D3D52">
              <w:rPr>
                <w:w w:val="105"/>
                <w:szCs w:val="18"/>
              </w:rPr>
              <w:t>226,702</w:t>
            </w:r>
          </w:p>
        </w:tc>
        <w:tc>
          <w:tcPr>
            <w:tcW w:w="1577" w:type="dxa"/>
            <w:tcBorders>
              <w:top w:val="single" w:sz="4" w:space="0" w:color="A6A6A6" w:themeColor="background1" w:themeShade="A6"/>
            </w:tcBorders>
          </w:tcPr>
          <w:p w14:paraId="527DAD71" w14:textId="77777777" w:rsidR="00FE382E" w:rsidRPr="004D3D52" w:rsidRDefault="00FE382E" w:rsidP="001D0A8A">
            <w:pPr>
              <w:pStyle w:val="TableText"/>
              <w:spacing w:before="40"/>
              <w:jc w:val="right"/>
              <w:rPr>
                <w:szCs w:val="18"/>
              </w:rPr>
            </w:pPr>
            <w:r w:rsidRPr="004D3D52">
              <w:rPr>
                <w:w w:val="105"/>
                <w:szCs w:val="18"/>
              </w:rPr>
              <w:t>83%</w:t>
            </w:r>
          </w:p>
        </w:tc>
        <w:tc>
          <w:tcPr>
            <w:tcW w:w="1577" w:type="dxa"/>
            <w:gridSpan w:val="2"/>
            <w:tcBorders>
              <w:top w:val="single" w:sz="4" w:space="0" w:color="A6A6A6" w:themeColor="background1" w:themeShade="A6"/>
            </w:tcBorders>
          </w:tcPr>
          <w:p w14:paraId="3A73AC28" w14:textId="77777777" w:rsidR="00FE382E" w:rsidRPr="004D3D52" w:rsidRDefault="00FE382E" w:rsidP="001D0A8A">
            <w:pPr>
              <w:pStyle w:val="TableText"/>
              <w:spacing w:before="40"/>
              <w:jc w:val="right"/>
              <w:rPr>
                <w:szCs w:val="18"/>
              </w:rPr>
            </w:pPr>
            <w:r w:rsidRPr="004D3D52">
              <w:rPr>
                <w:w w:val="105"/>
                <w:szCs w:val="18"/>
              </w:rPr>
              <w:t>200,925</w:t>
            </w:r>
          </w:p>
        </w:tc>
        <w:tc>
          <w:tcPr>
            <w:tcW w:w="1577" w:type="dxa"/>
            <w:tcBorders>
              <w:top w:val="single" w:sz="4" w:space="0" w:color="A6A6A6" w:themeColor="background1" w:themeShade="A6"/>
            </w:tcBorders>
          </w:tcPr>
          <w:p w14:paraId="02A047C9" w14:textId="77777777" w:rsidR="00FE382E" w:rsidRPr="004D3D52" w:rsidRDefault="00FE382E" w:rsidP="001D0A8A">
            <w:pPr>
              <w:pStyle w:val="TableText"/>
              <w:spacing w:before="40"/>
              <w:jc w:val="right"/>
              <w:rPr>
                <w:szCs w:val="18"/>
              </w:rPr>
            </w:pPr>
            <w:r w:rsidRPr="004D3D52">
              <w:rPr>
                <w:szCs w:val="18"/>
              </w:rPr>
              <w:t>73%</w:t>
            </w:r>
          </w:p>
        </w:tc>
        <w:tc>
          <w:tcPr>
            <w:tcW w:w="1577" w:type="dxa"/>
            <w:tcBorders>
              <w:top w:val="single" w:sz="4" w:space="0" w:color="A6A6A6" w:themeColor="background1" w:themeShade="A6"/>
            </w:tcBorders>
          </w:tcPr>
          <w:p w14:paraId="59EEA7E9" w14:textId="77777777" w:rsidR="00FE382E" w:rsidRPr="004D3D52" w:rsidRDefault="00FE382E" w:rsidP="001D0A8A">
            <w:pPr>
              <w:pStyle w:val="TableText"/>
              <w:spacing w:before="40"/>
              <w:jc w:val="right"/>
              <w:rPr>
                <w:szCs w:val="18"/>
              </w:rPr>
            </w:pPr>
            <w:r w:rsidRPr="004D3D52">
              <w:rPr>
                <w:w w:val="165"/>
                <w:szCs w:val="18"/>
              </w:rPr>
              <w:t>-</w:t>
            </w:r>
          </w:p>
        </w:tc>
        <w:tc>
          <w:tcPr>
            <w:tcW w:w="1577" w:type="dxa"/>
            <w:gridSpan w:val="2"/>
            <w:tcBorders>
              <w:top w:val="single" w:sz="4" w:space="0" w:color="A6A6A6" w:themeColor="background1" w:themeShade="A6"/>
            </w:tcBorders>
          </w:tcPr>
          <w:p w14:paraId="33AC70D6" w14:textId="77777777" w:rsidR="00FE382E" w:rsidRPr="004D3D52" w:rsidRDefault="00FE382E" w:rsidP="001D0A8A">
            <w:pPr>
              <w:pStyle w:val="TableText"/>
              <w:spacing w:before="40"/>
              <w:jc w:val="right"/>
              <w:rPr>
                <w:szCs w:val="18"/>
              </w:rPr>
            </w:pPr>
            <w:r w:rsidRPr="004D3D52">
              <w:rPr>
                <w:w w:val="105"/>
                <w:szCs w:val="18"/>
              </w:rPr>
              <w:t>0%</w:t>
            </w:r>
          </w:p>
        </w:tc>
        <w:tc>
          <w:tcPr>
            <w:tcW w:w="1577" w:type="dxa"/>
            <w:tcBorders>
              <w:top w:val="single" w:sz="4" w:space="0" w:color="A6A6A6" w:themeColor="background1" w:themeShade="A6"/>
            </w:tcBorders>
          </w:tcPr>
          <w:p w14:paraId="79718E64" w14:textId="77777777" w:rsidR="00FE382E" w:rsidRPr="004D3D52" w:rsidRDefault="00FE382E" w:rsidP="001D0A8A">
            <w:pPr>
              <w:pStyle w:val="TableText"/>
              <w:spacing w:before="40"/>
              <w:jc w:val="right"/>
              <w:rPr>
                <w:szCs w:val="18"/>
              </w:rPr>
            </w:pPr>
            <w:r w:rsidRPr="004D3D52">
              <w:rPr>
                <w:w w:val="165"/>
                <w:szCs w:val="18"/>
              </w:rPr>
              <w:t>-</w:t>
            </w:r>
          </w:p>
        </w:tc>
        <w:tc>
          <w:tcPr>
            <w:tcW w:w="1577" w:type="dxa"/>
            <w:tcBorders>
              <w:top w:val="single" w:sz="4" w:space="0" w:color="A6A6A6" w:themeColor="background1" w:themeShade="A6"/>
            </w:tcBorders>
          </w:tcPr>
          <w:p w14:paraId="14708B91" w14:textId="77777777" w:rsidR="00FE382E" w:rsidRPr="004D3D52" w:rsidRDefault="00FE382E" w:rsidP="001D0A8A">
            <w:pPr>
              <w:pStyle w:val="TableText"/>
              <w:spacing w:before="40"/>
              <w:jc w:val="right"/>
              <w:rPr>
                <w:szCs w:val="18"/>
              </w:rPr>
            </w:pPr>
            <w:r w:rsidRPr="004D3D52">
              <w:rPr>
                <w:w w:val="165"/>
                <w:szCs w:val="18"/>
              </w:rPr>
              <w:t>-</w:t>
            </w:r>
          </w:p>
        </w:tc>
      </w:tr>
      <w:tr w:rsidR="00FE382E" w:rsidRPr="004D3D52" w14:paraId="70AF4903" w14:textId="77777777" w:rsidTr="001D0A8A">
        <w:trPr>
          <w:trHeight w:val="317"/>
        </w:trPr>
        <w:tc>
          <w:tcPr>
            <w:tcW w:w="1276" w:type="dxa"/>
          </w:tcPr>
          <w:p w14:paraId="6A4F4990" w14:textId="77777777" w:rsidR="00FE382E" w:rsidRPr="004D3D52" w:rsidRDefault="00FE382E" w:rsidP="001D0A8A">
            <w:pPr>
              <w:pStyle w:val="TableText"/>
              <w:spacing w:before="40"/>
              <w:rPr>
                <w:szCs w:val="18"/>
              </w:rPr>
            </w:pPr>
            <w:r w:rsidRPr="004D3D52">
              <w:rPr>
                <w:szCs w:val="18"/>
              </w:rPr>
              <w:t>16 to 19</w:t>
            </w:r>
          </w:p>
        </w:tc>
        <w:tc>
          <w:tcPr>
            <w:tcW w:w="1577" w:type="dxa"/>
          </w:tcPr>
          <w:p w14:paraId="7EC6092D" w14:textId="77777777" w:rsidR="00FE382E" w:rsidRPr="004D3D52" w:rsidRDefault="00FE382E" w:rsidP="001D0A8A">
            <w:pPr>
              <w:pStyle w:val="TableText"/>
              <w:spacing w:before="40"/>
              <w:jc w:val="right"/>
              <w:rPr>
                <w:szCs w:val="18"/>
              </w:rPr>
            </w:pPr>
            <w:r w:rsidRPr="004D3D52">
              <w:rPr>
                <w:szCs w:val="18"/>
              </w:rPr>
              <w:t>231,597</w:t>
            </w:r>
          </w:p>
        </w:tc>
        <w:tc>
          <w:tcPr>
            <w:tcW w:w="1577" w:type="dxa"/>
          </w:tcPr>
          <w:p w14:paraId="0E5B0AD2" w14:textId="77777777" w:rsidR="00FE382E" w:rsidRPr="004D3D52" w:rsidRDefault="00FE382E" w:rsidP="001D0A8A">
            <w:pPr>
              <w:pStyle w:val="TableText"/>
              <w:spacing w:before="40"/>
              <w:jc w:val="right"/>
              <w:rPr>
                <w:szCs w:val="18"/>
              </w:rPr>
            </w:pPr>
            <w:r w:rsidRPr="004D3D52">
              <w:rPr>
                <w:szCs w:val="18"/>
              </w:rPr>
              <w:t>91%</w:t>
            </w:r>
          </w:p>
        </w:tc>
        <w:tc>
          <w:tcPr>
            <w:tcW w:w="1577" w:type="dxa"/>
            <w:gridSpan w:val="2"/>
          </w:tcPr>
          <w:p w14:paraId="55BADD59" w14:textId="77777777" w:rsidR="00FE382E" w:rsidRPr="004D3D52" w:rsidRDefault="00FE382E" w:rsidP="001D0A8A">
            <w:pPr>
              <w:pStyle w:val="TableText"/>
              <w:spacing w:before="40"/>
              <w:jc w:val="right"/>
              <w:rPr>
                <w:szCs w:val="18"/>
              </w:rPr>
            </w:pPr>
            <w:r w:rsidRPr="004D3D52">
              <w:rPr>
                <w:w w:val="105"/>
                <w:szCs w:val="18"/>
              </w:rPr>
              <w:t>229,573</w:t>
            </w:r>
          </w:p>
        </w:tc>
        <w:tc>
          <w:tcPr>
            <w:tcW w:w="1577" w:type="dxa"/>
          </w:tcPr>
          <w:p w14:paraId="7CCA8EF9" w14:textId="77777777" w:rsidR="00FE382E" w:rsidRPr="004D3D52" w:rsidRDefault="00FE382E" w:rsidP="001D0A8A">
            <w:pPr>
              <w:pStyle w:val="TableText"/>
              <w:spacing w:before="40"/>
              <w:jc w:val="right"/>
              <w:rPr>
                <w:szCs w:val="18"/>
              </w:rPr>
            </w:pPr>
            <w:r w:rsidRPr="004D3D52">
              <w:rPr>
                <w:szCs w:val="18"/>
              </w:rPr>
              <w:t>91%</w:t>
            </w:r>
          </w:p>
        </w:tc>
        <w:tc>
          <w:tcPr>
            <w:tcW w:w="1577" w:type="dxa"/>
          </w:tcPr>
          <w:p w14:paraId="01DBD907" w14:textId="77777777" w:rsidR="00FE382E" w:rsidRPr="004D3D52" w:rsidRDefault="00FE382E" w:rsidP="001D0A8A">
            <w:pPr>
              <w:pStyle w:val="TableText"/>
              <w:spacing w:before="40"/>
              <w:jc w:val="right"/>
              <w:rPr>
                <w:szCs w:val="18"/>
              </w:rPr>
            </w:pPr>
            <w:r w:rsidRPr="004D3D52">
              <w:rPr>
                <w:szCs w:val="18"/>
              </w:rPr>
              <w:t>41,730</w:t>
            </w:r>
          </w:p>
        </w:tc>
        <w:tc>
          <w:tcPr>
            <w:tcW w:w="1577" w:type="dxa"/>
            <w:gridSpan w:val="2"/>
          </w:tcPr>
          <w:p w14:paraId="6A218AAD" w14:textId="77777777" w:rsidR="00FE382E" w:rsidRPr="004D3D52" w:rsidRDefault="00FE382E" w:rsidP="001D0A8A">
            <w:pPr>
              <w:pStyle w:val="TableText"/>
              <w:spacing w:before="40"/>
              <w:jc w:val="right"/>
              <w:rPr>
                <w:szCs w:val="18"/>
              </w:rPr>
            </w:pPr>
            <w:r w:rsidRPr="004D3D52">
              <w:rPr>
                <w:w w:val="105"/>
                <w:szCs w:val="18"/>
              </w:rPr>
              <w:t>42%</w:t>
            </w:r>
          </w:p>
        </w:tc>
        <w:tc>
          <w:tcPr>
            <w:tcW w:w="1577" w:type="dxa"/>
          </w:tcPr>
          <w:p w14:paraId="23D20457" w14:textId="77777777" w:rsidR="00FE382E" w:rsidRPr="004D3D52" w:rsidRDefault="00FE382E" w:rsidP="001D0A8A">
            <w:pPr>
              <w:pStyle w:val="TableText"/>
              <w:spacing w:before="40"/>
              <w:jc w:val="right"/>
              <w:rPr>
                <w:szCs w:val="18"/>
              </w:rPr>
            </w:pPr>
            <w:r w:rsidRPr="004D3D52">
              <w:rPr>
                <w:w w:val="165"/>
                <w:szCs w:val="18"/>
              </w:rPr>
              <w:t>-</w:t>
            </w:r>
          </w:p>
        </w:tc>
        <w:tc>
          <w:tcPr>
            <w:tcW w:w="1577" w:type="dxa"/>
          </w:tcPr>
          <w:p w14:paraId="4AFD40E4" w14:textId="77777777" w:rsidR="00FE382E" w:rsidRPr="004D3D52" w:rsidRDefault="00FE382E" w:rsidP="001D0A8A">
            <w:pPr>
              <w:pStyle w:val="TableText"/>
              <w:spacing w:before="40"/>
              <w:jc w:val="right"/>
              <w:rPr>
                <w:szCs w:val="18"/>
              </w:rPr>
            </w:pPr>
            <w:r w:rsidRPr="004D3D52">
              <w:rPr>
                <w:w w:val="165"/>
                <w:szCs w:val="18"/>
              </w:rPr>
              <w:t>-</w:t>
            </w:r>
          </w:p>
        </w:tc>
      </w:tr>
      <w:tr w:rsidR="00FE382E" w:rsidRPr="004D3D52" w14:paraId="56DEF054" w14:textId="77777777" w:rsidTr="001D0A8A">
        <w:trPr>
          <w:trHeight w:val="317"/>
        </w:trPr>
        <w:tc>
          <w:tcPr>
            <w:tcW w:w="1276" w:type="dxa"/>
          </w:tcPr>
          <w:p w14:paraId="0F90DE4C" w14:textId="77777777" w:rsidR="00FE382E" w:rsidRPr="004D3D52" w:rsidRDefault="00FE382E" w:rsidP="001D0A8A">
            <w:pPr>
              <w:pStyle w:val="TableText"/>
              <w:spacing w:before="40"/>
              <w:rPr>
                <w:szCs w:val="18"/>
              </w:rPr>
            </w:pPr>
            <w:r w:rsidRPr="004D3D52">
              <w:rPr>
                <w:szCs w:val="18"/>
              </w:rPr>
              <w:t>20 to 24</w:t>
            </w:r>
          </w:p>
        </w:tc>
        <w:tc>
          <w:tcPr>
            <w:tcW w:w="1577" w:type="dxa"/>
          </w:tcPr>
          <w:p w14:paraId="43ACB3CB" w14:textId="77777777" w:rsidR="00FE382E" w:rsidRPr="004D3D52" w:rsidRDefault="00FE382E" w:rsidP="001D0A8A">
            <w:pPr>
              <w:pStyle w:val="TableText"/>
              <w:spacing w:before="40"/>
              <w:jc w:val="right"/>
              <w:rPr>
                <w:szCs w:val="18"/>
              </w:rPr>
            </w:pPr>
            <w:r w:rsidRPr="004D3D52">
              <w:rPr>
                <w:szCs w:val="18"/>
              </w:rPr>
              <w:t>275,184</w:t>
            </w:r>
          </w:p>
        </w:tc>
        <w:tc>
          <w:tcPr>
            <w:tcW w:w="1577" w:type="dxa"/>
          </w:tcPr>
          <w:p w14:paraId="537A56B3" w14:textId="77777777" w:rsidR="00FE382E" w:rsidRPr="004D3D52" w:rsidRDefault="00FE382E" w:rsidP="001D0A8A">
            <w:pPr>
              <w:pStyle w:val="TableText"/>
              <w:spacing w:before="40"/>
              <w:jc w:val="right"/>
              <w:rPr>
                <w:szCs w:val="18"/>
              </w:rPr>
            </w:pPr>
            <w:r w:rsidRPr="004D3D52">
              <w:rPr>
                <w:w w:val="105"/>
                <w:szCs w:val="18"/>
              </w:rPr>
              <w:t>82%</w:t>
            </w:r>
          </w:p>
        </w:tc>
        <w:tc>
          <w:tcPr>
            <w:tcW w:w="1577" w:type="dxa"/>
            <w:gridSpan w:val="2"/>
          </w:tcPr>
          <w:p w14:paraId="175CF6B5" w14:textId="77777777" w:rsidR="00FE382E" w:rsidRPr="004D3D52" w:rsidRDefault="00FE382E" w:rsidP="001D0A8A">
            <w:pPr>
              <w:pStyle w:val="TableText"/>
              <w:spacing w:before="40"/>
              <w:jc w:val="right"/>
              <w:rPr>
                <w:szCs w:val="18"/>
              </w:rPr>
            </w:pPr>
            <w:r w:rsidRPr="004D3D52">
              <w:rPr>
                <w:szCs w:val="18"/>
              </w:rPr>
              <w:t>277,833</w:t>
            </w:r>
          </w:p>
        </w:tc>
        <w:tc>
          <w:tcPr>
            <w:tcW w:w="1577" w:type="dxa"/>
          </w:tcPr>
          <w:p w14:paraId="647143E3" w14:textId="77777777" w:rsidR="00FE382E" w:rsidRPr="004D3D52" w:rsidRDefault="00FE382E" w:rsidP="001D0A8A">
            <w:pPr>
              <w:pStyle w:val="TableText"/>
              <w:spacing w:before="40"/>
              <w:jc w:val="right"/>
              <w:rPr>
                <w:szCs w:val="18"/>
              </w:rPr>
            </w:pPr>
            <w:r w:rsidRPr="004D3D52">
              <w:rPr>
                <w:w w:val="105"/>
                <w:szCs w:val="18"/>
              </w:rPr>
              <w:t>83%</w:t>
            </w:r>
          </w:p>
        </w:tc>
        <w:tc>
          <w:tcPr>
            <w:tcW w:w="1577" w:type="dxa"/>
          </w:tcPr>
          <w:p w14:paraId="684635E7" w14:textId="77777777" w:rsidR="00FE382E" w:rsidRPr="004D3D52" w:rsidRDefault="00FE382E" w:rsidP="001D0A8A">
            <w:pPr>
              <w:pStyle w:val="TableText"/>
              <w:spacing w:before="40"/>
              <w:jc w:val="right"/>
              <w:rPr>
                <w:szCs w:val="18"/>
              </w:rPr>
            </w:pPr>
            <w:r w:rsidRPr="004D3D52">
              <w:rPr>
                <w:szCs w:val="18"/>
              </w:rPr>
              <w:t>150,970</w:t>
            </w:r>
          </w:p>
        </w:tc>
        <w:tc>
          <w:tcPr>
            <w:tcW w:w="1577" w:type="dxa"/>
            <w:gridSpan w:val="2"/>
          </w:tcPr>
          <w:p w14:paraId="688EC1F9" w14:textId="77777777" w:rsidR="00FE382E" w:rsidRPr="004D3D52" w:rsidRDefault="00FE382E" w:rsidP="001D0A8A">
            <w:pPr>
              <w:pStyle w:val="TableText"/>
              <w:spacing w:before="40"/>
              <w:jc w:val="right"/>
              <w:rPr>
                <w:szCs w:val="18"/>
              </w:rPr>
            </w:pPr>
            <w:r w:rsidRPr="004D3D52">
              <w:rPr>
                <w:szCs w:val="18"/>
              </w:rPr>
              <w:t>51%</w:t>
            </w:r>
          </w:p>
        </w:tc>
        <w:tc>
          <w:tcPr>
            <w:tcW w:w="1577" w:type="dxa"/>
          </w:tcPr>
          <w:p w14:paraId="47B44C3E" w14:textId="77777777" w:rsidR="00FE382E" w:rsidRPr="004D3D52" w:rsidRDefault="00FE382E" w:rsidP="001D0A8A">
            <w:pPr>
              <w:pStyle w:val="TableText"/>
              <w:spacing w:before="40"/>
              <w:jc w:val="right"/>
              <w:rPr>
                <w:szCs w:val="18"/>
              </w:rPr>
            </w:pPr>
            <w:r w:rsidRPr="004D3D52">
              <w:rPr>
                <w:w w:val="165"/>
                <w:szCs w:val="18"/>
              </w:rPr>
              <w:t>-</w:t>
            </w:r>
          </w:p>
        </w:tc>
        <w:tc>
          <w:tcPr>
            <w:tcW w:w="1577" w:type="dxa"/>
          </w:tcPr>
          <w:p w14:paraId="6ADDB7BE" w14:textId="77777777" w:rsidR="00FE382E" w:rsidRPr="004D3D52" w:rsidRDefault="00FE382E" w:rsidP="001D0A8A">
            <w:pPr>
              <w:pStyle w:val="TableText"/>
              <w:spacing w:before="40"/>
              <w:jc w:val="right"/>
              <w:rPr>
                <w:szCs w:val="18"/>
              </w:rPr>
            </w:pPr>
            <w:r w:rsidRPr="004D3D52">
              <w:rPr>
                <w:w w:val="165"/>
                <w:szCs w:val="18"/>
              </w:rPr>
              <w:t>-</w:t>
            </w:r>
          </w:p>
        </w:tc>
      </w:tr>
      <w:tr w:rsidR="00FE382E" w:rsidRPr="004D3D52" w14:paraId="4C671426" w14:textId="77777777" w:rsidTr="001D0A8A">
        <w:trPr>
          <w:trHeight w:val="317"/>
        </w:trPr>
        <w:tc>
          <w:tcPr>
            <w:tcW w:w="1276" w:type="dxa"/>
          </w:tcPr>
          <w:p w14:paraId="41B6AD8B" w14:textId="77777777" w:rsidR="00FE382E" w:rsidRPr="004D3D52" w:rsidRDefault="00FE382E" w:rsidP="001D0A8A">
            <w:pPr>
              <w:pStyle w:val="TableText"/>
              <w:spacing w:before="40"/>
              <w:rPr>
                <w:szCs w:val="18"/>
              </w:rPr>
            </w:pPr>
            <w:r w:rsidRPr="004D3D52">
              <w:rPr>
                <w:w w:val="105"/>
                <w:szCs w:val="18"/>
              </w:rPr>
              <w:t>25</w:t>
            </w:r>
            <w:r w:rsidRPr="004D3D52">
              <w:rPr>
                <w:spacing w:val="-3"/>
                <w:w w:val="105"/>
                <w:szCs w:val="18"/>
              </w:rPr>
              <w:t xml:space="preserve"> </w:t>
            </w:r>
            <w:r w:rsidRPr="004D3D52">
              <w:rPr>
                <w:w w:val="105"/>
                <w:szCs w:val="18"/>
              </w:rPr>
              <w:t>to</w:t>
            </w:r>
            <w:r w:rsidRPr="004D3D52">
              <w:rPr>
                <w:spacing w:val="-2"/>
                <w:w w:val="105"/>
                <w:szCs w:val="18"/>
              </w:rPr>
              <w:t xml:space="preserve"> </w:t>
            </w:r>
            <w:r w:rsidRPr="004D3D52">
              <w:rPr>
                <w:w w:val="105"/>
                <w:szCs w:val="18"/>
              </w:rPr>
              <w:t>29</w:t>
            </w:r>
          </w:p>
        </w:tc>
        <w:tc>
          <w:tcPr>
            <w:tcW w:w="1577" w:type="dxa"/>
          </w:tcPr>
          <w:p w14:paraId="182C7DF9" w14:textId="77777777" w:rsidR="00FE382E" w:rsidRPr="004D3D52" w:rsidRDefault="00FE382E" w:rsidP="001D0A8A">
            <w:pPr>
              <w:pStyle w:val="TableText"/>
              <w:spacing w:before="40"/>
              <w:jc w:val="right"/>
              <w:rPr>
                <w:szCs w:val="18"/>
              </w:rPr>
            </w:pPr>
            <w:r w:rsidRPr="004D3D52">
              <w:rPr>
                <w:szCs w:val="18"/>
              </w:rPr>
              <w:t>290,716</w:t>
            </w:r>
          </w:p>
        </w:tc>
        <w:tc>
          <w:tcPr>
            <w:tcW w:w="1577" w:type="dxa"/>
          </w:tcPr>
          <w:p w14:paraId="7DE97014" w14:textId="77777777" w:rsidR="00FE382E" w:rsidRPr="004D3D52" w:rsidRDefault="00FE382E" w:rsidP="001D0A8A">
            <w:pPr>
              <w:pStyle w:val="TableText"/>
              <w:spacing w:before="40"/>
              <w:jc w:val="right"/>
              <w:rPr>
                <w:szCs w:val="18"/>
              </w:rPr>
            </w:pPr>
            <w:r w:rsidRPr="004D3D52">
              <w:rPr>
                <w:w w:val="105"/>
                <w:szCs w:val="18"/>
              </w:rPr>
              <w:t>76%</w:t>
            </w:r>
          </w:p>
        </w:tc>
        <w:tc>
          <w:tcPr>
            <w:tcW w:w="1577" w:type="dxa"/>
            <w:gridSpan w:val="2"/>
          </w:tcPr>
          <w:p w14:paraId="7F7D9910" w14:textId="77777777" w:rsidR="00FE382E" w:rsidRPr="004D3D52" w:rsidRDefault="00FE382E" w:rsidP="001D0A8A">
            <w:pPr>
              <w:pStyle w:val="TableText"/>
              <w:spacing w:before="40"/>
              <w:jc w:val="right"/>
              <w:rPr>
                <w:szCs w:val="18"/>
              </w:rPr>
            </w:pPr>
            <w:r w:rsidRPr="004D3D52">
              <w:rPr>
                <w:szCs w:val="18"/>
              </w:rPr>
              <w:t>295,341</w:t>
            </w:r>
          </w:p>
        </w:tc>
        <w:tc>
          <w:tcPr>
            <w:tcW w:w="1577" w:type="dxa"/>
          </w:tcPr>
          <w:p w14:paraId="1065E6F0" w14:textId="77777777" w:rsidR="00FE382E" w:rsidRPr="004D3D52" w:rsidRDefault="00FE382E" w:rsidP="001D0A8A">
            <w:pPr>
              <w:pStyle w:val="TableText"/>
              <w:spacing w:before="40"/>
              <w:jc w:val="right"/>
              <w:rPr>
                <w:szCs w:val="18"/>
              </w:rPr>
            </w:pPr>
            <w:r w:rsidRPr="004D3D52">
              <w:rPr>
                <w:szCs w:val="18"/>
              </w:rPr>
              <w:t>77%</w:t>
            </w:r>
          </w:p>
        </w:tc>
        <w:tc>
          <w:tcPr>
            <w:tcW w:w="1577" w:type="dxa"/>
          </w:tcPr>
          <w:p w14:paraId="30593CDC" w14:textId="77777777" w:rsidR="00FE382E" w:rsidRPr="004D3D52" w:rsidRDefault="00FE382E" w:rsidP="001D0A8A">
            <w:pPr>
              <w:pStyle w:val="TableText"/>
              <w:spacing w:before="40"/>
              <w:jc w:val="right"/>
              <w:rPr>
                <w:szCs w:val="18"/>
              </w:rPr>
            </w:pPr>
            <w:r w:rsidRPr="004D3D52">
              <w:rPr>
                <w:szCs w:val="18"/>
              </w:rPr>
              <w:t>173,703</w:t>
            </w:r>
          </w:p>
        </w:tc>
        <w:tc>
          <w:tcPr>
            <w:tcW w:w="1577" w:type="dxa"/>
            <w:gridSpan w:val="2"/>
          </w:tcPr>
          <w:p w14:paraId="6A809C2F" w14:textId="77777777" w:rsidR="00FE382E" w:rsidRPr="004D3D52" w:rsidRDefault="00FE382E" w:rsidP="001D0A8A">
            <w:pPr>
              <w:pStyle w:val="TableText"/>
              <w:spacing w:before="40"/>
              <w:jc w:val="right"/>
              <w:rPr>
                <w:szCs w:val="18"/>
              </w:rPr>
            </w:pPr>
            <w:r w:rsidRPr="004D3D52">
              <w:rPr>
                <w:w w:val="105"/>
                <w:szCs w:val="18"/>
              </w:rPr>
              <w:t>54%</w:t>
            </w:r>
          </w:p>
        </w:tc>
        <w:tc>
          <w:tcPr>
            <w:tcW w:w="1577" w:type="dxa"/>
          </w:tcPr>
          <w:p w14:paraId="62F4B63A" w14:textId="77777777" w:rsidR="00FE382E" w:rsidRPr="004D3D52" w:rsidRDefault="00FE382E" w:rsidP="001D0A8A">
            <w:pPr>
              <w:pStyle w:val="TableText"/>
              <w:spacing w:before="40"/>
              <w:jc w:val="right"/>
              <w:rPr>
                <w:szCs w:val="18"/>
              </w:rPr>
            </w:pPr>
            <w:r w:rsidRPr="004D3D52">
              <w:rPr>
                <w:w w:val="165"/>
                <w:szCs w:val="18"/>
              </w:rPr>
              <w:t>-</w:t>
            </w:r>
          </w:p>
        </w:tc>
        <w:tc>
          <w:tcPr>
            <w:tcW w:w="1577" w:type="dxa"/>
          </w:tcPr>
          <w:p w14:paraId="60FFB246" w14:textId="77777777" w:rsidR="00FE382E" w:rsidRPr="004D3D52" w:rsidRDefault="00FE382E" w:rsidP="001D0A8A">
            <w:pPr>
              <w:pStyle w:val="TableText"/>
              <w:spacing w:before="40"/>
              <w:jc w:val="right"/>
              <w:rPr>
                <w:szCs w:val="18"/>
              </w:rPr>
            </w:pPr>
            <w:r w:rsidRPr="004D3D52">
              <w:rPr>
                <w:w w:val="165"/>
                <w:szCs w:val="18"/>
              </w:rPr>
              <w:t>-</w:t>
            </w:r>
          </w:p>
        </w:tc>
      </w:tr>
      <w:tr w:rsidR="00FE382E" w:rsidRPr="004D3D52" w14:paraId="239DCC8F" w14:textId="77777777" w:rsidTr="001D0A8A">
        <w:trPr>
          <w:trHeight w:val="317"/>
        </w:trPr>
        <w:tc>
          <w:tcPr>
            <w:tcW w:w="1276" w:type="dxa"/>
          </w:tcPr>
          <w:p w14:paraId="297CE526" w14:textId="77777777" w:rsidR="00FE382E" w:rsidRPr="004D3D52" w:rsidRDefault="00FE382E" w:rsidP="001D0A8A">
            <w:pPr>
              <w:pStyle w:val="TableText"/>
              <w:spacing w:before="40"/>
              <w:rPr>
                <w:szCs w:val="18"/>
              </w:rPr>
            </w:pPr>
            <w:r w:rsidRPr="004D3D52">
              <w:rPr>
                <w:w w:val="110"/>
                <w:szCs w:val="18"/>
              </w:rPr>
              <w:t>30</w:t>
            </w:r>
            <w:r w:rsidRPr="004D3D52">
              <w:rPr>
                <w:spacing w:val="-11"/>
                <w:w w:val="110"/>
                <w:szCs w:val="18"/>
              </w:rPr>
              <w:t xml:space="preserve"> </w:t>
            </w:r>
            <w:r w:rsidRPr="004D3D52">
              <w:rPr>
                <w:w w:val="110"/>
                <w:szCs w:val="18"/>
              </w:rPr>
              <w:t>to</w:t>
            </w:r>
            <w:r w:rsidRPr="004D3D52">
              <w:rPr>
                <w:spacing w:val="-11"/>
                <w:w w:val="110"/>
                <w:szCs w:val="18"/>
              </w:rPr>
              <w:t xml:space="preserve"> </w:t>
            </w:r>
            <w:r w:rsidRPr="004D3D52">
              <w:rPr>
                <w:w w:val="110"/>
                <w:szCs w:val="18"/>
              </w:rPr>
              <w:t>34</w:t>
            </w:r>
          </w:p>
        </w:tc>
        <w:tc>
          <w:tcPr>
            <w:tcW w:w="1577" w:type="dxa"/>
          </w:tcPr>
          <w:p w14:paraId="376FB97F" w14:textId="77777777" w:rsidR="00FE382E" w:rsidRPr="004D3D52" w:rsidRDefault="00FE382E" w:rsidP="001D0A8A">
            <w:pPr>
              <w:pStyle w:val="TableText"/>
              <w:spacing w:before="40"/>
              <w:jc w:val="right"/>
              <w:rPr>
                <w:szCs w:val="18"/>
              </w:rPr>
            </w:pPr>
            <w:r w:rsidRPr="004D3D52">
              <w:rPr>
                <w:szCs w:val="18"/>
              </w:rPr>
              <w:t>314,961</w:t>
            </w:r>
          </w:p>
        </w:tc>
        <w:tc>
          <w:tcPr>
            <w:tcW w:w="1577" w:type="dxa"/>
          </w:tcPr>
          <w:p w14:paraId="542C1D0B" w14:textId="77777777" w:rsidR="00FE382E" w:rsidRPr="004D3D52" w:rsidRDefault="00FE382E" w:rsidP="001D0A8A">
            <w:pPr>
              <w:pStyle w:val="TableText"/>
              <w:spacing w:before="40"/>
              <w:jc w:val="right"/>
              <w:rPr>
                <w:szCs w:val="18"/>
              </w:rPr>
            </w:pPr>
            <w:r w:rsidRPr="004D3D52">
              <w:rPr>
                <w:w w:val="105"/>
                <w:szCs w:val="18"/>
              </w:rPr>
              <w:t>78%</w:t>
            </w:r>
          </w:p>
        </w:tc>
        <w:tc>
          <w:tcPr>
            <w:tcW w:w="1577" w:type="dxa"/>
            <w:gridSpan w:val="2"/>
          </w:tcPr>
          <w:p w14:paraId="3B631C04" w14:textId="77777777" w:rsidR="00FE382E" w:rsidRPr="004D3D52" w:rsidRDefault="00FE382E" w:rsidP="001D0A8A">
            <w:pPr>
              <w:pStyle w:val="TableText"/>
              <w:spacing w:before="40"/>
              <w:jc w:val="right"/>
              <w:rPr>
                <w:szCs w:val="18"/>
              </w:rPr>
            </w:pPr>
            <w:r w:rsidRPr="004D3D52">
              <w:rPr>
                <w:szCs w:val="18"/>
              </w:rPr>
              <w:t>322,146</w:t>
            </w:r>
          </w:p>
        </w:tc>
        <w:tc>
          <w:tcPr>
            <w:tcW w:w="1577" w:type="dxa"/>
          </w:tcPr>
          <w:p w14:paraId="6436AA4E" w14:textId="77777777" w:rsidR="00FE382E" w:rsidRPr="004D3D52" w:rsidRDefault="00FE382E" w:rsidP="001D0A8A">
            <w:pPr>
              <w:pStyle w:val="TableText"/>
              <w:spacing w:before="40"/>
              <w:jc w:val="right"/>
              <w:rPr>
                <w:szCs w:val="18"/>
              </w:rPr>
            </w:pPr>
            <w:r w:rsidRPr="004D3D52">
              <w:rPr>
                <w:w w:val="105"/>
                <w:szCs w:val="18"/>
              </w:rPr>
              <w:t>80%</w:t>
            </w:r>
          </w:p>
        </w:tc>
        <w:tc>
          <w:tcPr>
            <w:tcW w:w="1577" w:type="dxa"/>
          </w:tcPr>
          <w:p w14:paraId="20305EE9" w14:textId="77777777" w:rsidR="00FE382E" w:rsidRPr="004D3D52" w:rsidRDefault="00FE382E" w:rsidP="001D0A8A">
            <w:pPr>
              <w:pStyle w:val="TableText"/>
              <w:spacing w:before="40"/>
              <w:jc w:val="right"/>
              <w:rPr>
                <w:szCs w:val="18"/>
              </w:rPr>
            </w:pPr>
            <w:r w:rsidRPr="004D3D52">
              <w:rPr>
                <w:w w:val="105"/>
                <w:szCs w:val="18"/>
              </w:rPr>
              <w:t>205,206</w:t>
            </w:r>
          </w:p>
        </w:tc>
        <w:tc>
          <w:tcPr>
            <w:tcW w:w="1577" w:type="dxa"/>
            <w:gridSpan w:val="2"/>
          </w:tcPr>
          <w:p w14:paraId="7AB5CBAF" w14:textId="77777777" w:rsidR="00FE382E" w:rsidRPr="004D3D52" w:rsidRDefault="00FE382E" w:rsidP="001D0A8A">
            <w:pPr>
              <w:pStyle w:val="TableText"/>
              <w:spacing w:before="40"/>
              <w:jc w:val="right"/>
              <w:rPr>
                <w:szCs w:val="18"/>
              </w:rPr>
            </w:pPr>
            <w:r w:rsidRPr="004D3D52">
              <w:rPr>
                <w:w w:val="105"/>
                <w:szCs w:val="18"/>
              </w:rPr>
              <w:t>58%</w:t>
            </w:r>
          </w:p>
        </w:tc>
        <w:tc>
          <w:tcPr>
            <w:tcW w:w="1577" w:type="dxa"/>
          </w:tcPr>
          <w:p w14:paraId="2B53FDE0" w14:textId="77777777" w:rsidR="00FE382E" w:rsidRPr="004D3D52" w:rsidRDefault="00FE382E" w:rsidP="001D0A8A">
            <w:pPr>
              <w:pStyle w:val="TableText"/>
              <w:spacing w:before="40"/>
              <w:jc w:val="right"/>
              <w:rPr>
                <w:szCs w:val="18"/>
              </w:rPr>
            </w:pPr>
            <w:r w:rsidRPr="004D3D52">
              <w:rPr>
                <w:w w:val="165"/>
                <w:szCs w:val="18"/>
              </w:rPr>
              <w:t>-</w:t>
            </w:r>
          </w:p>
        </w:tc>
        <w:tc>
          <w:tcPr>
            <w:tcW w:w="1577" w:type="dxa"/>
          </w:tcPr>
          <w:p w14:paraId="503F333F" w14:textId="77777777" w:rsidR="00FE382E" w:rsidRPr="004D3D52" w:rsidRDefault="00FE382E" w:rsidP="001D0A8A">
            <w:pPr>
              <w:pStyle w:val="TableText"/>
              <w:spacing w:before="40"/>
              <w:jc w:val="right"/>
              <w:rPr>
                <w:szCs w:val="18"/>
              </w:rPr>
            </w:pPr>
            <w:r w:rsidRPr="004D3D52">
              <w:rPr>
                <w:w w:val="165"/>
                <w:szCs w:val="18"/>
              </w:rPr>
              <w:t>-</w:t>
            </w:r>
          </w:p>
        </w:tc>
      </w:tr>
      <w:tr w:rsidR="00FE382E" w:rsidRPr="004D3D52" w14:paraId="3BF80846" w14:textId="77777777" w:rsidTr="001D0A8A">
        <w:trPr>
          <w:trHeight w:val="317"/>
        </w:trPr>
        <w:tc>
          <w:tcPr>
            <w:tcW w:w="1276" w:type="dxa"/>
          </w:tcPr>
          <w:p w14:paraId="77BD472A" w14:textId="77777777" w:rsidR="00FE382E" w:rsidRPr="004D3D52" w:rsidRDefault="00FE382E" w:rsidP="001D0A8A">
            <w:pPr>
              <w:pStyle w:val="TableText"/>
              <w:spacing w:before="40"/>
              <w:rPr>
                <w:szCs w:val="18"/>
              </w:rPr>
            </w:pPr>
            <w:r w:rsidRPr="004D3D52">
              <w:rPr>
                <w:w w:val="110"/>
                <w:szCs w:val="18"/>
              </w:rPr>
              <w:t>35</w:t>
            </w:r>
            <w:r w:rsidRPr="004D3D52">
              <w:rPr>
                <w:spacing w:val="-11"/>
                <w:w w:val="110"/>
                <w:szCs w:val="18"/>
              </w:rPr>
              <w:t xml:space="preserve"> </w:t>
            </w:r>
            <w:r w:rsidRPr="004D3D52">
              <w:rPr>
                <w:w w:val="110"/>
                <w:szCs w:val="18"/>
              </w:rPr>
              <w:t>to</w:t>
            </w:r>
            <w:r w:rsidRPr="004D3D52">
              <w:rPr>
                <w:spacing w:val="-11"/>
                <w:w w:val="110"/>
                <w:szCs w:val="18"/>
              </w:rPr>
              <w:t xml:space="preserve"> </w:t>
            </w:r>
            <w:r w:rsidRPr="004D3D52">
              <w:rPr>
                <w:w w:val="110"/>
                <w:szCs w:val="18"/>
              </w:rPr>
              <w:t>39</w:t>
            </w:r>
          </w:p>
        </w:tc>
        <w:tc>
          <w:tcPr>
            <w:tcW w:w="1577" w:type="dxa"/>
          </w:tcPr>
          <w:p w14:paraId="335FFF75" w14:textId="77777777" w:rsidR="00FE382E" w:rsidRPr="004D3D52" w:rsidRDefault="00FE382E" w:rsidP="001D0A8A">
            <w:pPr>
              <w:pStyle w:val="TableText"/>
              <w:spacing w:before="40"/>
              <w:jc w:val="right"/>
              <w:rPr>
                <w:szCs w:val="18"/>
              </w:rPr>
            </w:pPr>
            <w:r w:rsidRPr="004D3D52">
              <w:rPr>
                <w:w w:val="105"/>
                <w:szCs w:val="18"/>
              </w:rPr>
              <w:t>285,232</w:t>
            </w:r>
          </w:p>
        </w:tc>
        <w:tc>
          <w:tcPr>
            <w:tcW w:w="1577" w:type="dxa"/>
          </w:tcPr>
          <w:p w14:paraId="04D8063F" w14:textId="77777777" w:rsidR="00FE382E" w:rsidRPr="004D3D52" w:rsidRDefault="00FE382E" w:rsidP="001D0A8A">
            <w:pPr>
              <w:pStyle w:val="TableText"/>
              <w:spacing w:before="40"/>
              <w:jc w:val="right"/>
              <w:rPr>
                <w:szCs w:val="18"/>
              </w:rPr>
            </w:pPr>
            <w:r w:rsidRPr="004D3D52">
              <w:rPr>
                <w:w w:val="105"/>
                <w:szCs w:val="18"/>
              </w:rPr>
              <w:t>79%</w:t>
            </w:r>
          </w:p>
        </w:tc>
        <w:tc>
          <w:tcPr>
            <w:tcW w:w="1577" w:type="dxa"/>
            <w:gridSpan w:val="2"/>
          </w:tcPr>
          <w:p w14:paraId="6E745116" w14:textId="77777777" w:rsidR="00FE382E" w:rsidRPr="004D3D52" w:rsidRDefault="00FE382E" w:rsidP="001D0A8A">
            <w:pPr>
              <w:pStyle w:val="TableText"/>
              <w:spacing w:before="40"/>
              <w:jc w:val="right"/>
              <w:rPr>
                <w:szCs w:val="18"/>
              </w:rPr>
            </w:pPr>
            <w:r w:rsidRPr="004D3D52">
              <w:rPr>
                <w:szCs w:val="18"/>
              </w:rPr>
              <w:t>291,982</w:t>
            </w:r>
          </w:p>
        </w:tc>
        <w:tc>
          <w:tcPr>
            <w:tcW w:w="1577" w:type="dxa"/>
          </w:tcPr>
          <w:p w14:paraId="7F57ADA7" w14:textId="77777777" w:rsidR="00FE382E" w:rsidRPr="004D3D52" w:rsidRDefault="00FE382E" w:rsidP="001D0A8A">
            <w:pPr>
              <w:pStyle w:val="TableText"/>
              <w:spacing w:before="40"/>
              <w:jc w:val="right"/>
              <w:rPr>
                <w:szCs w:val="18"/>
              </w:rPr>
            </w:pPr>
            <w:r w:rsidRPr="004D3D52">
              <w:rPr>
                <w:szCs w:val="18"/>
              </w:rPr>
              <w:t>81%</w:t>
            </w:r>
          </w:p>
        </w:tc>
        <w:tc>
          <w:tcPr>
            <w:tcW w:w="1577" w:type="dxa"/>
          </w:tcPr>
          <w:p w14:paraId="61ADD8D3" w14:textId="77777777" w:rsidR="00FE382E" w:rsidRPr="004D3D52" w:rsidRDefault="00FE382E" w:rsidP="001D0A8A">
            <w:pPr>
              <w:pStyle w:val="TableText"/>
              <w:spacing w:before="40"/>
              <w:jc w:val="right"/>
              <w:rPr>
                <w:szCs w:val="18"/>
              </w:rPr>
            </w:pPr>
            <w:r w:rsidRPr="004D3D52">
              <w:rPr>
                <w:w w:val="105"/>
                <w:szCs w:val="18"/>
              </w:rPr>
              <w:t>205,975</w:t>
            </w:r>
          </w:p>
        </w:tc>
        <w:tc>
          <w:tcPr>
            <w:tcW w:w="1577" w:type="dxa"/>
            <w:gridSpan w:val="2"/>
          </w:tcPr>
          <w:p w14:paraId="65640BEA" w14:textId="77777777" w:rsidR="00FE382E" w:rsidRPr="004D3D52" w:rsidRDefault="00FE382E" w:rsidP="001D0A8A">
            <w:pPr>
              <w:pStyle w:val="TableText"/>
              <w:spacing w:before="40"/>
              <w:jc w:val="right"/>
              <w:rPr>
                <w:szCs w:val="18"/>
              </w:rPr>
            </w:pPr>
            <w:r w:rsidRPr="004D3D52">
              <w:rPr>
                <w:w w:val="105"/>
                <w:szCs w:val="18"/>
              </w:rPr>
              <w:t>64%</w:t>
            </w:r>
          </w:p>
        </w:tc>
        <w:tc>
          <w:tcPr>
            <w:tcW w:w="1577" w:type="dxa"/>
          </w:tcPr>
          <w:p w14:paraId="4A29F41D" w14:textId="77777777" w:rsidR="00FE382E" w:rsidRPr="004D3D52" w:rsidRDefault="00FE382E" w:rsidP="001D0A8A">
            <w:pPr>
              <w:pStyle w:val="TableText"/>
              <w:spacing w:before="40"/>
              <w:jc w:val="right"/>
              <w:rPr>
                <w:szCs w:val="18"/>
              </w:rPr>
            </w:pPr>
            <w:r w:rsidRPr="004D3D52">
              <w:rPr>
                <w:w w:val="165"/>
                <w:szCs w:val="18"/>
              </w:rPr>
              <w:t>-</w:t>
            </w:r>
          </w:p>
        </w:tc>
        <w:tc>
          <w:tcPr>
            <w:tcW w:w="1577" w:type="dxa"/>
          </w:tcPr>
          <w:p w14:paraId="4686C9C9" w14:textId="77777777" w:rsidR="00FE382E" w:rsidRPr="004D3D52" w:rsidRDefault="00FE382E" w:rsidP="001D0A8A">
            <w:pPr>
              <w:pStyle w:val="TableText"/>
              <w:spacing w:before="40"/>
              <w:jc w:val="right"/>
              <w:rPr>
                <w:szCs w:val="18"/>
              </w:rPr>
            </w:pPr>
            <w:r w:rsidRPr="004D3D52">
              <w:rPr>
                <w:w w:val="165"/>
                <w:szCs w:val="18"/>
              </w:rPr>
              <w:t>-</w:t>
            </w:r>
          </w:p>
        </w:tc>
      </w:tr>
      <w:tr w:rsidR="00FE382E" w:rsidRPr="004D3D52" w14:paraId="22D391EE" w14:textId="77777777" w:rsidTr="001D0A8A">
        <w:trPr>
          <w:trHeight w:val="317"/>
        </w:trPr>
        <w:tc>
          <w:tcPr>
            <w:tcW w:w="1276" w:type="dxa"/>
          </w:tcPr>
          <w:p w14:paraId="3562409E" w14:textId="77777777" w:rsidR="00FE382E" w:rsidRPr="004D3D52" w:rsidRDefault="00FE382E" w:rsidP="001D0A8A">
            <w:pPr>
              <w:pStyle w:val="TableText"/>
              <w:spacing w:before="40"/>
              <w:rPr>
                <w:szCs w:val="18"/>
              </w:rPr>
            </w:pPr>
            <w:r w:rsidRPr="004D3D52">
              <w:rPr>
                <w:w w:val="110"/>
                <w:szCs w:val="18"/>
              </w:rPr>
              <w:t>40</w:t>
            </w:r>
            <w:r w:rsidRPr="004D3D52">
              <w:rPr>
                <w:spacing w:val="-8"/>
                <w:w w:val="110"/>
                <w:szCs w:val="18"/>
              </w:rPr>
              <w:t xml:space="preserve"> </w:t>
            </w:r>
            <w:r w:rsidRPr="004D3D52">
              <w:rPr>
                <w:w w:val="110"/>
                <w:szCs w:val="18"/>
              </w:rPr>
              <w:t>to</w:t>
            </w:r>
            <w:r w:rsidRPr="004D3D52">
              <w:rPr>
                <w:spacing w:val="-7"/>
                <w:w w:val="110"/>
                <w:szCs w:val="18"/>
              </w:rPr>
              <w:t xml:space="preserve"> </w:t>
            </w:r>
            <w:r w:rsidRPr="004D3D52">
              <w:rPr>
                <w:w w:val="110"/>
                <w:szCs w:val="18"/>
              </w:rPr>
              <w:t>44</w:t>
            </w:r>
          </w:p>
        </w:tc>
        <w:tc>
          <w:tcPr>
            <w:tcW w:w="1577" w:type="dxa"/>
          </w:tcPr>
          <w:p w14:paraId="1555C96A" w14:textId="77777777" w:rsidR="00FE382E" w:rsidRPr="004D3D52" w:rsidRDefault="00FE382E" w:rsidP="001D0A8A">
            <w:pPr>
              <w:pStyle w:val="TableText"/>
              <w:spacing w:before="40"/>
              <w:jc w:val="right"/>
              <w:rPr>
                <w:szCs w:val="18"/>
              </w:rPr>
            </w:pPr>
            <w:r w:rsidRPr="004D3D52">
              <w:rPr>
                <w:szCs w:val="18"/>
              </w:rPr>
              <w:t>261,537</w:t>
            </w:r>
          </w:p>
        </w:tc>
        <w:tc>
          <w:tcPr>
            <w:tcW w:w="1577" w:type="dxa"/>
          </w:tcPr>
          <w:p w14:paraId="171C9D16" w14:textId="77777777" w:rsidR="00FE382E" w:rsidRPr="004D3D52" w:rsidRDefault="00FE382E" w:rsidP="001D0A8A">
            <w:pPr>
              <w:pStyle w:val="TableText"/>
              <w:spacing w:before="40"/>
              <w:jc w:val="right"/>
              <w:rPr>
                <w:szCs w:val="18"/>
              </w:rPr>
            </w:pPr>
            <w:r w:rsidRPr="004D3D52">
              <w:rPr>
                <w:szCs w:val="18"/>
              </w:rPr>
              <w:t>81%</w:t>
            </w:r>
          </w:p>
        </w:tc>
        <w:tc>
          <w:tcPr>
            <w:tcW w:w="1577" w:type="dxa"/>
            <w:gridSpan w:val="2"/>
          </w:tcPr>
          <w:p w14:paraId="3FC30399" w14:textId="77777777" w:rsidR="00FE382E" w:rsidRPr="004D3D52" w:rsidRDefault="00FE382E" w:rsidP="001D0A8A">
            <w:pPr>
              <w:pStyle w:val="TableText"/>
              <w:spacing w:before="40"/>
              <w:jc w:val="right"/>
              <w:rPr>
                <w:szCs w:val="18"/>
              </w:rPr>
            </w:pPr>
            <w:r w:rsidRPr="004D3D52">
              <w:rPr>
                <w:w w:val="105"/>
                <w:szCs w:val="18"/>
              </w:rPr>
              <w:t>268,673</w:t>
            </w:r>
          </w:p>
        </w:tc>
        <w:tc>
          <w:tcPr>
            <w:tcW w:w="1577" w:type="dxa"/>
          </w:tcPr>
          <w:p w14:paraId="376DDDAC" w14:textId="77777777" w:rsidR="00FE382E" w:rsidRPr="004D3D52" w:rsidRDefault="00FE382E" w:rsidP="001D0A8A">
            <w:pPr>
              <w:pStyle w:val="TableText"/>
              <w:spacing w:before="40"/>
              <w:jc w:val="right"/>
              <w:rPr>
                <w:szCs w:val="18"/>
              </w:rPr>
            </w:pPr>
            <w:r w:rsidRPr="004D3D52">
              <w:rPr>
                <w:w w:val="105"/>
                <w:szCs w:val="18"/>
              </w:rPr>
              <w:t>83%</w:t>
            </w:r>
          </w:p>
        </w:tc>
        <w:tc>
          <w:tcPr>
            <w:tcW w:w="1577" w:type="dxa"/>
          </w:tcPr>
          <w:p w14:paraId="0CDDE834" w14:textId="77777777" w:rsidR="00FE382E" w:rsidRPr="004D3D52" w:rsidRDefault="00FE382E" w:rsidP="001D0A8A">
            <w:pPr>
              <w:pStyle w:val="TableText"/>
              <w:spacing w:before="40"/>
              <w:jc w:val="right"/>
              <w:rPr>
                <w:szCs w:val="18"/>
              </w:rPr>
            </w:pPr>
            <w:r w:rsidRPr="004D3D52">
              <w:rPr>
                <w:w w:val="110"/>
                <w:szCs w:val="18"/>
              </w:rPr>
              <w:t>204,064</w:t>
            </w:r>
          </w:p>
        </w:tc>
        <w:tc>
          <w:tcPr>
            <w:tcW w:w="1577" w:type="dxa"/>
            <w:gridSpan w:val="2"/>
          </w:tcPr>
          <w:p w14:paraId="3821C8C4" w14:textId="77777777" w:rsidR="00FE382E" w:rsidRPr="004D3D52" w:rsidRDefault="00FE382E" w:rsidP="001D0A8A">
            <w:pPr>
              <w:pStyle w:val="TableText"/>
              <w:spacing w:before="40"/>
              <w:jc w:val="right"/>
              <w:rPr>
                <w:szCs w:val="18"/>
              </w:rPr>
            </w:pPr>
            <w:r w:rsidRPr="004D3D52">
              <w:rPr>
                <w:w w:val="105"/>
                <w:szCs w:val="18"/>
              </w:rPr>
              <w:t>69%</w:t>
            </w:r>
          </w:p>
        </w:tc>
        <w:tc>
          <w:tcPr>
            <w:tcW w:w="1577" w:type="dxa"/>
          </w:tcPr>
          <w:p w14:paraId="031FD1B0" w14:textId="77777777" w:rsidR="00FE382E" w:rsidRPr="004D3D52" w:rsidRDefault="00FE382E" w:rsidP="001D0A8A">
            <w:pPr>
              <w:pStyle w:val="TableText"/>
              <w:spacing w:before="40"/>
              <w:jc w:val="right"/>
              <w:rPr>
                <w:szCs w:val="18"/>
              </w:rPr>
            </w:pPr>
            <w:r w:rsidRPr="004D3D52">
              <w:rPr>
                <w:w w:val="165"/>
                <w:szCs w:val="18"/>
              </w:rPr>
              <w:t>-</w:t>
            </w:r>
          </w:p>
        </w:tc>
        <w:tc>
          <w:tcPr>
            <w:tcW w:w="1577" w:type="dxa"/>
          </w:tcPr>
          <w:p w14:paraId="76BBEF2D" w14:textId="77777777" w:rsidR="00FE382E" w:rsidRPr="004D3D52" w:rsidRDefault="00FE382E" w:rsidP="001D0A8A">
            <w:pPr>
              <w:pStyle w:val="TableText"/>
              <w:spacing w:before="40"/>
              <w:jc w:val="right"/>
              <w:rPr>
                <w:szCs w:val="18"/>
              </w:rPr>
            </w:pPr>
            <w:r w:rsidRPr="004D3D52">
              <w:rPr>
                <w:w w:val="165"/>
                <w:szCs w:val="18"/>
              </w:rPr>
              <w:t>-</w:t>
            </w:r>
          </w:p>
        </w:tc>
      </w:tr>
      <w:tr w:rsidR="00FE382E" w:rsidRPr="004D3D52" w14:paraId="7AEB3F46" w14:textId="77777777" w:rsidTr="001D0A8A">
        <w:trPr>
          <w:trHeight w:val="317"/>
        </w:trPr>
        <w:tc>
          <w:tcPr>
            <w:tcW w:w="1276" w:type="dxa"/>
          </w:tcPr>
          <w:p w14:paraId="29921654" w14:textId="77777777" w:rsidR="00FE382E" w:rsidRPr="004D3D52" w:rsidRDefault="00FE382E" w:rsidP="001D0A8A">
            <w:pPr>
              <w:pStyle w:val="TableText"/>
              <w:spacing w:before="40"/>
              <w:rPr>
                <w:szCs w:val="18"/>
              </w:rPr>
            </w:pPr>
            <w:r w:rsidRPr="004D3D52">
              <w:rPr>
                <w:w w:val="110"/>
                <w:szCs w:val="18"/>
              </w:rPr>
              <w:t>45</w:t>
            </w:r>
            <w:r w:rsidRPr="004D3D52">
              <w:rPr>
                <w:spacing w:val="-7"/>
                <w:w w:val="110"/>
                <w:szCs w:val="18"/>
              </w:rPr>
              <w:t xml:space="preserve"> </w:t>
            </w:r>
            <w:r w:rsidRPr="004D3D52">
              <w:rPr>
                <w:w w:val="110"/>
                <w:szCs w:val="18"/>
              </w:rPr>
              <w:t>to</w:t>
            </w:r>
            <w:r w:rsidRPr="004D3D52">
              <w:rPr>
                <w:spacing w:val="-7"/>
                <w:w w:val="110"/>
                <w:szCs w:val="18"/>
              </w:rPr>
              <w:t xml:space="preserve"> </w:t>
            </w:r>
            <w:r w:rsidRPr="004D3D52">
              <w:rPr>
                <w:w w:val="110"/>
                <w:szCs w:val="18"/>
              </w:rPr>
              <w:t>49</w:t>
            </w:r>
          </w:p>
        </w:tc>
        <w:tc>
          <w:tcPr>
            <w:tcW w:w="1577" w:type="dxa"/>
          </w:tcPr>
          <w:p w14:paraId="646F5733" w14:textId="77777777" w:rsidR="00FE382E" w:rsidRPr="004D3D52" w:rsidRDefault="00FE382E" w:rsidP="001D0A8A">
            <w:pPr>
              <w:pStyle w:val="TableText"/>
              <w:spacing w:before="40"/>
              <w:jc w:val="right"/>
              <w:rPr>
                <w:szCs w:val="18"/>
              </w:rPr>
            </w:pPr>
            <w:r w:rsidRPr="004D3D52">
              <w:rPr>
                <w:w w:val="105"/>
                <w:szCs w:val="18"/>
              </w:rPr>
              <w:t>250,676</w:t>
            </w:r>
          </w:p>
        </w:tc>
        <w:tc>
          <w:tcPr>
            <w:tcW w:w="1577" w:type="dxa"/>
          </w:tcPr>
          <w:p w14:paraId="1E7132B2" w14:textId="77777777" w:rsidR="00FE382E" w:rsidRPr="004D3D52" w:rsidRDefault="00FE382E" w:rsidP="001D0A8A">
            <w:pPr>
              <w:pStyle w:val="TableText"/>
              <w:spacing w:before="40"/>
              <w:jc w:val="right"/>
              <w:rPr>
                <w:szCs w:val="18"/>
              </w:rPr>
            </w:pPr>
            <w:r w:rsidRPr="004D3D52">
              <w:rPr>
                <w:szCs w:val="18"/>
              </w:rPr>
              <w:t>77%</w:t>
            </w:r>
          </w:p>
        </w:tc>
        <w:tc>
          <w:tcPr>
            <w:tcW w:w="1577" w:type="dxa"/>
            <w:gridSpan w:val="2"/>
          </w:tcPr>
          <w:p w14:paraId="77B2911B" w14:textId="77777777" w:rsidR="00FE382E" w:rsidRPr="004D3D52" w:rsidRDefault="00FE382E" w:rsidP="001D0A8A">
            <w:pPr>
              <w:pStyle w:val="TableText"/>
              <w:spacing w:before="40"/>
              <w:jc w:val="right"/>
              <w:rPr>
                <w:szCs w:val="18"/>
              </w:rPr>
            </w:pPr>
            <w:r w:rsidRPr="004D3D52">
              <w:rPr>
                <w:w w:val="105"/>
                <w:szCs w:val="18"/>
              </w:rPr>
              <w:t>258,437</w:t>
            </w:r>
          </w:p>
        </w:tc>
        <w:tc>
          <w:tcPr>
            <w:tcW w:w="1577" w:type="dxa"/>
          </w:tcPr>
          <w:p w14:paraId="1875ACBA" w14:textId="77777777" w:rsidR="00FE382E" w:rsidRPr="004D3D52" w:rsidRDefault="00FE382E" w:rsidP="001D0A8A">
            <w:pPr>
              <w:pStyle w:val="TableText"/>
              <w:spacing w:before="40"/>
              <w:jc w:val="right"/>
              <w:rPr>
                <w:szCs w:val="18"/>
              </w:rPr>
            </w:pPr>
            <w:r w:rsidRPr="004D3D52">
              <w:rPr>
                <w:w w:val="105"/>
                <w:szCs w:val="18"/>
              </w:rPr>
              <w:t>79%</w:t>
            </w:r>
          </w:p>
        </w:tc>
        <w:tc>
          <w:tcPr>
            <w:tcW w:w="1577" w:type="dxa"/>
          </w:tcPr>
          <w:p w14:paraId="75700F0B" w14:textId="77777777" w:rsidR="00FE382E" w:rsidRPr="004D3D52" w:rsidRDefault="00FE382E" w:rsidP="001D0A8A">
            <w:pPr>
              <w:pStyle w:val="TableText"/>
              <w:spacing w:before="40"/>
              <w:jc w:val="right"/>
              <w:rPr>
                <w:szCs w:val="18"/>
              </w:rPr>
            </w:pPr>
            <w:r w:rsidRPr="004D3D52">
              <w:rPr>
                <w:w w:val="90"/>
                <w:szCs w:val="18"/>
              </w:rPr>
              <w:t>211,241</w:t>
            </w:r>
          </w:p>
        </w:tc>
        <w:tc>
          <w:tcPr>
            <w:tcW w:w="1577" w:type="dxa"/>
            <w:gridSpan w:val="2"/>
          </w:tcPr>
          <w:p w14:paraId="66FE1107" w14:textId="77777777" w:rsidR="00FE382E" w:rsidRPr="004D3D52" w:rsidRDefault="00FE382E" w:rsidP="001D0A8A">
            <w:pPr>
              <w:pStyle w:val="TableText"/>
              <w:spacing w:before="40"/>
              <w:jc w:val="right"/>
              <w:rPr>
                <w:szCs w:val="18"/>
              </w:rPr>
            </w:pPr>
            <w:r w:rsidRPr="004D3D52">
              <w:rPr>
                <w:w w:val="105"/>
                <w:szCs w:val="18"/>
              </w:rPr>
              <w:t>74%</w:t>
            </w:r>
          </w:p>
        </w:tc>
        <w:tc>
          <w:tcPr>
            <w:tcW w:w="1577" w:type="dxa"/>
          </w:tcPr>
          <w:p w14:paraId="3BE03972" w14:textId="77777777" w:rsidR="00FE382E" w:rsidRPr="004D3D52" w:rsidRDefault="00FE382E" w:rsidP="001D0A8A">
            <w:pPr>
              <w:pStyle w:val="TableText"/>
              <w:spacing w:before="40"/>
              <w:jc w:val="right"/>
              <w:rPr>
                <w:szCs w:val="18"/>
              </w:rPr>
            </w:pPr>
            <w:r w:rsidRPr="004D3D52">
              <w:rPr>
                <w:w w:val="165"/>
                <w:szCs w:val="18"/>
              </w:rPr>
              <w:t>-</w:t>
            </w:r>
          </w:p>
        </w:tc>
        <w:tc>
          <w:tcPr>
            <w:tcW w:w="1577" w:type="dxa"/>
          </w:tcPr>
          <w:p w14:paraId="2408A694" w14:textId="77777777" w:rsidR="00FE382E" w:rsidRPr="004D3D52" w:rsidRDefault="00FE382E" w:rsidP="001D0A8A">
            <w:pPr>
              <w:pStyle w:val="TableText"/>
              <w:spacing w:before="40"/>
              <w:jc w:val="right"/>
              <w:rPr>
                <w:szCs w:val="18"/>
              </w:rPr>
            </w:pPr>
            <w:r w:rsidRPr="004D3D52">
              <w:rPr>
                <w:w w:val="165"/>
                <w:szCs w:val="18"/>
              </w:rPr>
              <w:t>-</w:t>
            </w:r>
          </w:p>
        </w:tc>
      </w:tr>
      <w:tr w:rsidR="00FE382E" w:rsidRPr="004D3D52" w14:paraId="28ADEC95" w14:textId="77777777" w:rsidTr="001D0A8A">
        <w:trPr>
          <w:trHeight w:val="317"/>
        </w:trPr>
        <w:tc>
          <w:tcPr>
            <w:tcW w:w="1276" w:type="dxa"/>
          </w:tcPr>
          <w:p w14:paraId="2DE75385" w14:textId="77777777" w:rsidR="00FE382E" w:rsidRPr="004D3D52" w:rsidRDefault="00FE382E" w:rsidP="001D0A8A">
            <w:pPr>
              <w:pStyle w:val="TableText"/>
              <w:spacing w:before="40"/>
              <w:rPr>
                <w:szCs w:val="18"/>
              </w:rPr>
            </w:pPr>
            <w:r w:rsidRPr="004D3D52">
              <w:rPr>
                <w:w w:val="110"/>
                <w:szCs w:val="18"/>
              </w:rPr>
              <w:t>50</w:t>
            </w:r>
            <w:r w:rsidRPr="004D3D52">
              <w:rPr>
                <w:spacing w:val="-8"/>
                <w:w w:val="110"/>
                <w:szCs w:val="18"/>
              </w:rPr>
              <w:t xml:space="preserve"> </w:t>
            </w:r>
            <w:r w:rsidRPr="004D3D52">
              <w:rPr>
                <w:w w:val="110"/>
                <w:szCs w:val="18"/>
              </w:rPr>
              <w:t>to</w:t>
            </w:r>
            <w:r w:rsidRPr="004D3D52">
              <w:rPr>
                <w:spacing w:val="-7"/>
                <w:w w:val="110"/>
                <w:szCs w:val="18"/>
              </w:rPr>
              <w:t xml:space="preserve"> </w:t>
            </w:r>
            <w:r w:rsidRPr="004D3D52">
              <w:rPr>
                <w:w w:val="110"/>
                <w:szCs w:val="18"/>
              </w:rPr>
              <w:t>54</w:t>
            </w:r>
          </w:p>
        </w:tc>
        <w:tc>
          <w:tcPr>
            <w:tcW w:w="1577" w:type="dxa"/>
          </w:tcPr>
          <w:p w14:paraId="1E7BEF28" w14:textId="77777777" w:rsidR="00FE382E" w:rsidRPr="004D3D52" w:rsidRDefault="00FE382E" w:rsidP="001D0A8A">
            <w:pPr>
              <w:pStyle w:val="TableText"/>
              <w:spacing w:before="40"/>
              <w:jc w:val="right"/>
              <w:rPr>
                <w:szCs w:val="18"/>
              </w:rPr>
            </w:pPr>
            <w:r w:rsidRPr="004D3D52">
              <w:rPr>
                <w:szCs w:val="18"/>
              </w:rPr>
              <w:t>263,051</w:t>
            </w:r>
          </w:p>
        </w:tc>
        <w:tc>
          <w:tcPr>
            <w:tcW w:w="1577" w:type="dxa"/>
          </w:tcPr>
          <w:p w14:paraId="1392A335" w14:textId="77777777" w:rsidR="00FE382E" w:rsidRPr="004D3D52" w:rsidRDefault="00FE382E" w:rsidP="001D0A8A">
            <w:pPr>
              <w:pStyle w:val="TableText"/>
              <w:spacing w:before="40"/>
              <w:jc w:val="right"/>
              <w:rPr>
                <w:szCs w:val="18"/>
              </w:rPr>
            </w:pPr>
            <w:r w:rsidRPr="004D3D52">
              <w:rPr>
                <w:w w:val="105"/>
                <w:szCs w:val="18"/>
              </w:rPr>
              <w:t>78%</w:t>
            </w:r>
          </w:p>
        </w:tc>
        <w:tc>
          <w:tcPr>
            <w:tcW w:w="1577" w:type="dxa"/>
            <w:gridSpan w:val="2"/>
          </w:tcPr>
          <w:p w14:paraId="7B8BDB47" w14:textId="77777777" w:rsidR="00FE382E" w:rsidRPr="004D3D52" w:rsidRDefault="00FE382E" w:rsidP="001D0A8A">
            <w:pPr>
              <w:pStyle w:val="TableText"/>
              <w:spacing w:before="40"/>
              <w:jc w:val="right"/>
              <w:rPr>
                <w:szCs w:val="18"/>
              </w:rPr>
            </w:pPr>
            <w:r w:rsidRPr="004D3D52">
              <w:rPr>
                <w:w w:val="105"/>
                <w:szCs w:val="18"/>
              </w:rPr>
              <w:t>273,944</w:t>
            </w:r>
          </w:p>
        </w:tc>
        <w:tc>
          <w:tcPr>
            <w:tcW w:w="1577" w:type="dxa"/>
          </w:tcPr>
          <w:p w14:paraId="3F682762" w14:textId="77777777" w:rsidR="00FE382E" w:rsidRPr="004D3D52" w:rsidRDefault="00FE382E" w:rsidP="001D0A8A">
            <w:pPr>
              <w:pStyle w:val="TableText"/>
              <w:spacing w:before="40"/>
              <w:jc w:val="right"/>
              <w:rPr>
                <w:szCs w:val="18"/>
              </w:rPr>
            </w:pPr>
            <w:r w:rsidRPr="004D3D52">
              <w:rPr>
                <w:szCs w:val="18"/>
              </w:rPr>
              <w:t>81%</w:t>
            </w:r>
          </w:p>
        </w:tc>
        <w:tc>
          <w:tcPr>
            <w:tcW w:w="1577" w:type="dxa"/>
          </w:tcPr>
          <w:p w14:paraId="19BBA65B" w14:textId="77777777" w:rsidR="00FE382E" w:rsidRPr="004D3D52" w:rsidRDefault="00FE382E" w:rsidP="001D0A8A">
            <w:pPr>
              <w:pStyle w:val="TableText"/>
              <w:spacing w:before="40"/>
              <w:jc w:val="right"/>
              <w:rPr>
                <w:szCs w:val="18"/>
              </w:rPr>
            </w:pPr>
            <w:r w:rsidRPr="004D3D52">
              <w:rPr>
                <w:w w:val="105"/>
                <w:szCs w:val="18"/>
              </w:rPr>
              <w:t>238,639</w:t>
            </w:r>
          </w:p>
        </w:tc>
        <w:tc>
          <w:tcPr>
            <w:tcW w:w="1577" w:type="dxa"/>
            <w:gridSpan w:val="2"/>
          </w:tcPr>
          <w:p w14:paraId="4EE9BD09" w14:textId="77777777" w:rsidR="00FE382E" w:rsidRPr="004D3D52" w:rsidRDefault="00FE382E" w:rsidP="001D0A8A">
            <w:pPr>
              <w:pStyle w:val="TableText"/>
              <w:spacing w:before="40"/>
              <w:jc w:val="right"/>
              <w:rPr>
                <w:szCs w:val="18"/>
              </w:rPr>
            </w:pPr>
            <w:r w:rsidRPr="004D3D52">
              <w:rPr>
                <w:szCs w:val="18"/>
              </w:rPr>
              <w:t>77%</w:t>
            </w:r>
          </w:p>
        </w:tc>
        <w:tc>
          <w:tcPr>
            <w:tcW w:w="1577" w:type="dxa"/>
          </w:tcPr>
          <w:p w14:paraId="7805E326" w14:textId="77777777" w:rsidR="00FE382E" w:rsidRPr="004D3D52" w:rsidRDefault="00FE382E" w:rsidP="001D0A8A">
            <w:pPr>
              <w:pStyle w:val="TableText"/>
              <w:spacing w:before="40"/>
              <w:jc w:val="right"/>
              <w:rPr>
                <w:szCs w:val="18"/>
              </w:rPr>
            </w:pPr>
            <w:r w:rsidRPr="004D3D52">
              <w:rPr>
                <w:szCs w:val="18"/>
              </w:rPr>
              <w:t>814</w:t>
            </w:r>
          </w:p>
        </w:tc>
        <w:tc>
          <w:tcPr>
            <w:tcW w:w="1577" w:type="dxa"/>
          </w:tcPr>
          <w:p w14:paraId="14E823B1" w14:textId="77777777" w:rsidR="00FE382E" w:rsidRPr="004D3D52" w:rsidRDefault="00FE382E" w:rsidP="001D0A8A">
            <w:pPr>
              <w:pStyle w:val="TableText"/>
              <w:spacing w:before="40"/>
              <w:jc w:val="right"/>
              <w:rPr>
                <w:szCs w:val="18"/>
              </w:rPr>
            </w:pPr>
            <w:r w:rsidRPr="004D3D52">
              <w:rPr>
                <w:szCs w:val="18"/>
              </w:rPr>
              <w:t>3%</w:t>
            </w:r>
          </w:p>
        </w:tc>
      </w:tr>
      <w:tr w:rsidR="00FE382E" w:rsidRPr="004D3D52" w14:paraId="4B74791D" w14:textId="77777777" w:rsidTr="001D0A8A">
        <w:trPr>
          <w:trHeight w:val="317"/>
        </w:trPr>
        <w:tc>
          <w:tcPr>
            <w:tcW w:w="1276" w:type="dxa"/>
          </w:tcPr>
          <w:p w14:paraId="3359DB35" w14:textId="77777777" w:rsidR="00FE382E" w:rsidRPr="004D3D52" w:rsidRDefault="00FE382E" w:rsidP="001D0A8A">
            <w:pPr>
              <w:pStyle w:val="TableText"/>
              <w:spacing w:before="40"/>
              <w:rPr>
                <w:szCs w:val="18"/>
              </w:rPr>
            </w:pPr>
            <w:r w:rsidRPr="004D3D52">
              <w:rPr>
                <w:w w:val="110"/>
                <w:szCs w:val="18"/>
              </w:rPr>
              <w:t>55</w:t>
            </w:r>
            <w:r w:rsidRPr="004D3D52">
              <w:rPr>
                <w:spacing w:val="-8"/>
                <w:w w:val="110"/>
                <w:szCs w:val="18"/>
              </w:rPr>
              <w:t xml:space="preserve"> </w:t>
            </w:r>
            <w:r w:rsidRPr="004D3D52">
              <w:rPr>
                <w:w w:val="110"/>
                <w:szCs w:val="18"/>
              </w:rPr>
              <w:t>to</w:t>
            </w:r>
            <w:r w:rsidRPr="004D3D52">
              <w:rPr>
                <w:spacing w:val="-7"/>
                <w:w w:val="110"/>
                <w:szCs w:val="18"/>
              </w:rPr>
              <w:t xml:space="preserve"> </w:t>
            </w:r>
            <w:r w:rsidRPr="004D3D52">
              <w:rPr>
                <w:w w:val="110"/>
                <w:szCs w:val="18"/>
              </w:rPr>
              <w:t>59</w:t>
            </w:r>
          </w:p>
        </w:tc>
        <w:tc>
          <w:tcPr>
            <w:tcW w:w="1577" w:type="dxa"/>
          </w:tcPr>
          <w:p w14:paraId="193B5A3F" w14:textId="77777777" w:rsidR="00FE382E" w:rsidRPr="004D3D52" w:rsidRDefault="00FE382E" w:rsidP="001D0A8A">
            <w:pPr>
              <w:pStyle w:val="TableText"/>
              <w:spacing w:before="40"/>
              <w:jc w:val="right"/>
              <w:rPr>
                <w:szCs w:val="18"/>
              </w:rPr>
            </w:pPr>
            <w:r w:rsidRPr="004D3D52">
              <w:rPr>
                <w:w w:val="110"/>
                <w:szCs w:val="18"/>
              </w:rPr>
              <w:t>238,090</w:t>
            </w:r>
          </w:p>
        </w:tc>
        <w:tc>
          <w:tcPr>
            <w:tcW w:w="1577" w:type="dxa"/>
          </w:tcPr>
          <w:p w14:paraId="1501DC23" w14:textId="77777777" w:rsidR="00FE382E" w:rsidRPr="004D3D52" w:rsidRDefault="00FE382E" w:rsidP="001D0A8A">
            <w:pPr>
              <w:pStyle w:val="TableText"/>
              <w:spacing w:before="40"/>
              <w:jc w:val="right"/>
              <w:rPr>
                <w:szCs w:val="18"/>
              </w:rPr>
            </w:pPr>
            <w:r w:rsidRPr="004D3D52">
              <w:rPr>
                <w:szCs w:val="18"/>
              </w:rPr>
              <w:t>73%</w:t>
            </w:r>
          </w:p>
        </w:tc>
        <w:tc>
          <w:tcPr>
            <w:tcW w:w="1577" w:type="dxa"/>
            <w:gridSpan w:val="2"/>
          </w:tcPr>
          <w:p w14:paraId="0366D581" w14:textId="77777777" w:rsidR="00FE382E" w:rsidRPr="004D3D52" w:rsidRDefault="00FE382E" w:rsidP="001D0A8A">
            <w:pPr>
              <w:pStyle w:val="TableText"/>
              <w:spacing w:before="40"/>
              <w:jc w:val="right"/>
              <w:rPr>
                <w:szCs w:val="18"/>
              </w:rPr>
            </w:pPr>
            <w:r w:rsidRPr="004D3D52">
              <w:rPr>
                <w:w w:val="110"/>
                <w:szCs w:val="18"/>
              </w:rPr>
              <w:t>253,890</w:t>
            </w:r>
          </w:p>
        </w:tc>
        <w:tc>
          <w:tcPr>
            <w:tcW w:w="1577" w:type="dxa"/>
          </w:tcPr>
          <w:p w14:paraId="1B195E7A" w14:textId="77777777" w:rsidR="00FE382E" w:rsidRPr="004D3D52" w:rsidRDefault="00FE382E" w:rsidP="001D0A8A">
            <w:pPr>
              <w:pStyle w:val="TableText"/>
              <w:spacing w:before="40"/>
              <w:jc w:val="right"/>
              <w:rPr>
                <w:szCs w:val="18"/>
              </w:rPr>
            </w:pPr>
            <w:r w:rsidRPr="004D3D52">
              <w:rPr>
                <w:w w:val="105"/>
                <w:szCs w:val="18"/>
              </w:rPr>
              <w:t>78%</w:t>
            </w:r>
          </w:p>
        </w:tc>
        <w:tc>
          <w:tcPr>
            <w:tcW w:w="1577" w:type="dxa"/>
          </w:tcPr>
          <w:p w14:paraId="374A3308" w14:textId="77777777" w:rsidR="00FE382E" w:rsidRPr="004D3D52" w:rsidRDefault="00FE382E" w:rsidP="001D0A8A">
            <w:pPr>
              <w:pStyle w:val="TableText"/>
              <w:spacing w:before="40"/>
              <w:jc w:val="right"/>
              <w:rPr>
                <w:szCs w:val="18"/>
              </w:rPr>
            </w:pPr>
            <w:r w:rsidRPr="004D3D52">
              <w:rPr>
                <w:w w:val="110"/>
                <w:szCs w:val="18"/>
              </w:rPr>
              <w:t>238,890</w:t>
            </w:r>
          </w:p>
        </w:tc>
        <w:tc>
          <w:tcPr>
            <w:tcW w:w="1577" w:type="dxa"/>
            <w:gridSpan w:val="2"/>
          </w:tcPr>
          <w:p w14:paraId="3494830A" w14:textId="77777777" w:rsidR="00FE382E" w:rsidRPr="004D3D52" w:rsidRDefault="00FE382E" w:rsidP="001D0A8A">
            <w:pPr>
              <w:pStyle w:val="TableText"/>
              <w:spacing w:before="40"/>
              <w:jc w:val="right"/>
              <w:rPr>
                <w:szCs w:val="18"/>
              </w:rPr>
            </w:pPr>
            <w:r w:rsidRPr="004D3D52">
              <w:rPr>
                <w:w w:val="105"/>
                <w:szCs w:val="18"/>
              </w:rPr>
              <w:t>82%</w:t>
            </w:r>
          </w:p>
        </w:tc>
        <w:tc>
          <w:tcPr>
            <w:tcW w:w="1577" w:type="dxa"/>
          </w:tcPr>
          <w:p w14:paraId="4073D4E6" w14:textId="77777777" w:rsidR="00FE382E" w:rsidRPr="004D3D52" w:rsidRDefault="00FE382E" w:rsidP="001D0A8A">
            <w:pPr>
              <w:pStyle w:val="TableText"/>
              <w:spacing w:before="40"/>
              <w:jc w:val="right"/>
              <w:rPr>
                <w:szCs w:val="18"/>
              </w:rPr>
            </w:pPr>
            <w:r w:rsidRPr="004D3D52">
              <w:rPr>
                <w:szCs w:val="18"/>
              </w:rPr>
              <w:t>1,323</w:t>
            </w:r>
          </w:p>
        </w:tc>
        <w:tc>
          <w:tcPr>
            <w:tcW w:w="1577" w:type="dxa"/>
          </w:tcPr>
          <w:p w14:paraId="36BB5339" w14:textId="77777777" w:rsidR="00FE382E" w:rsidRPr="004D3D52" w:rsidRDefault="00FE382E" w:rsidP="001D0A8A">
            <w:pPr>
              <w:pStyle w:val="TableText"/>
              <w:spacing w:before="40"/>
              <w:jc w:val="right"/>
              <w:rPr>
                <w:szCs w:val="18"/>
              </w:rPr>
            </w:pPr>
            <w:r w:rsidRPr="004D3D52">
              <w:rPr>
                <w:w w:val="105"/>
                <w:szCs w:val="18"/>
              </w:rPr>
              <w:t>5%</w:t>
            </w:r>
          </w:p>
        </w:tc>
      </w:tr>
      <w:tr w:rsidR="00FE382E" w:rsidRPr="004D3D52" w14:paraId="78D2A02C" w14:textId="77777777" w:rsidTr="001D0A8A">
        <w:trPr>
          <w:trHeight w:val="317"/>
        </w:trPr>
        <w:tc>
          <w:tcPr>
            <w:tcW w:w="1276" w:type="dxa"/>
          </w:tcPr>
          <w:p w14:paraId="4E572B58" w14:textId="77777777" w:rsidR="00FE382E" w:rsidRPr="004D3D52" w:rsidRDefault="00FE382E" w:rsidP="001D0A8A">
            <w:pPr>
              <w:pStyle w:val="TableText"/>
              <w:spacing w:before="40"/>
              <w:rPr>
                <w:szCs w:val="18"/>
              </w:rPr>
            </w:pPr>
            <w:r w:rsidRPr="004D3D52">
              <w:rPr>
                <w:w w:val="110"/>
                <w:szCs w:val="18"/>
              </w:rPr>
              <w:t>60</w:t>
            </w:r>
            <w:r w:rsidRPr="004D3D52">
              <w:rPr>
                <w:spacing w:val="-7"/>
                <w:w w:val="110"/>
                <w:szCs w:val="18"/>
              </w:rPr>
              <w:t xml:space="preserve"> </w:t>
            </w:r>
            <w:r w:rsidRPr="004D3D52">
              <w:rPr>
                <w:w w:val="110"/>
                <w:szCs w:val="18"/>
              </w:rPr>
              <w:t>to</w:t>
            </w:r>
            <w:r w:rsidRPr="004D3D52">
              <w:rPr>
                <w:spacing w:val="-6"/>
                <w:w w:val="110"/>
                <w:szCs w:val="18"/>
              </w:rPr>
              <w:t xml:space="preserve"> </w:t>
            </w:r>
            <w:r w:rsidRPr="004D3D52">
              <w:rPr>
                <w:w w:val="110"/>
                <w:szCs w:val="18"/>
              </w:rPr>
              <w:t>64</w:t>
            </w:r>
          </w:p>
        </w:tc>
        <w:tc>
          <w:tcPr>
            <w:tcW w:w="1577" w:type="dxa"/>
          </w:tcPr>
          <w:p w14:paraId="0126B8B2" w14:textId="77777777" w:rsidR="00FE382E" w:rsidRPr="004D3D52" w:rsidRDefault="00FE382E" w:rsidP="001D0A8A">
            <w:pPr>
              <w:pStyle w:val="TableText"/>
              <w:spacing w:before="40"/>
              <w:jc w:val="right"/>
              <w:rPr>
                <w:szCs w:val="18"/>
              </w:rPr>
            </w:pPr>
            <w:r w:rsidRPr="004D3D52">
              <w:rPr>
                <w:w w:val="105"/>
                <w:szCs w:val="18"/>
              </w:rPr>
              <w:t>223,200</w:t>
            </w:r>
          </w:p>
        </w:tc>
        <w:tc>
          <w:tcPr>
            <w:tcW w:w="1577" w:type="dxa"/>
          </w:tcPr>
          <w:p w14:paraId="45884374" w14:textId="77777777" w:rsidR="00FE382E" w:rsidRPr="004D3D52" w:rsidRDefault="00FE382E" w:rsidP="001D0A8A">
            <w:pPr>
              <w:pStyle w:val="TableText"/>
              <w:spacing w:before="40"/>
              <w:jc w:val="right"/>
              <w:rPr>
                <w:szCs w:val="18"/>
              </w:rPr>
            </w:pPr>
            <w:r w:rsidRPr="004D3D52">
              <w:rPr>
                <w:w w:val="105"/>
                <w:szCs w:val="18"/>
              </w:rPr>
              <w:t>74%</w:t>
            </w:r>
          </w:p>
        </w:tc>
        <w:tc>
          <w:tcPr>
            <w:tcW w:w="1577" w:type="dxa"/>
            <w:gridSpan w:val="2"/>
          </w:tcPr>
          <w:p w14:paraId="17909B3A" w14:textId="77777777" w:rsidR="00FE382E" w:rsidRPr="004D3D52" w:rsidRDefault="00FE382E" w:rsidP="001D0A8A">
            <w:pPr>
              <w:pStyle w:val="TableText"/>
              <w:spacing w:before="40"/>
              <w:jc w:val="right"/>
              <w:rPr>
                <w:szCs w:val="18"/>
              </w:rPr>
            </w:pPr>
            <w:r w:rsidRPr="004D3D52">
              <w:rPr>
                <w:szCs w:val="18"/>
              </w:rPr>
              <w:t>243,831</w:t>
            </w:r>
          </w:p>
        </w:tc>
        <w:tc>
          <w:tcPr>
            <w:tcW w:w="1577" w:type="dxa"/>
          </w:tcPr>
          <w:p w14:paraId="219FB619" w14:textId="77777777" w:rsidR="00FE382E" w:rsidRPr="004D3D52" w:rsidRDefault="00FE382E" w:rsidP="001D0A8A">
            <w:pPr>
              <w:pStyle w:val="TableText"/>
              <w:spacing w:before="40"/>
              <w:jc w:val="right"/>
              <w:rPr>
                <w:szCs w:val="18"/>
              </w:rPr>
            </w:pPr>
            <w:r w:rsidRPr="004D3D52">
              <w:rPr>
                <w:w w:val="105"/>
                <w:szCs w:val="18"/>
              </w:rPr>
              <w:t>80%</w:t>
            </w:r>
          </w:p>
        </w:tc>
        <w:tc>
          <w:tcPr>
            <w:tcW w:w="1577" w:type="dxa"/>
          </w:tcPr>
          <w:p w14:paraId="07198F23" w14:textId="77777777" w:rsidR="00FE382E" w:rsidRPr="004D3D52" w:rsidRDefault="00FE382E" w:rsidP="001D0A8A">
            <w:pPr>
              <w:pStyle w:val="TableText"/>
              <w:spacing w:before="40"/>
              <w:jc w:val="right"/>
              <w:rPr>
                <w:szCs w:val="18"/>
              </w:rPr>
            </w:pPr>
            <w:r w:rsidRPr="004D3D52">
              <w:rPr>
                <w:szCs w:val="18"/>
              </w:rPr>
              <w:t>244,718</w:t>
            </w:r>
          </w:p>
        </w:tc>
        <w:tc>
          <w:tcPr>
            <w:tcW w:w="1577" w:type="dxa"/>
            <w:gridSpan w:val="2"/>
          </w:tcPr>
          <w:p w14:paraId="7A94F213" w14:textId="77777777" w:rsidR="00FE382E" w:rsidRPr="004D3D52" w:rsidRDefault="00FE382E" w:rsidP="001D0A8A">
            <w:pPr>
              <w:pStyle w:val="TableText"/>
              <w:spacing w:before="40"/>
              <w:jc w:val="right"/>
              <w:rPr>
                <w:szCs w:val="18"/>
              </w:rPr>
            </w:pPr>
            <w:r w:rsidRPr="004D3D52">
              <w:rPr>
                <w:w w:val="110"/>
                <w:szCs w:val="18"/>
              </w:rPr>
              <w:t>86%</w:t>
            </w:r>
          </w:p>
        </w:tc>
        <w:tc>
          <w:tcPr>
            <w:tcW w:w="1577" w:type="dxa"/>
          </w:tcPr>
          <w:p w14:paraId="3F17C43B" w14:textId="77777777" w:rsidR="00FE382E" w:rsidRPr="004D3D52" w:rsidRDefault="00FE382E" w:rsidP="001D0A8A">
            <w:pPr>
              <w:pStyle w:val="TableText"/>
              <w:spacing w:before="40"/>
              <w:jc w:val="right"/>
              <w:rPr>
                <w:szCs w:val="18"/>
              </w:rPr>
            </w:pPr>
            <w:r w:rsidRPr="004D3D52">
              <w:rPr>
                <w:szCs w:val="18"/>
              </w:rPr>
              <w:t>1,892</w:t>
            </w:r>
          </w:p>
        </w:tc>
        <w:tc>
          <w:tcPr>
            <w:tcW w:w="1577" w:type="dxa"/>
          </w:tcPr>
          <w:p w14:paraId="0DCFD2B2" w14:textId="77777777" w:rsidR="00FE382E" w:rsidRPr="004D3D52" w:rsidRDefault="00FE382E" w:rsidP="001D0A8A">
            <w:pPr>
              <w:pStyle w:val="TableText"/>
              <w:spacing w:before="40"/>
              <w:jc w:val="right"/>
              <w:rPr>
                <w:szCs w:val="18"/>
              </w:rPr>
            </w:pPr>
            <w:r w:rsidRPr="004D3D52">
              <w:rPr>
                <w:w w:val="105"/>
                <w:szCs w:val="18"/>
              </w:rPr>
              <w:t>6%</w:t>
            </w:r>
          </w:p>
        </w:tc>
      </w:tr>
      <w:tr w:rsidR="00FE382E" w:rsidRPr="004D3D52" w14:paraId="27012A7E" w14:textId="77777777" w:rsidTr="001D0A8A">
        <w:trPr>
          <w:trHeight w:val="317"/>
        </w:trPr>
        <w:tc>
          <w:tcPr>
            <w:tcW w:w="1276" w:type="dxa"/>
          </w:tcPr>
          <w:p w14:paraId="4357A9F3" w14:textId="77777777" w:rsidR="00FE382E" w:rsidRPr="004D3D52" w:rsidRDefault="00FE382E" w:rsidP="001D0A8A">
            <w:pPr>
              <w:pStyle w:val="TableText"/>
              <w:spacing w:before="40"/>
              <w:rPr>
                <w:szCs w:val="18"/>
              </w:rPr>
            </w:pPr>
            <w:r w:rsidRPr="004D3D52">
              <w:rPr>
                <w:w w:val="110"/>
                <w:szCs w:val="18"/>
              </w:rPr>
              <w:t>65</w:t>
            </w:r>
            <w:r w:rsidRPr="004D3D52">
              <w:rPr>
                <w:spacing w:val="-7"/>
                <w:w w:val="110"/>
                <w:szCs w:val="18"/>
              </w:rPr>
              <w:t xml:space="preserve"> </w:t>
            </w:r>
            <w:r w:rsidRPr="004D3D52">
              <w:rPr>
                <w:w w:val="110"/>
                <w:szCs w:val="18"/>
              </w:rPr>
              <w:t>to</w:t>
            </w:r>
            <w:r w:rsidRPr="004D3D52">
              <w:rPr>
                <w:spacing w:val="-6"/>
                <w:w w:val="110"/>
                <w:szCs w:val="18"/>
              </w:rPr>
              <w:t xml:space="preserve"> </w:t>
            </w:r>
            <w:r w:rsidRPr="004D3D52">
              <w:rPr>
                <w:w w:val="110"/>
                <w:szCs w:val="18"/>
              </w:rPr>
              <w:t>69</w:t>
            </w:r>
          </w:p>
        </w:tc>
        <w:tc>
          <w:tcPr>
            <w:tcW w:w="1577" w:type="dxa"/>
          </w:tcPr>
          <w:p w14:paraId="151FB3C2" w14:textId="77777777" w:rsidR="00FE382E" w:rsidRPr="004D3D52" w:rsidRDefault="00FE382E" w:rsidP="001D0A8A">
            <w:pPr>
              <w:pStyle w:val="TableText"/>
              <w:spacing w:before="40"/>
              <w:jc w:val="right"/>
              <w:rPr>
                <w:szCs w:val="18"/>
              </w:rPr>
            </w:pPr>
            <w:r w:rsidRPr="004D3D52">
              <w:rPr>
                <w:szCs w:val="18"/>
              </w:rPr>
              <w:t>165,556</w:t>
            </w:r>
          </w:p>
        </w:tc>
        <w:tc>
          <w:tcPr>
            <w:tcW w:w="1577" w:type="dxa"/>
          </w:tcPr>
          <w:p w14:paraId="7C3FE334" w14:textId="77777777" w:rsidR="00FE382E" w:rsidRPr="004D3D52" w:rsidRDefault="00FE382E" w:rsidP="001D0A8A">
            <w:pPr>
              <w:pStyle w:val="TableText"/>
              <w:spacing w:before="40"/>
              <w:jc w:val="right"/>
              <w:rPr>
                <w:szCs w:val="18"/>
              </w:rPr>
            </w:pPr>
            <w:r w:rsidRPr="004D3D52">
              <w:rPr>
                <w:w w:val="105"/>
                <w:szCs w:val="18"/>
              </w:rPr>
              <w:t>64%</w:t>
            </w:r>
          </w:p>
        </w:tc>
        <w:tc>
          <w:tcPr>
            <w:tcW w:w="1577" w:type="dxa"/>
            <w:gridSpan w:val="2"/>
          </w:tcPr>
          <w:p w14:paraId="39FC37E7" w14:textId="77777777" w:rsidR="00FE382E" w:rsidRPr="004D3D52" w:rsidRDefault="00FE382E" w:rsidP="001D0A8A">
            <w:pPr>
              <w:pStyle w:val="TableText"/>
              <w:spacing w:before="40"/>
              <w:jc w:val="right"/>
              <w:rPr>
                <w:szCs w:val="18"/>
              </w:rPr>
            </w:pPr>
            <w:r w:rsidRPr="004D3D52">
              <w:rPr>
                <w:szCs w:val="18"/>
              </w:rPr>
              <w:t>199,476</w:t>
            </w:r>
          </w:p>
        </w:tc>
        <w:tc>
          <w:tcPr>
            <w:tcW w:w="1577" w:type="dxa"/>
          </w:tcPr>
          <w:p w14:paraId="1BF9760E" w14:textId="77777777" w:rsidR="00FE382E" w:rsidRPr="004D3D52" w:rsidRDefault="00FE382E" w:rsidP="001D0A8A">
            <w:pPr>
              <w:pStyle w:val="TableText"/>
              <w:spacing w:before="40"/>
              <w:jc w:val="right"/>
              <w:rPr>
                <w:szCs w:val="18"/>
              </w:rPr>
            </w:pPr>
            <w:r w:rsidRPr="004D3D52">
              <w:rPr>
                <w:szCs w:val="18"/>
              </w:rPr>
              <w:t>77%</w:t>
            </w:r>
          </w:p>
        </w:tc>
        <w:tc>
          <w:tcPr>
            <w:tcW w:w="1577" w:type="dxa"/>
          </w:tcPr>
          <w:p w14:paraId="4C32C875" w14:textId="77777777" w:rsidR="00FE382E" w:rsidRPr="004D3D52" w:rsidRDefault="00FE382E" w:rsidP="001D0A8A">
            <w:pPr>
              <w:pStyle w:val="TableText"/>
              <w:spacing w:before="40"/>
              <w:jc w:val="right"/>
              <w:rPr>
                <w:szCs w:val="18"/>
              </w:rPr>
            </w:pPr>
            <w:r w:rsidRPr="004D3D52">
              <w:rPr>
                <w:szCs w:val="18"/>
              </w:rPr>
              <w:t>217,622</w:t>
            </w:r>
          </w:p>
        </w:tc>
        <w:tc>
          <w:tcPr>
            <w:tcW w:w="1577" w:type="dxa"/>
            <w:gridSpan w:val="2"/>
          </w:tcPr>
          <w:p w14:paraId="53411462" w14:textId="77777777" w:rsidR="00FE382E" w:rsidRPr="004D3D52" w:rsidRDefault="00FE382E" w:rsidP="001D0A8A">
            <w:pPr>
              <w:pStyle w:val="TableText"/>
              <w:spacing w:before="40"/>
              <w:jc w:val="right"/>
              <w:rPr>
                <w:szCs w:val="18"/>
              </w:rPr>
            </w:pPr>
            <w:r w:rsidRPr="004D3D52">
              <w:rPr>
                <w:w w:val="105"/>
                <w:szCs w:val="18"/>
              </w:rPr>
              <w:t>89%</w:t>
            </w:r>
          </w:p>
        </w:tc>
        <w:tc>
          <w:tcPr>
            <w:tcW w:w="1577" w:type="dxa"/>
          </w:tcPr>
          <w:p w14:paraId="02B7D251" w14:textId="77777777" w:rsidR="00FE382E" w:rsidRPr="004D3D52" w:rsidRDefault="00FE382E" w:rsidP="001D0A8A">
            <w:pPr>
              <w:pStyle w:val="TableText"/>
              <w:spacing w:before="40"/>
              <w:jc w:val="right"/>
              <w:rPr>
                <w:szCs w:val="18"/>
              </w:rPr>
            </w:pPr>
            <w:r w:rsidRPr="004D3D52">
              <w:rPr>
                <w:w w:val="105"/>
                <w:szCs w:val="18"/>
              </w:rPr>
              <w:t>3,098</w:t>
            </w:r>
          </w:p>
        </w:tc>
        <w:tc>
          <w:tcPr>
            <w:tcW w:w="1577" w:type="dxa"/>
          </w:tcPr>
          <w:p w14:paraId="610C1151" w14:textId="77777777" w:rsidR="00FE382E" w:rsidRPr="004D3D52" w:rsidRDefault="00FE382E" w:rsidP="001D0A8A">
            <w:pPr>
              <w:pStyle w:val="TableText"/>
              <w:spacing w:before="40"/>
              <w:jc w:val="right"/>
              <w:rPr>
                <w:szCs w:val="18"/>
              </w:rPr>
            </w:pPr>
            <w:r w:rsidRPr="004D3D52">
              <w:rPr>
                <w:w w:val="105"/>
                <w:szCs w:val="18"/>
              </w:rPr>
              <w:t>9%</w:t>
            </w:r>
          </w:p>
        </w:tc>
      </w:tr>
      <w:tr w:rsidR="00FE382E" w:rsidRPr="004D3D52" w14:paraId="67F3BAB8" w14:textId="77777777" w:rsidTr="001D0A8A">
        <w:trPr>
          <w:trHeight w:val="317"/>
        </w:trPr>
        <w:tc>
          <w:tcPr>
            <w:tcW w:w="1276" w:type="dxa"/>
          </w:tcPr>
          <w:p w14:paraId="72C7FAFD" w14:textId="77777777" w:rsidR="00FE382E" w:rsidRPr="004D3D52" w:rsidRDefault="00FE382E" w:rsidP="001D0A8A">
            <w:pPr>
              <w:pStyle w:val="TableText"/>
              <w:spacing w:before="40"/>
              <w:rPr>
                <w:szCs w:val="18"/>
              </w:rPr>
            </w:pPr>
            <w:r w:rsidRPr="004D3D52">
              <w:rPr>
                <w:w w:val="105"/>
                <w:szCs w:val="18"/>
              </w:rPr>
              <w:t>70</w:t>
            </w:r>
            <w:r w:rsidRPr="004D3D52">
              <w:rPr>
                <w:spacing w:val="-6"/>
                <w:w w:val="105"/>
                <w:szCs w:val="18"/>
              </w:rPr>
              <w:t xml:space="preserve"> </w:t>
            </w:r>
            <w:r w:rsidRPr="004D3D52">
              <w:rPr>
                <w:w w:val="105"/>
                <w:szCs w:val="18"/>
              </w:rPr>
              <w:t>to</w:t>
            </w:r>
            <w:r w:rsidRPr="004D3D52">
              <w:rPr>
                <w:spacing w:val="-5"/>
                <w:w w:val="105"/>
                <w:szCs w:val="18"/>
              </w:rPr>
              <w:t xml:space="preserve"> </w:t>
            </w:r>
            <w:r w:rsidRPr="004D3D52">
              <w:rPr>
                <w:w w:val="105"/>
                <w:szCs w:val="18"/>
              </w:rPr>
              <w:t>74</w:t>
            </w:r>
          </w:p>
        </w:tc>
        <w:tc>
          <w:tcPr>
            <w:tcW w:w="1577" w:type="dxa"/>
          </w:tcPr>
          <w:p w14:paraId="7CF4A63B" w14:textId="77777777" w:rsidR="00FE382E" w:rsidRPr="004D3D52" w:rsidRDefault="00FE382E" w:rsidP="001D0A8A">
            <w:pPr>
              <w:pStyle w:val="TableText"/>
              <w:spacing w:before="40"/>
              <w:jc w:val="right"/>
              <w:rPr>
                <w:szCs w:val="18"/>
              </w:rPr>
            </w:pPr>
            <w:r w:rsidRPr="004D3D52">
              <w:rPr>
                <w:szCs w:val="18"/>
              </w:rPr>
              <w:t>125,763</w:t>
            </w:r>
          </w:p>
        </w:tc>
        <w:tc>
          <w:tcPr>
            <w:tcW w:w="1577" w:type="dxa"/>
          </w:tcPr>
          <w:p w14:paraId="509A1C0B" w14:textId="77777777" w:rsidR="00FE382E" w:rsidRPr="004D3D52" w:rsidRDefault="00FE382E" w:rsidP="001D0A8A">
            <w:pPr>
              <w:pStyle w:val="TableText"/>
              <w:spacing w:before="40"/>
              <w:jc w:val="right"/>
              <w:rPr>
                <w:szCs w:val="18"/>
              </w:rPr>
            </w:pPr>
            <w:r w:rsidRPr="004D3D52">
              <w:rPr>
                <w:w w:val="105"/>
                <w:szCs w:val="18"/>
              </w:rPr>
              <w:t>57%</w:t>
            </w:r>
          </w:p>
        </w:tc>
        <w:tc>
          <w:tcPr>
            <w:tcW w:w="1577" w:type="dxa"/>
            <w:gridSpan w:val="2"/>
          </w:tcPr>
          <w:p w14:paraId="4332C084" w14:textId="77777777" w:rsidR="00FE382E" w:rsidRPr="004D3D52" w:rsidRDefault="00FE382E" w:rsidP="001D0A8A">
            <w:pPr>
              <w:pStyle w:val="TableText"/>
              <w:spacing w:before="40"/>
              <w:jc w:val="right"/>
              <w:rPr>
                <w:szCs w:val="18"/>
              </w:rPr>
            </w:pPr>
            <w:r w:rsidRPr="004D3D52">
              <w:rPr>
                <w:szCs w:val="18"/>
              </w:rPr>
              <w:t>165,045</w:t>
            </w:r>
          </w:p>
        </w:tc>
        <w:tc>
          <w:tcPr>
            <w:tcW w:w="1577" w:type="dxa"/>
          </w:tcPr>
          <w:p w14:paraId="0D105EB9" w14:textId="77777777" w:rsidR="00FE382E" w:rsidRPr="004D3D52" w:rsidRDefault="00FE382E" w:rsidP="001D0A8A">
            <w:pPr>
              <w:pStyle w:val="TableText"/>
              <w:spacing w:before="40"/>
              <w:jc w:val="right"/>
              <w:rPr>
                <w:szCs w:val="18"/>
              </w:rPr>
            </w:pPr>
            <w:r w:rsidRPr="004D3D52">
              <w:rPr>
                <w:w w:val="105"/>
                <w:szCs w:val="18"/>
              </w:rPr>
              <w:t>75%</w:t>
            </w:r>
          </w:p>
        </w:tc>
        <w:tc>
          <w:tcPr>
            <w:tcW w:w="1577" w:type="dxa"/>
          </w:tcPr>
          <w:p w14:paraId="480E9FB8" w14:textId="77777777" w:rsidR="00FE382E" w:rsidRPr="004D3D52" w:rsidRDefault="00FE382E" w:rsidP="001D0A8A">
            <w:pPr>
              <w:pStyle w:val="TableText"/>
              <w:spacing w:before="40"/>
              <w:jc w:val="right"/>
              <w:rPr>
                <w:szCs w:val="18"/>
              </w:rPr>
            </w:pPr>
            <w:r w:rsidRPr="004D3D52">
              <w:rPr>
                <w:szCs w:val="18"/>
              </w:rPr>
              <w:t>192,534</w:t>
            </w:r>
          </w:p>
        </w:tc>
        <w:tc>
          <w:tcPr>
            <w:tcW w:w="1577" w:type="dxa"/>
            <w:gridSpan w:val="2"/>
          </w:tcPr>
          <w:p w14:paraId="74123EBE" w14:textId="77777777" w:rsidR="00FE382E" w:rsidRPr="004D3D52" w:rsidRDefault="00FE382E" w:rsidP="001D0A8A">
            <w:pPr>
              <w:pStyle w:val="TableText"/>
              <w:spacing w:before="40"/>
              <w:jc w:val="right"/>
              <w:rPr>
                <w:szCs w:val="18"/>
              </w:rPr>
            </w:pPr>
            <w:r w:rsidRPr="004D3D52">
              <w:rPr>
                <w:w w:val="105"/>
                <w:szCs w:val="18"/>
              </w:rPr>
              <w:t>92%</w:t>
            </w:r>
          </w:p>
        </w:tc>
        <w:tc>
          <w:tcPr>
            <w:tcW w:w="1577" w:type="dxa"/>
          </w:tcPr>
          <w:p w14:paraId="7AFDE440" w14:textId="77777777" w:rsidR="00FE382E" w:rsidRPr="004D3D52" w:rsidRDefault="00FE382E" w:rsidP="001D0A8A">
            <w:pPr>
              <w:pStyle w:val="TableText"/>
              <w:spacing w:before="40"/>
              <w:jc w:val="right"/>
              <w:rPr>
                <w:szCs w:val="18"/>
              </w:rPr>
            </w:pPr>
            <w:r w:rsidRPr="004D3D52">
              <w:rPr>
                <w:w w:val="105"/>
                <w:szCs w:val="18"/>
              </w:rPr>
              <w:t>4,266</w:t>
            </w:r>
          </w:p>
        </w:tc>
        <w:tc>
          <w:tcPr>
            <w:tcW w:w="1577" w:type="dxa"/>
          </w:tcPr>
          <w:p w14:paraId="792A545F" w14:textId="77777777" w:rsidR="00FE382E" w:rsidRPr="004D3D52" w:rsidRDefault="00FE382E" w:rsidP="001D0A8A">
            <w:pPr>
              <w:pStyle w:val="TableText"/>
              <w:spacing w:before="40"/>
              <w:jc w:val="right"/>
              <w:rPr>
                <w:szCs w:val="18"/>
              </w:rPr>
            </w:pPr>
            <w:r w:rsidRPr="004D3D52">
              <w:rPr>
                <w:szCs w:val="18"/>
              </w:rPr>
              <w:t>13%</w:t>
            </w:r>
          </w:p>
        </w:tc>
      </w:tr>
      <w:tr w:rsidR="00FE382E" w:rsidRPr="004D3D52" w14:paraId="079BA74A" w14:textId="77777777" w:rsidTr="001D0A8A">
        <w:trPr>
          <w:trHeight w:val="317"/>
        </w:trPr>
        <w:tc>
          <w:tcPr>
            <w:tcW w:w="1276" w:type="dxa"/>
          </w:tcPr>
          <w:p w14:paraId="0C4F0894" w14:textId="77777777" w:rsidR="00FE382E" w:rsidRPr="004D3D52" w:rsidRDefault="00FE382E" w:rsidP="001D0A8A">
            <w:pPr>
              <w:pStyle w:val="TableText"/>
              <w:spacing w:before="40"/>
              <w:rPr>
                <w:szCs w:val="18"/>
              </w:rPr>
            </w:pPr>
            <w:r w:rsidRPr="004D3D52">
              <w:rPr>
                <w:w w:val="105"/>
                <w:szCs w:val="18"/>
              </w:rPr>
              <w:t>75</w:t>
            </w:r>
            <w:r w:rsidRPr="004D3D52">
              <w:rPr>
                <w:spacing w:val="-6"/>
                <w:w w:val="105"/>
                <w:szCs w:val="18"/>
              </w:rPr>
              <w:t xml:space="preserve"> </w:t>
            </w:r>
            <w:r w:rsidRPr="004D3D52">
              <w:rPr>
                <w:w w:val="105"/>
                <w:szCs w:val="18"/>
              </w:rPr>
              <w:t>to</w:t>
            </w:r>
            <w:r w:rsidRPr="004D3D52">
              <w:rPr>
                <w:spacing w:val="-5"/>
                <w:w w:val="105"/>
                <w:szCs w:val="18"/>
              </w:rPr>
              <w:t xml:space="preserve"> </w:t>
            </w:r>
            <w:r w:rsidRPr="004D3D52">
              <w:rPr>
                <w:w w:val="105"/>
                <w:szCs w:val="18"/>
              </w:rPr>
              <w:t>79</w:t>
            </w:r>
          </w:p>
        </w:tc>
        <w:tc>
          <w:tcPr>
            <w:tcW w:w="1577" w:type="dxa"/>
          </w:tcPr>
          <w:p w14:paraId="4F08C02D" w14:textId="77777777" w:rsidR="00FE382E" w:rsidRPr="004D3D52" w:rsidRDefault="00FE382E" w:rsidP="001D0A8A">
            <w:pPr>
              <w:pStyle w:val="TableText"/>
              <w:spacing w:before="40"/>
              <w:jc w:val="right"/>
              <w:rPr>
                <w:szCs w:val="18"/>
              </w:rPr>
            </w:pPr>
            <w:r w:rsidRPr="004D3D52">
              <w:rPr>
                <w:w w:val="105"/>
                <w:szCs w:val="18"/>
              </w:rPr>
              <w:t>90,743</w:t>
            </w:r>
          </w:p>
        </w:tc>
        <w:tc>
          <w:tcPr>
            <w:tcW w:w="1577" w:type="dxa"/>
          </w:tcPr>
          <w:p w14:paraId="1DC150D9" w14:textId="77777777" w:rsidR="00FE382E" w:rsidRPr="004D3D52" w:rsidRDefault="00FE382E" w:rsidP="001D0A8A">
            <w:pPr>
              <w:pStyle w:val="TableText"/>
              <w:spacing w:before="40"/>
              <w:jc w:val="right"/>
              <w:rPr>
                <w:szCs w:val="18"/>
              </w:rPr>
            </w:pPr>
            <w:r w:rsidRPr="004D3D52">
              <w:rPr>
                <w:w w:val="105"/>
                <w:szCs w:val="18"/>
              </w:rPr>
              <w:t>58%</w:t>
            </w:r>
          </w:p>
        </w:tc>
        <w:tc>
          <w:tcPr>
            <w:tcW w:w="1577" w:type="dxa"/>
            <w:gridSpan w:val="2"/>
          </w:tcPr>
          <w:p w14:paraId="1C4747C9" w14:textId="77777777" w:rsidR="00FE382E" w:rsidRPr="004D3D52" w:rsidRDefault="00FE382E" w:rsidP="001D0A8A">
            <w:pPr>
              <w:pStyle w:val="TableText"/>
              <w:spacing w:before="40"/>
              <w:jc w:val="right"/>
              <w:rPr>
                <w:szCs w:val="18"/>
              </w:rPr>
            </w:pPr>
            <w:r w:rsidRPr="004D3D52">
              <w:rPr>
                <w:szCs w:val="18"/>
              </w:rPr>
              <w:t>123,418</w:t>
            </w:r>
          </w:p>
        </w:tc>
        <w:tc>
          <w:tcPr>
            <w:tcW w:w="1577" w:type="dxa"/>
          </w:tcPr>
          <w:p w14:paraId="7599B146" w14:textId="77777777" w:rsidR="00FE382E" w:rsidRPr="004D3D52" w:rsidRDefault="00FE382E" w:rsidP="001D0A8A">
            <w:pPr>
              <w:pStyle w:val="TableText"/>
              <w:spacing w:before="40"/>
              <w:jc w:val="right"/>
              <w:rPr>
                <w:szCs w:val="18"/>
              </w:rPr>
            </w:pPr>
            <w:r w:rsidRPr="004D3D52">
              <w:rPr>
                <w:w w:val="105"/>
                <w:szCs w:val="18"/>
              </w:rPr>
              <w:t>79%</w:t>
            </w:r>
          </w:p>
        </w:tc>
        <w:tc>
          <w:tcPr>
            <w:tcW w:w="1577" w:type="dxa"/>
          </w:tcPr>
          <w:p w14:paraId="2432C0AB" w14:textId="77777777" w:rsidR="00FE382E" w:rsidRPr="004D3D52" w:rsidRDefault="00FE382E" w:rsidP="001D0A8A">
            <w:pPr>
              <w:pStyle w:val="TableText"/>
              <w:spacing w:before="40"/>
              <w:jc w:val="right"/>
              <w:rPr>
                <w:szCs w:val="18"/>
              </w:rPr>
            </w:pPr>
            <w:r w:rsidRPr="004D3D52">
              <w:rPr>
                <w:szCs w:val="18"/>
              </w:rPr>
              <w:t>149,207</w:t>
            </w:r>
          </w:p>
        </w:tc>
        <w:tc>
          <w:tcPr>
            <w:tcW w:w="1577" w:type="dxa"/>
            <w:gridSpan w:val="2"/>
          </w:tcPr>
          <w:p w14:paraId="4A162BE0" w14:textId="77777777" w:rsidR="00FE382E" w:rsidRPr="004D3D52" w:rsidRDefault="00FE382E" w:rsidP="001D0A8A">
            <w:pPr>
              <w:pStyle w:val="TableText"/>
              <w:spacing w:before="40"/>
              <w:jc w:val="right"/>
              <w:rPr>
                <w:szCs w:val="18"/>
              </w:rPr>
            </w:pPr>
            <w:r w:rsidRPr="004D3D52">
              <w:rPr>
                <w:w w:val="105"/>
                <w:szCs w:val="18"/>
              </w:rPr>
              <w:t>94%</w:t>
            </w:r>
          </w:p>
        </w:tc>
        <w:tc>
          <w:tcPr>
            <w:tcW w:w="1577" w:type="dxa"/>
          </w:tcPr>
          <w:p w14:paraId="4F9DFC5A" w14:textId="77777777" w:rsidR="00FE382E" w:rsidRPr="004D3D52" w:rsidRDefault="00FE382E" w:rsidP="001D0A8A">
            <w:pPr>
              <w:pStyle w:val="TableText"/>
              <w:spacing w:before="40"/>
              <w:jc w:val="right"/>
              <w:rPr>
                <w:szCs w:val="18"/>
              </w:rPr>
            </w:pPr>
            <w:r w:rsidRPr="004D3D52">
              <w:rPr>
                <w:szCs w:val="18"/>
              </w:rPr>
              <w:t>4,148</w:t>
            </w:r>
          </w:p>
        </w:tc>
        <w:tc>
          <w:tcPr>
            <w:tcW w:w="1577" w:type="dxa"/>
          </w:tcPr>
          <w:p w14:paraId="7AE6E993" w14:textId="77777777" w:rsidR="00FE382E" w:rsidRPr="004D3D52" w:rsidRDefault="00FE382E" w:rsidP="001D0A8A">
            <w:pPr>
              <w:pStyle w:val="TableText"/>
              <w:spacing w:before="40"/>
              <w:jc w:val="right"/>
              <w:rPr>
                <w:szCs w:val="18"/>
              </w:rPr>
            </w:pPr>
            <w:r w:rsidRPr="004D3D52">
              <w:rPr>
                <w:szCs w:val="18"/>
              </w:rPr>
              <w:t>15%</w:t>
            </w:r>
          </w:p>
        </w:tc>
      </w:tr>
      <w:tr w:rsidR="00FE382E" w:rsidRPr="004D3D52" w14:paraId="3B52A1FA" w14:textId="77777777" w:rsidTr="001D0A8A">
        <w:trPr>
          <w:trHeight w:val="317"/>
        </w:trPr>
        <w:tc>
          <w:tcPr>
            <w:tcW w:w="1276" w:type="dxa"/>
          </w:tcPr>
          <w:p w14:paraId="796D7129" w14:textId="77777777" w:rsidR="00FE382E" w:rsidRPr="004D3D52" w:rsidRDefault="00FE382E" w:rsidP="001D0A8A">
            <w:pPr>
              <w:pStyle w:val="TableText"/>
              <w:spacing w:before="40"/>
              <w:rPr>
                <w:szCs w:val="18"/>
              </w:rPr>
            </w:pPr>
            <w:r w:rsidRPr="004D3D52">
              <w:rPr>
                <w:w w:val="110"/>
                <w:szCs w:val="18"/>
              </w:rPr>
              <w:t>80</w:t>
            </w:r>
            <w:r w:rsidRPr="004D3D52">
              <w:rPr>
                <w:spacing w:val="-7"/>
                <w:w w:val="110"/>
                <w:szCs w:val="18"/>
              </w:rPr>
              <w:t xml:space="preserve"> </w:t>
            </w:r>
            <w:r w:rsidRPr="004D3D52">
              <w:rPr>
                <w:w w:val="110"/>
                <w:szCs w:val="18"/>
              </w:rPr>
              <w:t>to</w:t>
            </w:r>
            <w:r w:rsidRPr="004D3D52">
              <w:rPr>
                <w:spacing w:val="-7"/>
                <w:w w:val="110"/>
                <w:szCs w:val="18"/>
              </w:rPr>
              <w:t xml:space="preserve"> </w:t>
            </w:r>
            <w:r w:rsidRPr="004D3D52">
              <w:rPr>
                <w:w w:val="110"/>
                <w:szCs w:val="18"/>
              </w:rPr>
              <w:t>84</w:t>
            </w:r>
          </w:p>
        </w:tc>
        <w:tc>
          <w:tcPr>
            <w:tcW w:w="1577" w:type="dxa"/>
          </w:tcPr>
          <w:p w14:paraId="769B2355" w14:textId="77777777" w:rsidR="00FE382E" w:rsidRPr="004D3D52" w:rsidRDefault="00FE382E" w:rsidP="001D0A8A">
            <w:pPr>
              <w:pStyle w:val="TableText"/>
              <w:spacing w:before="40"/>
              <w:jc w:val="right"/>
              <w:rPr>
                <w:szCs w:val="18"/>
              </w:rPr>
            </w:pPr>
            <w:r w:rsidRPr="004D3D52">
              <w:rPr>
                <w:szCs w:val="18"/>
              </w:rPr>
              <w:t>60,174</w:t>
            </w:r>
          </w:p>
        </w:tc>
        <w:tc>
          <w:tcPr>
            <w:tcW w:w="1577" w:type="dxa"/>
          </w:tcPr>
          <w:p w14:paraId="38A77462" w14:textId="77777777" w:rsidR="00FE382E" w:rsidRPr="004D3D52" w:rsidRDefault="00FE382E" w:rsidP="001D0A8A">
            <w:pPr>
              <w:pStyle w:val="TableText"/>
              <w:spacing w:before="40"/>
              <w:jc w:val="right"/>
              <w:rPr>
                <w:szCs w:val="18"/>
              </w:rPr>
            </w:pPr>
            <w:r w:rsidRPr="004D3D52">
              <w:rPr>
                <w:w w:val="105"/>
                <w:szCs w:val="18"/>
              </w:rPr>
              <w:t>57%</w:t>
            </w:r>
          </w:p>
        </w:tc>
        <w:tc>
          <w:tcPr>
            <w:tcW w:w="1577" w:type="dxa"/>
            <w:gridSpan w:val="2"/>
          </w:tcPr>
          <w:p w14:paraId="0B289ADD" w14:textId="77777777" w:rsidR="00FE382E" w:rsidRPr="004D3D52" w:rsidRDefault="00FE382E" w:rsidP="001D0A8A">
            <w:pPr>
              <w:pStyle w:val="TableText"/>
              <w:spacing w:before="40"/>
              <w:jc w:val="right"/>
              <w:rPr>
                <w:szCs w:val="18"/>
              </w:rPr>
            </w:pPr>
            <w:r w:rsidRPr="004D3D52">
              <w:rPr>
                <w:w w:val="105"/>
                <w:szCs w:val="18"/>
              </w:rPr>
              <w:t>83,239</w:t>
            </w:r>
          </w:p>
        </w:tc>
        <w:tc>
          <w:tcPr>
            <w:tcW w:w="1577" w:type="dxa"/>
          </w:tcPr>
          <w:p w14:paraId="2FC9B9CC" w14:textId="77777777" w:rsidR="00FE382E" w:rsidRPr="004D3D52" w:rsidRDefault="00FE382E" w:rsidP="001D0A8A">
            <w:pPr>
              <w:pStyle w:val="TableText"/>
              <w:spacing w:before="40"/>
              <w:jc w:val="right"/>
              <w:rPr>
                <w:szCs w:val="18"/>
              </w:rPr>
            </w:pPr>
            <w:r w:rsidRPr="004D3D52">
              <w:rPr>
                <w:w w:val="105"/>
                <w:szCs w:val="18"/>
              </w:rPr>
              <w:t>78%</w:t>
            </w:r>
          </w:p>
        </w:tc>
        <w:tc>
          <w:tcPr>
            <w:tcW w:w="1577" w:type="dxa"/>
          </w:tcPr>
          <w:p w14:paraId="68E992B6" w14:textId="77777777" w:rsidR="00FE382E" w:rsidRPr="004D3D52" w:rsidRDefault="00FE382E" w:rsidP="001D0A8A">
            <w:pPr>
              <w:pStyle w:val="TableText"/>
              <w:spacing w:before="40"/>
              <w:jc w:val="right"/>
              <w:rPr>
                <w:szCs w:val="18"/>
              </w:rPr>
            </w:pPr>
            <w:r w:rsidRPr="004D3D52">
              <w:rPr>
                <w:szCs w:val="18"/>
              </w:rPr>
              <w:t>101,423</w:t>
            </w:r>
          </w:p>
        </w:tc>
        <w:tc>
          <w:tcPr>
            <w:tcW w:w="1577" w:type="dxa"/>
            <w:gridSpan w:val="2"/>
          </w:tcPr>
          <w:p w14:paraId="63AE3485" w14:textId="77777777" w:rsidR="00FE382E" w:rsidRPr="004D3D52" w:rsidRDefault="00FE382E" w:rsidP="001D0A8A">
            <w:pPr>
              <w:pStyle w:val="TableText"/>
              <w:spacing w:before="40"/>
              <w:jc w:val="right"/>
              <w:rPr>
                <w:szCs w:val="18"/>
              </w:rPr>
            </w:pPr>
            <w:r w:rsidRPr="004D3D52">
              <w:rPr>
                <w:w w:val="105"/>
                <w:szCs w:val="18"/>
              </w:rPr>
              <w:t>96%</w:t>
            </w:r>
          </w:p>
        </w:tc>
        <w:tc>
          <w:tcPr>
            <w:tcW w:w="1577" w:type="dxa"/>
          </w:tcPr>
          <w:p w14:paraId="2D21BB71" w14:textId="77777777" w:rsidR="00FE382E" w:rsidRPr="004D3D52" w:rsidRDefault="00FE382E" w:rsidP="001D0A8A">
            <w:pPr>
              <w:pStyle w:val="TableText"/>
              <w:spacing w:before="40"/>
              <w:jc w:val="right"/>
              <w:rPr>
                <w:szCs w:val="18"/>
              </w:rPr>
            </w:pPr>
            <w:r w:rsidRPr="004D3D52">
              <w:rPr>
                <w:w w:val="105"/>
                <w:szCs w:val="18"/>
              </w:rPr>
              <w:t>2,830</w:t>
            </w:r>
          </w:p>
        </w:tc>
        <w:tc>
          <w:tcPr>
            <w:tcW w:w="1577" w:type="dxa"/>
          </w:tcPr>
          <w:p w14:paraId="0220B1D3" w14:textId="77777777" w:rsidR="00FE382E" w:rsidRPr="004D3D52" w:rsidRDefault="00FE382E" w:rsidP="001D0A8A">
            <w:pPr>
              <w:pStyle w:val="TableText"/>
              <w:spacing w:before="40"/>
              <w:jc w:val="right"/>
              <w:rPr>
                <w:szCs w:val="18"/>
              </w:rPr>
            </w:pPr>
            <w:r w:rsidRPr="004D3D52">
              <w:rPr>
                <w:szCs w:val="18"/>
              </w:rPr>
              <w:t>15%</w:t>
            </w:r>
          </w:p>
        </w:tc>
      </w:tr>
      <w:tr w:rsidR="00FE382E" w:rsidRPr="004D3D52" w14:paraId="50510662" w14:textId="77777777" w:rsidTr="001D0A8A">
        <w:trPr>
          <w:trHeight w:val="318"/>
        </w:trPr>
        <w:tc>
          <w:tcPr>
            <w:tcW w:w="1276" w:type="dxa"/>
          </w:tcPr>
          <w:p w14:paraId="6C1CC1BF" w14:textId="77777777" w:rsidR="00FE382E" w:rsidRPr="004D3D52" w:rsidRDefault="00FE382E" w:rsidP="001D0A8A">
            <w:pPr>
              <w:pStyle w:val="TableText"/>
              <w:spacing w:before="40"/>
              <w:rPr>
                <w:szCs w:val="18"/>
              </w:rPr>
            </w:pPr>
            <w:r w:rsidRPr="004D3D52">
              <w:rPr>
                <w:w w:val="110"/>
                <w:szCs w:val="18"/>
              </w:rPr>
              <w:t>85</w:t>
            </w:r>
            <w:r w:rsidRPr="004D3D52">
              <w:rPr>
                <w:spacing w:val="-7"/>
                <w:w w:val="110"/>
                <w:szCs w:val="18"/>
              </w:rPr>
              <w:t xml:space="preserve"> </w:t>
            </w:r>
            <w:r w:rsidRPr="004D3D52">
              <w:rPr>
                <w:w w:val="110"/>
                <w:szCs w:val="18"/>
              </w:rPr>
              <w:t>to</w:t>
            </w:r>
            <w:r w:rsidRPr="004D3D52">
              <w:rPr>
                <w:spacing w:val="-7"/>
                <w:w w:val="110"/>
                <w:szCs w:val="18"/>
              </w:rPr>
              <w:t xml:space="preserve"> </w:t>
            </w:r>
            <w:r w:rsidRPr="004D3D52">
              <w:rPr>
                <w:w w:val="110"/>
                <w:szCs w:val="18"/>
              </w:rPr>
              <w:t>89</w:t>
            </w:r>
          </w:p>
        </w:tc>
        <w:tc>
          <w:tcPr>
            <w:tcW w:w="1577" w:type="dxa"/>
          </w:tcPr>
          <w:p w14:paraId="2641A9A2" w14:textId="77777777" w:rsidR="00FE382E" w:rsidRPr="004D3D52" w:rsidRDefault="00FE382E" w:rsidP="001D0A8A">
            <w:pPr>
              <w:pStyle w:val="TableText"/>
              <w:spacing w:before="40"/>
              <w:jc w:val="right"/>
              <w:rPr>
                <w:szCs w:val="18"/>
              </w:rPr>
            </w:pPr>
            <w:r w:rsidRPr="004D3D52">
              <w:rPr>
                <w:szCs w:val="18"/>
              </w:rPr>
              <w:t>33,150</w:t>
            </w:r>
          </w:p>
        </w:tc>
        <w:tc>
          <w:tcPr>
            <w:tcW w:w="1577" w:type="dxa"/>
          </w:tcPr>
          <w:p w14:paraId="40157F66" w14:textId="77777777" w:rsidR="00FE382E" w:rsidRPr="004D3D52" w:rsidRDefault="00FE382E" w:rsidP="001D0A8A">
            <w:pPr>
              <w:pStyle w:val="TableText"/>
              <w:spacing w:before="40"/>
              <w:jc w:val="right"/>
              <w:rPr>
                <w:szCs w:val="18"/>
              </w:rPr>
            </w:pPr>
            <w:r w:rsidRPr="004D3D52">
              <w:rPr>
                <w:w w:val="105"/>
                <w:szCs w:val="18"/>
              </w:rPr>
              <w:t>59%</w:t>
            </w:r>
          </w:p>
        </w:tc>
        <w:tc>
          <w:tcPr>
            <w:tcW w:w="1577" w:type="dxa"/>
            <w:gridSpan w:val="2"/>
          </w:tcPr>
          <w:p w14:paraId="13C533D7" w14:textId="77777777" w:rsidR="00FE382E" w:rsidRPr="004D3D52" w:rsidRDefault="00FE382E" w:rsidP="001D0A8A">
            <w:pPr>
              <w:pStyle w:val="TableText"/>
              <w:spacing w:before="40"/>
              <w:jc w:val="right"/>
              <w:rPr>
                <w:szCs w:val="18"/>
              </w:rPr>
            </w:pPr>
            <w:r w:rsidRPr="004D3D52">
              <w:rPr>
                <w:w w:val="105"/>
                <w:szCs w:val="18"/>
              </w:rPr>
              <w:t>45,326</w:t>
            </w:r>
          </w:p>
        </w:tc>
        <w:tc>
          <w:tcPr>
            <w:tcW w:w="1577" w:type="dxa"/>
          </w:tcPr>
          <w:p w14:paraId="0F627309" w14:textId="77777777" w:rsidR="00FE382E" w:rsidRPr="004D3D52" w:rsidRDefault="00FE382E" w:rsidP="001D0A8A">
            <w:pPr>
              <w:pStyle w:val="TableText"/>
              <w:spacing w:before="40"/>
              <w:jc w:val="right"/>
              <w:rPr>
                <w:szCs w:val="18"/>
              </w:rPr>
            </w:pPr>
            <w:r w:rsidRPr="004D3D52">
              <w:rPr>
                <w:w w:val="105"/>
                <w:szCs w:val="18"/>
              </w:rPr>
              <w:t>80%</w:t>
            </w:r>
          </w:p>
        </w:tc>
        <w:tc>
          <w:tcPr>
            <w:tcW w:w="1577" w:type="dxa"/>
          </w:tcPr>
          <w:p w14:paraId="4EE3CF06" w14:textId="77777777" w:rsidR="00FE382E" w:rsidRPr="004D3D52" w:rsidRDefault="00FE382E" w:rsidP="001D0A8A">
            <w:pPr>
              <w:pStyle w:val="TableText"/>
              <w:spacing w:before="40"/>
              <w:jc w:val="right"/>
              <w:rPr>
                <w:szCs w:val="18"/>
              </w:rPr>
            </w:pPr>
            <w:r w:rsidRPr="004D3D52">
              <w:rPr>
                <w:w w:val="105"/>
                <w:szCs w:val="18"/>
              </w:rPr>
              <w:t>55,422</w:t>
            </w:r>
          </w:p>
        </w:tc>
        <w:tc>
          <w:tcPr>
            <w:tcW w:w="1577" w:type="dxa"/>
            <w:gridSpan w:val="2"/>
          </w:tcPr>
          <w:p w14:paraId="148A0036" w14:textId="77777777" w:rsidR="00FE382E" w:rsidRPr="004D3D52" w:rsidRDefault="00FE382E" w:rsidP="001D0A8A">
            <w:pPr>
              <w:pStyle w:val="TableText"/>
              <w:spacing w:before="40"/>
              <w:jc w:val="right"/>
              <w:rPr>
                <w:szCs w:val="18"/>
              </w:rPr>
            </w:pPr>
            <w:r w:rsidRPr="004D3D52">
              <w:rPr>
                <w:w w:val="105"/>
                <w:szCs w:val="18"/>
              </w:rPr>
              <w:t>97%</w:t>
            </w:r>
          </w:p>
        </w:tc>
        <w:tc>
          <w:tcPr>
            <w:tcW w:w="1577" w:type="dxa"/>
          </w:tcPr>
          <w:p w14:paraId="0D36C1BB" w14:textId="77777777" w:rsidR="00FE382E" w:rsidRPr="004D3D52" w:rsidRDefault="00FE382E" w:rsidP="001D0A8A">
            <w:pPr>
              <w:pStyle w:val="TableText"/>
              <w:spacing w:before="40"/>
              <w:jc w:val="right"/>
              <w:rPr>
                <w:szCs w:val="18"/>
              </w:rPr>
            </w:pPr>
            <w:r w:rsidRPr="004D3D52">
              <w:rPr>
                <w:szCs w:val="18"/>
              </w:rPr>
              <w:t>1,357</w:t>
            </w:r>
          </w:p>
        </w:tc>
        <w:tc>
          <w:tcPr>
            <w:tcW w:w="1577" w:type="dxa"/>
          </w:tcPr>
          <w:p w14:paraId="08B2D98F" w14:textId="77777777" w:rsidR="00FE382E" w:rsidRPr="004D3D52" w:rsidRDefault="00FE382E" w:rsidP="001D0A8A">
            <w:pPr>
              <w:pStyle w:val="TableText"/>
              <w:spacing w:before="40"/>
              <w:jc w:val="right"/>
              <w:rPr>
                <w:szCs w:val="18"/>
              </w:rPr>
            </w:pPr>
            <w:r w:rsidRPr="004D3D52">
              <w:rPr>
                <w:szCs w:val="18"/>
              </w:rPr>
              <w:t>14%</w:t>
            </w:r>
          </w:p>
        </w:tc>
      </w:tr>
      <w:tr w:rsidR="00FE382E" w:rsidRPr="004D3D52" w14:paraId="0132E2DB" w14:textId="77777777" w:rsidTr="001D0A8A">
        <w:trPr>
          <w:trHeight w:val="317"/>
        </w:trPr>
        <w:tc>
          <w:tcPr>
            <w:tcW w:w="1276" w:type="dxa"/>
          </w:tcPr>
          <w:p w14:paraId="4F6EC9B9" w14:textId="77777777" w:rsidR="00FE382E" w:rsidRPr="004D3D52" w:rsidRDefault="00FE382E" w:rsidP="001D0A8A">
            <w:pPr>
              <w:pStyle w:val="TableText"/>
              <w:spacing w:before="40"/>
              <w:rPr>
                <w:szCs w:val="18"/>
              </w:rPr>
            </w:pPr>
            <w:r w:rsidRPr="004D3D52">
              <w:rPr>
                <w:w w:val="115"/>
                <w:szCs w:val="18"/>
              </w:rPr>
              <w:t>90+</w:t>
            </w:r>
          </w:p>
        </w:tc>
        <w:tc>
          <w:tcPr>
            <w:tcW w:w="1577" w:type="dxa"/>
          </w:tcPr>
          <w:p w14:paraId="683D9C2A" w14:textId="77777777" w:rsidR="00FE382E" w:rsidRPr="004D3D52" w:rsidRDefault="00FE382E" w:rsidP="001D0A8A">
            <w:pPr>
              <w:pStyle w:val="TableText"/>
              <w:spacing w:before="40"/>
              <w:jc w:val="right"/>
              <w:rPr>
                <w:szCs w:val="18"/>
              </w:rPr>
            </w:pPr>
            <w:r w:rsidRPr="004D3D52">
              <w:rPr>
                <w:szCs w:val="18"/>
              </w:rPr>
              <w:t>18,409</w:t>
            </w:r>
          </w:p>
        </w:tc>
        <w:tc>
          <w:tcPr>
            <w:tcW w:w="1577" w:type="dxa"/>
          </w:tcPr>
          <w:p w14:paraId="1E9CEEEC" w14:textId="77777777" w:rsidR="00FE382E" w:rsidRPr="004D3D52" w:rsidRDefault="00FE382E" w:rsidP="001D0A8A">
            <w:pPr>
              <w:pStyle w:val="TableText"/>
              <w:spacing w:before="40"/>
              <w:jc w:val="right"/>
              <w:rPr>
                <w:szCs w:val="18"/>
              </w:rPr>
            </w:pPr>
            <w:r w:rsidRPr="004D3D52">
              <w:rPr>
                <w:w w:val="105"/>
                <w:szCs w:val="18"/>
              </w:rPr>
              <w:t>55%</w:t>
            </w:r>
          </w:p>
        </w:tc>
        <w:tc>
          <w:tcPr>
            <w:tcW w:w="1577" w:type="dxa"/>
            <w:gridSpan w:val="2"/>
          </w:tcPr>
          <w:p w14:paraId="05868A49" w14:textId="77777777" w:rsidR="00FE382E" w:rsidRPr="004D3D52" w:rsidRDefault="00FE382E" w:rsidP="001D0A8A">
            <w:pPr>
              <w:pStyle w:val="TableText"/>
              <w:spacing w:before="40"/>
              <w:jc w:val="right"/>
              <w:rPr>
                <w:szCs w:val="18"/>
              </w:rPr>
            </w:pPr>
            <w:r w:rsidRPr="004D3D52">
              <w:rPr>
                <w:w w:val="110"/>
                <w:szCs w:val="18"/>
              </w:rPr>
              <w:t>25,856</w:t>
            </w:r>
          </w:p>
        </w:tc>
        <w:tc>
          <w:tcPr>
            <w:tcW w:w="1577" w:type="dxa"/>
          </w:tcPr>
          <w:p w14:paraId="1573CEFD" w14:textId="77777777" w:rsidR="00FE382E" w:rsidRPr="004D3D52" w:rsidRDefault="00FE382E" w:rsidP="001D0A8A">
            <w:pPr>
              <w:pStyle w:val="TableText"/>
              <w:spacing w:before="40"/>
              <w:jc w:val="right"/>
              <w:rPr>
                <w:szCs w:val="18"/>
              </w:rPr>
            </w:pPr>
            <w:r w:rsidRPr="004D3D52">
              <w:rPr>
                <w:szCs w:val="18"/>
              </w:rPr>
              <w:t>77%</w:t>
            </w:r>
          </w:p>
        </w:tc>
        <w:tc>
          <w:tcPr>
            <w:tcW w:w="1577" w:type="dxa"/>
          </w:tcPr>
          <w:p w14:paraId="16D889CB" w14:textId="77777777" w:rsidR="00FE382E" w:rsidRPr="004D3D52" w:rsidRDefault="00FE382E" w:rsidP="001D0A8A">
            <w:pPr>
              <w:pStyle w:val="TableText"/>
              <w:spacing w:before="40"/>
              <w:jc w:val="right"/>
              <w:rPr>
                <w:szCs w:val="18"/>
              </w:rPr>
            </w:pPr>
            <w:r w:rsidRPr="004D3D52">
              <w:rPr>
                <w:szCs w:val="18"/>
              </w:rPr>
              <w:t>33,710</w:t>
            </w:r>
          </w:p>
        </w:tc>
        <w:tc>
          <w:tcPr>
            <w:tcW w:w="1577" w:type="dxa"/>
            <w:gridSpan w:val="2"/>
          </w:tcPr>
          <w:p w14:paraId="0C2AE7F9" w14:textId="77777777" w:rsidR="00FE382E" w:rsidRPr="004D3D52" w:rsidRDefault="00FE382E" w:rsidP="001D0A8A">
            <w:pPr>
              <w:pStyle w:val="TableText"/>
              <w:spacing w:before="40"/>
              <w:jc w:val="right"/>
              <w:rPr>
                <w:szCs w:val="18"/>
              </w:rPr>
            </w:pPr>
            <w:r w:rsidRPr="004D3D52">
              <w:rPr>
                <w:w w:val="95"/>
                <w:szCs w:val="18"/>
              </w:rPr>
              <w:t>101%</w:t>
            </w:r>
          </w:p>
        </w:tc>
        <w:tc>
          <w:tcPr>
            <w:tcW w:w="1577" w:type="dxa"/>
          </w:tcPr>
          <w:p w14:paraId="6511E9E9" w14:textId="77777777" w:rsidR="00FE382E" w:rsidRPr="004D3D52" w:rsidRDefault="00FE382E" w:rsidP="001D0A8A">
            <w:pPr>
              <w:pStyle w:val="TableText"/>
              <w:spacing w:before="40"/>
              <w:jc w:val="right"/>
              <w:rPr>
                <w:szCs w:val="18"/>
              </w:rPr>
            </w:pPr>
            <w:r w:rsidRPr="004D3D52">
              <w:rPr>
                <w:w w:val="105"/>
                <w:szCs w:val="18"/>
              </w:rPr>
              <w:t>738</w:t>
            </w:r>
          </w:p>
        </w:tc>
        <w:tc>
          <w:tcPr>
            <w:tcW w:w="1577" w:type="dxa"/>
          </w:tcPr>
          <w:p w14:paraId="7B478128" w14:textId="77777777" w:rsidR="00FE382E" w:rsidRPr="004D3D52" w:rsidRDefault="00FE382E" w:rsidP="001D0A8A">
            <w:pPr>
              <w:pStyle w:val="TableText"/>
              <w:spacing w:before="40"/>
              <w:jc w:val="right"/>
              <w:rPr>
                <w:szCs w:val="18"/>
              </w:rPr>
            </w:pPr>
            <w:r w:rsidRPr="004D3D52">
              <w:rPr>
                <w:w w:val="85"/>
                <w:szCs w:val="18"/>
              </w:rPr>
              <w:t>11%</w:t>
            </w:r>
          </w:p>
        </w:tc>
      </w:tr>
      <w:tr w:rsidR="00FE382E" w:rsidRPr="004D3D52" w14:paraId="5681AFA9" w14:textId="77777777" w:rsidTr="001D0A8A">
        <w:trPr>
          <w:trHeight w:val="312"/>
        </w:trPr>
        <w:tc>
          <w:tcPr>
            <w:tcW w:w="1276" w:type="dxa"/>
          </w:tcPr>
          <w:p w14:paraId="1835A0D6" w14:textId="77777777" w:rsidR="00FE382E" w:rsidRPr="004D3D52" w:rsidRDefault="00FE382E" w:rsidP="001D0A8A">
            <w:pPr>
              <w:pStyle w:val="TableText"/>
              <w:spacing w:before="40"/>
              <w:rPr>
                <w:b/>
                <w:bCs/>
                <w:szCs w:val="18"/>
              </w:rPr>
            </w:pPr>
            <w:r w:rsidRPr="004D3D52">
              <w:rPr>
                <w:b/>
                <w:bCs/>
                <w:w w:val="115"/>
                <w:szCs w:val="18"/>
              </w:rPr>
              <w:t>Total</w:t>
            </w:r>
          </w:p>
        </w:tc>
        <w:tc>
          <w:tcPr>
            <w:tcW w:w="1577" w:type="dxa"/>
          </w:tcPr>
          <w:p w14:paraId="5C67EAD6" w14:textId="77777777" w:rsidR="00FE382E" w:rsidRPr="004D3D52" w:rsidRDefault="00FE382E" w:rsidP="001D0A8A">
            <w:pPr>
              <w:pStyle w:val="TableText"/>
              <w:spacing w:before="40"/>
              <w:jc w:val="right"/>
              <w:rPr>
                <w:b/>
                <w:bCs/>
                <w:szCs w:val="18"/>
              </w:rPr>
            </w:pPr>
            <w:r w:rsidRPr="004D3D52">
              <w:rPr>
                <w:b/>
                <w:bCs/>
                <w:w w:val="105"/>
                <w:szCs w:val="18"/>
              </w:rPr>
              <w:t>3,579,441</w:t>
            </w:r>
          </w:p>
        </w:tc>
        <w:tc>
          <w:tcPr>
            <w:tcW w:w="1577" w:type="dxa"/>
          </w:tcPr>
          <w:p w14:paraId="19A908D2" w14:textId="77777777" w:rsidR="00FE382E" w:rsidRPr="004D3D52" w:rsidRDefault="00FE382E" w:rsidP="001D0A8A">
            <w:pPr>
              <w:pStyle w:val="TableText"/>
              <w:spacing w:before="40"/>
              <w:jc w:val="right"/>
              <w:rPr>
                <w:b/>
                <w:bCs/>
                <w:szCs w:val="18"/>
              </w:rPr>
            </w:pPr>
            <w:r w:rsidRPr="004D3D52">
              <w:rPr>
                <w:b/>
                <w:bCs/>
                <w:w w:val="105"/>
                <w:szCs w:val="18"/>
              </w:rPr>
              <w:t>68.39%</w:t>
            </w:r>
          </w:p>
        </w:tc>
        <w:tc>
          <w:tcPr>
            <w:tcW w:w="1577" w:type="dxa"/>
            <w:gridSpan w:val="2"/>
          </w:tcPr>
          <w:p w14:paraId="04C41FD5" w14:textId="77777777" w:rsidR="00FE382E" w:rsidRPr="004D3D52" w:rsidRDefault="00FE382E" w:rsidP="001D0A8A">
            <w:pPr>
              <w:pStyle w:val="TableText"/>
              <w:spacing w:before="40"/>
              <w:jc w:val="right"/>
              <w:rPr>
                <w:b/>
                <w:bCs/>
                <w:szCs w:val="18"/>
              </w:rPr>
            </w:pPr>
            <w:r w:rsidRPr="004D3D52">
              <w:rPr>
                <w:b/>
                <w:bCs/>
                <w:szCs w:val="18"/>
              </w:rPr>
              <w:t>3,671,871</w:t>
            </w:r>
          </w:p>
        </w:tc>
        <w:tc>
          <w:tcPr>
            <w:tcW w:w="1577" w:type="dxa"/>
          </w:tcPr>
          <w:p w14:paraId="7305E30D" w14:textId="77777777" w:rsidR="00FE382E" w:rsidRPr="004D3D52" w:rsidRDefault="00FE382E" w:rsidP="001D0A8A">
            <w:pPr>
              <w:pStyle w:val="TableText"/>
              <w:spacing w:before="40"/>
              <w:jc w:val="right"/>
              <w:rPr>
                <w:b/>
                <w:bCs/>
                <w:szCs w:val="18"/>
              </w:rPr>
            </w:pPr>
            <w:r w:rsidRPr="004D3D52">
              <w:rPr>
                <w:b/>
                <w:bCs/>
                <w:szCs w:val="18"/>
              </w:rPr>
              <w:t>70.16%</w:t>
            </w:r>
          </w:p>
        </w:tc>
        <w:tc>
          <w:tcPr>
            <w:tcW w:w="1577" w:type="dxa"/>
          </w:tcPr>
          <w:p w14:paraId="43E45E29" w14:textId="77777777" w:rsidR="00FE382E" w:rsidRPr="004D3D52" w:rsidRDefault="00FE382E" w:rsidP="001D0A8A">
            <w:pPr>
              <w:pStyle w:val="TableText"/>
              <w:spacing w:before="40"/>
              <w:jc w:val="right"/>
              <w:rPr>
                <w:b/>
                <w:bCs/>
                <w:szCs w:val="18"/>
              </w:rPr>
            </w:pPr>
            <w:r w:rsidRPr="004D3D52">
              <w:rPr>
                <w:b/>
                <w:bCs/>
                <w:w w:val="110"/>
                <w:szCs w:val="18"/>
              </w:rPr>
              <w:t>2,665,054</w:t>
            </w:r>
          </w:p>
        </w:tc>
        <w:tc>
          <w:tcPr>
            <w:tcW w:w="1577" w:type="dxa"/>
            <w:gridSpan w:val="2"/>
          </w:tcPr>
          <w:p w14:paraId="2AFD2F3A" w14:textId="77777777" w:rsidR="00FE382E" w:rsidRPr="004D3D52" w:rsidRDefault="00FE382E" w:rsidP="001D0A8A">
            <w:pPr>
              <w:pStyle w:val="TableText"/>
              <w:spacing w:before="40"/>
              <w:jc w:val="right"/>
              <w:rPr>
                <w:b/>
                <w:bCs/>
                <w:szCs w:val="18"/>
              </w:rPr>
            </w:pPr>
            <w:r w:rsidRPr="004D3D52">
              <w:rPr>
                <w:b/>
                <w:bCs/>
                <w:szCs w:val="18"/>
              </w:rPr>
              <w:t>72.53%</w:t>
            </w:r>
          </w:p>
        </w:tc>
        <w:tc>
          <w:tcPr>
            <w:tcW w:w="1577" w:type="dxa"/>
          </w:tcPr>
          <w:p w14:paraId="4E097FDD" w14:textId="77777777" w:rsidR="00FE382E" w:rsidRPr="004D3D52" w:rsidRDefault="00FE382E" w:rsidP="001D0A8A">
            <w:pPr>
              <w:pStyle w:val="TableText"/>
              <w:spacing w:before="40"/>
              <w:jc w:val="right"/>
              <w:rPr>
                <w:b/>
                <w:bCs/>
                <w:szCs w:val="18"/>
              </w:rPr>
            </w:pPr>
            <w:r w:rsidRPr="004D3D52">
              <w:rPr>
                <w:b/>
                <w:bCs/>
                <w:w w:val="110"/>
                <w:szCs w:val="18"/>
              </w:rPr>
              <w:t>20,466</w:t>
            </w:r>
          </w:p>
        </w:tc>
        <w:tc>
          <w:tcPr>
            <w:tcW w:w="1577" w:type="dxa"/>
          </w:tcPr>
          <w:p w14:paraId="5D7B192D" w14:textId="77777777" w:rsidR="00FE382E" w:rsidRPr="004D3D52" w:rsidRDefault="00FE382E" w:rsidP="001D0A8A">
            <w:pPr>
              <w:pStyle w:val="TableText"/>
              <w:spacing w:before="40"/>
              <w:jc w:val="right"/>
              <w:rPr>
                <w:b/>
                <w:bCs/>
                <w:szCs w:val="18"/>
              </w:rPr>
            </w:pPr>
            <w:r w:rsidRPr="004D3D52">
              <w:rPr>
                <w:b/>
                <w:bCs/>
                <w:szCs w:val="18"/>
              </w:rPr>
              <w:t>9.73%</w:t>
            </w:r>
          </w:p>
        </w:tc>
      </w:tr>
    </w:tbl>
    <w:p w14:paraId="683610CF" w14:textId="77777777" w:rsidR="00FE382E" w:rsidRDefault="00FE382E" w:rsidP="00FE382E">
      <w:pPr>
        <w:sectPr w:rsidR="00FE382E" w:rsidSect="004D3D52">
          <w:pgSz w:w="16840" w:h="11907" w:orient="landscape" w:code="9"/>
          <w:pgMar w:top="794" w:right="1418" w:bottom="1021" w:left="1134" w:header="284" w:footer="425" w:gutter="284"/>
          <w:cols w:space="720"/>
          <w:docGrid w:linePitch="286"/>
        </w:sectPr>
      </w:pPr>
    </w:p>
    <w:p w14:paraId="33FF33A0" w14:textId="77777777" w:rsidR="00FE382E" w:rsidRDefault="00FE382E" w:rsidP="00216075">
      <w:pPr>
        <w:pStyle w:val="Heading3"/>
        <w:spacing w:before="0"/>
      </w:pPr>
      <w:bookmarkStart w:id="49" w:name="_Toc117264956"/>
      <w:r>
        <w:lastRenderedPageBreak/>
        <w:t>COVID-19 vaccine doses administered by ethnicity</w:t>
      </w:r>
      <w:bookmarkEnd w:id="49"/>
    </w:p>
    <w:p w14:paraId="606C617B" w14:textId="77777777" w:rsidR="00FE382E" w:rsidRDefault="00FE382E" w:rsidP="00FE382E">
      <w:r>
        <w:t>The counts in the table below measure the number of COVID-19 vaccine doses administered by the ethnicity of the individual who received the dose. This information was obtained from the COVID-19 Vaccination Immunisation Programme database.</w:t>
      </w:r>
    </w:p>
    <w:p w14:paraId="76995B1C" w14:textId="0483F5E1" w:rsidR="009A42D5" w:rsidRDefault="00FE382E" w:rsidP="00216075">
      <w:pPr>
        <w:pStyle w:val="Heading5"/>
      </w:pPr>
      <w:r>
        <w:t>COVID-19 vaccine doses</w:t>
      </w:r>
      <w:r>
        <w:rPr>
          <w:rStyle w:val="FootnoteReference"/>
        </w:rPr>
        <w:footnoteReference w:id="35"/>
      </w:r>
      <w:r>
        <w:t xml:space="preserve"> administered by ethnicity</w:t>
      </w:r>
      <w:r>
        <w:rPr>
          <w:rStyle w:val="FootnoteReference"/>
        </w:rPr>
        <w:footnoteReference w:id="36"/>
      </w:r>
      <w:r>
        <w:t xml:space="preserve"> (1 July 2021 – 30 June 2022)</w:t>
      </w: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843"/>
        <w:gridCol w:w="1275"/>
        <w:gridCol w:w="1276"/>
        <w:gridCol w:w="1276"/>
        <w:gridCol w:w="1276"/>
        <w:gridCol w:w="1276"/>
      </w:tblGrid>
      <w:tr w:rsidR="00FE382E" w:rsidRPr="00FE382E" w14:paraId="4883E136" w14:textId="77777777" w:rsidTr="00FE382E">
        <w:trPr>
          <w:trHeight w:val="338"/>
        </w:trPr>
        <w:tc>
          <w:tcPr>
            <w:tcW w:w="1843" w:type="dxa"/>
            <w:vMerge w:val="restart"/>
            <w:tcBorders>
              <w:top w:val="nil"/>
              <w:bottom w:val="nil"/>
            </w:tcBorders>
            <w:shd w:val="clear" w:color="auto" w:fill="D9D9D9" w:themeFill="background1" w:themeFillShade="D9"/>
          </w:tcPr>
          <w:p w14:paraId="62AB9406" w14:textId="77777777" w:rsidR="00FE382E" w:rsidRPr="00FE382E" w:rsidRDefault="00FE382E" w:rsidP="00FE382E">
            <w:pPr>
              <w:pStyle w:val="TableText"/>
              <w:rPr>
                <w:b/>
                <w:bCs/>
              </w:rPr>
            </w:pPr>
            <w:r w:rsidRPr="00FE382E">
              <w:rPr>
                <w:b/>
                <w:bCs/>
                <w:w w:val="105"/>
              </w:rPr>
              <w:t>Ethnicity</w:t>
            </w:r>
          </w:p>
          <w:p w14:paraId="6B5A9D31" w14:textId="77777777" w:rsidR="00FE382E" w:rsidRPr="00FE382E" w:rsidRDefault="00FE382E" w:rsidP="00FE382E">
            <w:pPr>
              <w:pStyle w:val="TableText"/>
              <w:rPr>
                <w:b/>
                <w:bCs/>
              </w:rPr>
            </w:pPr>
            <w:r w:rsidRPr="00FE382E">
              <w:rPr>
                <w:b/>
                <w:bCs/>
                <w:sz w:val="14"/>
                <w:szCs w:val="16"/>
              </w:rPr>
              <w:t>(Note 1)</w:t>
            </w:r>
          </w:p>
        </w:tc>
        <w:tc>
          <w:tcPr>
            <w:tcW w:w="6379" w:type="dxa"/>
            <w:gridSpan w:val="5"/>
            <w:tcBorders>
              <w:top w:val="nil"/>
              <w:bottom w:val="nil"/>
            </w:tcBorders>
            <w:shd w:val="clear" w:color="auto" w:fill="D9D9D9" w:themeFill="background1" w:themeFillShade="D9"/>
          </w:tcPr>
          <w:p w14:paraId="0E4D5A0A" w14:textId="77777777" w:rsidR="00FE382E" w:rsidRPr="00FE382E" w:rsidRDefault="00FE382E" w:rsidP="00FE382E">
            <w:pPr>
              <w:pStyle w:val="TableText"/>
              <w:jc w:val="center"/>
              <w:rPr>
                <w:b/>
                <w:bCs/>
              </w:rPr>
            </w:pPr>
            <w:r w:rsidRPr="00FE382E">
              <w:rPr>
                <w:b/>
                <w:bCs/>
                <w:w w:val="105"/>
              </w:rPr>
              <w:t>Primary</w:t>
            </w:r>
            <w:r w:rsidRPr="00FE382E">
              <w:rPr>
                <w:b/>
                <w:bCs/>
                <w:spacing w:val="7"/>
                <w:w w:val="105"/>
              </w:rPr>
              <w:t xml:space="preserve"> </w:t>
            </w:r>
            <w:r w:rsidRPr="00FE382E">
              <w:rPr>
                <w:b/>
                <w:bCs/>
                <w:w w:val="105"/>
              </w:rPr>
              <w:t>course</w:t>
            </w:r>
          </w:p>
        </w:tc>
      </w:tr>
      <w:tr w:rsidR="00FE382E" w:rsidRPr="00FE382E" w14:paraId="4B467CC7" w14:textId="77777777" w:rsidTr="00FE382E">
        <w:trPr>
          <w:trHeight w:val="338"/>
        </w:trPr>
        <w:tc>
          <w:tcPr>
            <w:tcW w:w="1843" w:type="dxa"/>
            <w:vMerge/>
            <w:tcBorders>
              <w:top w:val="nil"/>
              <w:bottom w:val="nil"/>
            </w:tcBorders>
            <w:shd w:val="clear" w:color="auto" w:fill="D9D9D9" w:themeFill="background1" w:themeFillShade="D9"/>
          </w:tcPr>
          <w:p w14:paraId="0663BB93" w14:textId="77777777" w:rsidR="00FE382E" w:rsidRPr="00FE382E" w:rsidRDefault="00FE382E" w:rsidP="00FE382E">
            <w:pPr>
              <w:pStyle w:val="TableText"/>
              <w:rPr>
                <w:b/>
                <w:bCs/>
                <w:sz w:val="2"/>
                <w:szCs w:val="2"/>
              </w:rPr>
            </w:pPr>
          </w:p>
        </w:tc>
        <w:tc>
          <w:tcPr>
            <w:tcW w:w="1275" w:type="dxa"/>
            <w:tcBorders>
              <w:top w:val="nil"/>
              <w:bottom w:val="nil"/>
            </w:tcBorders>
            <w:shd w:val="clear" w:color="auto" w:fill="D9D9D9" w:themeFill="background1" w:themeFillShade="D9"/>
          </w:tcPr>
          <w:p w14:paraId="3B1F998B" w14:textId="77777777" w:rsidR="00FE382E" w:rsidRPr="00FE382E" w:rsidRDefault="00FE382E" w:rsidP="00FE382E">
            <w:pPr>
              <w:pStyle w:val="TableText"/>
              <w:jc w:val="right"/>
              <w:rPr>
                <w:b/>
                <w:bCs/>
              </w:rPr>
            </w:pPr>
            <w:r w:rsidRPr="00FE382E">
              <w:rPr>
                <w:b/>
                <w:bCs/>
              </w:rPr>
              <w:t>Dose 1</w:t>
            </w:r>
          </w:p>
        </w:tc>
        <w:tc>
          <w:tcPr>
            <w:tcW w:w="1276" w:type="dxa"/>
            <w:tcBorders>
              <w:top w:val="nil"/>
              <w:bottom w:val="nil"/>
            </w:tcBorders>
            <w:shd w:val="clear" w:color="auto" w:fill="D9D9D9" w:themeFill="background1" w:themeFillShade="D9"/>
          </w:tcPr>
          <w:p w14:paraId="46524A9A" w14:textId="77777777" w:rsidR="00FE382E" w:rsidRPr="00FE382E" w:rsidRDefault="00FE382E" w:rsidP="00FE382E">
            <w:pPr>
              <w:pStyle w:val="TableText"/>
              <w:jc w:val="right"/>
              <w:rPr>
                <w:b/>
                <w:bCs/>
              </w:rPr>
            </w:pPr>
            <w:r w:rsidRPr="00FE382E">
              <w:rPr>
                <w:b/>
                <w:bCs/>
              </w:rPr>
              <w:t>Dose 2</w:t>
            </w:r>
          </w:p>
        </w:tc>
        <w:tc>
          <w:tcPr>
            <w:tcW w:w="1276" w:type="dxa"/>
            <w:tcBorders>
              <w:top w:val="nil"/>
              <w:bottom w:val="nil"/>
            </w:tcBorders>
            <w:shd w:val="clear" w:color="auto" w:fill="D9D9D9" w:themeFill="background1" w:themeFillShade="D9"/>
          </w:tcPr>
          <w:p w14:paraId="5E04DF5E" w14:textId="77777777" w:rsidR="00FE382E" w:rsidRPr="00FE382E" w:rsidRDefault="00FE382E" w:rsidP="00FE382E">
            <w:pPr>
              <w:pStyle w:val="TableText"/>
              <w:jc w:val="right"/>
              <w:rPr>
                <w:b/>
                <w:bCs/>
              </w:rPr>
            </w:pPr>
            <w:r w:rsidRPr="00FE382E">
              <w:rPr>
                <w:b/>
                <w:bCs/>
              </w:rPr>
              <w:t>Booster 1</w:t>
            </w:r>
          </w:p>
        </w:tc>
        <w:tc>
          <w:tcPr>
            <w:tcW w:w="1276" w:type="dxa"/>
            <w:tcBorders>
              <w:top w:val="nil"/>
              <w:bottom w:val="nil"/>
            </w:tcBorders>
            <w:shd w:val="clear" w:color="auto" w:fill="D9D9D9" w:themeFill="background1" w:themeFillShade="D9"/>
          </w:tcPr>
          <w:p w14:paraId="7BFA08CA" w14:textId="77777777" w:rsidR="00FE382E" w:rsidRPr="00FE382E" w:rsidRDefault="00FE382E" w:rsidP="00FE382E">
            <w:pPr>
              <w:pStyle w:val="TableText"/>
              <w:jc w:val="right"/>
              <w:rPr>
                <w:b/>
                <w:bCs/>
              </w:rPr>
            </w:pPr>
            <w:r w:rsidRPr="00FE382E">
              <w:rPr>
                <w:b/>
                <w:bCs/>
              </w:rPr>
              <w:t>Booster 2</w:t>
            </w:r>
          </w:p>
        </w:tc>
        <w:tc>
          <w:tcPr>
            <w:tcW w:w="1276" w:type="dxa"/>
            <w:tcBorders>
              <w:top w:val="nil"/>
              <w:bottom w:val="nil"/>
            </w:tcBorders>
            <w:shd w:val="clear" w:color="auto" w:fill="D9D9D9" w:themeFill="background1" w:themeFillShade="D9"/>
          </w:tcPr>
          <w:p w14:paraId="42301FF3" w14:textId="77777777" w:rsidR="00FE382E" w:rsidRPr="00FE382E" w:rsidRDefault="00FE382E" w:rsidP="00FE382E">
            <w:pPr>
              <w:pStyle w:val="TableText"/>
              <w:jc w:val="right"/>
              <w:rPr>
                <w:b/>
                <w:bCs/>
              </w:rPr>
            </w:pPr>
            <w:r w:rsidRPr="00FE382E">
              <w:rPr>
                <w:b/>
                <w:bCs/>
              </w:rPr>
              <w:t>Total</w:t>
            </w:r>
          </w:p>
        </w:tc>
      </w:tr>
      <w:tr w:rsidR="00FE382E" w14:paraId="3790EDE3" w14:textId="77777777" w:rsidTr="00FE382E">
        <w:trPr>
          <w:trHeight w:val="338"/>
        </w:trPr>
        <w:tc>
          <w:tcPr>
            <w:tcW w:w="1843" w:type="dxa"/>
            <w:tcBorders>
              <w:top w:val="nil"/>
            </w:tcBorders>
          </w:tcPr>
          <w:p w14:paraId="6A2DAD6A" w14:textId="77777777" w:rsidR="00FE382E" w:rsidRDefault="00FE382E" w:rsidP="00FE382E">
            <w:pPr>
              <w:pStyle w:val="TableText"/>
            </w:pPr>
            <w:r>
              <w:rPr>
                <w:w w:val="105"/>
              </w:rPr>
              <w:t>Asian</w:t>
            </w:r>
          </w:p>
        </w:tc>
        <w:tc>
          <w:tcPr>
            <w:tcW w:w="1275" w:type="dxa"/>
            <w:tcBorders>
              <w:top w:val="nil"/>
            </w:tcBorders>
          </w:tcPr>
          <w:p w14:paraId="7562B484" w14:textId="77777777" w:rsidR="00FE382E" w:rsidRDefault="00FE382E" w:rsidP="00FE382E">
            <w:pPr>
              <w:pStyle w:val="TableText"/>
              <w:jc w:val="right"/>
            </w:pPr>
            <w:r>
              <w:rPr>
                <w:w w:val="110"/>
              </w:rPr>
              <w:t>580,623</w:t>
            </w:r>
          </w:p>
        </w:tc>
        <w:tc>
          <w:tcPr>
            <w:tcW w:w="1276" w:type="dxa"/>
            <w:tcBorders>
              <w:top w:val="nil"/>
            </w:tcBorders>
          </w:tcPr>
          <w:p w14:paraId="66B41334" w14:textId="77777777" w:rsidR="00FE382E" w:rsidRDefault="00FE382E" w:rsidP="00FE382E">
            <w:pPr>
              <w:pStyle w:val="TableText"/>
              <w:jc w:val="right"/>
            </w:pPr>
            <w:r>
              <w:rPr>
                <w:w w:val="110"/>
              </w:rPr>
              <w:t>590,465</w:t>
            </w:r>
          </w:p>
        </w:tc>
        <w:tc>
          <w:tcPr>
            <w:tcW w:w="1276" w:type="dxa"/>
            <w:tcBorders>
              <w:top w:val="nil"/>
            </w:tcBorders>
          </w:tcPr>
          <w:p w14:paraId="2551976C" w14:textId="77777777" w:rsidR="00FE382E" w:rsidRDefault="00FE382E" w:rsidP="00FE382E">
            <w:pPr>
              <w:pStyle w:val="TableText"/>
              <w:jc w:val="right"/>
            </w:pPr>
            <w:r>
              <w:rPr>
                <w:w w:val="105"/>
              </w:rPr>
              <w:t>437,058</w:t>
            </w:r>
          </w:p>
        </w:tc>
        <w:tc>
          <w:tcPr>
            <w:tcW w:w="1276" w:type="dxa"/>
            <w:tcBorders>
              <w:top w:val="nil"/>
            </w:tcBorders>
          </w:tcPr>
          <w:p w14:paraId="462AC26E" w14:textId="77777777" w:rsidR="00FE382E" w:rsidRDefault="00FE382E" w:rsidP="00FE382E">
            <w:pPr>
              <w:pStyle w:val="TableText"/>
              <w:jc w:val="right"/>
            </w:pPr>
            <w:r>
              <w:t>1,052</w:t>
            </w:r>
          </w:p>
        </w:tc>
        <w:tc>
          <w:tcPr>
            <w:tcW w:w="1276" w:type="dxa"/>
            <w:tcBorders>
              <w:top w:val="nil"/>
            </w:tcBorders>
          </w:tcPr>
          <w:p w14:paraId="7171D8A4" w14:textId="77777777" w:rsidR="00FE382E" w:rsidRDefault="00FE382E" w:rsidP="00FE382E">
            <w:pPr>
              <w:pStyle w:val="TableText"/>
              <w:jc w:val="right"/>
            </w:pPr>
            <w:r>
              <w:t>1,609,198</w:t>
            </w:r>
          </w:p>
        </w:tc>
      </w:tr>
      <w:tr w:rsidR="00FE382E" w14:paraId="1A0A587F" w14:textId="77777777" w:rsidTr="00FE382E">
        <w:trPr>
          <w:trHeight w:val="338"/>
        </w:trPr>
        <w:tc>
          <w:tcPr>
            <w:tcW w:w="1843" w:type="dxa"/>
          </w:tcPr>
          <w:p w14:paraId="4E02DCEE" w14:textId="77777777" w:rsidR="00FE382E" w:rsidRDefault="00FE382E" w:rsidP="00FE382E">
            <w:pPr>
              <w:pStyle w:val="TableText"/>
            </w:pPr>
            <w:r>
              <w:t>European/other</w:t>
            </w:r>
          </w:p>
        </w:tc>
        <w:tc>
          <w:tcPr>
            <w:tcW w:w="1275" w:type="dxa"/>
          </w:tcPr>
          <w:p w14:paraId="5EE26A87" w14:textId="77777777" w:rsidR="00FE382E" w:rsidRDefault="00FE382E" w:rsidP="00FE382E">
            <w:pPr>
              <w:pStyle w:val="TableText"/>
              <w:jc w:val="right"/>
            </w:pPr>
            <w:r>
              <w:t>2,217,281</w:t>
            </w:r>
          </w:p>
        </w:tc>
        <w:tc>
          <w:tcPr>
            <w:tcW w:w="1276" w:type="dxa"/>
          </w:tcPr>
          <w:p w14:paraId="2F1DB59B" w14:textId="77777777" w:rsidR="00FE382E" w:rsidRDefault="00FE382E" w:rsidP="00FE382E">
            <w:pPr>
              <w:pStyle w:val="TableText"/>
              <w:jc w:val="right"/>
            </w:pPr>
            <w:r>
              <w:rPr>
                <w:w w:val="105"/>
              </w:rPr>
              <w:t>2,309,673</w:t>
            </w:r>
          </w:p>
        </w:tc>
        <w:tc>
          <w:tcPr>
            <w:tcW w:w="1276" w:type="dxa"/>
          </w:tcPr>
          <w:p w14:paraId="21CCB8C1" w14:textId="77777777" w:rsidR="00FE382E" w:rsidRDefault="00FE382E" w:rsidP="00FE382E">
            <w:pPr>
              <w:pStyle w:val="TableText"/>
              <w:jc w:val="right"/>
            </w:pPr>
            <w:r>
              <w:t>1,830,969</w:t>
            </w:r>
          </w:p>
        </w:tc>
        <w:tc>
          <w:tcPr>
            <w:tcW w:w="1276" w:type="dxa"/>
          </w:tcPr>
          <w:p w14:paraId="45D8757E" w14:textId="77777777" w:rsidR="00FE382E" w:rsidRDefault="00FE382E" w:rsidP="00FE382E">
            <w:pPr>
              <w:pStyle w:val="TableText"/>
              <w:jc w:val="right"/>
            </w:pPr>
            <w:r>
              <w:t>18,853</w:t>
            </w:r>
          </w:p>
        </w:tc>
        <w:tc>
          <w:tcPr>
            <w:tcW w:w="1276" w:type="dxa"/>
          </w:tcPr>
          <w:p w14:paraId="1C203127" w14:textId="77777777" w:rsidR="00FE382E" w:rsidRDefault="00FE382E" w:rsidP="00FE382E">
            <w:pPr>
              <w:pStyle w:val="TableText"/>
              <w:jc w:val="right"/>
            </w:pPr>
            <w:r>
              <w:rPr>
                <w:w w:val="105"/>
              </w:rPr>
              <w:t>6,376,776</w:t>
            </w:r>
          </w:p>
        </w:tc>
      </w:tr>
      <w:tr w:rsidR="00FE382E" w14:paraId="5E1DA480" w14:textId="77777777" w:rsidTr="00FE382E">
        <w:trPr>
          <w:trHeight w:val="338"/>
        </w:trPr>
        <w:tc>
          <w:tcPr>
            <w:tcW w:w="1843" w:type="dxa"/>
          </w:tcPr>
          <w:p w14:paraId="19F1C3E0" w14:textId="77777777" w:rsidR="00FE382E" w:rsidRDefault="00FE382E" w:rsidP="00FE382E">
            <w:pPr>
              <w:pStyle w:val="TableText"/>
            </w:pPr>
            <w:r>
              <w:t>Māori</w:t>
            </w:r>
          </w:p>
        </w:tc>
        <w:tc>
          <w:tcPr>
            <w:tcW w:w="1275" w:type="dxa"/>
          </w:tcPr>
          <w:p w14:paraId="6AF423A4" w14:textId="77777777" w:rsidR="00FE382E" w:rsidRDefault="00FE382E" w:rsidP="00FE382E">
            <w:pPr>
              <w:pStyle w:val="TableText"/>
              <w:jc w:val="right"/>
            </w:pPr>
            <w:r>
              <w:rPr>
                <w:w w:val="110"/>
              </w:rPr>
              <w:t>494,988</w:t>
            </w:r>
          </w:p>
        </w:tc>
        <w:tc>
          <w:tcPr>
            <w:tcW w:w="1276" w:type="dxa"/>
          </w:tcPr>
          <w:p w14:paraId="33083E6B" w14:textId="77777777" w:rsidR="00FE382E" w:rsidRDefault="00FE382E" w:rsidP="00FE382E">
            <w:pPr>
              <w:pStyle w:val="TableText"/>
              <w:jc w:val="right"/>
            </w:pPr>
            <w:r>
              <w:t>478,102</w:t>
            </w:r>
          </w:p>
        </w:tc>
        <w:tc>
          <w:tcPr>
            <w:tcW w:w="1276" w:type="dxa"/>
          </w:tcPr>
          <w:p w14:paraId="5E4F61D1" w14:textId="77777777" w:rsidR="00FE382E" w:rsidRDefault="00FE382E" w:rsidP="00FE382E">
            <w:pPr>
              <w:pStyle w:val="TableText"/>
              <w:jc w:val="right"/>
            </w:pPr>
            <w:r>
              <w:t>243,101</w:t>
            </w:r>
          </w:p>
        </w:tc>
        <w:tc>
          <w:tcPr>
            <w:tcW w:w="1276" w:type="dxa"/>
          </w:tcPr>
          <w:p w14:paraId="26686BB0" w14:textId="77777777" w:rsidR="00FE382E" w:rsidRDefault="00FE382E" w:rsidP="00FE382E">
            <w:pPr>
              <w:pStyle w:val="TableText"/>
              <w:jc w:val="right"/>
            </w:pPr>
            <w:r>
              <w:t>1,270</w:t>
            </w:r>
          </w:p>
        </w:tc>
        <w:tc>
          <w:tcPr>
            <w:tcW w:w="1276" w:type="dxa"/>
          </w:tcPr>
          <w:p w14:paraId="0EF813D6" w14:textId="77777777" w:rsidR="00FE382E" w:rsidRDefault="00FE382E" w:rsidP="00FE382E">
            <w:pPr>
              <w:pStyle w:val="TableText"/>
              <w:jc w:val="right"/>
            </w:pPr>
            <w:r>
              <w:t>1,217,461</w:t>
            </w:r>
          </w:p>
        </w:tc>
      </w:tr>
      <w:tr w:rsidR="00FE382E" w14:paraId="1B360313" w14:textId="77777777" w:rsidTr="00FE382E">
        <w:trPr>
          <w:trHeight w:val="338"/>
        </w:trPr>
        <w:tc>
          <w:tcPr>
            <w:tcW w:w="1843" w:type="dxa"/>
          </w:tcPr>
          <w:p w14:paraId="323C9F56" w14:textId="77777777" w:rsidR="00FE382E" w:rsidRDefault="00FE382E" w:rsidP="00FE382E">
            <w:pPr>
              <w:pStyle w:val="TableText"/>
            </w:pPr>
            <w:r>
              <w:t>Pacific</w:t>
            </w:r>
            <w:r>
              <w:rPr>
                <w:spacing w:val="5"/>
              </w:rPr>
              <w:t xml:space="preserve"> </w:t>
            </w:r>
            <w:r>
              <w:t>peoples</w:t>
            </w:r>
          </w:p>
        </w:tc>
        <w:tc>
          <w:tcPr>
            <w:tcW w:w="1275" w:type="dxa"/>
          </w:tcPr>
          <w:p w14:paraId="5AB9821A" w14:textId="77777777" w:rsidR="00FE382E" w:rsidRDefault="00FE382E" w:rsidP="00FE382E">
            <w:pPr>
              <w:pStyle w:val="TableText"/>
              <w:jc w:val="right"/>
            </w:pPr>
            <w:r>
              <w:t>253,571</w:t>
            </w:r>
          </w:p>
        </w:tc>
        <w:tc>
          <w:tcPr>
            <w:tcW w:w="1276" w:type="dxa"/>
          </w:tcPr>
          <w:p w14:paraId="19C113D0" w14:textId="77777777" w:rsidR="00FE382E" w:rsidRDefault="00FE382E" w:rsidP="00FE382E">
            <w:pPr>
              <w:pStyle w:val="TableText"/>
              <w:jc w:val="right"/>
            </w:pPr>
            <w:r>
              <w:rPr>
                <w:w w:val="105"/>
              </w:rPr>
              <w:t>252,529</w:t>
            </w:r>
          </w:p>
        </w:tc>
        <w:tc>
          <w:tcPr>
            <w:tcW w:w="1276" w:type="dxa"/>
          </w:tcPr>
          <w:p w14:paraId="1F21C96A" w14:textId="77777777" w:rsidR="00FE382E" w:rsidRDefault="00FE382E" w:rsidP="00FE382E">
            <w:pPr>
              <w:pStyle w:val="TableText"/>
              <w:jc w:val="right"/>
            </w:pPr>
            <w:r>
              <w:rPr>
                <w:w w:val="95"/>
              </w:rPr>
              <w:t>146,115</w:t>
            </w:r>
          </w:p>
        </w:tc>
        <w:tc>
          <w:tcPr>
            <w:tcW w:w="1276" w:type="dxa"/>
          </w:tcPr>
          <w:p w14:paraId="6E38997C" w14:textId="77777777" w:rsidR="00FE382E" w:rsidRDefault="00FE382E" w:rsidP="00FE382E">
            <w:pPr>
              <w:pStyle w:val="TableText"/>
              <w:jc w:val="right"/>
            </w:pPr>
            <w:r>
              <w:rPr>
                <w:w w:val="110"/>
              </w:rPr>
              <w:t>365</w:t>
            </w:r>
          </w:p>
        </w:tc>
        <w:tc>
          <w:tcPr>
            <w:tcW w:w="1276" w:type="dxa"/>
          </w:tcPr>
          <w:p w14:paraId="0C6509CF" w14:textId="77777777" w:rsidR="00FE382E" w:rsidRDefault="00FE382E" w:rsidP="00FE382E">
            <w:pPr>
              <w:pStyle w:val="TableText"/>
              <w:jc w:val="right"/>
            </w:pPr>
            <w:r>
              <w:rPr>
                <w:w w:val="110"/>
              </w:rPr>
              <w:t>652,580</w:t>
            </w:r>
          </w:p>
        </w:tc>
      </w:tr>
      <w:tr w:rsidR="00FE382E" w14:paraId="5B13304F" w14:textId="77777777" w:rsidTr="00FE382E">
        <w:trPr>
          <w:trHeight w:val="338"/>
        </w:trPr>
        <w:tc>
          <w:tcPr>
            <w:tcW w:w="1843" w:type="dxa"/>
          </w:tcPr>
          <w:p w14:paraId="02209E36" w14:textId="77777777" w:rsidR="00FE382E" w:rsidRDefault="00FE382E" w:rsidP="00FE382E">
            <w:pPr>
              <w:pStyle w:val="TableText"/>
            </w:pPr>
            <w:r>
              <w:t>Unknown</w:t>
            </w:r>
          </w:p>
        </w:tc>
        <w:tc>
          <w:tcPr>
            <w:tcW w:w="1275" w:type="dxa"/>
          </w:tcPr>
          <w:p w14:paraId="38623AD6" w14:textId="77777777" w:rsidR="00FE382E" w:rsidRDefault="00FE382E" w:rsidP="00FE382E">
            <w:pPr>
              <w:pStyle w:val="TableText"/>
              <w:jc w:val="right"/>
            </w:pPr>
            <w:r>
              <w:rPr>
                <w:w w:val="105"/>
              </w:rPr>
              <w:t>26,743</w:t>
            </w:r>
          </w:p>
        </w:tc>
        <w:tc>
          <w:tcPr>
            <w:tcW w:w="1276" w:type="dxa"/>
          </w:tcPr>
          <w:p w14:paraId="2B77E695" w14:textId="77777777" w:rsidR="00FE382E" w:rsidRDefault="00FE382E" w:rsidP="00FE382E">
            <w:pPr>
              <w:pStyle w:val="TableText"/>
              <w:jc w:val="right"/>
            </w:pPr>
            <w:r>
              <w:rPr>
                <w:w w:val="105"/>
              </w:rPr>
              <w:t>27,464</w:t>
            </w:r>
          </w:p>
        </w:tc>
        <w:tc>
          <w:tcPr>
            <w:tcW w:w="1276" w:type="dxa"/>
          </w:tcPr>
          <w:p w14:paraId="31D5AD82" w14:textId="77777777" w:rsidR="00FE382E" w:rsidRDefault="00FE382E" w:rsidP="00FE382E">
            <w:pPr>
              <w:pStyle w:val="TableText"/>
              <w:jc w:val="right"/>
            </w:pPr>
            <w:r>
              <w:rPr>
                <w:w w:val="105"/>
              </w:rPr>
              <w:t>23,855</w:t>
            </w:r>
          </w:p>
        </w:tc>
        <w:tc>
          <w:tcPr>
            <w:tcW w:w="1276" w:type="dxa"/>
          </w:tcPr>
          <w:p w14:paraId="6D6E23B9" w14:textId="77777777" w:rsidR="00FE382E" w:rsidRDefault="00FE382E" w:rsidP="00FE382E">
            <w:pPr>
              <w:pStyle w:val="TableText"/>
              <w:jc w:val="right"/>
            </w:pPr>
            <w:r>
              <w:t>133</w:t>
            </w:r>
          </w:p>
        </w:tc>
        <w:tc>
          <w:tcPr>
            <w:tcW w:w="1276" w:type="dxa"/>
          </w:tcPr>
          <w:p w14:paraId="355D65B2" w14:textId="77777777" w:rsidR="00FE382E" w:rsidRDefault="00FE382E" w:rsidP="00FE382E">
            <w:pPr>
              <w:pStyle w:val="TableText"/>
              <w:jc w:val="right"/>
            </w:pPr>
            <w:r>
              <w:t>78,195</w:t>
            </w:r>
          </w:p>
        </w:tc>
      </w:tr>
      <w:tr w:rsidR="00FE382E" w:rsidRPr="00FE382E" w14:paraId="0443C860" w14:textId="77777777" w:rsidTr="00FE382E">
        <w:trPr>
          <w:trHeight w:val="333"/>
        </w:trPr>
        <w:tc>
          <w:tcPr>
            <w:tcW w:w="1843" w:type="dxa"/>
          </w:tcPr>
          <w:p w14:paraId="0A312DF4" w14:textId="77777777" w:rsidR="00FE382E" w:rsidRPr="00FE382E" w:rsidRDefault="00FE382E" w:rsidP="00FE382E">
            <w:pPr>
              <w:pStyle w:val="TableText"/>
              <w:rPr>
                <w:b/>
                <w:bCs/>
              </w:rPr>
            </w:pPr>
            <w:r w:rsidRPr="00FE382E">
              <w:rPr>
                <w:b/>
                <w:bCs/>
                <w:w w:val="115"/>
              </w:rPr>
              <w:t>Total</w:t>
            </w:r>
          </w:p>
        </w:tc>
        <w:tc>
          <w:tcPr>
            <w:tcW w:w="1275" w:type="dxa"/>
          </w:tcPr>
          <w:p w14:paraId="1BBCA8A8" w14:textId="77777777" w:rsidR="00FE382E" w:rsidRPr="00FE382E" w:rsidRDefault="00FE382E" w:rsidP="00FE382E">
            <w:pPr>
              <w:pStyle w:val="TableText"/>
              <w:jc w:val="right"/>
              <w:rPr>
                <w:b/>
                <w:bCs/>
              </w:rPr>
            </w:pPr>
            <w:r w:rsidRPr="00FE382E">
              <w:rPr>
                <w:b/>
                <w:bCs/>
                <w:w w:val="105"/>
              </w:rPr>
              <w:t>3,573,206</w:t>
            </w:r>
          </w:p>
        </w:tc>
        <w:tc>
          <w:tcPr>
            <w:tcW w:w="1276" w:type="dxa"/>
          </w:tcPr>
          <w:p w14:paraId="2F9F05A8" w14:textId="77777777" w:rsidR="00FE382E" w:rsidRPr="00FE382E" w:rsidRDefault="00FE382E" w:rsidP="00FE382E">
            <w:pPr>
              <w:pStyle w:val="TableText"/>
              <w:jc w:val="right"/>
              <w:rPr>
                <w:b/>
                <w:bCs/>
              </w:rPr>
            </w:pPr>
            <w:r w:rsidRPr="00FE382E">
              <w:rPr>
                <w:b/>
                <w:bCs/>
                <w:w w:val="105"/>
              </w:rPr>
              <w:t>3,658,233</w:t>
            </w:r>
          </w:p>
        </w:tc>
        <w:tc>
          <w:tcPr>
            <w:tcW w:w="1276" w:type="dxa"/>
          </w:tcPr>
          <w:p w14:paraId="02A8C298" w14:textId="77777777" w:rsidR="00FE382E" w:rsidRPr="00FE382E" w:rsidRDefault="00FE382E" w:rsidP="00FE382E">
            <w:pPr>
              <w:pStyle w:val="TableText"/>
              <w:jc w:val="right"/>
              <w:rPr>
                <w:b/>
                <w:bCs/>
              </w:rPr>
            </w:pPr>
            <w:r w:rsidRPr="00FE382E">
              <w:rPr>
                <w:b/>
                <w:bCs/>
                <w:w w:val="105"/>
              </w:rPr>
              <w:t>2,681,098</w:t>
            </w:r>
          </w:p>
        </w:tc>
        <w:tc>
          <w:tcPr>
            <w:tcW w:w="1276" w:type="dxa"/>
          </w:tcPr>
          <w:p w14:paraId="1F3DFC6A" w14:textId="77777777" w:rsidR="00FE382E" w:rsidRPr="00FE382E" w:rsidRDefault="00FE382E" w:rsidP="00FE382E">
            <w:pPr>
              <w:pStyle w:val="TableText"/>
              <w:jc w:val="right"/>
              <w:rPr>
                <w:b/>
                <w:bCs/>
              </w:rPr>
            </w:pPr>
            <w:r w:rsidRPr="00FE382E">
              <w:rPr>
                <w:b/>
                <w:bCs/>
              </w:rPr>
              <w:t>21,673</w:t>
            </w:r>
          </w:p>
        </w:tc>
        <w:tc>
          <w:tcPr>
            <w:tcW w:w="1276" w:type="dxa"/>
          </w:tcPr>
          <w:p w14:paraId="28093505" w14:textId="77777777" w:rsidR="00FE382E" w:rsidRPr="00FE382E" w:rsidRDefault="00FE382E" w:rsidP="00FE382E">
            <w:pPr>
              <w:pStyle w:val="TableText"/>
              <w:jc w:val="right"/>
              <w:rPr>
                <w:b/>
                <w:bCs/>
              </w:rPr>
            </w:pPr>
            <w:r w:rsidRPr="00FE382E">
              <w:rPr>
                <w:b/>
                <w:bCs/>
                <w:w w:val="105"/>
              </w:rPr>
              <w:t>9,934,210</w:t>
            </w:r>
          </w:p>
        </w:tc>
      </w:tr>
    </w:tbl>
    <w:p w14:paraId="388D51AE" w14:textId="77777777" w:rsidR="00FE382E" w:rsidRDefault="00FE382E" w:rsidP="00FE382E">
      <w:pPr>
        <w:pStyle w:val="Note"/>
      </w:pPr>
      <w:r>
        <w:t>Note 1: Ethnicity is based on the prioritised ethnicity classification system. This allocates each individual to a single ethnic group, based on the ethnic group (or groups) they identify with. Where people identify with more than one ethnic group, they are prioritised as: Māori, Pacific peoples, Asian, European/other, Unknown. For example, if a person identifies as being Māori and New Zealand European, the person is counted as Māori in this dataset. ‘Unknown’ is where a person has not disclosed any ethnicity.</w:t>
      </w:r>
    </w:p>
    <w:p w14:paraId="6D862F48" w14:textId="7F1D3D57" w:rsidR="00FE382E" w:rsidRDefault="00FE382E" w:rsidP="00FE382E">
      <w:pPr>
        <w:pStyle w:val="Note"/>
      </w:pPr>
      <w:r>
        <w:t>Note 2: Some demographic breakdowns appear to show more doses administered for Dose 2 compared to Dose 1. This is due to COVID-19 vaccination doses being administered in the previous financial year (2020/21).</w:t>
      </w:r>
    </w:p>
    <w:p w14:paraId="494A37B4" w14:textId="77777777" w:rsidR="00FE382E" w:rsidRDefault="00FE382E" w:rsidP="00216075">
      <w:pPr>
        <w:pStyle w:val="Heading3"/>
      </w:pPr>
      <w:bookmarkStart w:id="50" w:name="_Toc117264957"/>
      <w:r>
        <w:t>COVID-19 people vaccinated by ethnicity</w:t>
      </w:r>
      <w:bookmarkEnd w:id="50"/>
    </w:p>
    <w:p w14:paraId="3F47E1C9" w14:textId="77777777" w:rsidR="00FE382E" w:rsidRDefault="00FE382E" w:rsidP="00FE382E">
      <w:r>
        <w:t>The counts in the table below measure the number of people receiving doses (obtained from the COVID-19 Vaccination and Immunisation Programme database).</w:t>
      </w:r>
    </w:p>
    <w:p w14:paraId="55860C2D" w14:textId="77777777" w:rsidR="00FE382E" w:rsidRDefault="00FE382E" w:rsidP="00FE382E">
      <w:pPr>
        <w:pStyle w:val="Heading5"/>
        <w:sectPr w:rsidR="00FE382E" w:rsidSect="00C26282">
          <w:pgSz w:w="11907" w:h="16840" w:code="9"/>
          <w:pgMar w:top="1418" w:right="1701" w:bottom="1134" w:left="1843" w:header="284" w:footer="425" w:gutter="284"/>
          <w:cols w:space="720"/>
        </w:sectPr>
      </w:pPr>
    </w:p>
    <w:p w14:paraId="0BE03C12" w14:textId="3472CA81" w:rsidR="00FE382E" w:rsidRDefault="00FE382E" w:rsidP="00216075">
      <w:pPr>
        <w:pStyle w:val="Heading5"/>
      </w:pPr>
      <w:r>
        <w:lastRenderedPageBreak/>
        <w:t>COVID-19 people vaccinated by ethnicity during 2021/22</w:t>
      </w:r>
      <w:r>
        <w:rPr>
          <w:rStyle w:val="FootnoteReference"/>
        </w:rPr>
        <w:footnoteReference w:id="37"/>
      </w:r>
    </w:p>
    <w:tbl>
      <w:tblPr>
        <w:tblW w:w="9498" w:type="dxa"/>
        <w:tblBorders>
          <w:top w:val="single" w:sz="4" w:space="0" w:color="81A9BF"/>
          <w:left w:val="single" w:sz="4" w:space="0" w:color="81A9BF"/>
          <w:bottom w:val="single" w:sz="4" w:space="0" w:color="81A9BF"/>
          <w:right w:val="single" w:sz="4" w:space="0" w:color="81A9BF"/>
          <w:insideH w:val="single" w:sz="4" w:space="0" w:color="81A9BF"/>
          <w:insideV w:val="single" w:sz="4" w:space="0" w:color="81A9BF"/>
        </w:tblBorders>
        <w:tblLayout w:type="fixed"/>
        <w:tblCellMar>
          <w:left w:w="0" w:type="dxa"/>
          <w:right w:w="0" w:type="dxa"/>
        </w:tblCellMar>
        <w:tblLook w:val="01E0" w:firstRow="1" w:lastRow="1" w:firstColumn="1" w:lastColumn="1" w:noHBand="0" w:noVBand="0"/>
      </w:tblPr>
      <w:tblGrid>
        <w:gridCol w:w="993"/>
        <w:gridCol w:w="1134"/>
        <w:gridCol w:w="1100"/>
        <w:gridCol w:w="1100"/>
        <w:gridCol w:w="1100"/>
        <w:gridCol w:w="975"/>
        <w:gridCol w:w="941"/>
        <w:gridCol w:w="918"/>
        <w:gridCol w:w="1237"/>
      </w:tblGrid>
      <w:tr w:rsidR="00FE382E" w:rsidRPr="00FE382E" w14:paraId="40270BA9" w14:textId="77777777" w:rsidTr="00FE382E">
        <w:trPr>
          <w:trHeight w:val="1528"/>
        </w:trPr>
        <w:tc>
          <w:tcPr>
            <w:tcW w:w="993" w:type="dxa"/>
            <w:tcBorders>
              <w:top w:val="nil"/>
              <w:left w:val="nil"/>
              <w:bottom w:val="nil"/>
              <w:right w:val="nil"/>
            </w:tcBorders>
            <w:shd w:val="clear" w:color="auto" w:fill="D9D9D9" w:themeFill="background1" w:themeFillShade="D9"/>
          </w:tcPr>
          <w:p w14:paraId="6F910D15" w14:textId="77777777" w:rsidR="00FE382E" w:rsidRPr="00FE382E" w:rsidRDefault="00FE382E" w:rsidP="00FE382E">
            <w:pPr>
              <w:pStyle w:val="TableText"/>
              <w:spacing w:before="0"/>
              <w:rPr>
                <w:b/>
                <w:bCs/>
              </w:rPr>
            </w:pPr>
            <w:r w:rsidRPr="00FE382E">
              <w:rPr>
                <w:b/>
                <w:bCs/>
                <w:w w:val="105"/>
              </w:rPr>
              <w:t>Ethnicity</w:t>
            </w:r>
            <w:r w:rsidRPr="00FE382E">
              <w:rPr>
                <w:b/>
                <w:bCs/>
                <w:spacing w:val="-44"/>
                <w:w w:val="105"/>
              </w:rPr>
              <w:t xml:space="preserve"> </w:t>
            </w:r>
            <w:r w:rsidRPr="00FE382E">
              <w:rPr>
                <w:b/>
                <w:bCs/>
              </w:rPr>
              <w:t>(Note</w:t>
            </w:r>
            <w:r w:rsidRPr="00FE382E">
              <w:rPr>
                <w:b/>
                <w:bCs/>
                <w:spacing w:val="-4"/>
              </w:rPr>
              <w:t xml:space="preserve"> </w:t>
            </w:r>
            <w:r w:rsidRPr="00FE382E">
              <w:rPr>
                <w:b/>
                <w:bCs/>
              </w:rPr>
              <w:t>1)</w:t>
            </w:r>
          </w:p>
        </w:tc>
        <w:tc>
          <w:tcPr>
            <w:tcW w:w="1134" w:type="dxa"/>
            <w:tcBorders>
              <w:top w:val="nil"/>
              <w:left w:val="nil"/>
              <w:bottom w:val="nil"/>
              <w:right w:val="nil"/>
            </w:tcBorders>
            <w:shd w:val="clear" w:color="auto" w:fill="D9D9D9" w:themeFill="background1" w:themeFillShade="D9"/>
          </w:tcPr>
          <w:p w14:paraId="34D9C799" w14:textId="3E9E7F84" w:rsidR="00FE382E" w:rsidRPr="00FE382E" w:rsidRDefault="00FE382E" w:rsidP="001D0A8A">
            <w:pPr>
              <w:pStyle w:val="TableText"/>
              <w:spacing w:before="0"/>
              <w:jc w:val="right"/>
              <w:rPr>
                <w:b/>
                <w:bCs/>
              </w:rPr>
            </w:pPr>
            <w:r w:rsidRPr="00FE382E">
              <w:rPr>
                <w:b/>
                <w:bCs/>
                <w:w w:val="105"/>
              </w:rPr>
              <w:t>Partially</w:t>
            </w:r>
            <w:r w:rsidRPr="00FE382E">
              <w:rPr>
                <w:b/>
                <w:bCs/>
                <w:spacing w:val="-44"/>
                <w:w w:val="105"/>
              </w:rPr>
              <w:t xml:space="preserve"> </w:t>
            </w:r>
            <w:r w:rsidRPr="00FE382E">
              <w:rPr>
                <w:b/>
                <w:bCs/>
              </w:rPr>
              <w:t>vaccinated</w:t>
            </w:r>
            <w:r w:rsidR="001D0A8A">
              <w:rPr>
                <w:b/>
                <w:bCs/>
              </w:rPr>
              <w:br/>
            </w:r>
            <w:r w:rsidRPr="00FE382E">
              <w:rPr>
                <w:b/>
                <w:bCs/>
                <w:w w:val="105"/>
              </w:rPr>
              <w:t>(12+)</w:t>
            </w:r>
          </w:p>
        </w:tc>
        <w:tc>
          <w:tcPr>
            <w:tcW w:w="1100" w:type="dxa"/>
            <w:tcBorders>
              <w:top w:val="nil"/>
              <w:left w:val="nil"/>
              <w:bottom w:val="nil"/>
              <w:right w:val="nil"/>
            </w:tcBorders>
            <w:shd w:val="clear" w:color="auto" w:fill="D9D9D9" w:themeFill="background1" w:themeFillShade="D9"/>
          </w:tcPr>
          <w:p w14:paraId="03780E7A" w14:textId="0666A022" w:rsidR="00FE382E" w:rsidRPr="00FE382E" w:rsidRDefault="00FE382E" w:rsidP="00FE382E">
            <w:pPr>
              <w:pStyle w:val="TableText"/>
              <w:spacing w:before="0"/>
              <w:jc w:val="right"/>
              <w:rPr>
                <w:b/>
                <w:bCs/>
              </w:rPr>
            </w:pPr>
            <w:r w:rsidRPr="00FE382E">
              <w:rPr>
                <w:b/>
                <w:bCs/>
                <w:w w:val="105"/>
              </w:rPr>
              <w:t>Partially</w:t>
            </w:r>
            <w:r w:rsidRPr="00FE382E">
              <w:rPr>
                <w:b/>
                <w:bCs/>
                <w:spacing w:val="-44"/>
                <w:w w:val="105"/>
              </w:rPr>
              <w:t xml:space="preserve"> </w:t>
            </w:r>
            <w:r w:rsidRPr="00FE382E">
              <w:rPr>
                <w:b/>
                <w:bCs/>
              </w:rPr>
              <w:t>vaccinated</w:t>
            </w:r>
            <w:r w:rsidRPr="00FE382E">
              <w:rPr>
                <w:b/>
                <w:bCs/>
                <w:w w:val="105"/>
              </w:rPr>
              <w:t>(12+)</w:t>
            </w:r>
          </w:p>
          <w:p w14:paraId="2FCFFFBD" w14:textId="77777777" w:rsidR="00FE382E" w:rsidRPr="00FE382E" w:rsidRDefault="00FE382E" w:rsidP="00FE382E">
            <w:pPr>
              <w:pStyle w:val="TableText"/>
              <w:spacing w:before="0"/>
              <w:jc w:val="right"/>
              <w:rPr>
                <w:b/>
                <w:bCs/>
              </w:rPr>
            </w:pPr>
            <w:r w:rsidRPr="00FE382E">
              <w:rPr>
                <w:b/>
                <w:bCs/>
                <w:w w:val="105"/>
              </w:rPr>
              <w:t>(% eligible)</w:t>
            </w:r>
          </w:p>
        </w:tc>
        <w:tc>
          <w:tcPr>
            <w:tcW w:w="1100" w:type="dxa"/>
            <w:tcBorders>
              <w:top w:val="nil"/>
              <w:left w:val="nil"/>
              <w:bottom w:val="nil"/>
              <w:right w:val="nil"/>
            </w:tcBorders>
            <w:shd w:val="clear" w:color="auto" w:fill="D9D9D9" w:themeFill="background1" w:themeFillShade="D9"/>
          </w:tcPr>
          <w:p w14:paraId="5992CFF3" w14:textId="77777777" w:rsidR="00FE382E" w:rsidRPr="00FE382E" w:rsidRDefault="00FE382E" w:rsidP="00FE382E">
            <w:pPr>
              <w:pStyle w:val="TableText"/>
              <w:spacing w:before="0"/>
              <w:jc w:val="right"/>
              <w:rPr>
                <w:b/>
                <w:bCs/>
              </w:rPr>
            </w:pPr>
            <w:r w:rsidRPr="00FE382E">
              <w:rPr>
                <w:b/>
                <w:bCs/>
              </w:rPr>
              <w:t>Completed</w:t>
            </w:r>
            <w:r w:rsidRPr="00FE382E">
              <w:rPr>
                <w:b/>
                <w:bCs/>
                <w:spacing w:val="-42"/>
              </w:rPr>
              <w:t xml:space="preserve"> </w:t>
            </w:r>
            <w:r w:rsidRPr="00FE382E">
              <w:rPr>
                <w:b/>
                <w:bCs/>
                <w:w w:val="105"/>
              </w:rPr>
              <w:t>Primary</w:t>
            </w:r>
            <w:r w:rsidRPr="00FE382E">
              <w:rPr>
                <w:b/>
                <w:bCs/>
                <w:spacing w:val="-44"/>
                <w:w w:val="105"/>
              </w:rPr>
              <w:t xml:space="preserve"> </w:t>
            </w:r>
            <w:r w:rsidRPr="00FE382E">
              <w:rPr>
                <w:b/>
                <w:bCs/>
                <w:w w:val="105"/>
              </w:rPr>
              <w:t>Course</w:t>
            </w:r>
            <w:r w:rsidRPr="00FE382E">
              <w:rPr>
                <w:b/>
                <w:bCs/>
                <w:spacing w:val="1"/>
                <w:w w:val="105"/>
              </w:rPr>
              <w:t xml:space="preserve"> </w:t>
            </w:r>
            <w:r w:rsidRPr="00FE382E">
              <w:rPr>
                <w:b/>
                <w:bCs/>
                <w:w w:val="105"/>
              </w:rPr>
              <w:t>(12+)</w:t>
            </w:r>
          </w:p>
        </w:tc>
        <w:tc>
          <w:tcPr>
            <w:tcW w:w="1100" w:type="dxa"/>
            <w:tcBorders>
              <w:top w:val="nil"/>
              <w:left w:val="nil"/>
              <w:bottom w:val="nil"/>
              <w:right w:val="nil"/>
            </w:tcBorders>
            <w:shd w:val="clear" w:color="auto" w:fill="D9D9D9" w:themeFill="background1" w:themeFillShade="D9"/>
          </w:tcPr>
          <w:p w14:paraId="70407265" w14:textId="77777777" w:rsidR="00FE382E" w:rsidRPr="00FE382E" w:rsidRDefault="00FE382E" w:rsidP="00FE382E">
            <w:pPr>
              <w:pStyle w:val="TableText"/>
              <w:spacing w:before="0"/>
              <w:jc w:val="right"/>
              <w:rPr>
                <w:b/>
                <w:bCs/>
              </w:rPr>
            </w:pPr>
            <w:r w:rsidRPr="00FE382E">
              <w:rPr>
                <w:b/>
                <w:bCs/>
              </w:rPr>
              <w:t>Completed</w:t>
            </w:r>
            <w:r w:rsidRPr="00FE382E">
              <w:rPr>
                <w:b/>
                <w:bCs/>
                <w:spacing w:val="-42"/>
              </w:rPr>
              <w:t xml:space="preserve"> </w:t>
            </w:r>
            <w:r w:rsidRPr="00FE382E">
              <w:rPr>
                <w:b/>
                <w:bCs/>
                <w:w w:val="105"/>
              </w:rPr>
              <w:t>primary</w:t>
            </w:r>
            <w:r w:rsidRPr="00FE382E">
              <w:rPr>
                <w:b/>
                <w:bCs/>
                <w:spacing w:val="-44"/>
                <w:w w:val="105"/>
              </w:rPr>
              <w:t xml:space="preserve"> </w:t>
            </w:r>
            <w:r w:rsidRPr="00FE382E">
              <w:rPr>
                <w:b/>
                <w:bCs/>
                <w:w w:val="105"/>
              </w:rPr>
              <w:t>course</w:t>
            </w:r>
            <w:r w:rsidRPr="00FE382E">
              <w:rPr>
                <w:b/>
                <w:bCs/>
                <w:spacing w:val="1"/>
                <w:w w:val="105"/>
              </w:rPr>
              <w:t xml:space="preserve"> </w:t>
            </w:r>
            <w:r w:rsidRPr="00FE382E">
              <w:rPr>
                <w:b/>
                <w:bCs/>
                <w:w w:val="105"/>
              </w:rPr>
              <w:t>(12+)</w:t>
            </w:r>
          </w:p>
          <w:p w14:paraId="737173B7" w14:textId="77777777" w:rsidR="00FE382E" w:rsidRPr="00FE382E" w:rsidRDefault="00FE382E" w:rsidP="00FE382E">
            <w:pPr>
              <w:pStyle w:val="TableText"/>
              <w:spacing w:before="0"/>
              <w:jc w:val="right"/>
              <w:rPr>
                <w:b/>
                <w:bCs/>
              </w:rPr>
            </w:pPr>
            <w:r w:rsidRPr="00FE382E">
              <w:rPr>
                <w:b/>
                <w:bCs/>
                <w:w w:val="110"/>
              </w:rPr>
              <w:t>(%)</w:t>
            </w:r>
          </w:p>
        </w:tc>
        <w:tc>
          <w:tcPr>
            <w:tcW w:w="975" w:type="dxa"/>
            <w:tcBorders>
              <w:top w:val="nil"/>
              <w:left w:val="nil"/>
              <w:bottom w:val="nil"/>
              <w:right w:val="nil"/>
            </w:tcBorders>
            <w:shd w:val="clear" w:color="auto" w:fill="D9D9D9" w:themeFill="background1" w:themeFillShade="D9"/>
          </w:tcPr>
          <w:p w14:paraId="2A74225C" w14:textId="2EC4AE70" w:rsidR="00FE382E" w:rsidRPr="00FE382E" w:rsidRDefault="00FE382E" w:rsidP="00FE382E">
            <w:pPr>
              <w:pStyle w:val="TableText"/>
              <w:spacing w:before="0"/>
              <w:jc w:val="right"/>
              <w:rPr>
                <w:b/>
                <w:bCs/>
              </w:rPr>
            </w:pPr>
            <w:r w:rsidRPr="00FE382E">
              <w:rPr>
                <w:b/>
                <w:bCs/>
              </w:rPr>
              <w:t>Received</w:t>
            </w:r>
            <w:r>
              <w:rPr>
                <w:b/>
                <w:bCs/>
              </w:rPr>
              <w:br/>
            </w:r>
            <w:r w:rsidRPr="00FE382E">
              <w:rPr>
                <w:b/>
                <w:bCs/>
                <w:w w:val="110"/>
              </w:rPr>
              <w:t>First</w:t>
            </w:r>
            <w:r w:rsidRPr="00FE382E">
              <w:rPr>
                <w:b/>
                <w:bCs/>
                <w:spacing w:val="-47"/>
                <w:w w:val="110"/>
              </w:rPr>
              <w:t xml:space="preserve"> </w:t>
            </w:r>
            <w:r w:rsidRPr="00FE382E">
              <w:rPr>
                <w:b/>
                <w:bCs/>
                <w:w w:val="105"/>
              </w:rPr>
              <w:t>Booster</w:t>
            </w:r>
            <w:r w:rsidRPr="00FE382E">
              <w:rPr>
                <w:b/>
                <w:bCs/>
                <w:spacing w:val="-44"/>
                <w:w w:val="105"/>
              </w:rPr>
              <w:t xml:space="preserve"> </w:t>
            </w:r>
            <w:r w:rsidRPr="00FE382E">
              <w:rPr>
                <w:b/>
                <w:bCs/>
                <w:w w:val="110"/>
              </w:rPr>
              <w:t>(18+)</w:t>
            </w:r>
          </w:p>
        </w:tc>
        <w:tc>
          <w:tcPr>
            <w:tcW w:w="941" w:type="dxa"/>
            <w:tcBorders>
              <w:top w:val="nil"/>
              <w:left w:val="nil"/>
              <w:bottom w:val="nil"/>
              <w:right w:val="nil"/>
            </w:tcBorders>
            <w:shd w:val="clear" w:color="auto" w:fill="D9D9D9" w:themeFill="background1" w:themeFillShade="D9"/>
          </w:tcPr>
          <w:p w14:paraId="0D4EE805" w14:textId="632F9BA4" w:rsidR="00FE382E" w:rsidRPr="00FE382E" w:rsidRDefault="001D0A8A" w:rsidP="00FE382E">
            <w:pPr>
              <w:pStyle w:val="TableText"/>
              <w:spacing w:before="0"/>
              <w:jc w:val="right"/>
              <w:rPr>
                <w:b/>
                <w:bCs/>
              </w:rPr>
            </w:pPr>
            <w:r w:rsidRPr="00FE382E">
              <w:rPr>
                <w:b/>
                <w:bCs/>
              </w:rPr>
              <w:t>Received</w:t>
            </w:r>
            <w:r w:rsidRPr="00FE382E">
              <w:rPr>
                <w:b/>
                <w:bCs/>
                <w:w w:val="115"/>
              </w:rPr>
              <w:t xml:space="preserve"> first</w:t>
            </w:r>
            <w:r w:rsidR="00FE382E" w:rsidRPr="00FE382E">
              <w:rPr>
                <w:b/>
                <w:bCs/>
                <w:spacing w:val="-49"/>
                <w:w w:val="115"/>
              </w:rPr>
              <w:t xml:space="preserve"> </w:t>
            </w:r>
            <w:r w:rsidR="00FE382E" w:rsidRPr="00FE382E">
              <w:rPr>
                <w:b/>
                <w:bCs/>
                <w:w w:val="105"/>
              </w:rPr>
              <w:t>booster</w:t>
            </w:r>
            <w:r>
              <w:rPr>
                <w:b/>
                <w:bCs/>
                <w:w w:val="105"/>
              </w:rPr>
              <w:br/>
            </w:r>
            <w:r w:rsidR="00FE382E" w:rsidRPr="00FE382E">
              <w:rPr>
                <w:b/>
                <w:bCs/>
                <w:w w:val="105"/>
              </w:rPr>
              <w:t>(18+)</w:t>
            </w:r>
          </w:p>
          <w:p w14:paraId="2727C0FD" w14:textId="77777777" w:rsidR="00FE382E" w:rsidRPr="00FE382E" w:rsidRDefault="00FE382E" w:rsidP="00FE382E">
            <w:pPr>
              <w:pStyle w:val="TableText"/>
              <w:spacing w:before="0"/>
              <w:jc w:val="right"/>
              <w:rPr>
                <w:b/>
                <w:bCs/>
              </w:rPr>
            </w:pPr>
            <w:r w:rsidRPr="00FE382E">
              <w:rPr>
                <w:b/>
                <w:bCs/>
                <w:w w:val="105"/>
              </w:rPr>
              <w:t>(%</w:t>
            </w:r>
          </w:p>
          <w:p w14:paraId="3B237417" w14:textId="77777777" w:rsidR="00FE382E" w:rsidRPr="00FE382E" w:rsidRDefault="00FE382E" w:rsidP="00FE382E">
            <w:pPr>
              <w:pStyle w:val="TableText"/>
              <w:spacing w:before="0"/>
              <w:jc w:val="right"/>
              <w:rPr>
                <w:b/>
                <w:bCs/>
              </w:rPr>
            </w:pPr>
            <w:r w:rsidRPr="00FE382E">
              <w:rPr>
                <w:b/>
                <w:bCs/>
                <w:w w:val="105"/>
              </w:rPr>
              <w:t>eligible)</w:t>
            </w:r>
          </w:p>
        </w:tc>
        <w:tc>
          <w:tcPr>
            <w:tcW w:w="918" w:type="dxa"/>
            <w:tcBorders>
              <w:top w:val="nil"/>
              <w:left w:val="nil"/>
              <w:bottom w:val="nil"/>
              <w:right w:val="nil"/>
            </w:tcBorders>
            <w:shd w:val="clear" w:color="auto" w:fill="D9D9D9" w:themeFill="background1" w:themeFillShade="D9"/>
          </w:tcPr>
          <w:p w14:paraId="01BF4B7B" w14:textId="1929EC59" w:rsidR="00FE382E" w:rsidRPr="00FE382E" w:rsidRDefault="00FE382E" w:rsidP="00FE382E">
            <w:pPr>
              <w:pStyle w:val="TableText"/>
              <w:spacing w:before="0"/>
              <w:jc w:val="right"/>
              <w:rPr>
                <w:b/>
                <w:bCs/>
              </w:rPr>
            </w:pPr>
            <w:r w:rsidRPr="00FE382E">
              <w:rPr>
                <w:b/>
                <w:bCs/>
              </w:rPr>
              <w:t>Received</w:t>
            </w:r>
            <w:r w:rsidRPr="00FE382E">
              <w:rPr>
                <w:b/>
                <w:bCs/>
                <w:spacing w:val="-43"/>
              </w:rPr>
              <w:t xml:space="preserve"> </w:t>
            </w:r>
            <w:r w:rsidRPr="00FE382E">
              <w:rPr>
                <w:b/>
                <w:bCs/>
                <w:w w:val="105"/>
              </w:rPr>
              <w:t>second</w:t>
            </w:r>
            <w:r w:rsidRPr="00FE382E">
              <w:rPr>
                <w:b/>
                <w:bCs/>
                <w:spacing w:val="1"/>
                <w:w w:val="105"/>
              </w:rPr>
              <w:t xml:space="preserve"> </w:t>
            </w:r>
            <w:r w:rsidRPr="00FE382E">
              <w:rPr>
                <w:b/>
                <w:bCs/>
                <w:w w:val="105"/>
              </w:rPr>
              <w:t>booster,</w:t>
            </w:r>
            <w:r w:rsidRPr="00FE382E">
              <w:rPr>
                <w:b/>
                <w:bCs/>
                <w:w w:val="115"/>
              </w:rPr>
              <w:t>50+</w:t>
            </w:r>
          </w:p>
        </w:tc>
        <w:tc>
          <w:tcPr>
            <w:tcW w:w="1237" w:type="dxa"/>
            <w:tcBorders>
              <w:top w:val="nil"/>
              <w:left w:val="nil"/>
              <w:bottom w:val="nil"/>
              <w:right w:val="nil"/>
            </w:tcBorders>
            <w:shd w:val="clear" w:color="auto" w:fill="D9D9D9" w:themeFill="background1" w:themeFillShade="D9"/>
          </w:tcPr>
          <w:p w14:paraId="22BF53F9" w14:textId="77777777" w:rsidR="00FE382E" w:rsidRPr="00FE382E" w:rsidRDefault="00FE382E" w:rsidP="00FE382E">
            <w:pPr>
              <w:pStyle w:val="TableText"/>
              <w:spacing w:before="0"/>
              <w:jc w:val="right"/>
              <w:rPr>
                <w:b/>
                <w:bCs/>
              </w:rPr>
            </w:pPr>
            <w:r w:rsidRPr="00FE382E">
              <w:rPr>
                <w:b/>
                <w:bCs/>
              </w:rPr>
              <w:t>Received</w:t>
            </w:r>
            <w:r w:rsidRPr="00FE382E">
              <w:rPr>
                <w:b/>
                <w:bCs/>
                <w:spacing w:val="-43"/>
              </w:rPr>
              <w:t xml:space="preserve"> </w:t>
            </w:r>
            <w:r w:rsidRPr="00FE382E">
              <w:rPr>
                <w:b/>
                <w:bCs/>
                <w:w w:val="105"/>
              </w:rPr>
              <w:t>second</w:t>
            </w:r>
            <w:r w:rsidRPr="00FE382E">
              <w:rPr>
                <w:b/>
                <w:bCs/>
                <w:spacing w:val="-45"/>
                <w:w w:val="105"/>
              </w:rPr>
              <w:t xml:space="preserve"> </w:t>
            </w:r>
            <w:r w:rsidRPr="00FE382E">
              <w:rPr>
                <w:b/>
                <w:bCs/>
                <w:w w:val="105"/>
              </w:rPr>
              <w:t>booster</w:t>
            </w:r>
          </w:p>
          <w:p w14:paraId="21054A55" w14:textId="77777777" w:rsidR="00FE382E" w:rsidRPr="00FE382E" w:rsidRDefault="00FE382E" w:rsidP="00FE382E">
            <w:pPr>
              <w:pStyle w:val="TableText"/>
              <w:spacing w:before="0"/>
              <w:jc w:val="right"/>
              <w:rPr>
                <w:b/>
                <w:bCs/>
              </w:rPr>
            </w:pPr>
            <w:r w:rsidRPr="00FE382E">
              <w:rPr>
                <w:b/>
                <w:bCs/>
                <w:w w:val="105"/>
              </w:rPr>
              <w:t>(%</w:t>
            </w:r>
          </w:p>
          <w:p w14:paraId="6301654F" w14:textId="77777777" w:rsidR="00FE382E" w:rsidRPr="00FE382E" w:rsidRDefault="00FE382E" w:rsidP="00FE382E">
            <w:pPr>
              <w:pStyle w:val="TableText"/>
              <w:spacing w:before="0"/>
              <w:jc w:val="right"/>
              <w:rPr>
                <w:b/>
                <w:bCs/>
              </w:rPr>
            </w:pPr>
            <w:r w:rsidRPr="00FE382E">
              <w:rPr>
                <w:b/>
                <w:bCs/>
                <w:w w:val="105"/>
              </w:rPr>
              <w:t>eligible,</w:t>
            </w:r>
          </w:p>
          <w:p w14:paraId="47987E03" w14:textId="77777777" w:rsidR="00FE382E" w:rsidRPr="00FE382E" w:rsidRDefault="00FE382E" w:rsidP="00FE382E">
            <w:pPr>
              <w:pStyle w:val="TableText"/>
              <w:spacing w:before="0"/>
              <w:jc w:val="right"/>
              <w:rPr>
                <w:b/>
                <w:bCs/>
              </w:rPr>
            </w:pPr>
            <w:r w:rsidRPr="00FE382E">
              <w:rPr>
                <w:b/>
                <w:bCs/>
                <w:w w:val="115"/>
              </w:rPr>
              <w:t>50+)</w:t>
            </w:r>
          </w:p>
        </w:tc>
      </w:tr>
      <w:tr w:rsidR="00FE382E" w:rsidRPr="00FE382E" w14:paraId="487D3EDC" w14:textId="77777777" w:rsidTr="00FE382E">
        <w:trPr>
          <w:trHeight w:val="323"/>
        </w:trPr>
        <w:tc>
          <w:tcPr>
            <w:tcW w:w="993" w:type="dxa"/>
            <w:tcBorders>
              <w:top w:val="nil"/>
              <w:left w:val="nil"/>
              <w:bottom w:val="single" w:sz="4" w:space="0" w:color="A6A6A6" w:themeColor="background1" w:themeShade="A6"/>
              <w:right w:val="nil"/>
            </w:tcBorders>
          </w:tcPr>
          <w:p w14:paraId="34F732AE" w14:textId="77777777" w:rsidR="00FE382E" w:rsidRPr="00FE382E" w:rsidRDefault="00FE382E" w:rsidP="00FE382E">
            <w:pPr>
              <w:pStyle w:val="TableText"/>
            </w:pPr>
            <w:r w:rsidRPr="00FE382E">
              <w:t>Asian</w:t>
            </w:r>
          </w:p>
        </w:tc>
        <w:tc>
          <w:tcPr>
            <w:tcW w:w="1134" w:type="dxa"/>
            <w:tcBorders>
              <w:top w:val="nil"/>
              <w:left w:val="nil"/>
              <w:bottom w:val="single" w:sz="4" w:space="0" w:color="A6A6A6" w:themeColor="background1" w:themeShade="A6"/>
              <w:right w:val="nil"/>
            </w:tcBorders>
          </w:tcPr>
          <w:p w14:paraId="0A60005A" w14:textId="77777777" w:rsidR="00FE382E" w:rsidRPr="00FE382E" w:rsidRDefault="00FE382E" w:rsidP="00FE382E">
            <w:pPr>
              <w:pStyle w:val="TableText"/>
              <w:jc w:val="right"/>
            </w:pPr>
            <w:r w:rsidRPr="00FE382E">
              <w:t>531,537</w:t>
            </w:r>
          </w:p>
        </w:tc>
        <w:tc>
          <w:tcPr>
            <w:tcW w:w="1100" w:type="dxa"/>
            <w:tcBorders>
              <w:top w:val="nil"/>
              <w:left w:val="nil"/>
              <w:bottom w:val="single" w:sz="4" w:space="0" w:color="A6A6A6" w:themeColor="background1" w:themeShade="A6"/>
              <w:right w:val="nil"/>
            </w:tcBorders>
          </w:tcPr>
          <w:p w14:paraId="1FFA2695" w14:textId="77777777" w:rsidR="00FE382E" w:rsidRPr="00FE382E" w:rsidRDefault="00FE382E" w:rsidP="00FE382E">
            <w:pPr>
              <w:pStyle w:val="TableText"/>
              <w:jc w:val="right"/>
            </w:pPr>
            <w:r w:rsidRPr="00FE382E">
              <w:t>76.62%</w:t>
            </w:r>
          </w:p>
        </w:tc>
        <w:tc>
          <w:tcPr>
            <w:tcW w:w="1100" w:type="dxa"/>
            <w:tcBorders>
              <w:top w:val="nil"/>
              <w:left w:val="nil"/>
              <w:bottom w:val="single" w:sz="4" w:space="0" w:color="A6A6A6" w:themeColor="background1" w:themeShade="A6"/>
              <w:right w:val="nil"/>
            </w:tcBorders>
          </w:tcPr>
          <w:p w14:paraId="5AA6EA35" w14:textId="77777777" w:rsidR="00FE382E" w:rsidRPr="00FE382E" w:rsidRDefault="00FE382E" w:rsidP="00FE382E">
            <w:pPr>
              <w:pStyle w:val="TableText"/>
              <w:jc w:val="right"/>
            </w:pPr>
            <w:r w:rsidRPr="00FE382E">
              <w:t>566,740</w:t>
            </w:r>
          </w:p>
        </w:tc>
        <w:tc>
          <w:tcPr>
            <w:tcW w:w="1100" w:type="dxa"/>
            <w:tcBorders>
              <w:top w:val="nil"/>
              <w:left w:val="nil"/>
              <w:bottom w:val="single" w:sz="4" w:space="0" w:color="A6A6A6" w:themeColor="background1" w:themeShade="A6"/>
              <w:right w:val="nil"/>
            </w:tcBorders>
          </w:tcPr>
          <w:p w14:paraId="5073E96A" w14:textId="77777777" w:rsidR="00FE382E" w:rsidRPr="00FE382E" w:rsidRDefault="00FE382E" w:rsidP="00FE382E">
            <w:pPr>
              <w:pStyle w:val="TableText"/>
              <w:jc w:val="right"/>
            </w:pPr>
            <w:r w:rsidRPr="00FE382E">
              <w:t>81.69%</w:t>
            </w:r>
          </w:p>
        </w:tc>
        <w:tc>
          <w:tcPr>
            <w:tcW w:w="975" w:type="dxa"/>
            <w:tcBorders>
              <w:top w:val="nil"/>
              <w:left w:val="nil"/>
              <w:bottom w:val="single" w:sz="4" w:space="0" w:color="A6A6A6" w:themeColor="background1" w:themeShade="A6"/>
              <w:right w:val="nil"/>
            </w:tcBorders>
          </w:tcPr>
          <w:p w14:paraId="09CE7282" w14:textId="77777777" w:rsidR="00FE382E" w:rsidRPr="00FE382E" w:rsidRDefault="00FE382E" w:rsidP="00FE382E">
            <w:pPr>
              <w:pStyle w:val="TableText"/>
              <w:jc w:val="right"/>
            </w:pPr>
            <w:r w:rsidRPr="00FE382E">
              <w:t>436,264</w:t>
            </w:r>
          </w:p>
        </w:tc>
        <w:tc>
          <w:tcPr>
            <w:tcW w:w="941" w:type="dxa"/>
            <w:tcBorders>
              <w:top w:val="nil"/>
              <w:left w:val="nil"/>
              <w:bottom w:val="single" w:sz="4" w:space="0" w:color="A6A6A6" w:themeColor="background1" w:themeShade="A6"/>
              <w:right w:val="nil"/>
            </w:tcBorders>
          </w:tcPr>
          <w:p w14:paraId="500BA763" w14:textId="77777777" w:rsidR="00FE382E" w:rsidRPr="00FE382E" w:rsidRDefault="00FE382E" w:rsidP="00FE382E">
            <w:pPr>
              <w:pStyle w:val="TableText"/>
              <w:jc w:val="right"/>
            </w:pPr>
            <w:r w:rsidRPr="00FE382E">
              <w:t>73.35%</w:t>
            </w:r>
          </w:p>
        </w:tc>
        <w:tc>
          <w:tcPr>
            <w:tcW w:w="918" w:type="dxa"/>
            <w:tcBorders>
              <w:top w:val="nil"/>
              <w:left w:val="nil"/>
              <w:bottom w:val="single" w:sz="4" w:space="0" w:color="A6A6A6" w:themeColor="background1" w:themeShade="A6"/>
              <w:right w:val="nil"/>
            </w:tcBorders>
          </w:tcPr>
          <w:p w14:paraId="6A2169B6" w14:textId="77777777" w:rsidR="00FE382E" w:rsidRPr="00FE382E" w:rsidRDefault="00FE382E" w:rsidP="00FE382E">
            <w:pPr>
              <w:pStyle w:val="TableText"/>
              <w:jc w:val="right"/>
            </w:pPr>
            <w:r w:rsidRPr="00FE382E">
              <w:t>808</w:t>
            </w:r>
          </w:p>
        </w:tc>
        <w:tc>
          <w:tcPr>
            <w:tcW w:w="1237" w:type="dxa"/>
            <w:tcBorders>
              <w:top w:val="nil"/>
              <w:left w:val="nil"/>
              <w:bottom w:val="single" w:sz="4" w:space="0" w:color="A6A6A6" w:themeColor="background1" w:themeShade="A6"/>
              <w:right w:val="nil"/>
            </w:tcBorders>
          </w:tcPr>
          <w:p w14:paraId="1EE168C6" w14:textId="77777777" w:rsidR="00FE382E" w:rsidRPr="00FE382E" w:rsidRDefault="00FE382E" w:rsidP="00FE382E">
            <w:pPr>
              <w:pStyle w:val="TableText"/>
              <w:jc w:val="right"/>
            </w:pPr>
            <w:r w:rsidRPr="00FE382E">
              <w:t>4.84%</w:t>
            </w:r>
          </w:p>
        </w:tc>
      </w:tr>
      <w:tr w:rsidR="00FE382E" w:rsidRPr="00FE382E" w14:paraId="0FE7FF6B" w14:textId="77777777" w:rsidTr="00FE382E">
        <w:trPr>
          <w:trHeight w:val="317"/>
        </w:trPr>
        <w:tc>
          <w:tcPr>
            <w:tcW w:w="993" w:type="dxa"/>
            <w:tcBorders>
              <w:top w:val="single" w:sz="4" w:space="0" w:color="A6A6A6" w:themeColor="background1" w:themeShade="A6"/>
              <w:left w:val="nil"/>
              <w:bottom w:val="single" w:sz="4" w:space="0" w:color="A6A6A6" w:themeColor="background1" w:themeShade="A6"/>
              <w:right w:val="nil"/>
            </w:tcBorders>
          </w:tcPr>
          <w:p w14:paraId="07E149FA" w14:textId="77777777" w:rsidR="00FE382E" w:rsidRPr="00FE382E" w:rsidRDefault="00FE382E" w:rsidP="00FE382E">
            <w:pPr>
              <w:pStyle w:val="TableText"/>
            </w:pPr>
            <w:r w:rsidRPr="00FE382E">
              <w:t>Māori</w:t>
            </w:r>
          </w:p>
        </w:tc>
        <w:tc>
          <w:tcPr>
            <w:tcW w:w="1134" w:type="dxa"/>
            <w:tcBorders>
              <w:top w:val="single" w:sz="4" w:space="0" w:color="A6A6A6" w:themeColor="background1" w:themeShade="A6"/>
              <w:left w:val="nil"/>
              <w:bottom w:val="single" w:sz="4" w:space="0" w:color="A6A6A6" w:themeColor="background1" w:themeShade="A6"/>
              <w:right w:val="nil"/>
            </w:tcBorders>
          </w:tcPr>
          <w:p w14:paraId="68DFBD4E" w14:textId="77777777" w:rsidR="00FE382E" w:rsidRPr="00FE382E" w:rsidRDefault="00FE382E" w:rsidP="00FE382E">
            <w:pPr>
              <w:pStyle w:val="TableText"/>
              <w:jc w:val="right"/>
            </w:pPr>
            <w:r w:rsidRPr="00FE382E">
              <w:t>460,097</w:t>
            </w:r>
          </w:p>
        </w:tc>
        <w:tc>
          <w:tcPr>
            <w:tcW w:w="1100" w:type="dxa"/>
            <w:tcBorders>
              <w:top w:val="single" w:sz="4" w:space="0" w:color="A6A6A6" w:themeColor="background1" w:themeShade="A6"/>
              <w:left w:val="nil"/>
              <w:bottom w:val="single" w:sz="4" w:space="0" w:color="A6A6A6" w:themeColor="background1" w:themeShade="A6"/>
              <w:right w:val="nil"/>
            </w:tcBorders>
          </w:tcPr>
          <w:p w14:paraId="6A6E5018" w14:textId="77777777" w:rsidR="00FE382E" w:rsidRPr="00FE382E" w:rsidRDefault="00FE382E" w:rsidP="00FE382E">
            <w:pPr>
              <w:pStyle w:val="TableText"/>
              <w:jc w:val="right"/>
            </w:pPr>
            <w:r w:rsidRPr="00FE382E">
              <w:t>75.73%</w:t>
            </w:r>
          </w:p>
        </w:tc>
        <w:tc>
          <w:tcPr>
            <w:tcW w:w="1100" w:type="dxa"/>
            <w:tcBorders>
              <w:top w:val="single" w:sz="4" w:space="0" w:color="A6A6A6" w:themeColor="background1" w:themeShade="A6"/>
              <w:left w:val="nil"/>
              <w:bottom w:val="single" w:sz="4" w:space="0" w:color="A6A6A6" w:themeColor="background1" w:themeShade="A6"/>
              <w:right w:val="nil"/>
            </w:tcBorders>
          </w:tcPr>
          <w:p w14:paraId="2503A51A" w14:textId="77777777" w:rsidR="00FE382E" w:rsidRPr="00FE382E" w:rsidRDefault="00FE382E" w:rsidP="00FE382E">
            <w:pPr>
              <w:pStyle w:val="TableText"/>
              <w:jc w:val="right"/>
            </w:pPr>
            <w:r w:rsidRPr="00FE382E">
              <w:t>465,397</w:t>
            </w:r>
          </w:p>
        </w:tc>
        <w:tc>
          <w:tcPr>
            <w:tcW w:w="1100" w:type="dxa"/>
            <w:tcBorders>
              <w:top w:val="single" w:sz="4" w:space="0" w:color="A6A6A6" w:themeColor="background1" w:themeShade="A6"/>
              <w:left w:val="nil"/>
              <w:bottom w:val="single" w:sz="4" w:space="0" w:color="A6A6A6" w:themeColor="background1" w:themeShade="A6"/>
              <w:right w:val="nil"/>
            </w:tcBorders>
          </w:tcPr>
          <w:p w14:paraId="17E19E01" w14:textId="77777777" w:rsidR="00FE382E" w:rsidRPr="00FE382E" w:rsidRDefault="00FE382E" w:rsidP="00FE382E">
            <w:pPr>
              <w:pStyle w:val="TableText"/>
              <w:jc w:val="right"/>
            </w:pPr>
            <w:r w:rsidRPr="00FE382E">
              <w:t>76.60%</w:t>
            </w:r>
          </w:p>
        </w:tc>
        <w:tc>
          <w:tcPr>
            <w:tcW w:w="975" w:type="dxa"/>
            <w:tcBorders>
              <w:top w:val="single" w:sz="4" w:space="0" w:color="A6A6A6" w:themeColor="background1" w:themeShade="A6"/>
              <w:left w:val="nil"/>
              <w:bottom w:val="single" w:sz="4" w:space="0" w:color="A6A6A6" w:themeColor="background1" w:themeShade="A6"/>
              <w:right w:val="nil"/>
            </w:tcBorders>
          </w:tcPr>
          <w:p w14:paraId="457751BF" w14:textId="77777777" w:rsidR="00FE382E" w:rsidRPr="00FE382E" w:rsidRDefault="00FE382E" w:rsidP="00FE382E">
            <w:pPr>
              <w:pStyle w:val="TableText"/>
              <w:jc w:val="right"/>
            </w:pPr>
            <w:r w:rsidRPr="00FE382E">
              <w:t>241,978</w:t>
            </w:r>
          </w:p>
        </w:tc>
        <w:tc>
          <w:tcPr>
            <w:tcW w:w="941" w:type="dxa"/>
            <w:tcBorders>
              <w:top w:val="single" w:sz="4" w:space="0" w:color="A6A6A6" w:themeColor="background1" w:themeShade="A6"/>
              <w:left w:val="nil"/>
              <w:bottom w:val="single" w:sz="4" w:space="0" w:color="A6A6A6" w:themeColor="background1" w:themeShade="A6"/>
              <w:right w:val="nil"/>
            </w:tcBorders>
          </w:tcPr>
          <w:p w14:paraId="0D87EDDF" w14:textId="77777777" w:rsidR="00FE382E" w:rsidRPr="00FE382E" w:rsidRDefault="00FE382E" w:rsidP="00FE382E">
            <w:pPr>
              <w:pStyle w:val="TableText"/>
              <w:jc w:val="right"/>
            </w:pPr>
            <w:r w:rsidRPr="00FE382E">
              <w:t>55.31%</w:t>
            </w:r>
          </w:p>
        </w:tc>
        <w:tc>
          <w:tcPr>
            <w:tcW w:w="918" w:type="dxa"/>
            <w:tcBorders>
              <w:top w:val="single" w:sz="4" w:space="0" w:color="A6A6A6" w:themeColor="background1" w:themeShade="A6"/>
              <w:left w:val="nil"/>
              <w:bottom w:val="single" w:sz="4" w:space="0" w:color="A6A6A6" w:themeColor="background1" w:themeShade="A6"/>
              <w:right w:val="nil"/>
            </w:tcBorders>
          </w:tcPr>
          <w:p w14:paraId="32BD438D" w14:textId="77777777" w:rsidR="00FE382E" w:rsidRPr="00FE382E" w:rsidRDefault="00FE382E" w:rsidP="00FE382E">
            <w:pPr>
              <w:pStyle w:val="TableText"/>
              <w:jc w:val="right"/>
            </w:pPr>
            <w:r w:rsidRPr="00FE382E">
              <w:t>1,158</w:t>
            </w:r>
          </w:p>
        </w:tc>
        <w:tc>
          <w:tcPr>
            <w:tcW w:w="1237" w:type="dxa"/>
            <w:tcBorders>
              <w:top w:val="single" w:sz="4" w:space="0" w:color="A6A6A6" w:themeColor="background1" w:themeShade="A6"/>
              <w:left w:val="nil"/>
              <w:bottom w:val="single" w:sz="4" w:space="0" w:color="A6A6A6" w:themeColor="background1" w:themeShade="A6"/>
              <w:right w:val="nil"/>
            </w:tcBorders>
          </w:tcPr>
          <w:p w14:paraId="21D55343" w14:textId="77777777" w:rsidR="00FE382E" w:rsidRPr="00FE382E" w:rsidRDefault="00FE382E" w:rsidP="00FE382E">
            <w:pPr>
              <w:pStyle w:val="TableText"/>
              <w:jc w:val="right"/>
            </w:pPr>
            <w:r w:rsidRPr="00FE382E">
              <w:t>6.20%</w:t>
            </w:r>
          </w:p>
        </w:tc>
      </w:tr>
      <w:tr w:rsidR="00FE382E" w:rsidRPr="00FE382E" w14:paraId="2A3FDC31" w14:textId="77777777" w:rsidTr="00FE382E">
        <w:trPr>
          <w:trHeight w:val="557"/>
        </w:trPr>
        <w:tc>
          <w:tcPr>
            <w:tcW w:w="993" w:type="dxa"/>
            <w:tcBorders>
              <w:top w:val="single" w:sz="4" w:space="0" w:color="A6A6A6" w:themeColor="background1" w:themeShade="A6"/>
              <w:left w:val="nil"/>
              <w:bottom w:val="single" w:sz="4" w:space="0" w:color="A6A6A6" w:themeColor="background1" w:themeShade="A6"/>
              <w:right w:val="nil"/>
            </w:tcBorders>
          </w:tcPr>
          <w:p w14:paraId="523E69B0" w14:textId="77777777" w:rsidR="00FE382E" w:rsidRPr="00FE382E" w:rsidRDefault="00FE382E" w:rsidP="00FE382E">
            <w:pPr>
              <w:pStyle w:val="TableText"/>
            </w:pPr>
            <w:r w:rsidRPr="00FE382E">
              <w:t>European</w:t>
            </w:r>
          </w:p>
          <w:p w14:paraId="3F695928" w14:textId="77777777" w:rsidR="00FE382E" w:rsidRPr="00FE382E" w:rsidRDefault="00FE382E" w:rsidP="00FE382E">
            <w:pPr>
              <w:pStyle w:val="TableText"/>
            </w:pPr>
            <w:r w:rsidRPr="00FE382E">
              <w:t>/other</w:t>
            </w:r>
          </w:p>
        </w:tc>
        <w:tc>
          <w:tcPr>
            <w:tcW w:w="1134" w:type="dxa"/>
            <w:tcBorders>
              <w:top w:val="single" w:sz="4" w:space="0" w:color="A6A6A6" w:themeColor="background1" w:themeShade="A6"/>
              <w:left w:val="nil"/>
              <w:bottom w:val="single" w:sz="4" w:space="0" w:color="A6A6A6" w:themeColor="background1" w:themeShade="A6"/>
              <w:right w:val="nil"/>
            </w:tcBorders>
          </w:tcPr>
          <w:p w14:paraId="478E33AA" w14:textId="77777777" w:rsidR="00FE382E" w:rsidRPr="00FE382E" w:rsidRDefault="00FE382E" w:rsidP="00FE382E">
            <w:pPr>
              <w:pStyle w:val="TableText"/>
              <w:jc w:val="right"/>
            </w:pPr>
            <w:r w:rsidRPr="00FE382E">
              <w:t>2,097,891</w:t>
            </w:r>
          </w:p>
        </w:tc>
        <w:tc>
          <w:tcPr>
            <w:tcW w:w="1100" w:type="dxa"/>
            <w:tcBorders>
              <w:top w:val="single" w:sz="4" w:space="0" w:color="A6A6A6" w:themeColor="background1" w:themeShade="A6"/>
              <w:left w:val="nil"/>
              <w:bottom w:val="single" w:sz="4" w:space="0" w:color="A6A6A6" w:themeColor="background1" w:themeShade="A6"/>
              <w:right w:val="nil"/>
            </w:tcBorders>
          </w:tcPr>
          <w:p w14:paraId="3560DC52" w14:textId="77777777" w:rsidR="00FE382E" w:rsidRPr="00FE382E" w:rsidRDefault="00FE382E" w:rsidP="00FE382E">
            <w:pPr>
              <w:pStyle w:val="TableText"/>
              <w:jc w:val="right"/>
            </w:pPr>
            <w:r w:rsidRPr="00FE382E">
              <w:t>74.86%</w:t>
            </w:r>
          </w:p>
        </w:tc>
        <w:tc>
          <w:tcPr>
            <w:tcW w:w="1100" w:type="dxa"/>
            <w:tcBorders>
              <w:top w:val="single" w:sz="4" w:space="0" w:color="A6A6A6" w:themeColor="background1" w:themeShade="A6"/>
              <w:left w:val="nil"/>
              <w:bottom w:val="single" w:sz="4" w:space="0" w:color="A6A6A6" w:themeColor="background1" w:themeShade="A6"/>
              <w:right w:val="nil"/>
            </w:tcBorders>
          </w:tcPr>
          <w:p w14:paraId="5FF10E47" w14:textId="77777777" w:rsidR="00FE382E" w:rsidRPr="00FE382E" w:rsidRDefault="00FE382E" w:rsidP="00FE382E">
            <w:pPr>
              <w:pStyle w:val="TableText"/>
              <w:jc w:val="right"/>
            </w:pPr>
            <w:r w:rsidRPr="00FE382E">
              <w:t>2,245,403</w:t>
            </w:r>
          </w:p>
        </w:tc>
        <w:tc>
          <w:tcPr>
            <w:tcW w:w="1100" w:type="dxa"/>
            <w:tcBorders>
              <w:top w:val="single" w:sz="4" w:space="0" w:color="A6A6A6" w:themeColor="background1" w:themeShade="A6"/>
              <w:left w:val="nil"/>
              <w:bottom w:val="single" w:sz="4" w:space="0" w:color="A6A6A6" w:themeColor="background1" w:themeShade="A6"/>
              <w:right w:val="nil"/>
            </w:tcBorders>
          </w:tcPr>
          <w:p w14:paraId="3DBDA77D" w14:textId="77777777" w:rsidR="00FE382E" w:rsidRPr="00FE382E" w:rsidRDefault="00FE382E" w:rsidP="00FE382E">
            <w:pPr>
              <w:pStyle w:val="TableText"/>
              <w:jc w:val="right"/>
            </w:pPr>
            <w:r w:rsidRPr="00FE382E">
              <w:t>80.13%</w:t>
            </w:r>
          </w:p>
        </w:tc>
        <w:tc>
          <w:tcPr>
            <w:tcW w:w="975" w:type="dxa"/>
            <w:tcBorders>
              <w:top w:val="single" w:sz="4" w:space="0" w:color="A6A6A6" w:themeColor="background1" w:themeShade="A6"/>
              <w:left w:val="nil"/>
              <w:bottom w:val="single" w:sz="4" w:space="0" w:color="A6A6A6" w:themeColor="background1" w:themeShade="A6"/>
              <w:right w:val="nil"/>
            </w:tcBorders>
          </w:tcPr>
          <w:p w14:paraId="2FCF3D41" w14:textId="77777777" w:rsidR="00FE382E" w:rsidRPr="00FE382E" w:rsidRDefault="00FE382E" w:rsidP="00FE382E">
            <w:pPr>
              <w:pStyle w:val="TableText"/>
              <w:jc w:val="right"/>
            </w:pPr>
            <w:r w:rsidRPr="00FE382E">
              <w:t>1,817,461</w:t>
            </w:r>
          </w:p>
        </w:tc>
        <w:tc>
          <w:tcPr>
            <w:tcW w:w="941" w:type="dxa"/>
            <w:tcBorders>
              <w:top w:val="single" w:sz="4" w:space="0" w:color="A6A6A6" w:themeColor="background1" w:themeShade="A6"/>
              <w:left w:val="nil"/>
              <w:bottom w:val="single" w:sz="4" w:space="0" w:color="A6A6A6" w:themeColor="background1" w:themeShade="A6"/>
              <w:right w:val="nil"/>
            </w:tcBorders>
          </w:tcPr>
          <w:p w14:paraId="3C6DAE18" w14:textId="77777777" w:rsidR="00FE382E" w:rsidRPr="00FE382E" w:rsidRDefault="00FE382E" w:rsidP="00FE382E">
            <w:pPr>
              <w:pStyle w:val="TableText"/>
              <w:jc w:val="right"/>
            </w:pPr>
            <w:r w:rsidRPr="00FE382E">
              <w:t>77.08%</w:t>
            </w:r>
          </w:p>
        </w:tc>
        <w:tc>
          <w:tcPr>
            <w:tcW w:w="918" w:type="dxa"/>
            <w:tcBorders>
              <w:top w:val="single" w:sz="4" w:space="0" w:color="A6A6A6" w:themeColor="background1" w:themeShade="A6"/>
              <w:left w:val="nil"/>
              <w:bottom w:val="single" w:sz="4" w:space="0" w:color="A6A6A6" w:themeColor="background1" w:themeShade="A6"/>
              <w:right w:val="nil"/>
            </w:tcBorders>
          </w:tcPr>
          <w:p w14:paraId="56BCB37F" w14:textId="77777777" w:rsidR="00FE382E" w:rsidRPr="00FE382E" w:rsidRDefault="00FE382E" w:rsidP="00FE382E">
            <w:pPr>
              <w:pStyle w:val="TableText"/>
              <w:jc w:val="right"/>
            </w:pPr>
            <w:r w:rsidRPr="00FE382E">
              <w:t>18,073</w:t>
            </w:r>
          </w:p>
        </w:tc>
        <w:tc>
          <w:tcPr>
            <w:tcW w:w="1237" w:type="dxa"/>
            <w:tcBorders>
              <w:top w:val="single" w:sz="4" w:space="0" w:color="A6A6A6" w:themeColor="background1" w:themeShade="A6"/>
              <w:left w:val="nil"/>
              <w:bottom w:val="single" w:sz="4" w:space="0" w:color="A6A6A6" w:themeColor="background1" w:themeShade="A6"/>
              <w:right w:val="nil"/>
            </w:tcBorders>
          </w:tcPr>
          <w:p w14:paraId="203EF4BE" w14:textId="77777777" w:rsidR="00FE382E" w:rsidRPr="00FE382E" w:rsidRDefault="00FE382E" w:rsidP="00FE382E">
            <w:pPr>
              <w:pStyle w:val="TableText"/>
              <w:jc w:val="right"/>
            </w:pPr>
            <w:r w:rsidRPr="00FE382E">
              <w:t>11.04%</w:t>
            </w:r>
          </w:p>
        </w:tc>
      </w:tr>
      <w:tr w:rsidR="00FE382E" w:rsidRPr="00FE382E" w14:paraId="2C59A31C" w14:textId="77777777" w:rsidTr="00FE382E">
        <w:trPr>
          <w:trHeight w:val="557"/>
        </w:trPr>
        <w:tc>
          <w:tcPr>
            <w:tcW w:w="993" w:type="dxa"/>
            <w:tcBorders>
              <w:top w:val="single" w:sz="4" w:space="0" w:color="A6A6A6" w:themeColor="background1" w:themeShade="A6"/>
              <w:left w:val="nil"/>
              <w:bottom w:val="single" w:sz="4" w:space="0" w:color="A6A6A6" w:themeColor="background1" w:themeShade="A6"/>
              <w:right w:val="nil"/>
            </w:tcBorders>
          </w:tcPr>
          <w:p w14:paraId="6EEEFBFF" w14:textId="77777777" w:rsidR="00FE382E" w:rsidRPr="00FE382E" w:rsidRDefault="00FE382E" w:rsidP="00FE382E">
            <w:pPr>
              <w:pStyle w:val="TableText"/>
            </w:pPr>
            <w:r w:rsidRPr="00FE382E">
              <w:t>Pacific peoples</w:t>
            </w:r>
          </w:p>
        </w:tc>
        <w:tc>
          <w:tcPr>
            <w:tcW w:w="1134" w:type="dxa"/>
            <w:tcBorders>
              <w:top w:val="single" w:sz="4" w:space="0" w:color="A6A6A6" w:themeColor="background1" w:themeShade="A6"/>
              <w:left w:val="nil"/>
              <w:bottom w:val="single" w:sz="4" w:space="0" w:color="A6A6A6" w:themeColor="background1" w:themeShade="A6"/>
              <w:right w:val="nil"/>
            </w:tcBorders>
          </w:tcPr>
          <w:p w14:paraId="61464851" w14:textId="77777777" w:rsidR="00FE382E" w:rsidRPr="00FE382E" w:rsidRDefault="00FE382E" w:rsidP="00FE382E">
            <w:pPr>
              <w:pStyle w:val="TableText"/>
              <w:jc w:val="right"/>
            </w:pPr>
            <w:r w:rsidRPr="00FE382E">
              <w:t>236,854</w:t>
            </w:r>
          </w:p>
        </w:tc>
        <w:tc>
          <w:tcPr>
            <w:tcW w:w="1100" w:type="dxa"/>
            <w:tcBorders>
              <w:top w:val="single" w:sz="4" w:space="0" w:color="A6A6A6" w:themeColor="background1" w:themeShade="A6"/>
              <w:left w:val="nil"/>
              <w:bottom w:val="single" w:sz="4" w:space="0" w:color="A6A6A6" w:themeColor="background1" w:themeShade="A6"/>
              <w:right w:val="nil"/>
            </w:tcBorders>
          </w:tcPr>
          <w:p w14:paraId="60512DCE" w14:textId="77777777" w:rsidR="00FE382E" w:rsidRPr="00FE382E" w:rsidRDefault="00FE382E" w:rsidP="00FE382E">
            <w:pPr>
              <w:pStyle w:val="TableText"/>
              <w:jc w:val="right"/>
            </w:pPr>
            <w:r w:rsidRPr="00FE382E">
              <w:t>75.87%</w:t>
            </w:r>
          </w:p>
        </w:tc>
        <w:tc>
          <w:tcPr>
            <w:tcW w:w="1100" w:type="dxa"/>
            <w:tcBorders>
              <w:top w:val="single" w:sz="4" w:space="0" w:color="A6A6A6" w:themeColor="background1" w:themeShade="A6"/>
              <w:left w:val="nil"/>
              <w:bottom w:val="single" w:sz="4" w:space="0" w:color="A6A6A6" w:themeColor="background1" w:themeShade="A6"/>
              <w:right w:val="nil"/>
            </w:tcBorders>
          </w:tcPr>
          <w:p w14:paraId="255724A2" w14:textId="77777777" w:rsidR="00FE382E" w:rsidRPr="00FE382E" w:rsidRDefault="00FE382E" w:rsidP="00FE382E">
            <w:pPr>
              <w:pStyle w:val="TableText"/>
              <w:jc w:val="right"/>
            </w:pPr>
            <w:r w:rsidRPr="00FE382E">
              <w:t>250,002</w:t>
            </w:r>
          </w:p>
        </w:tc>
        <w:tc>
          <w:tcPr>
            <w:tcW w:w="1100" w:type="dxa"/>
            <w:tcBorders>
              <w:top w:val="single" w:sz="4" w:space="0" w:color="A6A6A6" w:themeColor="background1" w:themeShade="A6"/>
              <w:left w:val="nil"/>
              <w:bottom w:val="single" w:sz="4" w:space="0" w:color="A6A6A6" w:themeColor="background1" w:themeShade="A6"/>
              <w:right w:val="nil"/>
            </w:tcBorders>
          </w:tcPr>
          <w:p w14:paraId="1B252ACD" w14:textId="77777777" w:rsidR="00FE382E" w:rsidRPr="00FE382E" w:rsidRDefault="00FE382E" w:rsidP="00FE382E">
            <w:pPr>
              <w:pStyle w:val="TableText"/>
              <w:jc w:val="right"/>
            </w:pPr>
            <w:r w:rsidRPr="00FE382E">
              <w:t>80.08%</w:t>
            </w:r>
          </w:p>
        </w:tc>
        <w:tc>
          <w:tcPr>
            <w:tcW w:w="975" w:type="dxa"/>
            <w:tcBorders>
              <w:top w:val="single" w:sz="4" w:space="0" w:color="A6A6A6" w:themeColor="background1" w:themeShade="A6"/>
              <w:left w:val="nil"/>
              <w:bottom w:val="single" w:sz="4" w:space="0" w:color="A6A6A6" w:themeColor="background1" w:themeShade="A6"/>
              <w:right w:val="nil"/>
            </w:tcBorders>
          </w:tcPr>
          <w:p w14:paraId="7BE7CD0A" w14:textId="77777777" w:rsidR="00FE382E" w:rsidRPr="00FE382E" w:rsidRDefault="00FE382E" w:rsidP="00FE382E">
            <w:pPr>
              <w:pStyle w:val="TableText"/>
              <w:jc w:val="right"/>
            </w:pPr>
            <w:r w:rsidRPr="00FE382E">
              <w:t>145,626</w:t>
            </w:r>
          </w:p>
        </w:tc>
        <w:tc>
          <w:tcPr>
            <w:tcW w:w="941" w:type="dxa"/>
            <w:tcBorders>
              <w:top w:val="single" w:sz="4" w:space="0" w:color="A6A6A6" w:themeColor="background1" w:themeShade="A6"/>
              <w:left w:val="nil"/>
              <w:bottom w:val="single" w:sz="4" w:space="0" w:color="A6A6A6" w:themeColor="background1" w:themeShade="A6"/>
              <w:right w:val="nil"/>
            </w:tcBorders>
          </w:tcPr>
          <w:p w14:paraId="06B1FF48" w14:textId="77777777" w:rsidR="00FE382E" w:rsidRPr="00FE382E" w:rsidRDefault="00FE382E" w:rsidP="00FE382E">
            <w:pPr>
              <w:pStyle w:val="TableText"/>
              <w:jc w:val="right"/>
            </w:pPr>
            <w:r w:rsidRPr="00FE382E">
              <w:t>59.15%</w:t>
            </w:r>
          </w:p>
        </w:tc>
        <w:tc>
          <w:tcPr>
            <w:tcW w:w="918" w:type="dxa"/>
            <w:tcBorders>
              <w:top w:val="single" w:sz="4" w:space="0" w:color="A6A6A6" w:themeColor="background1" w:themeShade="A6"/>
              <w:left w:val="nil"/>
              <w:bottom w:val="single" w:sz="4" w:space="0" w:color="A6A6A6" w:themeColor="background1" w:themeShade="A6"/>
              <w:right w:val="nil"/>
            </w:tcBorders>
          </w:tcPr>
          <w:p w14:paraId="759B305D" w14:textId="77777777" w:rsidR="00FE382E" w:rsidRPr="00FE382E" w:rsidRDefault="00FE382E" w:rsidP="00FE382E">
            <w:pPr>
              <w:pStyle w:val="TableText"/>
              <w:jc w:val="right"/>
            </w:pPr>
            <w:r w:rsidRPr="00FE382E">
              <w:t>310</w:t>
            </w:r>
          </w:p>
        </w:tc>
        <w:tc>
          <w:tcPr>
            <w:tcW w:w="1237" w:type="dxa"/>
            <w:tcBorders>
              <w:top w:val="single" w:sz="4" w:space="0" w:color="A6A6A6" w:themeColor="background1" w:themeShade="A6"/>
              <w:left w:val="nil"/>
              <w:bottom w:val="single" w:sz="4" w:space="0" w:color="A6A6A6" w:themeColor="background1" w:themeShade="A6"/>
              <w:right w:val="nil"/>
            </w:tcBorders>
          </w:tcPr>
          <w:p w14:paraId="5D9B5D5D" w14:textId="77777777" w:rsidR="00FE382E" w:rsidRPr="00FE382E" w:rsidRDefault="00FE382E" w:rsidP="00FE382E">
            <w:pPr>
              <w:pStyle w:val="TableText"/>
              <w:jc w:val="right"/>
            </w:pPr>
            <w:r w:rsidRPr="00FE382E">
              <w:t>3.25%</w:t>
            </w:r>
          </w:p>
        </w:tc>
      </w:tr>
      <w:tr w:rsidR="00FE382E" w:rsidRPr="00FE382E" w14:paraId="32AECBD0" w14:textId="77777777" w:rsidTr="00FE382E">
        <w:trPr>
          <w:trHeight w:val="317"/>
        </w:trPr>
        <w:tc>
          <w:tcPr>
            <w:tcW w:w="993" w:type="dxa"/>
            <w:tcBorders>
              <w:top w:val="single" w:sz="4" w:space="0" w:color="A6A6A6" w:themeColor="background1" w:themeShade="A6"/>
              <w:left w:val="nil"/>
              <w:bottom w:val="single" w:sz="4" w:space="0" w:color="A6A6A6" w:themeColor="background1" w:themeShade="A6"/>
              <w:right w:val="nil"/>
            </w:tcBorders>
          </w:tcPr>
          <w:p w14:paraId="05D33959" w14:textId="77777777" w:rsidR="00FE382E" w:rsidRPr="00FE382E" w:rsidRDefault="00FE382E" w:rsidP="00FE382E">
            <w:pPr>
              <w:pStyle w:val="TableText"/>
            </w:pPr>
            <w:r w:rsidRPr="00FE382E">
              <w:t>Unknown</w:t>
            </w:r>
          </w:p>
        </w:tc>
        <w:tc>
          <w:tcPr>
            <w:tcW w:w="1134" w:type="dxa"/>
            <w:tcBorders>
              <w:top w:val="single" w:sz="4" w:space="0" w:color="A6A6A6" w:themeColor="background1" w:themeShade="A6"/>
              <w:left w:val="nil"/>
              <w:bottom w:val="single" w:sz="4" w:space="0" w:color="A6A6A6" w:themeColor="background1" w:themeShade="A6"/>
              <w:right w:val="nil"/>
            </w:tcBorders>
          </w:tcPr>
          <w:p w14:paraId="134BCC73" w14:textId="77777777" w:rsidR="00FE382E" w:rsidRPr="00FE382E" w:rsidRDefault="00FE382E" w:rsidP="00FE382E">
            <w:pPr>
              <w:pStyle w:val="TableText"/>
              <w:jc w:val="right"/>
            </w:pPr>
            <w:r w:rsidRPr="00FE382E">
              <w:t>28,362</w:t>
            </w:r>
          </w:p>
        </w:tc>
        <w:tc>
          <w:tcPr>
            <w:tcW w:w="1100" w:type="dxa"/>
            <w:tcBorders>
              <w:top w:val="single" w:sz="4" w:space="0" w:color="A6A6A6" w:themeColor="background1" w:themeShade="A6"/>
              <w:left w:val="nil"/>
              <w:bottom w:val="single" w:sz="4" w:space="0" w:color="A6A6A6" w:themeColor="background1" w:themeShade="A6"/>
              <w:right w:val="nil"/>
            </w:tcBorders>
          </w:tcPr>
          <w:p w14:paraId="5DEF0555" w14:textId="77777777" w:rsidR="00FE382E" w:rsidRPr="00FE382E" w:rsidRDefault="00FE382E" w:rsidP="00FE382E">
            <w:pPr>
              <w:pStyle w:val="TableText"/>
              <w:jc w:val="right"/>
            </w:pPr>
            <w:r w:rsidRPr="00FE382E">
              <w:t>76.69%</w:t>
            </w:r>
          </w:p>
        </w:tc>
        <w:tc>
          <w:tcPr>
            <w:tcW w:w="1100" w:type="dxa"/>
            <w:tcBorders>
              <w:top w:val="single" w:sz="4" w:space="0" w:color="A6A6A6" w:themeColor="background1" w:themeShade="A6"/>
              <w:left w:val="nil"/>
              <w:bottom w:val="single" w:sz="4" w:space="0" w:color="A6A6A6" w:themeColor="background1" w:themeShade="A6"/>
              <w:right w:val="nil"/>
            </w:tcBorders>
          </w:tcPr>
          <w:p w14:paraId="35AC7881" w14:textId="77777777" w:rsidR="00FE382E" w:rsidRPr="00FE382E" w:rsidRDefault="00FE382E" w:rsidP="00FE382E">
            <w:pPr>
              <w:pStyle w:val="TableText"/>
              <w:jc w:val="right"/>
            </w:pPr>
            <w:r w:rsidRPr="00FE382E">
              <w:t>31,393</w:t>
            </w:r>
          </w:p>
        </w:tc>
        <w:tc>
          <w:tcPr>
            <w:tcW w:w="1100" w:type="dxa"/>
            <w:tcBorders>
              <w:top w:val="single" w:sz="4" w:space="0" w:color="A6A6A6" w:themeColor="background1" w:themeShade="A6"/>
              <w:left w:val="nil"/>
              <w:bottom w:val="single" w:sz="4" w:space="0" w:color="A6A6A6" w:themeColor="background1" w:themeShade="A6"/>
              <w:right w:val="nil"/>
            </w:tcBorders>
          </w:tcPr>
          <w:p w14:paraId="3497B28C" w14:textId="77777777" w:rsidR="00FE382E" w:rsidRPr="00FE382E" w:rsidRDefault="00FE382E" w:rsidP="00FE382E">
            <w:pPr>
              <w:pStyle w:val="TableText"/>
              <w:jc w:val="right"/>
            </w:pPr>
            <w:r w:rsidRPr="00FE382E">
              <w:t>84.89%</w:t>
            </w:r>
          </w:p>
        </w:tc>
        <w:tc>
          <w:tcPr>
            <w:tcW w:w="975" w:type="dxa"/>
            <w:tcBorders>
              <w:top w:val="single" w:sz="4" w:space="0" w:color="A6A6A6" w:themeColor="background1" w:themeShade="A6"/>
              <w:left w:val="nil"/>
              <w:bottom w:val="single" w:sz="4" w:space="0" w:color="A6A6A6" w:themeColor="background1" w:themeShade="A6"/>
              <w:right w:val="nil"/>
            </w:tcBorders>
          </w:tcPr>
          <w:p w14:paraId="3AA97BDA" w14:textId="77777777" w:rsidR="00FE382E" w:rsidRPr="00FE382E" w:rsidRDefault="00FE382E" w:rsidP="00FE382E">
            <w:pPr>
              <w:pStyle w:val="TableText"/>
              <w:jc w:val="right"/>
            </w:pPr>
            <w:r w:rsidRPr="00FE382E">
              <w:t>23,725</w:t>
            </w:r>
          </w:p>
        </w:tc>
        <w:tc>
          <w:tcPr>
            <w:tcW w:w="941" w:type="dxa"/>
            <w:tcBorders>
              <w:top w:val="single" w:sz="4" w:space="0" w:color="A6A6A6" w:themeColor="background1" w:themeShade="A6"/>
              <w:left w:val="nil"/>
              <w:bottom w:val="single" w:sz="4" w:space="0" w:color="A6A6A6" w:themeColor="background1" w:themeShade="A6"/>
              <w:right w:val="nil"/>
            </w:tcBorders>
          </w:tcPr>
          <w:p w14:paraId="13012F9E" w14:textId="77777777" w:rsidR="00FE382E" w:rsidRPr="00FE382E" w:rsidRDefault="00FE382E" w:rsidP="00FE382E">
            <w:pPr>
              <w:pStyle w:val="TableText"/>
              <w:jc w:val="right"/>
            </w:pPr>
            <w:r w:rsidRPr="00FE382E">
              <w:t>62.70%</w:t>
            </w:r>
          </w:p>
        </w:tc>
        <w:tc>
          <w:tcPr>
            <w:tcW w:w="918" w:type="dxa"/>
            <w:tcBorders>
              <w:top w:val="single" w:sz="4" w:space="0" w:color="A6A6A6" w:themeColor="background1" w:themeShade="A6"/>
              <w:left w:val="nil"/>
              <w:bottom w:val="single" w:sz="4" w:space="0" w:color="A6A6A6" w:themeColor="background1" w:themeShade="A6"/>
              <w:right w:val="nil"/>
            </w:tcBorders>
          </w:tcPr>
          <w:p w14:paraId="2F8C7693" w14:textId="77777777" w:rsidR="00FE382E" w:rsidRPr="00FE382E" w:rsidRDefault="00FE382E" w:rsidP="00FE382E">
            <w:pPr>
              <w:pStyle w:val="TableText"/>
              <w:jc w:val="right"/>
            </w:pPr>
            <w:r w:rsidRPr="00FE382E">
              <w:t>117</w:t>
            </w:r>
          </w:p>
        </w:tc>
        <w:tc>
          <w:tcPr>
            <w:tcW w:w="1237" w:type="dxa"/>
            <w:tcBorders>
              <w:top w:val="single" w:sz="4" w:space="0" w:color="A6A6A6" w:themeColor="background1" w:themeShade="A6"/>
              <w:left w:val="nil"/>
              <w:bottom w:val="single" w:sz="4" w:space="0" w:color="A6A6A6" w:themeColor="background1" w:themeShade="A6"/>
              <w:right w:val="nil"/>
            </w:tcBorders>
          </w:tcPr>
          <w:p w14:paraId="3AADA564" w14:textId="77777777" w:rsidR="00FE382E" w:rsidRPr="00FE382E" w:rsidRDefault="00FE382E" w:rsidP="00FE382E">
            <w:pPr>
              <w:pStyle w:val="TableText"/>
              <w:jc w:val="right"/>
            </w:pPr>
            <w:r w:rsidRPr="00FE382E">
              <w:t>7.28%</w:t>
            </w:r>
          </w:p>
        </w:tc>
      </w:tr>
      <w:tr w:rsidR="00FE382E" w:rsidRPr="001D0A8A" w14:paraId="5C08DF25" w14:textId="77777777" w:rsidTr="00FE382E">
        <w:trPr>
          <w:trHeight w:val="312"/>
        </w:trPr>
        <w:tc>
          <w:tcPr>
            <w:tcW w:w="993" w:type="dxa"/>
            <w:tcBorders>
              <w:top w:val="single" w:sz="4" w:space="0" w:color="A6A6A6" w:themeColor="background1" w:themeShade="A6"/>
              <w:left w:val="nil"/>
              <w:bottom w:val="single" w:sz="4" w:space="0" w:color="A6A6A6" w:themeColor="background1" w:themeShade="A6"/>
              <w:right w:val="nil"/>
            </w:tcBorders>
          </w:tcPr>
          <w:p w14:paraId="76CDC646" w14:textId="77777777" w:rsidR="00FE382E" w:rsidRPr="001D0A8A" w:rsidRDefault="00FE382E" w:rsidP="00FE382E">
            <w:pPr>
              <w:pStyle w:val="TableText"/>
              <w:rPr>
                <w:b/>
                <w:bCs/>
              </w:rPr>
            </w:pPr>
            <w:r w:rsidRPr="001D0A8A">
              <w:rPr>
                <w:b/>
                <w:bCs/>
              </w:rPr>
              <w:t>Total</w:t>
            </w:r>
          </w:p>
        </w:tc>
        <w:tc>
          <w:tcPr>
            <w:tcW w:w="1134" w:type="dxa"/>
            <w:tcBorders>
              <w:top w:val="single" w:sz="4" w:space="0" w:color="A6A6A6" w:themeColor="background1" w:themeShade="A6"/>
              <w:left w:val="nil"/>
              <w:bottom w:val="single" w:sz="4" w:space="0" w:color="A6A6A6" w:themeColor="background1" w:themeShade="A6"/>
              <w:right w:val="nil"/>
            </w:tcBorders>
          </w:tcPr>
          <w:p w14:paraId="4F3C51DB" w14:textId="77777777" w:rsidR="00FE382E" w:rsidRPr="001D0A8A" w:rsidRDefault="00FE382E" w:rsidP="00FE382E">
            <w:pPr>
              <w:pStyle w:val="TableText"/>
              <w:jc w:val="right"/>
              <w:rPr>
                <w:b/>
                <w:bCs/>
              </w:rPr>
            </w:pPr>
            <w:r w:rsidRPr="001D0A8A">
              <w:rPr>
                <w:b/>
                <w:bCs/>
              </w:rPr>
              <w:t>3,354,741</w:t>
            </w:r>
          </w:p>
        </w:tc>
        <w:tc>
          <w:tcPr>
            <w:tcW w:w="1100" w:type="dxa"/>
            <w:tcBorders>
              <w:top w:val="single" w:sz="4" w:space="0" w:color="A6A6A6" w:themeColor="background1" w:themeShade="A6"/>
              <w:left w:val="nil"/>
              <w:bottom w:val="single" w:sz="4" w:space="0" w:color="A6A6A6" w:themeColor="background1" w:themeShade="A6"/>
              <w:right w:val="nil"/>
            </w:tcBorders>
          </w:tcPr>
          <w:p w14:paraId="581D2416" w14:textId="77777777" w:rsidR="00FE382E" w:rsidRPr="001D0A8A" w:rsidRDefault="00FE382E" w:rsidP="00FE382E">
            <w:pPr>
              <w:pStyle w:val="TableText"/>
              <w:jc w:val="right"/>
              <w:rPr>
                <w:b/>
                <w:bCs/>
              </w:rPr>
            </w:pPr>
            <w:r w:rsidRPr="001D0A8A">
              <w:rPr>
                <w:b/>
                <w:bCs/>
              </w:rPr>
              <w:t>75.34%</w:t>
            </w:r>
          </w:p>
        </w:tc>
        <w:tc>
          <w:tcPr>
            <w:tcW w:w="1100" w:type="dxa"/>
            <w:tcBorders>
              <w:top w:val="single" w:sz="4" w:space="0" w:color="A6A6A6" w:themeColor="background1" w:themeShade="A6"/>
              <w:left w:val="nil"/>
              <w:bottom w:val="single" w:sz="4" w:space="0" w:color="A6A6A6" w:themeColor="background1" w:themeShade="A6"/>
              <w:right w:val="nil"/>
            </w:tcBorders>
          </w:tcPr>
          <w:p w14:paraId="70FE3E8D" w14:textId="77777777" w:rsidR="00FE382E" w:rsidRPr="001D0A8A" w:rsidRDefault="00FE382E" w:rsidP="00FE382E">
            <w:pPr>
              <w:pStyle w:val="TableText"/>
              <w:jc w:val="right"/>
              <w:rPr>
                <w:b/>
                <w:bCs/>
              </w:rPr>
            </w:pPr>
            <w:r w:rsidRPr="001D0A8A">
              <w:rPr>
                <w:b/>
                <w:bCs/>
              </w:rPr>
              <w:t>3,558,935</w:t>
            </w:r>
          </w:p>
        </w:tc>
        <w:tc>
          <w:tcPr>
            <w:tcW w:w="1100" w:type="dxa"/>
            <w:tcBorders>
              <w:top w:val="single" w:sz="4" w:space="0" w:color="A6A6A6" w:themeColor="background1" w:themeShade="A6"/>
              <w:left w:val="nil"/>
              <w:bottom w:val="single" w:sz="4" w:space="0" w:color="A6A6A6" w:themeColor="background1" w:themeShade="A6"/>
              <w:right w:val="nil"/>
            </w:tcBorders>
          </w:tcPr>
          <w:p w14:paraId="64B289E7" w14:textId="77777777" w:rsidR="00FE382E" w:rsidRPr="001D0A8A" w:rsidRDefault="00FE382E" w:rsidP="00FE382E">
            <w:pPr>
              <w:pStyle w:val="TableText"/>
              <w:jc w:val="right"/>
              <w:rPr>
                <w:b/>
                <w:bCs/>
              </w:rPr>
            </w:pPr>
            <w:r w:rsidRPr="001D0A8A">
              <w:rPr>
                <w:b/>
                <w:bCs/>
              </w:rPr>
              <w:t>79.93%</w:t>
            </w:r>
          </w:p>
        </w:tc>
        <w:tc>
          <w:tcPr>
            <w:tcW w:w="975" w:type="dxa"/>
            <w:tcBorders>
              <w:top w:val="single" w:sz="4" w:space="0" w:color="A6A6A6" w:themeColor="background1" w:themeShade="A6"/>
              <w:left w:val="nil"/>
              <w:bottom w:val="single" w:sz="4" w:space="0" w:color="A6A6A6" w:themeColor="background1" w:themeShade="A6"/>
              <w:right w:val="nil"/>
            </w:tcBorders>
          </w:tcPr>
          <w:p w14:paraId="3061454D" w14:textId="77777777" w:rsidR="00FE382E" w:rsidRPr="001D0A8A" w:rsidRDefault="00FE382E" w:rsidP="00FE382E">
            <w:pPr>
              <w:pStyle w:val="TableText"/>
              <w:jc w:val="right"/>
              <w:rPr>
                <w:b/>
                <w:bCs/>
              </w:rPr>
            </w:pPr>
            <w:r w:rsidRPr="001D0A8A">
              <w:rPr>
                <w:b/>
                <w:bCs/>
              </w:rPr>
              <w:t>2,665,054</w:t>
            </w:r>
          </w:p>
        </w:tc>
        <w:tc>
          <w:tcPr>
            <w:tcW w:w="941" w:type="dxa"/>
            <w:tcBorders>
              <w:top w:val="single" w:sz="4" w:space="0" w:color="A6A6A6" w:themeColor="background1" w:themeShade="A6"/>
              <w:left w:val="nil"/>
              <w:bottom w:val="single" w:sz="4" w:space="0" w:color="A6A6A6" w:themeColor="background1" w:themeShade="A6"/>
              <w:right w:val="nil"/>
            </w:tcBorders>
          </w:tcPr>
          <w:p w14:paraId="1EAC6168" w14:textId="77777777" w:rsidR="00FE382E" w:rsidRPr="001D0A8A" w:rsidRDefault="00FE382E" w:rsidP="00FE382E">
            <w:pPr>
              <w:pStyle w:val="TableText"/>
              <w:jc w:val="right"/>
              <w:rPr>
                <w:b/>
                <w:bCs/>
              </w:rPr>
            </w:pPr>
            <w:r w:rsidRPr="001D0A8A">
              <w:rPr>
                <w:b/>
                <w:bCs/>
              </w:rPr>
              <w:t>72.53%</w:t>
            </w:r>
          </w:p>
        </w:tc>
        <w:tc>
          <w:tcPr>
            <w:tcW w:w="918" w:type="dxa"/>
            <w:tcBorders>
              <w:top w:val="single" w:sz="4" w:space="0" w:color="A6A6A6" w:themeColor="background1" w:themeShade="A6"/>
              <w:left w:val="nil"/>
              <w:bottom w:val="single" w:sz="4" w:space="0" w:color="A6A6A6" w:themeColor="background1" w:themeShade="A6"/>
              <w:right w:val="nil"/>
            </w:tcBorders>
          </w:tcPr>
          <w:p w14:paraId="5621A2BB" w14:textId="77777777" w:rsidR="00FE382E" w:rsidRPr="001D0A8A" w:rsidRDefault="00FE382E" w:rsidP="00FE382E">
            <w:pPr>
              <w:pStyle w:val="TableText"/>
              <w:jc w:val="right"/>
              <w:rPr>
                <w:b/>
                <w:bCs/>
              </w:rPr>
            </w:pPr>
            <w:r w:rsidRPr="001D0A8A">
              <w:rPr>
                <w:b/>
                <w:bCs/>
              </w:rPr>
              <w:t>20,466</w:t>
            </w:r>
          </w:p>
        </w:tc>
        <w:tc>
          <w:tcPr>
            <w:tcW w:w="1237" w:type="dxa"/>
            <w:tcBorders>
              <w:top w:val="single" w:sz="4" w:space="0" w:color="A6A6A6" w:themeColor="background1" w:themeShade="A6"/>
              <w:left w:val="nil"/>
              <w:bottom w:val="single" w:sz="4" w:space="0" w:color="A6A6A6" w:themeColor="background1" w:themeShade="A6"/>
              <w:right w:val="nil"/>
            </w:tcBorders>
          </w:tcPr>
          <w:p w14:paraId="636CB281" w14:textId="77777777" w:rsidR="00FE382E" w:rsidRPr="001D0A8A" w:rsidRDefault="00FE382E" w:rsidP="00FE382E">
            <w:pPr>
              <w:pStyle w:val="TableText"/>
              <w:jc w:val="right"/>
              <w:rPr>
                <w:b/>
                <w:bCs/>
              </w:rPr>
            </w:pPr>
            <w:r w:rsidRPr="001D0A8A">
              <w:rPr>
                <w:b/>
                <w:bCs/>
              </w:rPr>
              <w:t>9.73%</w:t>
            </w:r>
          </w:p>
        </w:tc>
      </w:tr>
    </w:tbl>
    <w:p w14:paraId="4E38A5F7" w14:textId="6442074C" w:rsidR="001D0A8A" w:rsidRDefault="001D0A8A" w:rsidP="001D0A8A">
      <w:pPr>
        <w:pStyle w:val="Note"/>
      </w:pPr>
      <w:r>
        <w:t>Note</w:t>
      </w:r>
      <w:r>
        <w:rPr>
          <w:spacing w:val="12"/>
        </w:rPr>
        <w:t xml:space="preserve"> </w:t>
      </w:r>
      <w:r>
        <w:t>1:</w:t>
      </w:r>
      <w:r>
        <w:rPr>
          <w:spacing w:val="39"/>
        </w:rPr>
        <w:t xml:space="preserve"> </w:t>
      </w:r>
      <w:r>
        <w:t>Ethnicity</w:t>
      </w:r>
      <w:r>
        <w:rPr>
          <w:spacing w:val="13"/>
        </w:rPr>
        <w:t xml:space="preserve"> </w:t>
      </w:r>
      <w:r>
        <w:t>is</w:t>
      </w:r>
      <w:r>
        <w:rPr>
          <w:spacing w:val="12"/>
        </w:rPr>
        <w:t xml:space="preserve"> </w:t>
      </w:r>
      <w:r>
        <w:t>based</w:t>
      </w:r>
      <w:r>
        <w:rPr>
          <w:spacing w:val="13"/>
        </w:rPr>
        <w:t xml:space="preserve"> </w:t>
      </w:r>
      <w:r>
        <w:t>on</w:t>
      </w:r>
      <w:r>
        <w:rPr>
          <w:spacing w:val="13"/>
        </w:rPr>
        <w:t xml:space="preserve"> </w:t>
      </w:r>
      <w:r>
        <w:t>the</w:t>
      </w:r>
      <w:r>
        <w:rPr>
          <w:spacing w:val="12"/>
        </w:rPr>
        <w:t xml:space="preserve"> </w:t>
      </w:r>
      <w:r>
        <w:t>prioritised</w:t>
      </w:r>
      <w:r>
        <w:rPr>
          <w:spacing w:val="13"/>
        </w:rPr>
        <w:t xml:space="preserve"> </w:t>
      </w:r>
      <w:r>
        <w:t>ethnicity</w:t>
      </w:r>
      <w:r>
        <w:rPr>
          <w:spacing w:val="12"/>
        </w:rPr>
        <w:t xml:space="preserve"> </w:t>
      </w:r>
      <w:r>
        <w:t>classification</w:t>
      </w:r>
      <w:r>
        <w:rPr>
          <w:spacing w:val="13"/>
        </w:rPr>
        <w:t xml:space="preserve"> </w:t>
      </w:r>
      <w:r>
        <w:t>system.</w:t>
      </w:r>
      <w:r>
        <w:rPr>
          <w:spacing w:val="13"/>
        </w:rPr>
        <w:t xml:space="preserve"> </w:t>
      </w:r>
      <w:r>
        <w:t>This</w:t>
      </w:r>
      <w:r>
        <w:rPr>
          <w:spacing w:val="12"/>
        </w:rPr>
        <w:t xml:space="preserve"> </w:t>
      </w:r>
      <w:r>
        <w:t>allocates</w:t>
      </w:r>
      <w:r>
        <w:rPr>
          <w:spacing w:val="13"/>
        </w:rPr>
        <w:t xml:space="preserve"> </w:t>
      </w:r>
      <w:r>
        <w:t>each</w:t>
      </w:r>
      <w:r>
        <w:rPr>
          <w:spacing w:val="12"/>
        </w:rPr>
        <w:t xml:space="preserve"> </w:t>
      </w:r>
      <w:r>
        <w:t>individual</w:t>
      </w:r>
      <w:r>
        <w:rPr>
          <w:spacing w:val="13"/>
        </w:rPr>
        <w:t xml:space="preserve"> </w:t>
      </w:r>
      <w:r>
        <w:t>to</w:t>
      </w:r>
      <w:r>
        <w:rPr>
          <w:spacing w:val="13"/>
        </w:rPr>
        <w:t xml:space="preserve"> </w:t>
      </w:r>
      <w:r>
        <w:t>a</w:t>
      </w:r>
      <w:r>
        <w:rPr>
          <w:spacing w:val="1"/>
        </w:rPr>
        <w:t xml:space="preserve"> </w:t>
      </w:r>
      <w:r>
        <w:t>single</w:t>
      </w:r>
      <w:r>
        <w:rPr>
          <w:spacing w:val="9"/>
        </w:rPr>
        <w:t xml:space="preserve"> </w:t>
      </w:r>
      <w:r>
        <w:t>ethnic</w:t>
      </w:r>
      <w:r>
        <w:rPr>
          <w:spacing w:val="9"/>
        </w:rPr>
        <w:t xml:space="preserve"> </w:t>
      </w:r>
      <w:r>
        <w:t>group,</w:t>
      </w:r>
      <w:r>
        <w:rPr>
          <w:spacing w:val="9"/>
        </w:rPr>
        <w:t xml:space="preserve"> </w:t>
      </w:r>
      <w:r>
        <w:t>based</w:t>
      </w:r>
      <w:r>
        <w:rPr>
          <w:spacing w:val="9"/>
        </w:rPr>
        <w:t xml:space="preserve"> </w:t>
      </w:r>
      <w:r>
        <w:t>on</w:t>
      </w:r>
      <w:r>
        <w:rPr>
          <w:spacing w:val="9"/>
        </w:rPr>
        <w:t xml:space="preserve"> </w:t>
      </w:r>
      <w:r>
        <w:t>the</w:t>
      </w:r>
      <w:r>
        <w:rPr>
          <w:spacing w:val="9"/>
        </w:rPr>
        <w:t xml:space="preserve"> </w:t>
      </w:r>
      <w:r>
        <w:t>ethnic</w:t>
      </w:r>
      <w:r>
        <w:rPr>
          <w:spacing w:val="9"/>
        </w:rPr>
        <w:t xml:space="preserve"> </w:t>
      </w:r>
      <w:r>
        <w:t>group</w:t>
      </w:r>
      <w:r>
        <w:rPr>
          <w:spacing w:val="9"/>
        </w:rPr>
        <w:t xml:space="preserve"> </w:t>
      </w:r>
      <w:r>
        <w:t>(or</w:t>
      </w:r>
      <w:r>
        <w:rPr>
          <w:spacing w:val="9"/>
        </w:rPr>
        <w:t xml:space="preserve"> </w:t>
      </w:r>
      <w:r>
        <w:t>groups)</w:t>
      </w:r>
      <w:r>
        <w:rPr>
          <w:spacing w:val="9"/>
        </w:rPr>
        <w:t xml:space="preserve"> </w:t>
      </w:r>
      <w:r>
        <w:t>they</w:t>
      </w:r>
      <w:r>
        <w:rPr>
          <w:spacing w:val="9"/>
        </w:rPr>
        <w:t xml:space="preserve"> </w:t>
      </w:r>
      <w:r>
        <w:t>identify</w:t>
      </w:r>
      <w:r>
        <w:rPr>
          <w:spacing w:val="9"/>
        </w:rPr>
        <w:t xml:space="preserve"> </w:t>
      </w:r>
      <w:r>
        <w:t>with.</w:t>
      </w:r>
      <w:r>
        <w:rPr>
          <w:spacing w:val="10"/>
        </w:rPr>
        <w:t xml:space="preserve"> </w:t>
      </w:r>
      <w:r>
        <w:t>Where</w:t>
      </w:r>
      <w:r>
        <w:rPr>
          <w:spacing w:val="9"/>
        </w:rPr>
        <w:t xml:space="preserve"> </w:t>
      </w:r>
      <w:r>
        <w:t>people</w:t>
      </w:r>
      <w:r>
        <w:rPr>
          <w:spacing w:val="9"/>
        </w:rPr>
        <w:t xml:space="preserve"> </w:t>
      </w:r>
      <w:r>
        <w:t>identify</w:t>
      </w:r>
      <w:r>
        <w:rPr>
          <w:spacing w:val="1"/>
        </w:rPr>
        <w:t xml:space="preserve"> </w:t>
      </w:r>
      <w:r>
        <w:t>with</w:t>
      </w:r>
      <w:r>
        <w:rPr>
          <w:spacing w:val="8"/>
        </w:rPr>
        <w:t xml:space="preserve"> </w:t>
      </w:r>
      <w:r>
        <w:t>more</w:t>
      </w:r>
      <w:r>
        <w:rPr>
          <w:spacing w:val="8"/>
        </w:rPr>
        <w:t xml:space="preserve"> </w:t>
      </w:r>
      <w:r>
        <w:t>than</w:t>
      </w:r>
      <w:r>
        <w:rPr>
          <w:spacing w:val="8"/>
        </w:rPr>
        <w:t xml:space="preserve"> </w:t>
      </w:r>
      <w:r>
        <w:t>one</w:t>
      </w:r>
      <w:r>
        <w:rPr>
          <w:spacing w:val="9"/>
        </w:rPr>
        <w:t xml:space="preserve"> </w:t>
      </w:r>
      <w:r>
        <w:t>ethnic</w:t>
      </w:r>
      <w:r>
        <w:rPr>
          <w:spacing w:val="8"/>
        </w:rPr>
        <w:t xml:space="preserve"> </w:t>
      </w:r>
      <w:r>
        <w:t>group,</w:t>
      </w:r>
      <w:r>
        <w:rPr>
          <w:spacing w:val="8"/>
        </w:rPr>
        <w:t xml:space="preserve"> </w:t>
      </w:r>
      <w:r>
        <w:t>they</w:t>
      </w:r>
      <w:r>
        <w:rPr>
          <w:spacing w:val="8"/>
        </w:rPr>
        <w:t xml:space="preserve"> </w:t>
      </w:r>
      <w:r>
        <w:t>are</w:t>
      </w:r>
      <w:r>
        <w:rPr>
          <w:spacing w:val="9"/>
        </w:rPr>
        <w:t xml:space="preserve"> </w:t>
      </w:r>
      <w:r>
        <w:t>prioritised</w:t>
      </w:r>
      <w:r>
        <w:rPr>
          <w:spacing w:val="8"/>
        </w:rPr>
        <w:t xml:space="preserve"> </w:t>
      </w:r>
      <w:r>
        <w:t>as:</w:t>
      </w:r>
      <w:r>
        <w:rPr>
          <w:spacing w:val="8"/>
        </w:rPr>
        <w:t xml:space="preserve"> </w:t>
      </w:r>
      <w:r>
        <w:t>Māori,</w:t>
      </w:r>
      <w:r>
        <w:rPr>
          <w:spacing w:val="9"/>
        </w:rPr>
        <w:t xml:space="preserve"> </w:t>
      </w:r>
      <w:r>
        <w:t>Pacific</w:t>
      </w:r>
      <w:r>
        <w:rPr>
          <w:spacing w:val="8"/>
        </w:rPr>
        <w:t xml:space="preserve"> </w:t>
      </w:r>
      <w:r>
        <w:t>peoples,</w:t>
      </w:r>
      <w:r>
        <w:rPr>
          <w:spacing w:val="8"/>
        </w:rPr>
        <w:t xml:space="preserve"> </w:t>
      </w:r>
      <w:r>
        <w:t>Asian,</w:t>
      </w:r>
      <w:r>
        <w:rPr>
          <w:spacing w:val="8"/>
        </w:rPr>
        <w:t xml:space="preserve"> </w:t>
      </w:r>
      <w:r>
        <w:t>European/other,</w:t>
      </w:r>
      <w:r>
        <w:rPr>
          <w:spacing w:val="-41"/>
        </w:rPr>
        <w:t xml:space="preserve"> </w:t>
      </w:r>
      <w:r>
        <w:t>Unknown.</w:t>
      </w:r>
      <w:r>
        <w:rPr>
          <w:spacing w:val="8"/>
        </w:rPr>
        <w:t xml:space="preserve"> </w:t>
      </w:r>
      <w:r>
        <w:t>For</w:t>
      </w:r>
      <w:r>
        <w:rPr>
          <w:spacing w:val="8"/>
        </w:rPr>
        <w:t xml:space="preserve"> </w:t>
      </w:r>
      <w:r>
        <w:t>example,</w:t>
      </w:r>
      <w:r>
        <w:rPr>
          <w:spacing w:val="9"/>
        </w:rPr>
        <w:t xml:space="preserve"> </w:t>
      </w:r>
      <w:r>
        <w:t>if</w:t>
      </w:r>
      <w:r>
        <w:rPr>
          <w:spacing w:val="8"/>
        </w:rPr>
        <w:t xml:space="preserve"> </w:t>
      </w:r>
      <w:r>
        <w:t>a</w:t>
      </w:r>
      <w:r>
        <w:rPr>
          <w:spacing w:val="9"/>
        </w:rPr>
        <w:t xml:space="preserve"> </w:t>
      </w:r>
      <w:r>
        <w:t>person</w:t>
      </w:r>
      <w:r>
        <w:rPr>
          <w:spacing w:val="8"/>
        </w:rPr>
        <w:t xml:space="preserve"> </w:t>
      </w:r>
      <w:r>
        <w:t>identifies</w:t>
      </w:r>
      <w:r>
        <w:rPr>
          <w:spacing w:val="8"/>
        </w:rPr>
        <w:t xml:space="preserve"> </w:t>
      </w:r>
      <w:r>
        <w:t>as</w:t>
      </w:r>
      <w:r>
        <w:rPr>
          <w:spacing w:val="9"/>
        </w:rPr>
        <w:t xml:space="preserve"> </w:t>
      </w:r>
      <w:r>
        <w:t>being</w:t>
      </w:r>
      <w:r>
        <w:rPr>
          <w:spacing w:val="8"/>
        </w:rPr>
        <w:t xml:space="preserve"> </w:t>
      </w:r>
      <w:r>
        <w:t>Māori</w:t>
      </w:r>
      <w:r>
        <w:rPr>
          <w:spacing w:val="9"/>
        </w:rPr>
        <w:t xml:space="preserve"> </w:t>
      </w:r>
      <w:r>
        <w:t>and</w:t>
      </w:r>
      <w:r>
        <w:rPr>
          <w:spacing w:val="8"/>
        </w:rPr>
        <w:t xml:space="preserve"> </w:t>
      </w:r>
      <w:r>
        <w:t>New</w:t>
      </w:r>
      <w:r>
        <w:rPr>
          <w:spacing w:val="9"/>
        </w:rPr>
        <w:t xml:space="preserve"> </w:t>
      </w:r>
      <w:r>
        <w:t>Zealand</w:t>
      </w:r>
      <w:r>
        <w:rPr>
          <w:spacing w:val="8"/>
        </w:rPr>
        <w:t xml:space="preserve"> </w:t>
      </w:r>
      <w:r>
        <w:t>European,</w:t>
      </w:r>
      <w:r>
        <w:rPr>
          <w:spacing w:val="8"/>
        </w:rPr>
        <w:t xml:space="preserve"> </w:t>
      </w:r>
      <w:r>
        <w:t>the</w:t>
      </w:r>
      <w:r>
        <w:rPr>
          <w:spacing w:val="9"/>
        </w:rPr>
        <w:t xml:space="preserve"> </w:t>
      </w:r>
      <w:r>
        <w:t>person</w:t>
      </w:r>
      <w:r>
        <w:rPr>
          <w:spacing w:val="8"/>
        </w:rPr>
        <w:t xml:space="preserve"> </w:t>
      </w:r>
      <w:r>
        <w:t>is</w:t>
      </w:r>
      <w:r>
        <w:rPr>
          <w:spacing w:val="1"/>
        </w:rPr>
        <w:t xml:space="preserve"> </w:t>
      </w:r>
      <w:r>
        <w:t>counted</w:t>
      </w:r>
      <w:r>
        <w:rPr>
          <w:spacing w:val="4"/>
        </w:rPr>
        <w:t xml:space="preserve"> </w:t>
      </w:r>
      <w:r>
        <w:t>as</w:t>
      </w:r>
      <w:r>
        <w:rPr>
          <w:spacing w:val="5"/>
        </w:rPr>
        <w:t xml:space="preserve"> </w:t>
      </w:r>
      <w:r>
        <w:t>Māori</w:t>
      </w:r>
      <w:r>
        <w:rPr>
          <w:spacing w:val="5"/>
        </w:rPr>
        <w:t xml:space="preserve"> </w:t>
      </w:r>
      <w:r>
        <w:t>in</w:t>
      </w:r>
      <w:r>
        <w:rPr>
          <w:spacing w:val="5"/>
        </w:rPr>
        <w:t xml:space="preserve"> </w:t>
      </w:r>
      <w:r>
        <w:t>this</w:t>
      </w:r>
      <w:r>
        <w:rPr>
          <w:spacing w:val="5"/>
        </w:rPr>
        <w:t xml:space="preserve"> </w:t>
      </w:r>
      <w:r>
        <w:t>dataset.</w:t>
      </w:r>
      <w:r>
        <w:rPr>
          <w:spacing w:val="5"/>
        </w:rPr>
        <w:t xml:space="preserve"> </w:t>
      </w:r>
      <w:r>
        <w:t>‘Unknown’</w:t>
      </w:r>
      <w:r>
        <w:rPr>
          <w:spacing w:val="5"/>
        </w:rPr>
        <w:t xml:space="preserve"> </w:t>
      </w:r>
      <w:r>
        <w:t>is</w:t>
      </w:r>
      <w:r>
        <w:rPr>
          <w:spacing w:val="5"/>
        </w:rPr>
        <w:t xml:space="preserve"> </w:t>
      </w:r>
      <w:r>
        <w:t>where</w:t>
      </w:r>
      <w:r>
        <w:rPr>
          <w:spacing w:val="5"/>
        </w:rPr>
        <w:t xml:space="preserve"> </w:t>
      </w:r>
      <w:r>
        <w:t>a</w:t>
      </w:r>
      <w:r>
        <w:rPr>
          <w:spacing w:val="5"/>
        </w:rPr>
        <w:t xml:space="preserve"> </w:t>
      </w:r>
      <w:r>
        <w:t>person</w:t>
      </w:r>
      <w:r>
        <w:rPr>
          <w:spacing w:val="5"/>
        </w:rPr>
        <w:t xml:space="preserve"> </w:t>
      </w:r>
      <w:r>
        <w:t>has</w:t>
      </w:r>
      <w:r>
        <w:rPr>
          <w:spacing w:val="4"/>
        </w:rPr>
        <w:t xml:space="preserve"> </w:t>
      </w:r>
      <w:r>
        <w:t>not</w:t>
      </w:r>
      <w:r>
        <w:rPr>
          <w:spacing w:val="5"/>
        </w:rPr>
        <w:t xml:space="preserve"> </w:t>
      </w:r>
      <w:r>
        <w:t>disclosed</w:t>
      </w:r>
      <w:r>
        <w:rPr>
          <w:spacing w:val="5"/>
        </w:rPr>
        <w:t xml:space="preserve"> </w:t>
      </w:r>
      <w:r>
        <w:t>any</w:t>
      </w:r>
      <w:r>
        <w:rPr>
          <w:spacing w:val="5"/>
        </w:rPr>
        <w:t xml:space="preserve"> </w:t>
      </w:r>
      <w:r>
        <w:t>ethnicity.</w:t>
      </w:r>
    </w:p>
    <w:p w14:paraId="541EDC4E" w14:textId="32580D6F" w:rsidR="001D0A8A" w:rsidRPr="001D0A8A" w:rsidRDefault="001D0A8A" w:rsidP="00216075">
      <w:pPr>
        <w:pStyle w:val="Heading5"/>
      </w:pPr>
      <w:r w:rsidRPr="001D0A8A">
        <w:t>COVID-19 people vaccinated by ethnicity from 1 July 2020 to 30 June 2022</w:t>
      </w:r>
    </w:p>
    <w:tbl>
      <w:tblPr>
        <w:tblW w:w="9498" w:type="dxa"/>
        <w:tblBorders>
          <w:top w:val="single" w:sz="4" w:space="0" w:color="81A9BF"/>
          <w:left w:val="single" w:sz="4" w:space="0" w:color="81A9BF"/>
          <w:bottom w:val="single" w:sz="4" w:space="0" w:color="81A9BF"/>
          <w:right w:val="single" w:sz="4" w:space="0" w:color="81A9BF"/>
          <w:insideH w:val="single" w:sz="4" w:space="0" w:color="81A9BF"/>
          <w:insideV w:val="single" w:sz="4" w:space="0" w:color="81A9BF"/>
        </w:tblBorders>
        <w:tblLayout w:type="fixed"/>
        <w:tblCellMar>
          <w:left w:w="0" w:type="dxa"/>
          <w:right w:w="0" w:type="dxa"/>
        </w:tblCellMar>
        <w:tblLook w:val="01E0" w:firstRow="1" w:lastRow="1" w:firstColumn="1" w:lastColumn="1" w:noHBand="0" w:noVBand="0"/>
      </w:tblPr>
      <w:tblGrid>
        <w:gridCol w:w="993"/>
        <w:gridCol w:w="1134"/>
        <w:gridCol w:w="1100"/>
        <w:gridCol w:w="1100"/>
        <w:gridCol w:w="1100"/>
        <w:gridCol w:w="975"/>
        <w:gridCol w:w="1111"/>
        <w:gridCol w:w="992"/>
        <w:gridCol w:w="993"/>
      </w:tblGrid>
      <w:tr w:rsidR="001D0A8A" w:rsidRPr="00FE382E" w14:paraId="739C93F6" w14:textId="77777777" w:rsidTr="001D0A8A">
        <w:trPr>
          <w:trHeight w:val="1528"/>
        </w:trPr>
        <w:tc>
          <w:tcPr>
            <w:tcW w:w="993" w:type="dxa"/>
            <w:tcBorders>
              <w:top w:val="nil"/>
              <w:left w:val="nil"/>
              <w:bottom w:val="nil"/>
              <w:right w:val="nil"/>
            </w:tcBorders>
            <w:shd w:val="clear" w:color="auto" w:fill="D9D9D9" w:themeFill="background1" w:themeFillShade="D9"/>
          </w:tcPr>
          <w:p w14:paraId="78EE3E29" w14:textId="65511DA9" w:rsidR="001D0A8A" w:rsidRPr="00FE382E" w:rsidRDefault="001D0A8A" w:rsidP="001D0A8A">
            <w:pPr>
              <w:pStyle w:val="TableText"/>
              <w:spacing w:before="0"/>
              <w:rPr>
                <w:b/>
                <w:bCs/>
              </w:rPr>
            </w:pPr>
            <w:r w:rsidRPr="00FE382E">
              <w:rPr>
                <w:b/>
                <w:bCs/>
                <w:w w:val="105"/>
              </w:rPr>
              <w:t>Ethnicity</w:t>
            </w:r>
            <w:r w:rsidRPr="00FE382E">
              <w:rPr>
                <w:b/>
                <w:bCs/>
                <w:spacing w:val="-44"/>
                <w:w w:val="105"/>
              </w:rPr>
              <w:t xml:space="preserve"> </w:t>
            </w:r>
            <w:r w:rsidRPr="00FE382E">
              <w:rPr>
                <w:b/>
                <w:bCs/>
              </w:rPr>
              <w:t>(Note</w:t>
            </w:r>
            <w:r w:rsidRPr="00FE382E">
              <w:rPr>
                <w:b/>
                <w:bCs/>
                <w:spacing w:val="-4"/>
              </w:rPr>
              <w:t xml:space="preserve"> </w:t>
            </w:r>
            <w:r w:rsidRPr="00FE382E">
              <w:rPr>
                <w:b/>
                <w:bCs/>
              </w:rPr>
              <w:t>1</w:t>
            </w:r>
            <w:r>
              <w:rPr>
                <w:b/>
                <w:bCs/>
              </w:rPr>
              <w:t>, 2)</w:t>
            </w:r>
          </w:p>
        </w:tc>
        <w:tc>
          <w:tcPr>
            <w:tcW w:w="1134" w:type="dxa"/>
            <w:tcBorders>
              <w:top w:val="nil"/>
              <w:left w:val="nil"/>
              <w:bottom w:val="nil"/>
              <w:right w:val="nil"/>
            </w:tcBorders>
            <w:shd w:val="clear" w:color="auto" w:fill="D9D9D9" w:themeFill="background1" w:themeFillShade="D9"/>
          </w:tcPr>
          <w:p w14:paraId="513DA087" w14:textId="77777777" w:rsidR="001D0A8A" w:rsidRPr="001D0A8A" w:rsidRDefault="001D0A8A" w:rsidP="001D0A8A">
            <w:pPr>
              <w:pStyle w:val="TableText"/>
              <w:spacing w:before="0"/>
              <w:jc w:val="right"/>
              <w:rPr>
                <w:b/>
                <w:bCs/>
                <w:w w:val="105"/>
              </w:rPr>
            </w:pPr>
            <w:r w:rsidRPr="001D0A8A">
              <w:rPr>
                <w:b/>
                <w:bCs/>
                <w:w w:val="105"/>
              </w:rPr>
              <w:t>Partially Vaccinated</w:t>
            </w:r>
          </w:p>
          <w:p w14:paraId="66D39C09" w14:textId="4444485D" w:rsidR="001D0A8A" w:rsidRPr="001D0A8A" w:rsidRDefault="001D0A8A" w:rsidP="001D0A8A">
            <w:pPr>
              <w:pStyle w:val="TableText"/>
              <w:spacing w:before="0"/>
              <w:jc w:val="right"/>
              <w:rPr>
                <w:b/>
                <w:bCs/>
                <w:w w:val="105"/>
              </w:rPr>
            </w:pPr>
            <w:r w:rsidRPr="001D0A8A">
              <w:rPr>
                <w:b/>
                <w:bCs/>
                <w:w w:val="105"/>
              </w:rPr>
              <w:t>12+</w:t>
            </w:r>
          </w:p>
        </w:tc>
        <w:tc>
          <w:tcPr>
            <w:tcW w:w="1100" w:type="dxa"/>
            <w:tcBorders>
              <w:top w:val="nil"/>
              <w:left w:val="nil"/>
              <w:bottom w:val="nil"/>
              <w:right w:val="nil"/>
            </w:tcBorders>
            <w:shd w:val="clear" w:color="auto" w:fill="D9D9D9" w:themeFill="background1" w:themeFillShade="D9"/>
          </w:tcPr>
          <w:p w14:paraId="288E77E5" w14:textId="77777777" w:rsidR="001D0A8A" w:rsidRPr="001D0A8A" w:rsidRDefault="001D0A8A" w:rsidP="001D0A8A">
            <w:pPr>
              <w:pStyle w:val="TableText"/>
              <w:spacing w:before="0"/>
              <w:jc w:val="right"/>
              <w:rPr>
                <w:b/>
                <w:bCs/>
                <w:w w:val="105"/>
              </w:rPr>
            </w:pPr>
            <w:r w:rsidRPr="001D0A8A">
              <w:rPr>
                <w:b/>
                <w:bCs/>
                <w:w w:val="105"/>
              </w:rPr>
              <w:t>Partially Vaccinated</w:t>
            </w:r>
          </w:p>
          <w:p w14:paraId="7C9A48BB" w14:textId="77777777" w:rsidR="001D0A8A" w:rsidRPr="001D0A8A" w:rsidRDefault="001D0A8A" w:rsidP="001D0A8A">
            <w:pPr>
              <w:pStyle w:val="TableText"/>
              <w:spacing w:before="0"/>
              <w:jc w:val="right"/>
              <w:rPr>
                <w:b/>
                <w:bCs/>
                <w:w w:val="105"/>
              </w:rPr>
            </w:pPr>
            <w:r w:rsidRPr="001D0A8A">
              <w:rPr>
                <w:b/>
                <w:bCs/>
                <w:w w:val="105"/>
              </w:rPr>
              <w:t>12+</w:t>
            </w:r>
          </w:p>
          <w:p w14:paraId="66BAF438" w14:textId="55280C95" w:rsidR="001D0A8A" w:rsidRPr="001D0A8A" w:rsidRDefault="001D0A8A" w:rsidP="001D0A8A">
            <w:pPr>
              <w:pStyle w:val="TableText"/>
              <w:spacing w:before="0"/>
              <w:jc w:val="right"/>
              <w:rPr>
                <w:b/>
                <w:bCs/>
                <w:w w:val="105"/>
              </w:rPr>
            </w:pPr>
            <w:r w:rsidRPr="001D0A8A">
              <w:rPr>
                <w:b/>
                <w:bCs/>
                <w:w w:val="105"/>
              </w:rPr>
              <w:t>% of HSU2021</w:t>
            </w:r>
          </w:p>
        </w:tc>
        <w:tc>
          <w:tcPr>
            <w:tcW w:w="1100" w:type="dxa"/>
            <w:tcBorders>
              <w:top w:val="nil"/>
              <w:left w:val="nil"/>
              <w:bottom w:val="nil"/>
              <w:right w:val="nil"/>
            </w:tcBorders>
            <w:shd w:val="clear" w:color="auto" w:fill="D9D9D9" w:themeFill="background1" w:themeFillShade="D9"/>
          </w:tcPr>
          <w:p w14:paraId="2D37F61D" w14:textId="53F3DA58" w:rsidR="001D0A8A" w:rsidRPr="001D0A8A" w:rsidRDefault="001D0A8A" w:rsidP="001D0A8A">
            <w:pPr>
              <w:pStyle w:val="TableText"/>
              <w:spacing w:before="0"/>
              <w:jc w:val="right"/>
              <w:rPr>
                <w:b/>
                <w:bCs/>
                <w:w w:val="105"/>
              </w:rPr>
            </w:pPr>
            <w:r w:rsidRPr="001D0A8A">
              <w:rPr>
                <w:b/>
                <w:bCs/>
                <w:w w:val="105"/>
              </w:rPr>
              <w:t>Completed Primary Course 12+</w:t>
            </w:r>
          </w:p>
        </w:tc>
        <w:tc>
          <w:tcPr>
            <w:tcW w:w="1100" w:type="dxa"/>
            <w:tcBorders>
              <w:top w:val="nil"/>
              <w:left w:val="nil"/>
              <w:bottom w:val="nil"/>
              <w:right w:val="nil"/>
            </w:tcBorders>
            <w:shd w:val="clear" w:color="auto" w:fill="D9D9D9" w:themeFill="background1" w:themeFillShade="D9"/>
          </w:tcPr>
          <w:p w14:paraId="59ECDDB1" w14:textId="5084DC71" w:rsidR="001D0A8A" w:rsidRPr="001D0A8A" w:rsidRDefault="001D0A8A" w:rsidP="001D0A8A">
            <w:pPr>
              <w:pStyle w:val="TableText"/>
              <w:spacing w:before="0"/>
              <w:jc w:val="right"/>
              <w:rPr>
                <w:b/>
                <w:bCs/>
                <w:w w:val="105"/>
              </w:rPr>
            </w:pPr>
            <w:r w:rsidRPr="001D0A8A">
              <w:rPr>
                <w:b/>
                <w:bCs/>
                <w:w w:val="105"/>
              </w:rPr>
              <w:t xml:space="preserve">Completed Primary Course 12+ </w:t>
            </w:r>
            <w:r>
              <w:rPr>
                <w:b/>
                <w:bCs/>
                <w:w w:val="105"/>
              </w:rPr>
              <w:br/>
            </w:r>
            <w:r w:rsidRPr="001D0A8A">
              <w:rPr>
                <w:b/>
                <w:bCs/>
                <w:w w:val="105"/>
              </w:rPr>
              <w:t>% of HSU2021</w:t>
            </w:r>
          </w:p>
        </w:tc>
        <w:tc>
          <w:tcPr>
            <w:tcW w:w="975" w:type="dxa"/>
            <w:tcBorders>
              <w:top w:val="nil"/>
              <w:left w:val="nil"/>
              <w:bottom w:val="nil"/>
              <w:right w:val="nil"/>
            </w:tcBorders>
            <w:shd w:val="clear" w:color="auto" w:fill="D9D9D9" w:themeFill="background1" w:themeFillShade="D9"/>
          </w:tcPr>
          <w:p w14:paraId="65FD269E" w14:textId="77777777" w:rsidR="001D0A8A" w:rsidRPr="001D0A8A" w:rsidRDefault="001D0A8A" w:rsidP="001D0A8A">
            <w:pPr>
              <w:pStyle w:val="TableText"/>
              <w:spacing w:before="0"/>
              <w:jc w:val="right"/>
              <w:rPr>
                <w:b/>
                <w:bCs/>
                <w:w w:val="105"/>
              </w:rPr>
            </w:pPr>
            <w:r w:rsidRPr="001D0A8A">
              <w:rPr>
                <w:b/>
                <w:bCs/>
                <w:w w:val="105"/>
              </w:rPr>
              <w:t>Received</w:t>
            </w:r>
          </w:p>
          <w:p w14:paraId="3BBF62A6" w14:textId="77777777" w:rsidR="001D0A8A" w:rsidRPr="001D0A8A" w:rsidRDefault="001D0A8A" w:rsidP="001D0A8A">
            <w:pPr>
              <w:pStyle w:val="TableText"/>
              <w:spacing w:before="0"/>
              <w:jc w:val="right"/>
              <w:rPr>
                <w:b/>
                <w:bCs/>
                <w:w w:val="105"/>
              </w:rPr>
            </w:pPr>
            <w:r w:rsidRPr="001D0A8A">
              <w:rPr>
                <w:b/>
                <w:bCs/>
                <w:w w:val="105"/>
              </w:rPr>
              <w:t>First Booster</w:t>
            </w:r>
          </w:p>
          <w:p w14:paraId="6F01B474" w14:textId="38385FAF" w:rsidR="001D0A8A" w:rsidRPr="001D0A8A" w:rsidRDefault="001D0A8A" w:rsidP="001D0A8A">
            <w:pPr>
              <w:pStyle w:val="TableText"/>
              <w:spacing w:before="0"/>
              <w:jc w:val="right"/>
              <w:rPr>
                <w:b/>
                <w:bCs/>
                <w:w w:val="105"/>
              </w:rPr>
            </w:pPr>
            <w:r w:rsidRPr="001D0A8A">
              <w:rPr>
                <w:b/>
                <w:bCs/>
                <w:w w:val="105"/>
              </w:rPr>
              <w:t>18+</w:t>
            </w:r>
          </w:p>
        </w:tc>
        <w:tc>
          <w:tcPr>
            <w:tcW w:w="1111" w:type="dxa"/>
            <w:tcBorders>
              <w:top w:val="nil"/>
              <w:left w:val="nil"/>
              <w:bottom w:val="nil"/>
              <w:right w:val="nil"/>
            </w:tcBorders>
            <w:shd w:val="clear" w:color="auto" w:fill="D9D9D9" w:themeFill="background1" w:themeFillShade="D9"/>
          </w:tcPr>
          <w:p w14:paraId="6724A216" w14:textId="77777777" w:rsidR="001D0A8A" w:rsidRPr="001D0A8A" w:rsidRDefault="001D0A8A" w:rsidP="001D0A8A">
            <w:pPr>
              <w:pStyle w:val="TableText"/>
              <w:spacing w:before="0"/>
              <w:jc w:val="right"/>
              <w:rPr>
                <w:b/>
                <w:bCs/>
                <w:w w:val="105"/>
              </w:rPr>
            </w:pPr>
            <w:r w:rsidRPr="001D0A8A">
              <w:rPr>
                <w:b/>
                <w:bCs/>
                <w:w w:val="105"/>
              </w:rPr>
              <w:t>Received</w:t>
            </w:r>
          </w:p>
          <w:p w14:paraId="036B078E" w14:textId="77777777" w:rsidR="001D0A8A" w:rsidRPr="001D0A8A" w:rsidRDefault="001D0A8A" w:rsidP="001D0A8A">
            <w:pPr>
              <w:pStyle w:val="TableText"/>
              <w:spacing w:before="0"/>
              <w:jc w:val="right"/>
              <w:rPr>
                <w:b/>
                <w:bCs/>
                <w:w w:val="105"/>
              </w:rPr>
            </w:pPr>
            <w:r w:rsidRPr="001D0A8A">
              <w:rPr>
                <w:b/>
                <w:bCs/>
                <w:w w:val="105"/>
              </w:rPr>
              <w:t>First Booster 18+</w:t>
            </w:r>
          </w:p>
          <w:p w14:paraId="580BD7CA" w14:textId="3C0D72BB" w:rsidR="001D0A8A" w:rsidRPr="001D0A8A" w:rsidRDefault="001D0A8A" w:rsidP="001D0A8A">
            <w:pPr>
              <w:pStyle w:val="TableText"/>
              <w:spacing w:before="0"/>
              <w:jc w:val="right"/>
              <w:rPr>
                <w:b/>
                <w:bCs/>
                <w:w w:val="105"/>
              </w:rPr>
            </w:pPr>
            <w:r w:rsidRPr="001D0A8A">
              <w:rPr>
                <w:b/>
                <w:bCs/>
                <w:w w:val="105"/>
              </w:rPr>
              <w:t>% of Eligible</w:t>
            </w:r>
          </w:p>
        </w:tc>
        <w:tc>
          <w:tcPr>
            <w:tcW w:w="992" w:type="dxa"/>
            <w:tcBorders>
              <w:top w:val="nil"/>
              <w:left w:val="nil"/>
              <w:bottom w:val="nil"/>
              <w:right w:val="nil"/>
            </w:tcBorders>
            <w:shd w:val="clear" w:color="auto" w:fill="D9D9D9" w:themeFill="background1" w:themeFillShade="D9"/>
          </w:tcPr>
          <w:p w14:paraId="2B65E7A6" w14:textId="77777777" w:rsidR="001D0A8A" w:rsidRPr="001D0A8A" w:rsidRDefault="001D0A8A" w:rsidP="001D0A8A">
            <w:pPr>
              <w:pStyle w:val="TableText"/>
              <w:spacing w:before="0"/>
              <w:jc w:val="right"/>
              <w:rPr>
                <w:b/>
                <w:bCs/>
                <w:w w:val="105"/>
              </w:rPr>
            </w:pPr>
            <w:r w:rsidRPr="001D0A8A">
              <w:rPr>
                <w:b/>
                <w:bCs/>
                <w:w w:val="105"/>
              </w:rPr>
              <w:t>Received Second Booster</w:t>
            </w:r>
          </w:p>
          <w:p w14:paraId="596253B2" w14:textId="7F7485AC" w:rsidR="001D0A8A" w:rsidRPr="001D0A8A" w:rsidRDefault="001D0A8A" w:rsidP="001D0A8A">
            <w:pPr>
              <w:pStyle w:val="TableText"/>
              <w:spacing w:before="0"/>
              <w:jc w:val="right"/>
              <w:rPr>
                <w:b/>
                <w:bCs/>
                <w:w w:val="105"/>
              </w:rPr>
            </w:pPr>
            <w:r w:rsidRPr="001D0A8A">
              <w:rPr>
                <w:b/>
                <w:bCs/>
                <w:w w:val="105"/>
              </w:rPr>
              <w:t>50+</w:t>
            </w:r>
          </w:p>
        </w:tc>
        <w:tc>
          <w:tcPr>
            <w:tcW w:w="993" w:type="dxa"/>
            <w:tcBorders>
              <w:top w:val="nil"/>
              <w:left w:val="nil"/>
              <w:bottom w:val="nil"/>
              <w:right w:val="nil"/>
            </w:tcBorders>
            <w:shd w:val="clear" w:color="auto" w:fill="D9D9D9" w:themeFill="background1" w:themeFillShade="D9"/>
          </w:tcPr>
          <w:p w14:paraId="0A6BCE00" w14:textId="13842348" w:rsidR="001D0A8A" w:rsidRPr="001D0A8A" w:rsidRDefault="001D0A8A" w:rsidP="001D0A8A">
            <w:pPr>
              <w:pStyle w:val="TableText"/>
              <w:spacing w:before="0"/>
              <w:jc w:val="right"/>
              <w:rPr>
                <w:b/>
                <w:bCs/>
                <w:w w:val="105"/>
              </w:rPr>
            </w:pPr>
            <w:r w:rsidRPr="001D0A8A">
              <w:rPr>
                <w:b/>
                <w:bCs/>
                <w:w w:val="105"/>
              </w:rPr>
              <w:t xml:space="preserve">Received Second Booster </w:t>
            </w:r>
            <w:r>
              <w:rPr>
                <w:b/>
                <w:bCs/>
                <w:w w:val="105"/>
              </w:rPr>
              <w:br/>
            </w:r>
            <w:r w:rsidRPr="001D0A8A">
              <w:rPr>
                <w:b/>
                <w:bCs/>
                <w:w w:val="105"/>
              </w:rPr>
              <w:t xml:space="preserve">% of </w:t>
            </w:r>
            <w:r>
              <w:rPr>
                <w:b/>
                <w:bCs/>
                <w:w w:val="105"/>
              </w:rPr>
              <w:br/>
            </w:r>
            <w:r w:rsidRPr="001D0A8A">
              <w:rPr>
                <w:b/>
                <w:bCs/>
                <w:w w:val="105"/>
              </w:rPr>
              <w:t>Eligible</w:t>
            </w:r>
          </w:p>
          <w:p w14:paraId="2830CFB1" w14:textId="64CA87E6" w:rsidR="001D0A8A" w:rsidRPr="001D0A8A" w:rsidRDefault="001D0A8A" w:rsidP="001D0A8A">
            <w:pPr>
              <w:pStyle w:val="TableText"/>
              <w:spacing w:before="0"/>
              <w:jc w:val="right"/>
              <w:rPr>
                <w:b/>
                <w:bCs/>
                <w:w w:val="105"/>
              </w:rPr>
            </w:pPr>
            <w:r w:rsidRPr="001D0A8A">
              <w:rPr>
                <w:b/>
                <w:bCs/>
                <w:w w:val="105"/>
              </w:rPr>
              <w:t>(50+)</w:t>
            </w:r>
          </w:p>
        </w:tc>
      </w:tr>
      <w:tr w:rsidR="001D0A8A" w:rsidRPr="00FE382E" w14:paraId="487B6957" w14:textId="77777777" w:rsidTr="001D0A8A">
        <w:trPr>
          <w:trHeight w:val="323"/>
        </w:trPr>
        <w:tc>
          <w:tcPr>
            <w:tcW w:w="993" w:type="dxa"/>
            <w:tcBorders>
              <w:top w:val="nil"/>
              <w:left w:val="nil"/>
              <w:bottom w:val="single" w:sz="4" w:space="0" w:color="A6A6A6" w:themeColor="background1" w:themeShade="A6"/>
              <w:right w:val="nil"/>
            </w:tcBorders>
          </w:tcPr>
          <w:p w14:paraId="58E53C54" w14:textId="77777777" w:rsidR="001D0A8A" w:rsidRPr="00FE382E" w:rsidRDefault="001D0A8A" w:rsidP="001D0A8A">
            <w:pPr>
              <w:pStyle w:val="TableText"/>
            </w:pPr>
            <w:r w:rsidRPr="00FE382E">
              <w:t>Asian</w:t>
            </w:r>
          </w:p>
        </w:tc>
        <w:tc>
          <w:tcPr>
            <w:tcW w:w="1134" w:type="dxa"/>
            <w:tcBorders>
              <w:top w:val="nil"/>
              <w:left w:val="nil"/>
              <w:bottom w:val="single" w:sz="4" w:space="0" w:color="A6A6A6" w:themeColor="background1" w:themeShade="A6"/>
              <w:right w:val="nil"/>
            </w:tcBorders>
          </w:tcPr>
          <w:p w14:paraId="6D483502" w14:textId="43C56B30" w:rsidR="001D0A8A" w:rsidRPr="00FE382E" w:rsidRDefault="001D0A8A" w:rsidP="001D0A8A">
            <w:pPr>
              <w:pStyle w:val="TableText"/>
              <w:jc w:val="right"/>
            </w:pPr>
            <w:r w:rsidRPr="001D0A8A">
              <w:t>651,364</w:t>
            </w:r>
          </w:p>
        </w:tc>
        <w:tc>
          <w:tcPr>
            <w:tcW w:w="1100" w:type="dxa"/>
            <w:tcBorders>
              <w:top w:val="nil"/>
              <w:left w:val="nil"/>
              <w:bottom w:val="single" w:sz="4" w:space="0" w:color="A6A6A6" w:themeColor="background1" w:themeShade="A6"/>
              <w:right w:val="nil"/>
            </w:tcBorders>
          </w:tcPr>
          <w:p w14:paraId="06268D69" w14:textId="378B45BF" w:rsidR="001D0A8A" w:rsidRPr="00FE382E" w:rsidRDefault="001D0A8A" w:rsidP="001D0A8A">
            <w:pPr>
              <w:pStyle w:val="TableText"/>
              <w:jc w:val="right"/>
            </w:pPr>
            <w:r w:rsidRPr="001D0A8A">
              <w:t>93.89%</w:t>
            </w:r>
          </w:p>
        </w:tc>
        <w:tc>
          <w:tcPr>
            <w:tcW w:w="1100" w:type="dxa"/>
            <w:tcBorders>
              <w:top w:val="nil"/>
              <w:left w:val="nil"/>
              <w:bottom w:val="single" w:sz="4" w:space="0" w:color="A6A6A6" w:themeColor="background1" w:themeShade="A6"/>
              <w:right w:val="nil"/>
            </w:tcBorders>
          </w:tcPr>
          <w:p w14:paraId="100B960B" w14:textId="0BF632C5" w:rsidR="001D0A8A" w:rsidRPr="00FE382E" w:rsidRDefault="001D0A8A" w:rsidP="001D0A8A">
            <w:pPr>
              <w:pStyle w:val="TableText"/>
              <w:jc w:val="right"/>
            </w:pPr>
            <w:r w:rsidRPr="001D0A8A">
              <w:t>644,685</w:t>
            </w:r>
          </w:p>
        </w:tc>
        <w:tc>
          <w:tcPr>
            <w:tcW w:w="1100" w:type="dxa"/>
            <w:tcBorders>
              <w:top w:val="nil"/>
              <w:left w:val="nil"/>
              <w:bottom w:val="single" w:sz="4" w:space="0" w:color="A6A6A6" w:themeColor="background1" w:themeShade="A6"/>
              <w:right w:val="nil"/>
            </w:tcBorders>
          </w:tcPr>
          <w:p w14:paraId="2787CD82" w14:textId="3368AACA" w:rsidR="001D0A8A" w:rsidRPr="00FE382E" w:rsidRDefault="001D0A8A" w:rsidP="001D0A8A">
            <w:pPr>
              <w:pStyle w:val="TableText"/>
              <w:jc w:val="right"/>
            </w:pPr>
            <w:r w:rsidRPr="001D0A8A">
              <w:t>92.93%</w:t>
            </w:r>
          </w:p>
        </w:tc>
        <w:tc>
          <w:tcPr>
            <w:tcW w:w="975" w:type="dxa"/>
            <w:tcBorders>
              <w:top w:val="nil"/>
              <w:left w:val="nil"/>
              <w:bottom w:val="single" w:sz="4" w:space="0" w:color="A6A6A6" w:themeColor="background1" w:themeShade="A6"/>
              <w:right w:val="nil"/>
            </w:tcBorders>
          </w:tcPr>
          <w:p w14:paraId="1FE3BFD5" w14:textId="57B028E6" w:rsidR="001D0A8A" w:rsidRPr="00FE382E" w:rsidRDefault="001D0A8A" w:rsidP="001D0A8A">
            <w:pPr>
              <w:pStyle w:val="TableText"/>
              <w:jc w:val="right"/>
            </w:pPr>
            <w:r w:rsidRPr="001D0A8A">
              <w:t>436,284</w:t>
            </w:r>
          </w:p>
        </w:tc>
        <w:tc>
          <w:tcPr>
            <w:tcW w:w="1111" w:type="dxa"/>
            <w:tcBorders>
              <w:top w:val="nil"/>
              <w:left w:val="nil"/>
              <w:bottom w:val="single" w:sz="4" w:space="0" w:color="A6A6A6" w:themeColor="background1" w:themeShade="A6"/>
              <w:right w:val="nil"/>
            </w:tcBorders>
          </w:tcPr>
          <w:p w14:paraId="7F430C6A" w14:textId="3F779162" w:rsidR="001D0A8A" w:rsidRPr="00FE382E" w:rsidRDefault="001D0A8A" w:rsidP="001D0A8A">
            <w:pPr>
              <w:pStyle w:val="TableText"/>
              <w:jc w:val="right"/>
            </w:pPr>
            <w:r w:rsidRPr="001D0A8A">
              <w:t>73.36%</w:t>
            </w:r>
          </w:p>
        </w:tc>
        <w:tc>
          <w:tcPr>
            <w:tcW w:w="992" w:type="dxa"/>
            <w:tcBorders>
              <w:top w:val="nil"/>
              <w:left w:val="nil"/>
              <w:bottom w:val="single" w:sz="4" w:space="0" w:color="A6A6A6" w:themeColor="background1" w:themeShade="A6"/>
              <w:right w:val="nil"/>
            </w:tcBorders>
          </w:tcPr>
          <w:p w14:paraId="4A404DFF" w14:textId="525CF600" w:rsidR="001D0A8A" w:rsidRPr="00FE382E" w:rsidRDefault="001D0A8A" w:rsidP="001D0A8A">
            <w:pPr>
              <w:pStyle w:val="TableText"/>
              <w:jc w:val="right"/>
            </w:pPr>
            <w:r w:rsidRPr="001D0A8A">
              <w:t>808</w:t>
            </w:r>
          </w:p>
        </w:tc>
        <w:tc>
          <w:tcPr>
            <w:tcW w:w="993" w:type="dxa"/>
            <w:tcBorders>
              <w:top w:val="nil"/>
              <w:left w:val="nil"/>
              <w:bottom w:val="single" w:sz="4" w:space="0" w:color="A6A6A6" w:themeColor="background1" w:themeShade="A6"/>
              <w:right w:val="nil"/>
            </w:tcBorders>
          </w:tcPr>
          <w:p w14:paraId="1FFD037C" w14:textId="2F862F4F" w:rsidR="001D0A8A" w:rsidRPr="00FE382E" w:rsidRDefault="001D0A8A" w:rsidP="001D0A8A">
            <w:pPr>
              <w:pStyle w:val="TableText"/>
              <w:jc w:val="right"/>
            </w:pPr>
            <w:r w:rsidRPr="001D0A8A">
              <w:t>4.84%</w:t>
            </w:r>
          </w:p>
        </w:tc>
      </w:tr>
      <w:tr w:rsidR="001D0A8A" w:rsidRPr="00FE382E" w14:paraId="43C04219" w14:textId="77777777" w:rsidTr="001D0A8A">
        <w:trPr>
          <w:trHeight w:val="317"/>
        </w:trPr>
        <w:tc>
          <w:tcPr>
            <w:tcW w:w="993" w:type="dxa"/>
            <w:tcBorders>
              <w:top w:val="single" w:sz="4" w:space="0" w:color="A6A6A6" w:themeColor="background1" w:themeShade="A6"/>
              <w:left w:val="nil"/>
              <w:bottom w:val="single" w:sz="4" w:space="0" w:color="A6A6A6" w:themeColor="background1" w:themeShade="A6"/>
              <w:right w:val="nil"/>
            </w:tcBorders>
          </w:tcPr>
          <w:p w14:paraId="4184F869" w14:textId="77777777" w:rsidR="001D0A8A" w:rsidRPr="00FE382E" w:rsidRDefault="001D0A8A" w:rsidP="001D0A8A">
            <w:pPr>
              <w:pStyle w:val="TableText"/>
            </w:pPr>
            <w:r w:rsidRPr="00FE382E">
              <w:t>Māori</w:t>
            </w:r>
          </w:p>
        </w:tc>
        <w:tc>
          <w:tcPr>
            <w:tcW w:w="1134" w:type="dxa"/>
            <w:tcBorders>
              <w:top w:val="single" w:sz="4" w:space="0" w:color="A6A6A6" w:themeColor="background1" w:themeShade="A6"/>
              <w:left w:val="nil"/>
              <w:bottom w:val="single" w:sz="4" w:space="0" w:color="A6A6A6" w:themeColor="background1" w:themeShade="A6"/>
              <w:right w:val="nil"/>
            </w:tcBorders>
          </w:tcPr>
          <w:p w14:paraId="253AAAC3" w14:textId="102D4C76" w:rsidR="001D0A8A" w:rsidRPr="00FE382E" w:rsidRDefault="001D0A8A" w:rsidP="001D0A8A">
            <w:pPr>
              <w:pStyle w:val="TableText"/>
              <w:jc w:val="right"/>
            </w:pPr>
            <w:r w:rsidRPr="001D0A8A">
              <w:t>529,789</w:t>
            </w:r>
          </w:p>
        </w:tc>
        <w:tc>
          <w:tcPr>
            <w:tcW w:w="1100" w:type="dxa"/>
            <w:tcBorders>
              <w:top w:val="single" w:sz="4" w:space="0" w:color="A6A6A6" w:themeColor="background1" w:themeShade="A6"/>
              <w:left w:val="nil"/>
              <w:bottom w:val="single" w:sz="4" w:space="0" w:color="A6A6A6" w:themeColor="background1" w:themeShade="A6"/>
              <w:right w:val="nil"/>
            </w:tcBorders>
          </w:tcPr>
          <w:p w14:paraId="56B5D3C7" w14:textId="52A0ED84" w:rsidR="001D0A8A" w:rsidRPr="00FE382E" w:rsidRDefault="001D0A8A" w:rsidP="001D0A8A">
            <w:pPr>
              <w:pStyle w:val="TableText"/>
              <w:jc w:val="right"/>
            </w:pPr>
            <w:r w:rsidRPr="001D0A8A">
              <w:t>87.20%</w:t>
            </w:r>
          </w:p>
        </w:tc>
        <w:tc>
          <w:tcPr>
            <w:tcW w:w="1100" w:type="dxa"/>
            <w:tcBorders>
              <w:top w:val="single" w:sz="4" w:space="0" w:color="A6A6A6" w:themeColor="background1" w:themeShade="A6"/>
              <w:left w:val="nil"/>
              <w:bottom w:val="single" w:sz="4" w:space="0" w:color="A6A6A6" w:themeColor="background1" w:themeShade="A6"/>
              <w:right w:val="nil"/>
            </w:tcBorders>
          </w:tcPr>
          <w:p w14:paraId="188A6A70" w14:textId="51E83C47" w:rsidR="001D0A8A" w:rsidRPr="00FE382E" w:rsidRDefault="001D0A8A" w:rsidP="001D0A8A">
            <w:pPr>
              <w:pStyle w:val="TableText"/>
              <w:jc w:val="right"/>
            </w:pPr>
            <w:r w:rsidRPr="001D0A8A">
              <w:t>509,003</w:t>
            </w:r>
          </w:p>
        </w:tc>
        <w:tc>
          <w:tcPr>
            <w:tcW w:w="1100" w:type="dxa"/>
            <w:tcBorders>
              <w:top w:val="single" w:sz="4" w:space="0" w:color="A6A6A6" w:themeColor="background1" w:themeShade="A6"/>
              <w:left w:val="nil"/>
              <w:bottom w:val="single" w:sz="4" w:space="0" w:color="A6A6A6" w:themeColor="background1" w:themeShade="A6"/>
              <w:right w:val="nil"/>
            </w:tcBorders>
          </w:tcPr>
          <w:p w14:paraId="112208CE" w14:textId="7762EE93" w:rsidR="001D0A8A" w:rsidRPr="00FE382E" w:rsidRDefault="001D0A8A" w:rsidP="001D0A8A">
            <w:pPr>
              <w:pStyle w:val="TableText"/>
              <w:jc w:val="right"/>
            </w:pPr>
            <w:r w:rsidRPr="001D0A8A">
              <w:t>83.78%</w:t>
            </w:r>
          </w:p>
        </w:tc>
        <w:tc>
          <w:tcPr>
            <w:tcW w:w="975" w:type="dxa"/>
            <w:tcBorders>
              <w:top w:val="single" w:sz="4" w:space="0" w:color="A6A6A6" w:themeColor="background1" w:themeShade="A6"/>
              <w:left w:val="nil"/>
              <w:bottom w:val="single" w:sz="4" w:space="0" w:color="A6A6A6" w:themeColor="background1" w:themeShade="A6"/>
              <w:right w:val="nil"/>
            </w:tcBorders>
          </w:tcPr>
          <w:p w14:paraId="61B89090" w14:textId="0133A1AE" w:rsidR="001D0A8A" w:rsidRPr="00FE382E" w:rsidRDefault="001D0A8A" w:rsidP="001D0A8A">
            <w:pPr>
              <w:pStyle w:val="TableText"/>
              <w:jc w:val="right"/>
            </w:pPr>
            <w:r w:rsidRPr="001D0A8A">
              <w:t>241,978</w:t>
            </w:r>
          </w:p>
        </w:tc>
        <w:tc>
          <w:tcPr>
            <w:tcW w:w="1111" w:type="dxa"/>
            <w:tcBorders>
              <w:top w:val="single" w:sz="4" w:space="0" w:color="A6A6A6" w:themeColor="background1" w:themeShade="A6"/>
              <w:left w:val="nil"/>
              <w:bottom w:val="single" w:sz="4" w:space="0" w:color="A6A6A6" w:themeColor="background1" w:themeShade="A6"/>
              <w:right w:val="nil"/>
            </w:tcBorders>
          </w:tcPr>
          <w:p w14:paraId="008EDA54" w14:textId="66B737BD" w:rsidR="001D0A8A" w:rsidRPr="00FE382E" w:rsidRDefault="001D0A8A" w:rsidP="001D0A8A">
            <w:pPr>
              <w:pStyle w:val="TableText"/>
              <w:jc w:val="right"/>
            </w:pPr>
            <w:r w:rsidRPr="001D0A8A">
              <w:t>55.31%</w:t>
            </w:r>
          </w:p>
        </w:tc>
        <w:tc>
          <w:tcPr>
            <w:tcW w:w="992" w:type="dxa"/>
            <w:tcBorders>
              <w:top w:val="single" w:sz="4" w:space="0" w:color="A6A6A6" w:themeColor="background1" w:themeShade="A6"/>
              <w:left w:val="nil"/>
              <w:bottom w:val="single" w:sz="4" w:space="0" w:color="A6A6A6" w:themeColor="background1" w:themeShade="A6"/>
              <w:right w:val="nil"/>
            </w:tcBorders>
          </w:tcPr>
          <w:p w14:paraId="035A7F38" w14:textId="0CFEA26E" w:rsidR="001D0A8A" w:rsidRPr="00FE382E" w:rsidRDefault="001D0A8A" w:rsidP="001D0A8A">
            <w:pPr>
              <w:pStyle w:val="TableText"/>
              <w:jc w:val="right"/>
            </w:pPr>
            <w:r w:rsidRPr="001D0A8A">
              <w:t>1,158</w:t>
            </w:r>
          </w:p>
        </w:tc>
        <w:tc>
          <w:tcPr>
            <w:tcW w:w="993" w:type="dxa"/>
            <w:tcBorders>
              <w:top w:val="single" w:sz="4" w:space="0" w:color="A6A6A6" w:themeColor="background1" w:themeShade="A6"/>
              <w:left w:val="nil"/>
              <w:bottom w:val="single" w:sz="4" w:space="0" w:color="A6A6A6" w:themeColor="background1" w:themeShade="A6"/>
              <w:right w:val="nil"/>
            </w:tcBorders>
          </w:tcPr>
          <w:p w14:paraId="41CF2B63" w14:textId="58082D11" w:rsidR="001D0A8A" w:rsidRPr="00FE382E" w:rsidRDefault="001D0A8A" w:rsidP="001D0A8A">
            <w:pPr>
              <w:pStyle w:val="TableText"/>
              <w:jc w:val="right"/>
            </w:pPr>
            <w:r w:rsidRPr="001D0A8A">
              <w:t>6.20%</w:t>
            </w:r>
          </w:p>
        </w:tc>
      </w:tr>
      <w:tr w:rsidR="001D0A8A" w:rsidRPr="00FE382E" w14:paraId="3C2D1C94" w14:textId="77777777" w:rsidTr="001D0A8A">
        <w:trPr>
          <w:trHeight w:val="557"/>
        </w:trPr>
        <w:tc>
          <w:tcPr>
            <w:tcW w:w="993" w:type="dxa"/>
            <w:tcBorders>
              <w:top w:val="single" w:sz="4" w:space="0" w:color="A6A6A6" w:themeColor="background1" w:themeShade="A6"/>
              <w:left w:val="nil"/>
              <w:bottom w:val="single" w:sz="4" w:space="0" w:color="A6A6A6" w:themeColor="background1" w:themeShade="A6"/>
              <w:right w:val="nil"/>
            </w:tcBorders>
          </w:tcPr>
          <w:p w14:paraId="41B49E76" w14:textId="77777777" w:rsidR="001D0A8A" w:rsidRPr="00FE382E" w:rsidRDefault="001D0A8A" w:rsidP="001D0A8A">
            <w:pPr>
              <w:pStyle w:val="TableText"/>
            </w:pPr>
            <w:r w:rsidRPr="00FE382E">
              <w:t>European</w:t>
            </w:r>
          </w:p>
          <w:p w14:paraId="492FE57D" w14:textId="77777777" w:rsidR="001D0A8A" w:rsidRPr="00FE382E" w:rsidRDefault="001D0A8A" w:rsidP="001D0A8A">
            <w:pPr>
              <w:pStyle w:val="TableText"/>
            </w:pPr>
            <w:r w:rsidRPr="00FE382E">
              <w:t>/other</w:t>
            </w:r>
          </w:p>
        </w:tc>
        <w:tc>
          <w:tcPr>
            <w:tcW w:w="1134" w:type="dxa"/>
            <w:tcBorders>
              <w:top w:val="single" w:sz="4" w:space="0" w:color="A6A6A6" w:themeColor="background1" w:themeShade="A6"/>
              <w:left w:val="nil"/>
              <w:bottom w:val="single" w:sz="4" w:space="0" w:color="A6A6A6" w:themeColor="background1" w:themeShade="A6"/>
              <w:right w:val="nil"/>
            </w:tcBorders>
          </w:tcPr>
          <w:p w14:paraId="4D83D755" w14:textId="7595B54B" w:rsidR="001D0A8A" w:rsidRPr="00FE382E" w:rsidRDefault="001D0A8A" w:rsidP="001D0A8A">
            <w:pPr>
              <w:pStyle w:val="TableText"/>
              <w:jc w:val="right"/>
            </w:pPr>
            <w:r w:rsidRPr="001D0A8A">
              <w:t>2,584,879</w:t>
            </w:r>
          </w:p>
        </w:tc>
        <w:tc>
          <w:tcPr>
            <w:tcW w:w="1100" w:type="dxa"/>
            <w:tcBorders>
              <w:top w:val="single" w:sz="4" w:space="0" w:color="A6A6A6" w:themeColor="background1" w:themeShade="A6"/>
              <w:left w:val="nil"/>
              <w:bottom w:val="single" w:sz="4" w:space="0" w:color="A6A6A6" w:themeColor="background1" w:themeShade="A6"/>
              <w:right w:val="nil"/>
            </w:tcBorders>
          </w:tcPr>
          <w:p w14:paraId="55E8B96F" w14:textId="6C7D3DAF" w:rsidR="001D0A8A" w:rsidRPr="00FE382E" w:rsidRDefault="001D0A8A" w:rsidP="001D0A8A">
            <w:pPr>
              <w:pStyle w:val="TableText"/>
              <w:jc w:val="right"/>
            </w:pPr>
            <w:r w:rsidRPr="001D0A8A">
              <w:t>92.24%</w:t>
            </w:r>
          </w:p>
        </w:tc>
        <w:tc>
          <w:tcPr>
            <w:tcW w:w="1100" w:type="dxa"/>
            <w:tcBorders>
              <w:top w:val="single" w:sz="4" w:space="0" w:color="A6A6A6" w:themeColor="background1" w:themeShade="A6"/>
              <w:left w:val="nil"/>
              <w:bottom w:val="single" w:sz="4" w:space="0" w:color="A6A6A6" w:themeColor="background1" w:themeShade="A6"/>
              <w:right w:val="nil"/>
            </w:tcBorders>
          </w:tcPr>
          <w:p w14:paraId="5C1EC432" w14:textId="6D9553A2" w:rsidR="001D0A8A" w:rsidRPr="00FE382E" w:rsidRDefault="001D0A8A" w:rsidP="001D0A8A">
            <w:pPr>
              <w:pStyle w:val="TableText"/>
              <w:jc w:val="right"/>
            </w:pPr>
            <w:r w:rsidRPr="001D0A8A">
              <w:t>2,553,423</w:t>
            </w:r>
          </w:p>
        </w:tc>
        <w:tc>
          <w:tcPr>
            <w:tcW w:w="1100" w:type="dxa"/>
            <w:tcBorders>
              <w:top w:val="single" w:sz="4" w:space="0" w:color="A6A6A6" w:themeColor="background1" w:themeShade="A6"/>
              <w:left w:val="nil"/>
              <w:bottom w:val="single" w:sz="4" w:space="0" w:color="A6A6A6" w:themeColor="background1" w:themeShade="A6"/>
              <w:right w:val="nil"/>
            </w:tcBorders>
          </w:tcPr>
          <w:p w14:paraId="23598915" w14:textId="332D9D7D" w:rsidR="001D0A8A" w:rsidRPr="00FE382E" w:rsidRDefault="001D0A8A" w:rsidP="001D0A8A">
            <w:pPr>
              <w:pStyle w:val="TableText"/>
              <w:jc w:val="right"/>
            </w:pPr>
            <w:r w:rsidRPr="001D0A8A">
              <w:t>91.12%</w:t>
            </w:r>
          </w:p>
        </w:tc>
        <w:tc>
          <w:tcPr>
            <w:tcW w:w="975" w:type="dxa"/>
            <w:tcBorders>
              <w:top w:val="single" w:sz="4" w:space="0" w:color="A6A6A6" w:themeColor="background1" w:themeShade="A6"/>
              <w:left w:val="nil"/>
              <w:bottom w:val="single" w:sz="4" w:space="0" w:color="A6A6A6" w:themeColor="background1" w:themeShade="A6"/>
              <w:right w:val="nil"/>
            </w:tcBorders>
          </w:tcPr>
          <w:p w14:paraId="3CECB914" w14:textId="24EDE8D8" w:rsidR="001D0A8A" w:rsidRPr="00FE382E" w:rsidRDefault="001D0A8A" w:rsidP="001D0A8A">
            <w:pPr>
              <w:pStyle w:val="TableText"/>
              <w:jc w:val="right"/>
            </w:pPr>
            <w:r w:rsidRPr="001D0A8A">
              <w:t>1,817,486</w:t>
            </w:r>
          </w:p>
        </w:tc>
        <w:tc>
          <w:tcPr>
            <w:tcW w:w="1111" w:type="dxa"/>
            <w:tcBorders>
              <w:top w:val="single" w:sz="4" w:space="0" w:color="A6A6A6" w:themeColor="background1" w:themeShade="A6"/>
              <w:left w:val="nil"/>
              <w:bottom w:val="single" w:sz="4" w:space="0" w:color="A6A6A6" w:themeColor="background1" w:themeShade="A6"/>
              <w:right w:val="nil"/>
            </w:tcBorders>
          </w:tcPr>
          <w:p w14:paraId="608514EC" w14:textId="6B92EC40" w:rsidR="001D0A8A" w:rsidRPr="00FE382E" w:rsidRDefault="001D0A8A" w:rsidP="001D0A8A">
            <w:pPr>
              <w:pStyle w:val="TableText"/>
              <w:jc w:val="right"/>
            </w:pPr>
            <w:r w:rsidRPr="001D0A8A">
              <w:t>77.08%</w:t>
            </w:r>
          </w:p>
        </w:tc>
        <w:tc>
          <w:tcPr>
            <w:tcW w:w="992" w:type="dxa"/>
            <w:tcBorders>
              <w:top w:val="single" w:sz="4" w:space="0" w:color="A6A6A6" w:themeColor="background1" w:themeShade="A6"/>
              <w:left w:val="nil"/>
              <w:bottom w:val="single" w:sz="4" w:space="0" w:color="A6A6A6" w:themeColor="background1" w:themeShade="A6"/>
              <w:right w:val="nil"/>
            </w:tcBorders>
          </w:tcPr>
          <w:p w14:paraId="6C8087B6" w14:textId="4ACB0F22" w:rsidR="001D0A8A" w:rsidRPr="00FE382E" w:rsidRDefault="001D0A8A" w:rsidP="001D0A8A">
            <w:pPr>
              <w:pStyle w:val="TableText"/>
              <w:jc w:val="right"/>
            </w:pPr>
            <w:r w:rsidRPr="001D0A8A">
              <w:t>18,073</w:t>
            </w:r>
          </w:p>
        </w:tc>
        <w:tc>
          <w:tcPr>
            <w:tcW w:w="993" w:type="dxa"/>
            <w:tcBorders>
              <w:top w:val="single" w:sz="4" w:space="0" w:color="A6A6A6" w:themeColor="background1" w:themeShade="A6"/>
              <w:left w:val="nil"/>
              <w:bottom w:val="single" w:sz="4" w:space="0" w:color="A6A6A6" w:themeColor="background1" w:themeShade="A6"/>
              <w:right w:val="nil"/>
            </w:tcBorders>
          </w:tcPr>
          <w:p w14:paraId="19E33320" w14:textId="724E34B5" w:rsidR="001D0A8A" w:rsidRPr="00FE382E" w:rsidRDefault="001D0A8A" w:rsidP="001D0A8A">
            <w:pPr>
              <w:pStyle w:val="TableText"/>
              <w:jc w:val="right"/>
            </w:pPr>
            <w:r w:rsidRPr="001D0A8A">
              <w:t>11.04%</w:t>
            </w:r>
          </w:p>
        </w:tc>
      </w:tr>
      <w:tr w:rsidR="001D0A8A" w:rsidRPr="00FE382E" w14:paraId="6D81C757" w14:textId="77777777" w:rsidTr="001D0A8A">
        <w:trPr>
          <w:trHeight w:val="557"/>
        </w:trPr>
        <w:tc>
          <w:tcPr>
            <w:tcW w:w="993" w:type="dxa"/>
            <w:tcBorders>
              <w:top w:val="single" w:sz="4" w:space="0" w:color="A6A6A6" w:themeColor="background1" w:themeShade="A6"/>
              <w:left w:val="nil"/>
              <w:bottom w:val="single" w:sz="4" w:space="0" w:color="A6A6A6" w:themeColor="background1" w:themeShade="A6"/>
              <w:right w:val="nil"/>
            </w:tcBorders>
          </w:tcPr>
          <w:p w14:paraId="29AE3E52" w14:textId="77777777" w:rsidR="001D0A8A" w:rsidRPr="00FE382E" w:rsidRDefault="001D0A8A" w:rsidP="001D0A8A">
            <w:pPr>
              <w:pStyle w:val="TableText"/>
            </w:pPr>
            <w:r w:rsidRPr="00FE382E">
              <w:t>Pacific peoples</w:t>
            </w:r>
          </w:p>
        </w:tc>
        <w:tc>
          <w:tcPr>
            <w:tcW w:w="1134" w:type="dxa"/>
            <w:tcBorders>
              <w:top w:val="single" w:sz="4" w:space="0" w:color="A6A6A6" w:themeColor="background1" w:themeShade="A6"/>
              <w:left w:val="nil"/>
              <w:bottom w:val="single" w:sz="4" w:space="0" w:color="A6A6A6" w:themeColor="background1" w:themeShade="A6"/>
              <w:right w:val="nil"/>
            </w:tcBorders>
          </w:tcPr>
          <w:p w14:paraId="1C99A07D" w14:textId="3301B895" w:rsidR="001D0A8A" w:rsidRPr="00FE382E" w:rsidRDefault="001D0A8A" w:rsidP="001D0A8A">
            <w:pPr>
              <w:pStyle w:val="TableText"/>
              <w:jc w:val="right"/>
            </w:pPr>
            <w:r w:rsidRPr="001D0A8A">
              <w:t>287,323</w:t>
            </w:r>
          </w:p>
        </w:tc>
        <w:tc>
          <w:tcPr>
            <w:tcW w:w="1100" w:type="dxa"/>
            <w:tcBorders>
              <w:top w:val="single" w:sz="4" w:space="0" w:color="A6A6A6" w:themeColor="background1" w:themeShade="A6"/>
              <w:left w:val="nil"/>
              <w:bottom w:val="single" w:sz="4" w:space="0" w:color="A6A6A6" w:themeColor="background1" w:themeShade="A6"/>
              <w:right w:val="nil"/>
            </w:tcBorders>
          </w:tcPr>
          <w:p w14:paraId="4CAEA6F0" w14:textId="47AAFA58" w:rsidR="001D0A8A" w:rsidRPr="00FE382E" w:rsidRDefault="001D0A8A" w:rsidP="001D0A8A">
            <w:pPr>
              <w:pStyle w:val="TableText"/>
              <w:jc w:val="right"/>
            </w:pPr>
            <w:r w:rsidRPr="001D0A8A">
              <w:t>92.03%</w:t>
            </w:r>
          </w:p>
        </w:tc>
        <w:tc>
          <w:tcPr>
            <w:tcW w:w="1100" w:type="dxa"/>
            <w:tcBorders>
              <w:top w:val="single" w:sz="4" w:space="0" w:color="A6A6A6" w:themeColor="background1" w:themeShade="A6"/>
              <w:left w:val="nil"/>
              <w:bottom w:val="single" w:sz="4" w:space="0" w:color="A6A6A6" w:themeColor="background1" w:themeShade="A6"/>
              <w:right w:val="nil"/>
            </w:tcBorders>
          </w:tcPr>
          <w:p w14:paraId="6347229F" w14:textId="58513427" w:rsidR="001D0A8A" w:rsidRPr="00FE382E" w:rsidRDefault="001D0A8A" w:rsidP="001D0A8A">
            <w:pPr>
              <w:pStyle w:val="TableText"/>
              <w:jc w:val="right"/>
            </w:pPr>
            <w:r w:rsidRPr="001D0A8A">
              <w:t>280,248</w:t>
            </w:r>
          </w:p>
        </w:tc>
        <w:tc>
          <w:tcPr>
            <w:tcW w:w="1100" w:type="dxa"/>
            <w:tcBorders>
              <w:top w:val="single" w:sz="4" w:space="0" w:color="A6A6A6" w:themeColor="background1" w:themeShade="A6"/>
              <w:left w:val="nil"/>
              <w:bottom w:val="single" w:sz="4" w:space="0" w:color="A6A6A6" w:themeColor="background1" w:themeShade="A6"/>
              <w:right w:val="nil"/>
            </w:tcBorders>
          </w:tcPr>
          <w:p w14:paraId="3B081B02" w14:textId="4FF92A6C" w:rsidR="001D0A8A" w:rsidRPr="00FE382E" w:rsidRDefault="001D0A8A" w:rsidP="001D0A8A">
            <w:pPr>
              <w:pStyle w:val="TableText"/>
              <w:jc w:val="right"/>
            </w:pPr>
            <w:r w:rsidRPr="001D0A8A">
              <w:t>89.77%</w:t>
            </w:r>
          </w:p>
        </w:tc>
        <w:tc>
          <w:tcPr>
            <w:tcW w:w="975" w:type="dxa"/>
            <w:tcBorders>
              <w:top w:val="single" w:sz="4" w:space="0" w:color="A6A6A6" w:themeColor="background1" w:themeShade="A6"/>
              <w:left w:val="nil"/>
              <w:bottom w:val="single" w:sz="4" w:space="0" w:color="A6A6A6" w:themeColor="background1" w:themeShade="A6"/>
              <w:right w:val="nil"/>
            </w:tcBorders>
          </w:tcPr>
          <w:p w14:paraId="4100EF1F" w14:textId="58E945D3" w:rsidR="001D0A8A" w:rsidRPr="00FE382E" w:rsidRDefault="001D0A8A" w:rsidP="001D0A8A">
            <w:pPr>
              <w:pStyle w:val="TableText"/>
              <w:jc w:val="right"/>
            </w:pPr>
            <w:r w:rsidRPr="001D0A8A">
              <w:t>145,631</w:t>
            </w:r>
          </w:p>
        </w:tc>
        <w:tc>
          <w:tcPr>
            <w:tcW w:w="1111" w:type="dxa"/>
            <w:tcBorders>
              <w:top w:val="single" w:sz="4" w:space="0" w:color="A6A6A6" w:themeColor="background1" w:themeShade="A6"/>
              <w:left w:val="nil"/>
              <w:bottom w:val="single" w:sz="4" w:space="0" w:color="A6A6A6" w:themeColor="background1" w:themeShade="A6"/>
              <w:right w:val="nil"/>
            </w:tcBorders>
          </w:tcPr>
          <w:p w14:paraId="5BE25878" w14:textId="1574A0DB" w:rsidR="001D0A8A" w:rsidRPr="00FE382E" w:rsidRDefault="001D0A8A" w:rsidP="001D0A8A">
            <w:pPr>
              <w:pStyle w:val="TableText"/>
              <w:jc w:val="right"/>
            </w:pPr>
            <w:r w:rsidRPr="001D0A8A">
              <w:t>59.15%</w:t>
            </w:r>
          </w:p>
        </w:tc>
        <w:tc>
          <w:tcPr>
            <w:tcW w:w="992" w:type="dxa"/>
            <w:tcBorders>
              <w:top w:val="single" w:sz="4" w:space="0" w:color="A6A6A6" w:themeColor="background1" w:themeShade="A6"/>
              <w:left w:val="nil"/>
              <w:bottom w:val="single" w:sz="4" w:space="0" w:color="A6A6A6" w:themeColor="background1" w:themeShade="A6"/>
              <w:right w:val="nil"/>
            </w:tcBorders>
          </w:tcPr>
          <w:p w14:paraId="1568D621" w14:textId="0EDBFDE2" w:rsidR="001D0A8A" w:rsidRPr="00FE382E" w:rsidRDefault="001D0A8A" w:rsidP="001D0A8A">
            <w:pPr>
              <w:pStyle w:val="TableText"/>
              <w:jc w:val="right"/>
            </w:pPr>
            <w:r w:rsidRPr="001D0A8A">
              <w:t>310</w:t>
            </w:r>
          </w:p>
        </w:tc>
        <w:tc>
          <w:tcPr>
            <w:tcW w:w="993" w:type="dxa"/>
            <w:tcBorders>
              <w:top w:val="single" w:sz="4" w:space="0" w:color="A6A6A6" w:themeColor="background1" w:themeShade="A6"/>
              <w:left w:val="nil"/>
              <w:bottom w:val="single" w:sz="4" w:space="0" w:color="A6A6A6" w:themeColor="background1" w:themeShade="A6"/>
              <w:right w:val="nil"/>
            </w:tcBorders>
          </w:tcPr>
          <w:p w14:paraId="71EB5DFE" w14:textId="3F88C9BC" w:rsidR="001D0A8A" w:rsidRPr="00FE382E" w:rsidRDefault="001D0A8A" w:rsidP="001D0A8A">
            <w:pPr>
              <w:pStyle w:val="TableText"/>
              <w:jc w:val="right"/>
            </w:pPr>
            <w:r w:rsidRPr="001D0A8A">
              <w:t>3.25%</w:t>
            </w:r>
          </w:p>
        </w:tc>
      </w:tr>
      <w:tr w:rsidR="001D0A8A" w:rsidRPr="00FE382E" w14:paraId="0FBF2AF2" w14:textId="77777777" w:rsidTr="001D0A8A">
        <w:trPr>
          <w:trHeight w:val="317"/>
        </w:trPr>
        <w:tc>
          <w:tcPr>
            <w:tcW w:w="993" w:type="dxa"/>
            <w:tcBorders>
              <w:top w:val="single" w:sz="4" w:space="0" w:color="A6A6A6" w:themeColor="background1" w:themeShade="A6"/>
              <w:left w:val="nil"/>
              <w:bottom w:val="single" w:sz="4" w:space="0" w:color="A6A6A6" w:themeColor="background1" w:themeShade="A6"/>
              <w:right w:val="nil"/>
            </w:tcBorders>
          </w:tcPr>
          <w:p w14:paraId="26C94E5E" w14:textId="77777777" w:rsidR="001D0A8A" w:rsidRPr="00FE382E" w:rsidRDefault="001D0A8A" w:rsidP="001D0A8A">
            <w:pPr>
              <w:pStyle w:val="TableText"/>
            </w:pPr>
            <w:r w:rsidRPr="00FE382E">
              <w:t>Unknown</w:t>
            </w:r>
          </w:p>
        </w:tc>
        <w:tc>
          <w:tcPr>
            <w:tcW w:w="1134" w:type="dxa"/>
            <w:tcBorders>
              <w:top w:val="single" w:sz="4" w:space="0" w:color="A6A6A6" w:themeColor="background1" w:themeShade="A6"/>
              <w:left w:val="nil"/>
              <w:bottom w:val="single" w:sz="4" w:space="0" w:color="A6A6A6" w:themeColor="background1" w:themeShade="A6"/>
              <w:right w:val="nil"/>
            </w:tcBorders>
          </w:tcPr>
          <w:p w14:paraId="13D02612" w14:textId="65B66EBD" w:rsidR="001D0A8A" w:rsidRPr="00FE382E" w:rsidRDefault="001D0A8A" w:rsidP="001D0A8A">
            <w:pPr>
              <w:pStyle w:val="TableText"/>
              <w:jc w:val="right"/>
            </w:pPr>
            <w:r w:rsidRPr="001D0A8A">
              <w:t>40,172</w:t>
            </w:r>
          </w:p>
        </w:tc>
        <w:tc>
          <w:tcPr>
            <w:tcW w:w="1100" w:type="dxa"/>
            <w:tcBorders>
              <w:top w:val="single" w:sz="4" w:space="0" w:color="A6A6A6" w:themeColor="background1" w:themeShade="A6"/>
              <w:left w:val="nil"/>
              <w:bottom w:val="single" w:sz="4" w:space="0" w:color="A6A6A6" w:themeColor="background1" w:themeShade="A6"/>
              <w:right w:val="nil"/>
            </w:tcBorders>
          </w:tcPr>
          <w:p w14:paraId="335143AD" w14:textId="35AA3C2B" w:rsidR="001D0A8A" w:rsidRPr="00FE382E" w:rsidRDefault="001D0A8A" w:rsidP="001D0A8A">
            <w:pPr>
              <w:pStyle w:val="TableText"/>
              <w:jc w:val="right"/>
            </w:pPr>
            <w:r w:rsidRPr="001D0A8A">
              <w:t>108.63%</w:t>
            </w:r>
          </w:p>
        </w:tc>
        <w:tc>
          <w:tcPr>
            <w:tcW w:w="1100" w:type="dxa"/>
            <w:tcBorders>
              <w:top w:val="single" w:sz="4" w:space="0" w:color="A6A6A6" w:themeColor="background1" w:themeShade="A6"/>
              <w:left w:val="nil"/>
              <w:bottom w:val="single" w:sz="4" w:space="0" w:color="A6A6A6" w:themeColor="background1" w:themeShade="A6"/>
              <w:right w:val="nil"/>
            </w:tcBorders>
          </w:tcPr>
          <w:p w14:paraId="4F9E1418" w14:textId="63999724" w:rsidR="001D0A8A" w:rsidRPr="00FE382E" w:rsidRDefault="001D0A8A" w:rsidP="001D0A8A">
            <w:pPr>
              <w:pStyle w:val="TableText"/>
              <w:jc w:val="right"/>
            </w:pPr>
            <w:r w:rsidRPr="001D0A8A">
              <w:t>39,106</w:t>
            </w:r>
          </w:p>
        </w:tc>
        <w:tc>
          <w:tcPr>
            <w:tcW w:w="1100" w:type="dxa"/>
            <w:tcBorders>
              <w:top w:val="single" w:sz="4" w:space="0" w:color="A6A6A6" w:themeColor="background1" w:themeShade="A6"/>
              <w:left w:val="nil"/>
              <w:bottom w:val="single" w:sz="4" w:space="0" w:color="A6A6A6" w:themeColor="background1" w:themeShade="A6"/>
              <w:right w:val="nil"/>
            </w:tcBorders>
          </w:tcPr>
          <w:p w14:paraId="7E75CB29" w14:textId="690587CC" w:rsidR="001D0A8A" w:rsidRPr="00FE382E" w:rsidRDefault="001D0A8A" w:rsidP="001D0A8A">
            <w:pPr>
              <w:pStyle w:val="TableText"/>
              <w:jc w:val="right"/>
            </w:pPr>
            <w:r w:rsidRPr="001D0A8A">
              <w:t>105.74%</w:t>
            </w:r>
          </w:p>
        </w:tc>
        <w:tc>
          <w:tcPr>
            <w:tcW w:w="975" w:type="dxa"/>
            <w:tcBorders>
              <w:top w:val="single" w:sz="4" w:space="0" w:color="A6A6A6" w:themeColor="background1" w:themeShade="A6"/>
              <w:left w:val="nil"/>
              <w:bottom w:val="single" w:sz="4" w:space="0" w:color="A6A6A6" w:themeColor="background1" w:themeShade="A6"/>
              <w:right w:val="nil"/>
            </w:tcBorders>
          </w:tcPr>
          <w:p w14:paraId="07FFDA0F" w14:textId="31CC3811" w:rsidR="001D0A8A" w:rsidRPr="00FE382E" w:rsidRDefault="001D0A8A" w:rsidP="001D0A8A">
            <w:pPr>
              <w:pStyle w:val="TableText"/>
              <w:jc w:val="right"/>
            </w:pPr>
            <w:r w:rsidRPr="001D0A8A">
              <w:t>23,728</w:t>
            </w:r>
          </w:p>
        </w:tc>
        <w:tc>
          <w:tcPr>
            <w:tcW w:w="1111" w:type="dxa"/>
            <w:tcBorders>
              <w:top w:val="single" w:sz="4" w:space="0" w:color="A6A6A6" w:themeColor="background1" w:themeShade="A6"/>
              <w:left w:val="nil"/>
              <w:bottom w:val="single" w:sz="4" w:space="0" w:color="A6A6A6" w:themeColor="background1" w:themeShade="A6"/>
              <w:right w:val="nil"/>
            </w:tcBorders>
          </w:tcPr>
          <w:p w14:paraId="7D5D3628" w14:textId="5E937B78" w:rsidR="001D0A8A" w:rsidRPr="00FE382E" w:rsidRDefault="001D0A8A" w:rsidP="001D0A8A">
            <w:pPr>
              <w:pStyle w:val="TableText"/>
              <w:jc w:val="right"/>
            </w:pPr>
            <w:r w:rsidRPr="001D0A8A">
              <w:t>62.71%</w:t>
            </w:r>
          </w:p>
        </w:tc>
        <w:tc>
          <w:tcPr>
            <w:tcW w:w="992" w:type="dxa"/>
            <w:tcBorders>
              <w:top w:val="single" w:sz="4" w:space="0" w:color="A6A6A6" w:themeColor="background1" w:themeShade="A6"/>
              <w:left w:val="nil"/>
              <w:bottom w:val="single" w:sz="4" w:space="0" w:color="A6A6A6" w:themeColor="background1" w:themeShade="A6"/>
              <w:right w:val="nil"/>
            </w:tcBorders>
          </w:tcPr>
          <w:p w14:paraId="7BF38C05" w14:textId="74E21875" w:rsidR="001D0A8A" w:rsidRPr="00FE382E" w:rsidRDefault="001D0A8A" w:rsidP="001D0A8A">
            <w:pPr>
              <w:pStyle w:val="TableText"/>
              <w:jc w:val="right"/>
            </w:pPr>
            <w:r w:rsidRPr="001D0A8A">
              <w:t>117</w:t>
            </w:r>
          </w:p>
        </w:tc>
        <w:tc>
          <w:tcPr>
            <w:tcW w:w="993" w:type="dxa"/>
            <w:tcBorders>
              <w:top w:val="single" w:sz="4" w:space="0" w:color="A6A6A6" w:themeColor="background1" w:themeShade="A6"/>
              <w:left w:val="nil"/>
              <w:bottom w:val="single" w:sz="4" w:space="0" w:color="A6A6A6" w:themeColor="background1" w:themeShade="A6"/>
              <w:right w:val="nil"/>
            </w:tcBorders>
          </w:tcPr>
          <w:p w14:paraId="494FA6CF" w14:textId="152DE2C7" w:rsidR="001D0A8A" w:rsidRPr="00FE382E" w:rsidRDefault="001D0A8A" w:rsidP="001D0A8A">
            <w:pPr>
              <w:pStyle w:val="TableText"/>
              <w:jc w:val="right"/>
            </w:pPr>
            <w:r w:rsidRPr="001D0A8A">
              <w:t>7.28%</w:t>
            </w:r>
          </w:p>
        </w:tc>
      </w:tr>
      <w:tr w:rsidR="001D0A8A" w:rsidRPr="001D0A8A" w14:paraId="641F85C4" w14:textId="77777777" w:rsidTr="001D0A8A">
        <w:trPr>
          <w:trHeight w:val="312"/>
        </w:trPr>
        <w:tc>
          <w:tcPr>
            <w:tcW w:w="993" w:type="dxa"/>
            <w:tcBorders>
              <w:top w:val="single" w:sz="4" w:space="0" w:color="A6A6A6" w:themeColor="background1" w:themeShade="A6"/>
              <w:left w:val="nil"/>
              <w:bottom w:val="single" w:sz="4" w:space="0" w:color="A6A6A6" w:themeColor="background1" w:themeShade="A6"/>
              <w:right w:val="nil"/>
            </w:tcBorders>
          </w:tcPr>
          <w:p w14:paraId="33DF2DED" w14:textId="77777777" w:rsidR="001D0A8A" w:rsidRPr="001D0A8A" w:rsidRDefault="001D0A8A" w:rsidP="001D0A8A">
            <w:pPr>
              <w:pStyle w:val="TableText"/>
              <w:rPr>
                <w:b/>
                <w:bCs/>
              </w:rPr>
            </w:pPr>
            <w:r w:rsidRPr="001D0A8A">
              <w:rPr>
                <w:b/>
                <w:bCs/>
              </w:rPr>
              <w:t>Total</w:t>
            </w:r>
          </w:p>
        </w:tc>
        <w:tc>
          <w:tcPr>
            <w:tcW w:w="1134" w:type="dxa"/>
            <w:tcBorders>
              <w:top w:val="single" w:sz="4" w:space="0" w:color="A6A6A6" w:themeColor="background1" w:themeShade="A6"/>
              <w:left w:val="nil"/>
              <w:bottom w:val="single" w:sz="4" w:space="0" w:color="A6A6A6" w:themeColor="background1" w:themeShade="A6"/>
              <w:right w:val="nil"/>
            </w:tcBorders>
          </w:tcPr>
          <w:p w14:paraId="13F1B6CA" w14:textId="6BE70FF2" w:rsidR="001D0A8A" w:rsidRPr="001D0A8A" w:rsidRDefault="001D0A8A" w:rsidP="001D0A8A">
            <w:pPr>
              <w:pStyle w:val="TableText"/>
              <w:jc w:val="right"/>
              <w:rPr>
                <w:b/>
                <w:bCs/>
              </w:rPr>
            </w:pPr>
            <w:r w:rsidRPr="001D0A8A">
              <w:rPr>
                <w:b/>
                <w:bCs/>
              </w:rPr>
              <w:t>4,093,527</w:t>
            </w:r>
          </w:p>
        </w:tc>
        <w:tc>
          <w:tcPr>
            <w:tcW w:w="1100" w:type="dxa"/>
            <w:tcBorders>
              <w:top w:val="single" w:sz="4" w:space="0" w:color="A6A6A6" w:themeColor="background1" w:themeShade="A6"/>
              <w:left w:val="nil"/>
              <w:bottom w:val="single" w:sz="4" w:space="0" w:color="A6A6A6" w:themeColor="background1" w:themeShade="A6"/>
              <w:right w:val="nil"/>
            </w:tcBorders>
          </w:tcPr>
          <w:p w14:paraId="3AFE271E" w14:textId="4AC0B4C1" w:rsidR="001D0A8A" w:rsidRPr="001D0A8A" w:rsidRDefault="001D0A8A" w:rsidP="001D0A8A">
            <w:pPr>
              <w:pStyle w:val="TableText"/>
              <w:jc w:val="right"/>
              <w:rPr>
                <w:b/>
                <w:bCs/>
              </w:rPr>
            </w:pPr>
            <w:r w:rsidRPr="001D0A8A">
              <w:rPr>
                <w:b/>
                <w:bCs/>
              </w:rPr>
              <w:t>91.93%</w:t>
            </w:r>
          </w:p>
        </w:tc>
        <w:tc>
          <w:tcPr>
            <w:tcW w:w="1100" w:type="dxa"/>
            <w:tcBorders>
              <w:top w:val="single" w:sz="4" w:space="0" w:color="A6A6A6" w:themeColor="background1" w:themeShade="A6"/>
              <w:left w:val="nil"/>
              <w:bottom w:val="single" w:sz="4" w:space="0" w:color="A6A6A6" w:themeColor="background1" w:themeShade="A6"/>
              <w:right w:val="nil"/>
            </w:tcBorders>
          </w:tcPr>
          <w:p w14:paraId="432F8B88" w14:textId="6C9700CA" w:rsidR="001D0A8A" w:rsidRPr="001D0A8A" w:rsidRDefault="001D0A8A" w:rsidP="001D0A8A">
            <w:pPr>
              <w:pStyle w:val="TableText"/>
              <w:jc w:val="right"/>
              <w:rPr>
                <w:b/>
                <w:bCs/>
              </w:rPr>
            </w:pPr>
            <w:r w:rsidRPr="001D0A8A">
              <w:rPr>
                <w:b/>
                <w:bCs/>
              </w:rPr>
              <w:t>4,026,465</w:t>
            </w:r>
          </w:p>
        </w:tc>
        <w:tc>
          <w:tcPr>
            <w:tcW w:w="1100" w:type="dxa"/>
            <w:tcBorders>
              <w:top w:val="single" w:sz="4" w:space="0" w:color="A6A6A6" w:themeColor="background1" w:themeShade="A6"/>
              <w:left w:val="nil"/>
              <w:bottom w:val="single" w:sz="4" w:space="0" w:color="A6A6A6" w:themeColor="background1" w:themeShade="A6"/>
              <w:right w:val="nil"/>
            </w:tcBorders>
          </w:tcPr>
          <w:p w14:paraId="1208ADE3" w14:textId="1EC5F56C" w:rsidR="001D0A8A" w:rsidRPr="001D0A8A" w:rsidRDefault="001D0A8A" w:rsidP="001D0A8A">
            <w:pPr>
              <w:pStyle w:val="TableText"/>
              <w:jc w:val="right"/>
              <w:rPr>
                <w:b/>
                <w:bCs/>
              </w:rPr>
            </w:pPr>
            <w:r w:rsidRPr="001D0A8A">
              <w:rPr>
                <w:b/>
                <w:bCs/>
              </w:rPr>
              <w:t>90.43%</w:t>
            </w:r>
          </w:p>
        </w:tc>
        <w:tc>
          <w:tcPr>
            <w:tcW w:w="975" w:type="dxa"/>
            <w:tcBorders>
              <w:top w:val="single" w:sz="4" w:space="0" w:color="A6A6A6" w:themeColor="background1" w:themeShade="A6"/>
              <w:left w:val="nil"/>
              <w:bottom w:val="single" w:sz="4" w:space="0" w:color="A6A6A6" w:themeColor="background1" w:themeShade="A6"/>
              <w:right w:val="nil"/>
            </w:tcBorders>
          </w:tcPr>
          <w:p w14:paraId="720389E5" w14:textId="5CA25F32" w:rsidR="001D0A8A" w:rsidRPr="001D0A8A" w:rsidRDefault="001D0A8A" w:rsidP="001D0A8A">
            <w:pPr>
              <w:pStyle w:val="TableText"/>
              <w:jc w:val="right"/>
              <w:rPr>
                <w:b/>
                <w:bCs/>
              </w:rPr>
            </w:pPr>
            <w:r w:rsidRPr="001D0A8A">
              <w:rPr>
                <w:b/>
                <w:bCs/>
              </w:rPr>
              <w:t>2,665,107</w:t>
            </w:r>
          </w:p>
        </w:tc>
        <w:tc>
          <w:tcPr>
            <w:tcW w:w="1111" w:type="dxa"/>
            <w:tcBorders>
              <w:top w:val="single" w:sz="4" w:space="0" w:color="A6A6A6" w:themeColor="background1" w:themeShade="A6"/>
              <w:left w:val="nil"/>
              <w:bottom w:val="single" w:sz="4" w:space="0" w:color="A6A6A6" w:themeColor="background1" w:themeShade="A6"/>
              <w:right w:val="nil"/>
            </w:tcBorders>
          </w:tcPr>
          <w:p w14:paraId="0CCE0B62" w14:textId="75C128C5" w:rsidR="001D0A8A" w:rsidRPr="001D0A8A" w:rsidRDefault="001D0A8A" w:rsidP="001D0A8A">
            <w:pPr>
              <w:pStyle w:val="TableText"/>
              <w:jc w:val="right"/>
              <w:rPr>
                <w:b/>
                <w:bCs/>
              </w:rPr>
            </w:pPr>
            <w:r w:rsidRPr="001D0A8A">
              <w:rPr>
                <w:b/>
                <w:bCs/>
              </w:rPr>
              <w:t>72.54%</w:t>
            </w:r>
          </w:p>
        </w:tc>
        <w:tc>
          <w:tcPr>
            <w:tcW w:w="992" w:type="dxa"/>
            <w:tcBorders>
              <w:top w:val="single" w:sz="4" w:space="0" w:color="A6A6A6" w:themeColor="background1" w:themeShade="A6"/>
              <w:left w:val="nil"/>
              <w:bottom w:val="single" w:sz="4" w:space="0" w:color="A6A6A6" w:themeColor="background1" w:themeShade="A6"/>
              <w:right w:val="nil"/>
            </w:tcBorders>
          </w:tcPr>
          <w:p w14:paraId="5797655F" w14:textId="2FB09A25" w:rsidR="001D0A8A" w:rsidRPr="001D0A8A" w:rsidRDefault="001D0A8A" w:rsidP="001D0A8A">
            <w:pPr>
              <w:pStyle w:val="TableText"/>
              <w:jc w:val="right"/>
              <w:rPr>
                <w:b/>
                <w:bCs/>
              </w:rPr>
            </w:pPr>
            <w:r w:rsidRPr="001D0A8A">
              <w:rPr>
                <w:b/>
                <w:bCs/>
              </w:rPr>
              <w:t>20,466</w:t>
            </w:r>
          </w:p>
        </w:tc>
        <w:tc>
          <w:tcPr>
            <w:tcW w:w="993" w:type="dxa"/>
            <w:tcBorders>
              <w:top w:val="single" w:sz="4" w:space="0" w:color="A6A6A6" w:themeColor="background1" w:themeShade="A6"/>
              <w:left w:val="nil"/>
              <w:bottom w:val="single" w:sz="4" w:space="0" w:color="A6A6A6" w:themeColor="background1" w:themeShade="A6"/>
              <w:right w:val="nil"/>
            </w:tcBorders>
          </w:tcPr>
          <w:p w14:paraId="6618E53F" w14:textId="614B02ED" w:rsidR="001D0A8A" w:rsidRPr="001D0A8A" w:rsidRDefault="001D0A8A" w:rsidP="001D0A8A">
            <w:pPr>
              <w:pStyle w:val="TableText"/>
              <w:jc w:val="right"/>
              <w:rPr>
                <w:b/>
                <w:bCs/>
              </w:rPr>
            </w:pPr>
            <w:r w:rsidRPr="001D0A8A">
              <w:rPr>
                <w:b/>
                <w:bCs/>
              </w:rPr>
              <w:t>9.73%</w:t>
            </w:r>
          </w:p>
        </w:tc>
      </w:tr>
    </w:tbl>
    <w:p w14:paraId="5BECC305" w14:textId="77777777" w:rsidR="001D0A8A" w:rsidRDefault="001D0A8A" w:rsidP="00B631F9">
      <w:pPr>
        <w:pStyle w:val="Note"/>
        <w:rPr>
          <w:rFonts w:eastAsia="Arial Unicode MS"/>
        </w:rPr>
      </w:pPr>
      <w:r w:rsidRPr="001D0A8A">
        <w:rPr>
          <w:rFonts w:eastAsia="Arial Unicode MS"/>
        </w:rPr>
        <w:t>Note 1 Ethnicity is based on the prioritised ethnicity classification system. This allocates each individual to a single ethnic group, based on the ethnic group (or groups) they identify with. Where people identify with more than one ethnic group, they are prioritised as: Māori, Pacific peoples, Asian, European/other, Unknown. For example, if a person identifies as being Māori and New Zealand European, the person is counted as Māori in this dataset. ‘Unknown’ is where a person has not disclosed any ethnicity.</w:t>
      </w:r>
    </w:p>
    <w:p w14:paraId="6D3505D5" w14:textId="77777777" w:rsidR="001D0A8A" w:rsidRDefault="001D0A8A" w:rsidP="001D0A8A">
      <w:pPr>
        <w:pStyle w:val="TableText"/>
        <w:rPr>
          <w:rFonts w:eastAsia="Arial Unicode MS"/>
        </w:rPr>
      </w:pPr>
    </w:p>
    <w:p w14:paraId="7B6A546C" w14:textId="77777777" w:rsidR="00B631F9" w:rsidRDefault="001D0A8A" w:rsidP="001D0A8A">
      <w:pPr>
        <w:pStyle w:val="TableText"/>
        <w:rPr>
          <w:rFonts w:eastAsia="Arial Unicode MS"/>
        </w:rPr>
      </w:pPr>
      <w:r w:rsidRPr="001D0A8A">
        <w:rPr>
          <w:rFonts w:eastAsia="Arial Unicode MS"/>
        </w:rPr>
        <w:t xml:space="preserve">Note 2 Partially Vaccinated counted for 12+ years old (age as at 30-Jun-2022) </w:t>
      </w:r>
    </w:p>
    <w:p w14:paraId="5E1A4B73" w14:textId="77777777" w:rsidR="00B631F9" w:rsidRDefault="001D0A8A" w:rsidP="001D0A8A">
      <w:pPr>
        <w:pStyle w:val="TableText"/>
        <w:rPr>
          <w:rFonts w:eastAsia="Arial Unicode MS"/>
        </w:rPr>
      </w:pPr>
      <w:r w:rsidRPr="001D0A8A">
        <w:rPr>
          <w:rFonts w:eastAsia="Arial Unicode MS"/>
        </w:rPr>
        <w:t xml:space="preserve">Completed Primary Course counted for 12+ years old (age as at 30-Jun-2022) </w:t>
      </w:r>
    </w:p>
    <w:p w14:paraId="234E2A55" w14:textId="3935C02D" w:rsidR="001D0A8A" w:rsidRPr="001D0A8A" w:rsidRDefault="001D0A8A" w:rsidP="001D0A8A">
      <w:pPr>
        <w:pStyle w:val="TableText"/>
        <w:rPr>
          <w:rFonts w:eastAsia="Arial Unicode MS"/>
        </w:rPr>
      </w:pPr>
      <w:r w:rsidRPr="001D0A8A">
        <w:rPr>
          <w:rFonts w:eastAsia="Arial Unicode MS"/>
        </w:rPr>
        <w:lastRenderedPageBreak/>
        <w:t>Rec’d First Booster counted for 18+ years old (age as at 30-Jun-2022)</w:t>
      </w:r>
    </w:p>
    <w:p w14:paraId="2CACE926" w14:textId="77777777" w:rsidR="00B631F9" w:rsidRDefault="001D0A8A" w:rsidP="001D0A8A">
      <w:pPr>
        <w:pStyle w:val="TableText"/>
        <w:rPr>
          <w:rFonts w:eastAsia="Arial Unicode MS"/>
        </w:rPr>
      </w:pPr>
      <w:r w:rsidRPr="001D0A8A">
        <w:rPr>
          <w:rFonts w:eastAsia="Arial Unicode MS"/>
        </w:rPr>
        <w:t xml:space="preserve">Rec’d Second Booster counted for 18+ years old (age as at 30-Jun-2022) </w:t>
      </w:r>
    </w:p>
    <w:p w14:paraId="08BACB3C" w14:textId="31CD5119" w:rsidR="001D0A8A" w:rsidRPr="001D0A8A" w:rsidRDefault="001D0A8A" w:rsidP="001D0A8A">
      <w:pPr>
        <w:pStyle w:val="TableText"/>
        <w:rPr>
          <w:rFonts w:eastAsia="Arial Unicode MS"/>
        </w:rPr>
      </w:pPr>
      <w:r w:rsidRPr="001D0A8A">
        <w:rPr>
          <w:rFonts w:eastAsia="Arial Unicode MS"/>
        </w:rPr>
        <w:t>50+ age determined as at 30-Jun-2022</w:t>
      </w:r>
    </w:p>
    <w:p w14:paraId="011373CC" w14:textId="77777777" w:rsidR="001D0A8A" w:rsidRPr="001D0A8A" w:rsidRDefault="001D0A8A" w:rsidP="001D0A8A">
      <w:pPr>
        <w:pStyle w:val="TableText"/>
        <w:rPr>
          <w:rFonts w:eastAsia="Arial Unicode MS"/>
        </w:rPr>
      </w:pPr>
      <w:r w:rsidRPr="001D0A8A">
        <w:rPr>
          <w:rFonts w:eastAsia="Arial Unicode MS"/>
        </w:rPr>
        <w:t>Basis of population is HSU2021 for 12+ years old</w:t>
      </w:r>
    </w:p>
    <w:p w14:paraId="77F9E1F5" w14:textId="77777777" w:rsidR="001D0A8A" w:rsidRDefault="001D0A8A" w:rsidP="001D0A8A">
      <w:pPr>
        <w:pStyle w:val="TableText"/>
        <w:rPr>
          <w:rFonts w:eastAsia="Arial Unicode MS"/>
        </w:rPr>
      </w:pPr>
      <w:r w:rsidRPr="001D0A8A">
        <w:rPr>
          <w:rFonts w:eastAsia="Arial Unicode MS"/>
        </w:rPr>
        <w:t>All counts exclude those who died prior to 30-Jun-2022</w:t>
      </w:r>
    </w:p>
    <w:p w14:paraId="0EA41C39" w14:textId="77777777" w:rsidR="001D0A8A" w:rsidRPr="001D0A8A" w:rsidRDefault="001D0A8A" w:rsidP="00216075">
      <w:pPr>
        <w:pStyle w:val="Heading4"/>
      </w:pPr>
      <w:r w:rsidRPr="001D0A8A">
        <w:t>Further notes on the HSU dataset</w:t>
      </w:r>
    </w:p>
    <w:p w14:paraId="48DB653D" w14:textId="2F6F7B3F" w:rsidR="001D0A8A" w:rsidRDefault="001D0A8A" w:rsidP="001D0A8A">
      <w:pPr>
        <w:rPr>
          <w:rFonts w:eastAsia="Arial Unicode MS"/>
        </w:rPr>
      </w:pPr>
      <w:r w:rsidRPr="001D0A8A">
        <w:rPr>
          <w:rFonts w:eastAsia="Arial Unicode MS"/>
        </w:rPr>
        <w:t>While the health system uses the HSU to determine vaccination coverage within the eligible population, the HSU is not a total population estimate and it does not include people who do not use health services.</w:t>
      </w:r>
    </w:p>
    <w:p w14:paraId="62D7EC3D" w14:textId="77777777" w:rsidR="001D0A8A" w:rsidRPr="001D0A8A" w:rsidRDefault="001D0A8A" w:rsidP="001D0A8A">
      <w:pPr>
        <w:rPr>
          <w:rFonts w:eastAsia="Arial Unicode MS"/>
        </w:rPr>
      </w:pPr>
    </w:p>
    <w:p w14:paraId="23C7A749" w14:textId="108EBD86" w:rsidR="001D0A8A" w:rsidRDefault="001D0A8A" w:rsidP="001D0A8A">
      <w:pPr>
        <w:rPr>
          <w:rFonts w:eastAsia="Arial Unicode MS"/>
        </w:rPr>
      </w:pPr>
      <w:r w:rsidRPr="001D0A8A">
        <w:rPr>
          <w:rFonts w:eastAsia="Arial Unicode MS"/>
        </w:rPr>
        <w:t>The HSU is an estimate of the number of people in New Zealand in a given 12-month period, based on information about who used health services in that period. The HSU 2020 was developed and used for the roll-out of the COVID-19 vaccine to calculate the proportion of the eligible population who were vaccinated against COVID-19.</w:t>
      </w:r>
    </w:p>
    <w:p w14:paraId="4F097D98" w14:textId="77777777" w:rsidR="001D0A8A" w:rsidRPr="001D0A8A" w:rsidRDefault="001D0A8A" w:rsidP="001D0A8A">
      <w:pPr>
        <w:rPr>
          <w:rFonts w:eastAsia="Arial Unicode MS"/>
        </w:rPr>
      </w:pPr>
    </w:p>
    <w:p w14:paraId="3D6951FE" w14:textId="3A2407BC" w:rsidR="001D0A8A" w:rsidRDefault="001D0A8A" w:rsidP="001D0A8A">
      <w:pPr>
        <w:rPr>
          <w:rFonts w:eastAsia="Arial Unicode MS"/>
        </w:rPr>
      </w:pPr>
      <w:r w:rsidRPr="001D0A8A">
        <w:rPr>
          <w:rFonts w:eastAsia="Arial Unicode MS"/>
        </w:rPr>
        <w:t>While we use the HSU to determine vaccination coverage within the eligible population, the HSU is not a total population estimate and it is likely to miss highly marginalised groups.</w:t>
      </w:r>
    </w:p>
    <w:p w14:paraId="13499722" w14:textId="77777777" w:rsidR="001D0A8A" w:rsidRPr="001D0A8A" w:rsidRDefault="001D0A8A" w:rsidP="001D0A8A">
      <w:pPr>
        <w:rPr>
          <w:rFonts w:eastAsia="Arial Unicode MS"/>
        </w:rPr>
      </w:pPr>
    </w:p>
    <w:p w14:paraId="0C7B5924" w14:textId="0937B30B" w:rsidR="001D0A8A" w:rsidRDefault="001D0A8A" w:rsidP="001D0A8A">
      <w:pPr>
        <w:rPr>
          <w:rFonts w:eastAsia="Arial Unicode MS"/>
        </w:rPr>
      </w:pPr>
      <w:r w:rsidRPr="001D0A8A">
        <w:rPr>
          <w:rFonts w:eastAsia="Arial Unicode MS"/>
        </w:rPr>
        <w:t>For example, our analysis suggests that groups underrepresented in the HSU include young people aged 15-45 years (men in particular), and people of Asian and Middle Eastern, Latin American and African ethnicities.</w:t>
      </w:r>
    </w:p>
    <w:p w14:paraId="38DC6F9C" w14:textId="77777777" w:rsidR="001D0A8A" w:rsidRPr="001D0A8A" w:rsidRDefault="001D0A8A" w:rsidP="001D0A8A">
      <w:pPr>
        <w:rPr>
          <w:rFonts w:eastAsia="Arial Unicode MS"/>
        </w:rPr>
      </w:pPr>
    </w:p>
    <w:p w14:paraId="731761B6" w14:textId="708716E9" w:rsidR="001D0A8A" w:rsidRPr="001D0A8A" w:rsidRDefault="001D0A8A" w:rsidP="001D0A8A">
      <w:pPr>
        <w:rPr>
          <w:rFonts w:eastAsia="Arial Unicode MS"/>
        </w:rPr>
      </w:pPr>
      <w:r w:rsidRPr="001D0A8A">
        <w:rPr>
          <w:rFonts w:eastAsia="Arial Unicode MS"/>
        </w:rPr>
        <w:t>There are other datasets that measure the number of people living in New Zealand produced by Stats NZ</w:t>
      </w:r>
      <w:r>
        <w:rPr>
          <w:rFonts w:eastAsia="Arial Unicode MS"/>
        </w:rPr>
        <w:t xml:space="preserve"> </w:t>
      </w:r>
      <w:r w:rsidRPr="001D0A8A">
        <w:rPr>
          <w:rFonts w:eastAsia="Arial Unicode MS"/>
        </w:rPr>
        <w:t>:</w:t>
      </w:r>
      <w:r>
        <w:rPr>
          <w:rStyle w:val="FootnoteReference"/>
          <w:rFonts w:eastAsia="Arial Unicode MS"/>
        </w:rPr>
        <w:footnoteReference w:id="38"/>
      </w:r>
    </w:p>
    <w:p w14:paraId="630C86B0" w14:textId="3CD9D740" w:rsidR="001D0A8A" w:rsidRPr="001D0A8A" w:rsidRDefault="001D0A8A" w:rsidP="008A439D">
      <w:pPr>
        <w:pStyle w:val="Number"/>
        <w:numPr>
          <w:ilvl w:val="0"/>
          <w:numId w:val="12"/>
        </w:numPr>
        <w:rPr>
          <w:rFonts w:eastAsia="Arial Unicode MS"/>
        </w:rPr>
      </w:pPr>
      <w:r w:rsidRPr="001D0A8A">
        <w:rPr>
          <w:rFonts w:eastAsia="Arial Unicode MS"/>
        </w:rPr>
        <w:t>Census counts produced every 5 years with a wide range of disaggregations</w:t>
      </w:r>
    </w:p>
    <w:p w14:paraId="72980CA3" w14:textId="1472A30B" w:rsidR="001D0A8A" w:rsidRPr="001D0A8A" w:rsidRDefault="001D0A8A" w:rsidP="008A439D">
      <w:pPr>
        <w:pStyle w:val="Number"/>
        <w:numPr>
          <w:ilvl w:val="0"/>
          <w:numId w:val="12"/>
        </w:numPr>
        <w:rPr>
          <w:rFonts w:eastAsia="Arial Unicode MS"/>
        </w:rPr>
      </w:pPr>
      <w:r w:rsidRPr="001D0A8A">
        <w:rPr>
          <w:rFonts w:eastAsia="Arial Unicode MS"/>
        </w:rPr>
        <w:t>Population estimates (ERP) which include adjustments for people not counted by census:</w:t>
      </w:r>
    </w:p>
    <w:p w14:paraId="4E29CF56" w14:textId="51157927" w:rsidR="001D0A8A" w:rsidRPr="001D0A8A" w:rsidRDefault="001D0A8A" w:rsidP="008A439D">
      <w:pPr>
        <w:pStyle w:val="Letter"/>
        <w:numPr>
          <w:ilvl w:val="1"/>
          <w:numId w:val="11"/>
        </w:numPr>
        <w:rPr>
          <w:rFonts w:eastAsia="Arial Unicode MS"/>
        </w:rPr>
      </w:pPr>
      <w:r w:rsidRPr="001D0A8A">
        <w:rPr>
          <w:rFonts w:eastAsia="Arial Unicode MS"/>
        </w:rPr>
        <w:t>National population estimates (produced quarterly)</w:t>
      </w:r>
    </w:p>
    <w:p w14:paraId="3503F57A" w14:textId="6078260F" w:rsidR="001D0A8A" w:rsidRPr="001D0A8A" w:rsidRDefault="001D0A8A" w:rsidP="008A439D">
      <w:pPr>
        <w:pStyle w:val="Letter"/>
        <w:numPr>
          <w:ilvl w:val="1"/>
          <w:numId w:val="11"/>
        </w:numPr>
        <w:rPr>
          <w:rFonts w:eastAsia="Arial Unicode MS"/>
        </w:rPr>
      </w:pPr>
      <w:r w:rsidRPr="001D0A8A">
        <w:rPr>
          <w:rFonts w:eastAsia="Arial Unicode MS"/>
        </w:rPr>
        <w:t>Subnational population estimates (produced every year)</w:t>
      </w:r>
    </w:p>
    <w:p w14:paraId="73ED1DFD" w14:textId="0A7DF588" w:rsidR="001D0A8A" w:rsidRPr="001D0A8A" w:rsidRDefault="001D0A8A" w:rsidP="008A439D">
      <w:pPr>
        <w:pStyle w:val="Number"/>
        <w:numPr>
          <w:ilvl w:val="0"/>
          <w:numId w:val="12"/>
        </w:numPr>
        <w:rPr>
          <w:rFonts w:eastAsia="Arial Unicode MS"/>
        </w:rPr>
      </w:pPr>
      <w:r w:rsidRPr="001D0A8A">
        <w:rPr>
          <w:rFonts w:eastAsia="Arial Unicode MS"/>
        </w:rPr>
        <w:t>Population projections which give an indication of the future size and composition of the population:</w:t>
      </w:r>
    </w:p>
    <w:p w14:paraId="6AA4567D" w14:textId="661C3337" w:rsidR="001D0A8A" w:rsidRPr="001D0A8A" w:rsidRDefault="001D0A8A" w:rsidP="008A439D">
      <w:pPr>
        <w:pStyle w:val="Letter"/>
        <w:numPr>
          <w:ilvl w:val="1"/>
          <w:numId w:val="11"/>
        </w:numPr>
        <w:rPr>
          <w:rFonts w:eastAsia="Arial Unicode MS"/>
        </w:rPr>
      </w:pPr>
      <w:r w:rsidRPr="001D0A8A">
        <w:rPr>
          <w:rFonts w:eastAsia="Arial Unicode MS"/>
        </w:rPr>
        <w:t>Official national and subnational projections</w:t>
      </w:r>
    </w:p>
    <w:p w14:paraId="3D96E2AF" w14:textId="1E698BB2" w:rsidR="001D0A8A" w:rsidRPr="001D0A8A" w:rsidRDefault="001D0A8A" w:rsidP="008A439D">
      <w:pPr>
        <w:pStyle w:val="Letter"/>
        <w:numPr>
          <w:ilvl w:val="1"/>
          <w:numId w:val="11"/>
        </w:numPr>
        <w:rPr>
          <w:rFonts w:eastAsia="Arial Unicode MS"/>
        </w:rPr>
      </w:pPr>
      <w:r w:rsidRPr="001D0A8A">
        <w:rPr>
          <w:rFonts w:eastAsia="Arial Unicode MS"/>
        </w:rPr>
        <w:tab/>
        <w:t>Customised population projections (produced every year by Stats NZ for the Ministry of Health using requested ethnic groupings and DHB areas).</w:t>
      </w:r>
    </w:p>
    <w:p w14:paraId="54A9BC64" w14:textId="77777777" w:rsidR="001D0A8A" w:rsidRDefault="001D0A8A" w:rsidP="001D0A8A">
      <w:pPr>
        <w:rPr>
          <w:rFonts w:eastAsia="Arial Unicode MS"/>
        </w:rPr>
      </w:pPr>
    </w:p>
    <w:p w14:paraId="60833547" w14:textId="5220F026" w:rsidR="001D0A8A" w:rsidRPr="001D0A8A" w:rsidRDefault="001D0A8A" w:rsidP="001D0A8A">
      <w:pPr>
        <w:rPr>
          <w:rFonts w:eastAsia="Arial Unicode MS"/>
        </w:rPr>
      </w:pPr>
      <w:r w:rsidRPr="001D0A8A">
        <w:rPr>
          <w:rFonts w:eastAsia="Arial Unicode MS"/>
        </w:rPr>
        <w:t>Differences between the HSU and Stats NZ population statistics arise because the population measures are:</w:t>
      </w:r>
    </w:p>
    <w:p w14:paraId="249FDF9A" w14:textId="267CD555" w:rsidR="001D0A8A" w:rsidRPr="001D0A8A" w:rsidRDefault="001D0A8A" w:rsidP="001D0A8A">
      <w:pPr>
        <w:pStyle w:val="Bullet"/>
        <w:rPr>
          <w:rFonts w:eastAsia="Arial Unicode MS"/>
        </w:rPr>
      </w:pPr>
      <w:r w:rsidRPr="001D0A8A">
        <w:rPr>
          <w:rFonts w:eastAsia="Arial Unicode MS"/>
        </w:rPr>
        <w:t>conceptually different – for example, the HSU includes people who may be visitors to New Zealand who used health services during their short stay, but are not in New Zealand long enough (for at least 12 months) for Stats NZ to define as a resident</w:t>
      </w:r>
    </w:p>
    <w:p w14:paraId="2451E59F" w14:textId="0ACE4D19" w:rsidR="001D0A8A" w:rsidRPr="001D0A8A" w:rsidRDefault="001D0A8A" w:rsidP="001D0A8A">
      <w:pPr>
        <w:pStyle w:val="Bullet"/>
        <w:rPr>
          <w:rFonts w:eastAsia="Arial Unicode MS"/>
        </w:rPr>
      </w:pPr>
      <w:r w:rsidRPr="001D0A8A">
        <w:rPr>
          <w:rFonts w:eastAsia="Arial Unicode MS"/>
        </w:rPr>
        <w:lastRenderedPageBreak/>
        <w:t>derived from different sources – for example, an individual may identify as one ethnicity when registering with a health service and a different ethnicity when completing a census response.</w:t>
      </w:r>
    </w:p>
    <w:p w14:paraId="38248A07" w14:textId="77777777" w:rsidR="001D0A8A" w:rsidRPr="001D0A8A" w:rsidRDefault="001D0A8A" w:rsidP="00216075">
      <w:pPr>
        <w:pStyle w:val="Heading4"/>
      </w:pPr>
      <w:r w:rsidRPr="001D0A8A">
        <w:t>Stats NZ:</w:t>
      </w:r>
    </w:p>
    <w:p w14:paraId="6CD004DC" w14:textId="758A2930" w:rsidR="001D0A8A" w:rsidRPr="001D0A8A" w:rsidRDefault="001D0A8A" w:rsidP="001D0A8A">
      <w:pPr>
        <w:rPr>
          <w:rFonts w:eastAsia="Arial Unicode MS"/>
        </w:rPr>
      </w:pPr>
      <w:r w:rsidRPr="001D0A8A">
        <w:rPr>
          <w:rFonts w:eastAsia="Arial Unicode MS"/>
        </w:rPr>
        <w:t>‘The ERP and HSU have different target populations. In principle, the ERP is an estimate of the population usually living (resident) in New Zealand at a point in time, and the HSU is a measure of the population in New Zealand using (or potentially using) the health system at a point in time. For both the ERP and HSU, mean populations over a period of time can be derived from the point in time estimates.’</w:t>
      </w:r>
      <w:r>
        <w:rPr>
          <w:rFonts w:eastAsia="Arial Unicode MS"/>
        </w:rPr>
        <w:t xml:space="preserve"> </w:t>
      </w:r>
      <w:r>
        <w:rPr>
          <w:rStyle w:val="FootnoteReference"/>
          <w:rFonts w:eastAsia="Arial Unicode MS"/>
        </w:rPr>
        <w:footnoteReference w:id="39"/>
      </w:r>
    </w:p>
    <w:p w14:paraId="03574F5B" w14:textId="77777777" w:rsidR="001D0A8A" w:rsidRPr="001D0A8A" w:rsidRDefault="001D0A8A" w:rsidP="001D0A8A">
      <w:pPr>
        <w:rPr>
          <w:rFonts w:eastAsia="Arial Unicode MS"/>
        </w:rPr>
      </w:pPr>
    </w:p>
    <w:p w14:paraId="478C0B08" w14:textId="143D771A" w:rsidR="001D0A8A" w:rsidRDefault="001D0A8A" w:rsidP="001D0A8A">
      <w:pPr>
        <w:rPr>
          <w:rFonts w:eastAsia="Arial Unicode MS"/>
        </w:rPr>
      </w:pPr>
      <w:r w:rsidRPr="001D0A8A">
        <w:rPr>
          <w:rFonts w:eastAsia="Arial Unicode MS"/>
        </w:rPr>
        <w:t>While Stats NZ is the preferred source of New Zealand population statistics, the HSU is considered by the Ministry of Health to be the best option for estimates of vaccine coverage disclosed above.</w:t>
      </w:r>
    </w:p>
    <w:p w14:paraId="150ECDA1" w14:textId="77777777" w:rsidR="001D0A8A" w:rsidRPr="001D0A8A" w:rsidRDefault="001D0A8A" w:rsidP="001D0A8A">
      <w:pPr>
        <w:rPr>
          <w:rFonts w:eastAsia="Arial Unicode MS"/>
        </w:rPr>
      </w:pPr>
    </w:p>
    <w:p w14:paraId="62901BDA" w14:textId="73F36144" w:rsidR="001D0A8A" w:rsidRDefault="001D0A8A" w:rsidP="001D0A8A">
      <w:pPr>
        <w:rPr>
          <w:rFonts w:eastAsia="Arial Unicode MS"/>
        </w:rPr>
      </w:pPr>
      <w:r w:rsidRPr="001D0A8A">
        <w:rPr>
          <w:rFonts w:eastAsia="Arial Unicode MS"/>
        </w:rPr>
        <w:t>The HSU allows for the assignment of the same demographics (location and ethnicity) to people in the numerator (the number of people vaccinated, from the CVIP database) as can be found in the denominator (the HSU dataset).</w:t>
      </w:r>
    </w:p>
    <w:p w14:paraId="5AE76E5B" w14:textId="77777777" w:rsidR="001D0A8A" w:rsidRPr="001D0A8A" w:rsidRDefault="001D0A8A" w:rsidP="001D0A8A">
      <w:pPr>
        <w:rPr>
          <w:rFonts w:eastAsia="Arial Unicode MS"/>
        </w:rPr>
      </w:pPr>
    </w:p>
    <w:p w14:paraId="4D897441" w14:textId="77777777" w:rsidR="001D0A8A" w:rsidRPr="001D0A8A" w:rsidRDefault="001D0A8A" w:rsidP="001D0A8A">
      <w:pPr>
        <w:rPr>
          <w:rFonts w:eastAsia="Arial Unicode MS"/>
        </w:rPr>
      </w:pPr>
      <w:r w:rsidRPr="001D0A8A">
        <w:rPr>
          <w:rFonts w:eastAsia="Arial Unicode MS"/>
        </w:rPr>
        <w:t>The HSU is available for every demographic contained in health data, including:</w:t>
      </w:r>
    </w:p>
    <w:p w14:paraId="2D3DB755" w14:textId="4540587A" w:rsidR="001D0A8A" w:rsidRPr="001D0A8A" w:rsidRDefault="001D0A8A" w:rsidP="001D0A8A">
      <w:pPr>
        <w:pStyle w:val="Bullet"/>
        <w:rPr>
          <w:rFonts w:eastAsia="Arial Unicode MS"/>
        </w:rPr>
      </w:pPr>
      <w:r w:rsidRPr="001D0A8A">
        <w:rPr>
          <w:rFonts w:eastAsia="Arial Unicode MS"/>
        </w:rPr>
        <w:t>age</w:t>
      </w:r>
    </w:p>
    <w:p w14:paraId="33AF09ED" w14:textId="1C1C71E1" w:rsidR="001D0A8A" w:rsidRPr="001D0A8A" w:rsidRDefault="001D0A8A" w:rsidP="001D0A8A">
      <w:pPr>
        <w:pStyle w:val="Bullet"/>
        <w:rPr>
          <w:rFonts w:eastAsia="Arial Unicode MS"/>
        </w:rPr>
      </w:pPr>
      <w:r w:rsidRPr="001D0A8A">
        <w:rPr>
          <w:rFonts w:eastAsia="Arial Unicode MS"/>
        </w:rPr>
        <w:t>ethnicity</w:t>
      </w:r>
    </w:p>
    <w:p w14:paraId="5D1C9EF7" w14:textId="43BD37CD" w:rsidR="001D0A8A" w:rsidRPr="001D0A8A" w:rsidRDefault="001D0A8A" w:rsidP="001D0A8A">
      <w:pPr>
        <w:pStyle w:val="Bullet"/>
        <w:rPr>
          <w:rFonts w:eastAsia="Arial Unicode MS"/>
        </w:rPr>
      </w:pPr>
      <w:r w:rsidRPr="001D0A8A">
        <w:rPr>
          <w:rFonts w:eastAsia="Arial Unicode MS"/>
        </w:rPr>
        <w:t>DHB</w:t>
      </w:r>
    </w:p>
    <w:p w14:paraId="2E0B49B7" w14:textId="5D2877B2" w:rsidR="001D0A8A" w:rsidRPr="001D0A8A" w:rsidRDefault="001D0A8A" w:rsidP="001D0A8A">
      <w:pPr>
        <w:pStyle w:val="Bullet"/>
        <w:rPr>
          <w:rFonts w:eastAsia="Arial Unicode MS"/>
        </w:rPr>
      </w:pPr>
      <w:r w:rsidRPr="001D0A8A">
        <w:rPr>
          <w:rFonts w:eastAsia="Arial Unicode MS"/>
        </w:rPr>
        <w:t>gender</w:t>
      </w:r>
    </w:p>
    <w:p w14:paraId="27D7574F" w14:textId="77777777" w:rsidR="001D0A8A" w:rsidRDefault="001D0A8A" w:rsidP="001D0A8A">
      <w:pPr>
        <w:rPr>
          <w:rFonts w:eastAsia="Arial Unicode MS"/>
        </w:rPr>
      </w:pPr>
    </w:p>
    <w:p w14:paraId="0217BF1C" w14:textId="0B3D2EC5" w:rsidR="001D0A8A" w:rsidRDefault="001D0A8A" w:rsidP="001D0A8A">
      <w:pPr>
        <w:rPr>
          <w:rFonts w:eastAsia="Arial Unicode MS"/>
        </w:rPr>
      </w:pPr>
      <w:r w:rsidRPr="001D0A8A">
        <w:rPr>
          <w:rFonts w:eastAsia="Arial Unicode MS"/>
        </w:rPr>
        <w:t>These can be used separately or in combination. Other information such as neighbourhood deprivation, Statistical Area 2, or territorial local authority can also be added. It is also possible to generate flags for health-related information on the HSU (for example, those who are likely to have a long-term condition).</w:t>
      </w:r>
    </w:p>
    <w:p w14:paraId="640B4F8A" w14:textId="77777777" w:rsidR="001D0A8A" w:rsidRPr="001D0A8A" w:rsidRDefault="001D0A8A" w:rsidP="00216075">
      <w:pPr>
        <w:pStyle w:val="Heading3"/>
      </w:pPr>
      <w:bookmarkStart w:id="51" w:name="_Toc117264958"/>
      <w:r w:rsidRPr="001D0A8A">
        <w:t>Comparison of HSU 2021 to the Stats NZ projected resident population</w:t>
      </w:r>
      <w:bookmarkEnd w:id="51"/>
    </w:p>
    <w:p w14:paraId="20F74E15" w14:textId="77777777" w:rsidR="001D0A8A" w:rsidRPr="001D0A8A" w:rsidRDefault="001D0A8A" w:rsidP="001D0A8A">
      <w:pPr>
        <w:rPr>
          <w:rFonts w:eastAsia="Arial Unicode MS"/>
        </w:rPr>
      </w:pPr>
      <w:r w:rsidRPr="001D0A8A">
        <w:rPr>
          <w:rFonts w:eastAsia="Arial Unicode MS"/>
        </w:rPr>
        <w:t>The differences between the HSU datasets and Stats NZ projections of the resident population (PRP), prepared for the Ministry of Health in 2021, are demonstrated in the New Zealand population by ethnicity tables, below, for both HSU 2021 and HSU 2020.</w:t>
      </w:r>
    </w:p>
    <w:p w14:paraId="4A7B4A27" w14:textId="77777777" w:rsidR="001D0A8A" w:rsidRPr="00AB0266" w:rsidRDefault="001D0A8A" w:rsidP="00AB0266">
      <w:pPr>
        <w:pStyle w:val="Heading4"/>
      </w:pPr>
      <w:r w:rsidRPr="00AB0266">
        <w:t>Comparison of HSU 2021 to the Stats NZ PRP</w:t>
      </w:r>
    </w:p>
    <w:p w14:paraId="63D8BD59" w14:textId="77777777" w:rsidR="001D0A8A" w:rsidRDefault="001D0A8A" w:rsidP="001D0A8A">
      <w:pPr>
        <w:rPr>
          <w:rFonts w:eastAsia="Arial Unicode MS"/>
        </w:rPr>
        <w:sectPr w:rsidR="001D0A8A" w:rsidSect="00C26282">
          <w:pgSz w:w="11907" w:h="16840" w:code="9"/>
          <w:pgMar w:top="1418" w:right="1701" w:bottom="1134" w:left="1843" w:header="284" w:footer="425" w:gutter="284"/>
          <w:cols w:space="720"/>
        </w:sectPr>
      </w:pPr>
      <w:r w:rsidRPr="001D0A8A">
        <w:rPr>
          <w:rFonts w:eastAsia="Arial Unicode MS"/>
        </w:rPr>
        <w:t>As at 31 December 2021, there is an estimated 5.2 million health service users in the HSU 2021. This is an increase of 233,000 people from the HSU 2020 (an approximate 4% increase), and 110,000 more people than the Stats NZ PRP for 30 June 2021.</w:t>
      </w:r>
    </w:p>
    <w:p w14:paraId="3505F2F4" w14:textId="68EC4744" w:rsidR="001D0A8A" w:rsidRDefault="001D0A8A" w:rsidP="001D0A8A">
      <w:pPr>
        <w:pStyle w:val="Heading5"/>
      </w:pPr>
      <w:r w:rsidRPr="001D0A8A">
        <w:lastRenderedPageBreak/>
        <w:t>New Zealand population by ethnicity: HSU 2021 and Stats NZ PRP comparison</w:t>
      </w:r>
      <w:r>
        <w:rPr>
          <w:rStyle w:val="FootnoteReference"/>
        </w:rPr>
        <w:footnoteReference w:id="40"/>
      </w:r>
    </w:p>
    <w:tbl>
      <w:tblPr>
        <w:tblW w:w="807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018"/>
        <w:gridCol w:w="2019"/>
        <w:gridCol w:w="2018"/>
        <w:gridCol w:w="2019"/>
      </w:tblGrid>
      <w:tr w:rsidR="001D0A8A" w:rsidRPr="002C1551" w14:paraId="35E7FBCB" w14:textId="77777777" w:rsidTr="002C1551">
        <w:trPr>
          <w:trHeight w:val="349"/>
        </w:trPr>
        <w:tc>
          <w:tcPr>
            <w:tcW w:w="2018" w:type="dxa"/>
            <w:tcBorders>
              <w:top w:val="nil"/>
              <w:bottom w:val="nil"/>
            </w:tcBorders>
            <w:shd w:val="clear" w:color="auto" w:fill="D9D9D9" w:themeFill="background1" w:themeFillShade="D9"/>
          </w:tcPr>
          <w:p w14:paraId="40463BD4" w14:textId="77777777" w:rsidR="001D0A8A" w:rsidRPr="002C1551" w:rsidRDefault="001D0A8A" w:rsidP="002C1551">
            <w:pPr>
              <w:pStyle w:val="TableText"/>
              <w:rPr>
                <w:b/>
                <w:bCs/>
              </w:rPr>
            </w:pPr>
            <w:r w:rsidRPr="002C1551">
              <w:rPr>
                <w:b/>
                <w:bCs/>
                <w:w w:val="105"/>
              </w:rPr>
              <w:t>Ethnicity</w:t>
            </w:r>
          </w:p>
        </w:tc>
        <w:tc>
          <w:tcPr>
            <w:tcW w:w="2019" w:type="dxa"/>
            <w:tcBorders>
              <w:top w:val="nil"/>
              <w:bottom w:val="nil"/>
            </w:tcBorders>
            <w:shd w:val="clear" w:color="auto" w:fill="D9D9D9" w:themeFill="background1" w:themeFillShade="D9"/>
          </w:tcPr>
          <w:p w14:paraId="61720EE7" w14:textId="77777777" w:rsidR="001D0A8A" w:rsidRPr="002C1551" w:rsidRDefault="001D0A8A" w:rsidP="002C1551">
            <w:pPr>
              <w:pStyle w:val="TableText"/>
              <w:jc w:val="right"/>
              <w:rPr>
                <w:b/>
                <w:bCs/>
              </w:rPr>
            </w:pPr>
            <w:r w:rsidRPr="002C1551">
              <w:rPr>
                <w:b/>
                <w:bCs/>
                <w:w w:val="95"/>
              </w:rPr>
              <w:t>HSU</w:t>
            </w:r>
            <w:r w:rsidRPr="002C1551">
              <w:rPr>
                <w:b/>
                <w:bCs/>
                <w:spacing w:val="-3"/>
                <w:w w:val="95"/>
              </w:rPr>
              <w:t xml:space="preserve"> </w:t>
            </w:r>
            <w:r w:rsidRPr="002C1551">
              <w:rPr>
                <w:b/>
                <w:bCs/>
                <w:w w:val="95"/>
              </w:rPr>
              <w:t>2021</w:t>
            </w:r>
          </w:p>
        </w:tc>
        <w:tc>
          <w:tcPr>
            <w:tcW w:w="2018" w:type="dxa"/>
            <w:tcBorders>
              <w:top w:val="nil"/>
              <w:bottom w:val="nil"/>
            </w:tcBorders>
            <w:shd w:val="clear" w:color="auto" w:fill="D9D9D9" w:themeFill="background1" w:themeFillShade="D9"/>
          </w:tcPr>
          <w:p w14:paraId="6FB29A6B" w14:textId="77777777" w:rsidR="001D0A8A" w:rsidRPr="002C1551" w:rsidRDefault="001D0A8A" w:rsidP="002C1551">
            <w:pPr>
              <w:pStyle w:val="TableText"/>
              <w:jc w:val="right"/>
              <w:rPr>
                <w:b/>
                <w:bCs/>
              </w:rPr>
            </w:pPr>
            <w:r w:rsidRPr="002C1551">
              <w:rPr>
                <w:b/>
                <w:bCs/>
              </w:rPr>
              <w:t>Stats</w:t>
            </w:r>
            <w:r w:rsidRPr="002C1551">
              <w:rPr>
                <w:b/>
                <w:bCs/>
                <w:spacing w:val="-9"/>
              </w:rPr>
              <w:t xml:space="preserve"> </w:t>
            </w:r>
            <w:r w:rsidRPr="002C1551">
              <w:rPr>
                <w:b/>
                <w:bCs/>
              </w:rPr>
              <w:t>NZ</w:t>
            </w:r>
            <w:r w:rsidRPr="002C1551">
              <w:rPr>
                <w:b/>
                <w:bCs/>
                <w:spacing w:val="-8"/>
              </w:rPr>
              <w:t xml:space="preserve"> </w:t>
            </w:r>
            <w:r w:rsidRPr="002C1551">
              <w:rPr>
                <w:b/>
                <w:bCs/>
              </w:rPr>
              <w:t>PRP</w:t>
            </w:r>
          </w:p>
        </w:tc>
        <w:tc>
          <w:tcPr>
            <w:tcW w:w="2019" w:type="dxa"/>
            <w:tcBorders>
              <w:top w:val="nil"/>
              <w:bottom w:val="nil"/>
            </w:tcBorders>
            <w:shd w:val="clear" w:color="auto" w:fill="D9D9D9" w:themeFill="background1" w:themeFillShade="D9"/>
          </w:tcPr>
          <w:p w14:paraId="31DAE74B" w14:textId="77777777" w:rsidR="001D0A8A" w:rsidRPr="002C1551" w:rsidRDefault="001D0A8A" w:rsidP="002C1551">
            <w:pPr>
              <w:pStyle w:val="TableText"/>
              <w:jc w:val="right"/>
              <w:rPr>
                <w:b/>
                <w:bCs/>
              </w:rPr>
            </w:pPr>
            <w:r w:rsidRPr="002C1551">
              <w:rPr>
                <w:b/>
                <w:bCs/>
              </w:rPr>
              <w:t>Difference</w:t>
            </w:r>
            <w:r w:rsidRPr="002C1551">
              <w:rPr>
                <w:b/>
                <w:bCs/>
                <w:spacing w:val="1"/>
              </w:rPr>
              <w:t xml:space="preserve"> </w:t>
            </w:r>
            <w:r w:rsidRPr="002C1551">
              <w:rPr>
                <w:b/>
                <w:bCs/>
              </w:rPr>
              <w:t>(Note</w:t>
            </w:r>
            <w:r w:rsidRPr="002C1551">
              <w:rPr>
                <w:b/>
                <w:bCs/>
                <w:spacing w:val="15"/>
              </w:rPr>
              <w:t xml:space="preserve"> </w:t>
            </w:r>
            <w:r w:rsidRPr="002C1551">
              <w:rPr>
                <w:b/>
                <w:bCs/>
              </w:rPr>
              <w:t>1)</w:t>
            </w:r>
          </w:p>
        </w:tc>
      </w:tr>
      <w:tr w:rsidR="001D0A8A" w14:paraId="6614173B" w14:textId="77777777" w:rsidTr="002C1551">
        <w:trPr>
          <w:trHeight w:val="343"/>
        </w:trPr>
        <w:tc>
          <w:tcPr>
            <w:tcW w:w="2018" w:type="dxa"/>
            <w:tcBorders>
              <w:top w:val="nil"/>
            </w:tcBorders>
          </w:tcPr>
          <w:p w14:paraId="1FB36288" w14:textId="77777777" w:rsidR="001D0A8A" w:rsidRPr="009F6351" w:rsidRDefault="001D0A8A" w:rsidP="002C1551">
            <w:pPr>
              <w:pStyle w:val="TableText"/>
            </w:pPr>
            <w:r w:rsidRPr="009F6351">
              <w:t>Māori</w:t>
            </w:r>
          </w:p>
        </w:tc>
        <w:tc>
          <w:tcPr>
            <w:tcW w:w="2019" w:type="dxa"/>
            <w:tcBorders>
              <w:top w:val="nil"/>
            </w:tcBorders>
          </w:tcPr>
          <w:p w14:paraId="3FD7AF55" w14:textId="77777777" w:rsidR="001D0A8A" w:rsidRDefault="001D0A8A" w:rsidP="002C1551">
            <w:pPr>
              <w:pStyle w:val="TableText"/>
              <w:jc w:val="right"/>
            </w:pPr>
            <w:r>
              <w:rPr>
                <w:w w:val="110"/>
              </w:rPr>
              <w:t>802,000</w:t>
            </w:r>
          </w:p>
        </w:tc>
        <w:tc>
          <w:tcPr>
            <w:tcW w:w="2018" w:type="dxa"/>
            <w:tcBorders>
              <w:top w:val="nil"/>
            </w:tcBorders>
          </w:tcPr>
          <w:p w14:paraId="506E24FF" w14:textId="77777777" w:rsidR="001D0A8A" w:rsidRDefault="001D0A8A" w:rsidP="002C1551">
            <w:pPr>
              <w:pStyle w:val="TableText"/>
              <w:jc w:val="right"/>
            </w:pPr>
            <w:r>
              <w:rPr>
                <w:w w:val="110"/>
              </w:rPr>
              <w:t>875,400</w:t>
            </w:r>
          </w:p>
        </w:tc>
        <w:tc>
          <w:tcPr>
            <w:tcW w:w="2019" w:type="dxa"/>
            <w:tcBorders>
              <w:top w:val="nil"/>
            </w:tcBorders>
          </w:tcPr>
          <w:p w14:paraId="2C8E31AA" w14:textId="77777777" w:rsidR="001D0A8A" w:rsidRDefault="001D0A8A" w:rsidP="002C1551">
            <w:pPr>
              <w:pStyle w:val="TableText"/>
              <w:jc w:val="right"/>
            </w:pPr>
            <w:r>
              <w:rPr>
                <w:w w:val="110"/>
              </w:rPr>
              <w:t>-73,400</w:t>
            </w:r>
          </w:p>
        </w:tc>
      </w:tr>
      <w:tr w:rsidR="001D0A8A" w14:paraId="4CFDD37E" w14:textId="77777777" w:rsidTr="002C1551">
        <w:trPr>
          <w:trHeight w:val="338"/>
        </w:trPr>
        <w:tc>
          <w:tcPr>
            <w:tcW w:w="2018" w:type="dxa"/>
          </w:tcPr>
          <w:p w14:paraId="2BCC0F6C" w14:textId="77777777" w:rsidR="001D0A8A" w:rsidRPr="009F6351" w:rsidRDefault="001D0A8A" w:rsidP="002C1551">
            <w:pPr>
              <w:pStyle w:val="TableText"/>
            </w:pPr>
            <w:r w:rsidRPr="009F6351">
              <w:t>Pacific</w:t>
            </w:r>
            <w:r w:rsidRPr="009F6351">
              <w:rPr>
                <w:spacing w:val="5"/>
              </w:rPr>
              <w:t xml:space="preserve"> </w:t>
            </w:r>
            <w:r w:rsidRPr="009F6351">
              <w:t>peoples</w:t>
            </w:r>
          </w:p>
        </w:tc>
        <w:tc>
          <w:tcPr>
            <w:tcW w:w="2019" w:type="dxa"/>
          </w:tcPr>
          <w:p w14:paraId="4E7865AB" w14:textId="77777777" w:rsidR="001D0A8A" w:rsidRDefault="001D0A8A" w:rsidP="002C1551">
            <w:pPr>
              <w:pStyle w:val="TableText"/>
              <w:jc w:val="right"/>
            </w:pPr>
            <w:r>
              <w:t>391,000</w:t>
            </w:r>
          </w:p>
        </w:tc>
        <w:tc>
          <w:tcPr>
            <w:tcW w:w="2018" w:type="dxa"/>
          </w:tcPr>
          <w:p w14:paraId="7BE13D3D" w14:textId="77777777" w:rsidR="001D0A8A" w:rsidRDefault="001D0A8A" w:rsidP="002C1551">
            <w:pPr>
              <w:pStyle w:val="TableText"/>
              <w:jc w:val="right"/>
            </w:pPr>
            <w:r>
              <w:rPr>
                <w:w w:val="105"/>
              </w:rPr>
              <w:t>352,200</w:t>
            </w:r>
          </w:p>
        </w:tc>
        <w:tc>
          <w:tcPr>
            <w:tcW w:w="2019" w:type="dxa"/>
          </w:tcPr>
          <w:p w14:paraId="0AF7517D" w14:textId="77777777" w:rsidR="001D0A8A" w:rsidRDefault="001D0A8A" w:rsidP="002C1551">
            <w:pPr>
              <w:pStyle w:val="TableText"/>
              <w:jc w:val="right"/>
            </w:pPr>
            <w:r>
              <w:rPr>
                <w:w w:val="110"/>
              </w:rPr>
              <w:t>38,800</w:t>
            </w:r>
          </w:p>
        </w:tc>
      </w:tr>
      <w:tr w:rsidR="001D0A8A" w14:paraId="7C67F4A2" w14:textId="77777777" w:rsidTr="002C1551">
        <w:trPr>
          <w:trHeight w:val="338"/>
        </w:trPr>
        <w:tc>
          <w:tcPr>
            <w:tcW w:w="2018" w:type="dxa"/>
          </w:tcPr>
          <w:p w14:paraId="40A7739F" w14:textId="77777777" w:rsidR="001D0A8A" w:rsidRPr="009F6351" w:rsidRDefault="001D0A8A" w:rsidP="002C1551">
            <w:pPr>
              <w:pStyle w:val="TableText"/>
            </w:pPr>
            <w:r w:rsidRPr="009F6351">
              <w:rPr>
                <w:w w:val="105"/>
              </w:rPr>
              <w:t>Asian</w:t>
            </w:r>
          </w:p>
        </w:tc>
        <w:tc>
          <w:tcPr>
            <w:tcW w:w="2019" w:type="dxa"/>
          </w:tcPr>
          <w:p w14:paraId="730B7559" w14:textId="77777777" w:rsidR="001D0A8A" w:rsidRDefault="001D0A8A" w:rsidP="002C1551">
            <w:pPr>
              <w:pStyle w:val="TableText"/>
              <w:jc w:val="right"/>
            </w:pPr>
            <w:r>
              <w:t>834,100</w:t>
            </w:r>
          </w:p>
        </w:tc>
        <w:tc>
          <w:tcPr>
            <w:tcW w:w="2018" w:type="dxa"/>
          </w:tcPr>
          <w:p w14:paraId="19A1C854" w14:textId="77777777" w:rsidR="001D0A8A" w:rsidRDefault="001D0A8A" w:rsidP="002C1551">
            <w:pPr>
              <w:pStyle w:val="TableText"/>
              <w:jc w:val="right"/>
            </w:pPr>
            <w:r>
              <w:rPr>
                <w:w w:val="110"/>
              </w:rPr>
              <w:t>848,800</w:t>
            </w:r>
          </w:p>
        </w:tc>
        <w:tc>
          <w:tcPr>
            <w:tcW w:w="2019" w:type="dxa"/>
          </w:tcPr>
          <w:p w14:paraId="6E8EEEB1" w14:textId="77777777" w:rsidR="001D0A8A" w:rsidRDefault="001D0A8A" w:rsidP="002C1551">
            <w:pPr>
              <w:pStyle w:val="TableText"/>
              <w:jc w:val="right"/>
            </w:pPr>
            <w:r>
              <w:rPr>
                <w:w w:val="105"/>
              </w:rPr>
              <w:t>-14,700</w:t>
            </w:r>
          </w:p>
        </w:tc>
      </w:tr>
      <w:tr w:rsidR="001D0A8A" w14:paraId="265FC1F0" w14:textId="77777777" w:rsidTr="002C1551">
        <w:trPr>
          <w:trHeight w:val="338"/>
        </w:trPr>
        <w:tc>
          <w:tcPr>
            <w:tcW w:w="2018" w:type="dxa"/>
          </w:tcPr>
          <w:p w14:paraId="3B20E044" w14:textId="77777777" w:rsidR="001D0A8A" w:rsidRPr="009F6351" w:rsidRDefault="001D0A8A" w:rsidP="002C1551">
            <w:pPr>
              <w:pStyle w:val="TableText"/>
            </w:pPr>
            <w:r w:rsidRPr="009F6351">
              <w:t>European/other</w:t>
            </w:r>
          </w:p>
        </w:tc>
        <w:tc>
          <w:tcPr>
            <w:tcW w:w="2019" w:type="dxa"/>
          </w:tcPr>
          <w:p w14:paraId="77485C74" w14:textId="77777777" w:rsidR="001D0A8A" w:rsidRDefault="001D0A8A" w:rsidP="002C1551">
            <w:pPr>
              <w:pStyle w:val="TableText"/>
              <w:jc w:val="right"/>
            </w:pPr>
            <w:r>
              <w:t>3,167,400</w:t>
            </w:r>
          </w:p>
        </w:tc>
        <w:tc>
          <w:tcPr>
            <w:tcW w:w="2018" w:type="dxa"/>
          </w:tcPr>
          <w:p w14:paraId="2E0FC07C" w14:textId="77777777" w:rsidR="001D0A8A" w:rsidRDefault="001D0A8A" w:rsidP="002C1551">
            <w:pPr>
              <w:pStyle w:val="TableText"/>
              <w:jc w:val="right"/>
            </w:pPr>
            <w:r>
              <w:rPr>
                <w:w w:val="105"/>
              </w:rPr>
              <w:t>3,046,200</w:t>
            </w:r>
          </w:p>
        </w:tc>
        <w:tc>
          <w:tcPr>
            <w:tcW w:w="2019" w:type="dxa"/>
          </w:tcPr>
          <w:p w14:paraId="2D580FB8" w14:textId="77777777" w:rsidR="001D0A8A" w:rsidRDefault="001D0A8A" w:rsidP="002C1551">
            <w:pPr>
              <w:pStyle w:val="TableText"/>
              <w:jc w:val="right"/>
            </w:pPr>
            <w:r>
              <w:t>121,200</w:t>
            </w:r>
          </w:p>
        </w:tc>
      </w:tr>
      <w:tr w:rsidR="001D0A8A" w14:paraId="7DBECC4E" w14:textId="77777777" w:rsidTr="002C1551">
        <w:trPr>
          <w:trHeight w:val="338"/>
        </w:trPr>
        <w:tc>
          <w:tcPr>
            <w:tcW w:w="2018" w:type="dxa"/>
          </w:tcPr>
          <w:p w14:paraId="429FE197" w14:textId="77777777" w:rsidR="001D0A8A" w:rsidRPr="009F6351" w:rsidRDefault="001D0A8A" w:rsidP="002C1551">
            <w:pPr>
              <w:pStyle w:val="TableText"/>
            </w:pPr>
            <w:r w:rsidRPr="009F6351">
              <w:t>Unknown</w:t>
            </w:r>
          </w:p>
        </w:tc>
        <w:tc>
          <w:tcPr>
            <w:tcW w:w="2019" w:type="dxa"/>
          </w:tcPr>
          <w:p w14:paraId="0A9E29B0" w14:textId="77777777" w:rsidR="001D0A8A" w:rsidRDefault="001D0A8A" w:rsidP="002C1551">
            <w:pPr>
              <w:pStyle w:val="TableText"/>
              <w:jc w:val="right"/>
            </w:pPr>
            <w:r>
              <w:rPr>
                <w:w w:val="105"/>
              </w:rPr>
              <w:t>39,200</w:t>
            </w:r>
          </w:p>
        </w:tc>
        <w:tc>
          <w:tcPr>
            <w:tcW w:w="2018" w:type="dxa"/>
          </w:tcPr>
          <w:p w14:paraId="70B1F184" w14:textId="77777777" w:rsidR="001D0A8A" w:rsidRDefault="001D0A8A" w:rsidP="002C1551">
            <w:pPr>
              <w:pStyle w:val="TableText"/>
              <w:jc w:val="right"/>
            </w:pPr>
            <w:r>
              <w:rPr>
                <w:w w:val="113"/>
              </w:rPr>
              <w:t>0</w:t>
            </w:r>
          </w:p>
        </w:tc>
        <w:tc>
          <w:tcPr>
            <w:tcW w:w="2019" w:type="dxa"/>
          </w:tcPr>
          <w:p w14:paraId="758B5813" w14:textId="77777777" w:rsidR="001D0A8A" w:rsidRDefault="001D0A8A" w:rsidP="002C1551">
            <w:pPr>
              <w:pStyle w:val="TableText"/>
              <w:jc w:val="right"/>
            </w:pPr>
            <w:r>
              <w:rPr>
                <w:w w:val="105"/>
              </w:rPr>
              <w:t>39,200</w:t>
            </w:r>
          </w:p>
        </w:tc>
      </w:tr>
      <w:tr w:rsidR="001D0A8A" w:rsidRPr="009F6351" w14:paraId="5449CC8F" w14:textId="77777777" w:rsidTr="002C1551">
        <w:trPr>
          <w:trHeight w:val="333"/>
        </w:trPr>
        <w:tc>
          <w:tcPr>
            <w:tcW w:w="2018" w:type="dxa"/>
          </w:tcPr>
          <w:p w14:paraId="1BB0D2D6" w14:textId="77777777" w:rsidR="001D0A8A" w:rsidRPr="009F6351" w:rsidRDefault="001D0A8A" w:rsidP="002C1551">
            <w:pPr>
              <w:pStyle w:val="TableText"/>
              <w:rPr>
                <w:b/>
                <w:bCs/>
              </w:rPr>
            </w:pPr>
            <w:r w:rsidRPr="009F6351">
              <w:rPr>
                <w:b/>
                <w:bCs/>
              </w:rPr>
              <w:t>Total</w:t>
            </w:r>
            <w:r w:rsidRPr="009F6351">
              <w:rPr>
                <w:b/>
                <w:bCs/>
                <w:spacing w:val="1"/>
              </w:rPr>
              <w:t xml:space="preserve"> </w:t>
            </w:r>
            <w:r w:rsidRPr="009F6351">
              <w:rPr>
                <w:b/>
                <w:bCs/>
              </w:rPr>
              <w:t>(Note</w:t>
            </w:r>
            <w:r w:rsidRPr="009F6351">
              <w:rPr>
                <w:b/>
                <w:bCs/>
                <w:spacing w:val="8"/>
              </w:rPr>
              <w:t xml:space="preserve"> </w:t>
            </w:r>
            <w:r w:rsidRPr="009F6351">
              <w:rPr>
                <w:b/>
                <w:bCs/>
              </w:rPr>
              <w:t>1)</w:t>
            </w:r>
          </w:p>
        </w:tc>
        <w:tc>
          <w:tcPr>
            <w:tcW w:w="2019" w:type="dxa"/>
          </w:tcPr>
          <w:p w14:paraId="69951104" w14:textId="77777777" w:rsidR="001D0A8A" w:rsidRPr="009F6351" w:rsidRDefault="001D0A8A" w:rsidP="002C1551">
            <w:pPr>
              <w:pStyle w:val="TableText"/>
              <w:jc w:val="right"/>
              <w:rPr>
                <w:b/>
                <w:bCs/>
              </w:rPr>
            </w:pPr>
            <w:r w:rsidRPr="009F6351">
              <w:rPr>
                <w:b/>
                <w:bCs/>
                <w:w w:val="105"/>
              </w:rPr>
              <w:t>5,233,700</w:t>
            </w:r>
          </w:p>
        </w:tc>
        <w:tc>
          <w:tcPr>
            <w:tcW w:w="2018" w:type="dxa"/>
          </w:tcPr>
          <w:p w14:paraId="16BAA5EA" w14:textId="77777777" w:rsidR="001D0A8A" w:rsidRPr="009F6351" w:rsidRDefault="001D0A8A" w:rsidP="002C1551">
            <w:pPr>
              <w:pStyle w:val="TableText"/>
              <w:jc w:val="right"/>
              <w:rPr>
                <w:b/>
                <w:bCs/>
              </w:rPr>
            </w:pPr>
            <w:r w:rsidRPr="009F6351">
              <w:rPr>
                <w:b/>
                <w:bCs/>
                <w:w w:val="105"/>
              </w:rPr>
              <w:t>5,122,600</w:t>
            </w:r>
          </w:p>
        </w:tc>
        <w:tc>
          <w:tcPr>
            <w:tcW w:w="2019" w:type="dxa"/>
          </w:tcPr>
          <w:p w14:paraId="117BC539" w14:textId="77777777" w:rsidR="001D0A8A" w:rsidRPr="009F6351" w:rsidRDefault="001D0A8A" w:rsidP="002C1551">
            <w:pPr>
              <w:pStyle w:val="TableText"/>
              <w:jc w:val="right"/>
              <w:rPr>
                <w:b/>
                <w:bCs/>
              </w:rPr>
            </w:pPr>
            <w:r w:rsidRPr="009F6351">
              <w:rPr>
                <w:b/>
                <w:bCs/>
                <w:w w:val="90"/>
              </w:rPr>
              <w:t>111,100</w:t>
            </w:r>
          </w:p>
        </w:tc>
      </w:tr>
    </w:tbl>
    <w:p w14:paraId="17255E8D" w14:textId="77777777" w:rsidR="001D0A8A" w:rsidRPr="001D0A8A" w:rsidRDefault="001D0A8A" w:rsidP="001D0A8A">
      <w:pPr>
        <w:pStyle w:val="Note"/>
        <w:rPr>
          <w:rFonts w:eastAsia="Arial Unicode MS"/>
        </w:rPr>
      </w:pPr>
      <w:r w:rsidRPr="001D0A8A">
        <w:rPr>
          <w:rFonts w:eastAsia="Arial Unicode MS"/>
        </w:rPr>
        <w:t>Note 1: The total population estimate based on HSU 2021 (as at 31 December 2021) is 5,233,600. This is 111,000 above the Stats NZ total projected population of 5,122,600 (as at 30 June 2021) taken from the customised 2018-base population projections Stats NZ produced in 2021</w:t>
      </w:r>
    </w:p>
    <w:p w14:paraId="0FA90065" w14:textId="77777777" w:rsidR="001D0A8A" w:rsidRPr="001D0A8A" w:rsidRDefault="001D0A8A" w:rsidP="00216075">
      <w:pPr>
        <w:pStyle w:val="Heading4"/>
      </w:pPr>
      <w:r w:rsidRPr="001D0A8A">
        <w:t>Comparison of HSU 2020 to the Stats NZ PRP</w:t>
      </w:r>
    </w:p>
    <w:p w14:paraId="6180ECDE" w14:textId="77777777" w:rsidR="001D0A8A" w:rsidRPr="001D0A8A" w:rsidRDefault="001D0A8A" w:rsidP="001D0A8A">
      <w:pPr>
        <w:tabs>
          <w:tab w:val="left" w:pos="1777"/>
        </w:tabs>
        <w:rPr>
          <w:rFonts w:eastAsia="Arial Unicode MS"/>
        </w:rPr>
      </w:pPr>
      <w:r w:rsidRPr="001D0A8A">
        <w:rPr>
          <w:rFonts w:eastAsia="Arial Unicode MS"/>
        </w:rPr>
        <w:t>For reference, we have provided the HSU 2020 comparison</w:t>
      </w:r>
    </w:p>
    <w:p w14:paraId="30C093DE" w14:textId="73D6C77C" w:rsidR="001D0A8A" w:rsidRDefault="001D0A8A" w:rsidP="002C1551">
      <w:pPr>
        <w:pStyle w:val="Heading5"/>
      </w:pPr>
      <w:r w:rsidRPr="001D0A8A">
        <w:t>New Zealand population by ethnicity: HSU 2020 and Stats NZ PRP</w:t>
      </w:r>
      <w:r w:rsidR="002C1551">
        <w:rPr>
          <w:rStyle w:val="FootnoteReference"/>
        </w:rPr>
        <w:footnoteReference w:id="41"/>
      </w: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020"/>
        <w:gridCol w:w="2020"/>
        <w:gridCol w:w="2020"/>
        <w:gridCol w:w="2020"/>
      </w:tblGrid>
      <w:tr w:rsidR="002C1551" w:rsidRPr="002C1551" w14:paraId="756E0229" w14:textId="77777777" w:rsidTr="002C1551">
        <w:trPr>
          <w:trHeight w:val="349"/>
        </w:trPr>
        <w:tc>
          <w:tcPr>
            <w:tcW w:w="2020" w:type="dxa"/>
            <w:tcBorders>
              <w:top w:val="nil"/>
              <w:bottom w:val="nil"/>
            </w:tcBorders>
            <w:shd w:val="clear" w:color="auto" w:fill="D9D9D9" w:themeFill="background1" w:themeFillShade="D9"/>
          </w:tcPr>
          <w:p w14:paraId="51929688" w14:textId="77777777" w:rsidR="002C1551" w:rsidRPr="002C1551" w:rsidRDefault="002C1551" w:rsidP="002C1551">
            <w:pPr>
              <w:pStyle w:val="TableText"/>
              <w:rPr>
                <w:b/>
                <w:bCs/>
              </w:rPr>
            </w:pPr>
            <w:r w:rsidRPr="002C1551">
              <w:rPr>
                <w:b/>
                <w:bCs/>
                <w:w w:val="105"/>
              </w:rPr>
              <w:t>Ethnicity</w:t>
            </w:r>
          </w:p>
        </w:tc>
        <w:tc>
          <w:tcPr>
            <w:tcW w:w="2020" w:type="dxa"/>
            <w:tcBorders>
              <w:top w:val="nil"/>
              <w:bottom w:val="nil"/>
            </w:tcBorders>
            <w:shd w:val="clear" w:color="auto" w:fill="D9D9D9" w:themeFill="background1" w:themeFillShade="D9"/>
          </w:tcPr>
          <w:p w14:paraId="7FA5B38C" w14:textId="77777777" w:rsidR="002C1551" w:rsidRPr="002C1551" w:rsidRDefault="002C1551" w:rsidP="002C1551">
            <w:pPr>
              <w:pStyle w:val="TableText"/>
              <w:jc w:val="right"/>
              <w:rPr>
                <w:b/>
                <w:bCs/>
              </w:rPr>
            </w:pPr>
            <w:r w:rsidRPr="002C1551">
              <w:rPr>
                <w:b/>
                <w:bCs/>
              </w:rPr>
              <w:t>HSU</w:t>
            </w:r>
            <w:r w:rsidRPr="002C1551">
              <w:rPr>
                <w:b/>
                <w:bCs/>
                <w:spacing w:val="-1"/>
              </w:rPr>
              <w:t xml:space="preserve"> </w:t>
            </w:r>
            <w:r w:rsidRPr="002C1551">
              <w:rPr>
                <w:b/>
                <w:bCs/>
              </w:rPr>
              <w:t>2020</w:t>
            </w:r>
          </w:p>
        </w:tc>
        <w:tc>
          <w:tcPr>
            <w:tcW w:w="2020" w:type="dxa"/>
            <w:tcBorders>
              <w:top w:val="nil"/>
              <w:bottom w:val="nil"/>
            </w:tcBorders>
            <w:shd w:val="clear" w:color="auto" w:fill="D9D9D9" w:themeFill="background1" w:themeFillShade="D9"/>
          </w:tcPr>
          <w:p w14:paraId="12E60164" w14:textId="77777777" w:rsidR="002C1551" w:rsidRPr="002C1551" w:rsidRDefault="002C1551" w:rsidP="002C1551">
            <w:pPr>
              <w:pStyle w:val="TableText"/>
              <w:jc w:val="right"/>
              <w:rPr>
                <w:b/>
                <w:bCs/>
              </w:rPr>
            </w:pPr>
            <w:r w:rsidRPr="002C1551">
              <w:rPr>
                <w:b/>
                <w:bCs/>
              </w:rPr>
              <w:t>Stats</w:t>
            </w:r>
            <w:r w:rsidRPr="002C1551">
              <w:rPr>
                <w:b/>
                <w:bCs/>
                <w:spacing w:val="-9"/>
              </w:rPr>
              <w:t xml:space="preserve"> </w:t>
            </w:r>
            <w:r w:rsidRPr="002C1551">
              <w:rPr>
                <w:b/>
                <w:bCs/>
              </w:rPr>
              <w:t>NZ</w:t>
            </w:r>
            <w:r w:rsidRPr="002C1551">
              <w:rPr>
                <w:b/>
                <w:bCs/>
                <w:spacing w:val="-8"/>
              </w:rPr>
              <w:t xml:space="preserve"> </w:t>
            </w:r>
            <w:r w:rsidRPr="002C1551">
              <w:rPr>
                <w:b/>
                <w:bCs/>
              </w:rPr>
              <w:t>PRP</w:t>
            </w:r>
          </w:p>
        </w:tc>
        <w:tc>
          <w:tcPr>
            <w:tcW w:w="2020" w:type="dxa"/>
            <w:tcBorders>
              <w:top w:val="nil"/>
              <w:bottom w:val="nil"/>
            </w:tcBorders>
            <w:shd w:val="clear" w:color="auto" w:fill="D9D9D9" w:themeFill="background1" w:themeFillShade="D9"/>
          </w:tcPr>
          <w:p w14:paraId="1CD012CD" w14:textId="77777777" w:rsidR="002C1551" w:rsidRPr="002C1551" w:rsidRDefault="002C1551" w:rsidP="002C1551">
            <w:pPr>
              <w:pStyle w:val="TableText"/>
              <w:jc w:val="right"/>
              <w:rPr>
                <w:b/>
                <w:bCs/>
              </w:rPr>
            </w:pPr>
            <w:r w:rsidRPr="002C1551">
              <w:rPr>
                <w:b/>
                <w:bCs/>
                <w:w w:val="110"/>
              </w:rPr>
              <w:t>Difference</w:t>
            </w:r>
          </w:p>
        </w:tc>
      </w:tr>
      <w:tr w:rsidR="002C1551" w14:paraId="4F5A04EC" w14:textId="77777777" w:rsidTr="002C1551">
        <w:trPr>
          <w:trHeight w:val="364"/>
        </w:trPr>
        <w:tc>
          <w:tcPr>
            <w:tcW w:w="2020" w:type="dxa"/>
            <w:tcBorders>
              <w:top w:val="nil"/>
            </w:tcBorders>
          </w:tcPr>
          <w:p w14:paraId="1855C7DF" w14:textId="77777777" w:rsidR="002C1551" w:rsidRPr="009F6351" w:rsidRDefault="002C1551" w:rsidP="009F6351">
            <w:pPr>
              <w:pStyle w:val="TableText"/>
            </w:pPr>
            <w:r w:rsidRPr="009F6351">
              <w:t>Māori</w:t>
            </w:r>
          </w:p>
        </w:tc>
        <w:tc>
          <w:tcPr>
            <w:tcW w:w="2020" w:type="dxa"/>
            <w:tcBorders>
              <w:top w:val="nil"/>
            </w:tcBorders>
          </w:tcPr>
          <w:p w14:paraId="2DE17BEC" w14:textId="77777777" w:rsidR="002C1551" w:rsidRDefault="002C1551" w:rsidP="002C1551">
            <w:pPr>
              <w:pStyle w:val="TableText"/>
              <w:jc w:val="right"/>
            </w:pPr>
            <w:r>
              <w:rPr>
                <w:w w:val="105"/>
              </w:rPr>
              <w:t>766,700</w:t>
            </w:r>
          </w:p>
        </w:tc>
        <w:tc>
          <w:tcPr>
            <w:tcW w:w="2020" w:type="dxa"/>
            <w:tcBorders>
              <w:top w:val="nil"/>
            </w:tcBorders>
          </w:tcPr>
          <w:p w14:paraId="3E5BD245" w14:textId="77777777" w:rsidR="002C1551" w:rsidRDefault="002C1551" w:rsidP="002C1551">
            <w:pPr>
              <w:pStyle w:val="TableText"/>
              <w:jc w:val="right"/>
            </w:pPr>
            <w:r>
              <w:rPr>
                <w:w w:val="110"/>
              </w:rPr>
              <w:t>854,900</w:t>
            </w:r>
          </w:p>
        </w:tc>
        <w:tc>
          <w:tcPr>
            <w:tcW w:w="2020" w:type="dxa"/>
            <w:tcBorders>
              <w:top w:val="nil"/>
            </w:tcBorders>
          </w:tcPr>
          <w:p w14:paraId="639E6A1F" w14:textId="77777777" w:rsidR="002C1551" w:rsidRDefault="002C1551" w:rsidP="002C1551">
            <w:pPr>
              <w:pStyle w:val="TableText"/>
              <w:jc w:val="right"/>
            </w:pPr>
            <w:r>
              <w:rPr>
                <w:w w:val="115"/>
              </w:rPr>
              <w:t>-88,200</w:t>
            </w:r>
          </w:p>
        </w:tc>
      </w:tr>
      <w:tr w:rsidR="002C1551" w14:paraId="32896674" w14:textId="77777777" w:rsidTr="002C1551">
        <w:trPr>
          <w:trHeight w:val="359"/>
        </w:trPr>
        <w:tc>
          <w:tcPr>
            <w:tcW w:w="2020" w:type="dxa"/>
          </w:tcPr>
          <w:p w14:paraId="4B7BAD85" w14:textId="77777777" w:rsidR="002C1551" w:rsidRPr="009F6351" w:rsidRDefault="002C1551" w:rsidP="009F6351">
            <w:pPr>
              <w:pStyle w:val="TableText"/>
            </w:pPr>
            <w:r w:rsidRPr="009F6351">
              <w:t>Pacific peoples</w:t>
            </w:r>
          </w:p>
        </w:tc>
        <w:tc>
          <w:tcPr>
            <w:tcW w:w="2020" w:type="dxa"/>
          </w:tcPr>
          <w:p w14:paraId="62BCB4B6" w14:textId="77777777" w:rsidR="002C1551" w:rsidRDefault="002C1551" w:rsidP="002C1551">
            <w:pPr>
              <w:pStyle w:val="TableText"/>
              <w:jc w:val="right"/>
            </w:pPr>
            <w:r>
              <w:rPr>
                <w:w w:val="105"/>
              </w:rPr>
              <w:t>367,900</w:t>
            </w:r>
          </w:p>
        </w:tc>
        <w:tc>
          <w:tcPr>
            <w:tcW w:w="2020" w:type="dxa"/>
          </w:tcPr>
          <w:p w14:paraId="7C6D8B72" w14:textId="77777777" w:rsidR="002C1551" w:rsidRDefault="002C1551" w:rsidP="002C1551">
            <w:pPr>
              <w:pStyle w:val="TableText"/>
              <w:jc w:val="right"/>
            </w:pPr>
            <w:r>
              <w:rPr>
                <w:w w:val="110"/>
              </w:rPr>
              <w:t>346,600</w:t>
            </w:r>
          </w:p>
        </w:tc>
        <w:tc>
          <w:tcPr>
            <w:tcW w:w="2020" w:type="dxa"/>
          </w:tcPr>
          <w:p w14:paraId="118B92BF" w14:textId="77777777" w:rsidR="002C1551" w:rsidRDefault="002C1551" w:rsidP="002C1551">
            <w:pPr>
              <w:pStyle w:val="TableText"/>
              <w:jc w:val="right"/>
            </w:pPr>
            <w:r>
              <w:t>21,300</w:t>
            </w:r>
          </w:p>
        </w:tc>
      </w:tr>
      <w:tr w:rsidR="002C1551" w14:paraId="7510ADA0" w14:textId="77777777" w:rsidTr="002C1551">
        <w:trPr>
          <w:trHeight w:val="359"/>
        </w:trPr>
        <w:tc>
          <w:tcPr>
            <w:tcW w:w="2020" w:type="dxa"/>
          </w:tcPr>
          <w:p w14:paraId="5C2C4B67" w14:textId="77777777" w:rsidR="002C1551" w:rsidRPr="009F6351" w:rsidRDefault="002C1551" w:rsidP="009F6351">
            <w:pPr>
              <w:pStyle w:val="TableText"/>
            </w:pPr>
            <w:r w:rsidRPr="009F6351">
              <w:t>Asian</w:t>
            </w:r>
          </w:p>
        </w:tc>
        <w:tc>
          <w:tcPr>
            <w:tcW w:w="2020" w:type="dxa"/>
          </w:tcPr>
          <w:p w14:paraId="2A559166" w14:textId="77777777" w:rsidR="002C1551" w:rsidRDefault="002C1551" w:rsidP="002C1551">
            <w:pPr>
              <w:pStyle w:val="TableText"/>
              <w:jc w:val="right"/>
            </w:pPr>
            <w:r>
              <w:rPr>
                <w:w w:val="105"/>
              </w:rPr>
              <w:t>734,700</w:t>
            </w:r>
          </w:p>
        </w:tc>
        <w:tc>
          <w:tcPr>
            <w:tcW w:w="2020" w:type="dxa"/>
          </w:tcPr>
          <w:p w14:paraId="2FB7CDDF" w14:textId="77777777" w:rsidR="002C1551" w:rsidRDefault="002C1551" w:rsidP="002C1551">
            <w:pPr>
              <w:pStyle w:val="TableText"/>
              <w:jc w:val="right"/>
            </w:pPr>
            <w:r>
              <w:rPr>
                <w:w w:val="110"/>
              </w:rPr>
              <w:t>840,300</w:t>
            </w:r>
          </w:p>
        </w:tc>
        <w:tc>
          <w:tcPr>
            <w:tcW w:w="2020" w:type="dxa"/>
          </w:tcPr>
          <w:p w14:paraId="3961B95B" w14:textId="77777777" w:rsidR="002C1551" w:rsidRDefault="002C1551" w:rsidP="002C1551">
            <w:pPr>
              <w:pStyle w:val="TableText"/>
              <w:jc w:val="right"/>
            </w:pPr>
            <w:r>
              <w:rPr>
                <w:w w:val="105"/>
              </w:rPr>
              <w:t>-105,600</w:t>
            </w:r>
          </w:p>
        </w:tc>
      </w:tr>
      <w:tr w:rsidR="002C1551" w14:paraId="3550F979" w14:textId="77777777" w:rsidTr="002C1551">
        <w:trPr>
          <w:trHeight w:val="359"/>
        </w:trPr>
        <w:tc>
          <w:tcPr>
            <w:tcW w:w="2020" w:type="dxa"/>
          </w:tcPr>
          <w:p w14:paraId="1BE1BD9A" w14:textId="77777777" w:rsidR="002C1551" w:rsidRPr="009F6351" w:rsidRDefault="002C1551" w:rsidP="009F6351">
            <w:pPr>
              <w:pStyle w:val="TableText"/>
            </w:pPr>
            <w:r w:rsidRPr="009F6351">
              <w:t>European/other</w:t>
            </w:r>
          </w:p>
        </w:tc>
        <w:tc>
          <w:tcPr>
            <w:tcW w:w="2020" w:type="dxa"/>
          </w:tcPr>
          <w:p w14:paraId="3E3374C4" w14:textId="77777777" w:rsidR="002C1551" w:rsidRDefault="002C1551" w:rsidP="002C1551">
            <w:pPr>
              <w:pStyle w:val="TableText"/>
              <w:jc w:val="right"/>
            </w:pPr>
            <w:r>
              <w:t>3,108,400</w:t>
            </w:r>
          </w:p>
        </w:tc>
        <w:tc>
          <w:tcPr>
            <w:tcW w:w="2020" w:type="dxa"/>
          </w:tcPr>
          <w:p w14:paraId="57136967" w14:textId="77777777" w:rsidR="002C1551" w:rsidRDefault="002C1551" w:rsidP="002C1551">
            <w:pPr>
              <w:pStyle w:val="TableText"/>
              <w:jc w:val="right"/>
            </w:pPr>
            <w:r>
              <w:rPr>
                <w:w w:val="105"/>
              </w:rPr>
              <w:t>3,048,400</w:t>
            </w:r>
          </w:p>
        </w:tc>
        <w:tc>
          <w:tcPr>
            <w:tcW w:w="2020" w:type="dxa"/>
          </w:tcPr>
          <w:p w14:paraId="1EBF8B55" w14:textId="77777777" w:rsidR="002C1551" w:rsidRDefault="002C1551" w:rsidP="002C1551">
            <w:pPr>
              <w:pStyle w:val="TableText"/>
              <w:jc w:val="right"/>
            </w:pPr>
            <w:r>
              <w:rPr>
                <w:w w:val="110"/>
              </w:rPr>
              <w:t>60,000</w:t>
            </w:r>
          </w:p>
        </w:tc>
      </w:tr>
      <w:tr w:rsidR="002C1551" w14:paraId="21DA887E" w14:textId="77777777" w:rsidTr="002C1551">
        <w:trPr>
          <w:trHeight w:val="359"/>
        </w:trPr>
        <w:tc>
          <w:tcPr>
            <w:tcW w:w="2020" w:type="dxa"/>
          </w:tcPr>
          <w:p w14:paraId="7E7F5645" w14:textId="77777777" w:rsidR="002C1551" w:rsidRPr="009F6351" w:rsidRDefault="002C1551" w:rsidP="009F6351">
            <w:pPr>
              <w:pStyle w:val="TableText"/>
            </w:pPr>
            <w:r w:rsidRPr="009F6351">
              <w:t>Unknown</w:t>
            </w:r>
          </w:p>
        </w:tc>
        <w:tc>
          <w:tcPr>
            <w:tcW w:w="2020" w:type="dxa"/>
          </w:tcPr>
          <w:p w14:paraId="761D818F" w14:textId="77777777" w:rsidR="002C1551" w:rsidRDefault="002C1551" w:rsidP="002C1551">
            <w:pPr>
              <w:pStyle w:val="TableText"/>
              <w:jc w:val="right"/>
            </w:pPr>
            <w:r>
              <w:rPr>
                <w:w w:val="105"/>
              </w:rPr>
              <w:t>22,800</w:t>
            </w:r>
          </w:p>
        </w:tc>
        <w:tc>
          <w:tcPr>
            <w:tcW w:w="2020" w:type="dxa"/>
          </w:tcPr>
          <w:p w14:paraId="65004BC0" w14:textId="77777777" w:rsidR="002C1551" w:rsidRDefault="002C1551" w:rsidP="002C1551">
            <w:pPr>
              <w:pStyle w:val="TableText"/>
              <w:jc w:val="right"/>
            </w:pPr>
            <w:r>
              <w:rPr>
                <w:w w:val="113"/>
              </w:rPr>
              <w:t>0</w:t>
            </w:r>
          </w:p>
        </w:tc>
        <w:tc>
          <w:tcPr>
            <w:tcW w:w="2020" w:type="dxa"/>
          </w:tcPr>
          <w:p w14:paraId="5766E7E1" w14:textId="77777777" w:rsidR="002C1551" w:rsidRDefault="002C1551" w:rsidP="002C1551">
            <w:pPr>
              <w:pStyle w:val="TableText"/>
              <w:jc w:val="right"/>
            </w:pPr>
            <w:r>
              <w:rPr>
                <w:w w:val="105"/>
              </w:rPr>
              <w:t>22,800</w:t>
            </w:r>
          </w:p>
        </w:tc>
      </w:tr>
      <w:tr w:rsidR="002C1551" w:rsidRPr="009F6351" w14:paraId="60398825" w14:textId="77777777" w:rsidTr="002C1551">
        <w:trPr>
          <w:trHeight w:val="354"/>
        </w:trPr>
        <w:tc>
          <w:tcPr>
            <w:tcW w:w="2020" w:type="dxa"/>
          </w:tcPr>
          <w:p w14:paraId="57B316E0" w14:textId="77777777" w:rsidR="002C1551" w:rsidRPr="009F6351" w:rsidRDefault="002C1551" w:rsidP="009F6351">
            <w:pPr>
              <w:pStyle w:val="TableText"/>
            </w:pPr>
            <w:r w:rsidRPr="009F6351">
              <w:rPr>
                <w:b/>
                <w:bCs/>
              </w:rPr>
              <w:t>Total</w:t>
            </w:r>
            <w:r w:rsidRPr="009F6351">
              <w:t xml:space="preserve"> (Note 1)</w:t>
            </w:r>
          </w:p>
        </w:tc>
        <w:tc>
          <w:tcPr>
            <w:tcW w:w="2020" w:type="dxa"/>
          </w:tcPr>
          <w:p w14:paraId="0C8165B2" w14:textId="77777777" w:rsidR="002C1551" w:rsidRPr="009F6351" w:rsidRDefault="002C1551" w:rsidP="002C1551">
            <w:pPr>
              <w:pStyle w:val="TableText"/>
              <w:jc w:val="right"/>
              <w:rPr>
                <w:b/>
                <w:bCs/>
              </w:rPr>
            </w:pPr>
            <w:r w:rsidRPr="009F6351">
              <w:rPr>
                <w:b/>
                <w:bCs/>
                <w:w w:val="110"/>
              </w:rPr>
              <w:t>5,000,500</w:t>
            </w:r>
          </w:p>
        </w:tc>
        <w:tc>
          <w:tcPr>
            <w:tcW w:w="2020" w:type="dxa"/>
          </w:tcPr>
          <w:p w14:paraId="5B271ABB" w14:textId="77777777" w:rsidR="002C1551" w:rsidRPr="009F6351" w:rsidRDefault="002C1551" w:rsidP="002C1551">
            <w:pPr>
              <w:pStyle w:val="TableText"/>
              <w:jc w:val="right"/>
              <w:rPr>
                <w:b/>
                <w:bCs/>
              </w:rPr>
            </w:pPr>
            <w:r w:rsidRPr="009F6351">
              <w:rPr>
                <w:b/>
                <w:bCs/>
                <w:w w:val="110"/>
              </w:rPr>
              <w:t>5,090,200</w:t>
            </w:r>
          </w:p>
        </w:tc>
        <w:tc>
          <w:tcPr>
            <w:tcW w:w="2020" w:type="dxa"/>
          </w:tcPr>
          <w:p w14:paraId="06395333" w14:textId="77777777" w:rsidR="002C1551" w:rsidRPr="009F6351" w:rsidRDefault="002C1551" w:rsidP="002C1551">
            <w:pPr>
              <w:pStyle w:val="TableText"/>
              <w:jc w:val="right"/>
              <w:rPr>
                <w:b/>
                <w:bCs/>
              </w:rPr>
            </w:pPr>
            <w:r w:rsidRPr="009F6351">
              <w:rPr>
                <w:b/>
                <w:bCs/>
                <w:w w:val="115"/>
              </w:rPr>
              <w:t>-89,700</w:t>
            </w:r>
          </w:p>
        </w:tc>
      </w:tr>
    </w:tbl>
    <w:p w14:paraId="6F86C747" w14:textId="77777777" w:rsidR="001D0A8A" w:rsidRDefault="002C1551" w:rsidP="002C1551">
      <w:pPr>
        <w:pStyle w:val="Note"/>
        <w:rPr>
          <w:rFonts w:eastAsia="Arial Unicode MS"/>
        </w:rPr>
      </w:pPr>
      <w:r w:rsidRPr="002C1551">
        <w:rPr>
          <w:rFonts w:eastAsia="Arial Unicode MS"/>
        </w:rPr>
        <w:t>Note 1: The total population estimate based on HSU 2020 (as at 1 July 2020) is 5,000,500. This is 89,700 below the Stats NZ total projected population of 5,090,200 (at 30 June 2020) taken from the customised 2018-base population projections Stats NZ produced in 2021.</w:t>
      </w:r>
      <w:r w:rsidR="001D0A8A">
        <w:rPr>
          <w:rFonts w:eastAsia="Arial Unicode MS"/>
        </w:rPr>
        <w:tab/>
      </w:r>
    </w:p>
    <w:p w14:paraId="5F000ED3" w14:textId="77777777" w:rsidR="002C1551" w:rsidRPr="002C1551" w:rsidRDefault="002C1551" w:rsidP="00270A9C">
      <w:pPr>
        <w:pStyle w:val="Heading3"/>
      </w:pPr>
      <w:bookmarkStart w:id="52" w:name="_Toc117264959"/>
      <w:r w:rsidRPr="002C1551">
        <w:t>COVID-19 mortality rates</w:t>
      </w:r>
      <w:bookmarkEnd w:id="52"/>
    </w:p>
    <w:p w14:paraId="2045A3EC" w14:textId="2AC316B5" w:rsidR="002C1551" w:rsidRDefault="002C1551" w:rsidP="002C1551">
      <w:pPr>
        <w:rPr>
          <w:rFonts w:eastAsia="Arial Unicode MS"/>
        </w:rPr>
      </w:pPr>
      <w:r w:rsidRPr="002C1551">
        <w:rPr>
          <w:rFonts w:eastAsia="Arial Unicode MS"/>
        </w:rPr>
        <w:t>The data used to determine deaths attributed to COVID-19 comes from EpiSurv</w:t>
      </w:r>
      <w:r>
        <w:rPr>
          <w:rStyle w:val="FootnoteReference"/>
          <w:rFonts w:eastAsia="Arial Unicode MS"/>
        </w:rPr>
        <w:footnoteReference w:id="42"/>
      </w:r>
      <w:r w:rsidRPr="002C1551">
        <w:rPr>
          <w:rFonts w:eastAsia="Arial Unicode MS"/>
        </w:rPr>
        <w:t xml:space="preserve"> and the National Contact Tracing Solution (NCTS) databases. The data received through these systems is extensively checked for duplications using national health index (NHI) data.</w:t>
      </w:r>
    </w:p>
    <w:p w14:paraId="7ADC1A95" w14:textId="77777777" w:rsidR="002C1551" w:rsidRPr="002C1551" w:rsidRDefault="002C1551" w:rsidP="002C1551">
      <w:pPr>
        <w:rPr>
          <w:rFonts w:eastAsia="Arial Unicode MS"/>
        </w:rPr>
      </w:pPr>
    </w:p>
    <w:p w14:paraId="2AAE6476" w14:textId="77777777" w:rsidR="002C1551" w:rsidRPr="002C1551" w:rsidRDefault="002C1551" w:rsidP="002C1551">
      <w:pPr>
        <w:rPr>
          <w:rFonts w:eastAsia="Arial Unicode MS"/>
        </w:rPr>
      </w:pPr>
      <w:r w:rsidRPr="002C1551">
        <w:rPr>
          <w:rFonts w:eastAsia="Arial Unicode MS"/>
        </w:rPr>
        <w:t>The definition of COVID-19 deaths that the Ministry now uses in most situations, including in this section, is defined as ‘deaths attributed to COVID-19’.</w:t>
      </w:r>
    </w:p>
    <w:p w14:paraId="57F70E0D" w14:textId="77777777" w:rsidR="002C1551" w:rsidRPr="002C1551" w:rsidRDefault="002C1551" w:rsidP="002C1551">
      <w:pPr>
        <w:ind w:left="567"/>
        <w:rPr>
          <w:rFonts w:eastAsia="Arial Unicode MS"/>
        </w:rPr>
      </w:pPr>
      <w:r w:rsidRPr="002C1551">
        <w:rPr>
          <w:rFonts w:eastAsia="Arial Unicode MS"/>
        </w:rPr>
        <w:lastRenderedPageBreak/>
        <w:t>‘Deaths attributed to COVID-19’ include deaths where COVID-19 was the underlying cause of death, or a contributory cause of death. This is based on Cause of Death Certificates which are coded by the Mortality Coding Team within the Ministry.</w:t>
      </w:r>
    </w:p>
    <w:p w14:paraId="3BE2F140" w14:textId="77777777" w:rsidR="002C1551" w:rsidRPr="002C1551" w:rsidRDefault="002C1551" w:rsidP="002C1551">
      <w:pPr>
        <w:rPr>
          <w:rFonts w:eastAsia="Arial Unicode MS"/>
        </w:rPr>
      </w:pPr>
    </w:p>
    <w:p w14:paraId="0C4DE6A4" w14:textId="63D49059" w:rsidR="002C1551" w:rsidRDefault="002C1551" w:rsidP="002C1551">
      <w:pPr>
        <w:rPr>
          <w:rFonts w:eastAsia="Arial Unicode MS"/>
        </w:rPr>
      </w:pPr>
      <w:r w:rsidRPr="002C1551">
        <w:rPr>
          <w:rFonts w:eastAsia="Arial Unicode MS"/>
        </w:rPr>
        <w:t>There can be delays processing the Cause of Death Certificates being updated in our systems. For example, where a paper-based death certificate is issued, the data will not be recorded as quickly as if it was submitted electronically.</w:t>
      </w:r>
    </w:p>
    <w:p w14:paraId="6CB2826B" w14:textId="77777777" w:rsidR="002C1551" w:rsidRPr="002C1551" w:rsidRDefault="002C1551" w:rsidP="002C1551">
      <w:pPr>
        <w:rPr>
          <w:rFonts w:eastAsia="Arial Unicode MS"/>
        </w:rPr>
      </w:pPr>
    </w:p>
    <w:p w14:paraId="7DBBD6F2" w14:textId="77777777" w:rsidR="002C1551" w:rsidRDefault="002C1551" w:rsidP="002C1551">
      <w:pPr>
        <w:rPr>
          <w:rFonts w:eastAsia="Arial Unicode MS"/>
        </w:rPr>
      </w:pPr>
      <w:r w:rsidRPr="002C1551">
        <w:rPr>
          <w:rFonts w:eastAsia="Arial Unicode MS"/>
        </w:rPr>
        <w:t>Whether an individual’s death is attributed to COVID-19 relies on a variety of sources. These include self-declaration, notifications via health records, or additional tests that are undertaken after death.</w:t>
      </w:r>
    </w:p>
    <w:p w14:paraId="39FA8FC8" w14:textId="77777777" w:rsidR="009F6351" w:rsidRPr="009F6351" w:rsidRDefault="009F6351" w:rsidP="00AB0266">
      <w:pPr>
        <w:pStyle w:val="Heading4"/>
      </w:pPr>
      <w:r w:rsidRPr="009F6351">
        <w:t>COVID-19 deaths by DHB of residence</w:t>
      </w:r>
    </w:p>
    <w:p w14:paraId="614902C7" w14:textId="7A4E93EE" w:rsidR="009F6351" w:rsidRDefault="009F6351" w:rsidP="009F6351">
      <w:pPr>
        <w:rPr>
          <w:rFonts w:eastAsia="Arial Unicode MS"/>
        </w:rPr>
      </w:pPr>
      <w:r w:rsidRPr="009F6351">
        <w:rPr>
          <w:rFonts w:eastAsia="Arial Unicode MS"/>
        </w:rPr>
        <w:t>The following outlines the total number of deaths associated to COVID-19 in Aotearoa by the DHB of residence at the time of death (as at 30 June 2022).</w:t>
      </w:r>
    </w:p>
    <w:p w14:paraId="338E1A95" w14:textId="77777777" w:rsidR="009F6351" w:rsidRDefault="009F6351" w:rsidP="009F6351">
      <w:pPr>
        <w:rPr>
          <w:rFonts w:eastAsia="Arial Unicode MS"/>
        </w:rPr>
      </w:pPr>
    </w:p>
    <w:tbl>
      <w:tblPr>
        <w:tblW w:w="8647"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268"/>
        <w:gridCol w:w="1275"/>
        <w:gridCol w:w="1276"/>
        <w:gridCol w:w="1276"/>
        <w:gridCol w:w="1276"/>
        <w:gridCol w:w="1276"/>
      </w:tblGrid>
      <w:tr w:rsidR="009F6351" w:rsidRPr="009F6351" w14:paraId="47AF2AA2" w14:textId="77777777" w:rsidTr="00901AC1">
        <w:trPr>
          <w:trHeight w:val="659"/>
        </w:trPr>
        <w:tc>
          <w:tcPr>
            <w:tcW w:w="2268" w:type="dxa"/>
            <w:tcBorders>
              <w:top w:val="nil"/>
              <w:bottom w:val="nil"/>
            </w:tcBorders>
            <w:shd w:val="clear" w:color="auto" w:fill="D9D9D9" w:themeFill="background1" w:themeFillShade="D9"/>
          </w:tcPr>
          <w:p w14:paraId="07FE97A1" w14:textId="77777777" w:rsidR="009F6351" w:rsidRPr="009F6351" w:rsidRDefault="009F6351" w:rsidP="00901AC1">
            <w:pPr>
              <w:pStyle w:val="TableText"/>
              <w:rPr>
                <w:b/>
                <w:bCs/>
              </w:rPr>
            </w:pPr>
            <w:r w:rsidRPr="009F6351">
              <w:rPr>
                <w:b/>
                <w:bCs/>
              </w:rPr>
              <w:t>DHB of</w:t>
            </w:r>
            <w:r w:rsidRPr="009F6351">
              <w:rPr>
                <w:b/>
                <w:bCs/>
                <w:spacing w:val="1"/>
              </w:rPr>
              <w:t xml:space="preserve"> </w:t>
            </w:r>
            <w:r w:rsidRPr="009F6351">
              <w:rPr>
                <w:b/>
                <w:bCs/>
                <w:w w:val="105"/>
              </w:rPr>
              <w:t>residence</w:t>
            </w:r>
          </w:p>
        </w:tc>
        <w:tc>
          <w:tcPr>
            <w:tcW w:w="1275" w:type="dxa"/>
            <w:tcBorders>
              <w:top w:val="nil"/>
              <w:bottom w:val="nil"/>
            </w:tcBorders>
            <w:shd w:val="clear" w:color="auto" w:fill="D9D9D9" w:themeFill="background1" w:themeFillShade="D9"/>
          </w:tcPr>
          <w:p w14:paraId="4D0BB7CE" w14:textId="77777777" w:rsidR="009F6351" w:rsidRPr="009F6351" w:rsidRDefault="009F6351" w:rsidP="00901AC1">
            <w:pPr>
              <w:pStyle w:val="TableText"/>
              <w:jc w:val="right"/>
              <w:rPr>
                <w:b/>
                <w:bCs/>
              </w:rPr>
            </w:pPr>
            <w:r w:rsidRPr="009F6351">
              <w:rPr>
                <w:b/>
                <w:bCs/>
                <w:w w:val="105"/>
              </w:rPr>
              <w:t>No</w:t>
            </w:r>
            <w:r w:rsidRPr="009F6351">
              <w:rPr>
                <w:b/>
                <w:bCs/>
                <w:spacing w:val="-15"/>
                <w:w w:val="105"/>
              </w:rPr>
              <w:t xml:space="preserve"> </w:t>
            </w:r>
            <w:r w:rsidRPr="009F6351">
              <w:rPr>
                <w:b/>
                <w:bCs/>
                <w:w w:val="105"/>
              </w:rPr>
              <w:t>doses</w:t>
            </w:r>
          </w:p>
        </w:tc>
        <w:tc>
          <w:tcPr>
            <w:tcW w:w="1276" w:type="dxa"/>
            <w:tcBorders>
              <w:top w:val="nil"/>
              <w:bottom w:val="nil"/>
            </w:tcBorders>
            <w:shd w:val="clear" w:color="auto" w:fill="D9D9D9" w:themeFill="background1" w:themeFillShade="D9"/>
          </w:tcPr>
          <w:p w14:paraId="55973C24" w14:textId="77777777" w:rsidR="009F6351" w:rsidRPr="009F6351" w:rsidRDefault="009F6351" w:rsidP="00901AC1">
            <w:pPr>
              <w:pStyle w:val="TableText"/>
              <w:jc w:val="right"/>
              <w:rPr>
                <w:rFonts w:ascii="Lucida Sans Unicode"/>
                <w:b/>
                <w:bCs/>
                <w:sz w:val="10"/>
              </w:rPr>
            </w:pPr>
            <w:r w:rsidRPr="009F6351">
              <w:rPr>
                <w:b/>
                <w:bCs/>
                <w:w w:val="110"/>
              </w:rPr>
              <w:t>Primary</w:t>
            </w:r>
            <w:r w:rsidRPr="009F6351">
              <w:rPr>
                <w:b/>
                <w:bCs/>
                <w:spacing w:val="-53"/>
                <w:w w:val="110"/>
              </w:rPr>
              <w:t xml:space="preserve"> </w:t>
            </w:r>
            <w:r w:rsidRPr="009F6351">
              <w:rPr>
                <w:b/>
                <w:bCs/>
                <w:spacing w:val="-1"/>
                <w:w w:val="105"/>
              </w:rPr>
              <w:t>course</w:t>
            </w:r>
            <w:r w:rsidRPr="009F6351">
              <w:rPr>
                <w:b/>
                <w:bCs/>
                <w:spacing w:val="-15"/>
                <w:w w:val="105"/>
              </w:rPr>
              <w:t xml:space="preserve"> </w:t>
            </w:r>
            <w:r>
              <w:rPr>
                <w:rStyle w:val="FootnoteReference"/>
                <w:b/>
                <w:bCs/>
                <w:spacing w:val="-15"/>
                <w:w w:val="105"/>
              </w:rPr>
              <w:footnoteReference w:id="43"/>
            </w:r>
          </w:p>
        </w:tc>
        <w:tc>
          <w:tcPr>
            <w:tcW w:w="1276" w:type="dxa"/>
            <w:tcBorders>
              <w:top w:val="nil"/>
              <w:bottom w:val="nil"/>
            </w:tcBorders>
            <w:shd w:val="clear" w:color="auto" w:fill="D9D9D9" w:themeFill="background1" w:themeFillShade="D9"/>
          </w:tcPr>
          <w:p w14:paraId="25EB16E8" w14:textId="77777777" w:rsidR="009F6351" w:rsidRPr="009F6351" w:rsidRDefault="009F6351" w:rsidP="00901AC1">
            <w:pPr>
              <w:pStyle w:val="TableText"/>
              <w:jc w:val="right"/>
              <w:rPr>
                <w:rFonts w:ascii="Lucida Sans Unicode"/>
                <w:b/>
                <w:bCs/>
                <w:sz w:val="10"/>
              </w:rPr>
            </w:pPr>
            <w:r w:rsidRPr="009F6351">
              <w:rPr>
                <w:b/>
                <w:bCs/>
                <w:w w:val="105"/>
              </w:rPr>
              <w:t>Boosted</w:t>
            </w:r>
            <w:r w:rsidRPr="009F6351">
              <w:rPr>
                <w:b/>
                <w:bCs/>
                <w:spacing w:val="-14"/>
                <w:w w:val="105"/>
              </w:rPr>
              <w:t xml:space="preserve"> </w:t>
            </w:r>
            <w:r>
              <w:rPr>
                <w:rStyle w:val="FootnoteReference"/>
                <w:b/>
                <w:bCs/>
                <w:spacing w:val="-14"/>
                <w:w w:val="105"/>
              </w:rPr>
              <w:footnoteReference w:id="44"/>
            </w:r>
          </w:p>
        </w:tc>
        <w:tc>
          <w:tcPr>
            <w:tcW w:w="1276" w:type="dxa"/>
            <w:tcBorders>
              <w:top w:val="nil"/>
              <w:bottom w:val="nil"/>
            </w:tcBorders>
            <w:shd w:val="clear" w:color="auto" w:fill="D9D9D9" w:themeFill="background1" w:themeFillShade="D9"/>
          </w:tcPr>
          <w:p w14:paraId="46DA965A" w14:textId="77777777" w:rsidR="009F6351" w:rsidRPr="009F6351" w:rsidRDefault="009F6351" w:rsidP="00901AC1">
            <w:pPr>
              <w:pStyle w:val="TableText"/>
              <w:jc w:val="right"/>
              <w:rPr>
                <w:b/>
                <w:bCs/>
              </w:rPr>
            </w:pPr>
            <w:r w:rsidRPr="009F6351">
              <w:rPr>
                <w:b/>
                <w:bCs/>
                <w:w w:val="110"/>
              </w:rPr>
              <w:t>Partial</w:t>
            </w:r>
            <w:r w:rsidRPr="009F6351">
              <w:rPr>
                <w:b/>
                <w:bCs/>
                <w:spacing w:val="-53"/>
                <w:w w:val="110"/>
              </w:rPr>
              <w:t xml:space="preserve"> </w:t>
            </w:r>
            <w:r w:rsidRPr="009F6351">
              <w:rPr>
                <w:b/>
                <w:bCs/>
                <w:spacing w:val="-53"/>
                <w:w w:val="110"/>
              </w:rPr>
              <w:br/>
            </w:r>
            <w:r w:rsidRPr="009F6351">
              <w:rPr>
                <w:b/>
                <w:bCs/>
                <w:spacing w:val="-1"/>
                <w:w w:val="110"/>
              </w:rPr>
              <w:t>(single</w:t>
            </w:r>
            <w:r w:rsidRPr="009F6351">
              <w:rPr>
                <w:b/>
                <w:bCs/>
                <w:spacing w:val="-14"/>
                <w:w w:val="110"/>
              </w:rPr>
              <w:t xml:space="preserve"> </w:t>
            </w:r>
            <w:r w:rsidRPr="009F6351">
              <w:rPr>
                <w:b/>
                <w:bCs/>
                <w:w w:val="110"/>
              </w:rPr>
              <w:t>dose)</w:t>
            </w:r>
          </w:p>
        </w:tc>
        <w:tc>
          <w:tcPr>
            <w:tcW w:w="1276" w:type="dxa"/>
            <w:tcBorders>
              <w:top w:val="nil"/>
              <w:bottom w:val="nil"/>
            </w:tcBorders>
            <w:shd w:val="clear" w:color="auto" w:fill="D9D9D9" w:themeFill="background1" w:themeFillShade="D9"/>
          </w:tcPr>
          <w:p w14:paraId="4AC6CCE4" w14:textId="77777777" w:rsidR="009F6351" w:rsidRPr="009F6351" w:rsidRDefault="009F6351" w:rsidP="00901AC1">
            <w:pPr>
              <w:pStyle w:val="TableText"/>
              <w:jc w:val="right"/>
              <w:rPr>
                <w:b/>
                <w:bCs/>
              </w:rPr>
            </w:pPr>
            <w:r w:rsidRPr="009F6351">
              <w:rPr>
                <w:b/>
                <w:bCs/>
                <w:w w:val="110"/>
              </w:rPr>
              <w:t>Total</w:t>
            </w:r>
          </w:p>
        </w:tc>
      </w:tr>
      <w:tr w:rsidR="009F6351" w14:paraId="7E0782B4" w14:textId="77777777" w:rsidTr="00901AC1">
        <w:trPr>
          <w:trHeight w:val="340"/>
        </w:trPr>
        <w:tc>
          <w:tcPr>
            <w:tcW w:w="2268" w:type="dxa"/>
            <w:tcBorders>
              <w:top w:val="nil"/>
            </w:tcBorders>
          </w:tcPr>
          <w:p w14:paraId="26036098" w14:textId="77777777" w:rsidR="009F6351" w:rsidRPr="009F6351" w:rsidRDefault="009F6351" w:rsidP="00AB0266">
            <w:pPr>
              <w:pStyle w:val="TableText"/>
              <w:spacing w:before="50" w:after="10"/>
            </w:pPr>
            <w:r w:rsidRPr="009F6351">
              <w:t>Auckland</w:t>
            </w:r>
          </w:p>
        </w:tc>
        <w:tc>
          <w:tcPr>
            <w:tcW w:w="1275" w:type="dxa"/>
            <w:tcBorders>
              <w:top w:val="nil"/>
            </w:tcBorders>
          </w:tcPr>
          <w:p w14:paraId="6A9D7597" w14:textId="77777777" w:rsidR="009F6351" w:rsidRPr="009F6351" w:rsidRDefault="009F6351" w:rsidP="00AB0266">
            <w:pPr>
              <w:pStyle w:val="TableText"/>
              <w:spacing w:before="50" w:after="10"/>
              <w:jc w:val="right"/>
            </w:pPr>
            <w:r w:rsidRPr="009F6351">
              <w:t>12</w:t>
            </w:r>
          </w:p>
        </w:tc>
        <w:tc>
          <w:tcPr>
            <w:tcW w:w="1276" w:type="dxa"/>
            <w:tcBorders>
              <w:top w:val="nil"/>
            </w:tcBorders>
          </w:tcPr>
          <w:p w14:paraId="35B521E9" w14:textId="77777777" w:rsidR="009F6351" w:rsidRPr="009F6351" w:rsidRDefault="009F6351" w:rsidP="00AB0266">
            <w:pPr>
              <w:pStyle w:val="TableText"/>
              <w:spacing w:before="50" w:after="10"/>
              <w:jc w:val="right"/>
            </w:pPr>
            <w:r w:rsidRPr="009F6351">
              <w:t>27</w:t>
            </w:r>
          </w:p>
        </w:tc>
        <w:tc>
          <w:tcPr>
            <w:tcW w:w="1276" w:type="dxa"/>
            <w:tcBorders>
              <w:top w:val="nil"/>
            </w:tcBorders>
          </w:tcPr>
          <w:p w14:paraId="00E2AB62" w14:textId="77777777" w:rsidR="009F6351" w:rsidRPr="009F6351" w:rsidRDefault="009F6351" w:rsidP="00AB0266">
            <w:pPr>
              <w:pStyle w:val="TableText"/>
              <w:spacing w:before="50" w:after="10"/>
              <w:jc w:val="right"/>
            </w:pPr>
            <w:r w:rsidRPr="009F6351">
              <w:t>45</w:t>
            </w:r>
          </w:p>
        </w:tc>
        <w:tc>
          <w:tcPr>
            <w:tcW w:w="1276" w:type="dxa"/>
            <w:tcBorders>
              <w:top w:val="nil"/>
            </w:tcBorders>
          </w:tcPr>
          <w:p w14:paraId="12D589DF" w14:textId="77777777" w:rsidR="009F6351" w:rsidRPr="009F6351" w:rsidRDefault="009F6351" w:rsidP="00AB0266">
            <w:pPr>
              <w:pStyle w:val="TableText"/>
              <w:spacing w:before="50" w:after="10"/>
              <w:jc w:val="right"/>
            </w:pPr>
            <w:r w:rsidRPr="009F6351">
              <w:t>2</w:t>
            </w:r>
          </w:p>
        </w:tc>
        <w:tc>
          <w:tcPr>
            <w:tcW w:w="1276" w:type="dxa"/>
            <w:tcBorders>
              <w:top w:val="nil"/>
            </w:tcBorders>
          </w:tcPr>
          <w:p w14:paraId="2516FD7E" w14:textId="77777777" w:rsidR="009F6351" w:rsidRPr="009F6351" w:rsidRDefault="009F6351" w:rsidP="00AB0266">
            <w:pPr>
              <w:pStyle w:val="TableText"/>
              <w:spacing w:before="50" w:after="10"/>
              <w:jc w:val="right"/>
            </w:pPr>
            <w:r w:rsidRPr="009F6351">
              <w:t>86</w:t>
            </w:r>
          </w:p>
        </w:tc>
      </w:tr>
      <w:tr w:rsidR="009F6351" w14:paraId="2F770A0F" w14:textId="77777777" w:rsidTr="00901AC1">
        <w:trPr>
          <w:trHeight w:val="340"/>
        </w:trPr>
        <w:tc>
          <w:tcPr>
            <w:tcW w:w="2268" w:type="dxa"/>
          </w:tcPr>
          <w:p w14:paraId="012E373B" w14:textId="77777777" w:rsidR="009F6351" w:rsidRPr="009F6351" w:rsidRDefault="009F6351" w:rsidP="00AB0266">
            <w:pPr>
              <w:pStyle w:val="TableText"/>
              <w:spacing w:before="50" w:after="10"/>
            </w:pPr>
            <w:r w:rsidRPr="009F6351">
              <w:t>Bay of Plenty</w:t>
            </w:r>
          </w:p>
        </w:tc>
        <w:tc>
          <w:tcPr>
            <w:tcW w:w="1275" w:type="dxa"/>
          </w:tcPr>
          <w:p w14:paraId="650989A7" w14:textId="77777777" w:rsidR="009F6351" w:rsidRPr="009F6351" w:rsidRDefault="009F6351" w:rsidP="00AB0266">
            <w:pPr>
              <w:pStyle w:val="TableText"/>
              <w:spacing w:before="50" w:after="10"/>
              <w:jc w:val="right"/>
            </w:pPr>
            <w:r w:rsidRPr="009F6351">
              <w:t>7</w:t>
            </w:r>
          </w:p>
        </w:tc>
        <w:tc>
          <w:tcPr>
            <w:tcW w:w="1276" w:type="dxa"/>
          </w:tcPr>
          <w:p w14:paraId="39F2C6DA" w14:textId="77777777" w:rsidR="009F6351" w:rsidRPr="009F6351" w:rsidRDefault="009F6351" w:rsidP="00AB0266">
            <w:pPr>
              <w:pStyle w:val="TableText"/>
              <w:spacing w:before="50" w:after="10"/>
              <w:jc w:val="right"/>
            </w:pPr>
            <w:r w:rsidRPr="009F6351">
              <w:t>13</w:t>
            </w:r>
          </w:p>
        </w:tc>
        <w:tc>
          <w:tcPr>
            <w:tcW w:w="1276" w:type="dxa"/>
          </w:tcPr>
          <w:p w14:paraId="31C36FD0" w14:textId="77777777" w:rsidR="009F6351" w:rsidRPr="009F6351" w:rsidRDefault="009F6351" w:rsidP="00AB0266">
            <w:pPr>
              <w:pStyle w:val="TableText"/>
              <w:spacing w:before="50" w:after="10"/>
              <w:jc w:val="right"/>
            </w:pPr>
            <w:r w:rsidRPr="009F6351">
              <w:t>32</w:t>
            </w:r>
          </w:p>
        </w:tc>
        <w:tc>
          <w:tcPr>
            <w:tcW w:w="1276" w:type="dxa"/>
          </w:tcPr>
          <w:p w14:paraId="31A55781" w14:textId="77777777" w:rsidR="009F6351" w:rsidRPr="009F6351" w:rsidRDefault="009F6351" w:rsidP="00AB0266">
            <w:pPr>
              <w:pStyle w:val="TableText"/>
              <w:spacing w:before="50" w:after="10"/>
              <w:jc w:val="right"/>
            </w:pPr>
            <w:r w:rsidRPr="009F6351">
              <w:t>1</w:t>
            </w:r>
          </w:p>
        </w:tc>
        <w:tc>
          <w:tcPr>
            <w:tcW w:w="1276" w:type="dxa"/>
          </w:tcPr>
          <w:p w14:paraId="2F1ABAA5" w14:textId="77777777" w:rsidR="009F6351" w:rsidRPr="009F6351" w:rsidRDefault="009F6351" w:rsidP="00AB0266">
            <w:pPr>
              <w:pStyle w:val="TableText"/>
              <w:spacing w:before="50" w:after="10"/>
              <w:jc w:val="right"/>
            </w:pPr>
            <w:r w:rsidRPr="009F6351">
              <w:t>53</w:t>
            </w:r>
          </w:p>
        </w:tc>
      </w:tr>
      <w:tr w:rsidR="009F6351" w14:paraId="72B71143" w14:textId="77777777" w:rsidTr="00901AC1">
        <w:trPr>
          <w:trHeight w:val="340"/>
        </w:trPr>
        <w:tc>
          <w:tcPr>
            <w:tcW w:w="2268" w:type="dxa"/>
          </w:tcPr>
          <w:p w14:paraId="04C9AB2F" w14:textId="77777777" w:rsidR="009F6351" w:rsidRPr="009F6351" w:rsidRDefault="009F6351" w:rsidP="00AB0266">
            <w:pPr>
              <w:pStyle w:val="TableText"/>
              <w:spacing w:before="50" w:after="10"/>
            </w:pPr>
            <w:r w:rsidRPr="009F6351">
              <w:t>Canterbury/ West Coast</w:t>
            </w:r>
          </w:p>
        </w:tc>
        <w:tc>
          <w:tcPr>
            <w:tcW w:w="1275" w:type="dxa"/>
          </w:tcPr>
          <w:p w14:paraId="47B8D35C" w14:textId="77777777" w:rsidR="009F6351" w:rsidRPr="009F6351" w:rsidRDefault="009F6351" w:rsidP="00AB0266">
            <w:pPr>
              <w:pStyle w:val="TableText"/>
              <w:spacing w:before="50" w:after="10"/>
              <w:jc w:val="right"/>
            </w:pPr>
            <w:r w:rsidRPr="009F6351">
              <w:t>29</w:t>
            </w:r>
          </w:p>
        </w:tc>
        <w:tc>
          <w:tcPr>
            <w:tcW w:w="1276" w:type="dxa"/>
          </w:tcPr>
          <w:p w14:paraId="18914D7C" w14:textId="77777777" w:rsidR="009F6351" w:rsidRPr="009F6351" w:rsidRDefault="009F6351" w:rsidP="00AB0266">
            <w:pPr>
              <w:pStyle w:val="TableText"/>
              <w:spacing w:before="50" w:after="10"/>
              <w:jc w:val="right"/>
            </w:pPr>
            <w:r w:rsidRPr="009F6351">
              <w:t>25</w:t>
            </w:r>
          </w:p>
        </w:tc>
        <w:tc>
          <w:tcPr>
            <w:tcW w:w="1276" w:type="dxa"/>
          </w:tcPr>
          <w:p w14:paraId="19565874" w14:textId="77777777" w:rsidR="009F6351" w:rsidRPr="009F6351" w:rsidRDefault="009F6351" w:rsidP="00AB0266">
            <w:pPr>
              <w:pStyle w:val="TableText"/>
              <w:spacing w:before="50" w:after="10"/>
              <w:jc w:val="right"/>
            </w:pPr>
            <w:r w:rsidRPr="009F6351">
              <w:t>125</w:t>
            </w:r>
          </w:p>
        </w:tc>
        <w:tc>
          <w:tcPr>
            <w:tcW w:w="1276" w:type="dxa"/>
          </w:tcPr>
          <w:p w14:paraId="208C1BC8" w14:textId="77777777" w:rsidR="009F6351" w:rsidRPr="009F6351" w:rsidRDefault="009F6351" w:rsidP="00AB0266">
            <w:pPr>
              <w:pStyle w:val="TableText"/>
              <w:spacing w:before="50" w:after="10"/>
              <w:jc w:val="right"/>
            </w:pPr>
            <w:r w:rsidRPr="009F6351">
              <w:t>4</w:t>
            </w:r>
          </w:p>
        </w:tc>
        <w:tc>
          <w:tcPr>
            <w:tcW w:w="1276" w:type="dxa"/>
          </w:tcPr>
          <w:p w14:paraId="3A127FA1" w14:textId="77777777" w:rsidR="009F6351" w:rsidRPr="009F6351" w:rsidRDefault="009F6351" w:rsidP="00AB0266">
            <w:pPr>
              <w:pStyle w:val="TableText"/>
              <w:spacing w:before="50" w:after="10"/>
              <w:jc w:val="right"/>
            </w:pPr>
            <w:r w:rsidRPr="009F6351">
              <w:t>183</w:t>
            </w:r>
          </w:p>
        </w:tc>
      </w:tr>
      <w:tr w:rsidR="009F6351" w14:paraId="7D30BAD2" w14:textId="77777777" w:rsidTr="00901AC1">
        <w:trPr>
          <w:trHeight w:val="340"/>
        </w:trPr>
        <w:tc>
          <w:tcPr>
            <w:tcW w:w="2268" w:type="dxa"/>
          </w:tcPr>
          <w:p w14:paraId="741E2602" w14:textId="77777777" w:rsidR="009F6351" w:rsidRPr="009F6351" w:rsidRDefault="009F6351" w:rsidP="00AB0266">
            <w:pPr>
              <w:pStyle w:val="TableText"/>
              <w:spacing w:before="50" w:after="10"/>
            </w:pPr>
            <w:r w:rsidRPr="009F6351">
              <w:t>Capital &amp; Coast/Hutt</w:t>
            </w:r>
          </w:p>
        </w:tc>
        <w:tc>
          <w:tcPr>
            <w:tcW w:w="1275" w:type="dxa"/>
          </w:tcPr>
          <w:p w14:paraId="43A4FF81" w14:textId="77777777" w:rsidR="009F6351" w:rsidRPr="009F6351" w:rsidRDefault="009F6351" w:rsidP="00AB0266">
            <w:pPr>
              <w:pStyle w:val="TableText"/>
              <w:spacing w:before="50" w:after="10"/>
              <w:jc w:val="right"/>
            </w:pPr>
            <w:r w:rsidRPr="009F6351">
              <w:t>13</w:t>
            </w:r>
          </w:p>
        </w:tc>
        <w:tc>
          <w:tcPr>
            <w:tcW w:w="1276" w:type="dxa"/>
          </w:tcPr>
          <w:p w14:paraId="2BEADD8B" w14:textId="77777777" w:rsidR="009F6351" w:rsidRPr="009F6351" w:rsidRDefault="009F6351" w:rsidP="00AB0266">
            <w:pPr>
              <w:pStyle w:val="TableText"/>
              <w:spacing w:before="50" w:after="10"/>
              <w:jc w:val="right"/>
            </w:pPr>
            <w:r w:rsidRPr="009F6351">
              <w:t>19</w:t>
            </w:r>
          </w:p>
        </w:tc>
        <w:tc>
          <w:tcPr>
            <w:tcW w:w="1276" w:type="dxa"/>
          </w:tcPr>
          <w:p w14:paraId="6C41E3A0" w14:textId="77777777" w:rsidR="009F6351" w:rsidRPr="009F6351" w:rsidRDefault="009F6351" w:rsidP="00AB0266">
            <w:pPr>
              <w:pStyle w:val="TableText"/>
              <w:spacing w:before="50" w:after="10"/>
              <w:jc w:val="right"/>
            </w:pPr>
            <w:r w:rsidRPr="009F6351">
              <w:t>70</w:t>
            </w:r>
          </w:p>
        </w:tc>
        <w:tc>
          <w:tcPr>
            <w:tcW w:w="1276" w:type="dxa"/>
          </w:tcPr>
          <w:p w14:paraId="36C671ED" w14:textId="77777777" w:rsidR="009F6351" w:rsidRPr="009F6351" w:rsidRDefault="009F6351" w:rsidP="00AB0266">
            <w:pPr>
              <w:pStyle w:val="TableText"/>
              <w:spacing w:before="50" w:after="10"/>
              <w:jc w:val="right"/>
            </w:pPr>
            <w:r w:rsidRPr="009F6351">
              <w:t>2</w:t>
            </w:r>
          </w:p>
        </w:tc>
        <w:tc>
          <w:tcPr>
            <w:tcW w:w="1276" w:type="dxa"/>
          </w:tcPr>
          <w:p w14:paraId="760D743A" w14:textId="77777777" w:rsidR="009F6351" w:rsidRPr="009F6351" w:rsidRDefault="009F6351" w:rsidP="00AB0266">
            <w:pPr>
              <w:pStyle w:val="TableText"/>
              <w:spacing w:before="50" w:after="10"/>
              <w:jc w:val="right"/>
            </w:pPr>
            <w:r w:rsidRPr="009F6351">
              <w:t>104</w:t>
            </w:r>
          </w:p>
        </w:tc>
      </w:tr>
      <w:tr w:rsidR="009F6351" w14:paraId="47B49782" w14:textId="77777777" w:rsidTr="00901AC1">
        <w:trPr>
          <w:trHeight w:val="340"/>
        </w:trPr>
        <w:tc>
          <w:tcPr>
            <w:tcW w:w="2268" w:type="dxa"/>
          </w:tcPr>
          <w:p w14:paraId="517BFDE7" w14:textId="77777777" w:rsidR="009F6351" w:rsidRPr="009F6351" w:rsidRDefault="009F6351" w:rsidP="00AB0266">
            <w:pPr>
              <w:pStyle w:val="TableText"/>
              <w:spacing w:before="50" w:after="10"/>
            </w:pPr>
            <w:r w:rsidRPr="009F6351">
              <w:t>Counties Manukau</w:t>
            </w:r>
          </w:p>
        </w:tc>
        <w:tc>
          <w:tcPr>
            <w:tcW w:w="1275" w:type="dxa"/>
          </w:tcPr>
          <w:p w14:paraId="1CC86B40" w14:textId="77777777" w:rsidR="009F6351" w:rsidRPr="009F6351" w:rsidRDefault="009F6351" w:rsidP="00AB0266">
            <w:pPr>
              <w:pStyle w:val="TableText"/>
              <w:spacing w:before="50" w:after="10"/>
              <w:jc w:val="right"/>
            </w:pPr>
            <w:r w:rsidRPr="009F6351">
              <w:t>27</w:t>
            </w:r>
          </w:p>
        </w:tc>
        <w:tc>
          <w:tcPr>
            <w:tcW w:w="1276" w:type="dxa"/>
          </w:tcPr>
          <w:p w14:paraId="4FC7320B" w14:textId="77777777" w:rsidR="009F6351" w:rsidRPr="009F6351" w:rsidRDefault="009F6351" w:rsidP="00AB0266">
            <w:pPr>
              <w:pStyle w:val="TableText"/>
              <w:spacing w:before="50" w:after="10"/>
              <w:jc w:val="right"/>
            </w:pPr>
            <w:r w:rsidRPr="009F6351">
              <w:t>33</w:t>
            </w:r>
          </w:p>
        </w:tc>
        <w:tc>
          <w:tcPr>
            <w:tcW w:w="1276" w:type="dxa"/>
          </w:tcPr>
          <w:p w14:paraId="27D7A7E4" w14:textId="77777777" w:rsidR="009F6351" w:rsidRPr="009F6351" w:rsidRDefault="009F6351" w:rsidP="00AB0266">
            <w:pPr>
              <w:pStyle w:val="TableText"/>
              <w:spacing w:before="50" w:after="10"/>
              <w:jc w:val="right"/>
            </w:pPr>
            <w:r w:rsidRPr="009F6351">
              <w:t>44</w:t>
            </w:r>
          </w:p>
        </w:tc>
        <w:tc>
          <w:tcPr>
            <w:tcW w:w="1276" w:type="dxa"/>
          </w:tcPr>
          <w:p w14:paraId="17508BC8" w14:textId="77777777" w:rsidR="009F6351" w:rsidRPr="009F6351" w:rsidRDefault="009F6351" w:rsidP="00AB0266">
            <w:pPr>
              <w:pStyle w:val="TableText"/>
              <w:spacing w:before="50" w:after="10"/>
              <w:jc w:val="right"/>
            </w:pPr>
            <w:r w:rsidRPr="009F6351">
              <w:t>6</w:t>
            </w:r>
          </w:p>
        </w:tc>
        <w:tc>
          <w:tcPr>
            <w:tcW w:w="1276" w:type="dxa"/>
          </w:tcPr>
          <w:p w14:paraId="080F22BE" w14:textId="77777777" w:rsidR="009F6351" w:rsidRPr="009F6351" w:rsidRDefault="009F6351" w:rsidP="00AB0266">
            <w:pPr>
              <w:pStyle w:val="TableText"/>
              <w:spacing w:before="50" w:after="10"/>
              <w:jc w:val="right"/>
            </w:pPr>
            <w:r w:rsidRPr="009F6351">
              <w:t>110</w:t>
            </w:r>
          </w:p>
        </w:tc>
      </w:tr>
      <w:tr w:rsidR="009F6351" w14:paraId="40270B73" w14:textId="77777777" w:rsidTr="00901AC1">
        <w:trPr>
          <w:trHeight w:val="340"/>
        </w:trPr>
        <w:tc>
          <w:tcPr>
            <w:tcW w:w="2268" w:type="dxa"/>
          </w:tcPr>
          <w:p w14:paraId="762530D0" w14:textId="77777777" w:rsidR="009F6351" w:rsidRPr="009F6351" w:rsidRDefault="009F6351" w:rsidP="00AB0266">
            <w:pPr>
              <w:pStyle w:val="TableText"/>
              <w:spacing w:before="50" w:after="10"/>
            </w:pPr>
            <w:r w:rsidRPr="009F6351">
              <w:t>Hawke’s Bay</w:t>
            </w:r>
          </w:p>
        </w:tc>
        <w:tc>
          <w:tcPr>
            <w:tcW w:w="1275" w:type="dxa"/>
          </w:tcPr>
          <w:p w14:paraId="0BCE8C8F" w14:textId="77777777" w:rsidR="009F6351" w:rsidRPr="009F6351" w:rsidRDefault="009F6351" w:rsidP="00AB0266">
            <w:pPr>
              <w:pStyle w:val="TableText"/>
              <w:spacing w:before="50" w:after="10"/>
              <w:jc w:val="right"/>
            </w:pPr>
            <w:r w:rsidRPr="009F6351">
              <w:t>3</w:t>
            </w:r>
          </w:p>
        </w:tc>
        <w:tc>
          <w:tcPr>
            <w:tcW w:w="1276" w:type="dxa"/>
          </w:tcPr>
          <w:p w14:paraId="0DF2FA22" w14:textId="77777777" w:rsidR="009F6351" w:rsidRPr="009F6351" w:rsidRDefault="009F6351" w:rsidP="00AB0266">
            <w:pPr>
              <w:pStyle w:val="TableText"/>
              <w:spacing w:before="50" w:after="10"/>
              <w:jc w:val="right"/>
            </w:pPr>
            <w:r w:rsidRPr="009F6351">
              <w:t>9</w:t>
            </w:r>
          </w:p>
        </w:tc>
        <w:tc>
          <w:tcPr>
            <w:tcW w:w="1276" w:type="dxa"/>
          </w:tcPr>
          <w:p w14:paraId="3D7295F6" w14:textId="77777777" w:rsidR="009F6351" w:rsidRPr="009F6351" w:rsidRDefault="009F6351" w:rsidP="00AB0266">
            <w:pPr>
              <w:pStyle w:val="TableText"/>
              <w:spacing w:before="50" w:after="10"/>
              <w:jc w:val="right"/>
            </w:pPr>
            <w:r w:rsidRPr="009F6351">
              <w:t>15</w:t>
            </w:r>
          </w:p>
        </w:tc>
        <w:tc>
          <w:tcPr>
            <w:tcW w:w="1276" w:type="dxa"/>
          </w:tcPr>
          <w:p w14:paraId="6FEFCD44" w14:textId="77777777" w:rsidR="009F6351" w:rsidRPr="009F6351" w:rsidRDefault="009F6351" w:rsidP="00AB0266">
            <w:pPr>
              <w:pStyle w:val="TableText"/>
              <w:spacing w:before="50" w:after="10"/>
              <w:jc w:val="right"/>
            </w:pPr>
            <w:r w:rsidRPr="009F6351">
              <w:t>1</w:t>
            </w:r>
          </w:p>
        </w:tc>
        <w:tc>
          <w:tcPr>
            <w:tcW w:w="1276" w:type="dxa"/>
          </w:tcPr>
          <w:p w14:paraId="5DA28DCE" w14:textId="77777777" w:rsidR="009F6351" w:rsidRPr="009F6351" w:rsidRDefault="009F6351" w:rsidP="00AB0266">
            <w:pPr>
              <w:pStyle w:val="TableText"/>
              <w:spacing w:before="50" w:after="10"/>
              <w:jc w:val="right"/>
            </w:pPr>
            <w:r w:rsidRPr="009F6351">
              <w:t>28</w:t>
            </w:r>
          </w:p>
        </w:tc>
      </w:tr>
      <w:tr w:rsidR="009F6351" w14:paraId="0A46C126" w14:textId="77777777" w:rsidTr="00901AC1">
        <w:trPr>
          <w:trHeight w:val="340"/>
        </w:trPr>
        <w:tc>
          <w:tcPr>
            <w:tcW w:w="2268" w:type="dxa"/>
          </w:tcPr>
          <w:p w14:paraId="34EF1F08" w14:textId="77777777" w:rsidR="009F6351" w:rsidRPr="009F6351" w:rsidRDefault="009F6351" w:rsidP="00AB0266">
            <w:pPr>
              <w:pStyle w:val="TableText"/>
              <w:spacing w:before="50" w:after="10"/>
            </w:pPr>
            <w:r w:rsidRPr="009F6351">
              <w:t>Lakes</w:t>
            </w:r>
          </w:p>
        </w:tc>
        <w:tc>
          <w:tcPr>
            <w:tcW w:w="1275" w:type="dxa"/>
          </w:tcPr>
          <w:p w14:paraId="54865118" w14:textId="77777777" w:rsidR="009F6351" w:rsidRPr="009F6351" w:rsidRDefault="009F6351" w:rsidP="00AB0266">
            <w:pPr>
              <w:pStyle w:val="TableText"/>
              <w:spacing w:before="50" w:after="10"/>
              <w:jc w:val="right"/>
            </w:pPr>
            <w:r w:rsidRPr="009F6351">
              <w:t>4</w:t>
            </w:r>
          </w:p>
        </w:tc>
        <w:tc>
          <w:tcPr>
            <w:tcW w:w="1276" w:type="dxa"/>
          </w:tcPr>
          <w:p w14:paraId="3FE1E1BB" w14:textId="77777777" w:rsidR="009F6351" w:rsidRPr="009F6351" w:rsidRDefault="009F6351" w:rsidP="00AB0266">
            <w:pPr>
              <w:pStyle w:val="TableText"/>
              <w:spacing w:before="50" w:after="10"/>
              <w:jc w:val="right"/>
            </w:pPr>
            <w:r w:rsidRPr="009F6351">
              <w:t>4</w:t>
            </w:r>
          </w:p>
        </w:tc>
        <w:tc>
          <w:tcPr>
            <w:tcW w:w="1276" w:type="dxa"/>
          </w:tcPr>
          <w:p w14:paraId="579D9EDF" w14:textId="77777777" w:rsidR="009F6351" w:rsidRPr="009F6351" w:rsidRDefault="009F6351" w:rsidP="00AB0266">
            <w:pPr>
              <w:pStyle w:val="TableText"/>
              <w:spacing w:before="50" w:after="10"/>
              <w:jc w:val="right"/>
            </w:pPr>
            <w:r w:rsidRPr="009F6351">
              <w:t>14</w:t>
            </w:r>
          </w:p>
        </w:tc>
        <w:tc>
          <w:tcPr>
            <w:tcW w:w="1276" w:type="dxa"/>
          </w:tcPr>
          <w:p w14:paraId="54E4A5FB" w14:textId="77777777" w:rsidR="009F6351" w:rsidRPr="009F6351" w:rsidRDefault="009F6351" w:rsidP="00AB0266">
            <w:pPr>
              <w:pStyle w:val="TableText"/>
              <w:spacing w:before="50" w:after="10"/>
              <w:jc w:val="right"/>
            </w:pPr>
            <w:r w:rsidRPr="009F6351">
              <w:t>3</w:t>
            </w:r>
          </w:p>
        </w:tc>
        <w:tc>
          <w:tcPr>
            <w:tcW w:w="1276" w:type="dxa"/>
          </w:tcPr>
          <w:p w14:paraId="62C06746" w14:textId="77777777" w:rsidR="009F6351" w:rsidRPr="009F6351" w:rsidRDefault="009F6351" w:rsidP="00AB0266">
            <w:pPr>
              <w:pStyle w:val="TableText"/>
              <w:spacing w:before="50" w:after="10"/>
              <w:jc w:val="right"/>
            </w:pPr>
            <w:r w:rsidRPr="009F6351">
              <w:t>25</w:t>
            </w:r>
          </w:p>
        </w:tc>
      </w:tr>
      <w:tr w:rsidR="009F6351" w14:paraId="42DBE02F" w14:textId="77777777" w:rsidTr="00901AC1">
        <w:trPr>
          <w:trHeight w:val="340"/>
        </w:trPr>
        <w:tc>
          <w:tcPr>
            <w:tcW w:w="2268" w:type="dxa"/>
          </w:tcPr>
          <w:p w14:paraId="576C84AD" w14:textId="77777777" w:rsidR="009F6351" w:rsidRPr="009F6351" w:rsidRDefault="009F6351" w:rsidP="00AB0266">
            <w:pPr>
              <w:pStyle w:val="TableText"/>
              <w:spacing w:before="50" w:after="10"/>
            </w:pPr>
            <w:r w:rsidRPr="009F6351">
              <w:t>Mid Central</w:t>
            </w:r>
          </w:p>
        </w:tc>
        <w:tc>
          <w:tcPr>
            <w:tcW w:w="1275" w:type="dxa"/>
          </w:tcPr>
          <w:p w14:paraId="792AD1B0" w14:textId="77777777" w:rsidR="009F6351" w:rsidRPr="009F6351" w:rsidRDefault="009F6351" w:rsidP="00AB0266">
            <w:pPr>
              <w:pStyle w:val="TableText"/>
              <w:spacing w:before="50" w:after="10"/>
              <w:jc w:val="right"/>
            </w:pPr>
            <w:r w:rsidRPr="009F6351">
              <w:t>7</w:t>
            </w:r>
          </w:p>
        </w:tc>
        <w:tc>
          <w:tcPr>
            <w:tcW w:w="1276" w:type="dxa"/>
          </w:tcPr>
          <w:p w14:paraId="7ABB3BE7" w14:textId="77777777" w:rsidR="009F6351" w:rsidRPr="009F6351" w:rsidRDefault="009F6351" w:rsidP="00AB0266">
            <w:pPr>
              <w:pStyle w:val="TableText"/>
              <w:spacing w:before="50" w:after="10"/>
              <w:jc w:val="right"/>
            </w:pPr>
            <w:r w:rsidRPr="009F6351">
              <w:t>11</w:t>
            </w:r>
          </w:p>
        </w:tc>
        <w:tc>
          <w:tcPr>
            <w:tcW w:w="1276" w:type="dxa"/>
          </w:tcPr>
          <w:p w14:paraId="7BF60D91" w14:textId="77777777" w:rsidR="009F6351" w:rsidRPr="009F6351" w:rsidRDefault="009F6351" w:rsidP="00AB0266">
            <w:pPr>
              <w:pStyle w:val="TableText"/>
              <w:spacing w:before="50" w:after="10"/>
              <w:jc w:val="right"/>
            </w:pPr>
            <w:r w:rsidRPr="009F6351">
              <w:t>22</w:t>
            </w:r>
          </w:p>
        </w:tc>
        <w:tc>
          <w:tcPr>
            <w:tcW w:w="1276" w:type="dxa"/>
          </w:tcPr>
          <w:p w14:paraId="29736F3C" w14:textId="77777777" w:rsidR="009F6351" w:rsidRPr="009F6351" w:rsidRDefault="009F6351" w:rsidP="00AB0266">
            <w:pPr>
              <w:pStyle w:val="TableText"/>
              <w:spacing w:before="50" w:after="10"/>
              <w:jc w:val="right"/>
            </w:pPr>
            <w:r w:rsidRPr="009F6351">
              <w:t>0</w:t>
            </w:r>
          </w:p>
        </w:tc>
        <w:tc>
          <w:tcPr>
            <w:tcW w:w="1276" w:type="dxa"/>
          </w:tcPr>
          <w:p w14:paraId="4C7F1881" w14:textId="77777777" w:rsidR="009F6351" w:rsidRPr="009F6351" w:rsidRDefault="009F6351" w:rsidP="00AB0266">
            <w:pPr>
              <w:pStyle w:val="TableText"/>
              <w:spacing w:before="50" w:after="10"/>
              <w:jc w:val="right"/>
            </w:pPr>
            <w:r w:rsidRPr="009F6351">
              <w:t>40</w:t>
            </w:r>
          </w:p>
        </w:tc>
      </w:tr>
      <w:tr w:rsidR="009F6351" w14:paraId="5DDAC1BB" w14:textId="77777777" w:rsidTr="00901AC1">
        <w:trPr>
          <w:trHeight w:val="340"/>
        </w:trPr>
        <w:tc>
          <w:tcPr>
            <w:tcW w:w="2268" w:type="dxa"/>
          </w:tcPr>
          <w:p w14:paraId="08344451" w14:textId="77777777" w:rsidR="009F6351" w:rsidRPr="009F6351" w:rsidRDefault="009F6351" w:rsidP="00AB0266">
            <w:pPr>
              <w:pStyle w:val="TableText"/>
              <w:spacing w:before="50" w:after="10"/>
            </w:pPr>
            <w:r w:rsidRPr="009F6351">
              <w:t>Nelson Marlborough</w:t>
            </w:r>
          </w:p>
        </w:tc>
        <w:tc>
          <w:tcPr>
            <w:tcW w:w="1275" w:type="dxa"/>
          </w:tcPr>
          <w:p w14:paraId="582D97B7" w14:textId="77777777" w:rsidR="009F6351" w:rsidRPr="009F6351" w:rsidRDefault="009F6351" w:rsidP="00AB0266">
            <w:pPr>
              <w:pStyle w:val="TableText"/>
              <w:spacing w:before="50" w:after="10"/>
              <w:jc w:val="right"/>
            </w:pPr>
            <w:r w:rsidRPr="009F6351">
              <w:t>5</w:t>
            </w:r>
          </w:p>
        </w:tc>
        <w:tc>
          <w:tcPr>
            <w:tcW w:w="1276" w:type="dxa"/>
          </w:tcPr>
          <w:p w14:paraId="68221B79" w14:textId="77777777" w:rsidR="009F6351" w:rsidRPr="009F6351" w:rsidRDefault="009F6351" w:rsidP="00AB0266">
            <w:pPr>
              <w:pStyle w:val="TableText"/>
              <w:spacing w:before="50" w:after="10"/>
              <w:jc w:val="right"/>
            </w:pPr>
            <w:r w:rsidRPr="009F6351">
              <w:t>8</w:t>
            </w:r>
          </w:p>
        </w:tc>
        <w:tc>
          <w:tcPr>
            <w:tcW w:w="1276" w:type="dxa"/>
          </w:tcPr>
          <w:p w14:paraId="7F84E28B" w14:textId="77777777" w:rsidR="009F6351" w:rsidRPr="009F6351" w:rsidRDefault="009F6351" w:rsidP="00AB0266">
            <w:pPr>
              <w:pStyle w:val="TableText"/>
              <w:spacing w:before="50" w:after="10"/>
              <w:jc w:val="right"/>
            </w:pPr>
            <w:r w:rsidRPr="009F6351">
              <w:t>13</w:t>
            </w:r>
          </w:p>
        </w:tc>
        <w:tc>
          <w:tcPr>
            <w:tcW w:w="1276" w:type="dxa"/>
          </w:tcPr>
          <w:p w14:paraId="27F3FCC9" w14:textId="77777777" w:rsidR="009F6351" w:rsidRPr="009F6351" w:rsidRDefault="009F6351" w:rsidP="00AB0266">
            <w:pPr>
              <w:pStyle w:val="TableText"/>
              <w:spacing w:before="50" w:after="10"/>
              <w:jc w:val="right"/>
            </w:pPr>
            <w:r w:rsidRPr="009F6351">
              <w:t>0</w:t>
            </w:r>
          </w:p>
        </w:tc>
        <w:tc>
          <w:tcPr>
            <w:tcW w:w="1276" w:type="dxa"/>
          </w:tcPr>
          <w:p w14:paraId="56358276" w14:textId="77777777" w:rsidR="009F6351" w:rsidRPr="009F6351" w:rsidRDefault="009F6351" w:rsidP="00AB0266">
            <w:pPr>
              <w:pStyle w:val="TableText"/>
              <w:spacing w:before="50" w:after="10"/>
              <w:jc w:val="right"/>
            </w:pPr>
            <w:r w:rsidRPr="009F6351">
              <w:t>26</w:t>
            </w:r>
          </w:p>
        </w:tc>
      </w:tr>
      <w:tr w:rsidR="009F6351" w14:paraId="16AC3942" w14:textId="77777777" w:rsidTr="00901AC1">
        <w:trPr>
          <w:trHeight w:val="340"/>
        </w:trPr>
        <w:tc>
          <w:tcPr>
            <w:tcW w:w="2268" w:type="dxa"/>
          </w:tcPr>
          <w:p w14:paraId="2C470D1C" w14:textId="77777777" w:rsidR="009F6351" w:rsidRPr="009F6351" w:rsidRDefault="009F6351" w:rsidP="00AB0266">
            <w:pPr>
              <w:pStyle w:val="TableText"/>
              <w:spacing w:before="50" w:after="10"/>
            </w:pPr>
            <w:r w:rsidRPr="009F6351">
              <w:t>Northland</w:t>
            </w:r>
          </w:p>
        </w:tc>
        <w:tc>
          <w:tcPr>
            <w:tcW w:w="1275" w:type="dxa"/>
          </w:tcPr>
          <w:p w14:paraId="3CCEAD69" w14:textId="77777777" w:rsidR="009F6351" w:rsidRPr="009F6351" w:rsidRDefault="009F6351" w:rsidP="00AB0266">
            <w:pPr>
              <w:pStyle w:val="TableText"/>
              <w:spacing w:before="50" w:after="10"/>
              <w:jc w:val="right"/>
            </w:pPr>
            <w:r w:rsidRPr="009F6351">
              <w:t>12</w:t>
            </w:r>
          </w:p>
        </w:tc>
        <w:tc>
          <w:tcPr>
            <w:tcW w:w="1276" w:type="dxa"/>
          </w:tcPr>
          <w:p w14:paraId="5FDF5E7F" w14:textId="77777777" w:rsidR="009F6351" w:rsidRPr="009F6351" w:rsidRDefault="009F6351" w:rsidP="00AB0266">
            <w:pPr>
              <w:pStyle w:val="TableText"/>
              <w:spacing w:before="50" w:after="10"/>
              <w:jc w:val="right"/>
            </w:pPr>
            <w:r w:rsidRPr="009F6351">
              <w:t>10</w:t>
            </w:r>
          </w:p>
        </w:tc>
        <w:tc>
          <w:tcPr>
            <w:tcW w:w="1276" w:type="dxa"/>
          </w:tcPr>
          <w:p w14:paraId="173927AC" w14:textId="77777777" w:rsidR="009F6351" w:rsidRPr="009F6351" w:rsidRDefault="009F6351" w:rsidP="00AB0266">
            <w:pPr>
              <w:pStyle w:val="TableText"/>
              <w:spacing w:before="50" w:after="10"/>
              <w:jc w:val="right"/>
            </w:pPr>
            <w:r w:rsidRPr="009F6351">
              <w:t>18</w:t>
            </w:r>
          </w:p>
        </w:tc>
        <w:tc>
          <w:tcPr>
            <w:tcW w:w="1276" w:type="dxa"/>
          </w:tcPr>
          <w:p w14:paraId="06B3BCCB" w14:textId="77777777" w:rsidR="009F6351" w:rsidRPr="009F6351" w:rsidRDefault="009F6351" w:rsidP="00AB0266">
            <w:pPr>
              <w:pStyle w:val="TableText"/>
              <w:spacing w:before="50" w:after="10"/>
              <w:jc w:val="right"/>
            </w:pPr>
            <w:r w:rsidRPr="009F6351">
              <w:t>2</w:t>
            </w:r>
          </w:p>
        </w:tc>
        <w:tc>
          <w:tcPr>
            <w:tcW w:w="1276" w:type="dxa"/>
          </w:tcPr>
          <w:p w14:paraId="385E59EA" w14:textId="77777777" w:rsidR="009F6351" w:rsidRPr="009F6351" w:rsidRDefault="009F6351" w:rsidP="00AB0266">
            <w:pPr>
              <w:pStyle w:val="TableText"/>
              <w:spacing w:before="50" w:after="10"/>
              <w:jc w:val="right"/>
            </w:pPr>
            <w:r w:rsidRPr="009F6351">
              <w:t>42</w:t>
            </w:r>
          </w:p>
        </w:tc>
      </w:tr>
      <w:tr w:rsidR="009F6351" w14:paraId="41546845" w14:textId="77777777" w:rsidTr="00901AC1">
        <w:trPr>
          <w:trHeight w:val="340"/>
        </w:trPr>
        <w:tc>
          <w:tcPr>
            <w:tcW w:w="2268" w:type="dxa"/>
          </w:tcPr>
          <w:p w14:paraId="681D44E2" w14:textId="77777777" w:rsidR="009F6351" w:rsidRPr="009F6351" w:rsidRDefault="009F6351" w:rsidP="00AB0266">
            <w:pPr>
              <w:pStyle w:val="TableText"/>
              <w:spacing w:before="50" w:after="10"/>
            </w:pPr>
            <w:r w:rsidRPr="009F6351">
              <w:t>South Canterbury</w:t>
            </w:r>
          </w:p>
        </w:tc>
        <w:tc>
          <w:tcPr>
            <w:tcW w:w="1275" w:type="dxa"/>
          </w:tcPr>
          <w:p w14:paraId="45E87CE0" w14:textId="77777777" w:rsidR="009F6351" w:rsidRPr="009F6351" w:rsidRDefault="009F6351" w:rsidP="00AB0266">
            <w:pPr>
              <w:pStyle w:val="TableText"/>
              <w:spacing w:before="50" w:after="10"/>
              <w:jc w:val="right"/>
            </w:pPr>
            <w:r w:rsidRPr="009F6351">
              <w:t>1</w:t>
            </w:r>
          </w:p>
        </w:tc>
        <w:tc>
          <w:tcPr>
            <w:tcW w:w="1276" w:type="dxa"/>
          </w:tcPr>
          <w:p w14:paraId="030B7100" w14:textId="77777777" w:rsidR="009F6351" w:rsidRPr="009F6351" w:rsidRDefault="009F6351" w:rsidP="00AB0266">
            <w:pPr>
              <w:pStyle w:val="TableText"/>
              <w:spacing w:before="50" w:after="10"/>
              <w:jc w:val="right"/>
            </w:pPr>
            <w:r w:rsidRPr="009F6351">
              <w:t>1</w:t>
            </w:r>
          </w:p>
        </w:tc>
        <w:tc>
          <w:tcPr>
            <w:tcW w:w="1276" w:type="dxa"/>
          </w:tcPr>
          <w:p w14:paraId="68FAB562" w14:textId="77777777" w:rsidR="009F6351" w:rsidRPr="009F6351" w:rsidRDefault="009F6351" w:rsidP="00AB0266">
            <w:pPr>
              <w:pStyle w:val="TableText"/>
              <w:spacing w:before="50" w:after="10"/>
              <w:jc w:val="right"/>
            </w:pPr>
            <w:r w:rsidRPr="009F6351">
              <w:t>9</w:t>
            </w:r>
          </w:p>
        </w:tc>
        <w:tc>
          <w:tcPr>
            <w:tcW w:w="1276" w:type="dxa"/>
          </w:tcPr>
          <w:p w14:paraId="750D6D22" w14:textId="77777777" w:rsidR="009F6351" w:rsidRPr="009F6351" w:rsidRDefault="009F6351" w:rsidP="00AB0266">
            <w:pPr>
              <w:pStyle w:val="TableText"/>
              <w:spacing w:before="50" w:after="10"/>
              <w:jc w:val="right"/>
            </w:pPr>
            <w:r w:rsidRPr="009F6351">
              <w:t>0</w:t>
            </w:r>
          </w:p>
        </w:tc>
        <w:tc>
          <w:tcPr>
            <w:tcW w:w="1276" w:type="dxa"/>
          </w:tcPr>
          <w:p w14:paraId="1F209DDA" w14:textId="77777777" w:rsidR="009F6351" w:rsidRPr="009F6351" w:rsidRDefault="009F6351" w:rsidP="00AB0266">
            <w:pPr>
              <w:pStyle w:val="TableText"/>
              <w:spacing w:before="50" w:after="10"/>
              <w:jc w:val="right"/>
            </w:pPr>
            <w:r w:rsidRPr="009F6351">
              <w:t>11</w:t>
            </w:r>
          </w:p>
        </w:tc>
      </w:tr>
      <w:tr w:rsidR="009F6351" w14:paraId="7C5829E6" w14:textId="77777777" w:rsidTr="00901AC1">
        <w:trPr>
          <w:trHeight w:val="340"/>
        </w:trPr>
        <w:tc>
          <w:tcPr>
            <w:tcW w:w="2268" w:type="dxa"/>
          </w:tcPr>
          <w:p w14:paraId="5E31021F" w14:textId="77777777" w:rsidR="009F6351" w:rsidRPr="009F6351" w:rsidRDefault="009F6351" w:rsidP="00AB0266">
            <w:pPr>
              <w:pStyle w:val="TableText"/>
              <w:spacing w:before="50" w:after="10"/>
            </w:pPr>
            <w:r w:rsidRPr="009F6351">
              <w:t>Southern</w:t>
            </w:r>
          </w:p>
        </w:tc>
        <w:tc>
          <w:tcPr>
            <w:tcW w:w="1275" w:type="dxa"/>
          </w:tcPr>
          <w:p w14:paraId="192B3E0C" w14:textId="77777777" w:rsidR="009F6351" w:rsidRPr="009F6351" w:rsidRDefault="009F6351" w:rsidP="00AB0266">
            <w:pPr>
              <w:pStyle w:val="TableText"/>
              <w:spacing w:before="50" w:after="10"/>
              <w:jc w:val="right"/>
            </w:pPr>
            <w:r w:rsidRPr="009F6351">
              <w:t>12</w:t>
            </w:r>
          </w:p>
        </w:tc>
        <w:tc>
          <w:tcPr>
            <w:tcW w:w="1276" w:type="dxa"/>
          </w:tcPr>
          <w:p w14:paraId="2AF82395" w14:textId="77777777" w:rsidR="009F6351" w:rsidRPr="009F6351" w:rsidRDefault="009F6351" w:rsidP="00AB0266">
            <w:pPr>
              <w:pStyle w:val="TableText"/>
              <w:spacing w:before="50" w:after="10"/>
              <w:jc w:val="right"/>
            </w:pPr>
            <w:r w:rsidRPr="009F6351">
              <w:t>12</w:t>
            </w:r>
          </w:p>
        </w:tc>
        <w:tc>
          <w:tcPr>
            <w:tcW w:w="1276" w:type="dxa"/>
          </w:tcPr>
          <w:p w14:paraId="0C79E113" w14:textId="77777777" w:rsidR="009F6351" w:rsidRPr="009F6351" w:rsidRDefault="009F6351" w:rsidP="00AB0266">
            <w:pPr>
              <w:pStyle w:val="TableText"/>
              <w:spacing w:before="50" w:after="10"/>
              <w:jc w:val="right"/>
            </w:pPr>
            <w:r w:rsidRPr="009F6351">
              <w:t>60</w:t>
            </w:r>
          </w:p>
        </w:tc>
        <w:tc>
          <w:tcPr>
            <w:tcW w:w="1276" w:type="dxa"/>
          </w:tcPr>
          <w:p w14:paraId="3ABC567E" w14:textId="77777777" w:rsidR="009F6351" w:rsidRPr="009F6351" w:rsidRDefault="009F6351" w:rsidP="00AB0266">
            <w:pPr>
              <w:pStyle w:val="TableText"/>
              <w:spacing w:before="50" w:after="10"/>
              <w:jc w:val="right"/>
            </w:pPr>
            <w:r w:rsidRPr="009F6351">
              <w:t>0</w:t>
            </w:r>
          </w:p>
        </w:tc>
        <w:tc>
          <w:tcPr>
            <w:tcW w:w="1276" w:type="dxa"/>
          </w:tcPr>
          <w:p w14:paraId="664EE947" w14:textId="77777777" w:rsidR="009F6351" w:rsidRPr="009F6351" w:rsidRDefault="009F6351" w:rsidP="00AB0266">
            <w:pPr>
              <w:pStyle w:val="TableText"/>
              <w:spacing w:before="50" w:after="10"/>
              <w:jc w:val="right"/>
            </w:pPr>
            <w:r w:rsidRPr="009F6351">
              <w:t>84</w:t>
            </w:r>
          </w:p>
        </w:tc>
      </w:tr>
      <w:tr w:rsidR="009F6351" w14:paraId="3FA44371" w14:textId="77777777" w:rsidTr="00901AC1">
        <w:trPr>
          <w:trHeight w:val="340"/>
        </w:trPr>
        <w:tc>
          <w:tcPr>
            <w:tcW w:w="2268" w:type="dxa"/>
          </w:tcPr>
          <w:p w14:paraId="5D4C45FA" w14:textId="77777777" w:rsidR="009F6351" w:rsidRPr="009F6351" w:rsidRDefault="009F6351" w:rsidP="00AB0266">
            <w:pPr>
              <w:pStyle w:val="TableText"/>
              <w:spacing w:before="50" w:after="10"/>
            </w:pPr>
            <w:r w:rsidRPr="009F6351">
              <w:t>Tairāwhiti</w:t>
            </w:r>
          </w:p>
        </w:tc>
        <w:tc>
          <w:tcPr>
            <w:tcW w:w="1275" w:type="dxa"/>
          </w:tcPr>
          <w:p w14:paraId="5225778A" w14:textId="77777777" w:rsidR="009F6351" w:rsidRPr="009F6351" w:rsidRDefault="009F6351" w:rsidP="00AB0266">
            <w:pPr>
              <w:pStyle w:val="TableText"/>
              <w:spacing w:before="50" w:after="10"/>
              <w:jc w:val="right"/>
            </w:pPr>
            <w:r w:rsidRPr="009F6351">
              <w:t>1</w:t>
            </w:r>
          </w:p>
        </w:tc>
        <w:tc>
          <w:tcPr>
            <w:tcW w:w="1276" w:type="dxa"/>
          </w:tcPr>
          <w:p w14:paraId="0267BC4F" w14:textId="77777777" w:rsidR="009F6351" w:rsidRPr="009F6351" w:rsidRDefault="009F6351" w:rsidP="00AB0266">
            <w:pPr>
              <w:pStyle w:val="TableText"/>
              <w:spacing w:before="50" w:after="10"/>
              <w:jc w:val="right"/>
            </w:pPr>
            <w:r w:rsidRPr="009F6351">
              <w:t>2</w:t>
            </w:r>
          </w:p>
        </w:tc>
        <w:tc>
          <w:tcPr>
            <w:tcW w:w="1276" w:type="dxa"/>
          </w:tcPr>
          <w:p w14:paraId="60AFC7A3" w14:textId="77777777" w:rsidR="009F6351" w:rsidRPr="009F6351" w:rsidRDefault="009F6351" w:rsidP="00AB0266">
            <w:pPr>
              <w:pStyle w:val="TableText"/>
              <w:spacing w:before="50" w:after="10"/>
              <w:jc w:val="right"/>
            </w:pPr>
            <w:r w:rsidRPr="009F6351">
              <w:t>6</w:t>
            </w:r>
          </w:p>
        </w:tc>
        <w:tc>
          <w:tcPr>
            <w:tcW w:w="1276" w:type="dxa"/>
          </w:tcPr>
          <w:p w14:paraId="528AA71C" w14:textId="77777777" w:rsidR="009F6351" w:rsidRPr="009F6351" w:rsidRDefault="009F6351" w:rsidP="00AB0266">
            <w:pPr>
              <w:pStyle w:val="TableText"/>
              <w:spacing w:before="50" w:after="10"/>
              <w:jc w:val="right"/>
            </w:pPr>
            <w:r w:rsidRPr="009F6351">
              <w:t>1</w:t>
            </w:r>
          </w:p>
        </w:tc>
        <w:tc>
          <w:tcPr>
            <w:tcW w:w="1276" w:type="dxa"/>
          </w:tcPr>
          <w:p w14:paraId="2C39C76C" w14:textId="77777777" w:rsidR="009F6351" w:rsidRPr="009F6351" w:rsidRDefault="009F6351" w:rsidP="00AB0266">
            <w:pPr>
              <w:pStyle w:val="TableText"/>
              <w:spacing w:before="50" w:after="10"/>
              <w:jc w:val="right"/>
            </w:pPr>
            <w:r w:rsidRPr="009F6351">
              <w:t>10</w:t>
            </w:r>
          </w:p>
        </w:tc>
      </w:tr>
      <w:tr w:rsidR="009F6351" w14:paraId="4544FB09" w14:textId="77777777" w:rsidTr="00901AC1">
        <w:trPr>
          <w:trHeight w:val="340"/>
        </w:trPr>
        <w:tc>
          <w:tcPr>
            <w:tcW w:w="2268" w:type="dxa"/>
          </w:tcPr>
          <w:p w14:paraId="1BBC0B49" w14:textId="77777777" w:rsidR="009F6351" w:rsidRPr="009F6351" w:rsidRDefault="009F6351" w:rsidP="00AB0266">
            <w:pPr>
              <w:pStyle w:val="TableText"/>
              <w:spacing w:before="50" w:after="10"/>
            </w:pPr>
            <w:r w:rsidRPr="009F6351">
              <w:t>Taranaki</w:t>
            </w:r>
          </w:p>
        </w:tc>
        <w:tc>
          <w:tcPr>
            <w:tcW w:w="1275" w:type="dxa"/>
          </w:tcPr>
          <w:p w14:paraId="1809C311" w14:textId="77777777" w:rsidR="009F6351" w:rsidRPr="009F6351" w:rsidRDefault="009F6351" w:rsidP="00AB0266">
            <w:pPr>
              <w:pStyle w:val="TableText"/>
              <w:spacing w:before="50" w:after="10"/>
              <w:jc w:val="right"/>
            </w:pPr>
            <w:r w:rsidRPr="009F6351">
              <w:t>8</w:t>
            </w:r>
          </w:p>
        </w:tc>
        <w:tc>
          <w:tcPr>
            <w:tcW w:w="1276" w:type="dxa"/>
          </w:tcPr>
          <w:p w14:paraId="498D2AF5" w14:textId="77777777" w:rsidR="009F6351" w:rsidRPr="009F6351" w:rsidRDefault="009F6351" w:rsidP="00AB0266">
            <w:pPr>
              <w:pStyle w:val="TableText"/>
              <w:spacing w:before="50" w:after="10"/>
              <w:jc w:val="right"/>
            </w:pPr>
            <w:r w:rsidRPr="009F6351">
              <w:t>5</w:t>
            </w:r>
          </w:p>
        </w:tc>
        <w:tc>
          <w:tcPr>
            <w:tcW w:w="1276" w:type="dxa"/>
          </w:tcPr>
          <w:p w14:paraId="47B5D34B" w14:textId="77777777" w:rsidR="009F6351" w:rsidRPr="009F6351" w:rsidRDefault="009F6351" w:rsidP="00AB0266">
            <w:pPr>
              <w:pStyle w:val="TableText"/>
              <w:spacing w:before="50" w:after="10"/>
              <w:jc w:val="right"/>
            </w:pPr>
            <w:r w:rsidRPr="009F6351">
              <w:t>23</w:t>
            </w:r>
          </w:p>
        </w:tc>
        <w:tc>
          <w:tcPr>
            <w:tcW w:w="1276" w:type="dxa"/>
          </w:tcPr>
          <w:p w14:paraId="2577B95E" w14:textId="77777777" w:rsidR="009F6351" w:rsidRPr="009F6351" w:rsidRDefault="009F6351" w:rsidP="00AB0266">
            <w:pPr>
              <w:pStyle w:val="TableText"/>
              <w:spacing w:before="50" w:after="10"/>
              <w:jc w:val="right"/>
            </w:pPr>
            <w:r w:rsidRPr="009F6351">
              <w:t>1</w:t>
            </w:r>
          </w:p>
        </w:tc>
        <w:tc>
          <w:tcPr>
            <w:tcW w:w="1276" w:type="dxa"/>
          </w:tcPr>
          <w:p w14:paraId="7D0F0BCF" w14:textId="77777777" w:rsidR="009F6351" w:rsidRPr="009F6351" w:rsidRDefault="009F6351" w:rsidP="00AB0266">
            <w:pPr>
              <w:pStyle w:val="TableText"/>
              <w:spacing w:before="50" w:after="10"/>
              <w:jc w:val="right"/>
            </w:pPr>
            <w:r w:rsidRPr="009F6351">
              <w:t>37</w:t>
            </w:r>
          </w:p>
        </w:tc>
      </w:tr>
      <w:tr w:rsidR="009F6351" w14:paraId="4B7B9206" w14:textId="77777777" w:rsidTr="00901AC1">
        <w:trPr>
          <w:trHeight w:val="340"/>
        </w:trPr>
        <w:tc>
          <w:tcPr>
            <w:tcW w:w="2268" w:type="dxa"/>
          </w:tcPr>
          <w:p w14:paraId="025F6569" w14:textId="77777777" w:rsidR="009F6351" w:rsidRPr="009F6351" w:rsidRDefault="009F6351" w:rsidP="00AB0266">
            <w:pPr>
              <w:pStyle w:val="TableText"/>
              <w:spacing w:before="50" w:after="10"/>
            </w:pPr>
            <w:r w:rsidRPr="009F6351">
              <w:t>Waikato</w:t>
            </w:r>
          </w:p>
        </w:tc>
        <w:tc>
          <w:tcPr>
            <w:tcW w:w="1275" w:type="dxa"/>
          </w:tcPr>
          <w:p w14:paraId="20C21828" w14:textId="77777777" w:rsidR="009F6351" w:rsidRPr="009F6351" w:rsidRDefault="009F6351" w:rsidP="00AB0266">
            <w:pPr>
              <w:pStyle w:val="TableText"/>
              <w:spacing w:before="50" w:after="10"/>
              <w:jc w:val="right"/>
            </w:pPr>
            <w:r w:rsidRPr="009F6351">
              <w:t>25</w:t>
            </w:r>
          </w:p>
        </w:tc>
        <w:tc>
          <w:tcPr>
            <w:tcW w:w="1276" w:type="dxa"/>
          </w:tcPr>
          <w:p w14:paraId="5125740D" w14:textId="77777777" w:rsidR="009F6351" w:rsidRPr="009F6351" w:rsidRDefault="009F6351" w:rsidP="00AB0266">
            <w:pPr>
              <w:pStyle w:val="TableText"/>
              <w:spacing w:before="50" w:after="10"/>
              <w:jc w:val="right"/>
            </w:pPr>
            <w:r w:rsidRPr="009F6351">
              <w:t>28</w:t>
            </w:r>
          </w:p>
        </w:tc>
        <w:tc>
          <w:tcPr>
            <w:tcW w:w="1276" w:type="dxa"/>
          </w:tcPr>
          <w:p w14:paraId="24E1E613" w14:textId="77777777" w:rsidR="009F6351" w:rsidRPr="009F6351" w:rsidRDefault="009F6351" w:rsidP="00AB0266">
            <w:pPr>
              <w:pStyle w:val="TableText"/>
              <w:spacing w:before="50" w:after="10"/>
              <w:jc w:val="right"/>
            </w:pPr>
            <w:r w:rsidRPr="009F6351">
              <w:t>69</w:t>
            </w:r>
          </w:p>
        </w:tc>
        <w:tc>
          <w:tcPr>
            <w:tcW w:w="1276" w:type="dxa"/>
          </w:tcPr>
          <w:p w14:paraId="09442818" w14:textId="77777777" w:rsidR="009F6351" w:rsidRPr="009F6351" w:rsidRDefault="009F6351" w:rsidP="00AB0266">
            <w:pPr>
              <w:pStyle w:val="TableText"/>
              <w:spacing w:before="50" w:after="10"/>
              <w:jc w:val="right"/>
            </w:pPr>
            <w:r w:rsidRPr="009F6351">
              <w:t>1</w:t>
            </w:r>
          </w:p>
        </w:tc>
        <w:tc>
          <w:tcPr>
            <w:tcW w:w="1276" w:type="dxa"/>
          </w:tcPr>
          <w:p w14:paraId="16C2D53F" w14:textId="77777777" w:rsidR="009F6351" w:rsidRPr="009F6351" w:rsidRDefault="009F6351" w:rsidP="00AB0266">
            <w:pPr>
              <w:pStyle w:val="TableText"/>
              <w:spacing w:before="50" w:after="10"/>
              <w:jc w:val="right"/>
            </w:pPr>
            <w:r w:rsidRPr="009F6351">
              <w:t>123</w:t>
            </w:r>
          </w:p>
        </w:tc>
      </w:tr>
      <w:tr w:rsidR="009F6351" w14:paraId="4A12F90B" w14:textId="77777777" w:rsidTr="00901AC1">
        <w:trPr>
          <w:trHeight w:val="340"/>
        </w:trPr>
        <w:tc>
          <w:tcPr>
            <w:tcW w:w="2268" w:type="dxa"/>
          </w:tcPr>
          <w:p w14:paraId="5E9DDC99" w14:textId="77777777" w:rsidR="009F6351" w:rsidRPr="009F6351" w:rsidRDefault="009F6351" w:rsidP="00AB0266">
            <w:pPr>
              <w:pStyle w:val="TableText"/>
              <w:spacing w:before="50" w:after="10"/>
            </w:pPr>
            <w:r w:rsidRPr="009F6351">
              <w:t>Wairarapa</w:t>
            </w:r>
          </w:p>
        </w:tc>
        <w:tc>
          <w:tcPr>
            <w:tcW w:w="1275" w:type="dxa"/>
          </w:tcPr>
          <w:p w14:paraId="6924D36A" w14:textId="77777777" w:rsidR="009F6351" w:rsidRPr="009F6351" w:rsidRDefault="009F6351" w:rsidP="00AB0266">
            <w:pPr>
              <w:pStyle w:val="TableText"/>
              <w:spacing w:before="50" w:after="10"/>
              <w:jc w:val="right"/>
            </w:pPr>
            <w:r w:rsidRPr="009F6351">
              <w:t>3</w:t>
            </w:r>
          </w:p>
        </w:tc>
        <w:tc>
          <w:tcPr>
            <w:tcW w:w="1276" w:type="dxa"/>
          </w:tcPr>
          <w:p w14:paraId="44CF70AF" w14:textId="77777777" w:rsidR="009F6351" w:rsidRPr="009F6351" w:rsidRDefault="009F6351" w:rsidP="00AB0266">
            <w:pPr>
              <w:pStyle w:val="TableText"/>
              <w:spacing w:before="50" w:after="10"/>
              <w:jc w:val="right"/>
            </w:pPr>
            <w:r w:rsidRPr="009F6351">
              <w:t>1</w:t>
            </w:r>
          </w:p>
        </w:tc>
        <w:tc>
          <w:tcPr>
            <w:tcW w:w="1276" w:type="dxa"/>
          </w:tcPr>
          <w:p w14:paraId="6522C7FB" w14:textId="77777777" w:rsidR="009F6351" w:rsidRPr="009F6351" w:rsidRDefault="009F6351" w:rsidP="00AB0266">
            <w:pPr>
              <w:pStyle w:val="TableText"/>
              <w:spacing w:before="50" w:after="10"/>
              <w:jc w:val="right"/>
            </w:pPr>
            <w:r w:rsidRPr="009F6351">
              <w:t>14</w:t>
            </w:r>
          </w:p>
        </w:tc>
        <w:tc>
          <w:tcPr>
            <w:tcW w:w="1276" w:type="dxa"/>
          </w:tcPr>
          <w:p w14:paraId="025EE34B" w14:textId="77777777" w:rsidR="009F6351" w:rsidRPr="009F6351" w:rsidRDefault="009F6351" w:rsidP="00AB0266">
            <w:pPr>
              <w:pStyle w:val="TableText"/>
              <w:spacing w:before="50" w:after="10"/>
              <w:jc w:val="right"/>
            </w:pPr>
            <w:r w:rsidRPr="009F6351">
              <w:t>1</w:t>
            </w:r>
          </w:p>
        </w:tc>
        <w:tc>
          <w:tcPr>
            <w:tcW w:w="1276" w:type="dxa"/>
          </w:tcPr>
          <w:p w14:paraId="0D42786F" w14:textId="77777777" w:rsidR="009F6351" w:rsidRPr="009F6351" w:rsidRDefault="009F6351" w:rsidP="00AB0266">
            <w:pPr>
              <w:pStyle w:val="TableText"/>
              <w:spacing w:before="50" w:after="10"/>
              <w:jc w:val="right"/>
            </w:pPr>
            <w:r w:rsidRPr="009F6351">
              <w:t>19</w:t>
            </w:r>
          </w:p>
        </w:tc>
      </w:tr>
      <w:tr w:rsidR="009F6351" w14:paraId="4AEBA2DE" w14:textId="77777777" w:rsidTr="00901AC1">
        <w:trPr>
          <w:trHeight w:val="340"/>
        </w:trPr>
        <w:tc>
          <w:tcPr>
            <w:tcW w:w="2268" w:type="dxa"/>
          </w:tcPr>
          <w:p w14:paraId="54E8E6BD" w14:textId="77777777" w:rsidR="009F6351" w:rsidRPr="009F6351" w:rsidRDefault="009F6351" w:rsidP="00AB0266">
            <w:pPr>
              <w:pStyle w:val="TableText"/>
              <w:spacing w:before="50" w:after="10"/>
            </w:pPr>
            <w:r w:rsidRPr="009F6351">
              <w:t>Waitematā</w:t>
            </w:r>
          </w:p>
        </w:tc>
        <w:tc>
          <w:tcPr>
            <w:tcW w:w="1275" w:type="dxa"/>
          </w:tcPr>
          <w:p w14:paraId="05E8C3B8" w14:textId="77777777" w:rsidR="009F6351" w:rsidRPr="009F6351" w:rsidRDefault="009F6351" w:rsidP="00AB0266">
            <w:pPr>
              <w:pStyle w:val="TableText"/>
              <w:spacing w:before="50" w:after="10"/>
              <w:jc w:val="right"/>
            </w:pPr>
            <w:r w:rsidRPr="009F6351">
              <w:t>20</w:t>
            </w:r>
          </w:p>
        </w:tc>
        <w:tc>
          <w:tcPr>
            <w:tcW w:w="1276" w:type="dxa"/>
          </w:tcPr>
          <w:p w14:paraId="4DA92244" w14:textId="77777777" w:rsidR="009F6351" w:rsidRPr="009F6351" w:rsidRDefault="009F6351" w:rsidP="00AB0266">
            <w:pPr>
              <w:pStyle w:val="TableText"/>
              <w:spacing w:before="50" w:after="10"/>
              <w:jc w:val="right"/>
            </w:pPr>
            <w:r w:rsidRPr="009F6351">
              <w:t>27</w:t>
            </w:r>
          </w:p>
        </w:tc>
        <w:tc>
          <w:tcPr>
            <w:tcW w:w="1276" w:type="dxa"/>
          </w:tcPr>
          <w:p w14:paraId="6C945BEC" w14:textId="77777777" w:rsidR="009F6351" w:rsidRPr="009F6351" w:rsidRDefault="009F6351" w:rsidP="00AB0266">
            <w:pPr>
              <w:pStyle w:val="TableText"/>
              <w:spacing w:before="50" w:after="10"/>
              <w:jc w:val="right"/>
            </w:pPr>
            <w:r w:rsidRPr="009F6351">
              <w:t>64</w:t>
            </w:r>
          </w:p>
        </w:tc>
        <w:tc>
          <w:tcPr>
            <w:tcW w:w="1276" w:type="dxa"/>
          </w:tcPr>
          <w:p w14:paraId="1297690B" w14:textId="77777777" w:rsidR="009F6351" w:rsidRPr="009F6351" w:rsidRDefault="009F6351" w:rsidP="00AB0266">
            <w:pPr>
              <w:pStyle w:val="TableText"/>
              <w:spacing w:before="50" w:after="10"/>
              <w:jc w:val="right"/>
            </w:pPr>
            <w:r w:rsidRPr="009F6351">
              <w:t>3</w:t>
            </w:r>
          </w:p>
        </w:tc>
        <w:tc>
          <w:tcPr>
            <w:tcW w:w="1276" w:type="dxa"/>
          </w:tcPr>
          <w:p w14:paraId="55A58BA9" w14:textId="77777777" w:rsidR="009F6351" w:rsidRPr="009F6351" w:rsidRDefault="009F6351" w:rsidP="00AB0266">
            <w:pPr>
              <w:pStyle w:val="TableText"/>
              <w:spacing w:before="50" w:after="10"/>
              <w:jc w:val="right"/>
            </w:pPr>
            <w:r w:rsidRPr="009F6351">
              <w:t>114</w:t>
            </w:r>
          </w:p>
        </w:tc>
      </w:tr>
      <w:tr w:rsidR="009F6351" w14:paraId="5010B324" w14:textId="77777777" w:rsidTr="00901AC1">
        <w:trPr>
          <w:trHeight w:val="340"/>
        </w:trPr>
        <w:tc>
          <w:tcPr>
            <w:tcW w:w="2268" w:type="dxa"/>
          </w:tcPr>
          <w:p w14:paraId="4CD3FBA2" w14:textId="77777777" w:rsidR="009F6351" w:rsidRPr="009F6351" w:rsidRDefault="009F6351" w:rsidP="00AB0266">
            <w:pPr>
              <w:pStyle w:val="TableText"/>
              <w:spacing w:before="50" w:after="10"/>
            </w:pPr>
            <w:r w:rsidRPr="009F6351">
              <w:t>Whanganui</w:t>
            </w:r>
          </w:p>
        </w:tc>
        <w:tc>
          <w:tcPr>
            <w:tcW w:w="1275" w:type="dxa"/>
          </w:tcPr>
          <w:p w14:paraId="7B695FA6" w14:textId="77777777" w:rsidR="009F6351" w:rsidRPr="009F6351" w:rsidRDefault="009F6351" w:rsidP="00AB0266">
            <w:pPr>
              <w:pStyle w:val="TableText"/>
              <w:spacing w:before="50" w:after="10"/>
              <w:jc w:val="right"/>
            </w:pPr>
            <w:r w:rsidRPr="009F6351">
              <w:t>4</w:t>
            </w:r>
          </w:p>
        </w:tc>
        <w:tc>
          <w:tcPr>
            <w:tcW w:w="1276" w:type="dxa"/>
          </w:tcPr>
          <w:p w14:paraId="14874F6E" w14:textId="77777777" w:rsidR="009F6351" w:rsidRPr="009F6351" w:rsidRDefault="009F6351" w:rsidP="00AB0266">
            <w:pPr>
              <w:pStyle w:val="TableText"/>
              <w:spacing w:before="50" w:after="10"/>
              <w:jc w:val="right"/>
            </w:pPr>
            <w:r w:rsidRPr="009F6351">
              <w:t>2</w:t>
            </w:r>
          </w:p>
        </w:tc>
        <w:tc>
          <w:tcPr>
            <w:tcW w:w="1276" w:type="dxa"/>
          </w:tcPr>
          <w:p w14:paraId="25FEE6A2" w14:textId="77777777" w:rsidR="009F6351" w:rsidRPr="009F6351" w:rsidRDefault="009F6351" w:rsidP="00AB0266">
            <w:pPr>
              <w:pStyle w:val="TableText"/>
              <w:spacing w:before="50" w:after="10"/>
              <w:jc w:val="right"/>
            </w:pPr>
            <w:r w:rsidRPr="009F6351">
              <w:t>9</w:t>
            </w:r>
          </w:p>
        </w:tc>
        <w:tc>
          <w:tcPr>
            <w:tcW w:w="1276" w:type="dxa"/>
          </w:tcPr>
          <w:p w14:paraId="3EE2AD1E" w14:textId="77777777" w:rsidR="009F6351" w:rsidRPr="009F6351" w:rsidRDefault="009F6351" w:rsidP="00AB0266">
            <w:pPr>
              <w:pStyle w:val="TableText"/>
              <w:spacing w:before="50" w:after="10"/>
              <w:jc w:val="right"/>
            </w:pPr>
            <w:r w:rsidRPr="009F6351">
              <w:t>1</w:t>
            </w:r>
          </w:p>
        </w:tc>
        <w:tc>
          <w:tcPr>
            <w:tcW w:w="1276" w:type="dxa"/>
          </w:tcPr>
          <w:p w14:paraId="191830B1" w14:textId="77777777" w:rsidR="009F6351" w:rsidRPr="009F6351" w:rsidRDefault="009F6351" w:rsidP="00AB0266">
            <w:pPr>
              <w:pStyle w:val="TableText"/>
              <w:spacing w:before="50" w:after="10"/>
              <w:jc w:val="right"/>
            </w:pPr>
            <w:r w:rsidRPr="009F6351">
              <w:t>16</w:t>
            </w:r>
          </w:p>
        </w:tc>
      </w:tr>
      <w:tr w:rsidR="009F6351" w14:paraId="78D9F344" w14:textId="77777777" w:rsidTr="00901AC1">
        <w:trPr>
          <w:trHeight w:val="359"/>
        </w:trPr>
        <w:tc>
          <w:tcPr>
            <w:tcW w:w="2268" w:type="dxa"/>
          </w:tcPr>
          <w:p w14:paraId="2BB558CD" w14:textId="77777777" w:rsidR="009F6351" w:rsidRPr="009F6351" w:rsidRDefault="009F6351" w:rsidP="00AB0266">
            <w:pPr>
              <w:pStyle w:val="TableText"/>
              <w:spacing w:before="50" w:after="10"/>
            </w:pPr>
            <w:r w:rsidRPr="009F6351">
              <w:t>Unknown</w:t>
            </w:r>
            <w:r>
              <w:rPr>
                <w:rStyle w:val="FootnoteReference"/>
              </w:rPr>
              <w:footnoteReference w:id="45"/>
            </w:r>
          </w:p>
        </w:tc>
        <w:tc>
          <w:tcPr>
            <w:tcW w:w="1275" w:type="dxa"/>
          </w:tcPr>
          <w:p w14:paraId="671C7973" w14:textId="77777777" w:rsidR="009F6351" w:rsidRPr="009F6351" w:rsidRDefault="009F6351" w:rsidP="00AB0266">
            <w:pPr>
              <w:pStyle w:val="TableText"/>
              <w:spacing w:before="50" w:after="10"/>
              <w:jc w:val="right"/>
            </w:pPr>
            <w:r w:rsidRPr="009F6351">
              <w:t>1</w:t>
            </w:r>
          </w:p>
        </w:tc>
        <w:tc>
          <w:tcPr>
            <w:tcW w:w="1276" w:type="dxa"/>
          </w:tcPr>
          <w:p w14:paraId="4A6C2DD5" w14:textId="77777777" w:rsidR="009F6351" w:rsidRPr="009F6351" w:rsidRDefault="009F6351" w:rsidP="00AB0266">
            <w:pPr>
              <w:pStyle w:val="TableText"/>
              <w:spacing w:before="50" w:after="10"/>
              <w:jc w:val="right"/>
            </w:pPr>
            <w:r w:rsidRPr="009F6351">
              <w:t>0</w:t>
            </w:r>
          </w:p>
        </w:tc>
        <w:tc>
          <w:tcPr>
            <w:tcW w:w="1276" w:type="dxa"/>
          </w:tcPr>
          <w:p w14:paraId="3327244A" w14:textId="77777777" w:rsidR="009F6351" w:rsidRPr="009F6351" w:rsidRDefault="009F6351" w:rsidP="00AB0266">
            <w:pPr>
              <w:pStyle w:val="TableText"/>
              <w:spacing w:before="50" w:after="10"/>
              <w:jc w:val="right"/>
            </w:pPr>
            <w:r w:rsidRPr="009F6351">
              <w:t>1</w:t>
            </w:r>
          </w:p>
        </w:tc>
        <w:tc>
          <w:tcPr>
            <w:tcW w:w="1276" w:type="dxa"/>
          </w:tcPr>
          <w:p w14:paraId="7FA7F189" w14:textId="77777777" w:rsidR="009F6351" w:rsidRPr="009F6351" w:rsidRDefault="009F6351" w:rsidP="00AB0266">
            <w:pPr>
              <w:pStyle w:val="TableText"/>
              <w:spacing w:before="50" w:after="10"/>
              <w:jc w:val="right"/>
            </w:pPr>
            <w:r w:rsidRPr="009F6351">
              <w:t>0</w:t>
            </w:r>
          </w:p>
        </w:tc>
        <w:tc>
          <w:tcPr>
            <w:tcW w:w="1276" w:type="dxa"/>
          </w:tcPr>
          <w:p w14:paraId="68EA1FFC" w14:textId="77777777" w:rsidR="009F6351" w:rsidRPr="009F6351" w:rsidRDefault="009F6351" w:rsidP="00AB0266">
            <w:pPr>
              <w:pStyle w:val="TableText"/>
              <w:spacing w:before="50" w:after="10"/>
              <w:jc w:val="right"/>
            </w:pPr>
            <w:r w:rsidRPr="009F6351">
              <w:t>2</w:t>
            </w:r>
          </w:p>
        </w:tc>
      </w:tr>
      <w:tr w:rsidR="009F6351" w:rsidRPr="009F6351" w14:paraId="0761815F" w14:textId="77777777" w:rsidTr="00901AC1">
        <w:trPr>
          <w:trHeight w:val="354"/>
        </w:trPr>
        <w:tc>
          <w:tcPr>
            <w:tcW w:w="2268" w:type="dxa"/>
          </w:tcPr>
          <w:p w14:paraId="5C56670C" w14:textId="77777777" w:rsidR="009F6351" w:rsidRPr="009F6351" w:rsidRDefault="009F6351" w:rsidP="00AB0266">
            <w:pPr>
              <w:pStyle w:val="TableText"/>
              <w:spacing w:before="50" w:after="10"/>
              <w:rPr>
                <w:b/>
                <w:bCs/>
              </w:rPr>
            </w:pPr>
            <w:r w:rsidRPr="009F6351">
              <w:rPr>
                <w:b/>
                <w:bCs/>
              </w:rPr>
              <w:t>Total</w:t>
            </w:r>
          </w:p>
        </w:tc>
        <w:tc>
          <w:tcPr>
            <w:tcW w:w="1275" w:type="dxa"/>
          </w:tcPr>
          <w:p w14:paraId="79BC0E33" w14:textId="77777777" w:rsidR="009F6351" w:rsidRPr="009F6351" w:rsidRDefault="009F6351" w:rsidP="00AB0266">
            <w:pPr>
              <w:pStyle w:val="TableText"/>
              <w:spacing w:before="50" w:after="10"/>
              <w:jc w:val="right"/>
              <w:rPr>
                <w:b/>
                <w:bCs/>
              </w:rPr>
            </w:pPr>
            <w:r w:rsidRPr="009F6351">
              <w:rPr>
                <w:b/>
                <w:bCs/>
              </w:rPr>
              <w:t>194</w:t>
            </w:r>
          </w:p>
        </w:tc>
        <w:tc>
          <w:tcPr>
            <w:tcW w:w="1276" w:type="dxa"/>
          </w:tcPr>
          <w:p w14:paraId="3E79A85F" w14:textId="77777777" w:rsidR="009F6351" w:rsidRPr="009F6351" w:rsidRDefault="009F6351" w:rsidP="00AB0266">
            <w:pPr>
              <w:pStyle w:val="TableText"/>
              <w:spacing w:before="50" w:after="10"/>
              <w:jc w:val="right"/>
              <w:rPr>
                <w:b/>
                <w:bCs/>
              </w:rPr>
            </w:pPr>
            <w:r w:rsidRPr="009F6351">
              <w:rPr>
                <w:b/>
                <w:bCs/>
              </w:rPr>
              <w:t>237</w:t>
            </w:r>
          </w:p>
        </w:tc>
        <w:tc>
          <w:tcPr>
            <w:tcW w:w="1276" w:type="dxa"/>
          </w:tcPr>
          <w:p w14:paraId="5C3D2970" w14:textId="77777777" w:rsidR="009F6351" w:rsidRPr="009F6351" w:rsidRDefault="009F6351" w:rsidP="00AB0266">
            <w:pPr>
              <w:pStyle w:val="TableText"/>
              <w:spacing w:before="50" w:after="10"/>
              <w:jc w:val="right"/>
              <w:rPr>
                <w:b/>
                <w:bCs/>
              </w:rPr>
            </w:pPr>
            <w:r w:rsidRPr="009F6351">
              <w:rPr>
                <w:b/>
                <w:bCs/>
              </w:rPr>
              <w:t>653</w:t>
            </w:r>
          </w:p>
        </w:tc>
        <w:tc>
          <w:tcPr>
            <w:tcW w:w="1276" w:type="dxa"/>
          </w:tcPr>
          <w:p w14:paraId="316BA13A" w14:textId="77777777" w:rsidR="009F6351" w:rsidRPr="009F6351" w:rsidRDefault="009F6351" w:rsidP="00AB0266">
            <w:pPr>
              <w:pStyle w:val="TableText"/>
              <w:spacing w:before="50" w:after="10"/>
              <w:jc w:val="right"/>
              <w:rPr>
                <w:b/>
                <w:bCs/>
              </w:rPr>
            </w:pPr>
            <w:r w:rsidRPr="009F6351">
              <w:rPr>
                <w:b/>
                <w:bCs/>
              </w:rPr>
              <w:t>29</w:t>
            </w:r>
          </w:p>
        </w:tc>
        <w:tc>
          <w:tcPr>
            <w:tcW w:w="1276" w:type="dxa"/>
          </w:tcPr>
          <w:p w14:paraId="09150B5C" w14:textId="77777777" w:rsidR="009F6351" w:rsidRPr="009F6351" w:rsidRDefault="009F6351" w:rsidP="00AB0266">
            <w:pPr>
              <w:pStyle w:val="TableText"/>
              <w:spacing w:before="50" w:after="10"/>
              <w:jc w:val="right"/>
              <w:rPr>
                <w:b/>
                <w:bCs/>
              </w:rPr>
            </w:pPr>
            <w:r w:rsidRPr="009F6351">
              <w:rPr>
                <w:b/>
                <w:bCs/>
              </w:rPr>
              <w:t>1,113</w:t>
            </w:r>
          </w:p>
        </w:tc>
      </w:tr>
    </w:tbl>
    <w:p w14:paraId="4CD948F4" w14:textId="77777777" w:rsidR="009F6351" w:rsidRPr="009F6351" w:rsidRDefault="009F6351" w:rsidP="00AB0266">
      <w:pPr>
        <w:pStyle w:val="Heading4"/>
      </w:pPr>
      <w:r w:rsidRPr="009F6351">
        <w:lastRenderedPageBreak/>
        <w:t>COVID-19 Deaths by age group</w:t>
      </w:r>
    </w:p>
    <w:p w14:paraId="034DA4FC" w14:textId="2A23CF94" w:rsidR="009F6351" w:rsidRDefault="009F6351" w:rsidP="009F6351">
      <w:pPr>
        <w:rPr>
          <w:rFonts w:eastAsia="Arial Unicode MS"/>
        </w:rPr>
      </w:pPr>
      <w:r w:rsidRPr="009F6351">
        <w:rPr>
          <w:rFonts w:eastAsia="Arial Unicode MS"/>
        </w:rPr>
        <w:t>The following outlines the total number of deaths associated to COVID-19 in Aotearoa by age group at the time of death (as at 30 June 2022).</w:t>
      </w:r>
    </w:p>
    <w:p w14:paraId="3ADF2939" w14:textId="77777777" w:rsidR="009F6351" w:rsidRDefault="009F6351" w:rsidP="009F6351">
      <w:pPr>
        <w:rPr>
          <w:rFonts w:eastAsia="Arial Unicode MS"/>
        </w:rPr>
      </w:pPr>
    </w:p>
    <w:tbl>
      <w:tblPr>
        <w:tblW w:w="8205"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560"/>
        <w:gridCol w:w="1329"/>
        <w:gridCol w:w="1329"/>
        <w:gridCol w:w="1329"/>
        <w:gridCol w:w="1329"/>
        <w:gridCol w:w="1329"/>
      </w:tblGrid>
      <w:tr w:rsidR="009F6351" w:rsidRPr="009F6351" w14:paraId="292E2CD5" w14:textId="77777777" w:rsidTr="009F6351">
        <w:trPr>
          <w:trHeight w:val="589"/>
        </w:trPr>
        <w:tc>
          <w:tcPr>
            <w:tcW w:w="1560" w:type="dxa"/>
            <w:tcBorders>
              <w:top w:val="nil"/>
              <w:bottom w:val="nil"/>
            </w:tcBorders>
            <w:shd w:val="clear" w:color="auto" w:fill="D9D9D9" w:themeFill="background1" w:themeFillShade="D9"/>
          </w:tcPr>
          <w:p w14:paraId="04124893" w14:textId="77777777" w:rsidR="009F6351" w:rsidRPr="009F6351" w:rsidRDefault="009F6351" w:rsidP="009F6351">
            <w:pPr>
              <w:pStyle w:val="TableText"/>
              <w:rPr>
                <w:b/>
                <w:bCs/>
              </w:rPr>
            </w:pPr>
            <w:r w:rsidRPr="009F6351">
              <w:rPr>
                <w:b/>
                <w:bCs/>
                <w:w w:val="110"/>
              </w:rPr>
              <w:t>Age</w:t>
            </w:r>
            <w:r w:rsidRPr="009F6351">
              <w:rPr>
                <w:b/>
                <w:bCs/>
                <w:spacing w:val="-8"/>
                <w:w w:val="110"/>
              </w:rPr>
              <w:t xml:space="preserve"> </w:t>
            </w:r>
            <w:r w:rsidRPr="009F6351">
              <w:rPr>
                <w:b/>
                <w:bCs/>
                <w:w w:val="110"/>
              </w:rPr>
              <w:t>group</w:t>
            </w:r>
            <w:r w:rsidRPr="009F6351">
              <w:rPr>
                <w:b/>
                <w:bCs/>
                <w:spacing w:val="-7"/>
                <w:w w:val="110"/>
              </w:rPr>
              <w:t xml:space="preserve"> </w:t>
            </w:r>
            <w:r w:rsidRPr="009F6351">
              <w:rPr>
                <w:b/>
                <w:bCs/>
                <w:w w:val="110"/>
              </w:rPr>
              <w:t>(years)</w:t>
            </w:r>
          </w:p>
        </w:tc>
        <w:tc>
          <w:tcPr>
            <w:tcW w:w="1329" w:type="dxa"/>
            <w:tcBorders>
              <w:top w:val="nil"/>
              <w:bottom w:val="nil"/>
            </w:tcBorders>
            <w:shd w:val="clear" w:color="auto" w:fill="D9D9D9" w:themeFill="background1" w:themeFillShade="D9"/>
          </w:tcPr>
          <w:p w14:paraId="4C76E0DB" w14:textId="77777777" w:rsidR="009F6351" w:rsidRPr="009F6351" w:rsidRDefault="009F6351" w:rsidP="009F6351">
            <w:pPr>
              <w:pStyle w:val="TableText"/>
              <w:jc w:val="right"/>
              <w:rPr>
                <w:b/>
                <w:bCs/>
              </w:rPr>
            </w:pPr>
            <w:r w:rsidRPr="009F6351">
              <w:rPr>
                <w:b/>
                <w:bCs/>
                <w:w w:val="105"/>
              </w:rPr>
              <w:t>No</w:t>
            </w:r>
            <w:r w:rsidRPr="009F6351">
              <w:rPr>
                <w:b/>
                <w:bCs/>
                <w:spacing w:val="-20"/>
                <w:w w:val="105"/>
              </w:rPr>
              <w:t xml:space="preserve"> </w:t>
            </w:r>
            <w:r w:rsidRPr="009F6351">
              <w:rPr>
                <w:b/>
                <w:bCs/>
                <w:w w:val="105"/>
              </w:rPr>
              <w:t>doses</w:t>
            </w:r>
          </w:p>
        </w:tc>
        <w:tc>
          <w:tcPr>
            <w:tcW w:w="1329" w:type="dxa"/>
            <w:tcBorders>
              <w:top w:val="nil"/>
              <w:bottom w:val="nil"/>
            </w:tcBorders>
            <w:shd w:val="clear" w:color="auto" w:fill="D9D9D9" w:themeFill="background1" w:themeFillShade="D9"/>
          </w:tcPr>
          <w:p w14:paraId="079D06E8" w14:textId="10560446" w:rsidR="009F6351" w:rsidRPr="009F6351" w:rsidRDefault="009F6351" w:rsidP="009F6351">
            <w:pPr>
              <w:pStyle w:val="TableText"/>
              <w:jc w:val="right"/>
              <w:rPr>
                <w:b/>
                <w:bCs/>
                <w:sz w:val="10"/>
              </w:rPr>
            </w:pPr>
            <w:r w:rsidRPr="009F6351">
              <w:rPr>
                <w:b/>
                <w:bCs/>
                <w:w w:val="110"/>
              </w:rPr>
              <w:t>Primary</w:t>
            </w:r>
            <w:r w:rsidRPr="009F6351">
              <w:rPr>
                <w:b/>
                <w:bCs/>
                <w:spacing w:val="-53"/>
                <w:w w:val="110"/>
              </w:rPr>
              <w:t xml:space="preserve"> </w:t>
            </w:r>
            <w:r w:rsidRPr="009F6351">
              <w:rPr>
                <w:b/>
                <w:bCs/>
                <w:w w:val="110"/>
              </w:rPr>
              <w:t>course</w:t>
            </w:r>
            <w:r>
              <w:rPr>
                <w:rStyle w:val="FootnoteReference"/>
                <w:b/>
                <w:bCs/>
                <w:w w:val="110"/>
              </w:rPr>
              <w:footnoteReference w:id="46"/>
            </w:r>
          </w:p>
        </w:tc>
        <w:tc>
          <w:tcPr>
            <w:tcW w:w="1329" w:type="dxa"/>
            <w:tcBorders>
              <w:top w:val="nil"/>
              <w:bottom w:val="nil"/>
            </w:tcBorders>
            <w:shd w:val="clear" w:color="auto" w:fill="D9D9D9" w:themeFill="background1" w:themeFillShade="D9"/>
          </w:tcPr>
          <w:p w14:paraId="2E1EA17D" w14:textId="145442EE" w:rsidR="009F6351" w:rsidRPr="009F6351" w:rsidRDefault="009F6351" w:rsidP="009F6351">
            <w:pPr>
              <w:pStyle w:val="TableText"/>
              <w:jc w:val="right"/>
              <w:rPr>
                <w:b/>
                <w:bCs/>
                <w:sz w:val="10"/>
              </w:rPr>
            </w:pPr>
            <w:r w:rsidRPr="009F6351">
              <w:rPr>
                <w:b/>
                <w:bCs/>
                <w:w w:val="105"/>
              </w:rPr>
              <w:t>Boosted</w:t>
            </w:r>
            <w:r>
              <w:rPr>
                <w:rStyle w:val="FootnoteReference"/>
                <w:b/>
                <w:bCs/>
                <w:w w:val="105"/>
              </w:rPr>
              <w:footnoteReference w:id="47"/>
            </w:r>
          </w:p>
        </w:tc>
        <w:tc>
          <w:tcPr>
            <w:tcW w:w="1329" w:type="dxa"/>
            <w:tcBorders>
              <w:top w:val="nil"/>
              <w:bottom w:val="nil"/>
            </w:tcBorders>
            <w:shd w:val="clear" w:color="auto" w:fill="D9D9D9" w:themeFill="background1" w:themeFillShade="D9"/>
          </w:tcPr>
          <w:p w14:paraId="6825FC85" w14:textId="0A9BC92C" w:rsidR="009F6351" w:rsidRPr="009F6351" w:rsidRDefault="009F6351" w:rsidP="009F6351">
            <w:pPr>
              <w:pStyle w:val="TableText"/>
              <w:jc w:val="right"/>
              <w:rPr>
                <w:b/>
                <w:bCs/>
              </w:rPr>
            </w:pPr>
            <w:r w:rsidRPr="009F6351">
              <w:rPr>
                <w:b/>
                <w:bCs/>
                <w:w w:val="110"/>
              </w:rPr>
              <w:t>Partial</w:t>
            </w:r>
            <w:r w:rsidRPr="009F6351">
              <w:rPr>
                <w:b/>
                <w:bCs/>
                <w:spacing w:val="-53"/>
                <w:w w:val="110"/>
              </w:rPr>
              <w:t xml:space="preserve"> </w:t>
            </w:r>
            <w:r w:rsidRPr="009F6351">
              <w:rPr>
                <w:b/>
                <w:bCs/>
                <w:spacing w:val="-53"/>
                <w:w w:val="110"/>
              </w:rPr>
              <w:br/>
            </w:r>
            <w:r w:rsidRPr="009F6351">
              <w:rPr>
                <w:b/>
                <w:bCs/>
                <w:spacing w:val="-1"/>
                <w:w w:val="110"/>
              </w:rPr>
              <w:t>(single</w:t>
            </w:r>
            <w:r w:rsidRPr="009F6351">
              <w:rPr>
                <w:b/>
                <w:bCs/>
                <w:spacing w:val="-14"/>
                <w:w w:val="110"/>
              </w:rPr>
              <w:t xml:space="preserve"> </w:t>
            </w:r>
            <w:r w:rsidRPr="009F6351">
              <w:rPr>
                <w:b/>
                <w:bCs/>
                <w:w w:val="110"/>
              </w:rPr>
              <w:t>dose)</w:t>
            </w:r>
          </w:p>
        </w:tc>
        <w:tc>
          <w:tcPr>
            <w:tcW w:w="1329" w:type="dxa"/>
            <w:tcBorders>
              <w:top w:val="nil"/>
              <w:bottom w:val="nil"/>
            </w:tcBorders>
            <w:shd w:val="clear" w:color="auto" w:fill="D9D9D9" w:themeFill="background1" w:themeFillShade="D9"/>
          </w:tcPr>
          <w:p w14:paraId="1455586E" w14:textId="77777777" w:rsidR="009F6351" w:rsidRPr="009F6351" w:rsidRDefault="009F6351" w:rsidP="009F6351">
            <w:pPr>
              <w:pStyle w:val="TableText"/>
              <w:jc w:val="right"/>
              <w:rPr>
                <w:b/>
                <w:bCs/>
              </w:rPr>
            </w:pPr>
            <w:r w:rsidRPr="009F6351">
              <w:rPr>
                <w:b/>
                <w:bCs/>
                <w:w w:val="110"/>
              </w:rPr>
              <w:t>Total</w:t>
            </w:r>
          </w:p>
        </w:tc>
      </w:tr>
      <w:tr w:rsidR="009F6351" w14:paraId="43EE7393" w14:textId="77777777" w:rsidTr="009F6351">
        <w:trPr>
          <w:trHeight w:val="344"/>
        </w:trPr>
        <w:tc>
          <w:tcPr>
            <w:tcW w:w="1560" w:type="dxa"/>
            <w:tcBorders>
              <w:top w:val="nil"/>
            </w:tcBorders>
          </w:tcPr>
          <w:p w14:paraId="6B7ABC0C" w14:textId="77777777" w:rsidR="009F6351" w:rsidRDefault="009F6351" w:rsidP="009F6351">
            <w:pPr>
              <w:pStyle w:val="TableText"/>
            </w:pPr>
            <w:r>
              <w:t>&lt;10</w:t>
            </w:r>
          </w:p>
        </w:tc>
        <w:tc>
          <w:tcPr>
            <w:tcW w:w="1329" w:type="dxa"/>
            <w:tcBorders>
              <w:top w:val="nil"/>
            </w:tcBorders>
          </w:tcPr>
          <w:p w14:paraId="5E8CFBF0" w14:textId="77777777" w:rsidR="009F6351" w:rsidRPr="00B631F9" w:rsidRDefault="009F6351" w:rsidP="00B631F9">
            <w:pPr>
              <w:pStyle w:val="TableText"/>
              <w:jc w:val="right"/>
            </w:pPr>
            <w:r w:rsidRPr="00B631F9">
              <w:t>0</w:t>
            </w:r>
          </w:p>
        </w:tc>
        <w:tc>
          <w:tcPr>
            <w:tcW w:w="1329" w:type="dxa"/>
            <w:tcBorders>
              <w:top w:val="nil"/>
            </w:tcBorders>
          </w:tcPr>
          <w:p w14:paraId="61AA0F76" w14:textId="77777777" w:rsidR="009F6351" w:rsidRPr="00B631F9" w:rsidRDefault="009F6351" w:rsidP="00B631F9">
            <w:pPr>
              <w:pStyle w:val="TableText"/>
              <w:jc w:val="right"/>
            </w:pPr>
            <w:r w:rsidRPr="00B631F9">
              <w:t>0</w:t>
            </w:r>
          </w:p>
        </w:tc>
        <w:tc>
          <w:tcPr>
            <w:tcW w:w="1329" w:type="dxa"/>
            <w:tcBorders>
              <w:top w:val="nil"/>
            </w:tcBorders>
          </w:tcPr>
          <w:p w14:paraId="54200393" w14:textId="77777777" w:rsidR="009F6351" w:rsidRPr="00B631F9" w:rsidRDefault="009F6351" w:rsidP="00B631F9">
            <w:pPr>
              <w:pStyle w:val="TableText"/>
              <w:jc w:val="right"/>
            </w:pPr>
            <w:r w:rsidRPr="00B631F9">
              <w:t>0</w:t>
            </w:r>
          </w:p>
        </w:tc>
        <w:tc>
          <w:tcPr>
            <w:tcW w:w="1329" w:type="dxa"/>
            <w:tcBorders>
              <w:top w:val="nil"/>
            </w:tcBorders>
          </w:tcPr>
          <w:p w14:paraId="6B35F2D8" w14:textId="77777777" w:rsidR="009F6351" w:rsidRDefault="009F6351" w:rsidP="00B631F9">
            <w:pPr>
              <w:pStyle w:val="TableText"/>
              <w:jc w:val="right"/>
            </w:pPr>
            <w:r w:rsidRPr="00B631F9">
              <w:t>0</w:t>
            </w:r>
          </w:p>
        </w:tc>
        <w:tc>
          <w:tcPr>
            <w:tcW w:w="1329" w:type="dxa"/>
            <w:tcBorders>
              <w:top w:val="nil"/>
            </w:tcBorders>
          </w:tcPr>
          <w:p w14:paraId="0FB23D83" w14:textId="77777777" w:rsidR="009F6351" w:rsidRDefault="009F6351" w:rsidP="00B631F9">
            <w:pPr>
              <w:pStyle w:val="TableText"/>
              <w:jc w:val="right"/>
            </w:pPr>
            <w:r w:rsidRPr="00B631F9">
              <w:t>0</w:t>
            </w:r>
          </w:p>
        </w:tc>
      </w:tr>
      <w:tr w:rsidR="009F6351" w14:paraId="3A553291" w14:textId="77777777" w:rsidTr="009F6351">
        <w:trPr>
          <w:trHeight w:val="338"/>
        </w:trPr>
        <w:tc>
          <w:tcPr>
            <w:tcW w:w="1560" w:type="dxa"/>
          </w:tcPr>
          <w:p w14:paraId="2DD4B5F4" w14:textId="77777777" w:rsidR="009F6351" w:rsidRDefault="009F6351" w:rsidP="009F6351">
            <w:pPr>
              <w:pStyle w:val="TableText"/>
            </w:pPr>
            <w:r>
              <w:rPr>
                <w:w w:val="95"/>
              </w:rPr>
              <w:t>10</w:t>
            </w:r>
            <w:r>
              <w:rPr>
                <w:spacing w:val="-8"/>
                <w:w w:val="95"/>
              </w:rPr>
              <w:t xml:space="preserve"> </w:t>
            </w:r>
            <w:r>
              <w:rPr>
                <w:w w:val="95"/>
              </w:rPr>
              <w:t>to</w:t>
            </w:r>
            <w:r>
              <w:rPr>
                <w:spacing w:val="-8"/>
                <w:w w:val="95"/>
              </w:rPr>
              <w:t xml:space="preserve"> </w:t>
            </w:r>
            <w:r>
              <w:rPr>
                <w:w w:val="95"/>
              </w:rPr>
              <w:t>19</w:t>
            </w:r>
          </w:p>
        </w:tc>
        <w:tc>
          <w:tcPr>
            <w:tcW w:w="1329" w:type="dxa"/>
          </w:tcPr>
          <w:p w14:paraId="54552C87" w14:textId="77777777" w:rsidR="009F6351" w:rsidRPr="00B631F9" w:rsidRDefault="009F6351" w:rsidP="00B631F9">
            <w:pPr>
              <w:pStyle w:val="TableText"/>
              <w:jc w:val="right"/>
            </w:pPr>
            <w:r w:rsidRPr="00B631F9">
              <w:t>1</w:t>
            </w:r>
          </w:p>
        </w:tc>
        <w:tc>
          <w:tcPr>
            <w:tcW w:w="1329" w:type="dxa"/>
          </w:tcPr>
          <w:p w14:paraId="629A1D8B" w14:textId="77777777" w:rsidR="009F6351" w:rsidRPr="00B631F9" w:rsidRDefault="009F6351" w:rsidP="00B631F9">
            <w:pPr>
              <w:pStyle w:val="TableText"/>
              <w:jc w:val="right"/>
            </w:pPr>
            <w:r w:rsidRPr="00B631F9">
              <w:t>1</w:t>
            </w:r>
          </w:p>
        </w:tc>
        <w:tc>
          <w:tcPr>
            <w:tcW w:w="1329" w:type="dxa"/>
          </w:tcPr>
          <w:p w14:paraId="4D6C49EB" w14:textId="77777777" w:rsidR="009F6351" w:rsidRPr="00B631F9" w:rsidRDefault="009F6351" w:rsidP="00B631F9">
            <w:pPr>
              <w:pStyle w:val="TableText"/>
              <w:jc w:val="right"/>
            </w:pPr>
            <w:r w:rsidRPr="00B631F9">
              <w:t>0</w:t>
            </w:r>
          </w:p>
        </w:tc>
        <w:tc>
          <w:tcPr>
            <w:tcW w:w="1329" w:type="dxa"/>
          </w:tcPr>
          <w:p w14:paraId="4E5C8FD7" w14:textId="77777777" w:rsidR="009F6351" w:rsidRDefault="009F6351" w:rsidP="00B631F9">
            <w:pPr>
              <w:pStyle w:val="TableText"/>
              <w:jc w:val="right"/>
            </w:pPr>
            <w:r w:rsidRPr="00B631F9">
              <w:t>0</w:t>
            </w:r>
          </w:p>
        </w:tc>
        <w:tc>
          <w:tcPr>
            <w:tcW w:w="1329" w:type="dxa"/>
          </w:tcPr>
          <w:p w14:paraId="50071248" w14:textId="77777777" w:rsidR="009F6351" w:rsidRDefault="009F6351" w:rsidP="00B631F9">
            <w:pPr>
              <w:pStyle w:val="TableText"/>
              <w:jc w:val="right"/>
            </w:pPr>
            <w:r w:rsidRPr="00B631F9">
              <w:t>2</w:t>
            </w:r>
          </w:p>
        </w:tc>
      </w:tr>
      <w:tr w:rsidR="009F6351" w14:paraId="329C875F" w14:textId="77777777" w:rsidTr="009F6351">
        <w:trPr>
          <w:trHeight w:val="338"/>
        </w:trPr>
        <w:tc>
          <w:tcPr>
            <w:tcW w:w="1560" w:type="dxa"/>
          </w:tcPr>
          <w:p w14:paraId="7181B96B" w14:textId="77777777" w:rsidR="009F6351" w:rsidRDefault="009F6351" w:rsidP="009F6351">
            <w:pPr>
              <w:pStyle w:val="TableText"/>
            </w:pPr>
            <w:r>
              <w:rPr>
                <w:w w:val="105"/>
              </w:rPr>
              <w:t>20</w:t>
            </w:r>
            <w:r>
              <w:rPr>
                <w:spacing w:val="-3"/>
                <w:w w:val="105"/>
              </w:rPr>
              <w:t xml:space="preserve"> </w:t>
            </w:r>
            <w:r>
              <w:rPr>
                <w:w w:val="105"/>
              </w:rPr>
              <w:t>to</w:t>
            </w:r>
            <w:r>
              <w:rPr>
                <w:spacing w:val="-2"/>
                <w:w w:val="105"/>
              </w:rPr>
              <w:t xml:space="preserve"> </w:t>
            </w:r>
            <w:r>
              <w:rPr>
                <w:w w:val="105"/>
              </w:rPr>
              <w:t>29</w:t>
            </w:r>
          </w:p>
        </w:tc>
        <w:tc>
          <w:tcPr>
            <w:tcW w:w="1329" w:type="dxa"/>
          </w:tcPr>
          <w:p w14:paraId="18B3286C" w14:textId="77777777" w:rsidR="009F6351" w:rsidRPr="00B631F9" w:rsidRDefault="009F6351" w:rsidP="00B631F9">
            <w:pPr>
              <w:pStyle w:val="TableText"/>
              <w:jc w:val="right"/>
            </w:pPr>
            <w:r w:rsidRPr="00B631F9">
              <w:t>1</w:t>
            </w:r>
          </w:p>
        </w:tc>
        <w:tc>
          <w:tcPr>
            <w:tcW w:w="1329" w:type="dxa"/>
          </w:tcPr>
          <w:p w14:paraId="2C22761A" w14:textId="77777777" w:rsidR="009F6351" w:rsidRPr="00B631F9" w:rsidRDefault="009F6351" w:rsidP="00B631F9">
            <w:pPr>
              <w:pStyle w:val="TableText"/>
              <w:jc w:val="right"/>
            </w:pPr>
            <w:r w:rsidRPr="00B631F9">
              <w:t>1</w:t>
            </w:r>
          </w:p>
        </w:tc>
        <w:tc>
          <w:tcPr>
            <w:tcW w:w="1329" w:type="dxa"/>
          </w:tcPr>
          <w:p w14:paraId="41198622" w14:textId="77777777" w:rsidR="009F6351" w:rsidRPr="00B631F9" w:rsidRDefault="009F6351" w:rsidP="00B631F9">
            <w:pPr>
              <w:pStyle w:val="TableText"/>
              <w:jc w:val="right"/>
            </w:pPr>
            <w:r w:rsidRPr="00B631F9">
              <w:t>0</w:t>
            </w:r>
          </w:p>
        </w:tc>
        <w:tc>
          <w:tcPr>
            <w:tcW w:w="1329" w:type="dxa"/>
          </w:tcPr>
          <w:p w14:paraId="0B3B9328" w14:textId="77777777" w:rsidR="009F6351" w:rsidRDefault="009F6351" w:rsidP="00B631F9">
            <w:pPr>
              <w:pStyle w:val="TableText"/>
              <w:jc w:val="right"/>
            </w:pPr>
            <w:r w:rsidRPr="00B631F9">
              <w:t>0</w:t>
            </w:r>
          </w:p>
        </w:tc>
        <w:tc>
          <w:tcPr>
            <w:tcW w:w="1329" w:type="dxa"/>
          </w:tcPr>
          <w:p w14:paraId="07891FFB" w14:textId="77777777" w:rsidR="009F6351" w:rsidRDefault="009F6351" w:rsidP="00B631F9">
            <w:pPr>
              <w:pStyle w:val="TableText"/>
              <w:jc w:val="right"/>
            </w:pPr>
            <w:r w:rsidRPr="00B631F9">
              <w:t>2</w:t>
            </w:r>
          </w:p>
        </w:tc>
      </w:tr>
      <w:tr w:rsidR="009F6351" w14:paraId="21CEA9E2" w14:textId="77777777" w:rsidTr="009F6351">
        <w:trPr>
          <w:trHeight w:val="359"/>
        </w:trPr>
        <w:tc>
          <w:tcPr>
            <w:tcW w:w="1560" w:type="dxa"/>
          </w:tcPr>
          <w:p w14:paraId="3A022147" w14:textId="77777777" w:rsidR="009F6351" w:rsidRDefault="009F6351" w:rsidP="009F6351">
            <w:pPr>
              <w:pStyle w:val="TableText"/>
            </w:pPr>
            <w:r>
              <w:rPr>
                <w:w w:val="110"/>
              </w:rPr>
              <w:t>30</w:t>
            </w:r>
            <w:r>
              <w:rPr>
                <w:spacing w:val="-13"/>
                <w:w w:val="110"/>
              </w:rPr>
              <w:t xml:space="preserve"> </w:t>
            </w:r>
            <w:r>
              <w:rPr>
                <w:w w:val="110"/>
              </w:rPr>
              <w:t>to</w:t>
            </w:r>
            <w:r>
              <w:rPr>
                <w:spacing w:val="-12"/>
                <w:w w:val="110"/>
              </w:rPr>
              <w:t xml:space="preserve"> </w:t>
            </w:r>
            <w:r>
              <w:rPr>
                <w:w w:val="110"/>
              </w:rPr>
              <w:t>39</w:t>
            </w:r>
          </w:p>
        </w:tc>
        <w:tc>
          <w:tcPr>
            <w:tcW w:w="1329" w:type="dxa"/>
          </w:tcPr>
          <w:p w14:paraId="7EC36B7E" w14:textId="77777777" w:rsidR="009F6351" w:rsidRPr="00B631F9" w:rsidRDefault="009F6351" w:rsidP="00B631F9">
            <w:pPr>
              <w:pStyle w:val="TableText"/>
              <w:jc w:val="right"/>
            </w:pPr>
            <w:r w:rsidRPr="00B631F9">
              <w:t>3</w:t>
            </w:r>
          </w:p>
        </w:tc>
        <w:tc>
          <w:tcPr>
            <w:tcW w:w="1329" w:type="dxa"/>
          </w:tcPr>
          <w:p w14:paraId="29FFC4A6" w14:textId="77777777" w:rsidR="009F6351" w:rsidRPr="00B631F9" w:rsidRDefault="009F6351" w:rsidP="00B631F9">
            <w:pPr>
              <w:pStyle w:val="TableText"/>
              <w:jc w:val="right"/>
            </w:pPr>
            <w:r w:rsidRPr="00B631F9">
              <w:t>3</w:t>
            </w:r>
          </w:p>
        </w:tc>
        <w:tc>
          <w:tcPr>
            <w:tcW w:w="1329" w:type="dxa"/>
          </w:tcPr>
          <w:p w14:paraId="5427E227" w14:textId="77777777" w:rsidR="009F6351" w:rsidRPr="00B631F9" w:rsidRDefault="009F6351" w:rsidP="00B631F9">
            <w:pPr>
              <w:pStyle w:val="TableText"/>
              <w:jc w:val="right"/>
            </w:pPr>
            <w:r w:rsidRPr="00B631F9">
              <w:t>0</w:t>
            </w:r>
          </w:p>
        </w:tc>
        <w:tc>
          <w:tcPr>
            <w:tcW w:w="1329" w:type="dxa"/>
          </w:tcPr>
          <w:p w14:paraId="191BE7CF" w14:textId="77777777" w:rsidR="009F6351" w:rsidRDefault="009F6351" w:rsidP="00B631F9">
            <w:pPr>
              <w:pStyle w:val="TableText"/>
              <w:jc w:val="right"/>
            </w:pPr>
            <w:r w:rsidRPr="00B631F9">
              <w:t>0</w:t>
            </w:r>
          </w:p>
        </w:tc>
        <w:tc>
          <w:tcPr>
            <w:tcW w:w="1329" w:type="dxa"/>
          </w:tcPr>
          <w:p w14:paraId="5E98AA6B" w14:textId="77777777" w:rsidR="009F6351" w:rsidRDefault="009F6351" w:rsidP="00B631F9">
            <w:pPr>
              <w:pStyle w:val="TableText"/>
              <w:jc w:val="right"/>
            </w:pPr>
            <w:r w:rsidRPr="00B631F9">
              <w:t>6</w:t>
            </w:r>
          </w:p>
        </w:tc>
      </w:tr>
      <w:tr w:rsidR="009F6351" w14:paraId="20F17608" w14:textId="77777777" w:rsidTr="009F6351">
        <w:trPr>
          <w:trHeight w:val="338"/>
        </w:trPr>
        <w:tc>
          <w:tcPr>
            <w:tcW w:w="1560" w:type="dxa"/>
          </w:tcPr>
          <w:p w14:paraId="105802DE" w14:textId="77777777" w:rsidR="009F6351" w:rsidRDefault="009F6351" w:rsidP="009F6351">
            <w:pPr>
              <w:pStyle w:val="TableText"/>
            </w:pPr>
            <w:r>
              <w:rPr>
                <w:w w:val="110"/>
              </w:rPr>
              <w:t>40</w:t>
            </w:r>
            <w:r>
              <w:rPr>
                <w:spacing w:val="-8"/>
                <w:w w:val="110"/>
              </w:rPr>
              <w:t xml:space="preserve"> </w:t>
            </w:r>
            <w:r>
              <w:rPr>
                <w:w w:val="110"/>
              </w:rPr>
              <w:t>to</w:t>
            </w:r>
            <w:r>
              <w:rPr>
                <w:spacing w:val="-8"/>
                <w:w w:val="110"/>
              </w:rPr>
              <w:t xml:space="preserve"> </w:t>
            </w:r>
            <w:r>
              <w:rPr>
                <w:w w:val="110"/>
              </w:rPr>
              <w:t>49</w:t>
            </w:r>
          </w:p>
        </w:tc>
        <w:tc>
          <w:tcPr>
            <w:tcW w:w="1329" w:type="dxa"/>
          </w:tcPr>
          <w:p w14:paraId="1B72C83B" w14:textId="77777777" w:rsidR="009F6351" w:rsidRPr="00B631F9" w:rsidRDefault="009F6351" w:rsidP="00B631F9">
            <w:pPr>
              <w:pStyle w:val="TableText"/>
              <w:jc w:val="right"/>
            </w:pPr>
            <w:r w:rsidRPr="00B631F9">
              <w:t>5</w:t>
            </w:r>
          </w:p>
        </w:tc>
        <w:tc>
          <w:tcPr>
            <w:tcW w:w="1329" w:type="dxa"/>
          </w:tcPr>
          <w:p w14:paraId="1D784126" w14:textId="77777777" w:rsidR="009F6351" w:rsidRPr="00B631F9" w:rsidRDefault="009F6351" w:rsidP="00B631F9">
            <w:pPr>
              <w:pStyle w:val="TableText"/>
              <w:jc w:val="right"/>
            </w:pPr>
            <w:r w:rsidRPr="00B631F9">
              <w:t>8</w:t>
            </w:r>
          </w:p>
        </w:tc>
        <w:tc>
          <w:tcPr>
            <w:tcW w:w="1329" w:type="dxa"/>
          </w:tcPr>
          <w:p w14:paraId="29680DBF" w14:textId="77777777" w:rsidR="009F6351" w:rsidRDefault="009F6351" w:rsidP="00B631F9">
            <w:pPr>
              <w:pStyle w:val="TableText"/>
              <w:jc w:val="right"/>
            </w:pPr>
            <w:r w:rsidRPr="00B631F9">
              <w:t>2</w:t>
            </w:r>
          </w:p>
        </w:tc>
        <w:tc>
          <w:tcPr>
            <w:tcW w:w="1329" w:type="dxa"/>
          </w:tcPr>
          <w:p w14:paraId="17E4220B" w14:textId="77777777" w:rsidR="009F6351" w:rsidRDefault="009F6351" w:rsidP="00B631F9">
            <w:pPr>
              <w:pStyle w:val="TableText"/>
              <w:jc w:val="right"/>
            </w:pPr>
            <w:r w:rsidRPr="00B631F9">
              <w:t>0</w:t>
            </w:r>
          </w:p>
        </w:tc>
        <w:tc>
          <w:tcPr>
            <w:tcW w:w="1329" w:type="dxa"/>
          </w:tcPr>
          <w:p w14:paraId="25FAC8AE" w14:textId="77777777" w:rsidR="009F6351" w:rsidRDefault="009F6351" w:rsidP="00B631F9">
            <w:pPr>
              <w:pStyle w:val="TableText"/>
              <w:jc w:val="right"/>
            </w:pPr>
            <w:r w:rsidRPr="00B631F9">
              <w:t>15</w:t>
            </w:r>
          </w:p>
        </w:tc>
      </w:tr>
      <w:tr w:rsidR="009F6351" w14:paraId="52E6C44F" w14:textId="77777777" w:rsidTr="009F6351">
        <w:trPr>
          <w:trHeight w:val="338"/>
        </w:trPr>
        <w:tc>
          <w:tcPr>
            <w:tcW w:w="1560" w:type="dxa"/>
          </w:tcPr>
          <w:p w14:paraId="6A49DAEF" w14:textId="77777777" w:rsidR="009F6351" w:rsidRDefault="009F6351" w:rsidP="009F6351">
            <w:pPr>
              <w:pStyle w:val="TableText"/>
            </w:pPr>
            <w:r>
              <w:rPr>
                <w:w w:val="110"/>
              </w:rPr>
              <w:t>50</w:t>
            </w:r>
            <w:r>
              <w:rPr>
                <w:spacing w:val="-8"/>
                <w:w w:val="110"/>
              </w:rPr>
              <w:t xml:space="preserve"> </w:t>
            </w:r>
            <w:r>
              <w:rPr>
                <w:w w:val="110"/>
              </w:rPr>
              <w:t>to</w:t>
            </w:r>
            <w:r>
              <w:rPr>
                <w:spacing w:val="-8"/>
                <w:w w:val="110"/>
              </w:rPr>
              <w:t xml:space="preserve"> </w:t>
            </w:r>
            <w:r>
              <w:rPr>
                <w:w w:val="110"/>
              </w:rPr>
              <w:t>59</w:t>
            </w:r>
          </w:p>
        </w:tc>
        <w:tc>
          <w:tcPr>
            <w:tcW w:w="1329" w:type="dxa"/>
          </w:tcPr>
          <w:p w14:paraId="2E60EE59" w14:textId="77777777" w:rsidR="009F6351" w:rsidRPr="00B631F9" w:rsidRDefault="009F6351" w:rsidP="00B631F9">
            <w:pPr>
              <w:pStyle w:val="TableText"/>
              <w:jc w:val="right"/>
            </w:pPr>
            <w:r w:rsidRPr="00B631F9">
              <w:t>15</w:t>
            </w:r>
          </w:p>
        </w:tc>
        <w:tc>
          <w:tcPr>
            <w:tcW w:w="1329" w:type="dxa"/>
          </w:tcPr>
          <w:p w14:paraId="57A498E8" w14:textId="77777777" w:rsidR="009F6351" w:rsidRPr="00B631F9" w:rsidRDefault="009F6351" w:rsidP="00B631F9">
            <w:pPr>
              <w:pStyle w:val="TableText"/>
              <w:jc w:val="right"/>
            </w:pPr>
            <w:r w:rsidRPr="00B631F9">
              <w:t>15</w:t>
            </w:r>
          </w:p>
        </w:tc>
        <w:tc>
          <w:tcPr>
            <w:tcW w:w="1329" w:type="dxa"/>
          </w:tcPr>
          <w:p w14:paraId="608AEE8C" w14:textId="77777777" w:rsidR="009F6351" w:rsidRDefault="009F6351" w:rsidP="00B631F9">
            <w:pPr>
              <w:pStyle w:val="TableText"/>
              <w:jc w:val="right"/>
            </w:pPr>
            <w:r w:rsidRPr="00B631F9">
              <w:t>19</w:t>
            </w:r>
          </w:p>
        </w:tc>
        <w:tc>
          <w:tcPr>
            <w:tcW w:w="1329" w:type="dxa"/>
          </w:tcPr>
          <w:p w14:paraId="4CEE4AC6" w14:textId="77777777" w:rsidR="009F6351" w:rsidRDefault="009F6351" w:rsidP="00B631F9">
            <w:pPr>
              <w:pStyle w:val="TableText"/>
              <w:jc w:val="right"/>
            </w:pPr>
            <w:r w:rsidRPr="00B631F9">
              <w:t>2</w:t>
            </w:r>
          </w:p>
        </w:tc>
        <w:tc>
          <w:tcPr>
            <w:tcW w:w="1329" w:type="dxa"/>
          </w:tcPr>
          <w:p w14:paraId="6CB76691" w14:textId="77777777" w:rsidR="009F6351" w:rsidRDefault="009F6351" w:rsidP="00B631F9">
            <w:pPr>
              <w:pStyle w:val="TableText"/>
              <w:jc w:val="right"/>
            </w:pPr>
            <w:r w:rsidRPr="00B631F9">
              <w:t>51</w:t>
            </w:r>
          </w:p>
        </w:tc>
      </w:tr>
      <w:tr w:rsidR="009F6351" w14:paraId="5597E588" w14:textId="77777777" w:rsidTr="009F6351">
        <w:trPr>
          <w:trHeight w:val="338"/>
        </w:trPr>
        <w:tc>
          <w:tcPr>
            <w:tcW w:w="1560" w:type="dxa"/>
          </w:tcPr>
          <w:p w14:paraId="7A05D972" w14:textId="77777777" w:rsidR="009F6351" w:rsidRDefault="009F6351" w:rsidP="009F6351">
            <w:pPr>
              <w:pStyle w:val="TableText"/>
            </w:pPr>
            <w:r>
              <w:rPr>
                <w:w w:val="110"/>
              </w:rPr>
              <w:t>60</w:t>
            </w:r>
            <w:r>
              <w:rPr>
                <w:spacing w:val="-7"/>
                <w:w w:val="110"/>
              </w:rPr>
              <w:t xml:space="preserve"> </w:t>
            </w:r>
            <w:r>
              <w:rPr>
                <w:w w:val="110"/>
              </w:rPr>
              <w:t>to</w:t>
            </w:r>
            <w:r>
              <w:rPr>
                <w:spacing w:val="-7"/>
                <w:w w:val="110"/>
              </w:rPr>
              <w:t xml:space="preserve"> </w:t>
            </w:r>
            <w:r>
              <w:rPr>
                <w:w w:val="110"/>
              </w:rPr>
              <w:t>69</w:t>
            </w:r>
          </w:p>
        </w:tc>
        <w:tc>
          <w:tcPr>
            <w:tcW w:w="1329" w:type="dxa"/>
          </w:tcPr>
          <w:p w14:paraId="4D73E6F2" w14:textId="77777777" w:rsidR="009F6351" w:rsidRPr="00B631F9" w:rsidRDefault="009F6351" w:rsidP="00B631F9">
            <w:pPr>
              <w:pStyle w:val="TableText"/>
              <w:jc w:val="right"/>
            </w:pPr>
            <w:r w:rsidRPr="00B631F9">
              <w:t>23</w:t>
            </w:r>
          </w:p>
        </w:tc>
        <w:tc>
          <w:tcPr>
            <w:tcW w:w="1329" w:type="dxa"/>
          </w:tcPr>
          <w:p w14:paraId="726FA78E" w14:textId="77777777" w:rsidR="009F6351" w:rsidRPr="00B631F9" w:rsidRDefault="009F6351" w:rsidP="00B631F9">
            <w:pPr>
              <w:pStyle w:val="TableText"/>
              <w:jc w:val="right"/>
            </w:pPr>
            <w:r w:rsidRPr="00B631F9">
              <w:t>33</w:t>
            </w:r>
          </w:p>
        </w:tc>
        <w:tc>
          <w:tcPr>
            <w:tcW w:w="1329" w:type="dxa"/>
          </w:tcPr>
          <w:p w14:paraId="407BE407" w14:textId="77777777" w:rsidR="009F6351" w:rsidRDefault="009F6351" w:rsidP="00B631F9">
            <w:pPr>
              <w:pStyle w:val="TableText"/>
              <w:jc w:val="right"/>
            </w:pPr>
            <w:r w:rsidRPr="00B631F9">
              <w:t>46</w:t>
            </w:r>
          </w:p>
        </w:tc>
        <w:tc>
          <w:tcPr>
            <w:tcW w:w="1329" w:type="dxa"/>
          </w:tcPr>
          <w:p w14:paraId="6BE7BAAE" w14:textId="77777777" w:rsidR="009F6351" w:rsidRDefault="009F6351" w:rsidP="00B631F9">
            <w:pPr>
              <w:pStyle w:val="TableText"/>
              <w:jc w:val="right"/>
            </w:pPr>
            <w:r w:rsidRPr="00B631F9">
              <w:t>3</w:t>
            </w:r>
          </w:p>
        </w:tc>
        <w:tc>
          <w:tcPr>
            <w:tcW w:w="1329" w:type="dxa"/>
          </w:tcPr>
          <w:p w14:paraId="33F192C2" w14:textId="77777777" w:rsidR="009F6351" w:rsidRDefault="009F6351" w:rsidP="00B631F9">
            <w:pPr>
              <w:pStyle w:val="TableText"/>
              <w:jc w:val="right"/>
            </w:pPr>
            <w:r>
              <w:t>105</w:t>
            </w:r>
          </w:p>
        </w:tc>
      </w:tr>
      <w:tr w:rsidR="009F6351" w14:paraId="38331247" w14:textId="77777777" w:rsidTr="009F6351">
        <w:trPr>
          <w:trHeight w:val="338"/>
        </w:trPr>
        <w:tc>
          <w:tcPr>
            <w:tcW w:w="1560" w:type="dxa"/>
          </w:tcPr>
          <w:p w14:paraId="3F4D7011" w14:textId="77777777" w:rsidR="009F6351" w:rsidRDefault="009F6351" w:rsidP="009F6351">
            <w:pPr>
              <w:pStyle w:val="TableText"/>
            </w:pPr>
            <w:r>
              <w:rPr>
                <w:w w:val="105"/>
              </w:rPr>
              <w:t>70</w:t>
            </w:r>
            <w:r>
              <w:rPr>
                <w:spacing w:val="-6"/>
                <w:w w:val="105"/>
              </w:rPr>
              <w:t xml:space="preserve"> </w:t>
            </w:r>
            <w:r>
              <w:rPr>
                <w:w w:val="105"/>
              </w:rPr>
              <w:t>to</w:t>
            </w:r>
            <w:r>
              <w:rPr>
                <w:spacing w:val="-5"/>
                <w:w w:val="105"/>
              </w:rPr>
              <w:t xml:space="preserve"> </w:t>
            </w:r>
            <w:r>
              <w:rPr>
                <w:w w:val="105"/>
              </w:rPr>
              <w:t>79</w:t>
            </w:r>
          </w:p>
        </w:tc>
        <w:tc>
          <w:tcPr>
            <w:tcW w:w="1329" w:type="dxa"/>
          </w:tcPr>
          <w:p w14:paraId="18D117F7" w14:textId="77777777" w:rsidR="009F6351" w:rsidRDefault="009F6351" w:rsidP="00B631F9">
            <w:pPr>
              <w:pStyle w:val="TableText"/>
              <w:jc w:val="right"/>
            </w:pPr>
            <w:r w:rsidRPr="00B631F9">
              <w:t>43</w:t>
            </w:r>
          </w:p>
        </w:tc>
        <w:tc>
          <w:tcPr>
            <w:tcW w:w="1329" w:type="dxa"/>
          </w:tcPr>
          <w:p w14:paraId="289125C4" w14:textId="77777777" w:rsidR="009F6351" w:rsidRDefault="009F6351" w:rsidP="00B631F9">
            <w:pPr>
              <w:pStyle w:val="TableText"/>
              <w:jc w:val="right"/>
            </w:pPr>
            <w:r w:rsidRPr="00B631F9">
              <w:t>57</w:t>
            </w:r>
          </w:p>
        </w:tc>
        <w:tc>
          <w:tcPr>
            <w:tcW w:w="1329" w:type="dxa"/>
          </w:tcPr>
          <w:p w14:paraId="63628B2B" w14:textId="77777777" w:rsidR="009F6351" w:rsidRDefault="009F6351" w:rsidP="00B631F9">
            <w:pPr>
              <w:pStyle w:val="TableText"/>
              <w:jc w:val="right"/>
            </w:pPr>
            <w:r>
              <w:t>130</w:t>
            </w:r>
          </w:p>
        </w:tc>
        <w:tc>
          <w:tcPr>
            <w:tcW w:w="1329" w:type="dxa"/>
          </w:tcPr>
          <w:p w14:paraId="5681EEF3" w14:textId="77777777" w:rsidR="009F6351" w:rsidRDefault="009F6351" w:rsidP="00B631F9">
            <w:pPr>
              <w:pStyle w:val="TableText"/>
              <w:jc w:val="right"/>
            </w:pPr>
            <w:r w:rsidRPr="00B631F9">
              <w:t>4</w:t>
            </w:r>
          </w:p>
        </w:tc>
        <w:tc>
          <w:tcPr>
            <w:tcW w:w="1329" w:type="dxa"/>
          </w:tcPr>
          <w:p w14:paraId="51B8C38E" w14:textId="77777777" w:rsidR="009F6351" w:rsidRDefault="009F6351" w:rsidP="00B631F9">
            <w:pPr>
              <w:pStyle w:val="TableText"/>
              <w:jc w:val="right"/>
            </w:pPr>
            <w:r w:rsidRPr="00B631F9">
              <w:t>234</w:t>
            </w:r>
          </w:p>
        </w:tc>
      </w:tr>
      <w:tr w:rsidR="009F6351" w14:paraId="046B1BC4" w14:textId="77777777" w:rsidTr="009F6351">
        <w:trPr>
          <w:trHeight w:val="338"/>
        </w:trPr>
        <w:tc>
          <w:tcPr>
            <w:tcW w:w="1560" w:type="dxa"/>
          </w:tcPr>
          <w:p w14:paraId="1A50F2A8" w14:textId="77777777" w:rsidR="009F6351" w:rsidRDefault="009F6351" w:rsidP="009F6351">
            <w:pPr>
              <w:pStyle w:val="TableText"/>
            </w:pPr>
            <w:r>
              <w:rPr>
                <w:w w:val="110"/>
              </w:rPr>
              <w:t>80</w:t>
            </w:r>
            <w:r>
              <w:rPr>
                <w:spacing w:val="-8"/>
                <w:w w:val="110"/>
              </w:rPr>
              <w:t xml:space="preserve"> </w:t>
            </w:r>
            <w:r>
              <w:rPr>
                <w:w w:val="110"/>
              </w:rPr>
              <w:t>to</w:t>
            </w:r>
            <w:r>
              <w:rPr>
                <w:spacing w:val="-7"/>
                <w:w w:val="110"/>
              </w:rPr>
              <w:t xml:space="preserve"> </w:t>
            </w:r>
            <w:r>
              <w:rPr>
                <w:w w:val="110"/>
              </w:rPr>
              <w:t>89</w:t>
            </w:r>
          </w:p>
        </w:tc>
        <w:tc>
          <w:tcPr>
            <w:tcW w:w="1329" w:type="dxa"/>
          </w:tcPr>
          <w:p w14:paraId="2E79C7BC" w14:textId="77777777" w:rsidR="009F6351" w:rsidRDefault="009F6351" w:rsidP="00B631F9">
            <w:pPr>
              <w:pStyle w:val="TableText"/>
              <w:jc w:val="right"/>
            </w:pPr>
            <w:r w:rsidRPr="00B631F9">
              <w:t>53</w:t>
            </w:r>
          </w:p>
        </w:tc>
        <w:tc>
          <w:tcPr>
            <w:tcW w:w="1329" w:type="dxa"/>
          </w:tcPr>
          <w:p w14:paraId="10F053B0" w14:textId="77777777" w:rsidR="009F6351" w:rsidRDefault="009F6351" w:rsidP="00B631F9">
            <w:pPr>
              <w:pStyle w:val="TableText"/>
              <w:jc w:val="right"/>
            </w:pPr>
            <w:r w:rsidRPr="00B631F9">
              <w:t>70</w:t>
            </w:r>
          </w:p>
        </w:tc>
        <w:tc>
          <w:tcPr>
            <w:tcW w:w="1329" w:type="dxa"/>
          </w:tcPr>
          <w:p w14:paraId="6EC738FD" w14:textId="77777777" w:rsidR="009F6351" w:rsidRDefault="009F6351" w:rsidP="00B631F9">
            <w:pPr>
              <w:pStyle w:val="TableText"/>
              <w:jc w:val="right"/>
            </w:pPr>
            <w:r w:rsidRPr="00B631F9">
              <w:t>259</w:t>
            </w:r>
          </w:p>
        </w:tc>
        <w:tc>
          <w:tcPr>
            <w:tcW w:w="1329" w:type="dxa"/>
          </w:tcPr>
          <w:p w14:paraId="6BE228A2" w14:textId="77777777" w:rsidR="009F6351" w:rsidRDefault="009F6351" w:rsidP="00B631F9">
            <w:pPr>
              <w:pStyle w:val="TableText"/>
              <w:jc w:val="right"/>
            </w:pPr>
            <w:r w:rsidRPr="00B631F9">
              <w:t>9</w:t>
            </w:r>
          </w:p>
        </w:tc>
        <w:tc>
          <w:tcPr>
            <w:tcW w:w="1329" w:type="dxa"/>
          </w:tcPr>
          <w:p w14:paraId="5E3DD040" w14:textId="77777777" w:rsidR="009F6351" w:rsidRDefault="009F6351" w:rsidP="00B631F9">
            <w:pPr>
              <w:pStyle w:val="TableText"/>
              <w:jc w:val="right"/>
            </w:pPr>
            <w:r>
              <w:t>391</w:t>
            </w:r>
          </w:p>
        </w:tc>
      </w:tr>
      <w:tr w:rsidR="009F6351" w14:paraId="5859D5EB" w14:textId="77777777" w:rsidTr="009F6351">
        <w:trPr>
          <w:trHeight w:val="338"/>
        </w:trPr>
        <w:tc>
          <w:tcPr>
            <w:tcW w:w="1560" w:type="dxa"/>
          </w:tcPr>
          <w:p w14:paraId="1C14F2FD" w14:textId="77777777" w:rsidR="009F6351" w:rsidRDefault="009F6351" w:rsidP="009F6351">
            <w:pPr>
              <w:pStyle w:val="TableText"/>
            </w:pPr>
            <w:r>
              <w:rPr>
                <w:w w:val="115"/>
              </w:rPr>
              <w:t>90+</w:t>
            </w:r>
          </w:p>
        </w:tc>
        <w:tc>
          <w:tcPr>
            <w:tcW w:w="1329" w:type="dxa"/>
          </w:tcPr>
          <w:p w14:paraId="6ABAA402" w14:textId="77777777" w:rsidR="009F6351" w:rsidRDefault="009F6351" w:rsidP="00B631F9">
            <w:pPr>
              <w:pStyle w:val="TableText"/>
              <w:jc w:val="right"/>
            </w:pPr>
            <w:r w:rsidRPr="00B631F9">
              <w:t>50</w:t>
            </w:r>
          </w:p>
        </w:tc>
        <w:tc>
          <w:tcPr>
            <w:tcW w:w="1329" w:type="dxa"/>
          </w:tcPr>
          <w:p w14:paraId="1532C13D" w14:textId="77777777" w:rsidR="009F6351" w:rsidRDefault="009F6351" w:rsidP="00B631F9">
            <w:pPr>
              <w:pStyle w:val="TableText"/>
              <w:jc w:val="right"/>
            </w:pPr>
            <w:r w:rsidRPr="00B631F9">
              <w:t>49</w:t>
            </w:r>
          </w:p>
        </w:tc>
        <w:tc>
          <w:tcPr>
            <w:tcW w:w="1329" w:type="dxa"/>
          </w:tcPr>
          <w:p w14:paraId="572BF2D6" w14:textId="77777777" w:rsidR="009F6351" w:rsidRDefault="009F6351" w:rsidP="00B631F9">
            <w:pPr>
              <w:pStyle w:val="TableText"/>
              <w:jc w:val="right"/>
            </w:pPr>
            <w:r>
              <w:t>197</w:t>
            </w:r>
          </w:p>
        </w:tc>
        <w:tc>
          <w:tcPr>
            <w:tcW w:w="1329" w:type="dxa"/>
          </w:tcPr>
          <w:p w14:paraId="4C0FE5FD" w14:textId="77777777" w:rsidR="009F6351" w:rsidRPr="00B631F9" w:rsidRDefault="009F6351" w:rsidP="00B631F9">
            <w:pPr>
              <w:pStyle w:val="TableText"/>
              <w:jc w:val="right"/>
            </w:pPr>
            <w:r w:rsidRPr="00B631F9">
              <w:t>11</w:t>
            </w:r>
          </w:p>
        </w:tc>
        <w:tc>
          <w:tcPr>
            <w:tcW w:w="1329" w:type="dxa"/>
          </w:tcPr>
          <w:p w14:paraId="18F70A7B" w14:textId="77777777" w:rsidR="009F6351" w:rsidRDefault="009F6351" w:rsidP="00B631F9">
            <w:pPr>
              <w:pStyle w:val="TableText"/>
              <w:jc w:val="right"/>
            </w:pPr>
            <w:r w:rsidRPr="00B631F9">
              <w:t>307</w:t>
            </w:r>
          </w:p>
        </w:tc>
      </w:tr>
      <w:tr w:rsidR="009F6351" w:rsidRPr="00B74840" w14:paraId="6FDBE26A" w14:textId="77777777" w:rsidTr="009F6351">
        <w:trPr>
          <w:trHeight w:val="333"/>
        </w:trPr>
        <w:tc>
          <w:tcPr>
            <w:tcW w:w="1560" w:type="dxa"/>
          </w:tcPr>
          <w:p w14:paraId="09706BEB" w14:textId="77777777" w:rsidR="009F6351" w:rsidRPr="00B74840" w:rsidRDefault="009F6351" w:rsidP="009F6351">
            <w:pPr>
              <w:pStyle w:val="TableText"/>
              <w:rPr>
                <w:b/>
                <w:bCs/>
              </w:rPr>
            </w:pPr>
            <w:r w:rsidRPr="00B74840">
              <w:rPr>
                <w:b/>
                <w:bCs/>
                <w:w w:val="115"/>
              </w:rPr>
              <w:t>Total</w:t>
            </w:r>
          </w:p>
        </w:tc>
        <w:tc>
          <w:tcPr>
            <w:tcW w:w="1329" w:type="dxa"/>
          </w:tcPr>
          <w:p w14:paraId="38E8DE27" w14:textId="77777777" w:rsidR="009F6351" w:rsidRPr="00B74840" w:rsidRDefault="009F6351" w:rsidP="009F6351">
            <w:pPr>
              <w:pStyle w:val="TableText"/>
              <w:jc w:val="right"/>
              <w:rPr>
                <w:b/>
                <w:bCs/>
              </w:rPr>
            </w:pPr>
            <w:r w:rsidRPr="00B74840">
              <w:rPr>
                <w:b/>
                <w:bCs/>
              </w:rPr>
              <w:t>194</w:t>
            </w:r>
          </w:p>
        </w:tc>
        <w:tc>
          <w:tcPr>
            <w:tcW w:w="1329" w:type="dxa"/>
          </w:tcPr>
          <w:p w14:paraId="589F5875" w14:textId="77777777" w:rsidR="009F6351" w:rsidRPr="00B74840" w:rsidRDefault="009F6351" w:rsidP="009F6351">
            <w:pPr>
              <w:pStyle w:val="TableText"/>
              <w:jc w:val="right"/>
              <w:rPr>
                <w:b/>
                <w:bCs/>
              </w:rPr>
            </w:pPr>
            <w:r w:rsidRPr="00B74840">
              <w:rPr>
                <w:b/>
                <w:bCs/>
              </w:rPr>
              <w:t>237</w:t>
            </w:r>
          </w:p>
        </w:tc>
        <w:tc>
          <w:tcPr>
            <w:tcW w:w="1329" w:type="dxa"/>
          </w:tcPr>
          <w:p w14:paraId="7411559F" w14:textId="77777777" w:rsidR="009F6351" w:rsidRPr="00B74840" w:rsidRDefault="009F6351" w:rsidP="009F6351">
            <w:pPr>
              <w:pStyle w:val="TableText"/>
              <w:jc w:val="right"/>
              <w:rPr>
                <w:b/>
                <w:bCs/>
              </w:rPr>
            </w:pPr>
            <w:r w:rsidRPr="00B74840">
              <w:rPr>
                <w:b/>
                <w:bCs/>
                <w:w w:val="110"/>
              </w:rPr>
              <w:t>653</w:t>
            </w:r>
          </w:p>
        </w:tc>
        <w:tc>
          <w:tcPr>
            <w:tcW w:w="1329" w:type="dxa"/>
          </w:tcPr>
          <w:p w14:paraId="580E9BC9" w14:textId="77777777" w:rsidR="009F6351" w:rsidRPr="00B74840" w:rsidRDefault="009F6351" w:rsidP="009F6351">
            <w:pPr>
              <w:pStyle w:val="TableText"/>
              <w:jc w:val="right"/>
              <w:rPr>
                <w:b/>
                <w:bCs/>
              </w:rPr>
            </w:pPr>
            <w:r w:rsidRPr="00B74840">
              <w:rPr>
                <w:b/>
                <w:bCs/>
                <w:w w:val="105"/>
              </w:rPr>
              <w:t>29</w:t>
            </w:r>
          </w:p>
        </w:tc>
        <w:tc>
          <w:tcPr>
            <w:tcW w:w="1329" w:type="dxa"/>
          </w:tcPr>
          <w:p w14:paraId="437B64EE" w14:textId="77777777" w:rsidR="009F6351" w:rsidRPr="00B631F9" w:rsidRDefault="009F6351" w:rsidP="009F6351">
            <w:pPr>
              <w:pStyle w:val="TableText"/>
              <w:jc w:val="right"/>
              <w:rPr>
                <w:b/>
                <w:bCs/>
              </w:rPr>
            </w:pPr>
            <w:r w:rsidRPr="00B631F9">
              <w:rPr>
                <w:b/>
                <w:bCs/>
              </w:rPr>
              <w:t>1,113</w:t>
            </w:r>
          </w:p>
        </w:tc>
      </w:tr>
    </w:tbl>
    <w:p w14:paraId="4D5882F5" w14:textId="77777777" w:rsidR="009F6351" w:rsidRPr="009F6351" w:rsidRDefault="009F6351" w:rsidP="00AB0266">
      <w:pPr>
        <w:pStyle w:val="Heading4"/>
      </w:pPr>
      <w:r w:rsidRPr="009F6351">
        <w:t>COVID-19 deaths by ethnicity</w:t>
      </w:r>
    </w:p>
    <w:p w14:paraId="3D56768A" w14:textId="1E3D3BFD" w:rsidR="009F6351" w:rsidRDefault="009F6351" w:rsidP="009F6351">
      <w:pPr>
        <w:rPr>
          <w:rFonts w:eastAsia="Arial Unicode MS"/>
        </w:rPr>
      </w:pPr>
      <w:r w:rsidRPr="009F6351">
        <w:rPr>
          <w:rFonts w:eastAsia="Arial Unicode MS"/>
        </w:rPr>
        <w:t>The following outlines the total number of deaths associated to COVID-19 in Aotearoa by the ethnicity of the individual (as at 30 June 2022).</w:t>
      </w:r>
    </w:p>
    <w:p w14:paraId="2E3308F1" w14:textId="77777777" w:rsidR="009F6351" w:rsidRDefault="009F6351" w:rsidP="009F6351">
      <w:pPr>
        <w:rPr>
          <w:rFonts w:eastAsia="Arial Unicode MS"/>
        </w:rPr>
      </w:pPr>
    </w:p>
    <w:tbl>
      <w:tblPr>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701"/>
        <w:gridCol w:w="1332"/>
        <w:gridCol w:w="1333"/>
        <w:gridCol w:w="1332"/>
        <w:gridCol w:w="1333"/>
        <w:gridCol w:w="1333"/>
      </w:tblGrid>
      <w:tr w:rsidR="00B74840" w:rsidRPr="009F6351" w14:paraId="0546CFA7" w14:textId="77777777" w:rsidTr="00B74840">
        <w:trPr>
          <w:trHeight w:val="589"/>
        </w:trPr>
        <w:tc>
          <w:tcPr>
            <w:tcW w:w="1701" w:type="dxa"/>
            <w:tcBorders>
              <w:top w:val="nil"/>
              <w:bottom w:val="nil"/>
            </w:tcBorders>
            <w:shd w:val="clear" w:color="auto" w:fill="D9D9D9" w:themeFill="background1" w:themeFillShade="D9"/>
          </w:tcPr>
          <w:p w14:paraId="31D75794" w14:textId="77777777" w:rsidR="009F6351" w:rsidRPr="009F6351" w:rsidRDefault="009F6351" w:rsidP="009F6351">
            <w:pPr>
              <w:pStyle w:val="TableText"/>
              <w:rPr>
                <w:b/>
                <w:bCs/>
              </w:rPr>
            </w:pPr>
            <w:r w:rsidRPr="009F6351">
              <w:rPr>
                <w:b/>
                <w:bCs/>
                <w:w w:val="105"/>
              </w:rPr>
              <w:t>Ethnicity</w:t>
            </w:r>
          </w:p>
        </w:tc>
        <w:tc>
          <w:tcPr>
            <w:tcW w:w="1332" w:type="dxa"/>
            <w:tcBorders>
              <w:top w:val="nil"/>
              <w:bottom w:val="nil"/>
            </w:tcBorders>
            <w:shd w:val="clear" w:color="auto" w:fill="D9D9D9" w:themeFill="background1" w:themeFillShade="D9"/>
          </w:tcPr>
          <w:p w14:paraId="2D479DD0" w14:textId="77777777" w:rsidR="009F6351" w:rsidRPr="009F6351" w:rsidRDefault="009F6351" w:rsidP="009F6351">
            <w:pPr>
              <w:pStyle w:val="TableText"/>
              <w:jc w:val="right"/>
              <w:rPr>
                <w:b/>
                <w:bCs/>
              </w:rPr>
            </w:pPr>
            <w:r w:rsidRPr="009F6351">
              <w:rPr>
                <w:b/>
                <w:bCs/>
                <w:w w:val="105"/>
              </w:rPr>
              <w:t>No</w:t>
            </w:r>
            <w:r w:rsidRPr="009F6351">
              <w:rPr>
                <w:b/>
                <w:bCs/>
                <w:spacing w:val="-15"/>
                <w:w w:val="105"/>
              </w:rPr>
              <w:t xml:space="preserve"> </w:t>
            </w:r>
            <w:r w:rsidRPr="009F6351">
              <w:rPr>
                <w:b/>
                <w:bCs/>
                <w:w w:val="105"/>
              </w:rPr>
              <w:t>doses</w:t>
            </w:r>
          </w:p>
        </w:tc>
        <w:tc>
          <w:tcPr>
            <w:tcW w:w="1333" w:type="dxa"/>
            <w:tcBorders>
              <w:top w:val="nil"/>
              <w:bottom w:val="nil"/>
            </w:tcBorders>
            <w:shd w:val="clear" w:color="auto" w:fill="D9D9D9" w:themeFill="background1" w:themeFillShade="D9"/>
          </w:tcPr>
          <w:p w14:paraId="2F7DEE42" w14:textId="1AF07262" w:rsidR="009F6351" w:rsidRPr="009F6351" w:rsidRDefault="009F6351" w:rsidP="009F6351">
            <w:pPr>
              <w:pStyle w:val="TableText"/>
              <w:jc w:val="right"/>
              <w:rPr>
                <w:b/>
                <w:bCs/>
                <w:sz w:val="10"/>
              </w:rPr>
            </w:pPr>
            <w:r w:rsidRPr="009F6351">
              <w:rPr>
                <w:b/>
                <w:bCs/>
                <w:w w:val="110"/>
              </w:rPr>
              <w:t>Primary</w:t>
            </w:r>
            <w:r w:rsidRPr="009F6351">
              <w:rPr>
                <w:b/>
                <w:bCs/>
                <w:spacing w:val="-53"/>
                <w:w w:val="110"/>
              </w:rPr>
              <w:t xml:space="preserve"> </w:t>
            </w:r>
            <w:r w:rsidRPr="009F6351">
              <w:rPr>
                <w:b/>
                <w:bCs/>
                <w:w w:val="110"/>
              </w:rPr>
              <w:t>course</w:t>
            </w:r>
            <w:r w:rsidRPr="009F6351">
              <w:rPr>
                <w:rStyle w:val="FootnoteReference"/>
                <w:rFonts w:ascii="Arial"/>
                <w:b/>
                <w:bCs/>
                <w:w w:val="110"/>
              </w:rPr>
              <w:footnoteReference w:id="48"/>
            </w:r>
          </w:p>
        </w:tc>
        <w:tc>
          <w:tcPr>
            <w:tcW w:w="1332" w:type="dxa"/>
            <w:tcBorders>
              <w:top w:val="nil"/>
              <w:bottom w:val="nil"/>
            </w:tcBorders>
            <w:shd w:val="clear" w:color="auto" w:fill="D9D9D9" w:themeFill="background1" w:themeFillShade="D9"/>
          </w:tcPr>
          <w:p w14:paraId="0D2A2E93" w14:textId="648DE926" w:rsidR="009F6351" w:rsidRPr="009F6351" w:rsidRDefault="009F6351" w:rsidP="009F6351">
            <w:pPr>
              <w:pStyle w:val="TableText"/>
              <w:jc w:val="right"/>
              <w:rPr>
                <w:b/>
                <w:bCs/>
                <w:sz w:val="10"/>
              </w:rPr>
            </w:pPr>
            <w:r w:rsidRPr="009F6351">
              <w:rPr>
                <w:b/>
                <w:bCs/>
                <w:w w:val="110"/>
              </w:rPr>
              <w:t>Boosted</w:t>
            </w:r>
            <w:r w:rsidRPr="009F6351">
              <w:rPr>
                <w:rStyle w:val="FootnoteReference"/>
                <w:rFonts w:ascii="Arial"/>
                <w:b/>
                <w:bCs/>
                <w:w w:val="110"/>
              </w:rPr>
              <w:footnoteReference w:id="49"/>
            </w:r>
          </w:p>
        </w:tc>
        <w:tc>
          <w:tcPr>
            <w:tcW w:w="1333" w:type="dxa"/>
            <w:tcBorders>
              <w:top w:val="nil"/>
              <w:bottom w:val="nil"/>
            </w:tcBorders>
            <w:shd w:val="clear" w:color="auto" w:fill="D9D9D9" w:themeFill="background1" w:themeFillShade="D9"/>
          </w:tcPr>
          <w:p w14:paraId="6AE6949F" w14:textId="7FFD0E85" w:rsidR="009F6351" w:rsidRPr="009F6351" w:rsidRDefault="009F6351" w:rsidP="009F6351">
            <w:pPr>
              <w:pStyle w:val="TableText"/>
              <w:jc w:val="right"/>
              <w:rPr>
                <w:b/>
                <w:bCs/>
              </w:rPr>
            </w:pPr>
            <w:r w:rsidRPr="009F6351">
              <w:rPr>
                <w:b/>
                <w:bCs/>
                <w:w w:val="110"/>
              </w:rPr>
              <w:t>Partial</w:t>
            </w:r>
            <w:r w:rsidRPr="009F6351">
              <w:rPr>
                <w:b/>
                <w:bCs/>
                <w:spacing w:val="-1"/>
                <w:w w:val="110"/>
              </w:rPr>
              <w:t xml:space="preserve"> </w:t>
            </w:r>
            <w:r w:rsidRPr="009F6351">
              <w:rPr>
                <w:b/>
                <w:bCs/>
                <w:spacing w:val="-1"/>
                <w:w w:val="110"/>
              </w:rPr>
              <w:br/>
            </w:r>
            <w:r w:rsidRPr="009F6351">
              <w:rPr>
                <w:b/>
                <w:bCs/>
                <w:w w:val="110"/>
              </w:rPr>
              <w:t>(single dose)</w:t>
            </w:r>
          </w:p>
        </w:tc>
        <w:tc>
          <w:tcPr>
            <w:tcW w:w="1333" w:type="dxa"/>
            <w:tcBorders>
              <w:top w:val="nil"/>
              <w:bottom w:val="nil"/>
            </w:tcBorders>
            <w:shd w:val="clear" w:color="auto" w:fill="D9D9D9" w:themeFill="background1" w:themeFillShade="D9"/>
          </w:tcPr>
          <w:p w14:paraId="2AE0987D" w14:textId="77777777" w:rsidR="009F6351" w:rsidRPr="009F6351" w:rsidRDefault="009F6351" w:rsidP="009F6351">
            <w:pPr>
              <w:pStyle w:val="TableText"/>
              <w:jc w:val="right"/>
              <w:rPr>
                <w:b/>
                <w:bCs/>
              </w:rPr>
            </w:pPr>
            <w:r w:rsidRPr="009F6351">
              <w:rPr>
                <w:b/>
                <w:bCs/>
                <w:w w:val="110"/>
              </w:rPr>
              <w:t>Total</w:t>
            </w:r>
          </w:p>
        </w:tc>
      </w:tr>
      <w:tr w:rsidR="009F6351" w14:paraId="640B6131" w14:textId="77777777" w:rsidTr="00B74840">
        <w:trPr>
          <w:trHeight w:val="343"/>
        </w:trPr>
        <w:tc>
          <w:tcPr>
            <w:tcW w:w="1701" w:type="dxa"/>
            <w:tcBorders>
              <w:top w:val="nil"/>
            </w:tcBorders>
          </w:tcPr>
          <w:p w14:paraId="0898DDCA" w14:textId="77777777" w:rsidR="009F6351" w:rsidRDefault="009F6351" w:rsidP="009F6351">
            <w:pPr>
              <w:pStyle w:val="TableText"/>
            </w:pPr>
            <w:r>
              <w:rPr>
                <w:w w:val="105"/>
              </w:rPr>
              <w:t>Asian</w:t>
            </w:r>
          </w:p>
        </w:tc>
        <w:tc>
          <w:tcPr>
            <w:tcW w:w="1332" w:type="dxa"/>
            <w:tcBorders>
              <w:top w:val="nil"/>
            </w:tcBorders>
          </w:tcPr>
          <w:p w14:paraId="6B81309F" w14:textId="77777777" w:rsidR="009F6351" w:rsidRPr="00B631F9" w:rsidRDefault="009F6351" w:rsidP="00B631F9">
            <w:pPr>
              <w:pStyle w:val="TableText"/>
              <w:jc w:val="right"/>
            </w:pPr>
            <w:r w:rsidRPr="00B631F9">
              <w:t>7</w:t>
            </w:r>
          </w:p>
        </w:tc>
        <w:tc>
          <w:tcPr>
            <w:tcW w:w="1333" w:type="dxa"/>
            <w:tcBorders>
              <w:top w:val="nil"/>
            </w:tcBorders>
          </w:tcPr>
          <w:p w14:paraId="56334456" w14:textId="77777777" w:rsidR="009F6351" w:rsidRPr="00B631F9" w:rsidRDefault="009F6351" w:rsidP="00B631F9">
            <w:pPr>
              <w:pStyle w:val="TableText"/>
              <w:jc w:val="right"/>
            </w:pPr>
            <w:r w:rsidRPr="00B631F9">
              <w:t>17</w:t>
            </w:r>
          </w:p>
        </w:tc>
        <w:tc>
          <w:tcPr>
            <w:tcW w:w="1332" w:type="dxa"/>
            <w:tcBorders>
              <w:top w:val="nil"/>
            </w:tcBorders>
          </w:tcPr>
          <w:p w14:paraId="07D18BC2" w14:textId="77777777" w:rsidR="009F6351" w:rsidRPr="00B631F9" w:rsidRDefault="009F6351" w:rsidP="00B631F9">
            <w:pPr>
              <w:pStyle w:val="TableText"/>
              <w:jc w:val="right"/>
            </w:pPr>
            <w:r w:rsidRPr="00B631F9">
              <w:t>21</w:t>
            </w:r>
          </w:p>
        </w:tc>
        <w:tc>
          <w:tcPr>
            <w:tcW w:w="1333" w:type="dxa"/>
            <w:tcBorders>
              <w:top w:val="nil"/>
            </w:tcBorders>
          </w:tcPr>
          <w:p w14:paraId="0CEB5644" w14:textId="77777777" w:rsidR="009F6351" w:rsidRPr="00B631F9" w:rsidRDefault="009F6351" w:rsidP="00B631F9">
            <w:pPr>
              <w:pStyle w:val="TableText"/>
              <w:jc w:val="right"/>
            </w:pPr>
            <w:r w:rsidRPr="00B631F9">
              <w:t>3</w:t>
            </w:r>
          </w:p>
        </w:tc>
        <w:tc>
          <w:tcPr>
            <w:tcW w:w="1333" w:type="dxa"/>
            <w:tcBorders>
              <w:top w:val="nil"/>
            </w:tcBorders>
          </w:tcPr>
          <w:p w14:paraId="3B591870" w14:textId="77777777" w:rsidR="009F6351" w:rsidRPr="00B631F9" w:rsidRDefault="009F6351" w:rsidP="00B631F9">
            <w:pPr>
              <w:pStyle w:val="TableText"/>
              <w:jc w:val="right"/>
            </w:pPr>
            <w:r w:rsidRPr="00B631F9">
              <w:t>48</w:t>
            </w:r>
          </w:p>
        </w:tc>
      </w:tr>
      <w:tr w:rsidR="009F6351" w14:paraId="0AC161A4" w14:textId="77777777" w:rsidTr="00B74840">
        <w:trPr>
          <w:trHeight w:val="338"/>
        </w:trPr>
        <w:tc>
          <w:tcPr>
            <w:tcW w:w="1701" w:type="dxa"/>
          </w:tcPr>
          <w:p w14:paraId="239C9335" w14:textId="77777777" w:rsidR="009F6351" w:rsidRDefault="009F6351" w:rsidP="009F6351">
            <w:pPr>
              <w:pStyle w:val="TableText"/>
            </w:pPr>
            <w:r>
              <w:t>European/other</w:t>
            </w:r>
          </w:p>
        </w:tc>
        <w:tc>
          <w:tcPr>
            <w:tcW w:w="1332" w:type="dxa"/>
          </w:tcPr>
          <w:p w14:paraId="48C81C24" w14:textId="77777777" w:rsidR="009F6351" w:rsidRPr="00B631F9" w:rsidRDefault="009F6351" w:rsidP="00B631F9">
            <w:pPr>
              <w:pStyle w:val="TableText"/>
              <w:jc w:val="right"/>
            </w:pPr>
            <w:r w:rsidRPr="00B631F9">
              <w:t>122</w:t>
            </w:r>
          </w:p>
        </w:tc>
        <w:tc>
          <w:tcPr>
            <w:tcW w:w="1333" w:type="dxa"/>
          </w:tcPr>
          <w:p w14:paraId="3FEC5A49" w14:textId="77777777" w:rsidR="009F6351" w:rsidRPr="00B631F9" w:rsidRDefault="009F6351" w:rsidP="00B631F9">
            <w:pPr>
              <w:pStyle w:val="TableText"/>
              <w:jc w:val="right"/>
            </w:pPr>
            <w:r w:rsidRPr="00B631F9">
              <w:t>150</w:t>
            </w:r>
          </w:p>
        </w:tc>
        <w:tc>
          <w:tcPr>
            <w:tcW w:w="1332" w:type="dxa"/>
          </w:tcPr>
          <w:p w14:paraId="695067C0" w14:textId="77777777" w:rsidR="009F6351" w:rsidRPr="00B631F9" w:rsidRDefault="009F6351" w:rsidP="00B631F9">
            <w:pPr>
              <w:pStyle w:val="TableText"/>
              <w:jc w:val="right"/>
            </w:pPr>
            <w:r w:rsidRPr="00B631F9">
              <w:t>553</w:t>
            </w:r>
          </w:p>
        </w:tc>
        <w:tc>
          <w:tcPr>
            <w:tcW w:w="1333" w:type="dxa"/>
          </w:tcPr>
          <w:p w14:paraId="4CA92AA8" w14:textId="77777777" w:rsidR="009F6351" w:rsidRPr="00B631F9" w:rsidRDefault="009F6351" w:rsidP="00B631F9">
            <w:pPr>
              <w:pStyle w:val="TableText"/>
              <w:jc w:val="right"/>
            </w:pPr>
            <w:r w:rsidRPr="00B631F9">
              <w:t>13</w:t>
            </w:r>
          </w:p>
        </w:tc>
        <w:tc>
          <w:tcPr>
            <w:tcW w:w="1333" w:type="dxa"/>
          </w:tcPr>
          <w:p w14:paraId="10D65D2E" w14:textId="77777777" w:rsidR="009F6351" w:rsidRPr="00B631F9" w:rsidRDefault="009F6351" w:rsidP="00B631F9">
            <w:pPr>
              <w:pStyle w:val="TableText"/>
              <w:jc w:val="right"/>
            </w:pPr>
            <w:r w:rsidRPr="00B631F9">
              <w:t>838</w:t>
            </w:r>
          </w:p>
        </w:tc>
      </w:tr>
      <w:tr w:rsidR="009F6351" w14:paraId="732903E1" w14:textId="77777777" w:rsidTr="00B74840">
        <w:trPr>
          <w:trHeight w:val="338"/>
        </w:trPr>
        <w:tc>
          <w:tcPr>
            <w:tcW w:w="1701" w:type="dxa"/>
          </w:tcPr>
          <w:p w14:paraId="37CB7F56" w14:textId="77777777" w:rsidR="009F6351" w:rsidRDefault="009F6351" w:rsidP="009F6351">
            <w:pPr>
              <w:pStyle w:val="TableText"/>
            </w:pPr>
            <w:r>
              <w:t>Māori</w:t>
            </w:r>
          </w:p>
        </w:tc>
        <w:tc>
          <w:tcPr>
            <w:tcW w:w="1332" w:type="dxa"/>
          </w:tcPr>
          <w:p w14:paraId="14E0C6E9" w14:textId="77777777" w:rsidR="009F6351" w:rsidRPr="00B631F9" w:rsidRDefault="009F6351" w:rsidP="00B631F9">
            <w:pPr>
              <w:pStyle w:val="TableText"/>
              <w:jc w:val="right"/>
            </w:pPr>
            <w:r w:rsidRPr="00B631F9">
              <w:t>36</w:t>
            </w:r>
          </w:p>
        </w:tc>
        <w:tc>
          <w:tcPr>
            <w:tcW w:w="1333" w:type="dxa"/>
          </w:tcPr>
          <w:p w14:paraId="0E3B82C2" w14:textId="77777777" w:rsidR="009F6351" w:rsidRPr="00B631F9" w:rsidRDefault="009F6351" w:rsidP="00B631F9">
            <w:pPr>
              <w:pStyle w:val="TableText"/>
              <w:jc w:val="right"/>
            </w:pPr>
            <w:r w:rsidRPr="00B631F9">
              <w:t>31</w:t>
            </w:r>
          </w:p>
        </w:tc>
        <w:tc>
          <w:tcPr>
            <w:tcW w:w="1332" w:type="dxa"/>
          </w:tcPr>
          <w:p w14:paraId="1C14031A" w14:textId="77777777" w:rsidR="009F6351" w:rsidRPr="00B631F9" w:rsidRDefault="009F6351" w:rsidP="00B631F9">
            <w:pPr>
              <w:pStyle w:val="TableText"/>
              <w:jc w:val="right"/>
            </w:pPr>
            <w:r w:rsidRPr="00B631F9">
              <w:t>50</w:t>
            </w:r>
          </w:p>
        </w:tc>
        <w:tc>
          <w:tcPr>
            <w:tcW w:w="1333" w:type="dxa"/>
          </w:tcPr>
          <w:p w14:paraId="46C7BFE1" w14:textId="77777777" w:rsidR="009F6351" w:rsidRPr="00B631F9" w:rsidRDefault="009F6351" w:rsidP="00B631F9">
            <w:pPr>
              <w:pStyle w:val="TableText"/>
              <w:jc w:val="right"/>
            </w:pPr>
            <w:r w:rsidRPr="00B631F9">
              <w:t>6</w:t>
            </w:r>
          </w:p>
        </w:tc>
        <w:tc>
          <w:tcPr>
            <w:tcW w:w="1333" w:type="dxa"/>
          </w:tcPr>
          <w:p w14:paraId="781906DB" w14:textId="77777777" w:rsidR="009F6351" w:rsidRPr="00B631F9" w:rsidRDefault="009F6351" w:rsidP="00B631F9">
            <w:pPr>
              <w:pStyle w:val="TableText"/>
              <w:jc w:val="right"/>
            </w:pPr>
            <w:r w:rsidRPr="00B631F9">
              <w:t>123</w:t>
            </w:r>
          </w:p>
        </w:tc>
      </w:tr>
      <w:tr w:rsidR="009F6351" w14:paraId="6EA83F63" w14:textId="77777777" w:rsidTr="00B74840">
        <w:trPr>
          <w:trHeight w:val="338"/>
        </w:trPr>
        <w:tc>
          <w:tcPr>
            <w:tcW w:w="1701" w:type="dxa"/>
          </w:tcPr>
          <w:p w14:paraId="0786C68D" w14:textId="77777777" w:rsidR="009F6351" w:rsidRDefault="009F6351" w:rsidP="009F6351">
            <w:pPr>
              <w:pStyle w:val="TableText"/>
            </w:pPr>
            <w:r>
              <w:t>Pacific</w:t>
            </w:r>
            <w:r>
              <w:rPr>
                <w:spacing w:val="5"/>
              </w:rPr>
              <w:t xml:space="preserve"> </w:t>
            </w:r>
            <w:r>
              <w:t>peoples</w:t>
            </w:r>
          </w:p>
        </w:tc>
        <w:tc>
          <w:tcPr>
            <w:tcW w:w="1332" w:type="dxa"/>
          </w:tcPr>
          <w:p w14:paraId="587BD3C8" w14:textId="77777777" w:rsidR="009F6351" w:rsidRPr="00B631F9" w:rsidRDefault="009F6351" w:rsidP="00B631F9">
            <w:pPr>
              <w:pStyle w:val="TableText"/>
              <w:jc w:val="right"/>
            </w:pPr>
            <w:r w:rsidRPr="00B631F9">
              <w:t>28</w:t>
            </w:r>
          </w:p>
        </w:tc>
        <w:tc>
          <w:tcPr>
            <w:tcW w:w="1333" w:type="dxa"/>
          </w:tcPr>
          <w:p w14:paraId="21788137" w14:textId="77777777" w:rsidR="009F6351" w:rsidRPr="00B631F9" w:rsidRDefault="009F6351" w:rsidP="00B631F9">
            <w:pPr>
              <w:pStyle w:val="TableText"/>
              <w:jc w:val="right"/>
            </w:pPr>
            <w:r w:rsidRPr="00B631F9">
              <w:t>38</w:t>
            </w:r>
          </w:p>
        </w:tc>
        <w:tc>
          <w:tcPr>
            <w:tcW w:w="1332" w:type="dxa"/>
          </w:tcPr>
          <w:p w14:paraId="2701E17D" w14:textId="77777777" w:rsidR="009F6351" w:rsidRPr="00B631F9" w:rsidRDefault="009F6351" w:rsidP="00B631F9">
            <w:pPr>
              <w:pStyle w:val="TableText"/>
              <w:jc w:val="right"/>
            </w:pPr>
            <w:r w:rsidRPr="00B631F9">
              <w:t>28</w:t>
            </w:r>
          </w:p>
        </w:tc>
        <w:tc>
          <w:tcPr>
            <w:tcW w:w="1333" w:type="dxa"/>
          </w:tcPr>
          <w:p w14:paraId="0E344F55" w14:textId="77777777" w:rsidR="009F6351" w:rsidRPr="00B631F9" w:rsidRDefault="009F6351" w:rsidP="00B631F9">
            <w:pPr>
              <w:pStyle w:val="TableText"/>
              <w:jc w:val="right"/>
            </w:pPr>
            <w:r w:rsidRPr="00B631F9">
              <w:t>7</w:t>
            </w:r>
          </w:p>
        </w:tc>
        <w:tc>
          <w:tcPr>
            <w:tcW w:w="1333" w:type="dxa"/>
          </w:tcPr>
          <w:p w14:paraId="07D417F8" w14:textId="77777777" w:rsidR="009F6351" w:rsidRPr="00B631F9" w:rsidRDefault="009F6351" w:rsidP="00B631F9">
            <w:pPr>
              <w:pStyle w:val="TableText"/>
              <w:jc w:val="right"/>
            </w:pPr>
            <w:r w:rsidRPr="00B631F9">
              <w:t>101</w:t>
            </w:r>
          </w:p>
        </w:tc>
      </w:tr>
      <w:tr w:rsidR="009F6351" w14:paraId="79305A08" w14:textId="77777777" w:rsidTr="00B74840">
        <w:trPr>
          <w:trHeight w:val="338"/>
        </w:trPr>
        <w:tc>
          <w:tcPr>
            <w:tcW w:w="1701" w:type="dxa"/>
          </w:tcPr>
          <w:p w14:paraId="47949EF1" w14:textId="4FAEB2B8" w:rsidR="009F6351" w:rsidRDefault="009F6351" w:rsidP="009F6351">
            <w:pPr>
              <w:pStyle w:val="TableText"/>
              <w:rPr>
                <w:sz w:val="10"/>
              </w:rPr>
            </w:pPr>
            <w:r>
              <w:rPr>
                <w:w w:val="105"/>
              </w:rPr>
              <w:t>Unknown</w:t>
            </w:r>
            <w:r w:rsidR="00B74840">
              <w:rPr>
                <w:rStyle w:val="FootnoteReference"/>
                <w:w w:val="105"/>
              </w:rPr>
              <w:footnoteReference w:id="50"/>
            </w:r>
          </w:p>
        </w:tc>
        <w:tc>
          <w:tcPr>
            <w:tcW w:w="1332" w:type="dxa"/>
          </w:tcPr>
          <w:p w14:paraId="2BA265A2" w14:textId="77777777" w:rsidR="009F6351" w:rsidRPr="00B631F9" w:rsidRDefault="009F6351" w:rsidP="00B631F9">
            <w:pPr>
              <w:pStyle w:val="TableText"/>
              <w:jc w:val="right"/>
            </w:pPr>
            <w:r w:rsidRPr="00B631F9">
              <w:t>1</w:t>
            </w:r>
          </w:p>
        </w:tc>
        <w:tc>
          <w:tcPr>
            <w:tcW w:w="1333" w:type="dxa"/>
          </w:tcPr>
          <w:p w14:paraId="1021C8C7" w14:textId="77777777" w:rsidR="009F6351" w:rsidRPr="00B631F9" w:rsidRDefault="009F6351" w:rsidP="00B631F9">
            <w:pPr>
              <w:pStyle w:val="TableText"/>
              <w:jc w:val="right"/>
            </w:pPr>
            <w:r w:rsidRPr="00B631F9">
              <w:t>1</w:t>
            </w:r>
          </w:p>
        </w:tc>
        <w:tc>
          <w:tcPr>
            <w:tcW w:w="1332" w:type="dxa"/>
          </w:tcPr>
          <w:p w14:paraId="7B20345C" w14:textId="77777777" w:rsidR="009F6351" w:rsidRPr="00B631F9" w:rsidRDefault="009F6351" w:rsidP="00B631F9">
            <w:pPr>
              <w:pStyle w:val="TableText"/>
              <w:jc w:val="right"/>
            </w:pPr>
            <w:r w:rsidRPr="00B631F9">
              <w:t>1</w:t>
            </w:r>
          </w:p>
        </w:tc>
        <w:tc>
          <w:tcPr>
            <w:tcW w:w="1333" w:type="dxa"/>
          </w:tcPr>
          <w:p w14:paraId="1D85A4DC" w14:textId="77777777" w:rsidR="009F6351" w:rsidRPr="00B631F9" w:rsidRDefault="009F6351" w:rsidP="00B631F9">
            <w:pPr>
              <w:pStyle w:val="TableText"/>
              <w:jc w:val="right"/>
            </w:pPr>
            <w:r w:rsidRPr="00B631F9">
              <w:t>0</w:t>
            </w:r>
          </w:p>
        </w:tc>
        <w:tc>
          <w:tcPr>
            <w:tcW w:w="1333" w:type="dxa"/>
          </w:tcPr>
          <w:p w14:paraId="2B125414" w14:textId="77777777" w:rsidR="009F6351" w:rsidRPr="00B631F9" w:rsidRDefault="009F6351" w:rsidP="00B631F9">
            <w:pPr>
              <w:pStyle w:val="TableText"/>
              <w:jc w:val="right"/>
            </w:pPr>
            <w:r w:rsidRPr="00B631F9">
              <w:t>3</w:t>
            </w:r>
          </w:p>
        </w:tc>
      </w:tr>
      <w:tr w:rsidR="009F6351" w:rsidRPr="00B74840" w14:paraId="494D2092" w14:textId="77777777" w:rsidTr="00B74840">
        <w:trPr>
          <w:trHeight w:val="333"/>
        </w:trPr>
        <w:tc>
          <w:tcPr>
            <w:tcW w:w="1701" w:type="dxa"/>
          </w:tcPr>
          <w:p w14:paraId="4EFACBC8" w14:textId="77777777" w:rsidR="009F6351" w:rsidRPr="00B74840" w:rsidRDefault="009F6351" w:rsidP="009F6351">
            <w:pPr>
              <w:pStyle w:val="TableText"/>
              <w:rPr>
                <w:b/>
                <w:bCs/>
              </w:rPr>
            </w:pPr>
            <w:r w:rsidRPr="00B74840">
              <w:rPr>
                <w:b/>
                <w:bCs/>
                <w:w w:val="115"/>
              </w:rPr>
              <w:t>Total</w:t>
            </w:r>
          </w:p>
        </w:tc>
        <w:tc>
          <w:tcPr>
            <w:tcW w:w="1332" w:type="dxa"/>
          </w:tcPr>
          <w:p w14:paraId="0668A0A2" w14:textId="77777777" w:rsidR="009F6351" w:rsidRPr="00B74840" w:rsidRDefault="009F6351" w:rsidP="009F6351">
            <w:pPr>
              <w:pStyle w:val="TableText"/>
              <w:jc w:val="right"/>
              <w:rPr>
                <w:b/>
                <w:bCs/>
              </w:rPr>
            </w:pPr>
            <w:r w:rsidRPr="00B74840">
              <w:rPr>
                <w:b/>
                <w:bCs/>
              </w:rPr>
              <w:t>194</w:t>
            </w:r>
          </w:p>
        </w:tc>
        <w:tc>
          <w:tcPr>
            <w:tcW w:w="1333" w:type="dxa"/>
          </w:tcPr>
          <w:p w14:paraId="76E72CAF" w14:textId="77777777" w:rsidR="009F6351" w:rsidRPr="00B74840" w:rsidRDefault="009F6351" w:rsidP="009F6351">
            <w:pPr>
              <w:pStyle w:val="TableText"/>
              <w:jc w:val="right"/>
              <w:rPr>
                <w:b/>
                <w:bCs/>
              </w:rPr>
            </w:pPr>
            <w:r w:rsidRPr="00B74840">
              <w:rPr>
                <w:b/>
                <w:bCs/>
              </w:rPr>
              <w:t>237</w:t>
            </w:r>
          </w:p>
        </w:tc>
        <w:tc>
          <w:tcPr>
            <w:tcW w:w="1332" w:type="dxa"/>
          </w:tcPr>
          <w:p w14:paraId="1DAA1A81" w14:textId="77777777" w:rsidR="009F6351" w:rsidRPr="00B74840" w:rsidRDefault="009F6351" w:rsidP="009F6351">
            <w:pPr>
              <w:pStyle w:val="TableText"/>
              <w:jc w:val="right"/>
              <w:rPr>
                <w:b/>
                <w:bCs/>
              </w:rPr>
            </w:pPr>
            <w:r w:rsidRPr="00B74840">
              <w:rPr>
                <w:b/>
                <w:bCs/>
                <w:w w:val="110"/>
              </w:rPr>
              <w:t>653</w:t>
            </w:r>
          </w:p>
        </w:tc>
        <w:tc>
          <w:tcPr>
            <w:tcW w:w="1333" w:type="dxa"/>
          </w:tcPr>
          <w:p w14:paraId="21C7941E" w14:textId="77777777" w:rsidR="009F6351" w:rsidRPr="00B74840" w:rsidRDefault="009F6351" w:rsidP="009F6351">
            <w:pPr>
              <w:pStyle w:val="TableText"/>
              <w:jc w:val="right"/>
              <w:rPr>
                <w:b/>
                <w:bCs/>
              </w:rPr>
            </w:pPr>
            <w:r w:rsidRPr="00B74840">
              <w:rPr>
                <w:b/>
                <w:bCs/>
                <w:w w:val="105"/>
              </w:rPr>
              <w:t>29</w:t>
            </w:r>
          </w:p>
        </w:tc>
        <w:tc>
          <w:tcPr>
            <w:tcW w:w="1333" w:type="dxa"/>
          </w:tcPr>
          <w:p w14:paraId="008A00CB" w14:textId="77777777" w:rsidR="009F6351" w:rsidRPr="00B74840" w:rsidRDefault="009F6351" w:rsidP="009F6351">
            <w:pPr>
              <w:pStyle w:val="TableText"/>
              <w:jc w:val="right"/>
              <w:rPr>
                <w:b/>
                <w:bCs/>
              </w:rPr>
            </w:pPr>
            <w:r w:rsidRPr="00B631F9">
              <w:rPr>
                <w:b/>
                <w:bCs/>
                <w:w w:val="105"/>
              </w:rPr>
              <w:t>1,113</w:t>
            </w:r>
          </w:p>
        </w:tc>
      </w:tr>
    </w:tbl>
    <w:p w14:paraId="75251B21" w14:textId="77777777" w:rsidR="009F6351" w:rsidRDefault="009F6351" w:rsidP="009F6351">
      <w:pPr>
        <w:rPr>
          <w:rFonts w:eastAsia="Arial Unicode MS"/>
        </w:rPr>
      </w:pPr>
    </w:p>
    <w:p w14:paraId="77E0D955" w14:textId="77777777" w:rsidR="009F6351" w:rsidRDefault="009F6351" w:rsidP="009F6351">
      <w:pPr>
        <w:rPr>
          <w:rFonts w:eastAsia="Arial Unicode MS"/>
        </w:rPr>
      </w:pPr>
    </w:p>
    <w:p w14:paraId="16BE8E54" w14:textId="77777777" w:rsidR="009F6351" w:rsidRDefault="009F6351" w:rsidP="009F6351">
      <w:pPr>
        <w:rPr>
          <w:rFonts w:eastAsia="Arial Unicode MS"/>
        </w:rPr>
      </w:pPr>
    </w:p>
    <w:p w14:paraId="359EAE59" w14:textId="77777777" w:rsidR="00347058" w:rsidRDefault="00347058" w:rsidP="009F6351">
      <w:pPr>
        <w:rPr>
          <w:rFonts w:eastAsia="Arial Unicode MS"/>
        </w:rPr>
        <w:sectPr w:rsidR="00347058" w:rsidSect="00C26282">
          <w:pgSz w:w="11907" w:h="16840" w:code="9"/>
          <w:pgMar w:top="1418" w:right="1701" w:bottom="1134" w:left="1843" w:header="284" w:footer="425" w:gutter="284"/>
          <w:cols w:space="720"/>
        </w:sectPr>
      </w:pPr>
    </w:p>
    <w:p w14:paraId="3E777FB6" w14:textId="1372950A" w:rsidR="00347058" w:rsidRDefault="00347058" w:rsidP="00347058">
      <w:pPr>
        <w:pStyle w:val="Heading5"/>
        <w:spacing w:before="0"/>
      </w:pPr>
      <w:r w:rsidRPr="00347058">
        <w:lastRenderedPageBreak/>
        <w:t>Financial performance</w:t>
      </w:r>
    </w:p>
    <w:tbl>
      <w:tblPr>
        <w:tblW w:w="8931"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544"/>
        <w:gridCol w:w="1134"/>
        <w:gridCol w:w="1418"/>
        <w:gridCol w:w="1701"/>
        <w:gridCol w:w="1134"/>
      </w:tblGrid>
      <w:tr w:rsidR="00347058" w:rsidRPr="00347058" w14:paraId="48E85C46" w14:textId="77777777" w:rsidTr="00347058">
        <w:trPr>
          <w:trHeight w:val="1069"/>
        </w:trPr>
        <w:tc>
          <w:tcPr>
            <w:tcW w:w="3544" w:type="dxa"/>
            <w:tcBorders>
              <w:top w:val="nil"/>
              <w:bottom w:val="nil"/>
            </w:tcBorders>
            <w:shd w:val="clear" w:color="auto" w:fill="D9D9D9" w:themeFill="background1" w:themeFillShade="D9"/>
          </w:tcPr>
          <w:p w14:paraId="02CAB627" w14:textId="461AF695" w:rsidR="00347058" w:rsidRPr="00320670" w:rsidRDefault="00347058" w:rsidP="00320670">
            <w:pPr>
              <w:pStyle w:val="TableText"/>
              <w:rPr>
                <w:b/>
                <w:bCs/>
              </w:rPr>
            </w:pPr>
            <w:r w:rsidRPr="00320670">
              <w:rPr>
                <w:b/>
                <w:bCs/>
              </w:rPr>
              <w:t>Implementing the COVID-19</w:t>
            </w:r>
            <w:r w:rsidRPr="00320670">
              <w:rPr>
                <w:b/>
                <w:bCs/>
              </w:rPr>
              <w:br/>
              <w:t xml:space="preserve"> vaccine strategy</w:t>
            </w:r>
          </w:p>
        </w:tc>
        <w:tc>
          <w:tcPr>
            <w:tcW w:w="1134" w:type="dxa"/>
            <w:tcBorders>
              <w:top w:val="nil"/>
              <w:bottom w:val="nil"/>
            </w:tcBorders>
            <w:shd w:val="clear" w:color="auto" w:fill="D9D9D9" w:themeFill="background1" w:themeFillShade="D9"/>
          </w:tcPr>
          <w:p w14:paraId="35BAAF44" w14:textId="77777777" w:rsidR="00347058" w:rsidRPr="00347058" w:rsidRDefault="00347058" w:rsidP="00347058">
            <w:pPr>
              <w:pStyle w:val="TableText"/>
              <w:jc w:val="right"/>
              <w:rPr>
                <w:b/>
                <w:bCs/>
              </w:rPr>
            </w:pPr>
            <w:r w:rsidRPr="00347058">
              <w:rPr>
                <w:b/>
                <w:bCs/>
                <w:w w:val="110"/>
              </w:rPr>
              <w:t>Actual</w:t>
            </w:r>
          </w:p>
          <w:p w14:paraId="6E5EAD3A" w14:textId="472F577A" w:rsidR="00347058" w:rsidRPr="00347058" w:rsidRDefault="00347058" w:rsidP="00347058">
            <w:pPr>
              <w:pStyle w:val="TableText"/>
              <w:jc w:val="right"/>
              <w:rPr>
                <w:b/>
                <w:bCs/>
              </w:rPr>
            </w:pPr>
            <w:r w:rsidRPr="00347058">
              <w:rPr>
                <w:b/>
                <w:bCs/>
                <w:w w:val="105"/>
              </w:rPr>
              <w:br/>
              <w:t>2020/21</w:t>
            </w:r>
          </w:p>
          <w:p w14:paraId="41286B54" w14:textId="77777777" w:rsidR="00347058" w:rsidRPr="00347058" w:rsidRDefault="00347058" w:rsidP="00347058">
            <w:pPr>
              <w:pStyle w:val="TableText"/>
              <w:jc w:val="right"/>
              <w:rPr>
                <w:b/>
                <w:bCs/>
              </w:rPr>
            </w:pPr>
            <w:r w:rsidRPr="00347058">
              <w:rPr>
                <w:b/>
                <w:bCs/>
                <w:w w:val="120"/>
              </w:rPr>
              <w:t>$000</w:t>
            </w:r>
          </w:p>
        </w:tc>
        <w:tc>
          <w:tcPr>
            <w:tcW w:w="1418" w:type="dxa"/>
            <w:tcBorders>
              <w:top w:val="nil"/>
              <w:bottom w:val="nil"/>
            </w:tcBorders>
            <w:shd w:val="clear" w:color="auto" w:fill="D9D9D9" w:themeFill="background1" w:themeFillShade="D9"/>
          </w:tcPr>
          <w:p w14:paraId="63A5AF01" w14:textId="66379C6B" w:rsidR="00347058" w:rsidRPr="00347058" w:rsidRDefault="00347058" w:rsidP="00347058">
            <w:pPr>
              <w:pStyle w:val="TableText"/>
              <w:jc w:val="right"/>
              <w:rPr>
                <w:b/>
                <w:bCs/>
                <w:spacing w:val="-53"/>
                <w:w w:val="110"/>
              </w:rPr>
            </w:pPr>
            <w:r w:rsidRPr="00347058">
              <w:rPr>
                <w:b/>
                <w:bCs/>
                <w:w w:val="110"/>
              </w:rPr>
              <w:t>Main</w:t>
            </w:r>
            <w:r w:rsidRPr="00347058">
              <w:rPr>
                <w:b/>
                <w:bCs/>
                <w:spacing w:val="-53"/>
                <w:w w:val="110"/>
              </w:rPr>
              <w:t xml:space="preserve"> </w:t>
            </w:r>
            <w:r w:rsidRPr="00347058">
              <w:rPr>
                <w:b/>
                <w:bCs/>
                <w:spacing w:val="-53"/>
                <w:w w:val="110"/>
              </w:rPr>
              <w:br/>
            </w:r>
            <w:r w:rsidRPr="00347058">
              <w:rPr>
                <w:b/>
                <w:bCs/>
                <w:w w:val="110"/>
              </w:rPr>
              <w:t>estimates</w:t>
            </w:r>
            <w:r w:rsidRPr="00347058">
              <w:rPr>
                <w:b/>
                <w:bCs/>
                <w:spacing w:val="-53"/>
                <w:w w:val="110"/>
              </w:rPr>
              <w:t xml:space="preserve"> </w:t>
            </w:r>
          </w:p>
          <w:p w14:paraId="46AA46AA" w14:textId="40359BC5" w:rsidR="00347058" w:rsidRPr="00347058" w:rsidRDefault="00347058" w:rsidP="00347058">
            <w:pPr>
              <w:pStyle w:val="TableText"/>
              <w:jc w:val="right"/>
              <w:rPr>
                <w:b/>
                <w:bCs/>
              </w:rPr>
            </w:pPr>
            <w:r w:rsidRPr="00347058">
              <w:rPr>
                <w:b/>
                <w:bCs/>
                <w:w w:val="110"/>
              </w:rPr>
              <w:t>2021/22</w:t>
            </w:r>
          </w:p>
          <w:p w14:paraId="0D65B6BC" w14:textId="77777777" w:rsidR="00347058" w:rsidRPr="00347058" w:rsidRDefault="00347058" w:rsidP="00347058">
            <w:pPr>
              <w:pStyle w:val="TableText"/>
              <w:jc w:val="right"/>
              <w:rPr>
                <w:b/>
                <w:bCs/>
              </w:rPr>
            </w:pPr>
            <w:r w:rsidRPr="00347058">
              <w:rPr>
                <w:b/>
                <w:bCs/>
                <w:w w:val="120"/>
              </w:rPr>
              <w:t>$000</w:t>
            </w:r>
          </w:p>
        </w:tc>
        <w:tc>
          <w:tcPr>
            <w:tcW w:w="1701" w:type="dxa"/>
            <w:tcBorders>
              <w:top w:val="nil"/>
              <w:bottom w:val="nil"/>
            </w:tcBorders>
            <w:shd w:val="clear" w:color="auto" w:fill="D9D9D9" w:themeFill="background1" w:themeFillShade="D9"/>
          </w:tcPr>
          <w:p w14:paraId="12200F02" w14:textId="1DB9E243" w:rsidR="00347058" w:rsidRPr="00347058" w:rsidRDefault="00347058" w:rsidP="00347058">
            <w:pPr>
              <w:pStyle w:val="TableText"/>
              <w:jc w:val="right"/>
              <w:rPr>
                <w:b/>
                <w:bCs/>
                <w:w w:val="110"/>
              </w:rPr>
            </w:pPr>
            <w:r w:rsidRPr="00347058">
              <w:rPr>
                <w:b/>
                <w:bCs/>
                <w:w w:val="110"/>
              </w:rPr>
              <w:t>Voted</w:t>
            </w:r>
            <w:r w:rsidRPr="00347058">
              <w:rPr>
                <w:b/>
                <w:bCs/>
                <w:spacing w:val="-53"/>
                <w:w w:val="110"/>
              </w:rPr>
              <w:t xml:space="preserve"> </w:t>
            </w:r>
            <w:r w:rsidRPr="00347058">
              <w:rPr>
                <w:b/>
                <w:bCs/>
                <w:spacing w:val="-53"/>
                <w:w w:val="110"/>
              </w:rPr>
              <w:br/>
            </w:r>
            <w:r w:rsidRPr="00347058">
              <w:rPr>
                <w:b/>
                <w:bCs/>
                <w:w w:val="110"/>
              </w:rPr>
              <w:t>appropriation</w:t>
            </w:r>
          </w:p>
          <w:p w14:paraId="72EC88DB" w14:textId="77777777" w:rsidR="00347058" w:rsidRPr="00347058" w:rsidRDefault="00347058" w:rsidP="00347058">
            <w:pPr>
              <w:pStyle w:val="TableText"/>
              <w:jc w:val="right"/>
              <w:rPr>
                <w:b/>
                <w:bCs/>
              </w:rPr>
            </w:pPr>
            <w:r w:rsidRPr="00347058">
              <w:rPr>
                <w:b/>
                <w:bCs/>
                <w:w w:val="105"/>
              </w:rPr>
              <w:t>2021/22</w:t>
            </w:r>
          </w:p>
          <w:p w14:paraId="774B1E2F" w14:textId="77777777" w:rsidR="00347058" w:rsidRPr="00347058" w:rsidRDefault="00347058" w:rsidP="00347058">
            <w:pPr>
              <w:pStyle w:val="TableText"/>
              <w:jc w:val="right"/>
              <w:rPr>
                <w:b/>
                <w:bCs/>
              </w:rPr>
            </w:pPr>
            <w:r w:rsidRPr="00347058">
              <w:rPr>
                <w:b/>
                <w:bCs/>
                <w:w w:val="120"/>
              </w:rPr>
              <w:t>$000</w:t>
            </w:r>
          </w:p>
        </w:tc>
        <w:tc>
          <w:tcPr>
            <w:tcW w:w="1134" w:type="dxa"/>
            <w:tcBorders>
              <w:top w:val="nil"/>
              <w:bottom w:val="nil"/>
            </w:tcBorders>
            <w:shd w:val="clear" w:color="auto" w:fill="D9D9D9" w:themeFill="background1" w:themeFillShade="D9"/>
          </w:tcPr>
          <w:p w14:paraId="17D1EF2E" w14:textId="054BC774" w:rsidR="00347058" w:rsidRPr="00347058" w:rsidRDefault="00347058" w:rsidP="00347058">
            <w:pPr>
              <w:pStyle w:val="TableText"/>
              <w:jc w:val="right"/>
              <w:rPr>
                <w:b/>
                <w:bCs/>
              </w:rPr>
            </w:pPr>
            <w:r w:rsidRPr="00347058">
              <w:rPr>
                <w:b/>
                <w:bCs/>
                <w:w w:val="110"/>
              </w:rPr>
              <w:t>Actual</w:t>
            </w:r>
            <w:r w:rsidRPr="00347058">
              <w:rPr>
                <w:b/>
                <w:bCs/>
                <w:w w:val="110"/>
              </w:rPr>
              <w:br/>
            </w:r>
          </w:p>
          <w:p w14:paraId="6014B38D" w14:textId="77777777" w:rsidR="00347058" w:rsidRPr="00347058" w:rsidRDefault="00347058" w:rsidP="00347058">
            <w:pPr>
              <w:pStyle w:val="TableText"/>
              <w:jc w:val="right"/>
              <w:rPr>
                <w:b/>
                <w:bCs/>
              </w:rPr>
            </w:pPr>
            <w:r w:rsidRPr="00347058">
              <w:rPr>
                <w:b/>
                <w:bCs/>
                <w:w w:val="105"/>
              </w:rPr>
              <w:t>2021/22</w:t>
            </w:r>
          </w:p>
          <w:p w14:paraId="15390E5A" w14:textId="77777777" w:rsidR="00347058" w:rsidRPr="00347058" w:rsidRDefault="00347058" w:rsidP="00347058">
            <w:pPr>
              <w:pStyle w:val="TableText"/>
              <w:jc w:val="right"/>
              <w:rPr>
                <w:b/>
                <w:bCs/>
              </w:rPr>
            </w:pPr>
            <w:r w:rsidRPr="00347058">
              <w:rPr>
                <w:b/>
                <w:bCs/>
                <w:w w:val="120"/>
              </w:rPr>
              <w:t>$000</w:t>
            </w:r>
          </w:p>
        </w:tc>
      </w:tr>
      <w:tr w:rsidR="00347058" w14:paraId="5D50CFD9" w14:textId="77777777" w:rsidTr="00347058">
        <w:trPr>
          <w:trHeight w:val="343"/>
        </w:trPr>
        <w:tc>
          <w:tcPr>
            <w:tcW w:w="3544" w:type="dxa"/>
            <w:tcBorders>
              <w:top w:val="nil"/>
            </w:tcBorders>
          </w:tcPr>
          <w:p w14:paraId="1528D182" w14:textId="77777777" w:rsidR="00347058" w:rsidRPr="00347058" w:rsidRDefault="00347058" w:rsidP="00347058">
            <w:pPr>
              <w:pStyle w:val="TableText"/>
              <w:rPr>
                <w:b/>
                <w:bCs/>
              </w:rPr>
            </w:pPr>
            <w:r w:rsidRPr="00347058">
              <w:rPr>
                <w:b/>
                <w:bCs/>
                <w:w w:val="105"/>
              </w:rPr>
              <w:t>Departmental</w:t>
            </w:r>
            <w:r w:rsidRPr="00347058">
              <w:rPr>
                <w:b/>
                <w:bCs/>
                <w:spacing w:val="4"/>
                <w:w w:val="105"/>
              </w:rPr>
              <w:t xml:space="preserve"> </w:t>
            </w:r>
            <w:r w:rsidRPr="00347058">
              <w:rPr>
                <w:b/>
                <w:bCs/>
                <w:w w:val="105"/>
              </w:rPr>
              <w:t>output</w:t>
            </w:r>
            <w:r w:rsidRPr="00347058">
              <w:rPr>
                <w:b/>
                <w:bCs/>
                <w:spacing w:val="5"/>
                <w:w w:val="105"/>
              </w:rPr>
              <w:t xml:space="preserve"> </w:t>
            </w:r>
            <w:r w:rsidRPr="00347058">
              <w:rPr>
                <w:b/>
                <w:bCs/>
                <w:w w:val="105"/>
              </w:rPr>
              <w:t>expenses</w:t>
            </w:r>
          </w:p>
        </w:tc>
        <w:tc>
          <w:tcPr>
            <w:tcW w:w="1134" w:type="dxa"/>
            <w:tcBorders>
              <w:top w:val="nil"/>
            </w:tcBorders>
          </w:tcPr>
          <w:p w14:paraId="59FA272A" w14:textId="77777777" w:rsidR="00347058" w:rsidRDefault="00347058" w:rsidP="00347058">
            <w:pPr>
              <w:pStyle w:val="TableText"/>
              <w:rPr>
                <w:rFonts w:ascii="Times New Roman"/>
              </w:rPr>
            </w:pPr>
          </w:p>
        </w:tc>
        <w:tc>
          <w:tcPr>
            <w:tcW w:w="1418" w:type="dxa"/>
            <w:tcBorders>
              <w:top w:val="nil"/>
            </w:tcBorders>
          </w:tcPr>
          <w:p w14:paraId="6CBD6646" w14:textId="77777777" w:rsidR="00347058" w:rsidRDefault="00347058" w:rsidP="00347058">
            <w:pPr>
              <w:pStyle w:val="TableText"/>
              <w:rPr>
                <w:rFonts w:ascii="Times New Roman"/>
              </w:rPr>
            </w:pPr>
          </w:p>
        </w:tc>
        <w:tc>
          <w:tcPr>
            <w:tcW w:w="1701" w:type="dxa"/>
            <w:tcBorders>
              <w:top w:val="nil"/>
            </w:tcBorders>
          </w:tcPr>
          <w:p w14:paraId="39097A79" w14:textId="77777777" w:rsidR="00347058" w:rsidRDefault="00347058" w:rsidP="00347058">
            <w:pPr>
              <w:pStyle w:val="TableText"/>
              <w:rPr>
                <w:rFonts w:ascii="Times New Roman"/>
              </w:rPr>
            </w:pPr>
          </w:p>
        </w:tc>
        <w:tc>
          <w:tcPr>
            <w:tcW w:w="1134" w:type="dxa"/>
            <w:tcBorders>
              <w:top w:val="nil"/>
            </w:tcBorders>
          </w:tcPr>
          <w:p w14:paraId="3BAC554A" w14:textId="77777777" w:rsidR="00347058" w:rsidRDefault="00347058" w:rsidP="00347058">
            <w:pPr>
              <w:pStyle w:val="TableText"/>
              <w:rPr>
                <w:rFonts w:ascii="Times New Roman"/>
              </w:rPr>
            </w:pPr>
          </w:p>
        </w:tc>
      </w:tr>
    </w:tbl>
    <w:p w14:paraId="00429B1E" w14:textId="77777777" w:rsidR="00347058" w:rsidRPr="00347058" w:rsidRDefault="00347058" w:rsidP="00347058">
      <w:pPr>
        <w:pStyle w:val="TableText"/>
        <w:rPr>
          <w:b/>
          <w:bCs/>
        </w:rPr>
      </w:pPr>
      <w:r w:rsidRPr="00347058">
        <w:rPr>
          <w:b/>
          <w:bCs/>
          <w:w w:val="105"/>
        </w:rPr>
        <w:t>Supporting</w:t>
      </w:r>
      <w:r w:rsidRPr="00347058">
        <w:rPr>
          <w:b/>
          <w:bCs/>
          <w:spacing w:val="-3"/>
          <w:w w:val="105"/>
        </w:rPr>
        <w:t xml:space="preserve"> </w:t>
      </w:r>
      <w:r w:rsidRPr="00347058">
        <w:rPr>
          <w:b/>
          <w:bCs/>
          <w:w w:val="105"/>
        </w:rPr>
        <w:t>the</w:t>
      </w:r>
      <w:r w:rsidRPr="00347058">
        <w:rPr>
          <w:b/>
          <w:bCs/>
          <w:spacing w:val="-2"/>
          <w:w w:val="105"/>
        </w:rPr>
        <w:t xml:space="preserve"> </w:t>
      </w:r>
      <w:r w:rsidRPr="00347058">
        <w:rPr>
          <w:b/>
          <w:bCs/>
          <w:w w:val="105"/>
        </w:rPr>
        <w:t>implementation</w:t>
      </w:r>
      <w:r w:rsidRPr="00347058">
        <w:rPr>
          <w:b/>
          <w:bCs/>
          <w:spacing w:val="-3"/>
          <w:w w:val="105"/>
        </w:rPr>
        <w:t xml:space="preserve"> </w:t>
      </w:r>
      <w:r w:rsidRPr="00347058">
        <w:rPr>
          <w:b/>
          <w:bCs/>
          <w:w w:val="105"/>
        </w:rPr>
        <w:t>of</w:t>
      </w:r>
      <w:r w:rsidRPr="00347058">
        <w:rPr>
          <w:b/>
          <w:bCs/>
          <w:spacing w:val="-2"/>
          <w:w w:val="105"/>
        </w:rPr>
        <w:t xml:space="preserve"> </w:t>
      </w:r>
      <w:r w:rsidRPr="00347058">
        <w:rPr>
          <w:b/>
          <w:bCs/>
          <w:w w:val="105"/>
        </w:rPr>
        <w:t>the</w:t>
      </w:r>
      <w:r w:rsidRPr="00347058">
        <w:rPr>
          <w:b/>
          <w:bCs/>
          <w:spacing w:val="-3"/>
          <w:w w:val="105"/>
        </w:rPr>
        <w:t xml:space="preserve"> </w:t>
      </w:r>
      <w:r w:rsidRPr="00347058">
        <w:rPr>
          <w:b/>
          <w:bCs/>
          <w:w w:val="105"/>
        </w:rPr>
        <w:t>COVID-19</w:t>
      </w:r>
      <w:r w:rsidRPr="00347058">
        <w:rPr>
          <w:b/>
          <w:bCs/>
          <w:spacing w:val="-2"/>
          <w:w w:val="105"/>
        </w:rPr>
        <w:t xml:space="preserve"> </w:t>
      </w:r>
      <w:r w:rsidRPr="00347058">
        <w:rPr>
          <w:b/>
          <w:bCs/>
          <w:w w:val="105"/>
        </w:rPr>
        <w:t>vaccine</w:t>
      </w:r>
      <w:r w:rsidRPr="00347058">
        <w:rPr>
          <w:b/>
          <w:bCs/>
          <w:spacing w:val="-3"/>
          <w:w w:val="105"/>
        </w:rPr>
        <w:t xml:space="preserve"> </w:t>
      </w:r>
      <w:r w:rsidRPr="00347058">
        <w:rPr>
          <w:b/>
          <w:bCs/>
          <w:w w:val="105"/>
        </w:rPr>
        <w:t>strategy</w:t>
      </w:r>
    </w:p>
    <w:tbl>
      <w:tblPr>
        <w:tblW w:w="8931"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544"/>
        <w:gridCol w:w="1134"/>
        <w:gridCol w:w="1418"/>
        <w:gridCol w:w="1701"/>
        <w:gridCol w:w="1134"/>
      </w:tblGrid>
      <w:tr w:rsidR="00347058" w14:paraId="7563E488" w14:textId="77777777" w:rsidTr="00347058">
        <w:trPr>
          <w:trHeight w:val="338"/>
        </w:trPr>
        <w:tc>
          <w:tcPr>
            <w:tcW w:w="3544" w:type="dxa"/>
          </w:tcPr>
          <w:p w14:paraId="164574DD" w14:textId="77777777" w:rsidR="00347058" w:rsidRDefault="00347058" w:rsidP="00347058">
            <w:pPr>
              <w:pStyle w:val="TableText"/>
            </w:pPr>
            <w:r>
              <w:t>Crown</w:t>
            </w:r>
            <w:r>
              <w:rPr>
                <w:spacing w:val="4"/>
              </w:rPr>
              <w:t xml:space="preserve"> </w:t>
            </w:r>
            <w:r>
              <w:t>revenue</w:t>
            </w:r>
          </w:p>
        </w:tc>
        <w:tc>
          <w:tcPr>
            <w:tcW w:w="1134" w:type="dxa"/>
          </w:tcPr>
          <w:p w14:paraId="01A10726" w14:textId="77777777" w:rsidR="00347058" w:rsidRDefault="00347058" w:rsidP="00347058">
            <w:pPr>
              <w:pStyle w:val="TableText"/>
              <w:jc w:val="right"/>
            </w:pPr>
            <w:r>
              <w:rPr>
                <w:w w:val="110"/>
              </w:rPr>
              <w:t>48,990</w:t>
            </w:r>
          </w:p>
        </w:tc>
        <w:tc>
          <w:tcPr>
            <w:tcW w:w="1418" w:type="dxa"/>
          </w:tcPr>
          <w:p w14:paraId="199BFBE1" w14:textId="77777777" w:rsidR="00347058" w:rsidRDefault="00347058" w:rsidP="00347058">
            <w:pPr>
              <w:pStyle w:val="TableText"/>
              <w:jc w:val="right"/>
            </w:pPr>
            <w:r>
              <w:rPr>
                <w:w w:val="105"/>
              </w:rPr>
              <w:t>23,850</w:t>
            </w:r>
          </w:p>
        </w:tc>
        <w:tc>
          <w:tcPr>
            <w:tcW w:w="1701" w:type="dxa"/>
          </w:tcPr>
          <w:p w14:paraId="101A9FD2" w14:textId="77777777" w:rsidR="00347058" w:rsidRDefault="00347058" w:rsidP="00347058">
            <w:pPr>
              <w:pStyle w:val="TableText"/>
              <w:jc w:val="right"/>
            </w:pPr>
            <w:r>
              <w:rPr>
                <w:w w:val="105"/>
              </w:rPr>
              <w:t>205,786</w:t>
            </w:r>
          </w:p>
        </w:tc>
        <w:tc>
          <w:tcPr>
            <w:tcW w:w="1134" w:type="dxa"/>
          </w:tcPr>
          <w:p w14:paraId="6871EB7C" w14:textId="77777777" w:rsidR="00347058" w:rsidRDefault="00347058" w:rsidP="00347058">
            <w:pPr>
              <w:pStyle w:val="TableText"/>
              <w:jc w:val="right"/>
            </w:pPr>
            <w:r>
              <w:rPr>
                <w:w w:val="105"/>
              </w:rPr>
              <w:t>205,786</w:t>
            </w:r>
          </w:p>
        </w:tc>
      </w:tr>
      <w:tr w:rsidR="00347058" w14:paraId="771D8CAB" w14:textId="77777777" w:rsidTr="00347058">
        <w:trPr>
          <w:trHeight w:val="338"/>
        </w:trPr>
        <w:tc>
          <w:tcPr>
            <w:tcW w:w="3544" w:type="dxa"/>
          </w:tcPr>
          <w:p w14:paraId="14432008" w14:textId="77777777" w:rsidR="00347058" w:rsidRDefault="00347058" w:rsidP="00347058">
            <w:pPr>
              <w:pStyle w:val="TableText"/>
            </w:pPr>
            <w:r>
              <w:t>Other</w:t>
            </w:r>
            <w:r>
              <w:rPr>
                <w:spacing w:val="3"/>
              </w:rPr>
              <w:t xml:space="preserve"> </w:t>
            </w:r>
            <w:r>
              <w:t>revenue</w:t>
            </w:r>
          </w:p>
        </w:tc>
        <w:tc>
          <w:tcPr>
            <w:tcW w:w="1134" w:type="dxa"/>
          </w:tcPr>
          <w:p w14:paraId="6E3098A9" w14:textId="77777777" w:rsidR="00347058" w:rsidRDefault="00347058" w:rsidP="00347058">
            <w:pPr>
              <w:pStyle w:val="TableText"/>
              <w:jc w:val="right"/>
            </w:pPr>
            <w:r>
              <w:rPr>
                <w:w w:val="135"/>
              </w:rPr>
              <w:t>–</w:t>
            </w:r>
          </w:p>
        </w:tc>
        <w:tc>
          <w:tcPr>
            <w:tcW w:w="1418" w:type="dxa"/>
          </w:tcPr>
          <w:p w14:paraId="595D8FB7" w14:textId="77777777" w:rsidR="00347058" w:rsidRDefault="00347058" w:rsidP="00347058">
            <w:pPr>
              <w:pStyle w:val="TableText"/>
              <w:jc w:val="right"/>
            </w:pPr>
            <w:r>
              <w:rPr>
                <w:w w:val="135"/>
              </w:rPr>
              <w:t>–</w:t>
            </w:r>
          </w:p>
        </w:tc>
        <w:tc>
          <w:tcPr>
            <w:tcW w:w="1701" w:type="dxa"/>
          </w:tcPr>
          <w:p w14:paraId="755F574A" w14:textId="77777777" w:rsidR="00347058" w:rsidRDefault="00347058" w:rsidP="00347058">
            <w:pPr>
              <w:pStyle w:val="TableText"/>
              <w:jc w:val="right"/>
            </w:pPr>
            <w:r>
              <w:rPr>
                <w:w w:val="135"/>
              </w:rPr>
              <w:t>–</w:t>
            </w:r>
          </w:p>
        </w:tc>
        <w:tc>
          <w:tcPr>
            <w:tcW w:w="1134" w:type="dxa"/>
          </w:tcPr>
          <w:p w14:paraId="65A49CBB" w14:textId="77777777" w:rsidR="00347058" w:rsidRDefault="00347058" w:rsidP="00347058">
            <w:pPr>
              <w:pStyle w:val="TableText"/>
              <w:jc w:val="right"/>
            </w:pPr>
            <w:r>
              <w:rPr>
                <w:w w:val="135"/>
              </w:rPr>
              <w:t>–</w:t>
            </w:r>
          </w:p>
        </w:tc>
      </w:tr>
      <w:tr w:rsidR="00347058" w14:paraId="63EC12F4" w14:textId="77777777" w:rsidTr="00347058">
        <w:trPr>
          <w:trHeight w:val="338"/>
        </w:trPr>
        <w:tc>
          <w:tcPr>
            <w:tcW w:w="3544" w:type="dxa"/>
          </w:tcPr>
          <w:p w14:paraId="43AA7B0D" w14:textId="77777777" w:rsidR="00347058" w:rsidRDefault="00347058" w:rsidP="00347058">
            <w:pPr>
              <w:pStyle w:val="TableText"/>
            </w:pPr>
            <w:r>
              <w:rPr>
                <w:w w:val="105"/>
              </w:rPr>
              <w:t>Total</w:t>
            </w:r>
            <w:r>
              <w:rPr>
                <w:spacing w:val="-13"/>
                <w:w w:val="105"/>
              </w:rPr>
              <w:t xml:space="preserve"> </w:t>
            </w:r>
            <w:r>
              <w:rPr>
                <w:w w:val="105"/>
              </w:rPr>
              <w:t>revenue</w:t>
            </w:r>
          </w:p>
        </w:tc>
        <w:tc>
          <w:tcPr>
            <w:tcW w:w="1134" w:type="dxa"/>
          </w:tcPr>
          <w:p w14:paraId="7E3F702B" w14:textId="77777777" w:rsidR="00347058" w:rsidRDefault="00347058" w:rsidP="00347058">
            <w:pPr>
              <w:pStyle w:val="TableText"/>
              <w:jc w:val="right"/>
            </w:pPr>
            <w:r>
              <w:rPr>
                <w:w w:val="110"/>
              </w:rPr>
              <w:t>48,990</w:t>
            </w:r>
          </w:p>
        </w:tc>
        <w:tc>
          <w:tcPr>
            <w:tcW w:w="1418" w:type="dxa"/>
          </w:tcPr>
          <w:p w14:paraId="62BF28A4" w14:textId="77777777" w:rsidR="00347058" w:rsidRDefault="00347058" w:rsidP="00347058">
            <w:pPr>
              <w:pStyle w:val="TableText"/>
              <w:jc w:val="right"/>
            </w:pPr>
            <w:r>
              <w:rPr>
                <w:w w:val="105"/>
              </w:rPr>
              <w:t>23,850</w:t>
            </w:r>
          </w:p>
        </w:tc>
        <w:tc>
          <w:tcPr>
            <w:tcW w:w="1701" w:type="dxa"/>
          </w:tcPr>
          <w:p w14:paraId="5A8701B4" w14:textId="77777777" w:rsidR="00347058" w:rsidRDefault="00347058" w:rsidP="00347058">
            <w:pPr>
              <w:pStyle w:val="TableText"/>
              <w:jc w:val="right"/>
            </w:pPr>
            <w:r>
              <w:rPr>
                <w:w w:val="105"/>
              </w:rPr>
              <w:t>205,786</w:t>
            </w:r>
          </w:p>
        </w:tc>
        <w:tc>
          <w:tcPr>
            <w:tcW w:w="1134" w:type="dxa"/>
          </w:tcPr>
          <w:p w14:paraId="08594656" w14:textId="77777777" w:rsidR="00347058" w:rsidRDefault="00347058" w:rsidP="00347058">
            <w:pPr>
              <w:pStyle w:val="TableText"/>
              <w:jc w:val="right"/>
            </w:pPr>
            <w:r>
              <w:rPr>
                <w:w w:val="105"/>
              </w:rPr>
              <w:t>205,786</w:t>
            </w:r>
          </w:p>
        </w:tc>
      </w:tr>
      <w:tr w:rsidR="00347058" w14:paraId="104655A8" w14:textId="77777777" w:rsidTr="00347058">
        <w:trPr>
          <w:trHeight w:val="338"/>
        </w:trPr>
        <w:tc>
          <w:tcPr>
            <w:tcW w:w="3544" w:type="dxa"/>
          </w:tcPr>
          <w:p w14:paraId="729FFFF1" w14:textId="77777777" w:rsidR="00347058" w:rsidRDefault="00347058" w:rsidP="00347058">
            <w:pPr>
              <w:pStyle w:val="TableText"/>
            </w:pPr>
            <w:r>
              <w:rPr>
                <w:w w:val="105"/>
              </w:rPr>
              <w:t>Total</w:t>
            </w:r>
            <w:r>
              <w:rPr>
                <w:spacing w:val="-3"/>
                <w:w w:val="105"/>
              </w:rPr>
              <w:t xml:space="preserve"> </w:t>
            </w:r>
            <w:r>
              <w:rPr>
                <w:w w:val="105"/>
              </w:rPr>
              <w:t>expenses</w:t>
            </w:r>
          </w:p>
        </w:tc>
        <w:tc>
          <w:tcPr>
            <w:tcW w:w="1134" w:type="dxa"/>
          </w:tcPr>
          <w:p w14:paraId="7F2AB091" w14:textId="77777777" w:rsidR="00347058" w:rsidRDefault="00347058" w:rsidP="00347058">
            <w:pPr>
              <w:pStyle w:val="TableText"/>
              <w:jc w:val="right"/>
            </w:pPr>
            <w:r>
              <w:rPr>
                <w:w w:val="110"/>
              </w:rPr>
              <w:t>44,838</w:t>
            </w:r>
          </w:p>
        </w:tc>
        <w:tc>
          <w:tcPr>
            <w:tcW w:w="1418" w:type="dxa"/>
          </w:tcPr>
          <w:p w14:paraId="23C499CC" w14:textId="77777777" w:rsidR="00347058" w:rsidRDefault="00347058" w:rsidP="00347058">
            <w:pPr>
              <w:pStyle w:val="TableText"/>
              <w:jc w:val="right"/>
            </w:pPr>
            <w:r>
              <w:rPr>
                <w:w w:val="105"/>
              </w:rPr>
              <w:t>23,850</w:t>
            </w:r>
          </w:p>
        </w:tc>
        <w:tc>
          <w:tcPr>
            <w:tcW w:w="1701" w:type="dxa"/>
          </w:tcPr>
          <w:p w14:paraId="484CE8F9" w14:textId="77777777" w:rsidR="00347058" w:rsidRDefault="00347058" w:rsidP="00347058">
            <w:pPr>
              <w:pStyle w:val="TableText"/>
              <w:jc w:val="right"/>
            </w:pPr>
            <w:r>
              <w:rPr>
                <w:w w:val="105"/>
              </w:rPr>
              <w:t>205,786</w:t>
            </w:r>
          </w:p>
        </w:tc>
        <w:tc>
          <w:tcPr>
            <w:tcW w:w="1134" w:type="dxa"/>
          </w:tcPr>
          <w:p w14:paraId="49926555" w14:textId="77777777" w:rsidR="00347058" w:rsidRDefault="00347058" w:rsidP="00347058">
            <w:pPr>
              <w:pStyle w:val="TableText"/>
              <w:jc w:val="right"/>
            </w:pPr>
            <w:r>
              <w:t>191,565</w:t>
            </w:r>
          </w:p>
        </w:tc>
      </w:tr>
      <w:tr w:rsidR="00347058" w14:paraId="2FED7626" w14:textId="77777777" w:rsidTr="00347058">
        <w:trPr>
          <w:trHeight w:val="338"/>
        </w:trPr>
        <w:tc>
          <w:tcPr>
            <w:tcW w:w="3544" w:type="dxa"/>
          </w:tcPr>
          <w:p w14:paraId="7550D775" w14:textId="77777777" w:rsidR="00347058" w:rsidRDefault="00347058" w:rsidP="00347058">
            <w:pPr>
              <w:pStyle w:val="TableText"/>
            </w:pPr>
            <w:r>
              <w:rPr>
                <w:w w:val="105"/>
              </w:rPr>
              <w:t>Net</w:t>
            </w:r>
            <w:r>
              <w:rPr>
                <w:spacing w:val="6"/>
                <w:w w:val="105"/>
              </w:rPr>
              <w:t xml:space="preserve"> </w:t>
            </w:r>
            <w:r>
              <w:rPr>
                <w:w w:val="105"/>
              </w:rPr>
              <w:t>surplus</w:t>
            </w:r>
            <w:r>
              <w:rPr>
                <w:spacing w:val="6"/>
                <w:w w:val="105"/>
              </w:rPr>
              <w:t xml:space="preserve"> </w:t>
            </w:r>
            <w:r>
              <w:rPr>
                <w:w w:val="105"/>
              </w:rPr>
              <w:t>(deficit)</w:t>
            </w:r>
          </w:p>
        </w:tc>
        <w:tc>
          <w:tcPr>
            <w:tcW w:w="1134" w:type="dxa"/>
          </w:tcPr>
          <w:p w14:paraId="3966A402" w14:textId="77777777" w:rsidR="00347058" w:rsidRDefault="00347058" w:rsidP="00347058">
            <w:pPr>
              <w:pStyle w:val="TableText"/>
              <w:jc w:val="right"/>
            </w:pPr>
            <w:r>
              <w:t>4,152</w:t>
            </w:r>
          </w:p>
        </w:tc>
        <w:tc>
          <w:tcPr>
            <w:tcW w:w="1418" w:type="dxa"/>
          </w:tcPr>
          <w:p w14:paraId="31AEA7FC" w14:textId="77777777" w:rsidR="00347058" w:rsidRDefault="00347058" w:rsidP="00347058">
            <w:pPr>
              <w:pStyle w:val="TableText"/>
              <w:jc w:val="right"/>
            </w:pPr>
            <w:r>
              <w:rPr>
                <w:w w:val="135"/>
              </w:rPr>
              <w:t>–</w:t>
            </w:r>
          </w:p>
        </w:tc>
        <w:tc>
          <w:tcPr>
            <w:tcW w:w="1701" w:type="dxa"/>
          </w:tcPr>
          <w:p w14:paraId="146F3E6C" w14:textId="77777777" w:rsidR="00347058" w:rsidRDefault="00347058" w:rsidP="00347058">
            <w:pPr>
              <w:pStyle w:val="TableText"/>
              <w:jc w:val="right"/>
            </w:pPr>
            <w:r>
              <w:rPr>
                <w:w w:val="135"/>
              </w:rPr>
              <w:t>–</w:t>
            </w:r>
          </w:p>
        </w:tc>
        <w:tc>
          <w:tcPr>
            <w:tcW w:w="1134" w:type="dxa"/>
          </w:tcPr>
          <w:p w14:paraId="0ABA80D7" w14:textId="77777777" w:rsidR="00347058" w:rsidRDefault="00347058" w:rsidP="00347058">
            <w:pPr>
              <w:pStyle w:val="TableText"/>
              <w:jc w:val="right"/>
            </w:pPr>
            <w:r>
              <w:rPr>
                <w:w w:val="95"/>
              </w:rPr>
              <w:t>14,221</w:t>
            </w:r>
          </w:p>
        </w:tc>
      </w:tr>
      <w:tr w:rsidR="00347058" w14:paraId="2C426F94" w14:textId="77777777" w:rsidTr="00347058">
        <w:trPr>
          <w:trHeight w:val="338"/>
        </w:trPr>
        <w:tc>
          <w:tcPr>
            <w:tcW w:w="3544" w:type="dxa"/>
          </w:tcPr>
          <w:p w14:paraId="43DA5291" w14:textId="77777777" w:rsidR="00347058" w:rsidRPr="00347058" w:rsidRDefault="00347058" w:rsidP="00347058">
            <w:pPr>
              <w:pStyle w:val="TableText"/>
              <w:rPr>
                <w:b/>
                <w:bCs/>
              </w:rPr>
            </w:pPr>
            <w:r w:rsidRPr="00347058">
              <w:rPr>
                <w:b/>
                <w:bCs/>
                <w:w w:val="105"/>
              </w:rPr>
              <w:t>Non-departmental</w:t>
            </w:r>
            <w:r w:rsidRPr="00347058">
              <w:rPr>
                <w:b/>
                <w:bCs/>
                <w:spacing w:val="9"/>
                <w:w w:val="105"/>
              </w:rPr>
              <w:t xml:space="preserve"> </w:t>
            </w:r>
            <w:r w:rsidRPr="00347058">
              <w:rPr>
                <w:b/>
                <w:bCs/>
                <w:w w:val="105"/>
              </w:rPr>
              <w:t>output</w:t>
            </w:r>
            <w:r w:rsidRPr="00347058">
              <w:rPr>
                <w:b/>
                <w:bCs/>
                <w:spacing w:val="10"/>
                <w:w w:val="105"/>
              </w:rPr>
              <w:t xml:space="preserve"> </w:t>
            </w:r>
            <w:r w:rsidRPr="00347058">
              <w:rPr>
                <w:b/>
                <w:bCs/>
                <w:w w:val="105"/>
              </w:rPr>
              <w:t>expenses</w:t>
            </w:r>
          </w:p>
        </w:tc>
        <w:tc>
          <w:tcPr>
            <w:tcW w:w="1134" w:type="dxa"/>
          </w:tcPr>
          <w:p w14:paraId="299E5873" w14:textId="77777777" w:rsidR="00347058" w:rsidRDefault="00347058" w:rsidP="00347058">
            <w:pPr>
              <w:pStyle w:val="TableText"/>
              <w:jc w:val="right"/>
              <w:rPr>
                <w:rFonts w:ascii="Times New Roman"/>
              </w:rPr>
            </w:pPr>
          </w:p>
        </w:tc>
        <w:tc>
          <w:tcPr>
            <w:tcW w:w="1418" w:type="dxa"/>
          </w:tcPr>
          <w:p w14:paraId="3AB3EA1A" w14:textId="77777777" w:rsidR="00347058" w:rsidRDefault="00347058" w:rsidP="00347058">
            <w:pPr>
              <w:pStyle w:val="TableText"/>
              <w:jc w:val="right"/>
              <w:rPr>
                <w:rFonts w:ascii="Times New Roman"/>
              </w:rPr>
            </w:pPr>
          </w:p>
        </w:tc>
        <w:tc>
          <w:tcPr>
            <w:tcW w:w="1701" w:type="dxa"/>
          </w:tcPr>
          <w:p w14:paraId="2328B55F" w14:textId="77777777" w:rsidR="00347058" w:rsidRDefault="00347058" w:rsidP="00347058">
            <w:pPr>
              <w:pStyle w:val="TableText"/>
              <w:jc w:val="right"/>
              <w:rPr>
                <w:rFonts w:ascii="Times New Roman"/>
              </w:rPr>
            </w:pPr>
          </w:p>
        </w:tc>
        <w:tc>
          <w:tcPr>
            <w:tcW w:w="1134" w:type="dxa"/>
          </w:tcPr>
          <w:p w14:paraId="6BC2D3C0" w14:textId="77777777" w:rsidR="00347058" w:rsidRDefault="00347058" w:rsidP="00347058">
            <w:pPr>
              <w:pStyle w:val="TableText"/>
              <w:jc w:val="right"/>
              <w:rPr>
                <w:rFonts w:ascii="Times New Roman"/>
              </w:rPr>
            </w:pPr>
          </w:p>
        </w:tc>
      </w:tr>
    </w:tbl>
    <w:p w14:paraId="0BBF39F0" w14:textId="77777777" w:rsidR="00347058" w:rsidRPr="00347058" w:rsidRDefault="00347058" w:rsidP="00347058">
      <w:pPr>
        <w:pStyle w:val="TableText"/>
        <w:rPr>
          <w:b/>
          <w:bCs/>
        </w:rPr>
      </w:pPr>
      <w:r w:rsidRPr="00347058">
        <w:rPr>
          <w:b/>
          <w:bCs/>
          <w:w w:val="105"/>
        </w:rPr>
        <w:t>Implementing</w:t>
      </w:r>
      <w:r w:rsidRPr="00347058">
        <w:rPr>
          <w:b/>
          <w:bCs/>
          <w:spacing w:val="5"/>
          <w:w w:val="105"/>
        </w:rPr>
        <w:t xml:space="preserve"> </w:t>
      </w:r>
      <w:r w:rsidRPr="00347058">
        <w:rPr>
          <w:b/>
          <w:bCs/>
          <w:w w:val="105"/>
        </w:rPr>
        <w:t>the</w:t>
      </w:r>
      <w:r w:rsidRPr="00347058">
        <w:rPr>
          <w:b/>
          <w:bCs/>
          <w:spacing w:val="5"/>
          <w:w w:val="105"/>
        </w:rPr>
        <w:t xml:space="preserve"> </w:t>
      </w:r>
      <w:r w:rsidRPr="00347058">
        <w:rPr>
          <w:b/>
          <w:bCs/>
          <w:w w:val="105"/>
        </w:rPr>
        <w:t>COVID-19</w:t>
      </w:r>
      <w:r w:rsidRPr="00347058">
        <w:rPr>
          <w:b/>
          <w:bCs/>
          <w:spacing w:val="5"/>
          <w:w w:val="105"/>
        </w:rPr>
        <w:t xml:space="preserve"> </w:t>
      </w:r>
      <w:r w:rsidRPr="00347058">
        <w:rPr>
          <w:b/>
          <w:bCs/>
          <w:w w:val="105"/>
        </w:rPr>
        <w:t>immunisation</w:t>
      </w:r>
      <w:r w:rsidRPr="00347058">
        <w:rPr>
          <w:b/>
          <w:bCs/>
          <w:spacing w:val="6"/>
          <w:w w:val="105"/>
        </w:rPr>
        <w:t xml:space="preserve"> </w:t>
      </w:r>
      <w:r w:rsidRPr="00347058">
        <w:rPr>
          <w:b/>
          <w:bCs/>
          <w:w w:val="105"/>
        </w:rPr>
        <w:t>programme</w:t>
      </w:r>
    </w:p>
    <w:tbl>
      <w:tblPr>
        <w:tblW w:w="8931" w:type="dxa"/>
        <w:tblBorders>
          <w:top w:val="single" w:sz="4" w:space="0" w:color="A6A6A6" w:themeColor="background1" w:themeShade="A6"/>
          <w:bottom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544"/>
        <w:gridCol w:w="1134"/>
        <w:gridCol w:w="1418"/>
        <w:gridCol w:w="1701"/>
        <w:gridCol w:w="1134"/>
      </w:tblGrid>
      <w:tr w:rsidR="00347058" w14:paraId="42508E0A" w14:textId="77777777" w:rsidTr="00347058">
        <w:trPr>
          <w:trHeight w:val="338"/>
        </w:trPr>
        <w:tc>
          <w:tcPr>
            <w:tcW w:w="3544" w:type="dxa"/>
          </w:tcPr>
          <w:p w14:paraId="421E765E" w14:textId="77777777" w:rsidR="00347058" w:rsidRDefault="00347058" w:rsidP="00347058">
            <w:pPr>
              <w:pStyle w:val="TableText"/>
            </w:pPr>
            <w:r>
              <w:rPr>
                <w:w w:val="105"/>
              </w:rPr>
              <w:t>Total</w:t>
            </w:r>
            <w:r>
              <w:rPr>
                <w:spacing w:val="-3"/>
                <w:w w:val="105"/>
              </w:rPr>
              <w:t xml:space="preserve"> </w:t>
            </w:r>
            <w:r>
              <w:rPr>
                <w:w w:val="105"/>
              </w:rPr>
              <w:t>expenses</w:t>
            </w:r>
          </w:p>
        </w:tc>
        <w:tc>
          <w:tcPr>
            <w:tcW w:w="1134" w:type="dxa"/>
          </w:tcPr>
          <w:p w14:paraId="25AFC73F" w14:textId="77777777" w:rsidR="00347058" w:rsidRDefault="00347058" w:rsidP="00347058">
            <w:pPr>
              <w:pStyle w:val="TableText"/>
              <w:jc w:val="right"/>
            </w:pPr>
            <w:r>
              <w:rPr>
                <w:w w:val="110"/>
              </w:rPr>
              <w:t>95,438</w:t>
            </w:r>
          </w:p>
        </w:tc>
        <w:tc>
          <w:tcPr>
            <w:tcW w:w="1418" w:type="dxa"/>
          </w:tcPr>
          <w:p w14:paraId="637B8038" w14:textId="77777777" w:rsidR="00347058" w:rsidRDefault="00347058" w:rsidP="00347058">
            <w:pPr>
              <w:pStyle w:val="TableText"/>
              <w:jc w:val="right"/>
            </w:pPr>
            <w:r>
              <w:t>182,700</w:t>
            </w:r>
          </w:p>
        </w:tc>
        <w:tc>
          <w:tcPr>
            <w:tcW w:w="1701" w:type="dxa"/>
          </w:tcPr>
          <w:p w14:paraId="13F2D75D" w14:textId="77777777" w:rsidR="00347058" w:rsidRDefault="00347058" w:rsidP="00347058">
            <w:pPr>
              <w:pStyle w:val="TableText"/>
              <w:jc w:val="right"/>
            </w:pPr>
            <w:r>
              <w:rPr>
                <w:w w:val="105"/>
              </w:rPr>
              <w:t>797,949</w:t>
            </w:r>
          </w:p>
        </w:tc>
        <w:tc>
          <w:tcPr>
            <w:tcW w:w="1134" w:type="dxa"/>
          </w:tcPr>
          <w:p w14:paraId="663CB74A" w14:textId="77777777" w:rsidR="00347058" w:rsidRDefault="00347058" w:rsidP="00347058">
            <w:pPr>
              <w:pStyle w:val="TableText"/>
              <w:jc w:val="right"/>
            </w:pPr>
            <w:r>
              <w:rPr>
                <w:w w:val="110"/>
              </w:rPr>
              <w:t>805,283</w:t>
            </w:r>
          </w:p>
        </w:tc>
      </w:tr>
    </w:tbl>
    <w:p w14:paraId="2765EEA6" w14:textId="77777777" w:rsidR="00347058" w:rsidRPr="00347058" w:rsidRDefault="00347058" w:rsidP="00347058">
      <w:pPr>
        <w:pStyle w:val="TableText"/>
        <w:rPr>
          <w:b/>
          <w:bCs/>
        </w:rPr>
      </w:pPr>
      <w:r w:rsidRPr="00347058">
        <w:rPr>
          <w:b/>
          <w:bCs/>
          <w:w w:val="105"/>
        </w:rPr>
        <w:t>Purchasing</w:t>
      </w:r>
      <w:r w:rsidRPr="00347058">
        <w:rPr>
          <w:b/>
          <w:bCs/>
          <w:spacing w:val="-6"/>
          <w:w w:val="105"/>
        </w:rPr>
        <w:t xml:space="preserve"> </w:t>
      </w:r>
      <w:r w:rsidRPr="00347058">
        <w:rPr>
          <w:b/>
          <w:bCs/>
          <w:w w:val="105"/>
        </w:rPr>
        <w:t>potential</w:t>
      </w:r>
      <w:r w:rsidRPr="00347058">
        <w:rPr>
          <w:b/>
          <w:bCs/>
          <w:spacing w:val="-6"/>
          <w:w w:val="105"/>
        </w:rPr>
        <w:t xml:space="preserve"> </w:t>
      </w:r>
      <w:r w:rsidRPr="00347058">
        <w:rPr>
          <w:b/>
          <w:bCs/>
          <w:w w:val="105"/>
        </w:rPr>
        <w:t>and</w:t>
      </w:r>
      <w:r w:rsidRPr="00347058">
        <w:rPr>
          <w:b/>
          <w:bCs/>
          <w:spacing w:val="-6"/>
          <w:w w:val="105"/>
        </w:rPr>
        <w:t xml:space="preserve"> </w:t>
      </w:r>
      <w:r w:rsidRPr="00347058">
        <w:rPr>
          <w:b/>
          <w:bCs/>
          <w:w w:val="105"/>
        </w:rPr>
        <w:t>proven</w:t>
      </w:r>
      <w:r w:rsidRPr="00347058">
        <w:rPr>
          <w:b/>
          <w:bCs/>
          <w:spacing w:val="-5"/>
          <w:w w:val="105"/>
        </w:rPr>
        <w:t xml:space="preserve"> </w:t>
      </w:r>
      <w:r w:rsidRPr="00347058">
        <w:rPr>
          <w:b/>
          <w:bCs/>
          <w:w w:val="105"/>
        </w:rPr>
        <w:t>COVID-19</w:t>
      </w:r>
      <w:r w:rsidRPr="00347058">
        <w:rPr>
          <w:b/>
          <w:bCs/>
          <w:spacing w:val="-6"/>
          <w:w w:val="105"/>
        </w:rPr>
        <w:t xml:space="preserve"> </w:t>
      </w:r>
      <w:r w:rsidRPr="00347058">
        <w:rPr>
          <w:b/>
          <w:bCs/>
          <w:w w:val="105"/>
        </w:rPr>
        <w:t>vaccines</w:t>
      </w:r>
      <w:r w:rsidRPr="00347058">
        <w:rPr>
          <w:b/>
          <w:bCs/>
          <w:spacing w:val="-6"/>
          <w:w w:val="105"/>
        </w:rPr>
        <w:t xml:space="preserve"> </w:t>
      </w:r>
      <w:r w:rsidRPr="00347058">
        <w:rPr>
          <w:b/>
          <w:bCs/>
          <w:w w:val="105"/>
        </w:rPr>
        <w:t>and</w:t>
      </w:r>
      <w:r w:rsidRPr="00347058">
        <w:rPr>
          <w:b/>
          <w:bCs/>
          <w:spacing w:val="-5"/>
          <w:w w:val="105"/>
        </w:rPr>
        <w:t xml:space="preserve"> </w:t>
      </w:r>
      <w:r w:rsidRPr="00347058">
        <w:rPr>
          <w:b/>
          <w:bCs/>
          <w:w w:val="105"/>
        </w:rPr>
        <w:t>other</w:t>
      </w:r>
      <w:r w:rsidRPr="00347058">
        <w:rPr>
          <w:b/>
          <w:bCs/>
          <w:spacing w:val="-6"/>
          <w:w w:val="105"/>
        </w:rPr>
        <w:t xml:space="preserve"> </w:t>
      </w:r>
      <w:r w:rsidRPr="00347058">
        <w:rPr>
          <w:b/>
          <w:bCs/>
          <w:w w:val="105"/>
        </w:rPr>
        <w:t>therapeutics</w:t>
      </w:r>
    </w:p>
    <w:tbl>
      <w:tblPr>
        <w:tblW w:w="8931"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544"/>
        <w:gridCol w:w="1134"/>
        <w:gridCol w:w="1418"/>
        <w:gridCol w:w="1701"/>
        <w:gridCol w:w="1134"/>
      </w:tblGrid>
      <w:tr w:rsidR="00347058" w14:paraId="6352795C" w14:textId="77777777" w:rsidTr="00347058">
        <w:trPr>
          <w:trHeight w:val="338"/>
        </w:trPr>
        <w:tc>
          <w:tcPr>
            <w:tcW w:w="3544" w:type="dxa"/>
          </w:tcPr>
          <w:p w14:paraId="0C81280E" w14:textId="77777777" w:rsidR="00347058" w:rsidRDefault="00347058" w:rsidP="00347058">
            <w:pPr>
              <w:pStyle w:val="TableText"/>
            </w:pPr>
            <w:r>
              <w:rPr>
                <w:w w:val="105"/>
              </w:rPr>
              <w:t>Total</w:t>
            </w:r>
            <w:r>
              <w:rPr>
                <w:spacing w:val="-3"/>
                <w:w w:val="105"/>
              </w:rPr>
              <w:t xml:space="preserve"> </w:t>
            </w:r>
            <w:r>
              <w:rPr>
                <w:w w:val="105"/>
              </w:rPr>
              <w:t>expenses</w:t>
            </w:r>
          </w:p>
        </w:tc>
        <w:tc>
          <w:tcPr>
            <w:tcW w:w="1134" w:type="dxa"/>
          </w:tcPr>
          <w:p w14:paraId="51EA5B14" w14:textId="77777777" w:rsidR="00347058" w:rsidRDefault="00347058" w:rsidP="00347058">
            <w:pPr>
              <w:pStyle w:val="TableText"/>
              <w:jc w:val="right"/>
            </w:pPr>
            <w:r>
              <w:rPr>
                <w:w w:val="105"/>
              </w:rPr>
              <w:t>5,567</w:t>
            </w:r>
          </w:p>
        </w:tc>
        <w:tc>
          <w:tcPr>
            <w:tcW w:w="1418" w:type="dxa"/>
          </w:tcPr>
          <w:p w14:paraId="26B4FEBC" w14:textId="77777777" w:rsidR="00347058" w:rsidRDefault="00347058" w:rsidP="00347058">
            <w:pPr>
              <w:pStyle w:val="TableText"/>
              <w:jc w:val="right"/>
            </w:pPr>
            <w:r>
              <w:t>508,019</w:t>
            </w:r>
          </w:p>
        </w:tc>
        <w:tc>
          <w:tcPr>
            <w:tcW w:w="1701" w:type="dxa"/>
          </w:tcPr>
          <w:p w14:paraId="089D3E6D" w14:textId="77777777" w:rsidR="00347058" w:rsidRDefault="00347058" w:rsidP="00347058">
            <w:pPr>
              <w:pStyle w:val="TableText"/>
              <w:jc w:val="right"/>
            </w:pPr>
            <w:r>
              <w:t>1,079,699</w:t>
            </w:r>
          </w:p>
        </w:tc>
        <w:tc>
          <w:tcPr>
            <w:tcW w:w="1134" w:type="dxa"/>
          </w:tcPr>
          <w:p w14:paraId="1370A40E" w14:textId="77777777" w:rsidR="00347058" w:rsidRDefault="00347058" w:rsidP="00347058">
            <w:pPr>
              <w:pStyle w:val="TableText"/>
              <w:jc w:val="right"/>
            </w:pPr>
            <w:r>
              <w:rPr>
                <w:w w:val="110"/>
              </w:rPr>
              <w:t>566,420</w:t>
            </w:r>
          </w:p>
        </w:tc>
      </w:tr>
      <w:tr w:rsidR="00347058" w:rsidRPr="00347058" w14:paraId="5BF7E96F" w14:textId="77777777" w:rsidTr="00347058">
        <w:trPr>
          <w:trHeight w:val="333"/>
        </w:trPr>
        <w:tc>
          <w:tcPr>
            <w:tcW w:w="3544" w:type="dxa"/>
          </w:tcPr>
          <w:p w14:paraId="6E06BB2D" w14:textId="77777777" w:rsidR="00347058" w:rsidRPr="00347058" w:rsidRDefault="00347058" w:rsidP="00347058">
            <w:pPr>
              <w:pStyle w:val="TableText"/>
              <w:rPr>
                <w:b/>
                <w:bCs/>
              </w:rPr>
            </w:pPr>
            <w:r w:rsidRPr="00347058">
              <w:rPr>
                <w:b/>
                <w:bCs/>
                <w:w w:val="105"/>
              </w:rPr>
              <w:t>Total</w:t>
            </w:r>
            <w:r w:rsidRPr="00347058">
              <w:rPr>
                <w:b/>
                <w:bCs/>
                <w:spacing w:val="-11"/>
                <w:w w:val="105"/>
              </w:rPr>
              <w:t xml:space="preserve"> </w:t>
            </w:r>
            <w:r w:rsidRPr="00347058">
              <w:rPr>
                <w:b/>
                <w:bCs/>
                <w:w w:val="105"/>
              </w:rPr>
              <w:t>MCA</w:t>
            </w:r>
            <w:r w:rsidRPr="00347058">
              <w:rPr>
                <w:b/>
                <w:bCs/>
                <w:spacing w:val="-11"/>
                <w:w w:val="105"/>
              </w:rPr>
              <w:t xml:space="preserve"> </w:t>
            </w:r>
            <w:r w:rsidRPr="00347058">
              <w:rPr>
                <w:b/>
                <w:bCs/>
                <w:w w:val="105"/>
              </w:rPr>
              <w:t>expenses</w:t>
            </w:r>
          </w:p>
        </w:tc>
        <w:tc>
          <w:tcPr>
            <w:tcW w:w="1134" w:type="dxa"/>
          </w:tcPr>
          <w:p w14:paraId="134797C0" w14:textId="77777777" w:rsidR="00347058" w:rsidRPr="00347058" w:rsidRDefault="00347058" w:rsidP="00347058">
            <w:pPr>
              <w:pStyle w:val="TableText"/>
              <w:jc w:val="right"/>
              <w:rPr>
                <w:b/>
                <w:bCs/>
              </w:rPr>
            </w:pPr>
            <w:r w:rsidRPr="00347058">
              <w:rPr>
                <w:b/>
                <w:bCs/>
                <w:w w:val="105"/>
              </w:rPr>
              <w:t>145,843</w:t>
            </w:r>
          </w:p>
        </w:tc>
        <w:tc>
          <w:tcPr>
            <w:tcW w:w="1418" w:type="dxa"/>
          </w:tcPr>
          <w:p w14:paraId="3C955187" w14:textId="77777777" w:rsidR="00347058" w:rsidRPr="00347058" w:rsidRDefault="00347058" w:rsidP="00347058">
            <w:pPr>
              <w:pStyle w:val="TableText"/>
              <w:jc w:val="right"/>
              <w:rPr>
                <w:b/>
                <w:bCs/>
              </w:rPr>
            </w:pPr>
            <w:r w:rsidRPr="00347058">
              <w:rPr>
                <w:b/>
                <w:bCs/>
                <w:w w:val="105"/>
              </w:rPr>
              <w:t>714,569</w:t>
            </w:r>
          </w:p>
        </w:tc>
        <w:tc>
          <w:tcPr>
            <w:tcW w:w="1701" w:type="dxa"/>
          </w:tcPr>
          <w:p w14:paraId="47658B66" w14:textId="77777777" w:rsidR="00347058" w:rsidRPr="00347058" w:rsidRDefault="00347058" w:rsidP="00347058">
            <w:pPr>
              <w:pStyle w:val="TableText"/>
              <w:jc w:val="right"/>
              <w:rPr>
                <w:b/>
                <w:bCs/>
              </w:rPr>
            </w:pPr>
            <w:r w:rsidRPr="00347058">
              <w:rPr>
                <w:b/>
                <w:bCs/>
                <w:w w:val="110"/>
              </w:rPr>
              <w:t>2,083,434</w:t>
            </w:r>
          </w:p>
        </w:tc>
        <w:tc>
          <w:tcPr>
            <w:tcW w:w="1134" w:type="dxa"/>
          </w:tcPr>
          <w:p w14:paraId="1DA19C5A" w14:textId="77777777" w:rsidR="00347058" w:rsidRPr="00347058" w:rsidRDefault="00347058" w:rsidP="00347058">
            <w:pPr>
              <w:pStyle w:val="TableText"/>
              <w:jc w:val="right"/>
              <w:rPr>
                <w:b/>
                <w:bCs/>
              </w:rPr>
            </w:pPr>
            <w:r w:rsidRPr="00347058">
              <w:rPr>
                <w:b/>
                <w:bCs/>
                <w:w w:val="105"/>
              </w:rPr>
              <w:t>1,563,268</w:t>
            </w:r>
          </w:p>
        </w:tc>
      </w:tr>
    </w:tbl>
    <w:p w14:paraId="729512D1" w14:textId="77777777" w:rsidR="00347058" w:rsidRDefault="00347058" w:rsidP="00347058">
      <w:pPr>
        <w:rPr>
          <w:rFonts w:eastAsia="Arial Unicode MS"/>
        </w:rPr>
      </w:pPr>
    </w:p>
    <w:p w14:paraId="39C3279B" w14:textId="77777777" w:rsidR="00347058" w:rsidRPr="00347058" w:rsidRDefault="00347058" w:rsidP="00347058">
      <w:pPr>
        <w:rPr>
          <w:rFonts w:eastAsia="Arial Unicode MS"/>
        </w:rPr>
      </w:pPr>
      <w:r w:rsidRPr="00347058">
        <w:rPr>
          <w:rFonts w:eastAsia="Arial Unicode MS"/>
        </w:rPr>
        <w:t>Implementing the COVID-19 vaccine strategy MCA actual spend was higher than the original budget due the COVID-19 vaccination programme in 2021/22, the transition to an integrated national immunisation programme, additional costs for the ongoing</w:t>
      </w:r>
    </w:p>
    <w:p w14:paraId="0ED33689" w14:textId="453144F2" w:rsidR="00347058" w:rsidRDefault="00347058" w:rsidP="00347058">
      <w:pPr>
        <w:rPr>
          <w:rFonts w:eastAsia="Arial Unicode MS"/>
        </w:rPr>
      </w:pPr>
      <w:r w:rsidRPr="00347058">
        <w:rPr>
          <w:rFonts w:eastAsia="Arial Unicode MS"/>
        </w:rPr>
        <w:t>public health system response to COVID-19, and to support the transfer of functions and resources from Vote Prime Minister and Cabinet to Interim Health New Zealand and Interim Māori Health Authority.</w:t>
      </w:r>
    </w:p>
    <w:p w14:paraId="0E2ED833" w14:textId="77777777" w:rsidR="00347058" w:rsidRPr="00347058" w:rsidRDefault="00347058" w:rsidP="00347058">
      <w:pPr>
        <w:rPr>
          <w:rFonts w:eastAsia="Arial Unicode MS"/>
        </w:rPr>
      </w:pPr>
    </w:p>
    <w:p w14:paraId="57DFD559" w14:textId="77777777" w:rsidR="00347058" w:rsidRPr="00347058" w:rsidRDefault="00347058" w:rsidP="00347058">
      <w:pPr>
        <w:rPr>
          <w:rFonts w:eastAsia="Arial Unicode MS"/>
        </w:rPr>
      </w:pPr>
      <w:r w:rsidRPr="00347058">
        <w:rPr>
          <w:rFonts w:eastAsia="Arial Unicode MS"/>
        </w:rPr>
        <w:t>The Joint Ministers have approved in-principle expense transfers from 2021/22 to 2022/23 of up to:</w:t>
      </w:r>
    </w:p>
    <w:p w14:paraId="41089E49" w14:textId="59194D01" w:rsidR="00347058" w:rsidRPr="00347058" w:rsidRDefault="00347058" w:rsidP="00347058">
      <w:pPr>
        <w:pStyle w:val="Bullet"/>
        <w:rPr>
          <w:rFonts w:eastAsia="Arial Unicode MS"/>
        </w:rPr>
      </w:pPr>
      <w:r w:rsidRPr="00347058">
        <w:rPr>
          <w:rFonts w:eastAsia="Arial Unicode MS"/>
        </w:rPr>
        <w:t>Implementing the COVID-19 immunisation programme - $47.278 million</w:t>
      </w:r>
    </w:p>
    <w:p w14:paraId="02AD2007" w14:textId="759A8DFF" w:rsidR="00347058" w:rsidRPr="00347058" w:rsidRDefault="00347058" w:rsidP="00347058">
      <w:pPr>
        <w:pStyle w:val="Bullet"/>
        <w:rPr>
          <w:rFonts w:eastAsia="Arial Unicode MS"/>
        </w:rPr>
      </w:pPr>
      <w:r w:rsidRPr="00347058">
        <w:rPr>
          <w:rFonts w:eastAsia="Arial Unicode MS"/>
        </w:rPr>
        <w:t>Purchasing potential and proven COVID-19 vaccines and other therapeutics - $472.552 million</w:t>
      </w:r>
    </w:p>
    <w:p w14:paraId="370FE161" w14:textId="77777777" w:rsidR="00347058" w:rsidRDefault="00347058" w:rsidP="00347058">
      <w:pPr>
        <w:rPr>
          <w:rFonts w:eastAsia="Arial Unicode MS"/>
        </w:rPr>
      </w:pPr>
    </w:p>
    <w:p w14:paraId="02A3E49E" w14:textId="779BA26B" w:rsidR="00347058" w:rsidRDefault="00347058" w:rsidP="00347058">
      <w:pPr>
        <w:rPr>
          <w:rFonts w:eastAsia="Arial Unicode MS"/>
        </w:rPr>
      </w:pPr>
      <w:r w:rsidRPr="00347058">
        <w:rPr>
          <w:rFonts w:eastAsia="Arial Unicode MS"/>
        </w:rPr>
        <w:t>The in-principle expense transfers will be confirmed as part of the 2022 October Baseline Update.</w:t>
      </w:r>
    </w:p>
    <w:p w14:paraId="0EBEDA27" w14:textId="77777777" w:rsidR="00347058" w:rsidRPr="00347058" w:rsidRDefault="00347058" w:rsidP="00AB0266">
      <w:pPr>
        <w:pStyle w:val="Heading3"/>
      </w:pPr>
      <w:bookmarkStart w:id="53" w:name="_Toc117264960"/>
      <w:r w:rsidRPr="00347058">
        <w:t>Ministry of Health – Capital Expenditure</w:t>
      </w:r>
      <w:bookmarkEnd w:id="53"/>
    </w:p>
    <w:p w14:paraId="4AC3B387" w14:textId="05E98C74" w:rsidR="00347058" w:rsidRDefault="00347058" w:rsidP="00347058">
      <w:pPr>
        <w:rPr>
          <w:rFonts w:eastAsia="Arial Unicode MS"/>
        </w:rPr>
      </w:pPr>
      <w:r w:rsidRPr="00347058">
        <w:rPr>
          <w:rFonts w:eastAsia="Arial Unicode MS"/>
        </w:rPr>
        <w:t>This appropriation is limited to purchasing or developing assets by and for the use of the Ministry of Health, as authorised by section 24(1) of the Public Finance Act 1989.</w:t>
      </w:r>
    </w:p>
    <w:p w14:paraId="6BBDF297" w14:textId="77777777" w:rsidR="00347058" w:rsidRPr="00347058" w:rsidRDefault="00347058" w:rsidP="00347058">
      <w:pPr>
        <w:rPr>
          <w:rFonts w:eastAsia="Arial Unicode MS"/>
        </w:rPr>
      </w:pPr>
    </w:p>
    <w:p w14:paraId="50CB2612" w14:textId="77777777" w:rsidR="00347058" w:rsidRPr="00347058" w:rsidRDefault="00347058" w:rsidP="00347058">
      <w:pPr>
        <w:rPr>
          <w:rFonts w:eastAsia="Arial Unicode MS"/>
        </w:rPr>
      </w:pPr>
      <w:r w:rsidRPr="00347058">
        <w:rPr>
          <w:rFonts w:eastAsia="Arial Unicode MS"/>
        </w:rPr>
        <w:t>This appropriation is intended to achieve the renewal, upgrade, or redesign of assets to support the delivery of the Ministry of Health’s core functions and responsibilities.</w:t>
      </w:r>
    </w:p>
    <w:p w14:paraId="06D890C4" w14:textId="71106A63" w:rsidR="00347058" w:rsidRDefault="00347058" w:rsidP="00347058">
      <w:pPr>
        <w:pStyle w:val="Heading5"/>
      </w:pPr>
      <w:r w:rsidRPr="00347058">
        <w:lastRenderedPageBreak/>
        <w:t>Performance assessment</w:t>
      </w:r>
    </w:p>
    <w:tbl>
      <w:tblPr>
        <w:tblW w:w="797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402"/>
        <w:gridCol w:w="1143"/>
        <w:gridCol w:w="1143"/>
        <w:gridCol w:w="1143"/>
        <w:gridCol w:w="1143"/>
      </w:tblGrid>
      <w:tr w:rsidR="00347058" w:rsidRPr="00347058" w14:paraId="3C363918" w14:textId="77777777" w:rsidTr="00320670">
        <w:trPr>
          <w:trHeight w:val="829"/>
        </w:trPr>
        <w:tc>
          <w:tcPr>
            <w:tcW w:w="3402" w:type="dxa"/>
            <w:tcBorders>
              <w:top w:val="nil"/>
              <w:bottom w:val="nil"/>
            </w:tcBorders>
            <w:shd w:val="clear" w:color="auto" w:fill="D9D9D9" w:themeFill="background1" w:themeFillShade="D9"/>
          </w:tcPr>
          <w:p w14:paraId="3A345273" w14:textId="77777777" w:rsidR="00347058" w:rsidRPr="00347058" w:rsidRDefault="00347058" w:rsidP="00347058">
            <w:pPr>
              <w:pStyle w:val="TableText"/>
              <w:rPr>
                <w:b/>
                <w:bCs/>
              </w:rPr>
            </w:pPr>
            <w:r w:rsidRPr="00347058">
              <w:rPr>
                <w:b/>
                <w:bCs/>
              </w:rPr>
              <w:t>Performance measure</w:t>
            </w:r>
          </w:p>
        </w:tc>
        <w:tc>
          <w:tcPr>
            <w:tcW w:w="1143" w:type="dxa"/>
            <w:tcBorders>
              <w:top w:val="nil"/>
              <w:bottom w:val="nil"/>
            </w:tcBorders>
            <w:shd w:val="clear" w:color="auto" w:fill="D9D9D9" w:themeFill="background1" w:themeFillShade="D9"/>
          </w:tcPr>
          <w:p w14:paraId="044BE624" w14:textId="0FD86544" w:rsidR="00347058" w:rsidRPr="00347058" w:rsidRDefault="00347058" w:rsidP="00347058">
            <w:pPr>
              <w:pStyle w:val="TableText"/>
              <w:jc w:val="right"/>
              <w:rPr>
                <w:b/>
                <w:bCs/>
              </w:rPr>
            </w:pPr>
            <w:r w:rsidRPr="00347058">
              <w:rPr>
                <w:b/>
                <w:bCs/>
              </w:rPr>
              <w:t>Actual</w:t>
            </w:r>
            <w:r>
              <w:rPr>
                <w:b/>
                <w:bCs/>
              </w:rPr>
              <w:br/>
            </w:r>
          </w:p>
          <w:p w14:paraId="204EC26B" w14:textId="77777777" w:rsidR="00347058" w:rsidRPr="00347058" w:rsidRDefault="00347058" w:rsidP="00347058">
            <w:pPr>
              <w:pStyle w:val="TableText"/>
              <w:jc w:val="right"/>
              <w:rPr>
                <w:b/>
                <w:bCs/>
              </w:rPr>
            </w:pPr>
            <w:r w:rsidRPr="00347058">
              <w:rPr>
                <w:b/>
                <w:bCs/>
              </w:rPr>
              <w:t>2020/21</w:t>
            </w:r>
          </w:p>
        </w:tc>
        <w:tc>
          <w:tcPr>
            <w:tcW w:w="1143" w:type="dxa"/>
            <w:tcBorders>
              <w:top w:val="nil"/>
              <w:bottom w:val="nil"/>
            </w:tcBorders>
            <w:shd w:val="clear" w:color="auto" w:fill="D9D9D9" w:themeFill="background1" w:themeFillShade="D9"/>
          </w:tcPr>
          <w:p w14:paraId="53E797BF" w14:textId="77777777" w:rsidR="00347058" w:rsidRDefault="00347058" w:rsidP="00347058">
            <w:pPr>
              <w:pStyle w:val="TableText"/>
              <w:jc w:val="right"/>
              <w:rPr>
                <w:b/>
                <w:bCs/>
              </w:rPr>
            </w:pPr>
            <w:r w:rsidRPr="00347058">
              <w:rPr>
                <w:b/>
                <w:bCs/>
              </w:rPr>
              <w:t>Budget Standard</w:t>
            </w:r>
          </w:p>
          <w:p w14:paraId="08854B55" w14:textId="76B56010" w:rsidR="00347058" w:rsidRPr="00347058" w:rsidRDefault="00347058" w:rsidP="00347058">
            <w:pPr>
              <w:pStyle w:val="TableText"/>
              <w:jc w:val="right"/>
              <w:rPr>
                <w:b/>
                <w:bCs/>
              </w:rPr>
            </w:pPr>
            <w:r w:rsidRPr="00347058">
              <w:rPr>
                <w:b/>
                <w:bCs/>
              </w:rPr>
              <w:t xml:space="preserve"> 2021/22</w:t>
            </w:r>
          </w:p>
        </w:tc>
        <w:tc>
          <w:tcPr>
            <w:tcW w:w="1143" w:type="dxa"/>
            <w:tcBorders>
              <w:top w:val="nil"/>
              <w:bottom w:val="nil"/>
            </w:tcBorders>
            <w:shd w:val="clear" w:color="auto" w:fill="D9D9D9" w:themeFill="background1" w:themeFillShade="D9"/>
          </w:tcPr>
          <w:p w14:paraId="7CA7A1CA" w14:textId="7BB1ADC1" w:rsidR="00347058" w:rsidRPr="00347058" w:rsidRDefault="00347058" w:rsidP="00347058">
            <w:pPr>
              <w:pStyle w:val="TableText"/>
              <w:jc w:val="right"/>
              <w:rPr>
                <w:b/>
                <w:bCs/>
              </w:rPr>
            </w:pPr>
            <w:r w:rsidRPr="00347058">
              <w:rPr>
                <w:b/>
                <w:bCs/>
              </w:rPr>
              <w:t>Actual</w:t>
            </w:r>
            <w:r>
              <w:rPr>
                <w:b/>
                <w:bCs/>
              </w:rPr>
              <w:br/>
            </w:r>
          </w:p>
          <w:p w14:paraId="260F8C31" w14:textId="77777777" w:rsidR="00347058" w:rsidRPr="00347058" w:rsidRDefault="00347058" w:rsidP="00347058">
            <w:pPr>
              <w:pStyle w:val="TableText"/>
              <w:jc w:val="right"/>
              <w:rPr>
                <w:b/>
                <w:bCs/>
              </w:rPr>
            </w:pPr>
            <w:r w:rsidRPr="00347058">
              <w:rPr>
                <w:b/>
                <w:bCs/>
              </w:rPr>
              <w:t>2021/22</w:t>
            </w:r>
          </w:p>
        </w:tc>
        <w:tc>
          <w:tcPr>
            <w:tcW w:w="1143" w:type="dxa"/>
            <w:tcBorders>
              <w:top w:val="nil"/>
              <w:bottom w:val="nil"/>
            </w:tcBorders>
            <w:shd w:val="clear" w:color="auto" w:fill="D9D9D9" w:themeFill="background1" w:themeFillShade="D9"/>
          </w:tcPr>
          <w:p w14:paraId="3D81EB8C" w14:textId="12ACF24E" w:rsidR="00347058" w:rsidRPr="00347058" w:rsidRDefault="00347058" w:rsidP="00347058">
            <w:pPr>
              <w:pStyle w:val="TableText"/>
              <w:jc w:val="right"/>
              <w:rPr>
                <w:b/>
                <w:bCs/>
              </w:rPr>
            </w:pPr>
            <w:r w:rsidRPr="00347058">
              <w:rPr>
                <w:b/>
                <w:bCs/>
              </w:rPr>
              <w:t xml:space="preserve">At a </w:t>
            </w:r>
            <w:r>
              <w:rPr>
                <w:b/>
                <w:bCs/>
              </w:rPr>
              <w:br/>
            </w:r>
            <w:r w:rsidRPr="00347058">
              <w:rPr>
                <w:b/>
                <w:bCs/>
              </w:rPr>
              <w:t>glance</w:t>
            </w:r>
          </w:p>
        </w:tc>
      </w:tr>
      <w:tr w:rsidR="00347058" w:rsidRPr="00347058" w14:paraId="34F48FD9" w14:textId="77777777" w:rsidTr="00320670">
        <w:trPr>
          <w:trHeight w:val="583"/>
        </w:trPr>
        <w:tc>
          <w:tcPr>
            <w:tcW w:w="3402" w:type="dxa"/>
            <w:tcBorders>
              <w:top w:val="nil"/>
            </w:tcBorders>
          </w:tcPr>
          <w:p w14:paraId="07392264" w14:textId="77777777" w:rsidR="00347058" w:rsidRPr="00347058" w:rsidRDefault="00347058" w:rsidP="00347058">
            <w:pPr>
              <w:pStyle w:val="TableText"/>
            </w:pPr>
            <w:r w:rsidRPr="00347058">
              <w:t>Expenditure is in accordance with the Ministry of Health’s capital asset management plan</w:t>
            </w:r>
          </w:p>
        </w:tc>
        <w:tc>
          <w:tcPr>
            <w:tcW w:w="1143" w:type="dxa"/>
            <w:tcBorders>
              <w:top w:val="nil"/>
            </w:tcBorders>
          </w:tcPr>
          <w:p w14:paraId="35E9138C" w14:textId="77777777" w:rsidR="00347058" w:rsidRPr="00347058" w:rsidRDefault="00347058" w:rsidP="00347058">
            <w:pPr>
              <w:pStyle w:val="TableText"/>
              <w:jc w:val="right"/>
            </w:pPr>
            <w:r w:rsidRPr="00347058">
              <w:t>Achieved</w:t>
            </w:r>
          </w:p>
        </w:tc>
        <w:tc>
          <w:tcPr>
            <w:tcW w:w="1143" w:type="dxa"/>
            <w:tcBorders>
              <w:top w:val="nil"/>
            </w:tcBorders>
          </w:tcPr>
          <w:p w14:paraId="499FA4B2" w14:textId="77777777" w:rsidR="00347058" w:rsidRPr="00347058" w:rsidRDefault="00347058" w:rsidP="00347058">
            <w:pPr>
              <w:pStyle w:val="TableText"/>
              <w:jc w:val="right"/>
            </w:pPr>
            <w:r w:rsidRPr="00347058">
              <w:t>Achieved</w:t>
            </w:r>
          </w:p>
        </w:tc>
        <w:tc>
          <w:tcPr>
            <w:tcW w:w="1143" w:type="dxa"/>
            <w:tcBorders>
              <w:top w:val="nil"/>
            </w:tcBorders>
          </w:tcPr>
          <w:p w14:paraId="0C7E1B68" w14:textId="77777777" w:rsidR="00347058" w:rsidRPr="00347058" w:rsidRDefault="00347058" w:rsidP="00347058">
            <w:pPr>
              <w:pStyle w:val="TableText"/>
              <w:jc w:val="right"/>
            </w:pPr>
            <w:r w:rsidRPr="00347058">
              <w:t>Achieved</w:t>
            </w:r>
          </w:p>
        </w:tc>
        <w:tc>
          <w:tcPr>
            <w:tcW w:w="1143" w:type="dxa"/>
            <w:tcBorders>
              <w:top w:val="nil"/>
            </w:tcBorders>
          </w:tcPr>
          <w:p w14:paraId="5CEE16FB" w14:textId="556DDD8C" w:rsidR="00347058" w:rsidRPr="00347058" w:rsidRDefault="00354885" w:rsidP="00347058">
            <w:pPr>
              <w:pStyle w:val="TableText"/>
              <w:jc w:val="right"/>
            </w:pPr>
            <w:r w:rsidRPr="005546FF">
              <w:rPr>
                <w:b/>
                <w:bCs/>
              </w:rPr>
              <w:sym w:font="Wingdings" w:char="F0FC"/>
            </w:r>
          </w:p>
        </w:tc>
      </w:tr>
    </w:tbl>
    <w:p w14:paraId="2FAA70B3" w14:textId="7C7E6BFD" w:rsidR="00347058" w:rsidRDefault="00347058" w:rsidP="00354885">
      <w:pPr>
        <w:pStyle w:val="Heading5"/>
      </w:pPr>
      <w:r w:rsidRPr="00347058">
        <w:t>Financial performance</w:t>
      </w:r>
    </w:p>
    <w:tbl>
      <w:tblPr>
        <w:tblW w:w="7939"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127"/>
        <w:gridCol w:w="1453"/>
        <w:gridCol w:w="1453"/>
        <w:gridCol w:w="1630"/>
        <w:gridCol w:w="1276"/>
      </w:tblGrid>
      <w:tr w:rsidR="00347058" w:rsidRPr="00347058" w14:paraId="7E44DCF0" w14:textId="77777777" w:rsidTr="00320670">
        <w:trPr>
          <w:trHeight w:val="1069"/>
        </w:trPr>
        <w:tc>
          <w:tcPr>
            <w:tcW w:w="2127" w:type="dxa"/>
            <w:tcBorders>
              <w:top w:val="nil"/>
              <w:bottom w:val="nil"/>
            </w:tcBorders>
            <w:shd w:val="clear" w:color="auto" w:fill="D9D9D9" w:themeFill="background1" w:themeFillShade="D9"/>
          </w:tcPr>
          <w:p w14:paraId="406BE038" w14:textId="77777777" w:rsidR="00347058" w:rsidRPr="00347058" w:rsidRDefault="00347058" w:rsidP="00347058">
            <w:pPr>
              <w:pStyle w:val="TableText"/>
              <w:rPr>
                <w:b/>
                <w:bCs/>
              </w:rPr>
            </w:pPr>
            <w:r w:rsidRPr="00347058">
              <w:rPr>
                <w:b/>
                <w:bCs/>
              </w:rPr>
              <w:t>Ministry of Health – capital expenditure</w:t>
            </w:r>
          </w:p>
        </w:tc>
        <w:tc>
          <w:tcPr>
            <w:tcW w:w="1453" w:type="dxa"/>
            <w:tcBorders>
              <w:top w:val="nil"/>
              <w:bottom w:val="nil"/>
            </w:tcBorders>
            <w:shd w:val="clear" w:color="auto" w:fill="D9D9D9" w:themeFill="background1" w:themeFillShade="D9"/>
          </w:tcPr>
          <w:p w14:paraId="05858FCD" w14:textId="77777777" w:rsidR="00347058" w:rsidRPr="00347058" w:rsidRDefault="00347058" w:rsidP="00347058">
            <w:pPr>
              <w:pStyle w:val="TableText"/>
              <w:jc w:val="right"/>
              <w:rPr>
                <w:b/>
                <w:bCs/>
              </w:rPr>
            </w:pPr>
            <w:r w:rsidRPr="00347058">
              <w:rPr>
                <w:b/>
                <w:bCs/>
              </w:rPr>
              <w:t>Actual</w:t>
            </w:r>
          </w:p>
          <w:p w14:paraId="6FEA5B93" w14:textId="77777777" w:rsidR="00347058" w:rsidRPr="00347058" w:rsidRDefault="00347058" w:rsidP="00347058">
            <w:pPr>
              <w:pStyle w:val="TableText"/>
              <w:jc w:val="right"/>
              <w:rPr>
                <w:b/>
                <w:bCs/>
              </w:rPr>
            </w:pPr>
          </w:p>
          <w:p w14:paraId="0CC807C6" w14:textId="77777777" w:rsidR="00347058" w:rsidRPr="00347058" w:rsidRDefault="00347058" w:rsidP="00347058">
            <w:pPr>
              <w:pStyle w:val="TableText"/>
              <w:jc w:val="right"/>
              <w:rPr>
                <w:b/>
                <w:bCs/>
              </w:rPr>
            </w:pPr>
            <w:r w:rsidRPr="00347058">
              <w:rPr>
                <w:b/>
                <w:bCs/>
              </w:rPr>
              <w:t>2020/21</w:t>
            </w:r>
          </w:p>
          <w:p w14:paraId="70DEE3A9" w14:textId="77777777" w:rsidR="00347058" w:rsidRPr="00347058" w:rsidRDefault="00347058" w:rsidP="00347058">
            <w:pPr>
              <w:pStyle w:val="TableText"/>
              <w:jc w:val="right"/>
              <w:rPr>
                <w:b/>
                <w:bCs/>
              </w:rPr>
            </w:pPr>
            <w:r w:rsidRPr="00347058">
              <w:rPr>
                <w:b/>
                <w:bCs/>
              </w:rPr>
              <w:t>$000</w:t>
            </w:r>
          </w:p>
        </w:tc>
        <w:tc>
          <w:tcPr>
            <w:tcW w:w="1453" w:type="dxa"/>
            <w:tcBorders>
              <w:top w:val="nil"/>
              <w:bottom w:val="nil"/>
            </w:tcBorders>
            <w:shd w:val="clear" w:color="auto" w:fill="D9D9D9" w:themeFill="background1" w:themeFillShade="D9"/>
          </w:tcPr>
          <w:p w14:paraId="495AF1B2" w14:textId="77777777" w:rsidR="00354885" w:rsidRDefault="00347058" w:rsidP="00347058">
            <w:pPr>
              <w:pStyle w:val="TableText"/>
              <w:jc w:val="right"/>
              <w:rPr>
                <w:b/>
                <w:bCs/>
              </w:rPr>
            </w:pPr>
            <w:r w:rsidRPr="00347058">
              <w:rPr>
                <w:b/>
                <w:bCs/>
              </w:rPr>
              <w:t xml:space="preserve">Main </w:t>
            </w:r>
            <w:r w:rsidR="00354885">
              <w:rPr>
                <w:b/>
                <w:bCs/>
              </w:rPr>
              <w:br/>
            </w:r>
            <w:r w:rsidRPr="00347058">
              <w:rPr>
                <w:b/>
                <w:bCs/>
              </w:rPr>
              <w:t>estimates</w:t>
            </w:r>
          </w:p>
          <w:p w14:paraId="31D0B518" w14:textId="0EED86D9" w:rsidR="00347058" w:rsidRPr="00347058" w:rsidRDefault="00347058" w:rsidP="00347058">
            <w:pPr>
              <w:pStyle w:val="TableText"/>
              <w:jc w:val="right"/>
              <w:rPr>
                <w:b/>
                <w:bCs/>
              </w:rPr>
            </w:pPr>
            <w:r w:rsidRPr="00347058">
              <w:rPr>
                <w:b/>
                <w:bCs/>
              </w:rPr>
              <w:t xml:space="preserve"> 2021/22</w:t>
            </w:r>
          </w:p>
          <w:p w14:paraId="2EC0265F" w14:textId="77777777" w:rsidR="00347058" w:rsidRPr="00347058" w:rsidRDefault="00347058" w:rsidP="00347058">
            <w:pPr>
              <w:pStyle w:val="TableText"/>
              <w:jc w:val="right"/>
              <w:rPr>
                <w:b/>
                <w:bCs/>
              </w:rPr>
            </w:pPr>
            <w:r w:rsidRPr="00347058">
              <w:rPr>
                <w:b/>
                <w:bCs/>
              </w:rPr>
              <w:t>$000</w:t>
            </w:r>
          </w:p>
        </w:tc>
        <w:tc>
          <w:tcPr>
            <w:tcW w:w="1630" w:type="dxa"/>
            <w:tcBorders>
              <w:top w:val="nil"/>
              <w:bottom w:val="nil"/>
            </w:tcBorders>
            <w:shd w:val="clear" w:color="auto" w:fill="D9D9D9" w:themeFill="background1" w:themeFillShade="D9"/>
          </w:tcPr>
          <w:p w14:paraId="1C8CDD63" w14:textId="77777777" w:rsidR="00347058" w:rsidRPr="00347058" w:rsidRDefault="00347058" w:rsidP="00347058">
            <w:pPr>
              <w:pStyle w:val="TableText"/>
              <w:jc w:val="right"/>
              <w:rPr>
                <w:b/>
                <w:bCs/>
              </w:rPr>
            </w:pPr>
            <w:r w:rsidRPr="00347058">
              <w:rPr>
                <w:b/>
                <w:bCs/>
              </w:rPr>
              <w:t>Voted appropriation</w:t>
            </w:r>
          </w:p>
          <w:p w14:paraId="6315CE65" w14:textId="77777777" w:rsidR="00347058" w:rsidRPr="00347058" w:rsidRDefault="00347058" w:rsidP="00347058">
            <w:pPr>
              <w:pStyle w:val="TableText"/>
              <w:jc w:val="right"/>
              <w:rPr>
                <w:b/>
                <w:bCs/>
              </w:rPr>
            </w:pPr>
            <w:r w:rsidRPr="00347058">
              <w:rPr>
                <w:b/>
                <w:bCs/>
              </w:rPr>
              <w:t>2021/22</w:t>
            </w:r>
          </w:p>
          <w:p w14:paraId="569BD1B5" w14:textId="77777777" w:rsidR="00347058" w:rsidRPr="00347058" w:rsidRDefault="00347058" w:rsidP="00347058">
            <w:pPr>
              <w:pStyle w:val="TableText"/>
              <w:jc w:val="right"/>
              <w:rPr>
                <w:b/>
                <w:bCs/>
              </w:rPr>
            </w:pPr>
            <w:r w:rsidRPr="00347058">
              <w:rPr>
                <w:b/>
                <w:bCs/>
              </w:rPr>
              <w:t>$000</w:t>
            </w:r>
          </w:p>
        </w:tc>
        <w:tc>
          <w:tcPr>
            <w:tcW w:w="1276" w:type="dxa"/>
            <w:tcBorders>
              <w:top w:val="nil"/>
              <w:bottom w:val="nil"/>
            </w:tcBorders>
            <w:shd w:val="clear" w:color="auto" w:fill="D9D9D9" w:themeFill="background1" w:themeFillShade="D9"/>
          </w:tcPr>
          <w:p w14:paraId="32C8DE80" w14:textId="77777777" w:rsidR="00347058" w:rsidRPr="00347058" w:rsidRDefault="00347058" w:rsidP="00347058">
            <w:pPr>
              <w:pStyle w:val="TableText"/>
              <w:jc w:val="right"/>
              <w:rPr>
                <w:b/>
                <w:bCs/>
              </w:rPr>
            </w:pPr>
            <w:r w:rsidRPr="00347058">
              <w:rPr>
                <w:b/>
                <w:bCs/>
              </w:rPr>
              <w:t>Actual</w:t>
            </w:r>
          </w:p>
          <w:p w14:paraId="5F0CB4DB" w14:textId="77777777" w:rsidR="00347058" w:rsidRPr="00347058" w:rsidRDefault="00347058" w:rsidP="00347058">
            <w:pPr>
              <w:pStyle w:val="TableText"/>
              <w:jc w:val="right"/>
              <w:rPr>
                <w:b/>
                <w:bCs/>
              </w:rPr>
            </w:pPr>
          </w:p>
          <w:p w14:paraId="05832608" w14:textId="77777777" w:rsidR="00347058" w:rsidRPr="00347058" w:rsidRDefault="00347058" w:rsidP="00347058">
            <w:pPr>
              <w:pStyle w:val="TableText"/>
              <w:jc w:val="right"/>
              <w:rPr>
                <w:b/>
                <w:bCs/>
              </w:rPr>
            </w:pPr>
            <w:r w:rsidRPr="00347058">
              <w:rPr>
                <w:b/>
                <w:bCs/>
              </w:rPr>
              <w:t>2021/22</w:t>
            </w:r>
          </w:p>
          <w:p w14:paraId="1356A6AC" w14:textId="77777777" w:rsidR="00347058" w:rsidRPr="00347058" w:rsidRDefault="00347058" w:rsidP="00347058">
            <w:pPr>
              <w:pStyle w:val="TableText"/>
              <w:jc w:val="right"/>
              <w:rPr>
                <w:b/>
                <w:bCs/>
              </w:rPr>
            </w:pPr>
            <w:r w:rsidRPr="00347058">
              <w:rPr>
                <w:b/>
                <w:bCs/>
              </w:rPr>
              <w:t>$000</w:t>
            </w:r>
          </w:p>
        </w:tc>
      </w:tr>
      <w:tr w:rsidR="00347058" w14:paraId="79C7291F" w14:textId="77777777" w:rsidTr="00320670">
        <w:trPr>
          <w:trHeight w:val="338"/>
        </w:trPr>
        <w:tc>
          <w:tcPr>
            <w:tcW w:w="2127" w:type="dxa"/>
            <w:tcBorders>
              <w:top w:val="nil"/>
            </w:tcBorders>
          </w:tcPr>
          <w:p w14:paraId="32DCD5D4" w14:textId="77777777" w:rsidR="00347058" w:rsidRPr="00347058" w:rsidRDefault="00347058" w:rsidP="00347058">
            <w:pPr>
              <w:pStyle w:val="TableText"/>
            </w:pPr>
            <w:r w:rsidRPr="00347058">
              <w:t>Total appropriation</w:t>
            </w:r>
          </w:p>
        </w:tc>
        <w:tc>
          <w:tcPr>
            <w:tcW w:w="1453" w:type="dxa"/>
            <w:tcBorders>
              <w:top w:val="nil"/>
            </w:tcBorders>
          </w:tcPr>
          <w:p w14:paraId="5D03FC8E" w14:textId="77777777" w:rsidR="00347058" w:rsidRPr="00347058" w:rsidRDefault="00347058" w:rsidP="00347058">
            <w:pPr>
              <w:pStyle w:val="TableText"/>
              <w:jc w:val="right"/>
            </w:pPr>
            <w:r w:rsidRPr="00347058">
              <w:t>10,110</w:t>
            </w:r>
          </w:p>
        </w:tc>
        <w:tc>
          <w:tcPr>
            <w:tcW w:w="1453" w:type="dxa"/>
            <w:tcBorders>
              <w:top w:val="nil"/>
            </w:tcBorders>
          </w:tcPr>
          <w:p w14:paraId="7CFCCBEB" w14:textId="77777777" w:rsidR="00347058" w:rsidRPr="00347058" w:rsidRDefault="00347058" w:rsidP="00347058">
            <w:pPr>
              <w:pStyle w:val="TableText"/>
              <w:jc w:val="right"/>
            </w:pPr>
            <w:r w:rsidRPr="00347058">
              <w:t>23,402</w:t>
            </w:r>
          </w:p>
        </w:tc>
        <w:tc>
          <w:tcPr>
            <w:tcW w:w="1630" w:type="dxa"/>
            <w:tcBorders>
              <w:top w:val="nil"/>
            </w:tcBorders>
          </w:tcPr>
          <w:p w14:paraId="0927EBA3" w14:textId="77777777" w:rsidR="00347058" w:rsidRPr="00347058" w:rsidRDefault="00347058" w:rsidP="00347058">
            <w:pPr>
              <w:pStyle w:val="TableText"/>
              <w:jc w:val="right"/>
            </w:pPr>
            <w:r w:rsidRPr="00347058">
              <w:t>37,927</w:t>
            </w:r>
          </w:p>
        </w:tc>
        <w:tc>
          <w:tcPr>
            <w:tcW w:w="1276" w:type="dxa"/>
            <w:tcBorders>
              <w:top w:val="nil"/>
            </w:tcBorders>
          </w:tcPr>
          <w:p w14:paraId="5B878A08" w14:textId="77777777" w:rsidR="00347058" w:rsidRPr="00347058" w:rsidRDefault="00347058" w:rsidP="00347058">
            <w:pPr>
              <w:pStyle w:val="TableText"/>
              <w:jc w:val="right"/>
            </w:pPr>
            <w:r w:rsidRPr="00347058">
              <w:t>5,245</w:t>
            </w:r>
          </w:p>
        </w:tc>
      </w:tr>
    </w:tbl>
    <w:p w14:paraId="1901BE1A" w14:textId="57AABDFE" w:rsidR="00347058" w:rsidRDefault="00347058" w:rsidP="00347058">
      <w:pPr>
        <w:rPr>
          <w:rFonts w:eastAsia="Arial Unicode MS"/>
        </w:rPr>
      </w:pPr>
    </w:p>
    <w:p w14:paraId="7D24A341" w14:textId="77777777" w:rsidR="005817D2" w:rsidRDefault="00347058" w:rsidP="00347058">
      <w:pPr>
        <w:rPr>
          <w:rFonts w:eastAsia="Arial Unicode MS"/>
        </w:rPr>
        <w:sectPr w:rsidR="005817D2" w:rsidSect="00C26282">
          <w:pgSz w:w="11907" w:h="16840" w:code="9"/>
          <w:pgMar w:top="1418" w:right="1701" w:bottom="1134" w:left="1843" w:header="284" w:footer="425" w:gutter="284"/>
          <w:cols w:space="720"/>
        </w:sectPr>
      </w:pPr>
      <w:r w:rsidRPr="00347058">
        <w:rPr>
          <w:rFonts w:eastAsia="Arial Unicode MS"/>
        </w:rPr>
        <w:t>The actual capital spend reflects the revised expenditure phasing following the Ministry’s updates to the capital expenditure plans. Also, this year, substantial amount initially budgeted as capital was converted into operating expenditure due to the accounting policy changes required for software as a service implementation costs.</w:t>
      </w:r>
    </w:p>
    <w:p w14:paraId="4C47A2D9" w14:textId="2E04CCF1" w:rsidR="00347058" w:rsidRDefault="005817D2" w:rsidP="005817D2">
      <w:pPr>
        <w:pStyle w:val="Heading1"/>
        <w:spacing w:before="0"/>
        <w:rPr>
          <w:rFonts w:eastAsia="Arial Unicode MS"/>
          <w:b w:val="0"/>
          <w:bCs/>
        </w:rPr>
      </w:pPr>
      <w:bookmarkStart w:id="54" w:name="_Toc117264961"/>
      <w:r w:rsidRPr="005817D2">
        <w:rPr>
          <w:rFonts w:eastAsia="Arial Unicode MS"/>
        </w:rPr>
        <w:lastRenderedPageBreak/>
        <w:t xml:space="preserve">Financial statements | </w:t>
      </w:r>
      <w:r w:rsidRPr="005817D2">
        <w:rPr>
          <w:rFonts w:eastAsia="Arial Unicode MS"/>
          <w:b w:val="0"/>
          <w:bCs/>
        </w:rPr>
        <w:t xml:space="preserve">Ngā </w:t>
      </w:r>
      <w:r w:rsidR="00EB029D">
        <w:rPr>
          <w:rFonts w:eastAsia="Arial Unicode MS"/>
          <w:b w:val="0"/>
          <w:bCs/>
        </w:rPr>
        <w:t>t</w:t>
      </w:r>
      <w:r w:rsidRPr="005817D2">
        <w:rPr>
          <w:rFonts w:eastAsia="Arial Unicode MS"/>
          <w:b w:val="0"/>
          <w:bCs/>
        </w:rPr>
        <w:t xml:space="preserve">aurangi </w:t>
      </w:r>
      <w:r w:rsidR="00EB029D">
        <w:rPr>
          <w:rFonts w:eastAsia="Arial Unicode MS"/>
          <w:b w:val="0"/>
          <w:bCs/>
        </w:rPr>
        <w:t>p</w:t>
      </w:r>
      <w:r w:rsidRPr="005817D2">
        <w:rPr>
          <w:rFonts w:eastAsia="Arial Unicode MS"/>
          <w:b w:val="0"/>
          <w:bCs/>
        </w:rPr>
        <w:t>ūtea</w:t>
      </w:r>
      <w:bookmarkEnd w:id="54"/>
    </w:p>
    <w:p w14:paraId="66A8F5A1" w14:textId="48B18687" w:rsidR="005817D2" w:rsidRPr="00175A9D" w:rsidRDefault="005817D2" w:rsidP="00175A9D">
      <w:pPr>
        <w:pStyle w:val="Heading2"/>
        <w:rPr>
          <w:rFonts w:eastAsia="Arial Unicode MS"/>
          <w:b w:val="0"/>
          <w:bCs/>
        </w:rPr>
      </w:pPr>
      <w:bookmarkStart w:id="55" w:name="_Toc117264962"/>
      <w:r w:rsidRPr="00175A9D">
        <w:rPr>
          <w:rFonts w:eastAsia="Arial Unicode MS"/>
        </w:rPr>
        <w:t xml:space="preserve">Statement of Responsibility | </w:t>
      </w:r>
      <w:r w:rsidRPr="00175A9D">
        <w:rPr>
          <w:rFonts w:eastAsia="Arial Unicode MS"/>
          <w:b w:val="0"/>
          <w:bCs/>
        </w:rPr>
        <w:t>Kupu Whakaū Haepapa</w:t>
      </w:r>
      <w:bookmarkEnd w:id="55"/>
    </w:p>
    <w:p w14:paraId="7AE417CC" w14:textId="77777777" w:rsidR="005817D2" w:rsidRPr="005817D2" w:rsidRDefault="005817D2" w:rsidP="005817D2">
      <w:pPr>
        <w:rPr>
          <w:rFonts w:eastAsia="Arial Unicode MS"/>
        </w:rPr>
      </w:pPr>
      <w:r w:rsidRPr="005817D2">
        <w:rPr>
          <w:rFonts w:eastAsia="Arial Unicode MS"/>
        </w:rPr>
        <w:t>I am responsible, as Director-General of Health and Chief Executive of the Ministry of Health (Ministry), for:</w:t>
      </w:r>
    </w:p>
    <w:p w14:paraId="1B71E60C" w14:textId="40470D26" w:rsidR="005817D2" w:rsidRPr="005817D2" w:rsidRDefault="005817D2" w:rsidP="005817D2">
      <w:pPr>
        <w:pStyle w:val="Bullet"/>
        <w:rPr>
          <w:rFonts w:eastAsia="Arial Unicode MS"/>
        </w:rPr>
      </w:pPr>
      <w:r w:rsidRPr="005817D2">
        <w:rPr>
          <w:rFonts w:eastAsia="Arial Unicode MS"/>
        </w:rPr>
        <w:t>the preparation of the Ministry’s financial statements, and statements of expenses and capital expenditure, and for the judgements expressed in them</w:t>
      </w:r>
    </w:p>
    <w:p w14:paraId="7B93146D" w14:textId="51F75354" w:rsidR="005817D2" w:rsidRPr="005817D2" w:rsidRDefault="005817D2" w:rsidP="005817D2">
      <w:pPr>
        <w:pStyle w:val="Bullet"/>
        <w:rPr>
          <w:rFonts w:eastAsia="Arial Unicode MS"/>
        </w:rPr>
      </w:pPr>
      <w:r w:rsidRPr="005817D2">
        <w:rPr>
          <w:rFonts w:eastAsia="Arial Unicode MS"/>
        </w:rPr>
        <w:t>having in place a system of internal control designed to provide reasonable assurance as to the integrity and reliability of financial reporting</w:t>
      </w:r>
    </w:p>
    <w:p w14:paraId="54839108" w14:textId="1930498D" w:rsidR="005817D2" w:rsidRPr="005817D2" w:rsidRDefault="005817D2" w:rsidP="005817D2">
      <w:pPr>
        <w:pStyle w:val="Bullet"/>
        <w:rPr>
          <w:rFonts w:eastAsia="Arial Unicode MS"/>
        </w:rPr>
      </w:pPr>
      <w:r w:rsidRPr="005817D2">
        <w:rPr>
          <w:rFonts w:eastAsia="Arial Unicode MS"/>
        </w:rPr>
        <w:t>ensuring that end-of-year performance information on each appropriation administered by the Ministry is provided in accordance with sections 19A to 19C of the Public Finance Act 1989, whether or not that information is included in this annual report</w:t>
      </w:r>
    </w:p>
    <w:p w14:paraId="565FCE6D" w14:textId="40AC5CD5" w:rsidR="005817D2" w:rsidRPr="005817D2" w:rsidRDefault="005817D2" w:rsidP="005817D2">
      <w:pPr>
        <w:pStyle w:val="Bullet"/>
        <w:rPr>
          <w:rFonts w:eastAsia="Arial Unicode MS"/>
        </w:rPr>
      </w:pPr>
      <w:r>
        <w:rPr>
          <w:rFonts w:eastAsia="Arial Unicode MS"/>
        </w:rPr>
        <w:t>T</w:t>
      </w:r>
      <w:r w:rsidRPr="005817D2">
        <w:rPr>
          <w:rFonts w:eastAsia="Arial Unicode MS"/>
        </w:rPr>
        <w:t>he accuracy of any end-of-year performance information prepared by the Ministry, whether or not that information is included in the annual report.</w:t>
      </w:r>
    </w:p>
    <w:p w14:paraId="347F025E" w14:textId="77777777" w:rsidR="005817D2" w:rsidRPr="005817D2" w:rsidRDefault="005817D2" w:rsidP="005817D2">
      <w:pPr>
        <w:rPr>
          <w:rFonts w:eastAsia="Arial Unicode MS"/>
        </w:rPr>
      </w:pPr>
    </w:p>
    <w:p w14:paraId="078A90AA" w14:textId="77777777" w:rsidR="005817D2" w:rsidRPr="005817D2" w:rsidRDefault="005817D2" w:rsidP="005817D2">
      <w:pPr>
        <w:rPr>
          <w:rFonts w:eastAsia="Arial Unicode MS"/>
        </w:rPr>
      </w:pPr>
      <w:r w:rsidRPr="005817D2">
        <w:rPr>
          <w:rFonts w:eastAsia="Arial Unicode MS"/>
        </w:rPr>
        <w:t>In my opinion:</w:t>
      </w:r>
    </w:p>
    <w:p w14:paraId="69DC8C4B" w14:textId="4CF92A71" w:rsidR="005817D2" w:rsidRPr="005817D2" w:rsidRDefault="005817D2" w:rsidP="005817D2">
      <w:pPr>
        <w:pStyle w:val="Bullet"/>
        <w:rPr>
          <w:rFonts w:eastAsia="Arial Unicode MS"/>
        </w:rPr>
      </w:pPr>
      <w:r w:rsidRPr="005817D2">
        <w:rPr>
          <w:rFonts w:eastAsia="Arial Unicode MS"/>
        </w:rPr>
        <w:t>the financial statements reflect the financial statements of the Ministry as at 30 June 2022 and its operations for the year ended on that date</w:t>
      </w:r>
    </w:p>
    <w:p w14:paraId="0E2E4E13" w14:textId="77777777" w:rsidR="00347058" w:rsidRDefault="005817D2" w:rsidP="005817D2">
      <w:pPr>
        <w:pStyle w:val="Bullet"/>
        <w:rPr>
          <w:rFonts w:eastAsia="Arial Unicode MS"/>
        </w:rPr>
      </w:pPr>
      <w:r w:rsidRPr="005817D2">
        <w:rPr>
          <w:rFonts w:eastAsia="Arial Unicode MS"/>
        </w:rPr>
        <w:t>the forecast financial statements fairly reflect the forecast financial position of the Ministry as at 30 June 2022 and its operations for the year ending on that date.</w:t>
      </w:r>
    </w:p>
    <w:p w14:paraId="4520D664" w14:textId="1F7D6B19" w:rsidR="005817D2" w:rsidRDefault="005817D2" w:rsidP="005817D2">
      <w:pPr>
        <w:pStyle w:val="Bullet"/>
        <w:numPr>
          <w:ilvl w:val="0"/>
          <w:numId w:val="0"/>
        </w:numPr>
        <w:ind w:left="284" w:hanging="284"/>
        <w:rPr>
          <w:rFonts w:eastAsia="Arial Unicode MS"/>
        </w:rPr>
      </w:pPr>
    </w:p>
    <w:p w14:paraId="42A35F59" w14:textId="5993A2E8" w:rsidR="005817D2" w:rsidRDefault="005817D2" w:rsidP="005817D2">
      <w:pPr>
        <w:pStyle w:val="Bullet"/>
        <w:numPr>
          <w:ilvl w:val="0"/>
          <w:numId w:val="0"/>
        </w:numPr>
        <w:ind w:left="284" w:hanging="284"/>
        <w:rPr>
          <w:rFonts w:eastAsia="Arial Unicode MS"/>
        </w:rPr>
      </w:pPr>
      <w:r>
        <w:rPr>
          <w:noProof/>
        </w:rPr>
        <w:drawing>
          <wp:anchor distT="0" distB="0" distL="0" distR="0" simplePos="0" relativeHeight="251663360" behindDoc="1" locked="0" layoutInCell="1" allowOverlap="1" wp14:anchorId="7E7738F2" wp14:editId="0F78BF9B">
            <wp:simplePos x="0" y="0"/>
            <wp:positionH relativeFrom="page">
              <wp:posOffset>952500</wp:posOffset>
            </wp:positionH>
            <wp:positionV relativeFrom="paragraph">
              <wp:posOffset>132080</wp:posOffset>
            </wp:positionV>
            <wp:extent cx="2327910" cy="859155"/>
            <wp:effectExtent l="0" t="0" r="0" b="0"/>
            <wp:wrapNone/>
            <wp:docPr id="9" name="image50.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0.jpeg">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2327910" cy="859155"/>
                    </a:xfrm>
                    <a:prstGeom prst="rect">
                      <a:avLst/>
                    </a:prstGeom>
                  </pic:spPr>
                </pic:pic>
              </a:graphicData>
            </a:graphic>
          </wp:anchor>
        </w:drawing>
      </w:r>
      <w:r>
        <w:rPr>
          <w:noProof/>
        </w:rPr>
        <w:drawing>
          <wp:anchor distT="0" distB="0" distL="0" distR="0" simplePos="0" relativeHeight="251661312" behindDoc="1" locked="0" layoutInCell="1" allowOverlap="1" wp14:anchorId="4DDEB8EE" wp14:editId="265B4805">
            <wp:simplePos x="0" y="0"/>
            <wp:positionH relativeFrom="page">
              <wp:posOffset>3943350</wp:posOffset>
            </wp:positionH>
            <wp:positionV relativeFrom="paragraph">
              <wp:posOffset>46355</wp:posOffset>
            </wp:positionV>
            <wp:extent cx="1506855" cy="1011555"/>
            <wp:effectExtent l="0" t="0" r="0" b="0"/>
            <wp:wrapNone/>
            <wp:docPr id="11" name="image5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1.png">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506855" cy="1011555"/>
                    </a:xfrm>
                    <a:prstGeom prst="rect">
                      <a:avLst/>
                    </a:prstGeom>
                  </pic:spPr>
                </pic:pic>
              </a:graphicData>
            </a:graphic>
          </wp:anchor>
        </w:drawing>
      </w:r>
    </w:p>
    <w:p w14:paraId="60ACFED9" w14:textId="56BADBEB" w:rsidR="005817D2" w:rsidRDefault="005817D2" w:rsidP="005817D2">
      <w:pPr>
        <w:pStyle w:val="Bullet"/>
        <w:numPr>
          <w:ilvl w:val="0"/>
          <w:numId w:val="0"/>
        </w:numPr>
        <w:ind w:left="284" w:hanging="284"/>
        <w:rPr>
          <w:rFonts w:eastAsia="Arial Unicode MS"/>
        </w:rPr>
      </w:pPr>
    </w:p>
    <w:p w14:paraId="5B3F2601" w14:textId="77777777" w:rsidR="005817D2" w:rsidRDefault="005817D2" w:rsidP="005817D2">
      <w:pPr>
        <w:pStyle w:val="Bullet"/>
        <w:numPr>
          <w:ilvl w:val="0"/>
          <w:numId w:val="0"/>
        </w:numPr>
        <w:ind w:left="284" w:hanging="284"/>
        <w:rPr>
          <w:rFonts w:eastAsia="Arial Unicode MS"/>
        </w:rPr>
      </w:pPr>
    </w:p>
    <w:p w14:paraId="0739BB0F" w14:textId="77777777" w:rsidR="005817D2" w:rsidRDefault="005817D2" w:rsidP="005817D2">
      <w:pPr>
        <w:rPr>
          <w:w w:val="105"/>
        </w:rPr>
      </w:pPr>
    </w:p>
    <w:p w14:paraId="7546B14A" w14:textId="77777777" w:rsidR="005817D2" w:rsidRDefault="005817D2" w:rsidP="005817D2">
      <w:pPr>
        <w:rPr>
          <w:w w:val="105"/>
        </w:rPr>
      </w:pPr>
    </w:p>
    <w:p w14:paraId="20A1D9AB" w14:textId="4CC9D03E" w:rsidR="005817D2" w:rsidRDefault="005817D2" w:rsidP="005817D2">
      <w:r>
        <w:rPr>
          <w:w w:val="105"/>
        </w:rPr>
        <w:t>Dr</w:t>
      </w:r>
      <w:r>
        <w:rPr>
          <w:spacing w:val="-8"/>
          <w:w w:val="105"/>
        </w:rPr>
        <w:t xml:space="preserve"> </w:t>
      </w:r>
      <w:r>
        <w:rPr>
          <w:w w:val="105"/>
        </w:rPr>
        <w:t>Diana</w:t>
      </w:r>
      <w:r>
        <w:rPr>
          <w:spacing w:val="-7"/>
          <w:w w:val="105"/>
        </w:rPr>
        <w:t xml:space="preserve"> </w:t>
      </w:r>
      <w:r>
        <w:rPr>
          <w:w w:val="105"/>
        </w:rPr>
        <w:t>Sarfati</w:t>
      </w:r>
      <w:r>
        <w:rPr>
          <w:w w:val="105"/>
        </w:rPr>
        <w:tab/>
      </w:r>
      <w:r>
        <w:rPr>
          <w:w w:val="105"/>
        </w:rPr>
        <w:tab/>
      </w:r>
      <w:r>
        <w:rPr>
          <w:w w:val="105"/>
        </w:rPr>
        <w:tab/>
      </w:r>
      <w:r>
        <w:rPr>
          <w:w w:val="105"/>
        </w:rPr>
        <w:tab/>
      </w:r>
      <w:r>
        <w:rPr>
          <w:w w:val="105"/>
        </w:rPr>
        <w:tab/>
      </w:r>
      <w:r>
        <w:rPr>
          <w:w w:val="105"/>
        </w:rPr>
        <w:tab/>
        <w:t>Fergus</w:t>
      </w:r>
      <w:r>
        <w:rPr>
          <w:spacing w:val="7"/>
          <w:w w:val="105"/>
        </w:rPr>
        <w:t xml:space="preserve"> </w:t>
      </w:r>
      <w:r>
        <w:rPr>
          <w:w w:val="105"/>
        </w:rPr>
        <w:t>Welsh</w:t>
      </w:r>
    </w:p>
    <w:p w14:paraId="7C283EC6" w14:textId="7B717080" w:rsidR="005817D2" w:rsidRDefault="005817D2" w:rsidP="005817D2">
      <w:r>
        <w:t>Director-General</w:t>
      </w:r>
      <w:r>
        <w:rPr>
          <w:spacing w:val="15"/>
        </w:rPr>
        <w:t xml:space="preserve"> </w:t>
      </w:r>
      <w:r>
        <w:t>of</w:t>
      </w:r>
      <w:r>
        <w:rPr>
          <w:spacing w:val="15"/>
        </w:rPr>
        <w:t xml:space="preserve"> </w:t>
      </w:r>
      <w:r>
        <w:t>Health</w:t>
      </w:r>
      <w:r>
        <w:tab/>
      </w:r>
      <w:r>
        <w:tab/>
      </w:r>
      <w:r>
        <w:tab/>
      </w:r>
      <w:r>
        <w:tab/>
        <w:t>Chief</w:t>
      </w:r>
      <w:r>
        <w:rPr>
          <w:spacing w:val="9"/>
        </w:rPr>
        <w:t xml:space="preserve"> </w:t>
      </w:r>
      <w:r>
        <w:t>Financial</w:t>
      </w:r>
      <w:r>
        <w:rPr>
          <w:spacing w:val="9"/>
        </w:rPr>
        <w:t xml:space="preserve"> </w:t>
      </w:r>
      <w:r>
        <w:t>Officer</w:t>
      </w:r>
    </w:p>
    <w:p w14:paraId="2EFD20FA" w14:textId="49F5E67F" w:rsidR="005817D2" w:rsidRDefault="005817D2" w:rsidP="005817D2">
      <w:r>
        <w:rPr>
          <w:w w:val="105"/>
        </w:rPr>
        <w:t>30</w:t>
      </w:r>
      <w:r>
        <w:rPr>
          <w:spacing w:val="-6"/>
          <w:w w:val="105"/>
        </w:rPr>
        <w:t xml:space="preserve"> </w:t>
      </w:r>
      <w:r>
        <w:rPr>
          <w:w w:val="105"/>
        </w:rPr>
        <w:t>September</w:t>
      </w:r>
      <w:r>
        <w:rPr>
          <w:spacing w:val="-5"/>
          <w:w w:val="105"/>
        </w:rPr>
        <w:t xml:space="preserve"> </w:t>
      </w:r>
      <w:r>
        <w:rPr>
          <w:w w:val="105"/>
        </w:rPr>
        <w:t>2022</w:t>
      </w:r>
      <w:r>
        <w:rPr>
          <w:w w:val="105"/>
        </w:rPr>
        <w:tab/>
      </w:r>
      <w:r>
        <w:rPr>
          <w:w w:val="105"/>
        </w:rPr>
        <w:tab/>
      </w:r>
      <w:r>
        <w:rPr>
          <w:w w:val="105"/>
        </w:rPr>
        <w:tab/>
      </w:r>
      <w:r>
        <w:rPr>
          <w:w w:val="105"/>
        </w:rPr>
        <w:tab/>
      </w:r>
      <w:r>
        <w:rPr>
          <w:w w:val="105"/>
        </w:rPr>
        <w:tab/>
        <w:t>30</w:t>
      </w:r>
      <w:r>
        <w:rPr>
          <w:spacing w:val="-6"/>
          <w:w w:val="105"/>
        </w:rPr>
        <w:t xml:space="preserve"> </w:t>
      </w:r>
      <w:r>
        <w:rPr>
          <w:w w:val="105"/>
        </w:rPr>
        <w:t>September</w:t>
      </w:r>
      <w:r>
        <w:rPr>
          <w:spacing w:val="-6"/>
          <w:w w:val="105"/>
        </w:rPr>
        <w:t xml:space="preserve"> </w:t>
      </w:r>
      <w:r>
        <w:rPr>
          <w:w w:val="105"/>
        </w:rPr>
        <w:t>2022</w:t>
      </w:r>
    </w:p>
    <w:p w14:paraId="40361956" w14:textId="77777777" w:rsidR="005817D2" w:rsidRDefault="005817D2" w:rsidP="005817D2">
      <w:pPr>
        <w:pStyle w:val="Bullet"/>
        <w:numPr>
          <w:ilvl w:val="0"/>
          <w:numId w:val="0"/>
        </w:numPr>
        <w:ind w:left="284" w:hanging="284"/>
        <w:rPr>
          <w:rFonts w:eastAsia="Arial Unicode MS"/>
        </w:rPr>
        <w:sectPr w:rsidR="005817D2" w:rsidSect="00C26282">
          <w:pgSz w:w="11907" w:h="16840" w:code="9"/>
          <w:pgMar w:top="1418" w:right="1701" w:bottom="1134" w:left="1843" w:header="284" w:footer="425" w:gutter="284"/>
          <w:cols w:space="720"/>
        </w:sectPr>
      </w:pPr>
    </w:p>
    <w:p w14:paraId="1962D117" w14:textId="77777777" w:rsidR="005817D2" w:rsidRPr="00175A9D" w:rsidRDefault="005817D2" w:rsidP="00175A9D">
      <w:pPr>
        <w:pStyle w:val="Heading2"/>
        <w:spacing w:before="0"/>
        <w:rPr>
          <w:rFonts w:eastAsia="Arial Unicode MS"/>
        </w:rPr>
      </w:pPr>
      <w:bookmarkStart w:id="56" w:name="_Toc117264963"/>
      <w:r w:rsidRPr="00175A9D">
        <w:rPr>
          <w:rFonts w:eastAsia="Arial Unicode MS"/>
        </w:rPr>
        <w:lastRenderedPageBreak/>
        <w:t>Independent Auditors Report</w:t>
      </w:r>
      <w:bookmarkEnd w:id="56"/>
    </w:p>
    <w:p w14:paraId="7EFC17A0" w14:textId="77777777" w:rsidR="005817D2" w:rsidRPr="005817D2" w:rsidRDefault="005817D2" w:rsidP="00320670">
      <w:pPr>
        <w:pStyle w:val="Heading5"/>
      </w:pPr>
      <w:r w:rsidRPr="005817D2">
        <w:t>To the readers of the Ministry of Health’s annual report for the year ended 30 June 2022</w:t>
      </w:r>
    </w:p>
    <w:p w14:paraId="28233EC7" w14:textId="1A7630A5" w:rsidR="005817D2" w:rsidRPr="005817D2" w:rsidRDefault="005817D2" w:rsidP="005817D2">
      <w:pPr>
        <w:rPr>
          <w:rFonts w:eastAsia="Arial Unicode MS"/>
        </w:rPr>
      </w:pPr>
      <w:r w:rsidRPr="005817D2">
        <w:rPr>
          <w:rFonts w:eastAsia="Arial Unicode MS"/>
        </w:rPr>
        <w:t>The Auditor-General is the auditor of the Ministry of Health (the Ministry). The Auditor- General has appointed me, Stephen Lucy, using the staff and resources of Audit New Zealand, to carry out, on his behalf, the audit of:</w:t>
      </w:r>
    </w:p>
    <w:p w14:paraId="6B2C1043" w14:textId="3BED1489" w:rsidR="005817D2" w:rsidRPr="005817D2" w:rsidRDefault="005817D2" w:rsidP="005817D2">
      <w:pPr>
        <w:pStyle w:val="Bullet"/>
        <w:rPr>
          <w:rFonts w:eastAsia="Arial Unicode MS"/>
        </w:rPr>
      </w:pPr>
      <w:r w:rsidRPr="005817D2">
        <w:rPr>
          <w:rFonts w:eastAsia="Arial Unicode MS"/>
        </w:rPr>
        <w:t>the financial statements of the Ministry on pages 106 to 140, that comprise the statement of financial position, statement of commitments, statement of contingent liabilities and contingent assets as at 30 June 2022, the statement of comprehensive revenue and expense, statement of changes in equity, and statement of cash flows for the year ended on that date and the notes to the financial statements that include accounting policies and other explanatory information;</w:t>
      </w:r>
    </w:p>
    <w:p w14:paraId="1478CE7B" w14:textId="6BDDDFFB" w:rsidR="005817D2" w:rsidRPr="005817D2" w:rsidRDefault="005817D2" w:rsidP="005817D2">
      <w:pPr>
        <w:pStyle w:val="Bullet"/>
        <w:rPr>
          <w:rFonts w:eastAsia="Arial Unicode MS"/>
        </w:rPr>
      </w:pPr>
      <w:r w:rsidRPr="005817D2">
        <w:rPr>
          <w:rFonts w:eastAsia="Arial Unicode MS"/>
        </w:rPr>
        <w:t>the performance information prepared by the Ministry for the year ended 30 June 2022 on pages 62 to 98 and 162 to 175;</w:t>
      </w:r>
    </w:p>
    <w:p w14:paraId="79960D23" w14:textId="5B037CFE" w:rsidR="005817D2" w:rsidRPr="005817D2" w:rsidRDefault="005817D2" w:rsidP="005817D2">
      <w:pPr>
        <w:pStyle w:val="Bullet"/>
        <w:rPr>
          <w:rFonts w:eastAsia="Arial Unicode MS"/>
        </w:rPr>
      </w:pPr>
      <w:r w:rsidRPr="005817D2">
        <w:rPr>
          <w:rFonts w:eastAsia="Arial Unicode MS"/>
        </w:rPr>
        <w:t>the statements of expenses and capital expenditure of the Ministry for the year ended 30 June 2022 on pages 150 to 153 and 158 to 159; and</w:t>
      </w:r>
    </w:p>
    <w:p w14:paraId="0C82EA5C" w14:textId="1A0A0BE3" w:rsidR="005817D2" w:rsidRPr="005817D2" w:rsidRDefault="005817D2" w:rsidP="005817D2">
      <w:pPr>
        <w:pStyle w:val="Bullet"/>
        <w:rPr>
          <w:rFonts w:eastAsia="Arial Unicode MS"/>
        </w:rPr>
      </w:pPr>
      <w:r w:rsidRPr="005817D2">
        <w:rPr>
          <w:rFonts w:eastAsia="Arial Unicode MS"/>
        </w:rPr>
        <w:t>the schedules of non-departmental activities which are managed by the Ministry on behalf of the Crown on pages 141 to 149 and 154 to 157 that comprise:</w:t>
      </w:r>
    </w:p>
    <w:p w14:paraId="15657B9B" w14:textId="7DFE4E92" w:rsidR="005817D2" w:rsidRPr="005817D2" w:rsidRDefault="005817D2" w:rsidP="005817D2">
      <w:pPr>
        <w:pStyle w:val="Dash"/>
        <w:rPr>
          <w:rFonts w:eastAsia="Arial Unicode MS"/>
        </w:rPr>
      </w:pPr>
      <w:r w:rsidRPr="005817D2">
        <w:rPr>
          <w:rFonts w:eastAsia="Arial Unicode MS"/>
        </w:rPr>
        <w:t>the schedules of assets, liabilities, commitments, and contingent liabilities and assets as at 30 June 2022;</w:t>
      </w:r>
    </w:p>
    <w:p w14:paraId="714394EA" w14:textId="7FB45682" w:rsidR="005817D2" w:rsidRPr="005817D2" w:rsidRDefault="005817D2" w:rsidP="005817D2">
      <w:pPr>
        <w:pStyle w:val="Dash"/>
        <w:rPr>
          <w:rFonts w:eastAsia="Arial Unicode MS"/>
        </w:rPr>
      </w:pPr>
      <w:r w:rsidRPr="005817D2">
        <w:rPr>
          <w:rFonts w:eastAsia="Arial Unicode MS"/>
        </w:rPr>
        <w:t>the schedules of expenses, and revenue for the year ended 30 June 2022;</w:t>
      </w:r>
    </w:p>
    <w:p w14:paraId="48B4CA45" w14:textId="5BA312E0" w:rsidR="005817D2" w:rsidRPr="005817D2" w:rsidRDefault="005817D2" w:rsidP="005817D2">
      <w:pPr>
        <w:pStyle w:val="Dash"/>
        <w:rPr>
          <w:rFonts w:eastAsia="Arial Unicode MS"/>
        </w:rPr>
      </w:pPr>
      <w:r w:rsidRPr="005817D2">
        <w:rPr>
          <w:rFonts w:eastAsia="Arial Unicode MS"/>
        </w:rPr>
        <w:t>the notes to the schedules that include accounting policies and other explanatory information.</w:t>
      </w:r>
    </w:p>
    <w:p w14:paraId="5AC09D3F" w14:textId="77777777" w:rsidR="005817D2" w:rsidRPr="005817D2" w:rsidRDefault="005817D2" w:rsidP="00BA1E6B">
      <w:pPr>
        <w:pStyle w:val="Heading4"/>
      </w:pPr>
      <w:r w:rsidRPr="005817D2">
        <w:t>Opinion</w:t>
      </w:r>
    </w:p>
    <w:p w14:paraId="2A5D4E1C" w14:textId="77777777" w:rsidR="005817D2" w:rsidRPr="005817D2" w:rsidRDefault="005817D2" w:rsidP="005817D2">
      <w:pPr>
        <w:rPr>
          <w:rFonts w:eastAsia="Arial Unicode MS"/>
        </w:rPr>
      </w:pPr>
      <w:r w:rsidRPr="005817D2">
        <w:rPr>
          <w:rFonts w:eastAsia="Arial Unicode MS"/>
        </w:rPr>
        <w:t>In our opinion:</w:t>
      </w:r>
    </w:p>
    <w:p w14:paraId="588A41F1" w14:textId="129075DA" w:rsidR="005817D2" w:rsidRPr="005817D2" w:rsidRDefault="005817D2" w:rsidP="00BA1E6B">
      <w:pPr>
        <w:pStyle w:val="Bullet"/>
        <w:rPr>
          <w:rFonts w:eastAsia="Arial Unicode MS"/>
        </w:rPr>
      </w:pPr>
      <w:r w:rsidRPr="005817D2">
        <w:rPr>
          <w:rFonts w:eastAsia="Arial Unicode MS"/>
        </w:rPr>
        <w:t>the financial statements of the Ministry on pages 106 to 140:</w:t>
      </w:r>
    </w:p>
    <w:p w14:paraId="4B10961D" w14:textId="51AE1104" w:rsidR="005817D2" w:rsidRPr="005817D2" w:rsidRDefault="005817D2" w:rsidP="00BA1E6B">
      <w:pPr>
        <w:pStyle w:val="Dash"/>
        <w:rPr>
          <w:rFonts w:eastAsia="Arial Unicode MS"/>
        </w:rPr>
      </w:pPr>
      <w:r w:rsidRPr="005817D2">
        <w:rPr>
          <w:rFonts w:eastAsia="Arial Unicode MS"/>
        </w:rPr>
        <w:t>present fairly, in all material respects:</w:t>
      </w:r>
    </w:p>
    <w:p w14:paraId="565BAF06" w14:textId="14C5E140" w:rsidR="005817D2" w:rsidRPr="00BA1E6B" w:rsidRDefault="005817D2" w:rsidP="00BA1E6B">
      <w:pPr>
        <w:pStyle w:val="Bullet3"/>
      </w:pPr>
      <w:r w:rsidRPr="00BA1E6B">
        <w:t>its financial position as at 30 June 2022; and</w:t>
      </w:r>
    </w:p>
    <w:p w14:paraId="165666E1" w14:textId="50A57F72" w:rsidR="005817D2" w:rsidRPr="00BA1E6B" w:rsidRDefault="005817D2" w:rsidP="00BA1E6B">
      <w:pPr>
        <w:pStyle w:val="Bullet3"/>
      </w:pPr>
      <w:r w:rsidRPr="00BA1E6B">
        <w:t>its financial performance and cash flows for the year ended on that date; and</w:t>
      </w:r>
    </w:p>
    <w:p w14:paraId="0BB57638" w14:textId="44C046D4" w:rsidR="005817D2" w:rsidRPr="005817D2" w:rsidRDefault="005817D2" w:rsidP="00BA1E6B">
      <w:pPr>
        <w:pStyle w:val="Dash"/>
        <w:rPr>
          <w:rFonts w:eastAsia="Arial Unicode MS"/>
        </w:rPr>
      </w:pPr>
      <w:r w:rsidRPr="005817D2">
        <w:rPr>
          <w:rFonts w:eastAsia="Arial Unicode MS"/>
        </w:rPr>
        <w:t>comply with generally accepted accounting practice in New Zealand in accordance with Public Benefit Entity Reporting Standards.</w:t>
      </w:r>
    </w:p>
    <w:p w14:paraId="4B8509D3" w14:textId="3D178780" w:rsidR="005817D2" w:rsidRPr="005817D2" w:rsidRDefault="005817D2" w:rsidP="00BA1E6B">
      <w:pPr>
        <w:pStyle w:val="Bullet"/>
        <w:rPr>
          <w:rFonts w:eastAsia="Arial Unicode MS"/>
        </w:rPr>
      </w:pPr>
      <w:r w:rsidRPr="005817D2">
        <w:rPr>
          <w:rFonts w:eastAsia="Arial Unicode MS"/>
        </w:rPr>
        <w:t>the performance information of the Ministry on pages 62 to 98 and 162 to 175:</w:t>
      </w:r>
    </w:p>
    <w:p w14:paraId="49D6C86E" w14:textId="40B013EC" w:rsidR="005817D2" w:rsidRPr="005817D2" w:rsidRDefault="005817D2" w:rsidP="00BA1E6B">
      <w:pPr>
        <w:pStyle w:val="Dash"/>
        <w:rPr>
          <w:rFonts w:eastAsia="Arial Unicode MS"/>
        </w:rPr>
      </w:pPr>
      <w:r w:rsidRPr="005817D2">
        <w:rPr>
          <w:rFonts w:eastAsia="Arial Unicode MS"/>
        </w:rPr>
        <w:t>presents fairly, in all material respects, for the year ended 30 June 2022:</w:t>
      </w:r>
    </w:p>
    <w:p w14:paraId="4FD40990" w14:textId="2EA02498" w:rsidR="005817D2" w:rsidRPr="00BA1E6B" w:rsidRDefault="005817D2" w:rsidP="00BA1E6B">
      <w:pPr>
        <w:pStyle w:val="Bullet3"/>
      </w:pPr>
      <w:r w:rsidRPr="00BA1E6B">
        <w:t>what has been achieved with the appropriation; and</w:t>
      </w:r>
    </w:p>
    <w:p w14:paraId="147FBED8" w14:textId="7A6AC600" w:rsidR="005817D2" w:rsidRPr="00BA1E6B" w:rsidRDefault="005817D2" w:rsidP="00BA1E6B">
      <w:pPr>
        <w:pStyle w:val="Bullet3"/>
      </w:pPr>
      <w:r w:rsidRPr="00BA1E6B">
        <w:t>the actual expenses or capital expenditure incurred compared with the appropriated or forecast expenses or capital expenditure; and</w:t>
      </w:r>
    </w:p>
    <w:p w14:paraId="555D8870" w14:textId="633D45E0" w:rsidR="005817D2" w:rsidRPr="00320670" w:rsidRDefault="005817D2" w:rsidP="005817D2">
      <w:pPr>
        <w:pStyle w:val="Dash"/>
        <w:rPr>
          <w:rFonts w:eastAsia="Arial Unicode MS"/>
        </w:rPr>
      </w:pPr>
      <w:r w:rsidRPr="005817D2">
        <w:rPr>
          <w:rFonts w:eastAsia="Arial Unicode MS"/>
        </w:rPr>
        <w:t>complies with generally accepted accounting practice in New Zealand.</w:t>
      </w:r>
    </w:p>
    <w:p w14:paraId="004812FF" w14:textId="441C98C8" w:rsidR="005817D2" w:rsidRPr="005817D2" w:rsidRDefault="005817D2" w:rsidP="00BA1E6B">
      <w:pPr>
        <w:pStyle w:val="Bullet"/>
        <w:rPr>
          <w:rFonts w:eastAsia="Arial Unicode MS"/>
        </w:rPr>
      </w:pPr>
      <w:r w:rsidRPr="005817D2">
        <w:rPr>
          <w:rFonts w:eastAsia="Arial Unicode MS"/>
        </w:rPr>
        <w:t>the statements of expenses and capital expenditure of the Ministry on pages 150 to 153 and 158 to 159 are presented fairly, in all material respects, in accordance with the requirements of section 45A of the Public Finance Act 1989.</w:t>
      </w:r>
    </w:p>
    <w:p w14:paraId="680D8019" w14:textId="12AFED83" w:rsidR="005817D2" w:rsidRPr="005817D2" w:rsidRDefault="005817D2" w:rsidP="00BA1E6B">
      <w:pPr>
        <w:pStyle w:val="Bullet"/>
        <w:rPr>
          <w:rFonts w:eastAsia="Arial Unicode MS"/>
        </w:rPr>
      </w:pPr>
      <w:r w:rsidRPr="005817D2">
        <w:rPr>
          <w:rFonts w:eastAsia="Arial Unicode MS"/>
        </w:rPr>
        <w:lastRenderedPageBreak/>
        <w:t>the schedules of non-departmental activities which are managed by the Ministry on behalf of the Crown on pages 141 to 149 and 154 to 157 present fairly, in all material respects, in accordance with the Treasury Instructions:</w:t>
      </w:r>
    </w:p>
    <w:p w14:paraId="68F83984" w14:textId="243B6BB4" w:rsidR="005817D2" w:rsidRPr="005817D2" w:rsidRDefault="005817D2" w:rsidP="00BA1E6B">
      <w:pPr>
        <w:pStyle w:val="Dash"/>
        <w:rPr>
          <w:rFonts w:eastAsia="Arial Unicode MS"/>
        </w:rPr>
      </w:pPr>
      <w:r w:rsidRPr="005817D2">
        <w:rPr>
          <w:rFonts w:eastAsia="Arial Unicode MS"/>
        </w:rPr>
        <w:t>the assets, liabilities, commitments, and contingent liabilities and assets as at 30 June 2022; and</w:t>
      </w:r>
    </w:p>
    <w:p w14:paraId="15C35D8A" w14:textId="030A7DB7" w:rsidR="005817D2" w:rsidRPr="005817D2" w:rsidRDefault="005817D2" w:rsidP="00BA1E6B">
      <w:pPr>
        <w:pStyle w:val="Dash"/>
        <w:rPr>
          <w:rFonts w:eastAsia="Arial Unicode MS"/>
        </w:rPr>
      </w:pPr>
      <w:r w:rsidRPr="005817D2">
        <w:rPr>
          <w:rFonts w:eastAsia="Arial Unicode MS"/>
        </w:rPr>
        <w:t>expenses and revenue for the year ended 30 June 2022; and</w:t>
      </w:r>
    </w:p>
    <w:p w14:paraId="4FAACA49" w14:textId="77777777" w:rsidR="00BA1E6B" w:rsidRDefault="00BA1E6B" w:rsidP="005817D2">
      <w:pPr>
        <w:rPr>
          <w:rFonts w:eastAsia="Arial Unicode MS"/>
        </w:rPr>
      </w:pPr>
    </w:p>
    <w:p w14:paraId="02E82FC8" w14:textId="661F26E3" w:rsidR="005817D2" w:rsidRDefault="005817D2" w:rsidP="005817D2">
      <w:pPr>
        <w:rPr>
          <w:rFonts w:eastAsia="Arial Unicode MS"/>
        </w:rPr>
      </w:pPr>
      <w:r w:rsidRPr="005817D2">
        <w:rPr>
          <w:rFonts w:eastAsia="Arial Unicode MS"/>
        </w:rPr>
        <w:t>Our audit was completed on 30 September 2022. This is the date at which our opinion is expressed.</w:t>
      </w:r>
    </w:p>
    <w:p w14:paraId="5423C089" w14:textId="77777777" w:rsidR="00BA1E6B" w:rsidRPr="005817D2" w:rsidRDefault="00BA1E6B" w:rsidP="005817D2">
      <w:pPr>
        <w:rPr>
          <w:rFonts w:eastAsia="Arial Unicode MS"/>
        </w:rPr>
      </w:pPr>
    </w:p>
    <w:p w14:paraId="207DCB6C" w14:textId="77777777" w:rsidR="005817D2" w:rsidRPr="005817D2" w:rsidRDefault="005817D2" w:rsidP="005817D2">
      <w:pPr>
        <w:rPr>
          <w:rFonts w:eastAsia="Arial Unicode MS"/>
        </w:rPr>
      </w:pPr>
      <w:r w:rsidRPr="005817D2">
        <w:rPr>
          <w:rFonts w:eastAsia="Arial Unicode MS"/>
        </w:rPr>
        <w:t>The basis for our opinion is explained below and we draw attention to the HSU population information used in reporting Covid-19 vaccine strategy performance results. In addition, we outline the responsibilities of the Director-General of Health and our responsibilities relating to the information to be audited, we comment on other information, and we explain our independence.</w:t>
      </w:r>
    </w:p>
    <w:p w14:paraId="14F1B7D2" w14:textId="77777777" w:rsidR="005817D2" w:rsidRPr="005817D2" w:rsidRDefault="005817D2" w:rsidP="00BA1E6B">
      <w:pPr>
        <w:pStyle w:val="Heading4"/>
      </w:pPr>
      <w:r w:rsidRPr="005817D2">
        <w:t>Emphasis of matter – HSU population information was used in reporting Covid-19 vaccine strategy performance results</w:t>
      </w:r>
    </w:p>
    <w:p w14:paraId="1825A5A5" w14:textId="77777777" w:rsidR="005817D2" w:rsidRPr="005817D2" w:rsidRDefault="005817D2" w:rsidP="005817D2">
      <w:pPr>
        <w:rPr>
          <w:rFonts w:eastAsia="Arial Unicode MS"/>
        </w:rPr>
      </w:pPr>
      <w:r w:rsidRPr="005817D2">
        <w:rPr>
          <w:rFonts w:eastAsia="Arial Unicode MS"/>
        </w:rPr>
        <w:t>Without modifying our opinion, we draw your attention to the ‘Further notes on the HSU dataset’ on pages 91 and 92 which outlines the information used by the Ministry to report on its Covid-19 vaccine coverage. The Ministry uses the Health Service User (HSU) population data rather than the population data provided by Statistics New Zealand (Stats NZ), for the reasons set out on page 92. This section outlines that there would be differences in the reported results for the overall population if the Stats NZ population data was used. There would be further differences in the reported results of vaccination coverage if the Stats NZ population data is classified by ethnicity, age and District Health Board. The Ministry has provided a table on page 93 that highlights the differences in the ethnicity groupings between the HSU population data and the Stats NZ population data.</w:t>
      </w:r>
    </w:p>
    <w:p w14:paraId="775060D0" w14:textId="77777777" w:rsidR="005817D2" w:rsidRPr="005817D2" w:rsidRDefault="005817D2" w:rsidP="00BA1E6B">
      <w:pPr>
        <w:pStyle w:val="Heading4"/>
      </w:pPr>
      <w:r w:rsidRPr="005817D2">
        <w:t>Basis for our opinion</w:t>
      </w:r>
    </w:p>
    <w:p w14:paraId="619EFC67" w14:textId="7A9E1B16" w:rsidR="005817D2" w:rsidRDefault="005817D2" w:rsidP="005817D2">
      <w:pPr>
        <w:rPr>
          <w:rFonts w:eastAsia="Arial Unicode MS"/>
        </w:rPr>
      </w:pPr>
      <w:r w:rsidRPr="005817D2">
        <w:rPr>
          <w:rFonts w:eastAsia="Arial Unicode MS"/>
        </w:rPr>
        <w:t>We carried out our audit in accordance with the Auditor-General’s Auditing Standards, which incorporate the Professional and Ethical Standards and the International Standards on Auditing (New Zealand) issued by the New Zealand Auditing and Assurance Standards Board. Our responsibilities under those standards are further described in the Responsibilities of the auditor section of our report.</w:t>
      </w:r>
    </w:p>
    <w:p w14:paraId="1E821A99" w14:textId="77777777" w:rsidR="00BA1E6B" w:rsidRPr="005817D2" w:rsidRDefault="00BA1E6B" w:rsidP="005817D2">
      <w:pPr>
        <w:rPr>
          <w:rFonts w:eastAsia="Arial Unicode MS"/>
        </w:rPr>
      </w:pPr>
    </w:p>
    <w:p w14:paraId="2B45EA8A" w14:textId="00431FF3" w:rsidR="005817D2" w:rsidRDefault="005817D2" w:rsidP="005817D2">
      <w:pPr>
        <w:rPr>
          <w:rFonts w:eastAsia="Arial Unicode MS"/>
        </w:rPr>
      </w:pPr>
      <w:r w:rsidRPr="005817D2">
        <w:rPr>
          <w:rFonts w:eastAsia="Arial Unicode MS"/>
        </w:rPr>
        <w:t>We have fulfilled our responsibilities in accordance with the Auditor-General’s Auditing Standards.</w:t>
      </w:r>
    </w:p>
    <w:p w14:paraId="2A2D61E1" w14:textId="77777777" w:rsidR="00BA1E6B" w:rsidRPr="005817D2" w:rsidRDefault="00BA1E6B" w:rsidP="005817D2">
      <w:pPr>
        <w:rPr>
          <w:rFonts w:eastAsia="Arial Unicode MS"/>
        </w:rPr>
      </w:pPr>
    </w:p>
    <w:p w14:paraId="3861B375" w14:textId="77777777" w:rsidR="005817D2" w:rsidRDefault="005817D2" w:rsidP="005817D2">
      <w:pPr>
        <w:rPr>
          <w:rFonts w:eastAsia="Arial Unicode MS"/>
        </w:rPr>
      </w:pPr>
      <w:r w:rsidRPr="005817D2">
        <w:rPr>
          <w:rFonts w:eastAsia="Arial Unicode MS"/>
        </w:rPr>
        <w:t>We believe that the audit evidence we have obtained is sufficient and appropriate to provide a basis for our audit opinion.</w:t>
      </w:r>
    </w:p>
    <w:p w14:paraId="2CE0FA57" w14:textId="77777777" w:rsidR="00BA1E6B" w:rsidRPr="00BA1E6B" w:rsidRDefault="00BA1E6B" w:rsidP="00BA1E6B">
      <w:pPr>
        <w:pStyle w:val="Heading4"/>
      </w:pPr>
      <w:r w:rsidRPr="00BA1E6B">
        <w:lastRenderedPageBreak/>
        <w:t>Responsibilities of the Director-General of Health for the information to be audited</w:t>
      </w:r>
    </w:p>
    <w:p w14:paraId="4DF0A75C" w14:textId="77777777" w:rsidR="00BA1E6B" w:rsidRPr="00BA1E6B" w:rsidRDefault="00BA1E6B" w:rsidP="00BA1E6B">
      <w:pPr>
        <w:rPr>
          <w:rFonts w:eastAsia="Arial Unicode MS"/>
        </w:rPr>
      </w:pPr>
      <w:r w:rsidRPr="00BA1E6B">
        <w:rPr>
          <w:rFonts w:eastAsia="Arial Unicode MS"/>
        </w:rPr>
        <w:t>The Director-General of Health is responsible on behalf of the Ministry for preparing:</w:t>
      </w:r>
    </w:p>
    <w:p w14:paraId="24514067" w14:textId="7CD0D6B2" w:rsidR="00BA1E6B" w:rsidRPr="00BA1E6B" w:rsidRDefault="00BA1E6B" w:rsidP="00BA1E6B">
      <w:pPr>
        <w:pStyle w:val="Bullet"/>
        <w:rPr>
          <w:rFonts w:eastAsia="Arial Unicode MS"/>
        </w:rPr>
      </w:pPr>
      <w:r w:rsidRPr="00BA1E6B">
        <w:rPr>
          <w:rFonts w:eastAsia="Arial Unicode MS"/>
        </w:rPr>
        <w:t>financial statements that present fairly the Ministry’s financial position, financial performance, and its cash flows, and that comply with generally accepted accounting practice in New Zealand;</w:t>
      </w:r>
    </w:p>
    <w:p w14:paraId="5C2069F0" w14:textId="30866178" w:rsidR="00BA1E6B" w:rsidRPr="00BA1E6B" w:rsidRDefault="00BA1E6B" w:rsidP="00BA1E6B">
      <w:pPr>
        <w:pStyle w:val="Bullet"/>
        <w:rPr>
          <w:rFonts w:eastAsia="Arial Unicode MS"/>
        </w:rPr>
      </w:pPr>
      <w:r w:rsidRPr="00BA1E6B">
        <w:rPr>
          <w:rFonts w:eastAsia="Arial Unicode MS"/>
        </w:rPr>
        <w:t>performance information that presents fairly what has been achieved with each appropriation, the expenditure incurred as compared with expenditure expected to be incurred, and that complies with generally accepted accounting practice in New Zealand;</w:t>
      </w:r>
    </w:p>
    <w:p w14:paraId="628CF0B4" w14:textId="33A42550" w:rsidR="00BA1E6B" w:rsidRPr="00BA1E6B" w:rsidRDefault="00BA1E6B" w:rsidP="00BA1E6B">
      <w:pPr>
        <w:pStyle w:val="Bullet"/>
        <w:rPr>
          <w:rFonts w:eastAsia="Arial Unicode MS"/>
        </w:rPr>
      </w:pPr>
      <w:r w:rsidRPr="00BA1E6B">
        <w:rPr>
          <w:rFonts w:eastAsia="Arial Unicode MS"/>
        </w:rPr>
        <w:t>statements of expenses and capital expenditure of the Ministry, that are presented fairly, in accordance with the requirements of the Public Finance Act 1989; and</w:t>
      </w:r>
    </w:p>
    <w:p w14:paraId="53FB2565" w14:textId="77201220" w:rsidR="00BA1E6B" w:rsidRPr="00BA1E6B" w:rsidRDefault="00BA1E6B" w:rsidP="00BA1E6B">
      <w:pPr>
        <w:pStyle w:val="Bullet"/>
        <w:rPr>
          <w:rFonts w:eastAsia="Arial Unicode MS"/>
        </w:rPr>
      </w:pPr>
      <w:r w:rsidRPr="00BA1E6B">
        <w:rPr>
          <w:rFonts w:eastAsia="Arial Unicode MS"/>
        </w:rPr>
        <w:t>schedules of non-departmental activities, in accordance with the Treasury Instructions, that present fairly those activities managed by the Ministry on behalf of the Crown.</w:t>
      </w:r>
    </w:p>
    <w:p w14:paraId="35971649" w14:textId="77777777" w:rsidR="00BA1E6B" w:rsidRDefault="00BA1E6B" w:rsidP="00BA1E6B">
      <w:pPr>
        <w:rPr>
          <w:rFonts w:eastAsia="Arial Unicode MS"/>
        </w:rPr>
      </w:pPr>
    </w:p>
    <w:p w14:paraId="64D68522" w14:textId="6B4F5751" w:rsidR="00BA1E6B" w:rsidRDefault="00BA1E6B" w:rsidP="00BA1E6B">
      <w:pPr>
        <w:rPr>
          <w:rFonts w:eastAsia="Arial Unicode MS"/>
        </w:rPr>
      </w:pPr>
      <w:r w:rsidRPr="00BA1E6B">
        <w:rPr>
          <w:rFonts w:eastAsia="Arial Unicode MS"/>
        </w:rPr>
        <w:t>The Director-General of Health is responsible for such internal control as is determined is necessary to enable the preparation of the information to be audited that is free from material misstatement, whether due to fraud or error.</w:t>
      </w:r>
    </w:p>
    <w:p w14:paraId="5DD5A719" w14:textId="77777777" w:rsidR="00BA1E6B" w:rsidRPr="00BA1E6B" w:rsidRDefault="00BA1E6B" w:rsidP="00BA1E6B">
      <w:pPr>
        <w:rPr>
          <w:rFonts w:eastAsia="Arial Unicode MS"/>
        </w:rPr>
      </w:pPr>
    </w:p>
    <w:p w14:paraId="622A4036" w14:textId="35A6C6F8" w:rsidR="00BA1E6B" w:rsidRDefault="00BA1E6B" w:rsidP="00BA1E6B">
      <w:pPr>
        <w:rPr>
          <w:rFonts w:eastAsia="Arial Unicode MS"/>
        </w:rPr>
      </w:pPr>
      <w:r w:rsidRPr="00BA1E6B">
        <w:rPr>
          <w:rFonts w:eastAsia="Arial Unicode MS"/>
        </w:rPr>
        <w:t>In preparing the information to be audited, the Director-General of Health is responsible on behalf of the Ministry for assessing the Ministry’s ability to continue as a going concern. The Director-General of Health is also responsible for disclosing, as applicable, matters related to going concern and using the going concern basis of accounting, unless there</w:t>
      </w:r>
      <w:r>
        <w:rPr>
          <w:rFonts w:eastAsia="Arial Unicode MS"/>
        </w:rPr>
        <w:t xml:space="preserve"> </w:t>
      </w:r>
      <w:r w:rsidRPr="00BA1E6B">
        <w:rPr>
          <w:rFonts w:eastAsia="Arial Unicode MS"/>
        </w:rPr>
        <w:t>is an intention to merge or to terminate the activities of the Ministry, or there is no realistic alternative but to do so.</w:t>
      </w:r>
    </w:p>
    <w:p w14:paraId="5A2BDD8D" w14:textId="77777777" w:rsidR="00BA1E6B" w:rsidRPr="00BA1E6B" w:rsidRDefault="00BA1E6B" w:rsidP="00BA1E6B">
      <w:pPr>
        <w:rPr>
          <w:rFonts w:eastAsia="Arial Unicode MS"/>
        </w:rPr>
      </w:pPr>
    </w:p>
    <w:p w14:paraId="09EE4F22" w14:textId="77777777" w:rsidR="00BA1E6B" w:rsidRPr="00BA1E6B" w:rsidRDefault="00BA1E6B" w:rsidP="00BA1E6B">
      <w:pPr>
        <w:rPr>
          <w:rFonts w:eastAsia="Arial Unicode MS"/>
        </w:rPr>
      </w:pPr>
      <w:r w:rsidRPr="00BA1E6B">
        <w:rPr>
          <w:rFonts w:eastAsia="Arial Unicode MS"/>
        </w:rPr>
        <w:t>The Director-General of Health’s responsibilities arise from the Public Finance Act 1989.</w:t>
      </w:r>
    </w:p>
    <w:p w14:paraId="165E73F7" w14:textId="77777777" w:rsidR="00BA1E6B" w:rsidRPr="00BA1E6B" w:rsidRDefault="00BA1E6B" w:rsidP="00BA1E6B">
      <w:pPr>
        <w:pStyle w:val="Heading4"/>
      </w:pPr>
      <w:r w:rsidRPr="00BA1E6B">
        <w:t>Responsibilities of the auditor for the information to be audited</w:t>
      </w:r>
    </w:p>
    <w:p w14:paraId="40938F71" w14:textId="5FDF52AC" w:rsidR="00BA1E6B" w:rsidRDefault="00BA1E6B" w:rsidP="00BA1E6B">
      <w:pPr>
        <w:rPr>
          <w:rFonts w:eastAsia="Arial Unicode MS"/>
        </w:rPr>
      </w:pPr>
      <w:r w:rsidRPr="00BA1E6B">
        <w:rPr>
          <w:rFonts w:eastAsia="Arial Unicode MS"/>
        </w:rPr>
        <w:t>Our objectives are to obtain reasonable assurance about whether the information we audited, as a whole, is free from material misstatement, whether due to fraud or error, and to issue an auditor’s report that includes our opinion.</w:t>
      </w:r>
    </w:p>
    <w:p w14:paraId="15737245" w14:textId="77777777" w:rsidR="00BA1E6B" w:rsidRPr="00BA1E6B" w:rsidRDefault="00BA1E6B" w:rsidP="00BA1E6B">
      <w:pPr>
        <w:rPr>
          <w:rFonts w:eastAsia="Arial Unicode MS"/>
        </w:rPr>
      </w:pPr>
    </w:p>
    <w:p w14:paraId="77F2AB2D" w14:textId="08F3761F" w:rsidR="00BA1E6B" w:rsidRDefault="00BA1E6B" w:rsidP="00BA1E6B">
      <w:pPr>
        <w:rPr>
          <w:rFonts w:eastAsia="Arial Unicode MS"/>
        </w:rPr>
      </w:pPr>
      <w:r w:rsidRPr="00BA1E6B">
        <w:rPr>
          <w:rFonts w:eastAsia="Arial Unicode MS"/>
        </w:rPr>
        <w:t>Reasonable assurance is a high level of assurance, but is not a guarantee that an audit carried out in accordance with the Auditor-General’s Auditing Standards will always detect a material misstatement when it exists. Misstatements are differences or omissions of amounts or disclosures, and can arise from fraud or error. Misstatements are considered material if, individually or in the aggregate, they could reasonably be expected to influence the decisions of readers, taken on the basis of the information we audited.</w:t>
      </w:r>
    </w:p>
    <w:p w14:paraId="7F072773" w14:textId="77777777" w:rsidR="00BA1E6B" w:rsidRPr="00BA1E6B" w:rsidRDefault="00BA1E6B" w:rsidP="00BA1E6B">
      <w:pPr>
        <w:rPr>
          <w:rFonts w:eastAsia="Arial Unicode MS"/>
        </w:rPr>
      </w:pPr>
    </w:p>
    <w:p w14:paraId="339DE857" w14:textId="50815CB7" w:rsidR="00BA1E6B" w:rsidRDefault="00BA1E6B" w:rsidP="00BA1E6B">
      <w:pPr>
        <w:rPr>
          <w:rFonts w:eastAsia="Arial Unicode MS"/>
        </w:rPr>
      </w:pPr>
      <w:r w:rsidRPr="00BA1E6B">
        <w:rPr>
          <w:rFonts w:eastAsia="Arial Unicode MS"/>
        </w:rPr>
        <w:t xml:space="preserve">For the budget information reported in the information we audited, our procedures were limited to checking that the information agreed to the Ministry’s Strategic Intentions 2021 to 2025, Estimates and Supplementary Estimates of Appropriations </w:t>
      </w:r>
      <w:r w:rsidRPr="00BA1E6B">
        <w:rPr>
          <w:rFonts w:eastAsia="Arial Unicode MS"/>
        </w:rPr>
        <w:lastRenderedPageBreak/>
        <w:t>2021/22 and 2021/22 forecast financial figures included in the Ministry 2020/21 Annual report.</w:t>
      </w:r>
    </w:p>
    <w:p w14:paraId="0DCEAEBA" w14:textId="77777777" w:rsidR="00BA1E6B" w:rsidRPr="00BA1E6B" w:rsidRDefault="00BA1E6B" w:rsidP="00BA1E6B">
      <w:pPr>
        <w:rPr>
          <w:rFonts w:eastAsia="Arial Unicode MS"/>
        </w:rPr>
      </w:pPr>
    </w:p>
    <w:p w14:paraId="4BE72959" w14:textId="77777777" w:rsidR="00BA1E6B" w:rsidRPr="00BA1E6B" w:rsidRDefault="00BA1E6B" w:rsidP="00BA1E6B">
      <w:pPr>
        <w:rPr>
          <w:rFonts w:eastAsia="Arial Unicode MS"/>
        </w:rPr>
      </w:pPr>
      <w:r w:rsidRPr="00BA1E6B">
        <w:rPr>
          <w:rFonts w:eastAsia="Arial Unicode MS"/>
        </w:rPr>
        <w:t>We did not evaluate the security and controls over the electronic publication of the information we audited.</w:t>
      </w:r>
    </w:p>
    <w:p w14:paraId="7E2A09B4" w14:textId="77777777" w:rsidR="00BA1E6B" w:rsidRPr="00BA1E6B" w:rsidRDefault="00BA1E6B" w:rsidP="00BA1E6B">
      <w:pPr>
        <w:rPr>
          <w:rFonts w:eastAsia="Arial Unicode MS"/>
        </w:rPr>
      </w:pPr>
      <w:r w:rsidRPr="00BA1E6B">
        <w:rPr>
          <w:rFonts w:eastAsia="Arial Unicode MS"/>
        </w:rPr>
        <w:t xml:space="preserve"> </w:t>
      </w:r>
    </w:p>
    <w:p w14:paraId="2DC33E72" w14:textId="77777777" w:rsidR="00BA1E6B" w:rsidRPr="00BA1E6B" w:rsidRDefault="00BA1E6B" w:rsidP="00BA1E6B">
      <w:pPr>
        <w:rPr>
          <w:rFonts w:eastAsia="Arial Unicode MS"/>
        </w:rPr>
      </w:pPr>
      <w:r w:rsidRPr="00BA1E6B">
        <w:rPr>
          <w:rFonts w:eastAsia="Arial Unicode MS"/>
        </w:rPr>
        <w:t>As part of an audit in accordance with the Auditor-General’s Auditing Standards, we exercise professional judgement and maintain professional scepticism throughout the audit. Also:</w:t>
      </w:r>
    </w:p>
    <w:p w14:paraId="3834F64F" w14:textId="74EA7FEE" w:rsidR="00BA1E6B" w:rsidRPr="00BA1E6B" w:rsidRDefault="00BA1E6B" w:rsidP="00BA1E6B">
      <w:pPr>
        <w:pStyle w:val="Bullet"/>
        <w:rPr>
          <w:rFonts w:eastAsia="Arial Unicode MS"/>
        </w:rPr>
      </w:pPr>
      <w:r w:rsidRPr="00BA1E6B">
        <w:rPr>
          <w:rFonts w:eastAsia="Arial Unicode MS"/>
        </w:rPr>
        <w:t>We identify and assess the risks of material misstatement of the information we audited, whether due to fraud or error, design and perform audit procedures responsive to</w:t>
      </w:r>
      <w:r>
        <w:rPr>
          <w:rFonts w:eastAsia="Arial Unicode MS"/>
        </w:rPr>
        <w:t xml:space="preserve"> </w:t>
      </w:r>
      <w:r w:rsidRPr="00BA1E6B">
        <w:rPr>
          <w:rFonts w:eastAsia="Arial Unicode MS"/>
        </w:rPr>
        <w:t>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62D9FE0D" w14:textId="25DAA42F" w:rsidR="00BA1E6B" w:rsidRPr="00BA1E6B" w:rsidRDefault="00BA1E6B" w:rsidP="00BA1E6B">
      <w:pPr>
        <w:pStyle w:val="Bullet"/>
        <w:rPr>
          <w:rFonts w:eastAsia="Arial Unicode MS"/>
        </w:rPr>
      </w:pPr>
      <w:r w:rsidRPr="00BA1E6B">
        <w:rPr>
          <w:rFonts w:eastAsia="Arial Unicode MS"/>
        </w:rPr>
        <w:t>We obtain an understanding of internal control relevant to the audit in order to design audit procedures that are appropriate in the circumstances, but not for the purpose of expressing an opinion on the effectiveness of the Ministry’s internal control.</w:t>
      </w:r>
    </w:p>
    <w:p w14:paraId="5FF43241" w14:textId="735A0893" w:rsidR="00BA1E6B" w:rsidRPr="00BA1E6B" w:rsidRDefault="00BA1E6B" w:rsidP="00BA1E6B">
      <w:pPr>
        <w:pStyle w:val="Bullet"/>
        <w:rPr>
          <w:rFonts w:eastAsia="Arial Unicode MS"/>
        </w:rPr>
      </w:pPr>
      <w:r>
        <w:rPr>
          <w:rFonts w:eastAsia="Arial Unicode MS"/>
        </w:rPr>
        <w:t>W</w:t>
      </w:r>
      <w:r w:rsidRPr="00BA1E6B">
        <w:rPr>
          <w:rFonts w:eastAsia="Arial Unicode MS"/>
        </w:rPr>
        <w:t>e evaluate the appropriateness of accounting policies used and the reasonableness of accounting estimates and related disclosures made by the Director-General of Health.</w:t>
      </w:r>
    </w:p>
    <w:p w14:paraId="3638D948" w14:textId="28554387" w:rsidR="00BA1E6B" w:rsidRPr="00BA1E6B" w:rsidRDefault="00BA1E6B" w:rsidP="00BA1E6B">
      <w:pPr>
        <w:pStyle w:val="Bullet"/>
        <w:rPr>
          <w:rFonts w:eastAsia="Arial Unicode MS"/>
        </w:rPr>
      </w:pPr>
      <w:r w:rsidRPr="00BA1E6B">
        <w:rPr>
          <w:rFonts w:eastAsia="Arial Unicode MS"/>
        </w:rPr>
        <w:t>We evaluate the appropriateness of the reported performance information within the Ministry’s framework for reporting its performance.</w:t>
      </w:r>
    </w:p>
    <w:p w14:paraId="643A9E2E" w14:textId="52F19624" w:rsidR="00BA1E6B" w:rsidRPr="00BA1E6B" w:rsidRDefault="00BA1E6B" w:rsidP="00BA1E6B">
      <w:pPr>
        <w:pStyle w:val="Bullet"/>
        <w:rPr>
          <w:rFonts w:eastAsia="Arial Unicode MS"/>
        </w:rPr>
      </w:pPr>
      <w:r w:rsidRPr="00BA1E6B">
        <w:rPr>
          <w:rFonts w:eastAsia="Arial Unicode MS"/>
        </w:rPr>
        <w:t>We conclude on the appropriateness of the use of the going concern basis of accounting by the Director-General of Health and, based on the audit evidence obtained, whether a material uncertainty exists related to events or conditions that may cast significant doubt on the Ministry’s ability to continue as a going concern. If we conclude that a material uncertainty exists, we are required to draw attention in our auditor’s report to the related disclosures in the information we audited or, if such disclosures are inadequate, to modify our opinion. Our conclusions are based on the audit evidence obtained up to the date of our auditor’s report. However, future events or conditions may cause the Ministry to cease to continue as a going concern.</w:t>
      </w:r>
    </w:p>
    <w:p w14:paraId="37D34359" w14:textId="0ED28E1F" w:rsidR="00BA1E6B" w:rsidRPr="00BA1E6B" w:rsidRDefault="00BA1E6B" w:rsidP="00BA1E6B">
      <w:pPr>
        <w:pStyle w:val="Bullet"/>
        <w:rPr>
          <w:rFonts w:eastAsia="Arial Unicode MS"/>
        </w:rPr>
      </w:pPr>
      <w:r w:rsidRPr="00BA1E6B">
        <w:rPr>
          <w:rFonts w:eastAsia="Arial Unicode MS"/>
        </w:rPr>
        <w:t>We evaluate the overall presentation, structure and content of the information we audited, including the disclosures, and whether the information we audited represents the underlying transactions and events in a manner that achieves fair presentation.</w:t>
      </w:r>
    </w:p>
    <w:p w14:paraId="09B0D13A" w14:textId="77777777" w:rsidR="00BA1E6B" w:rsidRDefault="00BA1E6B" w:rsidP="00BA1E6B">
      <w:pPr>
        <w:rPr>
          <w:rFonts w:eastAsia="Arial Unicode MS"/>
        </w:rPr>
      </w:pPr>
    </w:p>
    <w:p w14:paraId="3ECB71BE" w14:textId="3EA2E17A" w:rsidR="00BA1E6B" w:rsidRPr="00BA1E6B" w:rsidRDefault="00BA1E6B" w:rsidP="00BA1E6B">
      <w:pPr>
        <w:rPr>
          <w:rFonts w:eastAsia="Arial Unicode MS"/>
        </w:rPr>
      </w:pPr>
      <w:r w:rsidRPr="00BA1E6B">
        <w:rPr>
          <w:rFonts w:eastAsia="Arial Unicode MS"/>
        </w:rPr>
        <w:t>We communicate with the Director-General of Health regarding, among other matters, the planned scope and timing of the audit and significant audit findings, including any significant deficiencies in internal control that we identify during our audit.</w:t>
      </w:r>
    </w:p>
    <w:p w14:paraId="1DD759A5" w14:textId="77777777" w:rsidR="00BA1E6B" w:rsidRPr="00BA1E6B" w:rsidRDefault="00BA1E6B" w:rsidP="00BA1E6B">
      <w:pPr>
        <w:rPr>
          <w:rFonts w:eastAsia="Arial Unicode MS"/>
        </w:rPr>
      </w:pPr>
      <w:r w:rsidRPr="00BA1E6B">
        <w:rPr>
          <w:rFonts w:eastAsia="Arial Unicode MS"/>
        </w:rPr>
        <w:t>Our responsibilities arise from the Public Audit Act 2001.</w:t>
      </w:r>
    </w:p>
    <w:p w14:paraId="6996DDB0" w14:textId="77777777" w:rsidR="00BA1E6B" w:rsidRPr="00BA1E6B" w:rsidRDefault="00BA1E6B" w:rsidP="00BA1E6B">
      <w:pPr>
        <w:pStyle w:val="Heading4"/>
      </w:pPr>
      <w:r w:rsidRPr="00BA1E6B">
        <w:lastRenderedPageBreak/>
        <w:t>Other information</w:t>
      </w:r>
    </w:p>
    <w:p w14:paraId="5BC3A578" w14:textId="5F57519F" w:rsidR="00BA1E6B" w:rsidRDefault="00BA1E6B" w:rsidP="00BA1E6B">
      <w:pPr>
        <w:rPr>
          <w:rFonts w:eastAsia="Arial Unicode MS"/>
        </w:rPr>
      </w:pPr>
      <w:r w:rsidRPr="00BA1E6B">
        <w:rPr>
          <w:rFonts w:eastAsia="Arial Unicode MS"/>
        </w:rPr>
        <w:t>The Director-General of Health is responsible for the other information. The other information comprises the information included on pages iii to xii, 2 to 60, 100 and 176 to 258, but does not include the information we audited, and our auditor’s report thereon.</w:t>
      </w:r>
    </w:p>
    <w:p w14:paraId="33E31967" w14:textId="77777777" w:rsidR="00BA1E6B" w:rsidRPr="00BA1E6B" w:rsidRDefault="00BA1E6B" w:rsidP="00BA1E6B">
      <w:pPr>
        <w:rPr>
          <w:rFonts w:eastAsia="Arial Unicode MS"/>
        </w:rPr>
      </w:pPr>
    </w:p>
    <w:p w14:paraId="7BAFC215" w14:textId="3447838A" w:rsidR="00BA1E6B" w:rsidRDefault="00BA1E6B" w:rsidP="00BA1E6B">
      <w:pPr>
        <w:rPr>
          <w:rFonts w:eastAsia="Arial Unicode MS"/>
        </w:rPr>
      </w:pPr>
      <w:r w:rsidRPr="00BA1E6B">
        <w:rPr>
          <w:rFonts w:eastAsia="Arial Unicode MS"/>
        </w:rPr>
        <w:t>Our opinion on the information we audited does not cover the other information and we do not express any form of audit opinion or assurance conclusion thereon.</w:t>
      </w:r>
    </w:p>
    <w:p w14:paraId="368E0D5D" w14:textId="77777777" w:rsidR="00BA1E6B" w:rsidRPr="00BA1E6B" w:rsidRDefault="00BA1E6B" w:rsidP="00BA1E6B">
      <w:pPr>
        <w:rPr>
          <w:rFonts w:eastAsia="Arial Unicode MS"/>
        </w:rPr>
      </w:pPr>
    </w:p>
    <w:p w14:paraId="20B5A980" w14:textId="77777777" w:rsidR="00BA1E6B" w:rsidRPr="00BA1E6B" w:rsidRDefault="00BA1E6B" w:rsidP="00BA1E6B">
      <w:pPr>
        <w:rPr>
          <w:rFonts w:eastAsia="Arial Unicode MS"/>
        </w:rPr>
      </w:pPr>
      <w:r w:rsidRPr="00BA1E6B">
        <w:rPr>
          <w:rFonts w:eastAsia="Arial Unicode MS"/>
        </w:rPr>
        <w:t>Our responsibility is to read the other information. In doing so, we consider whether the other information is materially inconsistent with the information we audited or our</w:t>
      </w:r>
    </w:p>
    <w:p w14:paraId="74344F5D" w14:textId="77777777" w:rsidR="00BA1E6B" w:rsidRPr="00BA1E6B" w:rsidRDefault="00BA1E6B" w:rsidP="00BA1E6B">
      <w:pPr>
        <w:rPr>
          <w:rFonts w:eastAsia="Arial Unicode MS"/>
        </w:rPr>
      </w:pPr>
      <w:r w:rsidRPr="00BA1E6B">
        <w:rPr>
          <w:rFonts w:eastAsia="Arial Unicode MS"/>
        </w:rPr>
        <w:t>knowledge obtained in the audit, or otherwise appears to be materially misstated. If, based on our work, we conclude that there is a material misstatement of this other information, we are required to report that fact. We have nothing to report in this regard.</w:t>
      </w:r>
    </w:p>
    <w:p w14:paraId="409B2D11" w14:textId="40AE9B62" w:rsidR="00BA1E6B" w:rsidRPr="00BA1E6B" w:rsidRDefault="00BA1E6B" w:rsidP="00BA1E6B">
      <w:pPr>
        <w:pStyle w:val="Heading4"/>
      </w:pPr>
      <w:r w:rsidRPr="00BA1E6B">
        <w:t>Independence</w:t>
      </w:r>
    </w:p>
    <w:p w14:paraId="1C1CC4F0" w14:textId="02A38686" w:rsidR="00BA1E6B" w:rsidRDefault="00BA1E6B" w:rsidP="00BA1E6B">
      <w:pPr>
        <w:rPr>
          <w:rFonts w:eastAsia="Arial Unicode MS"/>
        </w:rPr>
      </w:pPr>
      <w:r w:rsidRPr="00BA1E6B">
        <w:rPr>
          <w:rFonts w:eastAsia="Arial Unicode MS"/>
        </w:rPr>
        <w:t>We are independent of the Ministry in accordance with the independence requirements of the Auditor-General’s Auditing Standards, which incorporate the independence requirements of Professional and Ethical Standard 1: International Code of Ethics for Assurance Practitioners issued by the New Zealand Auditing and Assurance Standards Board.</w:t>
      </w:r>
    </w:p>
    <w:p w14:paraId="566C7F12" w14:textId="77777777" w:rsidR="00BA1E6B" w:rsidRPr="00BA1E6B" w:rsidRDefault="00BA1E6B" w:rsidP="00BA1E6B">
      <w:pPr>
        <w:rPr>
          <w:rFonts w:eastAsia="Arial Unicode MS"/>
        </w:rPr>
      </w:pPr>
    </w:p>
    <w:p w14:paraId="04A6478A" w14:textId="77777777" w:rsidR="00BA1E6B" w:rsidRDefault="00BA1E6B" w:rsidP="00BA1E6B">
      <w:pPr>
        <w:rPr>
          <w:rFonts w:eastAsia="Arial Unicode MS"/>
        </w:rPr>
      </w:pPr>
      <w:r w:rsidRPr="00BA1E6B">
        <w:rPr>
          <w:rFonts w:eastAsia="Arial Unicode MS"/>
        </w:rPr>
        <w:t>In addition to the audit we have carried out three assurance engagements over procurements and an agreed-upon procedures engagement of the Mental Health and Addictions Ringfence. These engagements are compatible with those independence requirements. Other than the audit and these engagements, we have no relationship with or interests in the Ministry.</w:t>
      </w:r>
    </w:p>
    <w:p w14:paraId="6D1075E4" w14:textId="3AC6CCF5" w:rsidR="00BA1E6B" w:rsidRPr="00BA1E6B" w:rsidRDefault="00BA1E6B" w:rsidP="00BA1E6B">
      <w:pPr>
        <w:rPr>
          <w:rFonts w:eastAsia="Arial Unicode MS"/>
        </w:rPr>
      </w:pPr>
      <w:r>
        <w:rPr>
          <w:noProof/>
        </w:rPr>
        <w:drawing>
          <wp:anchor distT="0" distB="0" distL="0" distR="0" simplePos="0" relativeHeight="251665408" behindDoc="0" locked="0" layoutInCell="1" allowOverlap="1" wp14:anchorId="2C63519E" wp14:editId="16E6AFD3">
            <wp:simplePos x="0" y="0"/>
            <wp:positionH relativeFrom="page">
              <wp:posOffset>1350645</wp:posOffset>
            </wp:positionH>
            <wp:positionV relativeFrom="paragraph">
              <wp:posOffset>170180</wp:posOffset>
            </wp:positionV>
            <wp:extent cx="2229320" cy="606266"/>
            <wp:effectExtent l="0" t="0" r="0" b="0"/>
            <wp:wrapTopAndBottom/>
            <wp:docPr id="15" name="image53.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3.jpeg">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2229320" cy="606266"/>
                    </a:xfrm>
                    <a:prstGeom prst="rect">
                      <a:avLst/>
                    </a:prstGeom>
                  </pic:spPr>
                </pic:pic>
              </a:graphicData>
            </a:graphic>
          </wp:anchor>
        </w:drawing>
      </w:r>
      <w:r w:rsidRPr="00BA1E6B">
        <w:rPr>
          <w:rFonts w:eastAsia="Arial Unicode MS"/>
        </w:rPr>
        <w:t>S B Lucy</w:t>
      </w:r>
    </w:p>
    <w:p w14:paraId="2B87AF07" w14:textId="77777777" w:rsidR="00BA1E6B" w:rsidRPr="00BA1E6B" w:rsidRDefault="00BA1E6B" w:rsidP="00BA1E6B">
      <w:pPr>
        <w:rPr>
          <w:rFonts w:eastAsia="Arial Unicode MS"/>
        </w:rPr>
      </w:pPr>
      <w:r w:rsidRPr="00BA1E6B">
        <w:rPr>
          <w:rFonts w:eastAsia="Arial Unicode MS"/>
        </w:rPr>
        <w:t>Audit New Zealand</w:t>
      </w:r>
    </w:p>
    <w:p w14:paraId="4BAF8724" w14:textId="77777777" w:rsidR="00BA1E6B" w:rsidRDefault="00BA1E6B" w:rsidP="00BA1E6B">
      <w:pPr>
        <w:rPr>
          <w:rFonts w:eastAsia="Arial Unicode MS"/>
        </w:rPr>
      </w:pPr>
      <w:r w:rsidRPr="00BA1E6B">
        <w:rPr>
          <w:rFonts w:eastAsia="Arial Unicode MS"/>
        </w:rPr>
        <w:t xml:space="preserve">On behalf of the Auditor-General </w:t>
      </w:r>
    </w:p>
    <w:p w14:paraId="2146F192" w14:textId="77777777" w:rsidR="00901AC1" w:rsidRDefault="00BA1E6B" w:rsidP="00BA1E6B">
      <w:pPr>
        <w:rPr>
          <w:rFonts w:eastAsia="Arial Unicode MS"/>
        </w:rPr>
        <w:sectPr w:rsidR="00901AC1" w:rsidSect="00C26282">
          <w:pgSz w:w="11907" w:h="16840" w:code="9"/>
          <w:pgMar w:top="1418" w:right="1701" w:bottom="1134" w:left="1843" w:header="284" w:footer="425" w:gutter="284"/>
          <w:cols w:space="720"/>
        </w:sectPr>
      </w:pPr>
      <w:r w:rsidRPr="00BA1E6B">
        <w:rPr>
          <w:rFonts w:eastAsia="Arial Unicode MS"/>
        </w:rPr>
        <w:t>Wellington, New Zealand</w:t>
      </w:r>
    </w:p>
    <w:p w14:paraId="30B2955E" w14:textId="63FF3E32" w:rsidR="00901AC1" w:rsidRDefault="00901AC1" w:rsidP="00901AC1">
      <w:pPr>
        <w:pStyle w:val="Heading3"/>
        <w:spacing w:before="0"/>
      </w:pPr>
      <w:bookmarkStart w:id="57" w:name="_Toc117264964"/>
      <w:r w:rsidRPr="00901AC1">
        <w:lastRenderedPageBreak/>
        <w:t>Statement of comprehensive revenue and expense for the year ended 30 June 2022</w:t>
      </w:r>
      <w:bookmarkEnd w:id="57"/>
    </w:p>
    <w:tbl>
      <w:tblPr>
        <w:tblW w:w="8570" w:type="dxa"/>
        <w:tblInd w:w="7" w:type="dxa"/>
        <w:tblLayout w:type="fixed"/>
        <w:tblCellMar>
          <w:left w:w="0" w:type="dxa"/>
          <w:right w:w="0" w:type="dxa"/>
        </w:tblCellMar>
        <w:tblLook w:val="01E0" w:firstRow="1" w:lastRow="1" w:firstColumn="1" w:lastColumn="1" w:noHBand="0" w:noVBand="0"/>
      </w:tblPr>
      <w:tblGrid>
        <w:gridCol w:w="1269"/>
        <w:gridCol w:w="2977"/>
        <w:gridCol w:w="822"/>
        <w:gridCol w:w="1059"/>
        <w:gridCol w:w="1252"/>
        <w:gridCol w:w="1191"/>
      </w:tblGrid>
      <w:tr w:rsidR="00901AC1" w:rsidRPr="00901AC1" w14:paraId="30AFE8E5" w14:textId="77777777" w:rsidTr="001330C6">
        <w:trPr>
          <w:trHeight w:val="1135"/>
        </w:trPr>
        <w:tc>
          <w:tcPr>
            <w:tcW w:w="1269" w:type="dxa"/>
            <w:shd w:val="clear" w:color="auto" w:fill="D9D9D9" w:themeFill="background1" w:themeFillShade="D9"/>
          </w:tcPr>
          <w:p w14:paraId="08EC709B" w14:textId="77777777" w:rsidR="00901AC1" w:rsidRPr="00901AC1" w:rsidRDefault="00901AC1" w:rsidP="001330C6">
            <w:pPr>
              <w:pStyle w:val="TableText"/>
              <w:jc w:val="right"/>
              <w:rPr>
                <w:b/>
                <w:bCs/>
              </w:rPr>
            </w:pPr>
            <w:r w:rsidRPr="00901AC1">
              <w:rPr>
                <w:b/>
                <w:bCs/>
                <w:w w:val="105"/>
              </w:rPr>
              <w:t>Restated</w:t>
            </w:r>
            <w:r>
              <w:rPr>
                <w:b/>
                <w:bCs/>
                <w:w w:val="105"/>
              </w:rPr>
              <w:br/>
            </w:r>
            <w:r w:rsidRPr="00901AC1">
              <w:rPr>
                <w:b/>
                <w:bCs/>
                <w:spacing w:val="-50"/>
                <w:w w:val="105"/>
              </w:rPr>
              <w:t xml:space="preserve"> </w:t>
            </w:r>
            <w:r w:rsidRPr="00901AC1">
              <w:rPr>
                <w:b/>
                <w:bCs/>
                <w:w w:val="110"/>
              </w:rPr>
              <w:t>actual</w:t>
            </w:r>
          </w:p>
          <w:p w14:paraId="71A897DD" w14:textId="77777777" w:rsidR="00901AC1" w:rsidRPr="00901AC1" w:rsidRDefault="00901AC1" w:rsidP="001330C6">
            <w:pPr>
              <w:pStyle w:val="TableText"/>
              <w:jc w:val="right"/>
              <w:rPr>
                <w:b/>
                <w:bCs/>
              </w:rPr>
            </w:pPr>
            <w:r w:rsidRPr="00901AC1">
              <w:rPr>
                <w:b/>
                <w:bCs/>
              </w:rPr>
              <w:t>2021</w:t>
            </w:r>
          </w:p>
          <w:p w14:paraId="51E3AF1D" w14:textId="6BD6E3E8" w:rsidR="00901AC1" w:rsidRPr="00901AC1" w:rsidRDefault="00901AC1" w:rsidP="001330C6">
            <w:pPr>
              <w:pStyle w:val="TableText"/>
              <w:jc w:val="right"/>
              <w:rPr>
                <w:b/>
                <w:bCs/>
                <w:w w:val="105"/>
              </w:rPr>
            </w:pPr>
            <w:r w:rsidRPr="00901AC1">
              <w:rPr>
                <w:b/>
                <w:bCs/>
                <w:w w:val="120"/>
              </w:rPr>
              <w:t>$000</w:t>
            </w:r>
          </w:p>
        </w:tc>
        <w:tc>
          <w:tcPr>
            <w:tcW w:w="2977" w:type="dxa"/>
            <w:shd w:val="clear" w:color="auto" w:fill="D9D9D9" w:themeFill="background1" w:themeFillShade="D9"/>
          </w:tcPr>
          <w:p w14:paraId="4302E464" w14:textId="056EDBA1" w:rsidR="00901AC1" w:rsidRPr="00901AC1" w:rsidRDefault="00901AC1" w:rsidP="00901AC1">
            <w:pPr>
              <w:pStyle w:val="TableText"/>
              <w:rPr>
                <w:b/>
                <w:bCs/>
              </w:rPr>
            </w:pPr>
          </w:p>
        </w:tc>
        <w:tc>
          <w:tcPr>
            <w:tcW w:w="822" w:type="dxa"/>
            <w:shd w:val="clear" w:color="auto" w:fill="D9D9D9" w:themeFill="background1" w:themeFillShade="D9"/>
          </w:tcPr>
          <w:p w14:paraId="6100A9F1" w14:textId="77777777" w:rsidR="00901AC1" w:rsidRPr="00901AC1" w:rsidRDefault="00901AC1" w:rsidP="00320670">
            <w:pPr>
              <w:pStyle w:val="TableText"/>
              <w:jc w:val="right"/>
              <w:rPr>
                <w:b/>
                <w:bCs/>
              </w:rPr>
            </w:pPr>
            <w:r w:rsidRPr="00901AC1">
              <w:rPr>
                <w:b/>
                <w:bCs/>
                <w:w w:val="110"/>
              </w:rPr>
              <w:t>Note</w:t>
            </w:r>
          </w:p>
        </w:tc>
        <w:tc>
          <w:tcPr>
            <w:tcW w:w="1059" w:type="dxa"/>
            <w:shd w:val="clear" w:color="auto" w:fill="D9D9D9" w:themeFill="background1" w:themeFillShade="D9"/>
          </w:tcPr>
          <w:p w14:paraId="7F3DA9F6" w14:textId="6DBC0DA8" w:rsidR="00901AC1" w:rsidRPr="00901AC1" w:rsidRDefault="00901AC1" w:rsidP="00320670">
            <w:pPr>
              <w:pStyle w:val="TableText"/>
              <w:jc w:val="right"/>
              <w:rPr>
                <w:b/>
                <w:bCs/>
              </w:rPr>
            </w:pPr>
            <w:r w:rsidRPr="00901AC1">
              <w:rPr>
                <w:b/>
                <w:bCs/>
                <w:w w:val="110"/>
              </w:rPr>
              <w:t>Actual</w:t>
            </w:r>
            <w:r>
              <w:rPr>
                <w:b/>
                <w:bCs/>
                <w:w w:val="110"/>
              </w:rPr>
              <w:br/>
            </w:r>
          </w:p>
          <w:p w14:paraId="7BAE35FA" w14:textId="77777777" w:rsidR="00901AC1" w:rsidRPr="00901AC1" w:rsidRDefault="00901AC1" w:rsidP="00320670">
            <w:pPr>
              <w:pStyle w:val="TableText"/>
              <w:jc w:val="right"/>
              <w:rPr>
                <w:b/>
                <w:bCs/>
              </w:rPr>
            </w:pPr>
            <w:r w:rsidRPr="00901AC1">
              <w:rPr>
                <w:b/>
                <w:bCs/>
                <w:w w:val="105"/>
              </w:rPr>
              <w:t>2022</w:t>
            </w:r>
          </w:p>
          <w:p w14:paraId="6559C283" w14:textId="77777777" w:rsidR="00901AC1" w:rsidRPr="00901AC1" w:rsidRDefault="00901AC1" w:rsidP="00320670">
            <w:pPr>
              <w:pStyle w:val="TableText"/>
              <w:jc w:val="right"/>
              <w:rPr>
                <w:b/>
                <w:bCs/>
              </w:rPr>
            </w:pPr>
            <w:r w:rsidRPr="00901AC1">
              <w:rPr>
                <w:b/>
                <w:bCs/>
                <w:w w:val="120"/>
              </w:rPr>
              <w:t>$000</w:t>
            </w:r>
          </w:p>
        </w:tc>
        <w:tc>
          <w:tcPr>
            <w:tcW w:w="1252" w:type="dxa"/>
            <w:shd w:val="clear" w:color="auto" w:fill="D9D9D9" w:themeFill="background1" w:themeFillShade="D9"/>
          </w:tcPr>
          <w:p w14:paraId="5F214026" w14:textId="581E0516" w:rsidR="00901AC1" w:rsidRPr="00901AC1" w:rsidRDefault="00901AC1" w:rsidP="00320670">
            <w:pPr>
              <w:pStyle w:val="TableText"/>
              <w:jc w:val="right"/>
              <w:rPr>
                <w:b/>
                <w:bCs/>
              </w:rPr>
            </w:pPr>
            <w:r w:rsidRPr="00901AC1">
              <w:rPr>
                <w:b/>
                <w:bCs/>
                <w:w w:val="110"/>
              </w:rPr>
              <w:t>Unaudited</w:t>
            </w:r>
            <w:r>
              <w:rPr>
                <w:b/>
                <w:bCs/>
                <w:w w:val="110"/>
              </w:rPr>
              <w:t xml:space="preserve"> </w:t>
            </w:r>
            <w:r w:rsidRPr="00901AC1">
              <w:rPr>
                <w:b/>
                <w:bCs/>
                <w:w w:val="110"/>
              </w:rPr>
              <w:t>budget</w:t>
            </w:r>
          </w:p>
          <w:p w14:paraId="19A6C9FF" w14:textId="14286A0E" w:rsidR="00901AC1" w:rsidRDefault="00901AC1" w:rsidP="00320670">
            <w:pPr>
              <w:pStyle w:val="TableText"/>
              <w:jc w:val="right"/>
              <w:rPr>
                <w:b/>
                <w:bCs/>
                <w:w w:val="105"/>
              </w:rPr>
            </w:pPr>
            <w:r w:rsidRPr="00901AC1">
              <w:rPr>
                <w:b/>
                <w:bCs/>
                <w:w w:val="105"/>
              </w:rPr>
              <w:t>2022</w:t>
            </w:r>
          </w:p>
          <w:p w14:paraId="2EA00D76" w14:textId="77777777" w:rsidR="00901AC1" w:rsidRPr="00901AC1" w:rsidRDefault="00901AC1" w:rsidP="00320670">
            <w:pPr>
              <w:pStyle w:val="TableText"/>
              <w:jc w:val="right"/>
              <w:rPr>
                <w:b/>
                <w:bCs/>
              </w:rPr>
            </w:pPr>
            <w:r w:rsidRPr="00901AC1">
              <w:rPr>
                <w:b/>
                <w:bCs/>
                <w:w w:val="120"/>
              </w:rPr>
              <w:t>$000</w:t>
            </w:r>
          </w:p>
        </w:tc>
        <w:tc>
          <w:tcPr>
            <w:tcW w:w="1191" w:type="dxa"/>
            <w:shd w:val="clear" w:color="auto" w:fill="D9D9D9" w:themeFill="background1" w:themeFillShade="D9"/>
          </w:tcPr>
          <w:p w14:paraId="4D3128D4" w14:textId="77777777" w:rsidR="00901AC1" w:rsidRPr="00901AC1" w:rsidRDefault="00901AC1" w:rsidP="00320670">
            <w:pPr>
              <w:pStyle w:val="TableText"/>
              <w:jc w:val="right"/>
              <w:rPr>
                <w:b/>
                <w:bCs/>
              </w:rPr>
            </w:pPr>
            <w:r w:rsidRPr="00901AC1">
              <w:rPr>
                <w:b/>
                <w:bCs/>
                <w:w w:val="110"/>
              </w:rPr>
              <w:t>Unaudited</w:t>
            </w:r>
            <w:r w:rsidRPr="00901AC1">
              <w:rPr>
                <w:b/>
                <w:bCs/>
                <w:spacing w:val="-53"/>
                <w:w w:val="110"/>
              </w:rPr>
              <w:t xml:space="preserve"> </w:t>
            </w:r>
            <w:r w:rsidRPr="00901AC1">
              <w:rPr>
                <w:b/>
                <w:bCs/>
                <w:w w:val="110"/>
              </w:rPr>
              <w:t>forecast</w:t>
            </w:r>
          </w:p>
          <w:p w14:paraId="71F8395C" w14:textId="637DEF7E" w:rsidR="00901AC1" w:rsidRDefault="00901AC1" w:rsidP="00320670">
            <w:pPr>
              <w:pStyle w:val="TableText"/>
              <w:jc w:val="right"/>
              <w:rPr>
                <w:b/>
                <w:bCs/>
                <w:w w:val="110"/>
              </w:rPr>
            </w:pPr>
            <w:r w:rsidRPr="00901AC1">
              <w:rPr>
                <w:b/>
                <w:bCs/>
                <w:w w:val="110"/>
              </w:rPr>
              <w:t>2023</w:t>
            </w:r>
          </w:p>
          <w:p w14:paraId="5ABD7149" w14:textId="77777777" w:rsidR="00901AC1" w:rsidRPr="00901AC1" w:rsidRDefault="00901AC1" w:rsidP="00320670">
            <w:pPr>
              <w:pStyle w:val="TableText"/>
              <w:jc w:val="right"/>
              <w:rPr>
                <w:b/>
                <w:bCs/>
              </w:rPr>
            </w:pPr>
            <w:r w:rsidRPr="00901AC1">
              <w:rPr>
                <w:b/>
                <w:bCs/>
                <w:w w:val="120"/>
              </w:rPr>
              <w:t>$000</w:t>
            </w:r>
          </w:p>
        </w:tc>
      </w:tr>
      <w:tr w:rsidR="00901AC1" w14:paraId="5F4AEC52" w14:textId="77777777" w:rsidTr="001330C6">
        <w:trPr>
          <w:trHeight w:val="340"/>
        </w:trPr>
        <w:tc>
          <w:tcPr>
            <w:tcW w:w="1269" w:type="dxa"/>
          </w:tcPr>
          <w:p w14:paraId="74A38FB0" w14:textId="5F353E38" w:rsidR="00901AC1" w:rsidRPr="00901AC1" w:rsidRDefault="00901AC1" w:rsidP="00901AC1">
            <w:pPr>
              <w:pStyle w:val="TableText"/>
              <w:rPr>
                <w:b/>
                <w:bCs/>
                <w:w w:val="105"/>
              </w:rPr>
            </w:pPr>
          </w:p>
        </w:tc>
        <w:tc>
          <w:tcPr>
            <w:tcW w:w="2977" w:type="dxa"/>
          </w:tcPr>
          <w:p w14:paraId="27E45A86" w14:textId="18A0D844" w:rsidR="00901AC1" w:rsidRDefault="00901AC1" w:rsidP="00901AC1">
            <w:pPr>
              <w:pStyle w:val="TableText"/>
            </w:pPr>
            <w:r>
              <w:rPr>
                <w:b/>
                <w:bCs/>
                <w:w w:val="105"/>
              </w:rPr>
              <w:t>R</w:t>
            </w:r>
            <w:r w:rsidRPr="00901AC1">
              <w:rPr>
                <w:b/>
                <w:bCs/>
                <w:w w:val="105"/>
              </w:rPr>
              <w:t>evenue</w:t>
            </w:r>
          </w:p>
        </w:tc>
        <w:tc>
          <w:tcPr>
            <w:tcW w:w="822" w:type="dxa"/>
          </w:tcPr>
          <w:p w14:paraId="680E0126" w14:textId="11013097" w:rsidR="00901AC1" w:rsidRDefault="00901AC1" w:rsidP="00901AC1">
            <w:pPr>
              <w:pStyle w:val="TableText"/>
              <w:jc w:val="right"/>
            </w:pPr>
          </w:p>
        </w:tc>
        <w:tc>
          <w:tcPr>
            <w:tcW w:w="1059" w:type="dxa"/>
          </w:tcPr>
          <w:p w14:paraId="7FC0543D" w14:textId="2D5AE765" w:rsidR="00901AC1" w:rsidRDefault="00901AC1" w:rsidP="00901AC1">
            <w:pPr>
              <w:pStyle w:val="TableText"/>
              <w:jc w:val="right"/>
            </w:pPr>
          </w:p>
        </w:tc>
        <w:tc>
          <w:tcPr>
            <w:tcW w:w="1252" w:type="dxa"/>
          </w:tcPr>
          <w:p w14:paraId="35893241" w14:textId="0D19AEFD" w:rsidR="00901AC1" w:rsidRDefault="00901AC1" w:rsidP="00901AC1">
            <w:pPr>
              <w:pStyle w:val="TableText"/>
              <w:jc w:val="right"/>
            </w:pPr>
          </w:p>
        </w:tc>
        <w:tc>
          <w:tcPr>
            <w:tcW w:w="1191" w:type="dxa"/>
          </w:tcPr>
          <w:p w14:paraId="6C6AFBCE" w14:textId="3467CC69" w:rsidR="00901AC1" w:rsidRDefault="00901AC1" w:rsidP="00901AC1">
            <w:pPr>
              <w:pStyle w:val="TableText"/>
              <w:jc w:val="right"/>
            </w:pPr>
          </w:p>
        </w:tc>
      </w:tr>
      <w:tr w:rsidR="00901AC1" w:rsidRPr="00901AC1" w14:paraId="678ABEA1" w14:textId="77777777" w:rsidTr="001330C6">
        <w:trPr>
          <w:trHeight w:val="340"/>
        </w:trPr>
        <w:tc>
          <w:tcPr>
            <w:tcW w:w="1269" w:type="dxa"/>
          </w:tcPr>
          <w:p w14:paraId="19D97A9C" w14:textId="2A1C4088" w:rsidR="00901AC1" w:rsidRPr="00901AC1" w:rsidRDefault="00901AC1" w:rsidP="00901AC1">
            <w:pPr>
              <w:pStyle w:val="TableText"/>
              <w:jc w:val="right"/>
            </w:pPr>
            <w:r w:rsidRPr="00901AC1">
              <w:rPr>
                <w:w w:val="105"/>
              </w:rPr>
              <w:t>404,790</w:t>
            </w:r>
          </w:p>
        </w:tc>
        <w:tc>
          <w:tcPr>
            <w:tcW w:w="2977" w:type="dxa"/>
          </w:tcPr>
          <w:p w14:paraId="4741829F" w14:textId="6A711AC6" w:rsidR="00901AC1" w:rsidRPr="00901AC1" w:rsidRDefault="00901AC1" w:rsidP="00901AC1">
            <w:pPr>
              <w:pStyle w:val="TableText"/>
            </w:pPr>
            <w:r>
              <w:t>Revenue</w:t>
            </w:r>
            <w:r>
              <w:rPr>
                <w:spacing w:val="7"/>
              </w:rPr>
              <w:t xml:space="preserve"> </w:t>
            </w:r>
            <w:r>
              <w:t>Crown</w:t>
            </w:r>
          </w:p>
        </w:tc>
        <w:tc>
          <w:tcPr>
            <w:tcW w:w="822" w:type="dxa"/>
          </w:tcPr>
          <w:p w14:paraId="373CE055" w14:textId="75B1C4C7" w:rsidR="00901AC1" w:rsidRPr="00901AC1" w:rsidRDefault="00901AC1" w:rsidP="00901AC1">
            <w:pPr>
              <w:pStyle w:val="TableText"/>
              <w:jc w:val="right"/>
            </w:pPr>
            <w:r>
              <w:rPr>
                <w:w w:val="103"/>
              </w:rPr>
              <w:t>2</w:t>
            </w:r>
          </w:p>
        </w:tc>
        <w:tc>
          <w:tcPr>
            <w:tcW w:w="1059" w:type="dxa"/>
          </w:tcPr>
          <w:p w14:paraId="3576FD2A" w14:textId="7A8B45E5" w:rsidR="00901AC1" w:rsidRPr="00901AC1" w:rsidRDefault="00901AC1" w:rsidP="00901AC1">
            <w:pPr>
              <w:pStyle w:val="TableText"/>
              <w:jc w:val="right"/>
            </w:pPr>
            <w:r>
              <w:t>845,212</w:t>
            </w:r>
          </w:p>
        </w:tc>
        <w:tc>
          <w:tcPr>
            <w:tcW w:w="1252" w:type="dxa"/>
          </w:tcPr>
          <w:p w14:paraId="30DAF765" w14:textId="03DF026A" w:rsidR="00901AC1" w:rsidRPr="00901AC1" w:rsidRDefault="00901AC1" w:rsidP="00901AC1">
            <w:pPr>
              <w:pStyle w:val="TableText"/>
              <w:jc w:val="right"/>
            </w:pPr>
            <w:r>
              <w:rPr>
                <w:w w:val="105"/>
              </w:rPr>
              <w:t>428,452</w:t>
            </w:r>
          </w:p>
        </w:tc>
        <w:tc>
          <w:tcPr>
            <w:tcW w:w="1191" w:type="dxa"/>
          </w:tcPr>
          <w:p w14:paraId="5B51ADF0" w14:textId="5D318024" w:rsidR="00901AC1" w:rsidRPr="00901AC1" w:rsidRDefault="00901AC1" w:rsidP="00901AC1">
            <w:pPr>
              <w:pStyle w:val="TableText"/>
              <w:jc w:val="right"/>
            </w:pPr>
            <w:r>
              <w:t>315,058</w:t>
            </w:r>
          </w:p>
        </w:tc>
      </w:tr>
      <w:tr w:rsidR="00901AC1" w14:paraId="26AE1BA1" w14:textId="77777777" w:rsidTr="001330C6">
        <w:trPr>
          <w:trHeight w:val="340"/>
        </w:trPr>
        <w:tc>
          <w:tcPr>
            <w:tcW w:w="1269" w:type="dxa"/>
          </w:tcPr>
          <w:p w14:paraId="55AA08E4" w14:textId="2CC0B79D" w:rsidR="00901AC1" w:rsidRDefault="00901AC1" w:rsidP="00901AC1">
            <w:pPr>
              <w:pStyle w:val="TableText"/>
              <w:jc w:val="right"/>
            </w:pPr>
            <w:r>
              <w:t>13,801</w:t>
            </w:r>
          </w:p>
        </w:tc>
        <w:tc>
          <w:tcPr>
            <w:tcW w:w="2977" w:type="dxa"/>
          </w:tcPr>
          <w:p w14:paraId="5858E193" w14:textId="0D345C2C" w:rsidR="00901AC1" w:rsidRDefault="00901AC1" w:rsidP="00901AC1">
            <w:pPr>
              <w:pStyle w:val="TableText"/>
            </w:pPr>
            <w:r>
              <w:t>Other</w:t>
            </w:r>
            <w:r>
              <w:rPr>
                <w:spacing w:val="-12"/>
              </w:rPr>
              <w:t xml:space="preserve"> </w:t>
            </w:r>
            <w:r>
              <w:t>revenue</w:t>
            </w:r>
          </w:p>
        </w:tc>
        <w:tc>
          <w:tcPr>
            <w:tcW w:w="822" w:type="dxa"/>
          </w:tcPr>
          <w:p w14:paraId="64D2B1CC" w14:textId="77777777" w:rsidR="00901AC1" w:rsidRDefault="00901AC1" w:rsidP="00901AC1">
            <w:pPr>
              <w:pStyle w:val="TableText"/>
              <w:jc w:val="right"/>
            </w:pPr>
            <w:r>
              <w:rPr>
                <w:w w:val="103"/>
              </w:rPr>
              <w:t>2</w:t>
            </w:r>
          </w:p>
        </w:tc>
        <w:tc>
          <w:tcPr>
            <w:tcW w:w="1059" w:type="dxa"/>
          </w:tcPr>
          <w:p w14:paraId="01FBC072" w14:textId="77777777" w:rsidR="00901AC1" w:rsidRDefault="00901AC1" w:rsidP="00901AC1">
            <w:pPr>
              <w:pStyle w:val="TableText"/>
              <w:jc w:val="right"/>
            </w:pPr>
            <w:r>
              <w:t>17,279</w:t>
            </w:r>
          </w:p>
        </w:tc>
        <w:tc>
          <w:tcPr>
            <w:tcW w:w="1252" w:type="dxa"/>
          </w:tcPr>
          <w:p w14:paraId="32128705" w14:textId="77777777" w:rsidR="00901AC1" w:rsidRDefault="00901AC1" w:rsidP="00901AC1">
            <w:pPr>
              <w:pStyle w:val="TableText"/>
              <w:jc w:val="right"/>
            </w:pPr>
            <w:r>
              <w:t>17,582</w:t>
            </w:r>
          </w:p>
        </w:tc>
        <w:tc>
          <w:tcPr>
            <w:tcW w:w="1191" w:type="dxa"/>
          </w:tcPr>
          <w:p w14:paraId="0BD287BD" w14:textId="77777777" w:rsidR="00901AC1" w:rsidRDefault="00901AC1" w:rsidP="00901AC1">
            <w:pPr>
              <w:pStyle w:val="TableText"/>
              <w:jc w:val="right"/>
            </w:pPr>
            <w:r>
              <w:t>18,873</w:t>
            </w:r>
          </w:p>
        </w:tc>
      </w:tr>
      <w:tr w:rsidR="00901AC1" w:rsidRPr="00901AC1" w14:paraId="3016A54C" w14:textId="77777777" w:rsidTr="001330C6">
        <w:trPr>
          <w:trHeight w:val="340"/>
        </w:trPr>
        <w:tc>
          <w:tcPr>
            <w:tcW w:w="1269" w:type="dxa"/>
            <w:tcBorders>
              <w:bottom w:val="single" w:sz="4" w:space="0" w:color="A6A6A6" w:themeColor="background1" w:themeShade="A6"/>
            </w:tcBorders>
          </w:tcPr>
          <w:p w14:paraId="3B012DDA" w14:textId="18E4697D" w:rsidR="00901AC1" w:rsidRPr="00901AC1" w:rsidRDefault="00901AC1" w:rsidP="00901AC1">
            <w:pPr>
              <w:pStyle w:val="TableText"/>
              <w:jc w:val="right"/>
              <w:rPr>
                <w:b/>
                <w:bCs/>
              </w:rPr>
            </w:pPr>
            <w:r w:rsidRPr="00901AC1">
              <w:rPr>
                <w:b/>
                <w:bCs/>
              </w:rPr>
              <w:t>418,591</w:t>
            </w:r>
          </w:p>
        </w:tc>
        <w:tc>
          <w:tcPr>
            <w:tcW w:w="2977" w:type="dxa"/>
            <w:tcBorders>
              <w:bottom w:val="single" w:sz="4" w:space="0" w:color="A6A6A6" w:themeColor="background1" w:themeShade="A6"/>
            </w:tcBorders>
          </w:tcPr>
          <w:p w14:paraId="0066AB49" w14:textId="0A1FA164" w:rsidR="00901AC1" w:rsidRPr="00901AC1" w:rsidRDefault="00901AC1" w:rsidP="00901AC1">
            <w:pPr>
              <w:pStyle w:val="TableText"/>
              <w:rPr>
                <w:b/>
                <w:bCs/>
              </w:rPr>
            </w:pPr>
            <w:r w:rsidRPr="00901AC1">
              <w:rPr>
                <w:b/>
                <w:bCs/>
              </w:rPr>
              <w:t>Total</w:t>
            </w:r>
            <w:r w:rsidRPr="00901AC1">
              <w:rPr>
                <w:b/>
                <w:bCs/>
                <w:spacing w:val="3"/>
              </w:rPr>
              <w:t xml:space="preserve"> </w:t>
            </w:r>
            <w:r w:rsidRPr="00901AC1">
              <w:rPr>
                <w:b/>
                <w:bCs/>
              </w:rPr>
              <w:t>revenue</w:t>
            </w:r>
          </w:p>
        </w:tc>
        <w:tc>
          <w:tcPr>
            <w:tcW w:w="822" w:type="dxa"/>
            <w:tcBorders>
              <w:bottom w:val="single" w:sz="4" w:space="0" w:color="A6A6A6" w:themeColor="background1" w:themeShade="A6"/>
            </w:tcBorders>
          </w:tcPr>
          <w:p w14:paraId="7DC5C10B" w14:textId="77777777" w:rsidR="00901AC1" w:rsidRPr="00901AC1" w:rsidRDefault="00901AC1" w:rsidP="00901AC1">
            <w:pPr>
              <w:pStyle w:val="TableText"/>
              <w:jc w:val="right"/>
              <w:rPr>
                <w:rFonts w:ascii="Times New Roman"/>
                <w:b/>
                <w:bCs/>
              </w:rPr>
            </w:pPr>
          </w:p>
        </w:tc>
        <w:tc>
          <w:tcPr>
            <w:tcW w:w="1059" w:type="dxa"/>
            <w:tcBorders>
              <w:bottom w:val="single" w:sz="4" w:space="0" w:color="A6A6A6" w:themeColor="background1" w:themeShade="A6"/>
            </w:tcBorders>
          </w:tcPr>
          <w:p w14:paraId="268BC5AD" w14:textId="77777777" w:rsidR="00901AC1" w:rsidRPr="00901AC1" w:rsidRDefault="00901AC1" w:rsidP="00901AC1">
            <w:pPr>
              <w:pStyle w:val="TableText"/>
              <w:jc w:val="right"/>
              <w:rPr>
                <w:b/>
                <w:bCs/>
              </w:rPr>
            </w:pPr>
            <w:r w:rsidRPr="00901AC1">
              <w:rPr>
                <w:b/>
                <w:bCs/>
                <w:w w:val="105"/>
              </w:rPr>
              <w:t>862,491</w:t>
            </w:r>
          </w:p>
        </w:tc>
        <w:tc>
          <w:tcPr>
            <w:tcW w:w="1252" w:type="dxa"/>
            <w:tcBorders>
              <w:bottom w:val="single" w:sz="4" w:space="0" w:color="A6A6A6" w:themeColor="background1" w:themeShade="A6"/>
            </w:tcBorders>
          </w:tcPr>
          <w:p w14:paraId="5B2B3751" w14:textId="77777777" w:rsidR="00901AC1" w:rsidRPr="00901AC1" w:rsidRDefault="00901AC1" w:rsidP="00901AC1">
            <w:pPr>
              <w:pStyle w:val="TableText"/>
              <w:jc w:val="right"/>
              <w:rPr>
                <w:b/>
                <w:bCs/>
              </w:rPr>
            </w:pPr>
            <w:r w:rsidRPr="00901AC1">
              <w:rPr>
                <w:b/>
                <w:bCs/>
                <w:w w:val="115"/>
              </w:rPr>
              <w:t>446,034</w:t>
            </w:r>
          </w:p>
        </w:tc>
        <w:tc>
          <w:tcPr>
            <w:tcW w:w="1191" w:type="dxa"/>
            <w:tcBorders>
              <w:bottom w:val="single" w:sz="4" w:space="0" w:color="A6A6A6" w:themeColor="background1" w:themeShade="A6"/>
            </w:tcBorders>
          </w:tcPr>
          <w:p w14:paraId="23F6047B" w14:textId="77777777" w:rsidR="00901AC1" w:rsidRPr="00901AC1" w:rsidRDefault="00901AC1" w:rsidP="00901AC1">
            <w:pPr>
              <w:pStyle w:val="TableText"/>
              <w:jc w:val="right"/>
              <w:rPr>
                <w:b/>
                <w:bCs/>
              </w:rPr>
            </w:pPr>
            <w:r w:rsidRPr="00901AC1">
              <w:rPr>
                <w:b/>
                <w:bCs/>
              </w:rPr>
              <w:t>333,931</w:t>
            </w:r>
          </w:p>
        </w:tc>
      </w:tr>
      <w:tr w:rsidR="00901AC1" w:rsidRPr="00901AC1" w14:paraId="5788275E" w14:textId="77777777" w:rsidTr="001330C6">
        <w:trPr>
          <w:trHeight w:val="340"/>
        </w:trPr>
        <w:tc>
          <w:tcPr>
            <w:tcW w:w="1269" w:type="dxa"/>
            <w:tcBorders>
              <w:top w:val="single" w:sz="4" w:space="0" w:color="A6A6A6" w:themeColor="background1" w:themeShade="A6"/>
            </w:tcBorders>
          </w:tcPr>
          <w:p w14:paraId="5931D7CD" w14:textId="77777777" w:rsidR="00901AC1" w:rsidRPr="00901AC1" w:rsidRDefault="00901AC1" w:rsidP="00901AC1">
            <w:pPr>
              <w:pStyle w:val="TableText"/>
              <w:jc w:val="right"/>
              <w:rPr>
                <w:b/>
                <w:bCs/>
              </w:rPr>
            </w:pPr>
          </w:p>
        </w:tc>
        <w:tc>
          <w:tcPr>
            <w:tcW w:w="2977" w:type="dxa"/>
            <w:tcBorders>
              <w:top w:val="single" w:sz="4" w:space="0" w:color="A6A6A6" w:themeColor="background1" w:themeShade="A6"/>
            </w:tcBorders>
          </w:tcPr>
          <w:p w14:paraId="6830C117" w14:textId="637F65AE" w:rsidR="00901AC1" w:rsidRPr="00901AC1" w:rsidRDefault="00901AC1" w:rsidP="00901AC1">
            <w:pPr>
              <w:pStyle w:val="TableText"/>
              <w:rPr>
                <w:b/>
                <w:bCs/>
              </w:rPr>
            </w:pPr>
            <w:r w:rsidRPr="00901AC1">
              <w:rPr>
                <w:b/>
                <w:bCs/>
                <w:w w:val="105"/>
              </w:rPr>
              <w:t>Expenses</w:t>
            </w:r>
          </w:p>
        </w:tc>
        <w:tc>
          <w:tcPr>
            <w:tcW w:w="822" w:type="dxa"/>
            <w:tcBorders>
              <w:top w:val="single" w:sz="4" w:space="0" w:color="A6A6A6" w:themeColor="background1" w:themeShade="A6"/>
            </w:tcBorders>
          </w:tcPr>
          <w:p w14:paraId="316C8598" w14:textId="77777777" w:rsidR="00901AC1" w:rsidRPr="00901AC1" w:rsidRDefault="00901AC1" w:rsidP="00901AC1">
            <w:pPr>
              <w:pStyle w:val="TableText"/>
              <w:jc w:val="right"/>
              <w:rPr>
                <w:rFonts w:ascii="Times New Roman"/>
                <w:b/>
                <w:bCs/>
              </w:rPr>
            </w:pPr>
          </w:p>
        </w:tc>
        <w:tc>
          <w:tcPr>
            <w:tcW w:w="1059" w:type="dxa"/>
            <w:tcBorders>
              <w:top w:val="single" w:sz="4" w:space="0" w:color="A6A6A6" w:themeColor="background1" w:themeShade="A6"/>
            </w:tcBorders>
          </w:tcPr>
          <w:p w14:paraId="2B4DE3D3" w14:textId="77777777" w:rsidR="00901AC1" w:rsidRPr="00901AC1" w:rsidRDefault="00901AC1" w:rsidP="00901AC1">
            <w:pPr>
              <w:pStyle w:val="TableText"/>
              <w:jc w:val="right"/>
              <w:rPr>
                <w:b/>
                <w:bCs/>
                <w:w w:val="105"/>
              </w:rPr>
            </w:pPr>
          </w:p>
        </w:tc>
        <w:tc>
          <w:tcPr>
            <w:tcW w:w="1252" w:type="dxa"/>
            <w:tcBorders>
              <w:top w:val="single" w:sz="4" w:space="0" w:color="A6A6A6" w:themeColor="background1" w:themeShade="A6"/>
            </w:tcBorders>
          </w:tcPr>
          <w:p w14:paraId="6629D3B1" w14:textId="77777777" w:rsidR="00901AC1" w:rsidRPr="00901AC1" w:rsidRDefault="00901AC1" w:rsidP="00901AC1">
            <w:pPr>
              <w:pStyle w:val="TableText"/>
              <w:jc w:val="right"/>
              <w:rPr>
                <w:b/>
                <w:bCs/>
                <w:w w:val="115"/>
              </w:rPr>
            </w:pPr>
          </w:p>
        </w:tc>
        <w:tc>
          <w:tcPr>
            <w:tcW w:w="1191" w:type="dxa"/>
            <w:tcBorders>
              <w:top w:val="single" w:sz="4" w:space="0" w:color="A6A6A6" w:themeColor="background1" w:themeShade="A6"/>
            </w:tcBorders>
          </w:tcPr>
          <w:p w14:paraId="6DAB166C" w14:textId="77777777" w:rsidR="00901AC1" w:rsidRPr="00901AC1" w:rsidRDefault="00901AC1" w:rsidP="00901AC1">
            <w:pPr>
              <w:pStyle w:val="TableText"/>
              <w:jc w:val="right"/>
              <w:rPr>
                <w:b/>
                <w:bCs/>
              </w:rPr>
            </w:pPr>
          </w:p>
        </w:tc>
      </w:tr>
      <w:tr w:rsidR="00901AC1" w14:paraId="0ACE8C5F" w14:textId="77777777" w:rsidTr="001330C6">
        <w:trPr>
          <w:trHeight w:val="340"/>
        </w:trPr>
        <w:tc>
          <w:tcPr>
            <w:tcW w:w="1269" w:type="dxa"/>
          </w:tcPr>
          <w:p w14:paraId="7E5BB4E4" w14:textId="27790DFA" w:rsidR="00901AC1" w:rsidRDefault="00901AC1" w:rsidP="00901AC1">
            <w:pPr>
              <w:pStyle w:val="TableText"/>
              <w:jc w:val="right"/>
              <w:rPr>
                <w:w w:val="105"/>
              </w:rPr>
            </w:pPr>
            <w:r>
              <w:rPr>
                <w:w w:val="105"/>
              </w:rPr>
              <w:t>179,947</w:t>
            </w:r>
          </w:p>
        </w:tc>
        <w:tc>
          <w:tcPr>
            <w:tcW w:w="2977" w:type="dxa"/>
          </w:tcPr>
          <w:p w14:paraId="1D9345FB" w14:textId="3C1FB53F" w:rsidR="00901AC1" w:rsidRDefault="00901AC1" w:rsidP="00901AC1">
            <w:pPr>
              <w:pStyle w:val="TableText"/>
            </w:pPr>
            <w:r>
              <w:rPr>
                <w:w w:val="105"/>
              </w:rPr>
              <w:t>Personnel</w:t>
            </w:r>
            <w:r>
              <w:rPr>
                <w:spacing w:val="-10"/>
                <w:w w:val="105"/>
              </w:rPr>
              <w:t xml:space="preserve"> </w:t>
            </w:r>
            <w:r>
              <w:rPr>
                <w:w w:val="105"/>
              </w:rPr>
              <w:t>costs</w:t>
            </w:r>
          </w:p>
        </w:tc>
        <w:tc>
          <w:tcPr>
            <w:tcW w:w="822" w:type="dxa"/>
          </w:tcPr>
          <w:p w14:paraId="65BC3594" w14:textId="77777777" w:rsidR="00901AC1" w:rsidRDefault="00901AC1" w:rsidP="00901AC1">
            <w:pPr>
              <w:pStyle w:val="TableText"/>
              <w:jc w:val="right"/>
            </w:pPr>
            <w:r>
              <w:rPr>
                <w:w w:val="106"/>
              </w:rPr>
              <w:t>3</w:t>
            </w:r>
          </w:p>
        </w:tc>
        <w:tc>
          <w:tcPr>
            <w:tcW w:w="1059" w:type="dxa"/>
          </w:tcPr>
          <w:p w14:paraId="0901F1A8" w14:textId="77777777" w:rsidR="00901AC1" w:rsidRDefault="00901AC1" w:rsidP="00901AC1">
            <w:pPr>
              <w:pStyle w:val="TableText"/>
              <w:jc w:val="right"/>
            </w:pPr>
            <w:r>
              <w:rPr>
                <w:w w:val="105"/>
              </w:rPr>
              <w:t>230,635</w:t>
            </w:r>
          </w:p>
        </w:tc>
        <w:tc>
          <w:tcPr>
            <w:tcW w:w="1252" w:type="dxa"/>
          </w:tcPr>
          <w:p w14:paraId="67E670A7" w14:textId="77777777" w:rsidR="00901AC1" w:rsidRDefault="00901AC1" w:rsidP="00901AC1">
            <w:pPr>
              <w:pStyle w:val="TableText"/>
              <w:jc w:val="right"/>
            </w:pPr>
            <w:r>
              <w:rPr>
                <w:w w:val="110"/>
              </w:rPr>
              <w:t>205,890</w:t>
            </w:r>
          </w:p>
        </w:tc>
        <w:tc>
          <w:tcPr>
            <w:tcW w:w="1191" w:type="dxa"/>
          </w:tcPr>
          <w:p w14:paraId="5E62AE88" w14:textId="77777777" w:rsidR="00901AC1" w:rsidRDefault="00901AC1" w:rsidP="00901AC1">
            <w:pPr>
              <w:pStyle w:val="TableText"/>
              <w:jc w:val="right"/>
            </w:pPr>
            <w:r>
              <w:t>114,689</w:t>
            </w:r>
          </w:p>
        </w:tc>
      </w:tr>
      <w:tr w:rsidR="00901AC1" w14:paraId="0B11FF51" w14:textId="77777777" w:rsidTr="001330C6">
        <w:trPr>
          <w:trHeight w:val="340"/>
        </w:trPr>
        <w:tc>
          <w:tcPr>
            <w:tcW w:w="1269" w:type="dxa"/>
          </w:tcPr>
          <w:p w14:paraId="309C817C" w14:textId="0C071B2B" w:rsidR="00901AC1" w:rsidRDefault="00901AC1" w:rsidP="00901AC1">
            <w:pPr>
              <w:pStyle w:val="TableText"/>
              <w:jc w:val="right"/>
              <w:rPr>
                <w:w w:val="105"/>
              </w:rPr>
            </w:pPr>
            <w:r>
              <w:rPr>
                <w:w w:val="105"/>
              </w:rPr>
              <w:t>6,079</w:t>
            </w:r>
          </w:p>
        </w:tc>
        <w:tc>
          <w:tcPr>
            <w:tcW w:w="2977" w:type="dxa"/>
          </w:tcPr>
          <w:p w14:paraId="30EBE0BE" w14:textId="75CB1C3C" w:rsidR="00901AC1" w:rsidRDefault="00901AC1" w:rsidP="00901AC1">
            <w:pPr>
              <w:pStyle w:val="TableText"/>
            </w:pPr>
            <w:r>
              <w:rPr>
                <w:w w:val="105"/>
              </w:rPr>
              <w:t>Depreciation</w:t>
            </w:r>
            <w:r>
              <w:rPr>
                <w:spacing w:val="-10"/>
                <w:w w:val="105"/>
              </w:rPr>
              <w:t xml:space="preserve"> </w:t>
            </w:r>
            <w:r>
              <w:rPr>
                <w:w w:val="105"/>
              </w:rPr>
              <w:t>and</w:t>
            </w:r>
            <w:r>
              <w:rPr>
                <w:spacing w:val="-10"/>
                <w:w w:val="105"/>
              </w:rPr>
              <w:t xml:space="preserve"> </w:t>
            </w:r>
            <w:r>
              <w:rPr>
                <w:w w:val="105"/>
              </w:rPr>
              <w:t>amortisation</w:t>
            </w:r>
          </w:p>
        </w:tc>
        <w:tc>
          <w:tcPr>
            <w:tcW w:w="822" w:type="dxa"/>
          </w:tcPr>
          <w:p w14:paraId="6419B6C2" w14:textId="77777777" w:rsidR="00901AC1" w:rsidRDefault="00901AC1" w:rsidP="00901AC1">
            <w:pPr>
              <w:pStyle w:val="TableText"/>
              <w:jc w:val="right"/>
            </w:pPr>
            <w:r>
              <w:t>6,</w:t>
            </w:r>
            <w:r>
              <w:rPr>
                <w:spacing w:val="-3"/>
              </w:rPr>
              <w:t xml:space="preserve"> </w:t>
            </w:r>
            <w:r>
              <w:t>7</w:t>
            </w:r>
          </w:p>
        </w:tc>
        <w:tc>
          <w:tcPr>
            <w:tcW w:w="1059" w:type="dxa"/>
          </w:tcPr>
          <w:p w14:paraId="4985133B" w14:textId="77777777" w:rsidR="00901AC1" w:rsidRDefault="00901AC1" w:rsidP="00901AC1">
            <w:pPr>
              <w:pStyle w:val="TableText"/>
              <w:jc w:val="right"/>
            </w:pPr>
            <w:r>
              <w:rPr>
                <w:w w:val="105"/>
              </w:rPr>
              <w:t>5,275</w:t>
            </w:r>
          </w:p>
        </w:tc>
        <w:tc>
          <w:tcPr>
            <w:tcW w:w="1252" w:type="dxa"/>
          </w:tcPr>
          <w:p w14:paraId="113FA7B6" w14:textId="77777777" w:rsidR="00901AC1" w:rsidRDefault="00901AC1" w:rsidP="00901AC1">
            <w:pPr>
              <w:pStyle w:val="TableText"/>
              <w:jc w:val="right"/>
            </w:pPr>
            <w:r>
              <w:t>10,519</w:t>
            </w:r>
          </w:p>
        </w:tc>
        <w:tc>
          <w:tcPr>
            <w:tcW w:w="1191" w:type="dxa"/>
          </w:tcPr>
          <w:p w14:paraId="5211AC76" w14:textId="77777777" w:rsidR="00901AC1" w:rsidRDefault="00901AC1" w:rsidP="00901AC1">
            <w:pPr>
              <w:pStyle w:val="TableText"/>
              <w:jc w:val="right"/>
            </w:pPr>
            <w:r>
              <w:rPr>
                <w:w w:val="105"/>
              </w:rPr>
              <w:t>4,670</w:t>
            </w:r>
          </w:p>
        </w:tc>
      </w:tr>
      <w:tr w:rsidR="00901AC1" w14:paraId="749B82F3" w14:textId="77777777" w:rsidTr="001330C6">
        <w:trPr>
          <w:trHeight w:val="340"/>
        </w:trPr>
        <w:tc>
          <w:tcPr>
            <w:tcW w:w="1269" w:type="dxa"/>
          </w:tcPr>
          <w:p w14:paraId="1137E13D" w14:textId="76F955D6" w:rsidR="00901AC1" w:rsidRDefault="00901AC1" w:rsidP="00901AC1">
            <w:pPr>
              <w:pStyle w:val="TableText"/>
              <w:jc w:val="right"/>
            </w:pPr>
            <w:r>
              <w:t>2,288</w:t>
            </w:r>
          </w:p>
        </w:tc>
        <w:tc>
          <w:tcPr>
            <w:tcW w:w="2977" w:type="dxa"/>
          </w:tcPr>
          <w:p w14:paraId="4C7C6EBD" w14:textId="2A616F58" w:rsidR="00901AC1" w:rsidRDefault="00901AC1" w:rsidP="00901AC1">
            <w:pPr>
              <w:pStyle w:val="TableText"/>
            </w:pPr>
            <w:r>
              <w:t>Capital</w:t>
            </w:r>
            <w:r>
              <w:rPr>
                <w:spacing w:val="4"/>
              </w:rPr>
              <w:t xml:space="preserve"> </w:t>
            </w:r>
            <w:r>
              <w:t>charge</w:t>
            </w:r>
          </w:p>
        </w:tc>
        <w:tc>
          <w:tcPr>
            <w:tcW w:w="822" w:type="dxa"/>
          </w:tcPr>
          <w:p w14:paraId="5CB117DC" w14:textId="77777777" w:rsidR="00901AC1" w:rsidRDefault="00901AC1" w:rsidP="00901AC1">
            <w:pPr>
              <w:pStyle w:val="TableText"/>
              <w:jc w:val="right"/>
            </w:pPr>
            <w:r>
              <w:rPr>
                <w:w w:val="113"/>
              </w:rPr>
              <w:t>4</w:t>
            </w:r>
          </w:p>
        </w:tc>
        <w:tc>
          <w:tcPr>
            <w:tcW w:w="1059" w:type="dxa"/>
          </w:tcPr>
          <w:p w14:paraId="10ED2C8A" w14:textId="77777777" w:rsidR="00901AC1" w:rsidRDefault="00901AC1" w:rsidP="00901AC1">
            <w:pPr>
              <w:pStyle w:val="TableText"/>
              <w:jc w:val="right"/>
            </w:pPr>
            <w:r>
              <w:rPr>
                <w:w w:val="105"/>
              </w:rPr>
              <w:t>2,932</w:t>
            </w:r>
          </w:p>
        </w:tc>
        <w:tc>
          <w:tcPr>
            <w:tcW w:w="1252" w:type="dxa"/>
          </w:tcPr>
          <w:p w14:paraId="75D266E6" w14:textId="77777777" w:rsidR="00901AC1" w:rsidRDefault="00901AC1" w:rsidP="00901AC1">
            <w:pPr>
              <w:pStyle w:val="TableText"/>
              <w:jc w:val="right"/>
            </w:pPr>
            <w:r>
              <w:t>2,951</w:t>
            </w:r>
          </w:p>
        </w:tc>
        <w:tc>
          <w:tcPr>
            <w:tcW w:w="1191" w:type="dxa"/>
          </w:tcPr>
          <w:p w14:paraId="23C26B4F" w14:textId="77777777" w:rsidR="00901AC1" w:rsidRDefault="00901AC1" w:rsidP="00901AC1">
            <w:pPr>
              <w:pStyle w:val="TableText"/>
              <w:jc w:val="right"/>
            </w:pPr>
            <w:r>
              <w:t>1,658</w:t>
            </w:r>
          </w:p>
        </w:tc>
      </w:tr>
      <w:tr w:rsidR="00901AC1" w14:paraId="45F9C183" w14:textId="77777777" w:rsidTr="001330C6">
        <w:trPr>
          <w:trHeight w:val="340"/>
        </w:trPr>
        <w:tc>
          <w:tcPr>
            <w:tcW w:w="1269" w:type="dxa"/>
          </w:tcPr>
          <w:p w14:paraId="588D19C3" w14:textId="05788946" w:rsidR="00901AC1" w:rsidRDefault="00901AC1" w:rsidP="00901AC1">
            <w:pPr>
              <w:pStyle w:val="TableText"/>
              <w:jc w:val="right"/>
              <w:rPr>
                <w:w w:val="105"/>
              </w:rPr>
            </w:pPr>
            <w:r>
              <w:rPr>
                <w:w w:val="105"/>
              </w:rPr>
              <w:t>200,072</w:t>
            </w:r>
          </w:p>
        </w:tc>
        <w:tc>
          <w:tcPr>
            <w:tcW w:w="2977" w:type="dxa"/>
          </w:tcPr>
          <w:p w14:paraId="0CFB8889" w14:textId="797480A7" w:rsidR="00901AC1" w:rsidRDefault="00901AC1" w:rsidP="00901AC1">
            <w:pPr>
              <w:pStyle w:val="TableText"/>
            </w:pPr>
            <w:r>
              <w:rPr>
                <w:w w:val="105"/>
              </w:rPr>
              <w:t>Other</w:t>
            </w:r>
            <w:r>
              <w:rPr>
                <w:spacing w:val="-10"/>
                <w:w w:val="105"/>
              </w:rPr>
              <w:t xml:space="preserve"> </w:t>
            </w:r>
            <w:r>
              <w:rPr>
                <w:w w:val="105"/>
              </w:rPr>
              <w:t>expenses</w:t>
            </w:r>
          </w:p>
        </w:tc>
        <w:tc>
          <w:tcPr>
            <w:tcW w:w="822" w:type="dxa"/>
          </w:tcPr>
          <w:p w14:paraId="28B1A4BF" w14:textId="77777777" w:rsidR="00901AC1" w:rsidRDefault="00901AC1" w:rsidP="00901AC1">
            <w:pPr>
              <w:pStyle w:val="TableText"/>
              <w:jc w:val="right"/>
            </w:pPr>
            <w:r>
              <w:rPr>
                <w:w w:val="113"/>
              </w:rPr>
              <w:t>5</w:t>
            </w:r>
          </w:p>
        </w:tc>
        <w:tc>
          <w:tcPr>
            <w:tcW w:w="1059" w:type="dxa"/>
          </w:tcPr>
          <w:p w14:paraId="4209F6F9" w14:textId="77777777" w:rsidR="00901AC1" w:rsidRDefault="00901AC1" w:rsidP="00901AC1">
            <w:pPr>
              <w:pStyle w:val="TableText"/>
              <w:jc w:val="right"/>
            </w:pPr>
            <w:r>
              <w:rPr>
                <w:w w:val="105"/>
              </w:rPr>
              <w:t>482,397</w:t>
            </w:r>
          </w:p>
        </w:tc>
        <w:tc>
          <w:tcPr>
            <w:tcW w:w="1252" w:type="dxa"/>
          </w:tcPr>
          <w:p w14:paraId="13548228" w14:textId="77777777" w:rsidR="00901AC1" w:rsidRDefault="00901AC1" w:rsidP="00901AC1">
            <w:pPr>
              <w:pStyle w:val="TableText"/>
              <w:jc w:val="right"/>
            </w:pPr>
            <w:r>
              <w:rPr>
                <w:w w:val="105"/>
              </w:rPr>
              <w:t>226,674</w:t>
            </w:r>
          </w:p>
        </w:tc>
        <w:tc>
          <w:tcPr>
            <w:tcW w:w="1191" w:type="dxa"/>
          </w:tcPr>
          <w:p w14:paraId="2C11E7E3" w14:textId="77777777" w:rsidR="00901AC1" w:rsidRDefault="00901AC1" w:rsidP="00901AC1">
            <w:pPr>
              <w:pStyle w:val="TableText"/>
              <w:jc w:val="right"/>
            </w:pPr>
            <w:r>
              <w:t>212,914</w:t>
            </w:r>
          </w:p>
        </w:tc>
      </w:tr>
      <w:tr w:rsidR="00901AC1" w:rsidRPr="00901AC1" w14:paraId="31DF00CD" w14:textId="77777777" w:rsidTr="001330C6">
        <w:trPr>
          <w:trHeight w:val="340"/>
        </w:trPr>
        <w:tc>
          <w:tcPr>
            <w:tcW w:w="1269" w:type="dxa"/>
            <w:tcBorders>
              <w:bottom w:val="single" w:sz="4" w:space="0" w:color="A6A6A6" w:themeColor="background1" w:themeShade="A6"/>
            </w:tcBorders>
          </w:tcPr>
          <w:p w14:paraId="105C1B44" w14:textId="0DAFB036" w:rsidR="00901AC1" w:rsidRPr="00901AC1" w:rsidRDefault="00901AC1" w:rsidP="00901AC1">
            <w:pPr>
              <w:pStyle w:val="TableText"/>
              <w:jc w:val="right"/>
              <w:rPr>
                <w:b/>
                <w:bCs/>
                <w:w w:val="105"/>
              </w:rPr>
            </w:pPr>
            <w:r w:rsidRPr="00901AC1">
              <w:rPr>
                <w:b/>
                <w:bCs/>
                <w:w w:val="105"/>
              </w:rPr>
              <w:t>388,386</w:t>
            </w:r>
          </w:p>
        </w:tc>
        <w:tc>
          <w:tcPr>
            <w:tcW w:w="2977" w:type="dxa"/>
            <w:tcBorders>
              <w:bottom w:val="single" w:sz="4" w:space="0" w:color="A6A6A6" w:themeColor="background1" w:themeShade="A6"/>
            </w:tcBorders>
          </w:tcPr>
          <w:p w14:paraId="19819476" w14:textId="1083867D" w:rsidR="00901AC1" w:rsidRPr="00901AC1" w:rsidRDefault="00901AC1" w:rsidP="00901AC1">
            <w:pPr>
              <w:pStyle w:val="TableText"/>
              <w:rPr>
                <w:b/>
                <w:bCs/>
              </w:rPr>
            </w:pPr>
            <w:r w:rsidRPr="00901AC1">
              <w:rPr>
                <w:b/>
                <w:bCs/>
                <w:w w:val="105"/>
              </w:rPr>
              <w:t>Total</w:t>
            </w:r>
            <w:r w:rsidRPr="00901AC1">
              <w:rPr>
                <w:b/>
                <w:bCs/>
                <w:spacing w:val="-1"/>
                <w:w w:val="105"/>
              </w:rPr>
              <w:t xml:space="preserve"> </w:t>
            </w:r>
            <w:r w:rsidRPr="00901AC1">
              <w:rPr>
                <w:b/>
                <w:bCs/>
                <w:w w:val="105"/>
              </w:rPr>
              <w:t>expenses</w:t>
            </w:r>
          </w:p>
        </w:tc>
        <w:tc>
          <w:tcPr>
            <w:tcW w:w="822" w:type="dxa"/>
            <w:tcBorders>
              <w:bottom w:val="single" w:sz="4" w:space="0" w:color="A6A6A6" w:themeColor="background1" w:themeShade="A6"/>
            </w:tcBorders>
          </w:tcPr>
          <w:p w14:paraId="1B292C7D" w14:textId="77777777" w:rsidR="00901AC1" w:rsidRPr="00901AC1" w:rsidRDefault="00901AC1" w:rsidP="00901AC1">
            <w:pPr>
              <w:pStyle w:val="TableText"/>
              <w:jc w:val="right"/>
              <w:rPr>
                <w:rFonts w:ascii="Times New Roman"/>
                <w:b/>
                <w:bCs/>
              </w:rPr>
            </w:pPr>
          </w:p>
        </w:tc>
        <w:tc>
          <w:tcPr>
            <w:tcW w:w="1059" w:type="dxa"/>
            <w:tcBorders>
              <w:bottom w:val="single" w:sz="4" w:space="0" w:color="A6A6A6" w:themeColor="background1" w:themeShade="A6"/>
            </w:tcBorders>
          </w:tcPr>
          <w:p w14:paraId="159C850A" w14:textId="77777777" w:rsidR="00901AC1" w:rsidRPr="00901AC1" w:rsidRDefault="00901AC1" w:rsidP="00901AC1">
            <w:pPr>
              <w:pStyle w:val="TableText"/>
              <w:jc w:val="right"/>
              <w:rPr>
                <w:b/>
                <w:bCs/>
              </w:rPr>
            </w:pPr>
            <w:r w:rsidRPr="00901AC1">
              <w:rPr>
                <w:b/>
                <w:bCs/>
              </w:rPr>
              <w:t>721,239</w:t>
            </w:r>
          </w:p>
        </w:tc>
        <w:tc>
          <w:tcPr>
            <w:tcW w:w="1252" w:type="dxa"/>
            <w:tcBorders>
              <w:bottom w:val="single" w:sz="4" w:space="0" w:color="A6A6A6" w:themeColor="background1" w:themeShade="A6"/>
            </w:tcBorders>
          </w:tcPr>
          <w:p w14:paraId="30A88B01" w14:textId="77777777" w:rsidR="00901AC1" w:rsidRPr="00901AC1" w:rsidRDefault="00901AC1" w:rsidP="00901AC1">
            <w:pPr>
              <w:pStyle w:val="TableText"/>
              <w:jc w:val="right"/>
              <w:rPr>
                <w:b/>
                <w:bCs/>
              </w:rPr>
            </w:pPr>
            <w:r w:rsidRPr="00901AC1">
              <w:rPr>
                <w:b/>
                <w:bCs/>
                <w:w w:val="115"/>
              </w:rPr>
              <w:t>446,034</w:t>
            </w:r>
          </w:p>
        </w:tc>
        <w:tc>
          <w:tcPr>
            <w:tcW w:w="1191" w:type="dxa"/>
            <w:tcBorders>
              <w:bottom w:val="single" w:sz="4" w:space="0" w:color="A6A6A6" w:themeColor="background1" w:themeShade="A6"/>
            </w:tcBorders>
          </w:tcPr>
          <w:p w14:paraId="4CE96BF2" w14:textId="77777777" w:rsidR="00901AC1" w:rsidRPr="00901AC1" w:rsidRDefault="00901AC1" w:rsidP="00901AC1">
            <w:pPr>
              <w:pStyle w:val="TableText"/>
              <w:jc w:val="right"/>
              <w:rPr>
                <w:b/>
                <w:bCs/>
              </w:rPr>
            </w:pPr>
            <w:r w:rsidRPr="00901AC1">
              <w:rPr>
                <w:b/>
                <w:bCs/>
              </w:rPr>
              <w:t>333,931</w:t>
            </w:r>
          </w:p>
        </w:tc>
      </w:tr>
      <w:tr w:rsidR="00901AC1" w:rsidRPr="00901AC1" w14:paraId="4A9C0F6F" w14:textId="77777777" w:rsidTr="001330C6">
        <w:trPr>
          <w:trHeight w:val="340"/>
        </w:trPr>
        <w:tc>
          <w:tcPr>
            <w:tcW w:w="1269" w:type="dxa"/>
            <w:tcBorders>
              <w:top w:val="single" w:sz="4" w:space="0" w:color="A6A6A6" w:themeColor="background1" w:themeShade="A6"/>
              <w:bottom w:val="single" w:sz="4" w:space="0" w:color="A6A6A6" w:themeColor="background1" w:themeShade="A6"/>
            </w:tcBorders>
          </w:tcPr>
          <w:p w14:paraId="58066027" w14:textId="2807CC41" w:rsidR="00901AC1" w:rsidRPr="00901AC1" w:rsidRDefault="00901AC1" w:rsidP="00901AC1">
            <w:pPr>
              <w:pStyle w:val="TableText"/>
              <w:jc w:val="right"/>
              <w:rPr>
                <w:b/>
                <w:bCs/>
                <w:w w:val="110"/>
              </w:rPr>
            </w:pPr>
            <w:r w:rsidRPr="00901AC1">
              <w:rPr>
                <w:b/>
                <w:bCs/>
                <w:w w:val="110"/>
              </w:rPr>
              <w:t>30,205</w:t>
            </w:r>
          </w:p>
        </w:tc>
        <w:tc>
          <w:tcPr>
            <w:tcW w:w="2977" w:type="dxa"/>
            <w:tcBorders>
              <w:top w:val="single" w:sz="4" w:space="0" w:color="A6A6A6" w:themeColor="background1" w:themeShade="A6"/>
              <w:bottom w:val="single" w:sz="4" w:space="0" w:color="A6A6A6" w:themeColor="background1" w:themeShade="A6"/>
            </w:tcBorders>
          </w:tcPr>
          <w:p w14:paraId="532E82CD" w14:textId="0F3E1B22" w:rsidR="00901AC1" w:rsidRPr="00901AC1" w:rsidRDefault="00901AC1" w:rsidP="00901AC1">
            <w:pPr>
              <w:pStyle w:val="TableText"/>
              <w:rPr>
                <w:b/>
                <w:bCs/>
              </w:rPr>
            </w:pPr>
            <w:r w:rsidRPr="00901AC1">
              <w:rPr>
                <w:b/>
                <w:bCs/>
                <w:w w:val="110"/>
              </w:rPr>
              <w:t>Net</w:t>
            </w:r>
            <w:r w:rsidRPr="00901AC1">
              <w:rPr>
                <w:b/>
                <w:bCs/>
                <w:spacing w:val="-13"/>
                <w:w w:val="110"/>
              </w:rPr>
              <w:t xml:space="preserve"> </w:t>
            </w:r>
            <w:r w:rsidRPr="00901AC1">
              <w:rPr>
                <w:b/>
                <w:bCs/>
                <w:w w:val="110"/>
              </w:rPr>
              <w:t>surplus/(deficit)</w:t>
            </w:r>
          </w:p>
        </w:tc>
        <w:tc>
          <w:tcPr>
            <w:tcW w:w="822" w:type="dxa"/>
            <w:tcBorders>
              <w:top w:val="single" w:sz="4" w:space="0" w:color="A6A6A6" w:themeColor="background1" w:themeShade="A6"/>
              <w:bottom w:val="single" w:sz="4" w:space="0" w:color="A6A6A6" w:themeColor="background1" w:themeShade="A6"/>
            </w:tcBorders>
          </w:tcPr>
          <w:p w14:paraId="3A5CD381" w14:textId="77777777" w:rsidR="00901AC1" w:rsidRPr="00901AC1" w:rsidRDefault="00901AC1" w:rsidP="00901AC1">
            <w:pPr>
              <w:pStyle w:val="TableText"/>
              <w:jc w:val="right"/>
              <w:rPr>
                <w:rFonts w:ascii="Times New Roman"/>
                <w:b/>
                <w:bCs/>
              </w:rPr>
            </w:pPr>
          </w:p>
        </w:tc>
        <w:tc>
          <w:tcPr>
            <w:tcW w:w="1059" w:type="dxa"/>
            <w:tcBorders>
              <w:top w:val="single" w:sz="4" w:space="0" w:color="A6A6A6" w:themeColor="background1" w:themeShade="A6"/>
              <w:bottom w:val="single" w:sz="4" w:space="0" w:color="A6A6A6" w:themeColor="background1" w:themeShade="A6"/>
            </w:tcBorders>
          </w:tcPr>
          <w:p w14:paraId="162ADE52" w14:textId="77777777" w:rsidR="00901AC1" w:rsidRPr="00901AC1" w:rsidRDefault="00901AC1" w:rsidP="00901AC1">
            <w:pPr>
              <w:pStyle w:val="TableText"/>
              <w:jc w:val="right"/>
              <w:rPr>
                <w:b/>
                <w:bCs/>
              </w:rPr>
            </w:pPr>
            <w:r w:rsidRPr="00901AC1">
              <w:rPr>
                <w:b/>
                <w:bCs/>
              </w:rPr>
              <w:t>141,252</w:t>
            </w:r>
          </w:p>
        </w:tc>
        <w:tc>
          <w:tcPr>
            <w:tcW w:w="1252" w:type="dxa"/>
            <w:tcBorders>
              <w:top w:val="single" w:sz="4" w:space="0" w:color="A6A6A6" w:themeColor="background1" w:themeShade="A6"/>
              <w:bottom w:val="single" w:sz="4" w:space="0" w:color="A6A6A6" w:themeColor="background1" w:themeShade="A6"/>
            </w:tcBorders>
          </w:tcPr>
          <w:p w14:paraId="059FBD32" w14:textId="77777777" w:rsidR="00901AC1" w:rsidRPr="00901AC1" w:rsidRDefault="00901AC1" w:rsidP="00901AC1">
            <w:pPr>
              <w:pStyle w:val="TableText"/>
              <w:jc w:val="right"/>
              <w:rPr>
                <w:b/>
                <w:bCs/>
              </w:rPr>
            </w:pPr>
            <w:r w:rsidRPr="00901AC1">
              <w:rPr>
                <w:b/>
                <w:bCs/>
                <w:w w:val="140"/>
              </w:rPr>
              <w:t>–</w:t>
            </w:r>
          </w:p>
        </w:tc>
        <w:tc>
          <w:tcPr>
            <w:tcW w:w="1191" w:type="dxa"/>
            <w:tcBorders>
              <w:top w:val="single" w:sz="4" w:space="0" w:color="A6A6A6" w:themeColor="background1" w:themeShade="A6"/>
              <w:bottom w:val="single" w:sz="4" w:space="0" w:color="A6A6A6" w:themeColor="background1" w:themeShade="A6"/>
            </w:tcBorders>
          </w:tcPr>
          <w:p w14:paraId="5C29CCA0" w14:textId="77777777" w:rsidR="00901AC1" w:rsidRPr="00901AC1" w:rsidRDefault="00901AC1" w:rsidP="00901AC1">
            <w:pPr>
              <w:pStyle w:val="TableText"/>
              <w:jc w:val="right"/>
              <w:rPr>
                <w:b/>
                <w:bCs/>
              </w:rPr>
            </w:pPr>
            <w:r w:rsidRPr="00901AC1">
              <w:rPr>
                <w:b/>
                <w:bCs/>
                <w:w w:val="140"/>
              </w:rPr>
              <w:t>–</w:t>
            </w:r>
          </w:p>
        </w:tc>
      </w:tr>
      <w:tr w:rsidR="00901AC1" w14:paraId="60545B56" w14:textId="77777777" w:rsidTr="001330C6">
        <w:trPr>
          <w:trHeight w:val="405"/>
        </w:trPr>
        <w:tc>
          <w:tcPr>
            <w:tcW w:w="1269" w:type="dxa"/>
            <w:tcBorders>
              <w:top w:val="single" w:sz="4" w:space="0" w:color="A6A6A6" w:themeColor="background1" w:themeShade="A6"/>
            </w:tcBorders>
          </w:tcPr>
          <w:p w14:paraId="615C7231" w14:textId="77777777" w:rsidR="00901AC1" w:rsidRDefault="00901AC1" w:rsidP="00901AC1">
            <w:pPr>
              <w:pStyle w:val="TableText"/>
              <w:jc w:val="right"/>
              <w:rPr>
                <w:w w:val="110"/>
              </w:rPr>
            </w:pPr>
          </w:p>
        </w:tc>
        <w:tc>
          <w:tcPr>
            <w:tcW w:w="2977" w:type="dxa"/>
            <w:tcBorders>
              <w:top w:val="single" w:sz="4" w:space="0" w:color="A6A6A6" w:themeColor="background1" w:themeShade="A6"/>
            </w:tcBorders>
          </w:tcPr>
          <w:p w14:paraId="3295A9A7" w14:textId="75CE6461" w:rsidR="00901AC1" w:rsidRPr="00901AC1" w:rsidRDefault="00901AC1" w:rsidP="00901AC1">
            <w:pPr>
              <w:pStyle w:val="TableText"/>
              <w:rPr>
                <w:b/>
                <w:bCs/>
              </w:rPr>
            </w:pPr>
            <w:r w:rsidRPr="00901AC1">
              <w:rPr>
                <w:b/>
                <w:bCs/>
                <w:w w:val="105"/>
              </w:rPr>
              <w:t>Other</w:t>
            </w:r>
            <w:r w:rsidRPr="00901AC1">
              <w:rPr>
                <w:b/>
                <w:bCs/>
                <w:spacing w:val="-10"/>
                <w:w w:val="105"/>
              </w:rPr>
              <w:t xml:space="preserve"> </w:t>
            </w:r>
            <w:r w:rsidRPr="00901AC1">
              <w:rPr>
                <w:b/>
                <w:bCs/>
                <w:w w:val="105"/>
              </w:rPr>
              <w:t>comprehensive</w:t>
            </w:r>
            <w:r w:rsidRPr="00901AC1">
              <w:rPr>
                <w:b/>
                <w:bCs/>
                <w:spacing w:val="-9"/>
                <w:w w:val="105"/>
              </w:rPr>
              <w:t xml:space="preserve"> </w:t>
            </w:r>
            <w:r w:rsidRPr="00901AC1">
              <w:rPr>
                <w:b/>
                <w:bCs/>
                <w:w w:val="105"/>
              </w:rPr>
              <w:t>revenue and expense</w:t>
            </w:r>
          </w:p>
        </w:tc>
        <w:tc>
          <w:tcPr>
            <w:tcW w:w="822" w:type="dxa"/>
            <w:tcBorders>
              <w:top w:val="single" w:sz="4" w:space="0" w:color="A6A6A6" w:themeColor="background1" w:themeShade="A6"/>
            </w:tcBorders>
          </w:tcPr>
          <w:p w14:paraId="329A3C11" w14:textId="77777777" w:rsidR="00901AC1" w:rsidRDefault="00901AC1" w:rsidP="00901AC1">
            <w:pPr>
              <w:pStyle w:val="TableText"/>
              <w:jc w:val="right"/>
              <w:rPr>
                <w:rFonts w:ascii="Times New Roman"/>
              </w:rPr>
            </w:pPr>
          </w:p>
        </w:tc>
        <w:tc>
          <w:tcPr>
            <w:tcW w:w="1059" w:type="dxa"/>
            <w:tcBorders>
              <w:top w:val="single" w:sz="4" w:space="0" w:color="A6A6A6" w:themeColor="background1" w:themeShade="A6"/>
            </w:tcBorders>
          </w:tcPr>
          <w:p w14:paraId="61FF2E31" w14:textId="77777777" w:rsidR="00901AC1" w:rsidRDefault="00901AC1" w:rsidP="00901AC1">
            <w:pPr>
              <w:pStyle w:val="TableText"/>
              <w:jc w:val="right"/>
            </w:pPr>
          </w:p>
        </w:tc>
        <w:tc>
          <w:tcPr>
            <w:tcW w:w="1252" w:type="dxa"/>
            <w:tcBorders>
              <w:top w:val="single" w:sz="4" w:space="0" w:color="A6A6A6" w:themeColor="background1" w:themeShade="A6"/>
            </w:tcBorders>
          </w:tcPr>
          <w:p w14:paraId="159BFBB9" w14:textId="77777777" w:rsidR="00901AC1" w:rsidRDefault="00901AC1" w:rsidP="00901AC1">
            <w:pPr>
              <w:pStyle w:val="TableText"/>
              <w:jc w:val="right"/>
              <w:rPr>
                <w:w w:val="140"/>
              </w:rPr>
            </w:pPr>
          </w:p>
        </w:tc>
        <w:tc>
          <w:tcPr>
            <w:tcW w:w="1191" w:type="dxa"/>
            <w:tcBorders>
              <w:top w:val="single" w:sz="4" w:space="0" w:color="A6A6A6" w:themeColor="background1" w:themeShade="A6"/>
            </w:tcBorders>
          </w:tcPr>
          <w:p w14:paraId="1C14AD98" w14:textId="77777777" w:rsidR="00901AC1" w:rsidRDefault="00901AC1" w:rsidP="00901AC1">
            <w:pPr>
              <w:pStyle w:val="TableText"/>
              <w:jc w:val="right"/>
              <w:rPr>
                <w:w w:val="140"/>
              </w:rPr>
            </w:pPr>
          </w:p>
        </w:tc>
      </w:tr>
      <w:tr w:rsidR="00901AC1" w14:paraId="5D319776" w14:textId="77777777" w:rsidTr="001330C6">
        <w:trPr>
          <w:trHeight w:val="340"/>
        </w:trPr>
        <w:tc>
          <w:tcPr>
            <w:tcW w:w="1269" w:type="dxa"/>
          </w:tcPr>
          <w:p w14:paraId="6F1F7526" w14:textId="77777777" w:rsidR="00901AC1" w:rsidRDefault="00901AC1" w:rsidP="00901AC1">
            <w:pPr>
              <w:pStyle w:val="TableText"/>
              <w:jc w:val="right"/>
              <w:rPr>
                <w:w w:val="105"/>
              </w:rPr>
            </w:pPr>
          </w:p>
        </w:tc>
        <w:tc>
          <w:tcPr>
            <w:tcW w:w="2977" w:type="dxa"/>
          </w:tcPr>
          <w:p w14:paraId="24DE2107" w14:textId="7F577530" w:rsidR="00901AC1" w:rsidRDefault="00901AC1" w:rsidP="00901AC1">
            <w:pPr>
              <w:pStyle w:val="TableText"/>
              <w:tabs>
                <w:tab w:val="left" w:pos="3450"/>
              </w:tabs>
              <w:rPr>
                <w:w w:val="105"/>
              </w:rPr>
            </w:pPr>
            <w:r>
              <w:rPr>
                <w:w w:val="105"/>
              </w:rPr>
              <w:t>Item that will not be reclassified to net surplus/(deficit)</w:t>
            </w:r>
          </w:p>
        </w:tc>
        <w:tc>
          <w:tcPr>
            <w:tcW w:w="822" w:type="dxa"/>
          </w:tcPr>
          <w:p w14:paraId="78A5C482" w14:textId="77777777" w:rsidR="00901AC1" w:rsidRDefault="00901AC1" w:rsidP="00901AC1">
            <w:pPr>
              <w:pStyle w:val="TableText"/>
              <w:jc w:val="right"/>
              <w:rPr>
                <w:rFonts w:ascii="Times New Roman"/>
              </w:rPr>
            </w:pPr>
          </w:p>
        </w:tc>
        <w:tc>
          <w:tcPr>
            <w:tcW w:w="1059" w:type="dxa"/>
          </w:tcPr>
          <w:p w14:paraId="0A70AD8F" w14:textId="77777777" w:rsidR="00901AC1" w:rsidRDefault="00901AC1" w:rsidP="00901AC1">
            <w:pPr>
              <w:pStyle w:val="TableText"/>
              <w:jc w:val="right"/>
              <w:rPr>
                <w:w w:val="135"/>
              </w:rPr>
            </w:pPr>
          </w:p>
        </w:tc>
        <w:tc>
          <w:tcPr>
            <w:tcW w:w="1252" w:type="dxa"/>
          </w:tcPr>
          <w:p w14:paraId="1FBF0405" w14:textId="77777777" w:rsidR="00901AC1" w:rsidRDefault="00901AC1" w:rsidP="00901AC1">
            <w:pPr>
              <w:pStyle w:val="TableText"/>
              <w:jc w:val="right"/>
              <w:rPr>
                <w:w w:val="135"/>
              </w:rPr>
            </w:pPr>
          </w:p>
        </w:tc>
        <w:tc>
          <w:tcPr>
            <w:tcW w:w="1191" w:type="dxa"/>
          </w:tcPr>
          <w:p w14:paraId="7E09E8B6" w14:textId="77777777" w:rsidR="00901AC1" w:rsidRDefault="00901AC1" w:rsidP="00901AC1">
            <w:pPr>
              <w:pStyle w:val="TableText"/>
              <w:jc w:val="right"/>
              <w:rPr>
                <w:w w:val="135"/>
              </w:rPr>
            </w:pPr>
          </w:p>
        </w:tc>
      </w:tr>
      <w:tr w:rsidR="005B40A3" w14:paraId="03059BEF" w14:textId="77777777" w:rsidTr="001330C6">
        <w:trPr>
          <w:trHeight w:val="340"/>
        </w:trPr>
        <w:tc>
          <w:tcPr>
            <w:tcW w:w="1269" w:type="dxa"/>
            <w:tcBorders>
              <w:bottom w:val="single" w:sz="4" w:space="0" w:color="A6A6A6" w:themeColor="background1" w:themeShade="A6"/>
            </w:tcBorders>
          </w:tcPr>
          <w:p w14:paraId="6C9ED7BC" w14:textId="2321D2D9" w:rsidR="005B40A3" w:rsidRDefault="005B40A3" w:rsidP="005B40A3">
            <w:pPr>
              <w:pStyle w:val="TableText"/>
              <w:jc w:val="right"/>
              <w:rPr>
                <w:w w:val="105"/>
              </w:rPr>
            </w:pPr>
            <w:r>
              <w:rPr>
                <w:w w:val="105"/>
              </w:rPr>
              <w:t>965</w:t>
            </w:r>
          </w:p>
        </w:tc>
        <w:tc>
          <w:tcPr>
            <w:tcW w:w="2977" w:type="dxa"/>
            <w:tcBorders>
              <w:bottom w:val="single" w:sz="4" w:space="0" w:color="A6A6A6" w:themeColor="background1" w:themeShade="A6"/>
            </w:tcBorders>
          </w:tcPr>
          <w:p w14:paraId="24C726AF" w14:textId="44FC9CE8" w:rsidR="005B40A3" w:rsidRDefault="005B40A3" w:rsidP="005B40A3">
            <w:pPr>
              <w:pStyle w:val="TableText"/>
              <w:tabs>
                <w:tab w:val="left" w:pos="3450"/>
              </w:tabs>
              <w:rPr>
                <w:w w:val="105"/>
              </w:rPr>
            </w:pPr>
            <w:r>
              <w:rPr>
                <w:w w:val="105"/>
              </w:rPr>
              <w:t>Property revaluation</w:t>
            </w:r>
          </w:p>
        </w:tc>
        <w:tc>
          <w:tcPr>
            <w:tcW w:w="822" w:type="dxa"/>
            <w:tcBorders>
              <w:bottom w:val="single" w:sz="4" w:space="0" w:color="A6A6A6" w:themeColor="background1" w:themeShade="A6"/>
            </w:tcBorders>
          </w:tcPr>
          <w:p w14:paraId="0723C3E5" w14:textId="77777777" w:rsidR="005B40A3" w:rsidRDefault="005B40A3" w:rsidP="005B40A3">
            <w:pPr>
              <w:pStyle w:val="TableText"/>
              <w:jc w:val="right"/>
              <w:rPr>
                <w:rFonts w:ascii="Times New Roman"/>
              </w:rPr>
            </w:pPr>
          </w:p>
        </w:tc>
        <w:tc>
          <w:tcPr>
            <w:tcW w:w="1059" w:type="dxa"/>
            <w:tcBorders>
              <w:bottom w:val="single" w:sz="4" w:space="0" w:color="A6A6A6" w:themeColor="background1" w:themeShade="A6"/>
            </w:tcBorders>
          </w:tcPr>
          <w:p w14:paraId="021EE423" w14:textId="18AD391C" w:rsidR="005B40A3" w:rsidRDefault="005B40A3" w:rsidP="005B40A3">
            <w:pPr>
              <w:pStyle w:val="TableText"/>
              <w:jc w:val="right"/>
              <w:rPr>
                <w:w w:val="135"/>
              </w:rPr>
            </w:pPr>
            <w:r>
              <w:rPr>
                <w:w w:val="140"/>
              </w:rPr>
              <w:t>–</w:t>
            </w:r>
          </w:p>
        </w:tc>
        <w:tc>
          <w:tcPr>
            <w:tcW w:w="1252" w:type="dxa"/>
            <w:tcBorders>
              <w:bottom w:val="single" w:sz="4" w:space="0" w:color="A6A6A6" w:themeColor="background1" w:themeShade="A6"/>
            </w:tcBorders>
          </w:tcPr>
          <w:p w14:paraId="7622D22D" w14:textId="4874A7E9" w:rsidR="005B40A3" w:rsidRDefault="005B40A3" w:rsidP="005B40A3">
            <w:pPr>
              <w:pStyle w:val="TableText"/>
              <w:jc w:val="right"/>
              <w:rPr>
                <w:w w:val="135"/>
              </w:rPr>
            </w:pPr>
            <w:r>
              <w:rPr>
                <w:w w:val="140"/>
              </w:rPr>
              <w:t>–</w:t>
            </w:r>
          </w:p>
        </w:tc>
        <w:tc>
          <w:tcPr>
            <w:tcW w:w="1191" w:type="dxa"/>
            <w:tcBorders>
              <w:bottom w:val="single" w:sz="4" w:space="0" w:color="A6A6A6" w:themeColor="background1" w:themeShade="A6"/>
            </w:tcBorders>
          </w:tcPr>
          <w:p w14:paraId="30E602C9" w14:textId="3E5A6D16" w:rsidR="005B40A3" w:rsidRDefault="005B40A3" w:rsidP="005B40A3">
            <w:pPr>
              <w:pStyle w:val="TableText"/>
              <w:jc w:val="right"/>
              <w:rPr>
                <w:w w:val="135"/>
              </w:rPr>
            </w:pPr>
            <w:r>
              <w:rPr>
                <w:w w:val="140"/>
              </w:rPr>
              <w:t>–</w:t>
            </w:r>
          </w:p>
        </w:tc>
      </w:tr>
      <w:tr w:rsidR="005B40A3" w14:paraId="2F2FCEC0" w14:textId="77777777" w:rsidTr="001330C6">
        <w:trPr>
          <w:trHeight w:val="340"/>
        </w:trPr>
        <w:tc>
          <w:tcPr>
            <w:tcW w:w="1269" w:type="dxa"/>
            <w:tcBorders>
              <w:top w:val="single" w:sz="4" w:space="0" w:color="A6A6A6" w:themeColor="background1" w:themeShade="A6"/>
              <w:bottom w:val="single" w:sz="4" w:space="0" w:color="A6A6A6" w:themeColor="background1" w:themeShade="A6"/>
            </w:tcBorders>
          </w:tcPr>
          <w:p w14:paraId="6698AF72" w14:textId="555DDF40" w:rsidR="005B40A3" w:rsidRPr="00320670" w:rsidRDefault="005B40A3" w:rsidP="005B40A3">
            <w:pPr>
              <w:pStyle w:val="TableText"/>
              <w:jc w:val="right"/>
              <w:rPr>
                <w:b/>
                <w:bCs/>
                <w:w w:val="105"/>
              </w:rPr>
            </w:pPr>
            <w:r w:rsidRPr="00320670">
              <w:rPr>
                <w:b/>
                <w:bCs/>
                <w:w w:val="105"/>
              </w:rPr>
              <w:t>965</w:t>
            </w:r>
          </w:p>
        </w:tc>
        <w:tc>
          <w:tcPr>
            <w:tcW w:w="2977" w:type="dxa"/>
            <w:tcBorders>
              <w:top w:val="single" w:sz="4" w:space="0" w:color="A6A6A6" w:themeColor="background1" w:themeShade="A6"/>
              <w:bottom w:val="single" w:sz="4" w:space="0" w:color="A6A6A6" w:themeColor="background1" w:themeShade="A6"/>
            </w:tcBorders>
          </w:tcPr>
          <w:p w14:paraId="6F1C8203" w14:textId="4A08E542" w:rsidR="005B40A3" w:rsidRPr="00320670" w:rsidRDefault="005B40A3" w:rsidP="005B40A3">
            <w:pPr>
              <w:pStyle w:val="TableText"/>
              <w:rPr>
                <w:b/>
                <w:bCs/>
              </w:rPr>
            </w:pPr>
            <w:r w:rsidRPr="00320670">
              <w:rPr>
                <w:b/>
                <w:bCs/>
                <w:w w:val="105"/>
              </w:rPr>
              <w:t xml:space="preserve">Total other comprehensive </w:t>
            </w:r>
            <w:r w:rsidRPr="00320670">
              <w:rPr>
                <w:b/>
                <w:bCs/>
              </w:rPr>
              <w:t>revenue</w:t>
            </w:r>
            <w:r w:rsidRPr="00320670">
              <w:rPr>
                <w:b/>
                <w:bCs/>
                <w:spacing w:val="6"/>
              </w:rPr>
              <w:t xml:space="preserve"> </w:t>
            </w:r>
            <w:r w:rsidRPr="00320670">
              <w:rPr>
                <w:b/>
                <w:bCs/>
              </w:rPr>
              <w:t>and expenses</w:t>
            </w:r>
          </w:p>
        </w:tc>
        <w:tc>
          <w:tcPr>
            <w:tcW w:w="822" w:type="dxa"/>
            <w:tcBorders>
              <w:top w:val="single" w:sz="4" w:space="0" w:color="A6A6A6" w:themeColor="background1" w:themeShade="A6"/>
              <w:bottom w:val="single" w:sz="4" w:space="0" w:color="A6A6A6" w:themeColor="background1" w:themeShade="A6"/>
            </w:tcBorders>
          </w:tcPr>
          <w:p w14:paraId="33B48FC6" w14:textId="77777777" w:rsidR="005B40A3" w:rsidRPr="00320670" w:rsidRDefault="005B40A3" w:rsidP="005B40A3">
            <w:pPr>
              <w:pStyle w:val="TableText"/>
              <w:jc w:val="right"/>
              <w:rPr>
                <w:rFonts w:ascii="Times New Roman"/>
                <w:b/>
                <w:bCs/>
              </w:rPr>
            </w:pPr>
          </w:p>
        </w:tc>
        <w:tc>
          <w:tcPr>
            <w:tcW w:w="1059" w:type="dxa"/>
            <w:tcBorders>
              <w:top w:val="single" w:sz="4" w:space="0" w:color="A6A6A6" w:themeColor="background1" w:themeShade="A6"/>
              <w:bottom w:val="single" w:sz="4" w:space="0" w:color="A6A6A6" w:themeColor="background1" w:themeShade="A6"/>
            </w:tcBorders>
          </w:tcPr>
          <w:p w14:paraId="30FC5AF3" w14:textId="77777777" w:rsidR="005B40A3" w:rsidRPr="00320670" w:rsidRDefault="005B40A3" w:rsidP="005B40A3">
            <w:pPr>
              <w:pStyle w:val="TableText"/>
              <w:jc w:val="right"/>
              <w:rPr>
                <w:b/>
                <w:bCs/>
              </w:rPr>
            </w:pPr>
            <w:r w:rsidRPr="00320670">
              <w:rPr>
                <w:b/>
                <w:bCs/>
                <w:w w:val="140"/>
              </w:rPr>
              <w:t>–</w:t>
            </w:r>
          </w:p>
        </w:tc>
        <w:tc>
          <w:tcPr>
            <w:tcW w:w="1252" w:type="dxa"/>
            <w:tcBorders>
              <w:top w:val="single" w:sz="4" w:space="0" w:color="A6A6A6" w:themeColor="background1" w:themeShade="A6"/>
              <w:bottom w:val="single" w:sz="4" w:space="0" w:color="A6A6A6" w:themeColor="background1" w:themeShade="A6"/>
            </w:tcBorders>
          </w:tcPr>
          <w:p w14:paraId="5C39E2B5" w14:textId="77777777" w:rsidR="005B40A3" w:rsidRPr="00320670" w:rsidRDefault="005B40A3" w:rsidP="005B40A3">
            <w:pPr>
              <w:pStyle w:val="TableText"/>
              <w:jc w:val="right"/>
              <w:rPr>
                <w:b/>
                <w:bCs/>
              </w:rPr>
            </w:pPr>
            <w:r w:rsidRPr="00320670">
              <w:rPr>
                <w:b/>
                <w:bCs/>
                <w:w w:val="140"/>
              </w:rPr>
              <w:t>–</w:t>
            </w:r>
          </w:p>
        </w:tc>
        <w:tc>
          <w:tcPr>
            <w:tcW w:w="1191" w:type="dxa"/>
            <w:tcBorders>
              <w:top w:val="single" w:sz="4" w:space="0" w:color="A6A6A6" w:themeColor="background1" w:themeShade="A6"/>
              <w:bottom w:val="single" w:sz="4" w:space="0" w:color="A6A6A6" w:themeColor="background1" w:themeShade="A6"/>
            </w:tcBorders>
          </w:tcPr>
          <w:p w14:paraId="33BB3011" w14:textId="77777777" w:rsidR="005B40A3" w:rsidRPr="00320670" w:rsidRDefault="005B40A3" w:rsidP="005B40A3">
            <w:pPr>
              <w:pStyle w:val="TableText"/>
              <w:jc w:val="right"/>
              <w:rPr>
                <w:b/>
                <w:bCs/>
              </w:rPr>
            </w:pPr>
            <w:r w:rsidRPr="00320670">
              <w:rPr>
                <w:b/>
                <w:bCs/>
                <w:w w:val="140"/>
              </w:rPr>
              <w:t>–</w:t>
            </w:r>
          </w:p>
        </w:tc>
      </w:tr>
      <w:tr w:rsidR="005B40A3" w14:paraId="629F1F65" w14:textId="77777777" w:rsidTr="001330C6">
        <w:trPr>
          <w:trHeight w:val="340"/>
        </w:trPr>
        <w:tc>
          <w:tcPr>
            <w:tcW w:w="1269" w:type="dxa"/>
            <w:tcBorders>
              <w:top w:val="single" w:sz="4" w:space="0" w:color="A6A6A6" w:themeColor="background1" w:themeShade="A6"/>
              <w:bottom w:val="single" w:sz="4" w:space="0" w:color="A6A6A6" w:themeColor="background1" w:themeShade="A6"/>
            </w:tcBorders>
          </w:tcPr>
          <w:p w14:paraId="3FC6BACD" w14:textId="4E339BC6" w:rsidR="005B40A3" w:rsidRPr="00320670" w:rsidRDefault="005B40A3" w:rsidP="005B40A3">
            <w:pPr>
              <w:pStyle w:val="TableText"/>
              <w:jc w:val="right"/>
              <w:rPr>
                <w:b/>
                <w:bCs/>
              </w:rPr>
            </w:pPr>
            <w:r w:rsidRPr="00320670">
              <w:rPr>
                <w:b/>
                <w:bCs/>
              </w:rPr>
              <w:t>31,170</w:t>
            </w:r>
          </w:p>
        </w:tc>
        <w:tc>
          <w:tcPr>
            <w:tcW w:w="2977" w:type="dxa"/>
            <w:tcBorders>
              <w:top w:val="single" w:sz="4" w:space="0" w:color="A6A6A6" w:themeColor="background1" w:themeShade="A6"/>
              <w:bottom w:val="single" w:sz="4" w:space="0" w:color="A6A6A6" w:themeColor="background1" w:themeShade="A6"/>
            </w:tcBorders>
          </w:tcPr>
          <w:p w14:paraId="581B55AB" w14:textId="524A0937" w:rsidR="005B40A3" w:rsidRPr="00320670" w:rsidRDefault="005B40A3" w:rsidP="005B40A3">
            <w:pPr>
              <w:pStyle w:val="TableText"/>
              <w:rPr>
                <w:b/>
                <w:bCs/>
              </w:rPr>
            </w:pPr>
            <w:r w:rsidRPr="00320670">
              <w:rPr>
                <w:b/>
                <w:bCs/>
              </w:rPr>
              <w:t>Total</w:t>
            </w:r>
            <w:r w:rsidRPr="00320670">
              <w:rPr>
                <w:b/>
                <w:bCs/>
                <w:spacing w:val="7"/>
              </w:rPr>
              <w:t xml:space="preserve"> </w:t>
            </w:r>
            <w:r w:rsidRPr="00320670">
              <w:rPr>
                <w:b/>
                <w:bCs/>
              </w:rPr>
              <w:t>comprehensive</w:t>
            </w:r>
            <w:r w:rsidRPr="00320670">
              <w:rPr>
                <w:b/>
                <w:bCs/>
                <w:spacing w:val="6"/>
              </w:rPr>
              <w:t xml:space="preserve"> </w:t>
            </w:r>
            <w:r w:rsidRPr="00320670">
              <w:rPr>
                <w:b/>
                <w:bCs/>
              </w:rPr>
              <w:t>revenue</w:t>
            </w:r>
            <w:r w:rsidRPr="00320670">
              <w:rPr>
                <w:b/>
                <w:bCs/>
                <w:spacing w:val="6"/>
              </w:rPr>
              <w:t xml:space="preserve"> </w:t>
            </w:r>
            <w:r w:rsidRPr="00320670">
              <w:rPr>
                <w:b/>
                <w:bCs/>
              </w:rPr>
              <w:t>and expenses</w:t>
            </w:r>
          </w:p>
        </w:tc>
        <w:tc>
          <w:tcPr>
            <w:tcW w:w="822" w:type="dxa"/>
            <w:tcBorders>
              <w:top w:val="single" w:sz="4" w:space="0" w:color="A6A6A6" w:themeColor="background1" w:themeShade="A6"/>
              <w:bottom w:val="single" w:sz="4" w:space="0" w:color="A6A6A6" w:themeColor="background1" w:themeShade="A6"/>
            </w:tcBorders>
          </w:tcPr>
          <w:p w14:paraId="2BB26A9F" w14:textId="77777777" w:rsidR="005B40A3" w:rsidRPr="00320670" w:rsidRDefault="005B40A3" w:rsidP="005B40A3">
            <w:pPr>
              <w:pStyle w:val="TableText"/>
              <w:jc w:val="right"/>
              <w:rPr>
                <w:rFonts w:ascii="Times New Roman"/>
                <w:b/>
                <w:bCs/>
              </w:rPr>
            </w:pPr>
          </w:p>
        </w:tc>
        <w:tc>
          <w:tcPr>
            <w:tcW w:w="1059" w:type="dxa"/>
            <w:tcBorders>
              <w:top w:val="single" w:sz="4" w:space="0" w:color="A6A6A6" w:themeColor="background1" w:themeShade="A6"/>
              <w:bottom w:val="single" w:sz="4" w:space="0" w:color="A6A6A6" w:themeColor="background1" w:themeShade="A6"/>
            </w:tcBorders>
          </w:tcPr>
          <w:p w14:paraId="76B12602" w14:textId="77777777" w:rsidR="005B40A3" w:rsidRPr="00320670" w:rsidRDefault="005B40A3" w:rsidP="005B40A3">
            <w:pPr>
              <w:pStyle w:val="TableText"/>
              <w:jc w:val="right"/>
              <w:rPr>
                <w:b/>
                <w:bCs/>
              </w:rPr>
            </w:pPr>
            <w:r w:rsidRPr="00320670">
              <w:rPr>
                <w:b/>
                <w:bCs/>
              </w:rPr>
              <w:t>141,252</w:t>
            </w:r>
          </w:p>
        </w:tc>
        <w:tc>
          <w:tcPr>
            <w:tcW w:w="1252" w:type="dxa"/>
            <w:tcBorders>
              <w:top w:val="single" w:sz="4" w:space="0" w:color="A6A6A6" w:themeColor="background1" w:themeShade="A6"/>
              <w:bottom w:val="single" w:sz="4" w:space="0" w:color="A6A6A6" w:themeColor="background1" w:themeShade="A6"/>
            </w:tcBorders>
          </w:tcPr>
          <w:p w14:paraId="050C092D" w14:textId="77777777" w:rsidR="005B40A3" w:rsidRPr="00320670" w:rsidRDefault="005B40A3" w:rsidP="005B40A3">
            <w:pPr>
              <w:pStyle w:val="TableText"/>
              <w:jc w:val="right"/>
              <w:rPr>
                <w:b/>
                <w:bCs/>
              </w:rPr>
            </w:pPr>
            <w:r w:rsidRPr="00320670">
              <w:rPr>
                <w:b/>
                <w:bCs/>
                <w:w w:val="140"/>
              </w:rPr>
              <w:t>–</w:t>
            </w:r>
          </w:p>
        </w:tc>
        <w:tc>
          <w:tcPr>
            <w:tcW w:w="1191" w:type="dxa"/>
            <w:tcBorders>
              <w:top w:val="single" w:sz="4" w:space="0" w:color="A6A6A6" w:themeColor="background1" w:themeShade="A6"/>
              <w:bottom w:val="single" w:sz="4" w:space="0" w:color="A6A6A6" w:themeColor="background1" w:themeShade="A6"/>
            </w:tcBorders>
          </w:tcPr>
          <w:p w14:paraId="39C8ACEF" w14:textId="77777777" w:rsidR="005B40A3" w:rsidRPr="00320670" w:rsidRDefault="005B40A3" w:rsidP="005B40A3">
            <w:pPr>
              <w:pStyle w:val="TableText"/>
              <w:jc w:val="right"/>
              <w:rPr>
                <w:b/>
                <w:bCs/>
              </w:rPr>
            </w:pPr>
            <w:r w:rsidRPr="00320670">
              <w:rPr>
                <w:b/>
                <w:bCs/>
                <w:w w:val="140"/>
              </w:rPr>
              <w:t>–</w:t>
            </w:r>
          </w:p>
        </w:tc>
      </w:tr>
    </w:tbl>
    <w:p w14:paraId="62FDC192" w14:textId="77777777" w:rsidR="00320670" w:rsidRDefault="00320670" w:rsidP="001330C6">
      <w:pPr>
        <w:pStyle w:val="Note"/>
        <w:rPr>
          <w:w w:val="110"/>
        </w:rPr>
      </w:pPr>
    </w:p>
    <w:p w14:paraId="327FD21A" w14:textId="77777777" w:rsidR="00320670" w:rsidRDefault="00320670" w:rsidP="001330C6">
      <w:pPr>
        <w:pStyle w:val="Note"/>
        <w:rPr>
          <w:w w:val="110"/>
        </w:rPr>
      </w:pPr>
    </w:p>
    <w:p w14:paraId="201519E0" w14:textId="77777777" w:rsidR="00320670" w:rsidRDefault="00320670" w:rsidP="001330C6">
      <w:pPr>
        <w:pStyle w:val="Note"/>
        <w:rPr>
          <w:w w:val="110"/>
        </w:rPr>
      </w:pPr>
    </w:p>
    <w:p w14:paraId="43AC96C8" w14:textId="77777777" w:rsidR="00320670" w:rsidRDefault="00320670" w:rsidP="001330C6">
      <w:pPr>
        <w:pStyle w:val="Note"/>
        <w:rPr>
          <w:w w:val="110"/>
        </w:rPr>
      </w:pPr>
    </w:p>
    <w:p w14:paraId="4C816527" w14:textId="77777777" w:rsidR="00320670" w:rsidRDefault="00320670" w:rsidP="001330C6">
      <w:pPr>
        <w:pStyle w:val="Note"/>
        <w:rPr>
          <w:w w:val="110"/>
        </w:rPr>
      </w:pPr>
    </w:p>
    <w:p w14:paraId="2C1F4D62" w14:textId="77777777" w:rsidR="00320670" w:rsidRDefault="00320670" w:rsidP="001330C6">
      <w:pPr>
        <w:pStyle w:val="Note"/>
        <w:rPr>
          <w:w w:val="110"/>
        </w:rPr>
      </w:pPr>
    </w:p>
    <w:p w14:paraId="3A042736" w14:textId="77777777" w:rsidR="00320670" w:rsidRDefault="00320670" w:rsidP="001330C6">
      <w:pPr>
        <w:pStyle w:val="Note"/>
        <w:rPr>
          <w:w w:val="110"/>
        </w:rPr>
      </w:pPr>
    </w:p>
    <w:p w14:paraId="44374A0E" w14:textId="77777777" w:rsidR="00320670" w:rsidRDefault="00320670" w:rsidP="001330C6">
      <w:pPr>
        <w:pStyle w:val="Note"/>
        <w:rPr>
          <w:w w:val="110"/>
        </w:rPr>
      </w:pPr>
    </w:p>
    <w:p w14:paraId="3FCBCBCD" w14:textId="77777777" w:rsidR="00320670" w:rsidRDefault="00320670" w:rsidP="001330C6">
      <w:pPr>
        <w:pStyle w:val="Note"/>
        <w:rPr>
          <w:w w:val="110"/>
        </w:rPr>
      </w:pPr>
    </w:p>
    <w:p w14:paraId="74B36220" w14:textId="77777777" w:rsidR="00320670" w:rsidRDefault="00320670" w:rsidP="001330C6">
      <w:pPr>
        <w:pStyle w:val="Note"/>
        <w:rPr>
          <w:w w:val="110"/>
        </w:rPr>
      </w:pPr>
    </w:p>
    <w:p w14:paraId="41595A63" w14:textId="77777777" w:rsidR="00320670" w:rsidRDefault="00320670" w:rsidP="001330C6">
      <w:pPr>
        <w:pStyle w:val="Note"/>
        <w:rPr>
          <w:w w:val="110"/>
        </w:rPr>
      </w:pPr>
    </w:p>
    <w:p w14:paraId="7ABA256E" w14:textId="77777777" w:rsidR="00320670" w:rsidRDefault="00320670" w:rsidP="001330C6">
      <w:pPr>
        <w:pStyle w:val="Note"/>
        <w:rPr>
          <w:w w:val="110"/>
        </w:rPr>
      </w:pPr>
    </w:p>
    <w:p w14:paraId="38DD1F1D" w14:textId="77777777" w:rsidR="00320670" w:rsidRDefault="00320670" w:rsidP="001330C6">
      <w:pPr>
        <w:pStyle w:val="Note"/>
        <w:rPr>
          <w:w w:val="110"/>
        </w:rPr>
      </w:pPr>
    </w:p>
    <w:p w14:paraId="02106F07" w14:textId="77777777" w:rsidR="00320670" w:rsidRDefault="00320670" w:rsidP="001330C6">
      <w:pPr>
        <w:pStyle w:val="Note"/>
        <w:rPr>
          <w:w w:val="110"/>
        </w:rPr>
      </w:pPr>
    </w:p>
    <w:p w14:paraId="0C43CE89" w14:textId="77777777" w:rsidR="00320670" w:rsidRDefault="00320670" w:rsidP="001330C6">
      <w:pPr>
        <w:pStyle w:val="Note"/>
        <w:rPr>
          <w:w w:val="110"/>
        </w:rPr>
      </w:pPr>
    </w:p>
    <w:p w14:paraId="5A153ED7" w14:textId="20571D63" w:rsidR="001330C6" w:rsidRDefault="001330C6" w:rsidP="001330C6">
      <w:pPr>
        <w:pStyle w:val="Note"/>
        <w:rPr>
          <w:w w:val="110"/>
        </w:rPr>
        <w:sectPr w:rsidR="001330C6" w:rsidSect="00C26282">
          <w:pgSz w:w="11907" w:h="16840" w:code="9"/>
          <w:pgMar w:top="1418" w:right="1701" w:bottom="1134" w:left="1843" w:header="284" w:footer="425" w:gutter="284"/>
          <w:cols w:space="720"/>
        </w:sectPr>
      </w:pPr>
      <w:r>
        <w:rPr>
          <w:w w:val="110"/>
        </w:rPr>
        <w:t>The</w:t>
      </w:r>
      <w:r>
        <w:rPr>
          <w:spacing w:val="8"/>
          <w:w w:val="110"/>
        </w:rPr>
        <w:t xml:space="preserve"> </w:t>
      </w:r>
      <w:r>
        <w:rPr>
          <w:w w:val="110"/>
        </w:rPr>
        <w:t>accompanying</w:t>
      </w:r>
      <w:r>
        <w:rPr>
          <w:spacing w:val="8"/>
          <w:w w:val="110"/>
        </w:rPr>
        <w:t xml:space="preserve"> </w:t>
      </w:r>
      <w:r>
        <w:rPr>
          <w:w w:val="110"/>
        </w:rPr>
        <w:t>notes</w:t>
      </w:r>
      <w:r>
        <w:rPr>
          <w:spacing w:val="8"/>
          <w:w w:val="110"/>
        </w:rPr>
        <w:t xml:space="preserve"> </w:t>
      </w:r>
      <w:r>
        <w:rPr>
          <w:w w:val="110"/>
        </w:rPr>
        <w:t>form</w:t>
      </w:r>
      <w:r>
        <w:rPr>
          <w:spacing w:val="9"/>
          <w:w w:val="110"/>
        </w:rPr>
        <w:t xml:space="preserve"> </w:t>
      </w:r>
      <w:r>
        <w:rPr>
          <w:w w:val="110"/>
        </w:rPr>
        <w:t>part</w:t>
      </w:r>
      <w:r>
        <w:rPr>
          <w:spacing w:val="8"/>
          <w:w w:val="110"/>
        </w:rPr>
        <w:t xml:space="preserve"> </w:t>
      </w:r>
      <w:r>
        <w:rPr>
          <w:w w:val="110"/>
        </w:rPr>
        <w:t>of</w:t>
      </w:r>
      <w:r>
        <w:rPr>
          <w:spacing w:val="8"/>
          <w:w w:val="110"/>
        </w:rPr>
        <w:t xml:space="preserve"> </w:t>
      </w:r>
      <w:r>
        <w:rPr>
          <w:w w:val="110"/>
        </w:rPr>
        <w:t>these</w:t>
      </w:r>
      <w:r>
        <w:rPr>
          <w:spacing w:val="8"/>
          <w:w w:val="110"/>
        </w:rPr>
        <w:t xml:space="preserve"> </w:t>
      </w:r>
      <w:r>
        <w:rPr>
          <w:w w:val="110"/>
        </w:rPr>
        <w:t>financial</w:t>
      </w:r>
      <w:r>
        <w:rPr>
          <w:spacing w:val="9"/>
          <w:w w:val="110"/>
        </w:rPr>
        <w:t xml:space="preserve"> </w:t>
      </w:r>
      <w:r>
        <w:rPr>
          <w:w w:val="110"/>
        </w:rPr>
        <w:t>statements</w:t>
      </w:r>
    </w:p>
    <w:p w14:paraId="78C26446" w14:textId="77777777" w:rsidR="001330C6" w:rsidRDefault="001330C6" w:rsidP="001330C6">
      <w:pPr>
        <w:pStyle w:val="Heading3"/>
        <w:spacing w:before="0"/>
      </w:pPr>
      <w:bookmarkStart w:id="58" w:name="_Toc117264965"/>
      <w:r w:rsidRPr="001330C6">
        <w:lastRenderedPageBreak/>
        <w:t>Statement of financial position as at 30 June 2022</w:t>
      </w:r>
      <w:bookmarkEnd w:id="58"/>
    </w:p>
    <w:tbl>
      <w:tblPr>
        <w:tblpPr w:leftFromText="180" w:rightFromText="180" w:vertAnchor="text" w:horzAnchor="margin" w:tblpY="-3"/>
        <w:tblW w:w="8718" w:type="dxa"/>
        <w:tblLayout w:type="fixed"/>
        <w:tblCellMar>
          <w:left w:w="0" w:type="dxa"/>
          <w:right w:w="0" w:type="dxa"/>
        </w:tblCellMar>
        <w:tblLook w:val="01E0" w:firstRow="1" w:lastRow="1" w:firstColumn="1" w:lastColumn="1" w:noHBand="0" w:noVBand="0"/>
      </w:tblPr>
      <w:tblGrid>
        <w:gridCol w:w="1276"/>
        <w:gridCol w:w="2830"/>
        <w:gridCol w:w="1188"/>
        <w:gridCol w:w="1045"/>
        <w:gridCol w:w="1216"/>
        <w:gridCol w:w="1163"/>
      </w:tblGrid>
      <w:tr w:rsidR="001330C6" w14:paraId="10F10A88" w14:textId="77777777" w:rsidTr="001330C6">
        <w:trPr>
          <w:trHeight w:val="1079"/>
        </w:trPr>
        <w:tc>
          <w:tcPr>
            <w:tcW w:w="1276" w:type="dxa"/>
            <w:shd w:val="clear" w:color="auto" w:fill="D9D9D9" w:themeFill="background1" w:themeFillShade="D9"/>
          </w:tcPr>
          <w:p w14:paraId="22C60755" w14:textId="77777777" w:rsidR="001330C6" w:rsidRPr="001330C6" w:rsidRDefault="001330C6" w:rsidP="001330C6">
            <w:pPr>
              <w:pStyle w:val="TableText"/>
              <w:jc w:val="right"/>
              <w:rPr>
                <w:b/>
                <w:bCs/>
              </w:rPr>
            </w:pPr>
            <w:r w:rsidRPr="001330C6">
              <w:rPr>
                <w:b/>
                <w:bCs/>
                <w:w w:val="105"/>
              </w:rPr>
              <w:t>Restated</w:t>
            </w:r>
            <w:r w:rsidRPr="001330C6">
              <w:rPr>
                <w:b/>
                <w:bCs/>
                <w:w w:val="105"/>
              </w:rPr>
              <w:br/>
            </w:r>
            <w:r w:rsidRPr="001330C6">
              <w:rPr>
                <w:b/>
                <w:bCs/>
                <w:spacing w:val="-50"/>
                <w:w w:val="105"/>
              </w:rPr>
              <w:t xml:space="preserve"> </w:t>
            </w:r>
            <w:r w:rsidRPr="001330C6">
              <w:rPr>
                <w:b/>
                <w:bCs/>
                <w:w w:val="110"/>
              </w:rPr>
              <w:t>actual</w:t>
            </w:r>
          </w:p>
          <w:p w14:paraId="22140ADE" w14:textId="77777777" w:rsidR="001330C6" w:rsidRPr="001330C6" w:rsidRDefault="001330C6" w:rsidP="001330C6">
            <w:pPr>
              <w:pStyle w:val="TableText"/>
              <w:jc w:val="right"/>
              <w:rPr>
                <w:b/>
                <w:bCs/>
              </w:rPr>
            </w:pPr>
            <w:r w:rsidRPr="001330C6">
              <w:rPr>
                <w:b/>
                <w:bCs/>
              </w:rPr>
              <w:t>2021</w:t>
            </w:r>
          </w:p>
          <w:p w14:paraId="5B0E128F" w14:textId="75F1A8F5" w:rsidR="001330C6" w:rsidRPr="001330C6" w:rsidRDefault="001330C6" w:rsidP="001330C6">
            <w:pPr>
              <w:pStyle w:val="TableText"/>
              <w:jc w:val="right"/>
              <w:rPr>
                <w:b/>
                <w:bCs/>
                <w:w w:val="105"/>
              </w:rPr>
            </w:pPr>
            <w:r w:rsidRPr="001330C6">
              <w:rPr>
                <w:b/>
                <w:bCs/>
                <w:w w:val="120"/>
              </w:rPr>
              <w:t>$000</w:t>
            </w:r>
          </w:p>
        </w:tc>
        <w:tc>
          <w:tcPr>
            <w:tcW w:w="2830" w:type="dxa"/>
            <w:shd w:val="clear" w:color="auto" w:fill="D9D9D9" w:themeFill="background1" w:themeFillShade="D9"/>
          </w:tcPr>
          <w:p w14:paraId="6530BE7E" w14:textId="13FF8467" w:rsidR="001330C6" w:rsidRPr="001330C6" w:rsidRDefault="001330C6" w:rsidP="001330C6">
            <w:pPr>
              <w:pStyle w:val="TableText"/>
              <w:rPr>
                <w:b/>
                <w:bCs/>
              </w:rPr>
            </w:pPr>
          </w:p>
        </w:tc>
        <w:tc>
          <w:tcPr>
            <w:tcW w:w="1188" w:type="dxa"/>
            <w:shd w:val="clear" w:color="auto" w:fill="D9D9D9" w:themeFill="background1" w:themeFillShade="D9"/>
          </w:tcPr>
          <w:p w14:paraId="1A08E44F" w14:textId="77777777" w:rsidR="001330C6" w:rsidRPr="001330C6" w:rsidRDefault="001330C6" w:rsidP="00090FEB">
            <w:pPr>
              <w:pStyle w:val="TableText"/>
              <w:ind w:right="194"/>
              <w:jc w:val="center"/>
              <w:rPr>
                <w:b/>
                <w:bCs/>
              </w:rPr>
            </w:pPr>
            <w:r w:rsidRPr="001330C6">
              <w:rPr>
                <w:b/>
                <w:bCs/>
                <w:w w:val="110"/>
              </w:rPr>
              <w:t>Note</w:t>
            </w:r>
          </w:p>
        </w:tc>
        <w:tc>
          <w:tcPr>
            <w:tcW w:w="1045" w:type="dxa"/>
            <w:shd w:val="clear" w:color="auto" w:fill="D9D9D9" w:themeFill="background1" w:themeFillShade="D9"/>
          </w:tcPr>
          <w:p w14:paraId="3421FD85" w14:textId="5DE80A38" w:rsidR="001330C6" w:rsidRPr="001330C6" w:rsidRDefault="001330C6" w:rsidP="001330C6">
            <w:pPr>
              <w:pStyle w:val="TableText"/>
              <w:jc w:val="right"/>
              <w:rPr>
                <w:b/>
                <w:bCs/>
              </w:rPr>
            </w:pPr>
            <w:r w:rsidRPr="001330C6">
              <w:rPr>
                <w:b/>
                <w:bCs/>
                <w:w w:val="110"/>
              </w:rPr>
              <w:t>Actual</w:t>
            </w:r>
            <w:r w:rsidRPr="001330C6">
              <w:rPr>
                <w:b/>
                <w:bCs/>
                <w:w w:val="110"/>
              </w:rPr>
              <w:br/>
            </w:r>
          </w:p>
          <w:p w14:paraId="1707B98D" w14:textId="77777777" w:rsidR="001330C6" w:rsidRPr="001330C6" w:rsidRDefault="001330C6" w:rsidP="001330C6">
            <w:pPr>
              <w:pStyle w:val="TableText"/>
              <w:jc w:val="right"/>
              <w:rPr>
                <w:b/>
                <w:bCs/>
              </w:rPr>
            </w:pPr>
            <w:r w:rsidRPr="001330C6">
              <w:rPr>
                <w:b/>
                <w:bCs/>
                <w:w w:val="105"/>
              </w:rPr>
              <w:t>2022</w:t>
            </w:r>
          </w:p>
          <w:p w14:paraId="1E660EB9" w14:textId="77777777" w:rsidR="001330C6" w:rsidRPr="001330C6" w:rsidRDefault="001330C6" w:rsidP="001330C6">
            <w:pPr>
              <w:pStyle w:val="TableText"/>
              <w:jc w:val="right"/>
              <w:rPr>
                <w:b/>
                <w:bCs/>
              </w:rPr>
            </w:pPr>
            <w:r w:rsidRPr="001330C6">
              <w:rPr>
                <w:b/>
                <w:bCs/>
                <w:w w:val="120"/>
              </w:rPr>
              <w:t>$000</w:t>
            </w:r>
          </w:p>
        </w:tc>
        <w:tc>
          <w:tcPr>
            <w:tcW w:w="1216" w:type="dxa"/>
            <w:shd w:val="clear" w:color="auto" w:fill="D9D9D9" w:themeFill="background1" w:themeFillShade="D9"/>
          </w:tcPr>
          <w:p w14:paraId="21160818" w14:textId="61165580" w:rsidR="001330C6" w:rsidRPr="001330C6" w:rsidRDefault="001330C6" w:rsidP="001330C6">
            <w:pPr>
              <w:pStyle w:val="TableText"/>
              <w:jc w:val="right"/>
              <w:rPr>
                <w:b/>
                <w:bCs/>
              </w:rPr>
            </w:pPr>
            <w:r w:rsidRPr="001330C6">
              <w:rPr>
                <w:b/>
                <w:bCs/>
                <w:w w:val="110"/>
              </w:rPr>
              <w:t>Unaudited</w:t>
            </w:r>
            <w:r w:rsidRPr="001330C6">
              <w:rPr>
                <w:b/>
                <w:bCs/>
                <w:w w:val="110"/>
              </w:rPr>
              <w:br/>
              <w:t>budget</w:t>
            </w:r>
          </w:p>
          <w:p w14:paraId="654141AE" w14:textId="77777777" w:rsidR="001330C6" w:rsidRPr="001330C6" w:rsidRDefault="001330C6" w:rsidP="001330C6">
            <w:pPr>
              <w:pStyle w:val="TableText"/>
              <w:jc w:val="right"/>
              <w:rPr>
                <w:b/>
                <w:bCs/>
              </w:rPr>
            </w:pPr>
            <w:r w:rsidRPr="001330C6">
              <w:rPr>
                <w:b/>
                <w:bCs/>
                <w:w w:val="105"/>
              </w:rPr>
              <w:t>2022</w:t>
            </w:r>
          </w:p>
          <w:p w14:paraId="13819C8F" w14:textId="77777777" w:rsidR="001330C6" w:rsidRPr="001330C6" w:rsidRDefault="001330C6" w:rsidP="001330C6">
            <w:pPr>
              <w:pStyle w:val="TableText"/>
              <w:jc w:val="right"/>
              <w:rPr>
                <w:b/>
                <w:bCs/>
              </w:rPr>
            </w:pPr>
            <w:r w:rsidRPr="001330C6">
              <w:rPr>
                <w:b/>
                <w:bCs/>
                <w:w w:val="120"/>
              </w:rPr>
              <w:t>$000</w:t>
            </w:r>
          </w:p>
        </w:tc>
        <w:tc>
          <w:tcPr>
            <w:tcW w:w="1163" w:type="dxa"/>
            <w:shd w:val="clear" w:color="auto" w:fill="D9D9D9" w:themeFill="background1" w:themeFillShade="D9"/>
          </w:tcPr>
          <w:p w14:paraId="6E5FE673" w14:textId="77777777" w:rsidR="001330C6" w:rsidRPr="001330C6" w:rsidRDefault="001330C6" w:rsidP="001330C6">
            <w:pPr>
              <w:pStyle w:val="TableText"/>
              <w:jc w:val="right"/>
              <w:rPr>
                <w:b/>
                <w:bCs/>
              </w:rPr>
            </w:pPr>
            <w:r w:rsidRPr="001330C6">
              <w:rPr>
                <w:b/>
                <w:bCs/>
                <w:w w:val="110"/>
              </w:rPr>
              <w:t>Unaudited</w:t>
            </w:r>
            <w:r w:rsidRPr="001330C6">
              <w:rPr>
                <w:b/>
                <w:bCs/>
                <w:spacing w:val="-53"/>
                <w:w w:val="110"/>
              </w:rPr>
              <w:t xml:space="preserve"> </w:t>
            </w:r>
            <w:r w:rsidRPr="001330C6">
              <w:rPr>
                <w:b/>
                <w:bCs/>
                <w:w w:val="110"/>
              </w:rPr>
              <w:t>forecast</w:t>
            </w:r>
          </w:p>
          <w:p w14:paraId="7018B512" w14:textId="77777777" w:rsidR="001330C6" w:rsidRPr="001330C6" w:rsidRDefault="001330C6" w:rsidP="001330C6">
            <w:pPr>
              <w:pStyle w:val="TableText"/>
              <w:jc w:val="right"/>
              <w:rPr>
                <w:b/>
                <w:bCs/>
              </w:rPr>
            </w:pPr>
            <w:r w:rsidRPr="001330C6">
              <w:rPr>
                <w:b/>
                <w:bCs/>
                <w:w w:val="110"/>
              </w:rPr>
              <w:t>2023</w:t>
            </w:r>
          </w:p>
          <w:p w14:paraId="7EE777EF" w14:textId="77777777" w:rsidR="001330C6" w:rsidRPr="001330C6" w:rsidRDefault="001330C6" w:rsidP="001330C6">
            <w:pPr>
              <w:pStyle w:val="TableText"/>
              <w:jc w:val="right"/>
              <w:rPr>
                <w:b/>
                <w:bCs/>
              </w:rPr>
            </w:pPr>
            <w:r w:rsidRPr="001330C6">
              <w:rPr>
                <w:b/>
                <w:bCs/>
                <w:w w:val="120"/>
              </w:rPr>
              <w:t>$000</w:t>
            </w:r>
          </w:p>
        </w:tc>
      </w:tr>
      <w:tr w:rsidR="001330C6" w:rsidRPr="001330C6" w14:paraId="2B8D24BF" w14:textId="77777777" w:rsidTr="001330C6">
        <w:trPr>
          <w:trHeight w:val="420"/>
        </w:trPr>
        <w:tc>
          <w:tcPr>
            <w:tcW w:w="1276" w:type="dxa"/>
          </w:tcPr>
          <w:p w14:paraId="5D3F9B63" w14:textId="77777777" w:rsidR="001330C6" w:rsidRPr="001330C6" w:rsidRDefault="001330C6" w:rsidP="001330C6">
            <w:pPr>
              <w:pStyle w:val="TableText"/>
              <w:jc w:val="right"/>
              <w:rPr>
                <w:b/>
                <w:bCs/>
                <w:w w:val="110"/>
              </w:rPr>
            </w:pPr>
          </w:p>
        </w:tc>
        <w:tc>
          <w:tcPr>
            <w:tcW w:w="2830" w:type="dxa"/>
          </w:tcPr>
          <w:p w14:paraId="0A2DBCE1" w14:textId="45EAD6CF" w:rsidR="001330C6" w:rsidRPr="001330C6" w:rsidRDefault="001330C6" w:rsidP="001330C6">
            <w:pPr>
              <w:pStyle w:val="TableText"/>
              <w:rPr>
                <w:b/>
                <w:bCs/>
              </w:rPr>
            </w:pPr>
            <w:r w:rsidRPr="001330C6">
              <w:rPr>
                <w:b/>
                <w:bCs/>
                <w:w w:val="110"/>
              </w:rPr>
              <w:t>Equity</w:t>
            </w:r>
          </w:p>
        </w:tc>
        <w:tc>
          <w:tcPr>
            <w:tcW w:w="1188" w:type="dxa"/>
          </w:tcPr>
          <w:p w14:paraId="17B3C36E" w14:textId="77777777" w:rsidR="001330C6" w:rsidRPr="001330C6" w:rsidRDefault="001330C6" w:rsidP="00090FEB">
            <w:pPr>
              <w:pStyle w:val="TableText"/>
              <w:ind w:right="194"/>
              <w:jc w:val="center"/>
              <w:rPr>
                <w:rFonts w:ascii="Times New Roman"/>
                <w:b/>
                <w:bCs/>
              </w:rPr>
            </w:pPr>
          </w:p>
        </w:tc>
        <w:tc>
          <w:tcPr>
            <w:tcW w:w="1045" w:type="dxa"/>
          </w:tcPr>
          <w:p w14:paraId="665D1592" w14:textId="77777777" w:rsidR="001330C6" w:rsidRPr="001330C6" w:rsidRDefault="001330C6" w:rsidP="001330C6">
            <w:pPr>
              <w:pStyle w:val="TableText"/>
              <w:jc w:val="right"/>
              <w:rPr>
                <w:rFonts w:ascii="Times New Roman"/>
                <w:b/>
                <w:bCs/>
              </w:rPr>
            </w:pPr>
          </w:p>
        </w:tc>
        <w:tc>
          <w:tcPr>
            <w:tcW w:w="1216" w:type="dxa"/>
          </w:tcPr>
          <w:p w14:paraId="1C116E3D" w14:textId="77777777" w:rsidR="001330C6" w:rsidRPr="001330C6" w:rsidRDefault="001330C6" w:rsidP="001330C6">
            <w:pPr>
              <w:pStyle w:val="TableText"/>
              <w:jc w:val="right"/>
              <w:rPr>
                <w:rFonts w:ascii="Times New Roman"/>
                <w:b/>
                <w:bCs/>
              </w:rPr>
            </w:pPr>
          </w:p>
        </w:tc>
        <w:tc>
          <w:tcPr>
            <w:tcW w:w="1163" w:type="dxa"/>
          </w:tcPr>
          <w:p w14:paraId="63BED8B9" w14:textId="77777777" w:rsidR="001330C6" w:rsidRPr="001330C6" w:rsidRDefault="001330C6" w:rsidP="001330C6">
            <w:pPr>
              <w:pStyle w:val="TableText"/>
              <w:jc w:val="right"/>
              <w:rPr>
                <w:rFonts w:ascii="Times New Roman"/>
                <w:b/>
                <w:bCs/>
              </w:rPr>
            </w:pPr>
          </w:p>
        </w:tc>
      </w:tr>
      <w:tr w:rsidR="001330C6" w14:paraId="3BA21123" w14:textId="77777777" w:rsidTr="001330C6">
        <w:trPr>
          <w:trHeight w:val="367"/>
        </w:trPr>
        <w:tc>
          <w:tcPr>
            <w:tcW w:w="1276" w:type="dxa"/>
          </w:tcPr>
          <w:p w14:paraId="66202221" w14:textId="79B4465F" w:rsidR="001330C6" w:rsidRDefault="001330C6" w:rsidP="001330C6">
            <w:pPr>
              <w:pStyle w:val="TableText"/>
              <w:jc w:val="right"/>
              <w:rPr>
                <w:w w:val="105"/>
              </w:rPr>
            </w:pPr>
            <w:r>
              <w:rPr>
                <w:w w:val="105"/>
              </w:rPr>
              <w:t>28,338</w:t>
            </w:r>
          </w:p>
        </w:tc>
        <w:tc>
          <w:tcPr>
            <w:tcW w:w="2830" w:type="dxa"/>
          </w:tcPr>
          <w:p w14:paraId="60C790AC" w14:textId="37A6165A" w:rsidR="001330C6" w:rsidRDefault="001330C6" w:rsidP="001330C6">
            <w:pPr>
              <w:pStyle w:val="TableText"/>
            </w:pPr>
            <w:r>
              <w:rPr>
                <w:w w:val="105"/>
              </w:rPr>
              <w:t>Taxpayers’</w:t>
            </w:r>
            <w:r>
              <w:rPr>
                <w:spacing w:val="-5"/>
                <w:w w:val="105"/>
              </w:rPr>
              <w:t xml:space="preserve"> </w:t>
            </w:r>
            <w:r>
              <w:rPr>
                <w:w w:val="105"/>
              </w:rPr>
              <w:t>funds</w:t>
            </w:r>
          </w:p>
        </w:tc>
        <w:tc>
          <w:tcPr>
            <w:tcW w:w="1188" w:type="dxa"/>
          </w:tcPr>
          <w:p w14:paraId="6305F5CB" w14:textId="77777777" w:rsidR="001330C6" w:rsidRDefault="001330C6" w:rsidP="00090FEB">
            <w:pPr>
              <w:pStyle w:val="TableText"/>
              <w:ind w:right="194"/>
              <w:jc w:val="center"/>
              <w:rPr>
                <w:rFonts w:ascii="Times New Roman"/>
              </w:rPr>
            </w:pPr>
          </w:p>
        </w:tc>
        <w:tc>
          <w:tcPr>
            <w:tcW w:w="1045" w:type="dxa"/>
          </w:tcPr>
          <w:p w14:paraId="76B34861" w14:textId="77777777" w:rsidR="001330C6" w:rsidRDefault="001330C6" w:rsidP="001330C6">
            <w:pPr>
              <w:pStyle w:val="TableText"/>
              <w:jc w:val="right"/>
            </w:pPr>
            <w:r>
              <w:t>25,961</w:t>
            </w:r>
          </w:p>
        </w:tc>
        <w:tc>
          <w:tcPr>
            <w:tcW w:w="1216" w:type="dxa"/>
          </w:tcPr>
          <w:p w14:paraId="56ECB70F" w14:textId="77777777" w:rsidR="001330C6" w:rsidRDefault="001330C6" w:rsidP="001330C6">
            <w:pPr>
              <w:pStyle w:val="TableText"/>
              <w:jc w:val="right"/>
            </w:pPr>
            <w:r>
              <w:rPr>
                <w:w w:val="105"/>
              </w:rPr>
              <w:t>63,339</w:t>
            </w:r>
          </w:p>
        </w:tc>
        <w:tc>
          <w:tcPr>
            <w:tcW w:w="1163" w:type="dxa"/>
          </w:tcPr>
          <w:p w14:paraId="5237A42C" w14:textId="77777777" w:rsidR="001330C6" w:rsidRDefault="001330C6" w:rsidP="001330C6">
            <w:pPr>
              <w:pStyle w:val="TableText"/>
              <w:jc w:val="right"/>
            </w:pPr>
            <w:r>
              <w:rPr>
                <w:w w:val="105"/>
              </w:rPr>
              <w:t>26,087</w:t>
            </w:r>
          </w:p>
        </w:tc>
      </w:tr>
      <w:tr w:rsidR="001330C6" w14:paraId="673D612C" w14:textId="77777777" w:rsidTr="001330C6">
        <w:trPr>
          <w:trHeight w:val="359"/>
        </w:trPr>
        <w:tc>
          <w:tcPr>
            <w:tcW w:w="1276" w:type="dxa"/>
          </w:tcPr>
          <w:p w14:paraId="5DE2E79D" w14:textId="24183339" w:rsidR="001330C6" w:rsidRDefault="001330C6" w:rsidP="001330C6">
            <w:pPr>
              <w:pStyle w:val="TableText"/>
              <w:jc w:val="right"/>
              <w:rPr>
                <w:w w:val="105"/>
              </w:rPr>
            </w:pPr>
            <w:r>
              <w:rPr>
                <w:w w:val="105"/>
              </w:rPr>
              <w:t>3,555</w:t>
            </w:r>
          </w:p>
        </w:tc>
        <w:tc>
          <w:tcPr>
            <w:tcW w:w="2830" w:type="dxa"/>
          </w:tcPr>
          <w:p w14:paraId="53784DCC" w14:textId="10D70645" w:rsidR="001330C6" w:rsidRDefault="001330C6" w:rsidP="001330C6">
            <w:pPr>
              <w:pStyle w:val="TableText"/>
            </w:pPr>
            <w:r>
              <w:rPr>
                <w:w w:val="105"/>
              </w:rPr>
              <w:t>Property</w:t>
            </w:r>
            <w:r>
              <w:rPr>
                <w:spacing w:val="-7"/>
                <w:w w:val="105"/>
              </w:rPr>
              <w:t xml:space="preserve"> </w:t>
            </w:r>
            <w:r>
              <w:rPr>
                <w:w w:val="105"/>
              </w:rPr>
              <w:t>revaluation</w:t>
            </w:r>
            <w:r>
              <w:rPr>
                <w:spacing w:val="-7"/>
                <w:w w:val="105"/>
              </w:rPr>
              <w:t xml:space="preserve"> </w:t>
            </w:r>
            <w:r>
              <w:rPr>
                <w:w w:val="105"/>
              </w:rPr>
              <w:t>reserve</w:t>
            </w:r>
          </w:p>
        </w:tc>
        <w:tc>
          <w:tcPr>
            <w:tcW w:w="1188" w:type="dxa"/>
          </w:tcPr>
          <w:p w14:paraId="494D5C08" w14:textId="77777777" w:rsidR="001330C6" w:rsidRDefault="001330C6" w:rsidP="00090FEB">
            <w:pPr>
              <w:pStyle w:val="TableText"/>
              <w:ind w:right="194"/>
              <w:jc w:val="center"/>
              <w:rPr>
                <w:rFonts w:ascii="Times New Roman"/>
              </w:rPr>
            </w:pPr>
          </w:p>
        </w:tc>
        <w:tc>
          <w:tcPr>
            <w:tcW w:w="1045" w:type="dxa"/>
          </w:tcPr>
          <w:p w14:paraId="37D07F57" w14:textId="77777777" w:rsidR="001330C6" w:rsidRDefault="001330C6" w:rsidP="001330C6">
            <w:pPr>
              <w:pStyle w:val="TableText"/>
              <w:jc w:val="right"/>
            </w:pPr>
            <w:r>
              <w:rPr>
                <w:w w:val="105"/>
              </w:rPr>
              <w:t>3,555</w:t>
            </w:r>
          </w:p>
        </w:tc>
        <w:tc>
          <w:tcPr>
            <w:tcW w:w="1216" w:type="dxa"/>
          </w:tcPr>
          <w:p w14:paraId="54B1FDAD" w14:textId="77777777" w:rsidR="001330C6" w:rsidRDefault="001330C6" w:rsidP="001330C6">
            <w:pPr>
              <w:pStyle w:val="TableText"/>
              <w:jc w:val="right"/>
            </w:pPr>
            <w:r>
              <w:rPr>
                <w:w w:val="105"/>
              </w:rPr>
              <w:t>2,590</w:t>
            </w:r>
          </w:p>
        </w:tc>
        <w:tc>
          <w:tcPr>
            <w:tcW w:w="1163" w:type="dxa"/>
          </w:tcPr>
          <w:p w14:paraId="4B5DC437" w14:textId="77777777" w:rsidR="001330C6" w:rsidRDefault="001330C6" w:rsidP="001330C6">
            <w:pPr>
              <w:pStyle w:val="TableText"/>
              <w:jc w:val="right"/>
            </w:pPr>
            <w:r>
              <w:rPr>
                <w:w w:val="105"/>
              </w:rPr>
              <w:t>3,555</w:t>
            </w:r>
          </w:p>
        </w:tc>
      </w:tr>
      <w:tr w:rsidR="001330C6" w14:paraId="509DFBC6" w14:textId="77777777" w:rsidTr="006C6773">
        <w:trPr>
          <w:trHeight w:val="356"/>
        </w:trPr>
        <w:tc>
          <w:tcPr>
            <w:tcW w:w="1276" w:type="dxa"/>
          </w:tcPr>
          <w:p w14:paraId="745D0AC4" w14:textId="5F1EA9FA" w:rsidR="001330C6" w:rsidRDefault="001330C6" w:rsidP="001330C6">
            <w:pPr>
              <w:pStyle w:val="TableText"/>
              <w:jc w:val="right"/>
              <w:rPr>
                <w:w w:val="105"/>
              </w:rPr>
            </w:pPr>
            <w:r>
              <w:rPr>
                <w:w w:val="105"/>
              </w:rPr>
              <w:t>(6,002)</w:t>
            </w:r>
          </w:p>
        </w:tc>
        <w:tc>
          <w:tcPr>
            <w:tcW w:w="2830" w:type="dxa"/>
          </w:tcPr>
          <w:p w14:paraId="38C5C41B" w14:textId="2B39AFEC" w:rsidR="001330C6" w:rsidRDefault="001330C6" w:rsidP="001330C6">
            <w:pPr>
              <w:pStyle w:val="TableText"/>
            </w:pPr>
            <w:r>
              <w:rPr>
                <w:w w:val="105"/>
              </w:rPr>
              <w:t>Memorandum</w:t>
            </w:r>
            <w:r>
              <w:rPr>
                <w:spacing w:val="-8"/>
                <w:w w:val="105"/>
              </w:rPr>
              <w:t xml:space="preserve"> </w:t>
            </w:r>
            <w:r>
              <w:rPr>
                <w:w w:val="105"/>
              </w:rPr>
              <w:t>accounts</w:t>
            </w:r>
          </w:p>
        </w:tc>
        <w:tc>
          <w:tcPr>
            <w:tcW w:w="1188" w:type="dxa"/>
          </w:tcPr>
          <w:p w14:paraId="16010199" w14:textId="77777777" w:rsidR="001330C6" w:rsidRPr="00090FEB" w:rsidRDefault="001330C6" w:rsidP="00090FEB">
            <w:pPr>
              <w:pStyle w:val="TableText"/>
              <w:jc w:val="center"/>
            </w:pPr>
            <w:r w:rsidRPr="00090FEB">
              <w:t>12</w:t>
            </w:r>
          </w:p>
        </w:tc>
        <w:tc>
          <w:tcPr>
            <w:tcW w:w="1045" w:type="dxa"/>
          </w:tcPr>
          <w:p w14:paraId="3FA7107E" w14:textId="77777777" w:rsidR="001330C6" w:rsidRDefault="001330C6" w:rsidP="001330C6">
            <w:pPr>
              <w:pStyle w:val="TableText"/>
              <w:jc w:val="right"/>
            </w:pPr>
            <w:r>
              <w:rPr>
                <w:w w:val="105"/>
              </w:rPr>
              <w:t>(7,339)</w:t>
            </w:r>
          </w:p>
        </w:tc>
        <w:tc>
          <w:tcPr>
            <w:tcW w:w="1216" w:type="dxa"/>
          </w:tcPr>
          <w:p w14:paraId="07307750" w14:textId="77777777" w:rsidR="001330C6" w:rsidRDefault="001330C6" w:rsidP="001330C6">
            <w:pPr>
              <w:pStyle w:val="TableText"/>
              <w:jc w:val="right"/>
            </w:pPr>
            <w:r>
              <w:rPr>
                <w:w w:val="110"/>
              </w:rPr>
              <w:t>(6,002)</w:t>
            </w:r>
          </w:p>
        </w:tc>
        <w:tc>
          <w:tcPr>
            <w:tcW w:w="1163" w:type="dxa"/>
          </w:tcPr>
          <w:p w14:paraId="695DDAC1" w14:textId="77777777" w:rsidR="001330C6" w:rsidRDefault="001330C6" w:rsidP="001330C6">
            <w:pPr>
              <w:pStyle w:val="TableText"/>
              <w:jc w:val="right"/>
            </w:pPr>
            <w:r>
              <w:rPr>
                <w:w w:val="105"/>
              </w:rPr>
              <w:t>(7,339)</w:t>
            </w:r>
          </w:p>
        </w:tc>
      </w:tr>
      <w:tr w:rsidR="001330C6" w:rsidRPr="001330C6" w14:paraId="19E330D8" w14:textId="77777777" w:rsidTr="006C6773">
        <w:trPr>
          <w:trHeight w:val="327"/>
        </w:trPr>
        <w:tc>
          <w:tcPr>
            <w:tcW w:w="1276" w:type="dxa"/>
            <w:tcBorders>
              <w:bottom w:val="single" w:sz="4" w:space="0" w:color="A6A6A6" w:themeColor="background1" w:themeShade="A6"/>
            </w:tcBorders>
          </w:tcPr>
          <w:p w14:paraId="450A1B8C" w14:textId="4C8AE032" w:rsidR="001330C6" w:rsidRPr="001330C6" w:rsidRDefault="001330C6" w:rsidP="001330C6">
            <w:pPr>
              <w:pStyle w:val="TableText"/>
              <w:jc w:val="right"/>
              <w:rPr>
                <w:b/>
                <w:bCs/>
                <w:w w:val="105"/>
              </w:rPr>
            </w:pPr>
            <w:r w:rsidRPr="001330C6">
              <w:rPr>
                <w:b/>
                <w:bCs/>
                <w:w w:val="105"/>
              </w:rPr>
              <w:t>25,891</w:t>
            </w:r>
          </w:p>
        </w:tc>
        <w:tc>
          <w:tcPr>
            <w:tcW w:w="2830" w:type="dxa"/>
            <w:tcBorders>
              <w:bottom w:val="single" w:sz="4" w:space="0" w:color="A6A6A6" w:themeColor="background1" w:themeShade="A6"/>
            </w:tcBorders>
          </w:tcPr>
          <w:p w14:paraId="57D0B6B7" w14:textId="0086C046" w:rsidR="001330C6" w:rsidRPr="001330C6" w:rsidRDefault="001330C6" w:rsidP="001330C6">
            <w:pPr>
              <w:pStyle w:val="TableText"/>
              <w:rPr>
                <w:b/>
                <w:bCs/>
              </w:rPr>
            </w:pPr>
            <w:r w:rsidRPr="001330C6">
              <w:rPr>
                <w:b/>
                <w:bCs/>
                <w:w w:val="105"/>
              </w:rPr>
              <w:t>Total</w:t>
            </w:r>
            <w:r w:rsidRPr="001330C6">
              <w:rPr>
                <w:b/>
                <w:bCs/>
                <w:spacing w:val="-7"/>
                <w:w w:val="105"/>
              </w:rPr>
              <w:t xml:space="preserve"> </w:t>
            </w:r>
            <w:r w:rsidRPr="001330C6">
              <w:rPr>
                <w:b/>
                <w:bCs/>
                <w:w w:val="105"/>
              </w:rPr>
              <w:t>equity</w:t>
            </w:r>
          </w:p>
        </w:tc>
        <w:tc>
          <w:tcPr>
            <w:tcW w:w="1188" w:type="dxa"/>
            <w:tcBorders>
              <w:bottom w:val="single" w:sz="4" w:space="0" w:color="A6A6A6" w:themeColor="background1" w:themeShade="A6"/>
            </w:tcBorders>
          </w:tcPr>
          <w:p w14:paraId="7CFE77DF" w14:textId="77777777" w:rsidR="001330C6" w:rsidRPr="00090FEB" w:rsidRDefault="001330C6" w:rsidP="00090FEB">
            <w:pPr>
              <w:pStyle w:val="TableText"/>
              <w:jc w:val="center"/>
            </w:pPr>
            <w:r w:rsidRPr="00090FEB">
              <w:t>11</w:t>
            </w:r>
          </w:p>
        </w:tc>
        <w:tc>
          <w:tcPr>
            <w:tcW w:w="1045" w:type="dxa"/>
            <w:tcBorders>
              <w:bottom w:val="single" w:sz="4" w:space="0" w:color="A6A6A6" w:themeColor="background1" w:themeShade="A6"/>
            </w:tcBorders>
          </w:tcPr>
          <w:p w14:paraId="4949ADB5" w14:textId="77777777" w:rsidR="001330C6" w:rsidRPr="001330C6" w:rsidRDefault="001330C6" w:rsidP="001330C6">
            <w:pPr>
              <w:pStyle w:val="TableText"/>
              <w:jc w:val="right"/>
              <w:rPr>
                <w:b/>
                <w:bCs/>
              </w:rPr>
            </w:pPr>
            <w:r w:rsidRPr="001330C6">
              <w:rPr>
                <w:b/>
                <w:bCs/>
              </w:rPr>
              <w:t>22,177</w:t>
            </w:r>
          </w:p>
        </w:tc>
        <w:tc>
          <w:tcPr>
            <w:tcW w:w="1216" w:type="dxa"/>
            <w:tcBorders>
              <w:bottom w:val="single" w:sz="4" w:space="0" w:color="A6A6A6" w:themeColor="background1" w:themeShade="A6"/>
            </w:tcBorders>
          </w:tcPr>
          <w:p w14:paraId="2A99D0CC" w14:textId="77777777" w:rsidR="001330C6" w:rsidRPr="001330C6" w:rsidRDefault="001330C6" w:rsidP="001330C6">
            <w:pPr>
              <w:pStyle w:val="TableText"/>
              <w:jc w:val="right"/>
              <w:rPr>
                <w:b/>
                <w:bCs/>
              </w:rPr>
            </w:pPr>
            <w:r w:rsidRPr="001330C6">
              <w:rPr>
                <w:b/>
                <w:bCs/>
                <w:w w:val="105"/>
              </w:rPr>
              <w:t>59,927</w:t>
            </w:r>
          </w:p>
        </w:tc>
        <w:tc>
          <w:tcPr>
            <w:tcW w:w="1163" w:type="dxa"/>
            <w:tcBorders>
              <w:bottom w:val="single" w:sz="4" w:space="0" w:color="A6A6A6" w:themeColor="background1" w:themeShade="A6"/>
            </w:tcBorders>
          </w:tcPr>
          <w:p w14:paraId="69EBE5FE" w14:textId="77777777" w:rsidR="001330C6" w:rsidRPr="001330C6" w:rsidRDefault="001330C6" w:rsidP="001330C6">
            <w:pPr>
              <w:pStyle w:val="TableText"/>
              <w:jc w:val="right"/>
              <w:rPr>
                <w:b/>
                <w:bCs/>
              </w:rPr>
            </w:pPr>
            <w:r w:rsidRPr="001330C6">
              <w:rPr>
                <w:b/>
                <w:bCs/>
                <w:w w:val="105"/>
              </w:rPr>
              <w:t>22,303</w:t>
            </w:r>
          </w:p>
        </w:tc>
      </w:tr>
      <w:tr w:rsidR="001330C6" w14:paraId="6B2EF297" w14:textId="77777777" w:rsidTr="006C6773">
        <w:trPr>
          <w:trHeight w:val="979"/>
        </w:trPr>
        <w:tc>
          <w:tcPr>
            <w:tcW w:w="1276" w:type="dxa"/>
            <w:tcBorders>
              <w:top w:val="single" w:sz="4" w:space="0" w:color="A6A6A6" w:themeColor="background1" w:themeShade="A6"/>
            </w:tcBorders>
          </w:tcPr>
          <w:p w14:paraId="4D74286E" w14:textId="701D99A4" w:rsidR="001330C6" w:rsidRDefault="001330C6" w:rsidP="001330C6">
            <w:pPr>
              <w:pStyle w:val="TableText"/>
              <w:jc w:val="right"/>
              <w:rPr>
                <w:spacing w:val="-2"/>
                <w:w w:val="105"/>
              </w:rPr>
            </w:pPr>
          </w:p>
        </w:tc>
        <w:tc>
          <w:tcPr>
            <w:tcW w:w="2830" w:type="dxa"/>
            <w:tcBorders>
              <w:top w:val="single" w:sz="4" w:space="0" w:color="A6A6A6" w:themeColor="background1" w:themeShade="A6"/>
            </w:tcBorders>
          </w:tcPr>
          <w:p w14:paraId="3888C8E1" w14:textId="77777777" w:rsidR="001330C6" w:rsidRPr="001330C6" w:rsidRDefault="001330C6" w:rsidP="001330C6">
            <w:pPr>
              <w:pStyle w:val="TableText"/>
              <w:rPr>
                <w:b/>
                <w:bCs/>
                <w:spacing w:val="-50"/>
                <w:w w:val="105"/>
              </w:rPr>
            </w:pPr>
            <w:r w:rsidRPr="001330C6">
              <w:rPr>
                <w:b/>
                <w:bCs/>
                <w:spacing w:val="-2"/>
                <w:w w:val="105"/>
              </w:rPr>
              <w:t xml:space="preserve">Represented </w:t>
            </w:r>
            <w:r w:rsidRPr="001330C6">
              <w:rPr>
                <w:b/>
                <w:bCs/>
                <w:spacing w:val="-1"/>
                <w:w w:val="105"/>
              </w:rPr>
              <w:t>by:</w:t>
            </w:r>
            <w:r w:rsidRPr="001330C6">
              <w:rPr>
                <w:b/>
                <w:bCs/>
                <w:spacing w:val="-50"/>
                <w:w w:val="105"/>
              </w:rPr>
              <w:t xml:space="preserve"> </w:t>
            </w:r>
          </w:p>
          <w:p w14:paraId="3BD593B4" w14:textId="06C7C2CC" w:rsidR="001330C6" w:rsidRPr="001330C6" w:rsidRDefault="001330C6" w:rsidP="001330C6">
            <w:pPr>
              <w:pStyle w:val="TableText"/>
              <w:rPr>
                <w:b/>
                <w:bCs/>
              </w:rPr>
            </w:pPr>
            <w:r w:rsidRPr="001330C6">
              <w:rPr>
                <w:b/>
                <w:bCs/>
                <w:w w:val="105"/>
              </w:rPr>
              <w:t>Assets</w:t>
            </w:r>
          </w:p>
          <w:p w14:paraId="362545F8" w14:textId="5BF1DA83" w:rsidR="001330C6" w:rsidRDefault="001330C6" w:rsidP="001330C6">
            <w:pPr>
              <w:pStyle w:val="TableText"/>
            </w:pPr>
            <w:r w:rsidRPr="001330C6">
              <w:rPr>
                <w:b/>
                <w:bCs/>
                <w:w w:val="110"/>
              </w:rPr>
              <w:t>Current</w:t>
            </w:r>
            <w:r w:rsidRPr="001330C6">
              <w:rPr>
                <w:b/>
                <w:bCs/>
                <w:spacing w:val="-7"/>
                <w:w w:val="110"/>
              </w:rPr>
              <w:t xml:space="preserve"> </w:t>
            </w:r>
            <w:r w:rsidRPr="001330C6">
              <w:rPr>
                <w:b/>
                <w:bCs/>
                <w:w w:val="110"/>
              </w:rPr>
              <w:t>assets</w:t>
            </w:r>
          </w:p>
        </w:tc>
        <w:tc>
          <w:tcPr>
            <w:tcW w:w="1188" w:type="dxa"/>
            <w:tcBorders>
              <w:top w:val="single" w:sz="4" w:space="0" w:color="A6A6A6" w:themeColor="background1" w:themeShade="A6"/>
            </w:tcBorders>
          </w:tcPr>
          <w:p w14:paraId="4A313D8F" w14:textId="7C92694E" w:rsidR="001330C6" w:rsidRPr="00090FEB" w:rsidRDefault="001330C6" w:rsidP="00090FEB">
            <w:pPr>
              <w:pStyle w:val="TableText"/>
              <w:jc w:val="center"/>
            </w:pPr>
          </w:p>
        </w:tc>
        <w:tc>
          <w:tcPr>
            <w:tcW w:w="1045" w:type="dxa"/>
            <w:tcBorders>
              <w:top w:val="single" w:sz="4" w:space="0" w:color="A6A6A6" w:themeColor="background1" w:themeShade="A6"/>
            </w:tcBorders>
          </w:tcPr>
          <w:p w14:paraId="08688AEC" w14:textId="76643000" w:rsidR="001330C6" w:rsidRDefault="001330C6" w:rsidP="001330C6">
            <w:pPr>
              <w:pStyle w:val="TableText"/>
              <w:jc w:val="right"/>
            </w:pPr>
          </w:p>
        </w:tc>
        <w:tc>
          <w:tcPr>
            <w:tcW w:w="1216" w:type="dxa"/>
            <w:tcBorders>
              <w:top w:val="single" w:sz="4" w:space="0" w:color="A6A6A6" w:themeColor="background1" w:themeShade="A6"/>
            </w:tcBorders>
          </w:tcPr>
          <w:p w14:paraId="659AF498" w14:textId="7EAAB810" w:rsidR="001330C6" w:rsidRDefault="001330C6" w:rsidP="001330C6">
            <w:pPr>
              <w:pStyle w:val="TableText"/>
              <w:jc w:val="right"/>
            </w:pPr>
          </w:p>
        </w:tc>
        <w:tc>
          <w:tcPr>
            <w:tcW w:w="1163" w:type="dxa"/>
            <w:tcBorders>
              <w:top w:val="single" w:sz="4" w:space="0" w:color="A6A6A6" w:themeColor="background1" w:themeShade="A6"/>
            </w:tcBorders>
          </w:tcPr>
          <w:p w14:paraId="33E82061" w14:textId="072056B3" w:rsidR="001330C6" w:rsidRDefault="001330C6" w:rsidP="001330C6">
            <w:pPr>
              <w:pStyle w:val="TableText"/>
              <w:jc w:val="right"/>
            </w:pPr>
          </w:p>
        </w:tc>
      </w:tr>
      <w:tr w:rsidR="001330C6" w14:paraId="5F6A4566" w14:textId="77777777" w:rsidTr="001330C6">
        <w:trPr>
          <w:trHeight w:val="340"/>
        </w:trPr>
        <w:tc>
          <w:tcPr>
            <w:tcW w:w="1276" w:type="dxa"/>
          </w:tcPr>
          <w:p w14:paraId="189223D2" w14:textId="3A9C2D47" w:rsidR="001330C6" w:rsidRDefault="001330C6" w:rsidP="001330C6">
            <w:pPr>
              <w:pStyle w:val="TableText"/>
              <w:jc w:val="right"/>
              <w:rPr>
                <w:w w:val="105"/>
              </w:rPr>
            </w:pPr>
            <w:r>
              <w:rPr>
                <w:w w:val="105"/>
              </w:rPr>
              <w:t>2,639</w:t>
            </w:r>
          </w:p>
        </w:tc>
        <w:tc>
          <w:tcPr>
            <w:tcW w:w="2830" w:type="dxa"/>
          </w:tcPr>
          <w:p w14:paraId="3974F13A" w14:textId="20F69623" w:rsidR="001330C6" w:rsidRDefault="001330C6" w:rsidP="001330C6">
            <w:pPr>
              <w:pStyle w:val="TableText"/>
              <w:rPr>
                <w:spacing w:val="-2"/>
                <w:w w:val="105"/>
              </w:rPr>
            </w:pPr>
            <w:r>
              <w:rPr>
                <w:w w:val="105"/>
              </w:rPr>
              <w:t>Cash</w:t>
            </w:r>
            <w:r>
              <w:rPr>
                <w:spacing w:val="-8"/>
                <w:w w:val="105"/>
              </w:rPr>
              <w:t xml:space="preserve"> </w:t>
            </w:r>
            <w:r>
              <w:rPr>
                <w:w w:val="105"/>
              </w:rPr>
              <w:t>and</w:t>
            </w:r>
            <w:r>
              <w:rPr>
                <w:spacing w:val="-7"/>
                <w:w w:val="105"/>
              </w:rPr>
              <w:t xml:space="preserve"> </w:t>
            </w:r>
            <w:r>
              <w:rPr>
                <w:w w:val="105"/>
              </w:rPr>
              <w:t>cash</w:t>
            </w:r>
            <w:r>
              <w:rPr>
                <w:spacing w:val="-8"/>
                <w:w w:val="105"/>
              </w:rPr>
              <w:t xml:space="preserve"> </w:t>
            </w:r>
            <w:r>
              <w:rPr>
                <w:w w:val="105"/>
              </w:rPr>
              <w:t>equivalents</w:t>
            </w:r>
          </w:p>
        </w:tc>
        <w:tc>
          <w:tcPr>
            <w:tcW w:w="1188" w:type="dxa"/>
          </w:tcPr>
          <w:p w14:paraId="565711EA" w14:textId="27A50CCE" w:rsidR="001330C6" w:rsidRPr="00090FEB" w:rsidRDefault="001330C6" w:rsidP="00090FEB">
            <w:pPr>
              <w:pStyle w:val="TableText"/>
              <w:jc w:val="center"/>
            </w:pPr>
            <w:r w:rsidRPr="00090FEB">
              <w:t>14</w:t>
            </w:r>
          </w:p>
        </w:tc>
        <w:tc>
          <w:tcPr>
            <w:tcW w:w="1045" w:type="dxa"/>
          </w:tcPr>
          <w:p w14:paraId="655721A9" w14:textId="3242C333" w:rsidR="001330C6" w:rsidRDefault="001330C6" w:rsidP="001330C6">
            <w:pPr>
              <w:pStyle w:val="TableText"/>
              <w:jc w:val="right"/>
              <w:rPr>
                <w:sz w:val="28"/>
              </w:rPr>
            </w:pPr>
            <w:r>
              <w:t>13,733</w:t>
            </w:r>
          </w:p>
        </w:tc>
        <w:tc>
          <w:tcPr>
            <w:tcW w:w="1216" w:type="dxa"/>
          </w:tcPr>
          <w:p w14:paraId="5AB34090" w14:textId="3030966B" w:rsidR="001330C6" w:rsidRDefault="001330C6" w:rsidP="001330C6">
            <w:pPr>
              <w:pStyle w:val="TableText"/>
              <w:jc w:val="right"/>
              <w:rPr>
                <w:sz w:val="28"/>
              </w:rPr>
            </w:pPr>
            <w:r>
              <w:rPr>
                <w:w w:val="105"/>
              </w:rPr>
              <w:t>7,000</w:t>
            </w:r>
          </w:p>
        </w:tc>
        <w:tc>
          <w:tcPr>
            <w:tcW w:w="1163" w:type="dxa"/>
          </w:tcPr>
          <w:p w14:paraId="29C0AAEE" w14:textId="344BD331" w:rsidR="001330C6" w:rsidRDefault="001330C6" w:rsidP="001330C6">
            <w:pPr>
              <w:pStyle w:val="TableText"/>
              <w:jc w:val="right"/>
              <w:rPr>
                <w:sz w:val="28"/>
              </w:rPr>
            </w:pPr>
            <w:r>
              <w:rPr>
                <w:w w:val="105"/>
              </w:rPr>
              <w:t>7,000</w:t>
            </w:r>
          </w:p>
        </w:tc>
      </w:tr>
      <w:tr w:rsidR="001330C6" w14:paraId="652C1E64" w14:textId="77777777" w:rsidTr="001330C6">
        <w:trPr>
          <w:trHeight w:val="340"/>
        </w:trPr>
        <w:tc>
          <w:tcPr>
            <w:tcW w:w="1276" w:type="dxa"/>
          </w:tcPr>
          <w:p w14:paraId="3912F44F" w14:textId="6150ECC8" w:rsidR="001330C6" w:rsidRDefault="001330C6" w:rsidP="001330C6">
            <w:pPr>
              <w:pStyle w:val="TableText"/>
              <w:jc w:val="right"/>
            </w:pPr>
            <w:r>
              <w:t>16,847</w:t>
            </w:r>
          </w:p>
        </w:tc>
        <w:tc>
          <w:tcPr>
            <w:tcW w:w="2830" w:type="dxa"/>
          </w:tcPr>
          <w:p w14:paraId="031D8465" w14:textId="5B803A7E" w:rsidR="001330C6" w:rsidRDefault="001330C6" w:rsidP="001330C6">
            <w:pPr>
              <w:pStyle w:val="TableText"/>
            </w:pPr>
            <w:r>
              <w:t>Receivables</w:t>
            </w:r>
          </w:p>
        </w:tc>
        <w:tc>
          <w:tcPr>
            <w:tcW w:w="1188" w:type="dxa"/>
          </w:tcPr>
          <w:p w14:paraId="1E6CBBC9" w14:textId="77777777" w:rsidR="001330C6" w:rsidRPr="00090FEB" w:rsidRDefault="001330C6" w:rsidP="00090FEB">
            <w:pPr>
              <w:pStyle w:val="TableText"/>
              <w:jc w:val="center"/>
            </w:pPr>
            <w:r w:rsidRPr="00090FEB">
              <w:t>14</w:t>
            </w:r>
          </w:p>
        </w:tc>
        <w:tc>
          <w:tcPr>
            <w:tcW w:w="1045" w:type="dxa"/>
          </w:tcPr>
          <w:p w14:paraId="4C6CBE20" w14:textId="77777777" w:rsidR="001330C6" w:rsidRDefault="001330C6" w:rsidP="001330C6">
            <w:pPr>
              <w:pStyle w:val="TableText"/>
              <w:jc w:val="right"/>
            </w:pPr>
            <w:r>
              <w:t>13,470</w:t>
            </w:r>
          </w:p>
        </w:tc>
        <w:tc>
          <w:tcPr>
            <w:tcW w:w="1216" w:type="dxa"/>
          </w:tcPr>
          <w:p w14:paraId="02C6B3A3" w14:textId="77777777" w:rsidR="001330C6" w:rsidRDefault="001330C6" w:rsidP="001330C6">
            <w:pPr>
              <w:pStyle w:val="TableText"/>
              <w:jc w:val="right"/>
            </w:pPr>
            <w:r>
              <w:rPr>
                <w:w w:val="105"/>
              </w:rPr>
              <w:t>5,762</w:t>
            </w:r>
          </w:p>
        </w:tc>
        <w:tc>
          <w:tcPr>
            <w:tcW w:w="1163" w:type="dxa"/>
          </w:tcPr>
          <w:p w14:paraId="1BE617CF" w14:textId="77777777" w:rsidR="001330C6" w:rsidRDefault="001330C6" w:rsidP="001330C6">
            <w:pPr>
              <w:pStyle w:val="TableText"/>
              <w:jc w:val="right"/>
            </w:pPr>
            <w:r>
              <w:t>12,200</w:t>
            </w:r>
          </w:p>
        </w:tc>
      </w:tr>
      <w:tr w:rsidR="001330C6" w14:paraId="61C4EA49" w14:textId="77777777" w:rsidTr="001330C6">
        <w:trPr>
          <w:trHeight w:val="340"/>
        </w:trPr>
        <w:tc>
          <w:tcPr>
            <w:tcW w:w="1276" w:type="dxa"/>
          </w:tcPr>
          <w:p w14:paraId="76FFC6A6" w14:textId="15873040" w:rsidR="001330C6" w:rsidRDefault="001330C6" w:rsidP="001330C6">
            <w:pPr>
              <w:pStyle w:val="TableText"/>
              <w:jc w:val="right"/>
            </w:pPr>
            <w:r>
              <w:t xml:space="preserve">84,334  </w:t>
            </w:r>
            <w:r>
              <w:rPr>
                <w:spacing w:val="12"/>
              </w:rPr>
              <w:t xml:space="preserve"> </w:t>
            </w:r>
          </w:p>
        </w:tc>
        <w:tc>
          <w:tcPr>
            <w:tcW w:w="2830" w:type="dxa"/>
          </w:tcPr>
          <w:p w14:paraId="6896CA07" w14:textId="0DCD3C18" w:rsidR="001330C6" w:rsidRDefault="001330C6" w:rsidP="001330C6">
            <w:pPr>
              <w:pStyle w:val="TableText"/>
            </w:pPr>
            <w:r>
              <w:t>Debtor</w:t>
            </w:r>
            <w:r>
              <w:rPr>
                <w:spacing w:val="7"/>
              </w:rPr>
              <w:t xml:space="preserve"> </w:t>
            </w:r>
            <w:r>
              <w:t>Crown</w:t>
            </w:r>
          </w:p>
        </w:tc>
        <w:tc>
          <w:tcPr>
            <w:tcW w:w="1188" w:type="dxa"/>
          </w:tcPr>
          <w:p w14:paraId="7BD1575D" w14:textId="77777777" w:rsidR="001330C6" w:rsidRPr="00090FEB" w:rsidRDefault="001330C6" w:rsidP="00090FEB">
            <w:pPr>
              <w:pStyle w:val="TableText"/>
              <w:jc w:val="center"/>
            </w:pPr>
            <w:r w:rsidRPr="00090FEB">
              <w:t>14</w:t>
            </w:r>
          </w:p>
        </w:tc>
        <w:tc>
          <w:tcPr>
            <w:tcW w:w="1045" w:type="dxa"/>
          </w:tcPr>
          <w:p w14:paraId="29118F69" w14:textId="77777777" w:rsidR="001330C6" w:rsidRDefault="001330C6" w:rsidP="001330C6">
            <w:pPr>
              <w:pStyle w:val="TableText"/>
              <w:jc w:val="right"/>
            </w:pPr>
            <w:r>
              <w:t>236,912</w:t>
            </w:r>
          </w:p>
        </w:tc>
        <w:tc>
          <w:tcPr>
            <w:tcW w:w="1216" w:type="dxa"/>
          </w:tcPr>
          <w:p w14:paraId="21B7761B" w14:textId="77777777" w:rsidR="001330C6" w:rsidRDefault="001330C6" w:rsidP="001330C6">
            <w:pPr>
              <w:pStyle w:val="TableText"/>
              <w:jc w:val="right"/>
            </w:pPr>
            <w:r>
              <w:rPr>
                <w:w w:val="105"/>
              </w:rPr>
              <w:t>7,930</w:t>
            </w:r>
          </w:p>
        </w:tc>
        <w:tc>
          <w:tcPr>
            <w:tcW w:w="1163" w:type="dxa"/>
          </w:tcPr>
          <w:p w14:paraId="163A9DD0" w14:textId="77777777" w:rsidR="001330C6" w:rsidRDefault="001330C6" w:rsidP="001330C6">
            <w:pPr>
              <w:pStyle w:val="TableText"/>
              <w:jc w:val="right"/>
            </w:pPr>
            <w:r>
              <w:t>21,794</w:t>
            </w:r>
          </w:p>
        </w:tc>
      </w:tr>
      <w:tr w:rsidR="001330C6" w14:paraId="263655DC" w14:textId="77777777" w:rsidTr="006C6773">
        <w:trPr>
          <w:trHeight w:val="340"/>
        </w:trPr>
        <w:tc>
          <w:tcPr>
            <w:tcW w:w="1276" w:type="dxa"/>
          </w:tcPr>
          <w:p w14:paraId="1168CDEA" w14:textId="2D4EFAB5" w:rsidR="001330C6" w:rsidRDefault="001330C6" w:rsidP="001330C6">
            <w:pPr>
              <w:pStyle w:val="TableText"/>
              <w:jc w:val="right"/>
              <w:rPr>
                <w:w w:val="105"/>
              </w:rPr>
            </w:pPr>
            <w:r>
              <w:rPr>
                <w:w w:val="105"/>
              </w:rPr>
              <w:t>4,343</w:t>
            </w:r>
          </w:p>
        </w:tc>
        <w:tc>
          <w:tcPr>
            <w:tcW w:w="2830" w:type="dxa"/>
          </w:tcPr>
          <w:p w14:paraId="5A5CD56C" w14:textId="389E55D1" w:rsidR="001330C6" w:rsidRDefault="001330C6" w:rsidP="001330C6">
            <w:pPr>
              <w:pStyle w:val="TableText"/>
            </w:pPr>
            <w:r>
              <w:rPr>
                <w:w w:val="105"/>
              </w:rPr>
              <w:t>Prepayments</w:t>
            </w:r>
          </w:p>
        </w:tc>
        <w:tc>
          <w:tcPr>
            <w:tcW w:w="1188" w:type="dxa"/>
          </w:tcPr>
          <w:p w14:paraId="36748772" w14:textId="77777777" w:rsidR="001330C6" w:rsidRPr="00090FEB" w:rsidRDefault="001330C6" w:rsidP="00090FEB">
            <w:pPr>
              <w:pStyle w:val="TableText"/>
              <w:jc w:val="center"/>
            </w:pPr>
          </w:p>
        </w:tc>
        <w:tc>
          <w:tcPr>
            <w:tcW w:w="1045" w:type="dxa"/>
          </w:tcPr>
          <w:p w14:paraId="2F7CF9E1" w14:textId="77777777" w:rsidR="001330C6" w:rsidRDefault="001330C6" w:rsidP="001330C6">
            <w:pPr>
              <w:pStyle w:val="TableText"/>
              <w:jc w:val="right"/>
            </w:pPr>
            <w:r>
              <w:rPr>
                <w:w w:val="105"/>
              </w:rPr>
              <w:t>9,220</w:t>
            </w:r>
          </w:p>
        </w:tc>
        <w:tc>
          <w:tcPr>
            <w:tcW w:w="1216" w:type="dxa"/>
          </w:tcPr>
          <w:p w14:paraId="688B01EE" w14:textId="77777777" w:rsidR="001330C6" w:rsidRDefault="001330C6" w:rsidP="001330C6">
            <w:pPr>
              <w:pStyle w:val="TableText"/>
              <w:jc w:val="right"/>
            </w:pPr>
            <w:r>
              <w:rPr>
                <w:w w:val="110"/>
              </w:rPr>
              <w:t>5,000</w:t>
            </w:r>
          </w:p>
        </w:tc>
        <w:tc>
          <w:tcPr>
            <w:tcW w:w="1163" w:type="dxa"/>
          </w:tcPr>
          <w:p w14:paraId="37D5F575" w14:textId="77777777" w:rsidR="001330C6" w:rsidRDefault="001330C6" w:rsidP="001330C6">
            <w:pPr>
              <w:pStyle w:val="TableText"/>
              <w:jc w:val="right"/>
            </w:pPr>
            <w:r>
              <w:rPr>
                <w:w w:val="110"/>
              </w:rPr>
              <w:t>6,800</w:t>
            </w:r>
          </w:p>
        </w:tc>
      </w:tr>
      <w:tr w:rsidR="001330C6" w:rsidRPr="001330C6" w14:paraId="49FB2009" w14:textId="77777777" w:rsidTr="006C6773">
        <w:trPr>
          <w:trHeight w:val="340"/>
        </w:trPr>
        <w:tc>
          <w:tcPr>
            <w:tcW w:w="1276" w:type="dxa"/>
            <w:tcBorders>
              <w:bottom w:val="single" w:sz="4" w:space="0" w:color="A6A6A6" w:themeColor="background1" w:themeShade="A6"/>
            </w:tcBorders>
          </w:tcPr>
          <w:p w14:paraId="0F3F3AB7" w14:textId="0915D6CA" w:rsidR="001330C6" w:rsidRPr="001330C6" w:rsidRDefault="001330C6" w:rsidP="001330C6">
            <w:pPr>
              <w:pStyle w:val="TableText"/>
              <w:jc w:val="right"/>
              <w:rPr>
                <w:b/>
                <w:bCs/>
                <w:w w:val="105"/>
              </w:rPr>
            </w:pPr>
            <w:r w:rsidRPr="001330C6">
              <w:rPr>
                <w:b/>
                <w:bCs/>
                <w:w w:val="105"/>
              </w:rPr>
              <w:t xml:space="preserve">108,163   </w:t>
            </w:r>
          </w:p>
        </w:tc>
        <w:tc>
          <w:tcPr>
            <w:tcW w:w="2830" w:type="dxa"/>
            <w:tcBorders>
              <w:bottom w:val="single" w:sz="4" w:space="0" w:color="A6A6A6" w:themeColor="background1" w:themeShade="A6"/>
            </w:tcBorders>
          </w:tcPr>
          <w:p w14:paraId="0D888FEC" w14:textId="15661A91" w:rsidR="001330C6" w:rsidRPr="001330C6" w:rsidRDefault="001330C6" w:rsidP="001330C6">
            <w:pPr>
              <w:pStyle w:val="TableText"/>
              <w:rPr>
                <w:b/>
                <w:bCs/>
              </w:rPr>
            </w:pPr>
            <w:r w:rsidRPr="001330C6">
              <w:rPr>
                <w:b/>
                <w:bCs/>
                <w:w w:val="105"/>
              </w:rPr>
              <w:t>Total</w:t>
            </w:r>
            <w:r w:rsidRPr="001330C6">
              <w:rPr>
                <w:b/>
                <w:bCs/>
                <w:spacing w:val="-3"/>
                <w:w w:val="105"/>
              </w:rPr>
              <w:t xml:space="preserve"> </w:t>
            </w:r>
            <w:r w:rsidRPr="001330C6">
              <w:rPr>
                <w:b/>
                <w:bCs/>
                <w:w w:val="105"/>
              </w:rPr>
              <w:t>current</w:t>
            </w:r>
            <w:r w:rsidRPr="001330C6">
              <w:rPr>
                <w:b/>
                <w:bCs/>
                <w:spacing w:val="-3"/>
                <w:w w:val="105"/>
              </w:rPr>
              <w:t xml:space="preserve"> </w:t>
            </w:r>
            <w:r w:rsidRPr="001330C6">
              <w:rPr>
                <w:b/>
                <w:bCs/>
                <w:w w:val="105"/>
              </w:rPr>
              <w:t>assets</w:t>
            </w:r>
          </w:p>
        </w:tc>
        <w:tc>
          <w:tcPr>
            <w:tcW w:w="1188" w:type="dxa"/>
            <w:tcBorders>
              <w:bottom w:val="single" w:sz="4" w:space="0" w:color="A6A6A6" w:themeColor="background1" w:themeShade="A6"/>
            </w:tcBorders>
          </w:tcPr>
          <w:p w14:paraId="4B0610A6" w14:textId="77777777" w:rsidR="001330C6" w:rsidRPr="00090FEB" w:rsidRDefault="001330C6" w:rsidP="00090FEB">
            <w:pPr>
              <w:pStyle w:val="TableText"/>
              <w:jc w:val="center"/>
            </w:pPr>
          </w:p>
        </w:tc>
        <w:tc>
          <w:tcPr>
            <w:tcW w:w="1045" w:type="dxa"/>
            <w:tcBorders>
              <w:bottom w:val="single" w:sz="4" w:space="0" w:color="A6A6A6" w:themeColor="background1" w:themeShade="A6"/>
            </w:tcBorders>
          </w:tcPr>
          <w:p w14:paraId="42B987D2" w14:textId="77777777" w:rsidR="001330C6" w:rsidRPr="001330C6" w:rsidRDefault="001330C6" w:rsidP="001330C6">
            <w:pPr>
              <w:pStyle w:val="TableText"/>
              <w:jc w:val="right"/>
              <w:rPr>
                <w:b/>
                <w:bCs/>
              </w:rPr>
            </w:pPr>
            <w:r w:rsidRPr="001330C6">
              <w:rPr>
                <w:b/>
                <w:bCs/>
                <w:w w:val="105"/>
              </w:rPr>
              <w:t>273,335</w:t>
            </w:r>
          </w:p>
        </w:tc>
        <w:tc>
          <w:tcPr>
            <w:tcW w:w="1216" w:type="dxa"/>
            <w:tcBorders>
              <w:bottom w:val="single" w:sz="4" w:space="0" w:color="A6A6A6" w:themeColor="background1" w:themeShade="A6"/>
            </w:tcBorders>
          </w:tcPr>
          <w:p w14:paraId="629C631F" w14:textId="77777777" w:rsidR="001330C6" w:rsidRPr="001330C6" w:rsidRDefault="001330C6" w:rsidP="001330C6">
            <w:pPr>
              <w:pStyle w:val="TableText"/>
              <w:jc w:val="right"/>
              <w:rPr>
                <w:b/>
                <w:bCs/>
              </w:rPr>
            </w:pPr>
            <w:r w:rsidRPr="001330C6">
              <w:rPr>
                <w:b/>
                <w:bCs/>
                <w:w w:val="110"/>
              </w:rPr>
              <w:t>25,692</w:t>
            </w:r>
          </w:p>
        </w:tc>
        <w:tc>
          <w:tcPr>
            <w:tcW w:w="1163" w:type="dxa"/>
            <w:tcBorders>
              <w:bottom w:val="single" w:sz="4" w:space="0" w:color="A6A6A6" w:themeColor="background1" w:themeShade="A6"/>
            </w:tcBorders>
          </w:tcPr>
          <w:p w14:paraId="24938251" w14:textId="77777777" w:rsidR="001330C6" w:rsidRPr="001330C6" w:rsidRDefault="001330C6" w:rsidP="001330C6">
            <w:pPr>
              <w:pStyle w:val="TableText"/>
              <w:jc w:val="right"/>
              <w:rPr>
                <w:b/>
                <w:bCs/>
              </w:rPr>
            </w:pPr>
            <w:r w:rsidRPr="001330C6">
              <w:rPr>
                <w:b/>
                <w:bCs/>
                <w:w w:val="105"/>
              </w:rPr>
              <w:t>47,794</w:t>
            </w:r>
          </w:p>
        </w:tc>
      </w:tr>
      <w:tr w:rsidR="001330C6" w14:paraId="3A0A7B32" w14:textId="77777777" w:rsidTr="006C6773">
        <w:trPr>
          <w:trHeight w:val="340"/>
        </w:trPr>
        <w:tc>
          <w:tcPr>
            <w:tcW w:w="1276" w:type="dxa"/>
            <w:tcBorders>
              <w:top w:val="single" w:sz="4" w:space="0" w:color="A6A6A6" w:themeColor="background1" w:themeShade="A6"/>
            </w:tcBorders>
          </w:tcPr>
          <w:p w14:paraId="5A878DA8" w14:textId="77777777" w:rsidR="001330C6" w:rsidRDefault="001330C6" w:rsidP="001330C6">
            <w:pPr>
              <w:pStyle w:val="TableText"/>
              <w:jc w:val="right"/>
              <w:rPr>
                <w:w w:val="110"/>
              </w:rPr>
            </w:pPr>
          </w:p>
        </w:tc>
        <w:tc>
          <w:tcPr>
            <w:tcW w:w="2830" w:type="dxa"/>
            <w:tcBorders>
              <w:top w:val="single" w:sz="4" w:space="0" w:color="A6A6A6" w:themeColor="background1" w:themeShade="A6"/>
            </w:tcBorders>
          </w:tcPr>
          <w:p w14:paraId="6A57EB28" w14:textId="158200A7" w:rsidR="001330C6" w:rsidRPr="001330C6" w:rsidRDefault="001330C6" w:rsidP="001330C6">
            <w:pPr>
              <w:pStyle w:val="TableText"/>
              <w:rPr>
                <w:b/>
                <w:bCs/>
              </w:rPr>
            </w:pPr>
            <w:r w:rsidRPr="001330C6">
              <w:rPr>
                <w:b/>
                <w:bCs/>
                <w:w w:val="110"/>
              </w:rPr>
              <w:t>Non-current</w:t>
            </w:r>
            <w:r w:rsidRPr="001330C6">
              <w:rPr>
                <w:b/>
                <w:bCs/>
                <w:spacing w:val="-14"/>
                <w:w w:val="110"/>
              </w:rPr>
              <w:t xml:space="preserve"> </w:t>
            </w:r>
            <w:r w:rsidRPr="001330C6">
              <w:rPr>
                <w:b/>
                <w:bCs/>
                <w:w w:val="110"/>
              </w:rPr>
              <w:t>asset</w:t>
            </w:r>
          </w:p>
        </w:tc>
        <w:tc>
          <w:tcPr>
            <w:tcW w:w="1188" w:type="dxa"/>
            <w:tcBorders>
              <w:top w:val="single" w:sz="4" w:space="0" w:color="A6A6A6" w:themeColor="background1" w:themeShade="A6"/>
            </w:tcBorders>
          </w:tcPr>
          <w:p w14:paraId="7D63FCD2" w14:textId="4ED01C8E" w:rsidR="001330C6" w:rsidRPr="00090FEB" w:rsidRDefault="001330C6" w:rsidP="00090FEB">
            <w:pPr>
              <w:pStyle w:val="TableText"/>
              <w:jc w:val="center"/>
            </w:pPr>
          </w:p>
        </w:tc>
        <w:tc>
          <w:tcPr>
            <w:tcW w:w="1045" w:type="dxa"/>
            <w:tcBorders>
              <w:top w:val="single" w:sz="4" w:space="0" w:color="A6A6A6" w:themeColor="background1" w:themeShade="A6"/>
            </w:tcBorders>
          </w:tcPr>
          <w:p w14:paraId="5D75FE01" w14:textId="003A11F9" w:rsidR="001330C6" w:rsidRDefault="001330C6" w:rsidP="001330C6">
            <w:pPr>
              <w:pStyle w:val="TableText"/>
              <w:jc w:val="right"/>
            </w:pPr>
          </w:p>
        </w:tc>
        <w:tc>
          <w:tcPr>
            <w:tcW w:w="1216" w:type="dxa"/>
            <w:tcBorders>
              <w:top w:val="single" w:sz="4" w:space="0" w:color="A6A6A6" w:themeColor="background1" w:themeShade="A6"/>
            </w:tcBorders>
          </w:tcPr>
          <w:p w14:paraId="5DD280BB" w14:textId="0207CC6D" w:rsidR="001330C6" w:rsidRDefault="001330C6" w:rsidP="001330C6">
            <w:pPr>
              <w:pStyle w:val="TableText"/>
              <w:jc w:val="right"/>
            </w:pPr>
          </w:p>
        </w:tc>
        <w:tc>
          <w:tcPr>
            <w:tcW w:w="1163" w:type="dxa"/>
            <w:tcBorders>
              <w:top w:val="single" w:sz="4" w:space="0" w:color="A6A6A6" w:themeColor="background1" w:themeShade="A6"/>
            </w:tcBorders>
          </w:tcPr>
          <w:p w14:paraId="21A10A07" w14:textId="279E614F" w:rsidR="001330C6" w:rsidRDefault="001330C6" w:rsidP="001330C6">
            <w:pPr>
              <w:pStyle w:val="TableText"/>
              <w:jc w:val="right"/>
            </w:pPr>
          </w:p>
        </w:tc>
      </w:tr>
      <w:tr w:rsidR="001330C6" w14:paraId="6A717971" w14:textId="77777777" w:rsidTr="001330C6">
        <w:trPr>
          <w:trHeight w:val="340"/>
        </w:trPr>
        <w:tc>
          <w:tcPr>
            <w:tcW w:w="1276" w:type="dxa"/>
          </w:tcPr>
          <w:p w14:paraId="04C02A39" w14:textId="3F7CB25D" w:rsidR="001330C6" w:rsidRDefault="001330C6" w:rsidP="001330C6">
            <w:pPr>
              <w:pStyle w:val="TableText"/>
              <w:jc w:val="right"/>
              <w:rPr>
                <w:w w:val="110"/>
              </w:rPr>
            </w:pPr>
            <w:r>
              <w:rPr>
                <w:w w:val="105"/>
              </w:rPr>
              <w:t>9,463</w:t>
            </w:r>
          </w:p>
        </w:tc>
        <w:tc>
          <w:tcPr>
            <w:tcW w:w="2830" w:type="dxa"/>
          </w:tcPr>
          <w:p w14:paraId="5B207039" w14:textId="0E62FB47" w:rsidR="001330C6" w:rsidRDefault="001330C6" w:rsidP="001330C6">
            <w:pPr>
              <w:pStyle w:val="TableText"/>
              <w:rPr>
                <w:w w:val="110"/>
              </w:rPr>
            </w:pPr>
            <w:r>
              <w:rPr>
                <w:w w:val="105"/>
              </w:rPr>
              <w:t>Property,</w:t>
            </w:r>
            <w:r>
              <w:rPr>
                <w:spacing w:val="-14"/>
                <w:w w:val="105"/>
              </w:rPr>
              <w:t xml:space="preserve"> </w:t>
            </w:r>
            <w:r>
              <w:rPr>
                <w:w w:val="105"/>
              </w:rPr>
              <w:t>plant</w:t>
            </w:r>
            <w:r>
              <w:rPr>
                <w:spacing w:val="-13"/>
                <w:w w:val="105"/>
              </w:rPr>
              <w:t xml:space="preserve"> </w:t>
            </w:r>
            <w:r>
              <w:rPr>
                <w:w w:val="105"/>
              </w:rPr>
              <w:t>and</w:t>
            </w:r>
            <w:r>
              <w:rPr>
                <w:spacing w:val="-13"/>
                <w:w w:val="105"/>
              </w:rPr>
              <w:t xml:space="preserve"> </w:t>
            </w:r>
            <w:r>
              <w:rPr>
                <w:w w:val="105"/>
              </w:rPr>
              <w:t>equipment</w:t>
            </w:r>
          </w:p>
        </w:tc>
        <w:tc>
          <w:tcPr>
            <w:tcW w:w="1188" w:type="dxa"/>
          </w:tcPr>
          <w:p w14:paraId="067E184C" w14:textId="6F3299A2" w:rsidR="001330C6" w:rsidRPr="00090FEB" w:rsidRDefault="001330C6" w:rsidP="00090FEB">
            <w:pPr>
              <w:pStyle w:val="TableText"/>
              <w:jc w:val="center"/>
            </w:pPr>
            <w:r w:rsidRPr="00090FEB">
              <w:t>6</w:t>
            </w:r>
          </w:p>
        </w:tc>
        <w:tc>
          <w:tcPr>
            <w:tcW w:w="1045" w:type="dxa"/>
          </w:tcPr>
          <w:p w14:paraId="2E76CA11" w14:textId="4C9CE741" w:rsidR="001330C6" w:rsidRPr="001330C6" w:rsidRDefault="001330C6" w:rsidP="001330C6">
            <w:pPr>
              <w:pStyle w:val="TableText"/>
              <w:jc w:val="right"/>
            </w:pPr>
            <w:r>
              <w:t>9,421</w:t>
            </w:r>
          </w:p>
        </w:tc>
        <w:tc>
          <w:tcPr>
            <w:tcW w:w="1216" w:type="dxa"/>
          </w:tcPr>
          <w:p w14:paraId="1E32B955" w14:textId="13F499F2" w:rsidR="001330C6" w:rsidRPr="001330C6" w:rsidRDefault="001330C6" w:rsidP="001330C6">
            <w:pPr>
              <w:pStyle w:val="TableText"/>
              <w:jc w:val="right"/>
            </w:pPr>
            <w:r w:rsidRPr="001330C6">
              <w:t>1,879</w:t>
            </w:r>
          </w:p>
        </w:tc>
        <w:tc>
          <w:tcPr>
            <w:tcW w:w="1163" w:type="dxa"/>
          </w:tcPr>
          <w:p w14:paraId="1AFCAC7A" w14:textId="5E76F07B" w:rsidR="001330C6" w:rsidRPr="001330C6" w:rsidRDefault="001330C6" w:rsidP="001330C6">
            <w:pPr>
              <w:pStyle w:val="TableText"/>
              <w:jc w:val="right"/>
            </w:pPr>
            <w:r>
              <w:t>12,058</w:t>
            </w:r>
          </w:p>
        </w:tc>
      </w:tr>
      <w:tr w:rsidR="001330C6" w14:paraId="3A52BE81" w14:textId="77777777" w:rsidTr="001330C6">
        <w:trPr>
          <w:trHeight w:val="340"/>
        </w:trPr>
        <w:tc>
          <w:tcPr>
            <w:tcW w:w="1276" w:type="dxa"/>
          </w:tcPr>
          <w:p w14:paraId="794C09F4" w14:textId="14647239" w:rsidR="001330C6" w:rsidRDefault="001330C6" w:rsidP="001330C6">
            <w:pPr>
              <w:pStyle w:val="TableText"/>
              <w:jc w:val="right"/>
              <w:rPr>
                <w:w w:val="105"/>
              </w:rPr>
            </w:pPr>
            <w:r>
              <w:rPr>
                <w:w w:val="105"/>
              </w:rPr>
              <w:t>14,436</w:t>
            </w:r>
          </w:p>
        </w:tc>
        <w:tc>
          <w:tcPr>
            <w:tcW w:w="2830" w:type="dxa"/>
          </w:tcPr>
          <w:p w14:paraId="3F250009" w14:textId="726E8154" w:rsidR="001330C6" w:rsidRDefault="001330C6" w:rsidP="001330C6">
            <w:pPr>
              <w:pStyle w:val="TableText"/>
            </w:pPr>
            <w:r>
              <w:rPr>
                <w:w w:val="105"/>
              </w:rPr>
              <w:t>Intangible</w:t>
            </w:r>
            <w:r>
              <w:rPr>
                <w:spacing w:val="-6"/>
                <w:w w:val="105"/>
              </w:rPr>
              <w:t xml:space="preserve"> </w:t>
            </w:r>
            <w:r>
              <w:rPr>
                <w:w w:val="105"/>
              </w:rPr>
              <w:t>assets</w:t>
            </w:r>
          </w:p>
        </w:tc>
        <w:tc>
          <w:tcPr>
            <w:tcW w:w="1188" w:type="dxa"/>
          </w:tcPr>
          <w:p w14:paraId="097F2F11" w14:textId="77777777" w:rsidR="001330C6" w:rsidRPr="00090FEB" w:rsidRDefault="001330C6" w:rsidP="00090FEB">
            <w:pPr>
              <w:pStyle w:val="TableText"/>
              <w:jc w:val="center"/>
            </w:pPr>
            <w:r w:rsidRPr="00090FEB">
              <w:t>7</w:t>
            </w:r>
          </w:p>
        </w:tc>
        <w:tc>
          <w:tcPr>
            <w:tcW w:w="1045" w:type="dxa"/>
          </w:tcPr>
          <w:p w14:paraId="6F3D51D3" w14:textId="77777777" w:rsidR="001330C6" w:rsidRDefault="001330C6" w:rsidP="001330C6">
            <w:pPr>
              <w:pStyle w:val="TableText"/>
              <w:jc w:val="right"/>
            </w:pPr>
            <w:r>
              <w:t>14,407</w:t>
            </w:r>
          </w:p>
        </w:tc>
        <w:tc>
          <w:tcPr>
            <w:tcW w:w="1216" w:type="dxa"/>
          </w:tcPr>
          <w:p w14:paraId="1E7903C4" w14:textId="77777777" w:rsidR="001330C6" w:rsidRDefault="001330C6" w:rsidP="001330C6">
            <w:pPr>
              <w:pStyle w:val="TableText"/>
              <w:jc w:val="right"/>
            </w:pPr>
            <w:r>
              <w:rPr>
                <w:w w:val="110"/>
              </w:rPr>
              <w:t>58,849</w:t>
            </w:r>
          </w:p>
        </w:tc>
        <w:tc>
          <w:tcPr>
            <w:tcW w:w="1163" w:type="dxa"/>
          </w:tcPr>
          <w:p w14:paraId="23923046" w14:textId="77777777" w:rsidR="001330C6" w:rsidRDefault="001330C6" w:rsidP="001330C6">
            <w:pPr>
              <w:pStyle w:val="TableText"/>
              <w:jc w:val="right"/>
            </w:pPr>
            <w:r>
              <w:rPr>
                <w:w w:val="105"/>
              </w:rPr>
              <w:t>23,634</w:t>
            </w:r>
          </w:p>
        </w:tc>
      </w:tr>
      <w:tr w:rsidR="001330C6" w14:paraId="622DBBE9" w14:textId="77777777" w:rsidTr="006C6773">
        <w:trPr>
          <w:trHeight w:val="340"/>
        </w:trPr>
        <w:tc>
          <w:tcPr>
            <w:tcW w:w="1276" w:type="dxa"/>
            <w:tcBorders>
              <w:bottom w:val="single" w:sz="4" w:space="0" w:color="A6A6A6" w:themeColor="background1" w:themeShade="A6"/>
            </w:tcBorders>
          </w:tcPr>
          <w:p w14:paraId="6D905518" w14:textId="42A70C7B" w:rsidR="001330C6" w:rsidRPr="001330C6" w:rsidRDefault="001330C6" w:rsidP="001330C6">
            <w:pPr>
              <w:pStyle w:val="TableText"/>
              <w:jc w:val="right"/>
              <w:rPr>
                <w:b/>
                <w:bCs/>
                <w:w w:val="110"/>
              </w:rPr>
            </w:pPr>
            <w:r w:rsidRPr="001330C6">
              <w:rPr>
                <w:b/>
                <w:bCs/>
                <w:w w:val="110"/>
              </w:rPr>
              <w:t xml:space="preserve">23,899 </w:t>
            </w:r>
            <w:r w:rsidRPr="001330C6">
              <w:rPr>
                <w:b/>
                <w:bCs/>
                <w:spacing w:val="38"/>
                <w:w w:val="110"/>
              </w:rPr>
              <w:t xml:space="preserve"> </w:t>
            </w:r>
          </w:p>
        </w:tc>
        <w:tc>
          <w:tcPr>
            <w:tcW w:w="2830" w:type="dxa"/>
            <w:tcBorders>
              <w:bottom w:val="single" w:sz="4" w:space="0" w:color="A6A6A6" w:themeColor="background1" w:themeShade="A6"/>
            </w:tcBorders>
          </w:tcPr>
          <w:p w14:paraId="136322DF" w14:textId="6383642D" w:rsidR="001330C6" w:rsidRPr="001330C6" w:rsidRDefault="001330C6" w:rsidP="001330C6">
            <w:pPr>
              <w:pStyle w:val="TableText"/>
              <w:rPr>
                <w:b/>
                <w:bCs/>
              </w:rPr>
            </w:pPr>
            <w:r w:rsidRPr="001330C6">
              <w:rPr>
                <w:b/>
                <w:bCs/>
                <w:w w:val="110"/>
              </w:rPr>
              <w:t>Total</w:t>
            </w:r>
            <w:r w:rsidRPr="001330C6">
              <w:rPr>
                <w:b/>
                <w:bCs/>
                <w:spacing w:val="-10"/>
                <w:w w:val="110"/>
              </w:rPr>
              <w:t xml:space="preserve"> </w:t>
            </w:r>
            <w:r w:rsidRPr="001330C6">
              <w:rPr>
                <w:b/>
                <w:bCs/>
                <w:w w:val="110"/>
              </w:rPr>
              <w:t>non-current</w:t>
            </w:r>
            <w:r w:rsidRPr="001330C6">
              <w:rPr>
                <w:b/>
                <w:bCs/>
                <w:spacing w:val="-9"/>
                <w:w w:val="110"/>
              </w:rPr>
              <w:t xml:space="preserve"> </w:t>
            </w:r>
            <w:r w:rsidRPr="001330C6">
              <w:rPr>
                <w:b/>
                <w:bCs/>
                <w:w w:val="110"/>
              </w:rPr>
              <w:t>assets</w:t>
            </w:r>
          </w:p>
        </w:tc>
        <w:tc>
          <w:tcPr>
            <w:tcW w:w="1188" w:type="dxa"/>
            <w:tcBorders>
              <w:bottom w:val="single" w:sz="4" w:space="0" w:color="A6A6A6" w:themeColor="background1" w:themeShade="A6"/>
            </w:tcBorders>
          </w:tcPr>
          <w:p w14:paraId="5D3D8DD7" w14:textId="77777777" w:rsidR="001330C6" w:rsidRPr="00090FEB" w:rsidRDefault="001330C6" w:rsidP="00090FEB">
            <w:pPr>
              <w:pStyle w:val="TableText"/>
              <w:jc w:val="center"/>
            </w:pPr>
          </w:p>
        </w:tc>
        <w:tc>
          <w:tcPr>
            <w:tcW w:w="1045" w:type="dxa"/>
            <w:tcBorders>
              <w:bottom w:val="single" w:sz="4" w:space="0" w:color="A6A6A6" w:themeColor="background1" w:themeShade="A6"/>
            </w:tcBorders>
          </w:tcPr>
          <w:p w14:paraId="1D77603A" w14:textId="77777777" w:rsidR="001330C6" w:rsidRPr="001330C6" w:rsidRDefault="001330C6" w:rsidP="001330C6">
            <w:pPr>
              <w:pStyle w:val="TableText"/>
              <w:jc w:val="right"/>
              <w:rPr>
                <w:b/>
                <w:bCs/>
              </w:rPr>
            </w:pPr>
            <w:r w:rsidRPr="001330C6">
              <w:rPr>
                <w:b/>
                <w:bCs/>
                <w:w w:val="105"/>
              </w:rPr>
              <w:t>23,828</w:t>
            </w:r>
          </w:p>
        </w:tc>
        <w:tc>
          <w:tcPr>
            <w:tcW w:w="1216" w:type="dxa"/>
            <w:tcBorders>
              <w:bottom w:val="single" w:sz="4" w:space="0" w:color="A6A6A6" w:themeColor="background1" w:themeShade="A6"/>
            </w:tcBorders>
          </w:tcPr>
          <w:p w14:paraId="07B352DC" w14:textId="77777777" w:rsidR="001330C6" w:rsidRPr="001330C6" w:rsidRDefault="001330C6" w:rsidP="001330C6">
            <w:pPr>
              <w:pStyle w:val="TableText"/>
              <w:jc w:val="right"/>
              <w:rPr>
                <w:b/>
                <w:bCs/>
              </w:rPr>
            </w:pPr>
            <w:r w:rsidRPr="001330C6">
              <w:rPr>
                <w:b/>
                <w:bCs/>
                <w:w w:val="105"/>
              </w:rPr>
              <w:t>70,728</w:t>
            </w:r>
          </w:p>
        </w:tc>
        <w:tc>
          <w:tcPr>
            <w:tcW w:w="1163" w:type="dxa"/>
            <w:tcBorders>
              <w:bottom w:val="single" w:sz="4" w:space="0" w:color="A6A6A6" w:themeColor="background1" w:themeShade="A6"/>
            </w:tcBorders>
          </w:tcPr>
          <w:p w14:paraId="057E87D5" w14:textId="77777777" w:rsidR="001330C6" w:rsidRPr="001330C6" w:rsidRDefault="001330C6" w:rsidP="001330C6">
            <w:pPr>
              <w:pStyle w:val="TableText"/>
              <w:jc w:val="right"/>
              <w:rPr>
                <w:b/>
                <w:bCs/>
              </w:rPr>
            </w:pPr>
            <w:r w:rsidRPr="001330C6">
              <w:rPr>
                <w:b/>
                <w:bCs/>
                <w:w w:val="110"/>
              </w:rPr>
              <w:t>35,692</w:t>
            </w:r>
          </w:p>
        </w:tc>
      </w:tr>
      <w:tr w:rsidR="001330C6" w:rsidRPr="001330C6" w14:paraId="6BE0DDBF" w14:textId="77777777" w:rsidTr="006C6773">
        <w:trPr>
          <w:trHeight w:val="340"/>
        </w:trPr>
        <w:tc>
          <w:tcPr>
            <w:tcW w:w="1276" w:type="dxa"/>
            <w:tcBorders>
              <w:top w:val="single" w:sz="4" w:space="0" w:color="A6A6A6" w:themeColor="background1" w:themeShade="A6"/>
              <w:bottom w:val="single" w:sz="4" w:space="0" w:color="A6A6A6" w:themeColor="background1" w:themeShade="A6"/>
            </w:tcBorders>
          </w:tcPr>
          <w:p w14:paraId="63600C92" w14:textId="7A6D09EB" w:rsidR="001330C6" w:rsidRPr="001330C6" w:rsidRDefault="001330C6" w:rsidP="001330C6">
            <w:pPr>
              <w:pStyle w:val="TableText"/>
              <w:jc w:val="right"/>
              <w:rPr>
                <w:b/>
                <w:bCs/>
                <w:w w:val="105"/>
              </w:rPr>
            </w:pPr>
            <w:r w:rsidRPr="001330C6">
              <w:rPr>
                <w:b/>
                <w:bCs/>
                <w:w w:val="105"/>
              </w:rPr>
              <w:t xml:space="preserve">132,062  </w:t>
            </w:r>
            <w:r w:rsidRPr="001330C6">
              <w:rPr>
                <w:b/>
                <w:bCs/>
                <w:spacing w:val="4"/>
                <w:w w:val="105"/>
              </w:rPr>
              <w:t xml:space="preserve"> </w:t>
            </w:r>
          </w:p>
        </w:tc>
        <w:tc>
          <w:tcPr>
            <w:tcW w:w="2830" w:type="dxa"/>
            <w:tcBorders>
              <w:top w:val="single" w:sz="4" w:space="0" w:color="A6A6A6" w:themeColor="background1" w:themeShade="A6"/>
              <w:bottom w:val="single" w:sz="4" w:space="0" w:color="A6A6A6" w:themeColor="background1" w:themeShade="A6"/>
            </w:tcBorders>
          </w:tcPr>
          <w:p w14:paraId="0F8EC911" w14:textId="05005FEF" w:rsidR="001330C6" w:rsidRPr="001330C6" w:rsidRDefault="001330C6" w:rsidP="001330C6">
            <w:pPr>
              <w:pStyle w:val="TableText"/>
              <w:rPr>
                <w:b/>
                <w:bCs/>
              </w:rPr>
            </w:pPr>
            <w:r w:rsidRPr="001330C6">
              <w:rPr>
                <w:b/>
                <w:bCs/>
                <w:w w:val="105"/>
              </w:rPr>
              <w:t>Total</w:t>
            </w:r>
            <w:r w:rsidRPr="001330C6">
              <w:rPr>
                <w:b/>
                <w:bCs/>
                <w:spacing w:val="-2"/>
                <w:w w:val="105"/>
              </w:rPr>
              <w:t xml:space="preserve"> </w:t>
            </w:r>
            <w:r w:rsidRPr="001330C6">
              <w:rPr>
                <w:b/>
                <w:bCs/>
                <w:w w:val="105"/>
              </w:rPr>
              <w:t>assets</w:t>
            </w:r>
          </w:p>
        </w:tc>
        <w:tc>
          <w:tcPr>
            <w:tcW w:w="1188" w:type="dxa"/>
            <w:tcBorders>
              <w:top w:val="single" w:sz="4" w:space="0" w:color="A6A6A6" w:themeColor="background1" w:themeShade="A6"/>
              <w:bottom w:val="single" w:sz="4" w:space="0" w:color="A6A6A6" w:themeColor="background1" w:themeShade="A6"/>
            </w:tcBorders>
          </w:tcPr>
          <w:p w14:paraId="73C44878" w14:textId="77777777" w:rsidR="001330C6" w:rsidRPr="00090FEB" w:rsidRDefault="001330C6" w:rsidP="00090FEB">
            <w:pPr>
              <w:pStyle w:val="TableText"/>
              <w:jc w:val="center"/>
            </w:pPr>
          </w:p>
        </w:tc>
        <w:tc>
          <w:tcPr>
            <w:tcW w:w="1045" w:type="dxa"/>
            <w:tcBorders>
              <w:top w:val="single" w:sz="4" w:space="0" w:color="A6A6A6" w:themeColor="background1" w:themeShade="A6"/>
              <w:bottom w:val="single" w:sz="4" w:space="0" w:color="A6A6A6" w:themeColor="background1" w:themeShade="A6"/>
            </w:tcBorders>
          </w:tcPr>
          <w:p w14:paraId="4C1D25BE" w14:textId="77777777" w:rsidR="001330C6" w:rsidRPr="001330C6" w:rsidRDefault="001330C6" w:rsidP="001330C6">
            <w:pPr>
              <w:pStyle w:val="TableText"/>
              <w:jc w:val="right"/>
              <w:rPr>
                <w:b/>
                <w:bCs/>
              </w:rPr>
            </w:pPr>
            <w:r w:rsidRPr="001330C6">
              <w:rPr>
                <w:b/>
                <w:bCs/>
              </w:rPr>
              <w:t>297,163</w:t>
            </w:r>
          </w:p>
        </w:tc>
        <w:tc>
          <w:tcPr>
            <w:tcW w:w="1216" w:type="dxa"/>
            <w:tcBorders>
              <w:top w:val="single" w:sz="4" w:space="0" w:color="A6A6A6" w:themeColor="background1" w:themeShade="A6"/>
              <w:bottom w:val="single" w:sz="4" w:space="0" w:color="A6A6A6" w:themeColor="background1" w:themeShade="A6"/>
            </w:tcBorders>
          </w:tcPr>
          <w:p w14:paraId="153DD77F" w14:textId="77777777" w:rsidR="001330C6" w:rsidRPr="001330C6" w:rsidRDefault="001330C6" w:rsidP="001330C6">
            <w:pPr>
              <w:pStyle w:val="TableText"/>
              <w:jc w:val="right"/>
              <w:rPr>
                <w:b/>
                <w:bCs/>
              </w:rPr>
            </w:pPr>
            <w:r w:rsidRPr="001330C6">
              <w:rPr>
                <w:b/>
                <w:bCs/>
                <w:w w:val="110"/>
              </w:rPr>
              <w:t>96,420</w:t>
            </w:r>
          </w:p>
        </w:tc>
        <w:tc>
          <w:tcPr>
            <w:tcW w:w="1163" w:type="dxa"/>
            <w:tcBorders>
              <w:top w:val="single" w:sz="4" w:space="0" w:color="A6A6A6" w:themeColor="background1" w:themeShade="A6"/>
              <w:bottom w:val="single" w:sz="4" w:space="0" w:color="A6A6A6" w:themeColor="background1" w:themeShade="A6"/>
            </w:tcBorders>
          </w:tcPr>
          <w:p w14:paraId="0080E514" w14:textId="77777777" w:rsidR="001330C6" w:rsidRPr="001330C6" w:rsidRDefault="001330C6" w:rsidP="001330C6">
            <w:pPr>
              <w:pStyle w:val="TableText"/>
              <w:jc w:val="right"/>
              <w:rPr>
                <w:b/>
                <w:bCs/>
              </w:rPr>
            </w:pPr>
            <w:r w:rsidRPr="001330C6">
              <w:rPr>
                <w:b/>
                <w:bCs/>
                <w:w w:val="110"/>
              </w:rPr>
              <w:t>83,486</w:t>
            </w:r>
          </w:p>
        </w:tc>
      </w:tr>
      <w:tr w:rsidR="001330C6" w:rsidRPr="001330C6" w14:paraId="2195F8AD" w14:textId="77777777" w:rsidTr="006C6773">
        <w:trPr>
          <w:trHeight w:val="340"/>
        </w:trPr>
        <w:tc>
          <w:tcPr>
            <w:tcW w:w="1276" w:type="dxa"/>
            <w:tcBorders>
              <w:top w:val="single" w:sz="4" w:space="0" w:color="A6A6A6" w:themeColor="background1" w:themeShade="A6"/>
            </w:tcBorders>
          </w:tcPr>
          <w:p w14:paraId="0B183338" w14:textId="77777777" w:rsidR="001330C6" w:rsidRPr="001330C6" w:rsidRDefault="001330C6" w:rsidP="001330C6">
            <w:pPr>
              <w:pStyle w:val="TableText"/>
              <w:jc w:val="right"/>
              <w:rPr>
                <w:b/>
                <w:bCs/>
                <w:w w:val="105"/>
              </w:rPr>
            </w:pPr>
          </w:p>
        </w:tc>
        <w:tc>
          <w:tcPr>
            <w:tcW w:w="2830" w:type="dxa"/>
            <w:tcBorders>
              <w:top w:val="single" w:sz="4" w:space="0" w:color="A6A6A6" w:themeColor="background1" w:themeShade="A6"/>
            </w:tcBorders>
          </w:tcPr>
          <w:p w14:paraId="3A719501" w14:textId="6D330B9C" w:rsidR="001330C6" w:rsidRPr="001330C6" w:rsidRDefault="001330C6" w:rsidP="001330C6">
            <w:pPr>
              <w:pStyle w:val="TableText"/>
              <w:rPr>
                <w:b/>
                <w:bCs/>
                <w:spacing w:val="1"/>
                <w:w w:val="110"/>
              </w:rPr>
            </w:pPr>
            <w:r w:rsidRPr="001330C6">
              <w:rPr>
                <w:b/>
                <w:bCs/>
                <w:w w:val="110"/>
              </w:rPr>
              <w:t>Liabilities</w:t>
            </w:r>
            <w:r w:rsidRPr="001330C6">
              <w:rPr>
                <w:b/>
                <w:bCs/>
                <w:spacing w:val="1"/>
                <w:w w:val="110"/>
              </w:rPr>
              <w:t xml:space="preserve"> </w:t>
            </w:r>
          </w:p>
        </w:tc>
        <w:tc>
          <w:tcPr>
            <w:tcW w:w="1188" w:type="dxa"/>
            <w:tcBorders>
              <w:top w:val="single" w:sz="4" w:space="0" w:color="A6A6A6" w:themeColor="background1" w:themeShade="A6"/>
            </w:tcBorders>
          </w:tcPr>
          <w:p w14:paraId="326E20E7" w14:textId="77777777" w:rsidR="001330C6" w:rsidRPr="00090FEB" w:rsidRDefault="001330C6" w:rsidP="00090FEB">
            <w:pPr>
              <w:pStyle w:val="TableText"/>
              <w:jc w:val="center"/>
            </w:pPr>
          </w:p>
        </w:tc>
        <w:tc>
          <w:tcPr>
            <w:tcW w:w="1045" w:type="dxa"/>
            <w:tcBorders>
              <w:top w:val="single" w:sz="4" w:space="0" w:color="A6A6A6" w:themeColor="background1" w:themeShade="A6"/>
            </w:tcBorders>
          </w:tcPr>
          <w:p w14:paraId="45F11A14" w14:textId="77777777" w:rsidR="001330C6" w:rsidRPr="001330C6" w:rsidRDefault="001330C6" w:rsidP="001330C6">
            <w:pPr>
              <w:pStyle w:val="TableText"/>
              <w:jc w:val="right"/>
              <w:rPr>
                <w:b/>
                <w:bCs/>
              </w:rPr>
            </w:pPr>
          </w:p>
        </w:tc>
        <w:tc>
          <w:tcPr>
            <w:tcW w:w="1216" w:type="dxa"/>
            <w:tcBorders>
              <w:top w:val="single" w:sz="4" w:space="0" w:color="A6A6A6" w:themeColor="background1" w:themeShade="A6"/>
            </w:tcBorders>
          </w:tcPr>
          <w:p w14:paraId="4D825B24" w14:textId="77777777" w:rsidR="001330C6" w:rsidRPr="001330C6" w:rsidRDefault="001330C6" w:rsidP="001330C6">
            <w:pPr>
              <w:pStyle w:val="TableText"/>
              <w:jc w:val="right"/>
              <w:rPr>
                <w:b/>
                <w:bCs/>
                <w:w w:val="110"/>
              </w:rPr>
            </w:pPr>
          </w:p>
        </w:tc>
        <w:tc>
          <w:tcPr>
            <w:tcW w:w="1163" w:type="dxa"/>
            <w:tcBorders>
              <w:top w:val="single" w:sz="4" w:space="0" w:color="A6A6A6" w:themeColor="background1" w:themeShade="A6"/>
            </w:tcBorders>
          </w:tcPr>
          <w:p w14:paraId="1CEF40CF" w14:textId="77777777" w:rsidR="001330C6" w:rsidRPr="001330C6" w:rsidRDefault="001330C6" w:rsidP="001330C6">
            <w:pPr>
              <w:pStyle w:val="TableText"/>
              <w:jc w:val="right"/>
              <w:rPr>
                <w:b/>
                <w:bCs/>
                <w:w w:val="110"/>
              </w:rPr>
            </w:pPr>
          </w:p>
        </w:tc>
      </w:tr>
      <w:tr w:rsidR="001330C6" w:rsidRPr="001330C6" w14:paraId="66BC1B00" w14:textId="77777777" w:rsidTr="001330C6">
        <w:trPr>
          <w:trHeight w:val="340"/>
        </w:trPr>
        <w:tc>
          <w:tcPr>
            <w:tcW w:w="1276" w:type="dxa"/>
          </w:tcPr>
          <w:p w14:paraId="650553FE" w14:textId="77777777" w:rsidR="001330C6" w:rsidRPr="001330C6" w:rsidRDefault="001330C6" w:rsidP="001330C6">
            <w:pPr>
              <w:pStyle w:val="TableText"/>
              <w:jc w:val="right"/>
              <w:rPr>
                <w:b/>
                <w:bCs/>
                <w:w w:val="105"/>
              </w:rPr>
            </w:pPr>
          </w:p>
        </w:tc>
        <w:tc>
          <w:tcPr>
            <w:tcW w:w="2830" w:type="dxa"/>
          </w:tcPr>
          <w:p w14:paraId="1874269F" w14:textId="592EA314" w:rsidR="001330C6" w:rsidRPr="001330C6" w:rsidRDefault="001330C6" w:rsidP="001330C6">
            <w:pPr>
              <w:pStyle w:val="TableText"/>
              <w:rPr>
                <w:b/>
                <w:bCs/>
                <w:w w:val="110"/>
              </w:rPr>
            </w:pPr>
            <w:r w:rsidRPr="001330C6">
              <w:rPr>
                <w:b/>
                <w:bCs/>
                <w:spacing w:val="-1"/>
                <w:w w:val="110"/>
              </w:rPr>
              <w:t>Current</w:t>
            </w:r>
            <w:r w:rsidRPr="001330C6">
              <w:rPr>
                <w:b/>
                <w:bCs/>
                <w:spacing w:val="-11"/>
                <w:w w:val="110"/>
              </w:rPr>
              <w:t xml:space="preserve"> </w:t>
            </w:r>
            <w:r w:rsidRPr="001330C6">
              <w:rPr>
                <w:b/>
                <w:bCs/>
                <w:spacing w:val="-1"/>
                <w:w w:val="110"/>
              </w:rPr>
              <w:t>liabilities</w:t>
            </w:r>
          </w:p>
        </w:tc>
        <w:tc>
          <w:tcPr>
            <w:tcW w:w="1188" w:type="dxa"/>
          </w:tcPr>
          <w:p w14:paraId="3AFA5217" w14:textId="77777777" w:rsidR="001330C6" w:rsidRPr="00090FEB" w:rsidRDefault="001330C6" w:rsidP="00090FEB">
            <w:pPr>
              <w:pStyle w:val="TableText"/>
              <w:jc w:val="center"/>
            </w:pPr>
          </w:p>
        </w:tc>
        <w:tc>
          <w:tcPr>
            <w:tcW w:w="1045" w:type="dxa"/>
          </w:tcPr>
          <w:p w14:paraId="302C1C44" w14:textId="77777777" w:rsidR="001330C6" w:rsidRPr="001330C6" w:rsidRDefault="001330C6" w:rsidP="001330C6">
            <w:pPr>
              <w:pStyle w:val="TableText"/>
              <w:jc w:val="right"/>
              <w:rPr>
                <w:b/>
                <w:bCs/>
              </w:rPr>
            </w:pPr>
          </w:p>
        </w:tc>
        <w:tc>
          <w:tcPr>
            <w:tcW w:w="1216" w:type="dxa"/>
          </w:tcPr>
          <w:p w14:paraId="2745235D" w14:textId="77777777" w:rsidR="001330C6" w:rsidRPr="001330C6" w:rsidRDefault="001330C6" w:rsidP="001330C6">
            <w:pPr>
              <w:pStyle w:val="TableText"/>
              <w:jc w:val="right"/>
              <w:rPr>
                <w:b/>
                <w:bCs/>
                <w:w w:val="110"/>
              </w:rPr>
            </w:pPr>
          </w:p>
        </w:tc>
        <w:tc>
          <w:tcPr>
            <w:tcW w:w="1163" w:type="dxa"/>
          </w:tcPr>
          <w:p w14:paraId="226A6547" w14:textId="77777777" w:rsidR="001330C6" w:rsidRPr="001330C6" w:rsidRDefault="001330C6" w:rsidP="001330C6">
            <w:pPr>
              <w:pStyle w:val="TableText"/>
              <w:jc w:val="right"/>
              <w:rPr>
                <w:b/>
                <w:bCs/>
                <w:w w:val="110"/>
              </w:rPr>
            </w:pPr>
          </w:p>
        </w:tc>
      </w:tr>
      <w:tr w:rsidR="001330C6" w14:paraId="217D9E70" w14:textId="77777777" w:rsidTr="001330C6">
        <w:trPr>
          <w:trHeight w:val="340"/>
        </w:trPr>
        <w:tc>
          <w:tcPr>
            <w:tcW w:w="1276" w:type="dxa"/>
          </w:tcPr>
          <w:p w14:paraId="0462483F" w14:textId="0FAB1B5F" w:rsidR="001330C6" w:rsidRDefault="001330C6" w:rsidP="001330C6">
            <w:pPr>
              <w:pStyle w:val="TableText"/>
              <w:jc w:val="right"/>
              <w:rPr>
                <w:w w:val="110"/>
              </w:rPr>
            </w:pPr>
            <w:r>
              <w:t>52,737</w:t>
            </w:r>
          </w:p>
        </w:tc>
        <w:tc>
          <w:tcPr>
            <w:tcW w:w="2830" w:type="dxa"/>
          </w:tcPr>
          <w:p w14:paraId="3C4B9757" w14:textId="7BEB5F11" w:rsidR="001330C6" w:rsidRDefault="001330C6" w:rsidP="001330C6">
            <w:pPr>
              <w:pStyle w:val="TableText"/>
            </w:pPr>
            <w:r>
              <w:t>Payables</w:t>
            </w:r>
          </w:p>
        </w:tc>
        <w:tc>
          <w:tcPr>
            <w:tcW w:w="1188" w:type="dxa"/>
          </w:tcPr>
          <w:p w14:paraId="48E5AA9D" w14:textId="77777777" w:rsidR="001330C6" w:rsidRPr="00090FEB" w:rsidRDefault="001330C6" w:rsidP="00090FEB">
            <w:pPr>
              <w:pStyle w:val="TableText"/>
              <w:jc w:val="center"/>
            </w:pPr>
            <w:r w:rsidRPr="00090FEB">
              <w:t>8</w:t>
            </w:r>
          </w:p>
        </w:tc>
        <w:tc>
          <w:tcPr>
            <w:tcW w:w="1045" w:type="dxa"/>
          </w:tcPr>
          <w:p w14:paraId="232416E1" w14:textId="77777777" w:rsidR="001330C6" w:rsidRDefault="001330C6" w:rsidP="001330C6">
            <w:pPr>
              <w:pStyle w:val="TableText"/>
              <w:jc w:val="right"/>
            </w:pPr>
            <w:r>
              <w:t>106,915</w:t>
            </w:r>
          </w:p>
        </w:tc>
        <w:tc>
          <w:tcPr>
            <w:tcW w:w="1216" w:type="dxa"/>
          </w:tcPr>
          <w:p w14:paraId="4304F989" w14:textId="77777777" w:rsidR="001330C6" w:rsidRDefault="001330C6" w:rsidP="001330C6">
            <w:pPr>
              <w:pStyle w:val="TableText"/>
              <w:jc w:val="right"/>
            </w:pPr>
            <w:r>
              <w:rPr>
                <w:w w:val="105"/>
              </w:rPr>
              <w:t>22,842</w:t>
            </w:r>
          </w:p>
        </w:tc>
        <w:tc>
          <w:tcPr>
            <w:tcW w:w="1163" w:type="dxa"/>
          </w:tcPr>
          <w:p w14:paraId="652397A6" w14:textId="77777777" w:rsidR="001330C6" w:rsidRDefault="001330C6" w:rsidP="001330C6">
            <w:pPr>
              <w:pStyle w:val="TableText"/>
              <w:jc w:val="right"/>
            </w:pPr>
            <w:r>
              <w:rPr>
                <w:w w:val="105"/>
              </w:rPr>
              <w:t>46,302</w:t>
            </w:r>
          </w:p>
        </w:tc>
      </w:tr>
      <w:tr w:rsidR="001330C6" w14:paraId="13D70C38" w14:textId="77777777" w:rsidTr="001330C6">
        <w:trPr>
          <w:trHeight w:val="340"/>
        </w:trPr>
        <w:tc>
          <w:tcPr>
            <w:tcW w:w="1276" w:type="dxa"/>
          </w:tcPr>
          <w:p w14:paraId="7465D6BB" w14:textId="3C363009" w:rsidR="001330C6" w:rsidRDefault="001330C6" w:rsidP="001330C6">
            <w:pPr>
              <w:pStyle w:val="TableText"/>
              <w:jc w:val="right"/>
              <w:rPr>
                <w:w w:val="105"/>
              </w:rPr>
            </w:pPr>
            <w:r>
              <w:rPr>
                <w:w w:val="105"/>
              </w:rPr>
              <w:t>34,264</w:t>
            </w:r>
          </w:p>
        </w:tc>
        <w:tc>
          <w:tcPr>
            <w:tcW w:w="2830" w:type="dxa"/>
          </w:tcPr>
          <w:p w14:paraId="6B33EE13" w14:textId="614C03AF" w:rsidR="001330C6" w:rsidRDefault="001330C6" w:rsidP="001330C6">
            <w:pPr>
              <w:pStyle w:val="TableText"/>
            </w:pPr>
            <w:r>
              <w:rPr>
                <w:w w:val="105"/>
              </w:rPr>
              <w:t>Return</w:t>
            </w:r>
            <w:r>
              <w:rPr>
                <w:spacing w:val="-1"/>
                <w:w w:val="105"/>
              </w:rPr>
              <w:t xml:space="preserve"> </w:t>
            </w:r>
            <w:r>
              <w:rPr>
                <w:w w:val="105"/>
              </w:rPr>
              <w:t>of</w:t>
            </w:r>
            <w:r>
              <w:rPr>
                <w:spacing w:val="-1"/>
                <w:w w:val="105"/>
              </w:rPr>
              <w:t xml:space="preserve"> </w:t>
            </w:r>
            <w:r>
              <w:rPr>
                <w:w w:val="105"/>
              </w:rPr>
              <w:t>operating</w:t>
            </w:r>
            <w:r>
              <w:rPr>
                <w:spacing w:val="-1"/>
                <w:w w:val="105"/>
              </w:rPr>
              <w:t xml:space="preserve"> </w:t>
            </w:r>
            <w:r>
              <w:rPr>
                <w:w w:val="105"/>
              </w:rPr>
              <w:t>surplus</w:t>
            </w:r>
          </w:p>
        </w:tc>
        <w:tc>
          <w:tcPr>
            <w:tcW w:w="1188" w:type="dxa"/>
          </w:tcPr>
          <w:p w14:paraId="4241425E" w14:textId="77777777" w:rsidR="001330C6" w:rsidRPr="00090FEB" w:rsidRDefault="001330C6" w:rsidP="00090FEB">
            <w:pPr>
              <w:pStyle w:val="TableText"/>
              <w:jc w:val="center"/>
            </w:pPr>
            <w:r w:rsidRPr="00090FEB">
              <w:t>9</w:t>
            </w:r>
          </w:p>
        </w:tc>
        <w:tc>
          <w:tcPr>
            <w:tcW w:w="1045" w:type="dxa"/>
          </w:tcPr>
          <w:p w14:paraId="5C9BE68A" w14:textId="77777777" w:rsidR="001330C6" w:rsidRDefault="001330C6" w:rsidP="001330C6">
            <w:pPr>
              <w:pStyle w:val="TableText"/>
              <w:jc w:val="right"/>
            </w:pPr>
            <w:r>
              <w:t>142,589</w:t>
            </w:r>
          </w:p>
        </w:tc>
        <w:tc>
          <w:tcPr>
            <w:tcW w:w="1216" w:type="dxa"/>
          </w:tcPr>
          <w:p w14:paraId="63E82687" w14:textId="77777777" w:rsidR="001330C6" w:rsidRDefault="001330C6" w:rsidP="001330C6">
            <w:pPr>
              <w:pStyle w:val="TableText"/>
              <w:jc w:val="right"/>
            </w:pPr>
            <w:r>
              <w:rPr>
                <w:w w:val="135"/>
              </w:rPr>
              <w:t>–</w:t>
            </w:r>
          </w:p>
        </w:tc>
        <w:tc>
          <w:tcPr>
            <w:tcW w:w="1163" w:type="dxa"/>
          </w:tcPr>
          <w:p w14:paraId="5C1B068C" w14:textId="77777777" w:rsidR="001330C6" w:rsidRDefault="001330C6" w:rsidP="001330C6">
            <w:pPr>
              <w:pStyle w:val="TableText"/>
              <w:jc w:val="right"/>
            </w:pPr>
            <w:r>
              <w:rPr>
                <w:w w:val="135"/>
              </w:rPr>
              <w:t>–</w:t>
            </w:r>
          </w:p>
        </w:tc>
      </w:tr>
      <w:tr w:rsidR="001330C6" w14:paraId="6853CF15" w14:textId="77777777" w:rsidTr="001330C6">
        <w:trPr>
          <w:trHeight w:val="340"/>
        </w:trPr>
        <w:tc>
          <w:tcPr>
            <w:tcW w:w="1276" w:type="dxa"/>
          </w:tcPr>
          <w:p w14:paraId="4960AC09" w14:textId="76FCADE9" w:rsidR="001330C6" w:rsidRDefault="001330C6" w:rsidP="001330C6">
            <w:pPr>
              <w:pStyle w:val="TableText"/>
              <w:jc w:val="right"/>
              <w:rPr>
                <w:w w:val="115"/>
              </w:rPr>
            </w:pPr>
            <w:r>
              <w:rPr>
                <w:w w:val="115"/>
              </w:rPr>
              <w:t>–</w:t>
            </w:r>
          </w:p>
        </w:tc>
        <w:tc>
          <w:tcPr>
            <w:tcW w:w="2830" w:type="dxa"/>
          </w:tcPr>
          <w:p w14:paraId="3BFC6E46" w14:textId="39185EE1" w:rsidR="001330C6" w:rsidRDefault="001330C6" w:rsidP="001330C6">
            <w:pPr>
              <w:pStyle w:val="TableText"/>
            </w:pPr>
            <w:r>
              <w:rPr>
                <w:w w:val="115"/>
              </w:rPr>
              <w:t>Provisions</w:t>
            </w:r>
          </w:p>
        </w:tc>
        <w:tc>
          <w:tcPr>
            <w:tcW w:w="1188" w:type="dxa"/>
          </w:tcPr>
          <w:p w14:paraId="5E1F5A88" w14:textId="77777777" w:rsidR="001330C6" w:rsidRPr="00090FEB" w:rsidRDefault="001330C6" w:rsidP="00090FEB">
            <w:pPr>
              <w:pStyle w:val="TableText"/>
              <w:jc w:val="center"/>
            </w:pPr>
            <w:r w:rsidRPr="00090FEB">
              <w:t>10</w:t>
            </w:r>
          </w:p>
        </w:tc>
        <w:tc>
          <w:tcPr>
            <w:tcW w:w="1045" w:type="dxa"/>
          </w:tcPr>
          <w:p w14:paraId="73E0EAD8" w14:textId="77777777" w:rsidR="001330C6" w:rsidRDefault="001330C6" w:rsidP="001330C6">
            <w:pPr>
              <w:pStyle w:val="TableText"/>
              <w:jc w:val="right"/>
            </w:pPr>
            <w:r>
              <w:rPr>
                <w:w w:val="135"/>
              </w:rPr>
              <w:t>–</w:t>
            </w:r>
          </w:p>
        </w:tc>
        <w:tc>
          <w:tcPr>
            <w:tcW w:w="1216" w:type="dxa"/>
          </w:tcPr>
          <w:p w14:paraId="169E5FB3" w14:textId="77777777" w:rsidR="001330C6" w:rsidRDefault="001330C6" w:rsidP="001330C6">
            <w:pPr>
              <w:pStyle w:val="TableText"/>
              <w:jc w:val="right"/>
            </w:pPr>
            <w:r>
              <w:rPr>
                <w:w w:val="110"/>
              </w:rPr>
              <w:t>345</w:t>
            </w:r>
          </w:p>
        </w:tc>
        <w:tc>
          <w:tcPr>
            <w:tcW w:w="1163" w:type="dxa"/>
          </w:tcPr>
          <w:p w14:paraId="54CA19FD" w14:textId="77777777" w:rsidR="001330C6" w:rsidRDefault="001330C6" w:rsidP="001330C6">
            <w:pPr>
              <w:pStyle w:val="TableText"/>
              <w:jc w:val="right"/>
            </w:pPr>
            <w:r>
              <w:t>1,579</w:t>
            </w:r>
          </w:p>
        </w:tc>
      </w:tr>
      <w:tr w:rsidR="001330C6" w14:paraId="126A5F13" w14:textId="77777777" w:rsidTr="001330C6">
        <w:trPr>
          <w:trHeight w:val="340"/>
        </w:trPr>
        <w:tc>
          <w:tcPr>
            <w:tcW w:w="1276" w:type="dxa"/>
          </w:tcPr>
          <w:p w14:paraId="5AEB0B21" w14:textId="263C9DD1" w:rsidR="001330C6" w:rsidRDefault="001330C6" w:rsidP="001330C6">
            <w:pPr>
              <w:pStyle w:val="TableText"/>
              <w:jc w:val="right"/>
            </w:pPr>
            <w:r>
              <w:t xml:space="preserve">17,328  </w:t>
            </w:r>
            <w:r>
              <w:rPr>
                <w:spacing w:val="9"/>
              </w:rPr>
              <w:t xml:space="preserve"> </w:t>
            </w:r>
          </w:p>
        </w:tc>
        <w:tc>
          <w:tcPr>
            <w:tcW w:w="2830" w:type="dxa"/>
          </w:tcPr>
          <w:p w14:paraId="723C401A" w14:textId="2E12E735" w:rsidR="001330C6" w:rsidRDefault="001330C6" w:rsidP="001330C6">
            <w:pPr>
              <w:pStyle w:val="TableText"/>
            </w:pPr>
            <w:r>
              <w:t>Employee</w:t>
            </w:r>
            <w:r>
              <w:rPr>
                <w:spacing w:val="6"/>
              </w:rPr>
              <w:t xml:space="preserve"> </w:t>
            </w:r>
            <w:r>
              <w:t>entitlements</w:t>
            </w:r>
          </w:p>
        </w:tc>
        <w:tc>
          <w:tcPr>
            <w:tcW w:w="1188" w:type="dxa"/>
          </w:tcPr>
          <w:p w14:paraId="0C741FBB" w14:textId="77777777" w:rsidR="001330C6" w:rsidRPr="00090FEB" w:rsidRDefault="001330C6" w:rsidP="00090FEB">
            <w:pPr>
              <w:pStyle w:val="TableText"/>
              <w:jc w:val="center"/>
            </w:pPr>
            <w:r w:rsidRPr="00090FEB">
              <w:t>10</w:t>
            </w:r>
          </w:p>
        </w:tc>
        <w:tc>
          <w:tcPr>
            <w:tcW w:w="1045" w:type="dxa"/>
          </w:tcPr>
          <w:p w14:paraId="5DF20D31" w14:textId="77777777" w:rsidR="001330C6" w:rsidRDefault="001330C6" w:rsidP="001330C6">
            <w:pPr>
              <w:pStyle w:val="TableText"/>
              <w:jc w:val="right"/>
            </w:pPr>
            <w:r>
              <w:rPr>
                <w:w w:val="105"/>
              </w:rPr>
              <w:t>23,760</w:t>
            </w:r>
          </w:p>
        </w:tc>
        <w:tc>
          <w:tcPr>
            <w:tcW w:w="1216" w:type="dxa"/>
          </w:tcPr>
          <w:p w14:paraId="29F0FCD9" w14:textId="77777777" w:rsidR="001330C6" w:rsidRDefault="001330C6" w:rsidP="001330C6">
            <w:pPr>
              <w:pStyle w:val="TableText"/>
              <w:jc w:val="right"/>
            </w:pPr>
            <w:r>
              <w:t>11,580</w:t>
            </w:r>
          </w:p>
        </w:tc>
        <w:tc>
          <w:tcPr>
            <w:tcW w:w="1163" w:type="dxa"/>
          </w:tcPr>
          <w:p w14:paraId="1D20E7D4" w14:textId="77777777" w:rsidR="001330C6" w:rsidRDefault="001330C6" w:rsidP="001330C6">
            <w:pPr>
              <w:pStyle w:val="TableText"/>
              <w:jc w:val="right"/>
            </w:pPr>
            <w:r>
              <w:t>11,460</w:t>
            </w:r>
          </w:p>
        </w:tc>
      </w:tr>
      <w:tr w:rsidR="001330C6" w:rsidRPr="001330C6" w14:paraId="23BAD684" w14:textId="77777777" w:rsidTr="006C6773">
        <w:trPr>
          <w:trHeight w:val="340"/>
        </w:trPr>
        <w:tc>
          <w:tcPr>
            <w:tcW w:w="1276" w:type="dxa"/>
            <w:tcBorders>
              <w:bottom w:val="single" w:sz="4" w:space="0" w:color="A6A6A6" w:themeColor="background1" w:themeShade="A6"/>
            </w:tcBorders>
          </w:tcPr>
          <w:p w14:paraId="364A17D7" w14:textId="709AECAE" w:rsidR="001330C6" w:rsidRPr="001330C6" w:rsidRDefault="001330C6" w:rsidP="001330C6">
            <w:pPr>
              <w:pStyle w:val="TableText"/>
              <w:jc w:val="right"/>
              <w:rPr>
                <w:b/>
                <w:bCs/>
                <w:w w:val="105"/>
              </w:rPr>
            </w:pPr>
            <w:r w:rsidRPr="001330C6">
              <w:rPr>
                <w:b/>
                <w:bCs/>
                <w:w w:val="105"/>
              </w:rPr>
              <w:t xml:space="preserve">104,329  </w:t>
            </w:r>
            <w:r w:rsidRPr="001330C6">
              <w:rPr>
                <w:b/>
                <w:bCs/>
                <w:spacing w:val="17"/>
                <w:w w:val="105"/>
              </w:rPr>
              <w:t xml:space="preserve"> </w:t>
            </w:r>
          </w:p>
        </w:tc>
        <w:tc>
          <w:tcPr>
            <w:tcW w:w="2830" w:type="dxa"/>
            <w:tcBorders>
              <w:bottom w:val="single" w:sz="4" w:space="0" w:color="A6A6A6" w:themeColor="background1" w:themeShade="A6"/>
            </w:tcBorders>
          </w:tcPr>
          <w:p w14:paraId="15CE1214" w14:textId="0CD20873" w:rsidR="001330C6" w:rsidRPr="001330C6" w:rsidRDefault="001330C6" w:rsidP="001330C6">
            <w:pPr>
              <w:pStyle w:val="TableText"/>
              <w:rPr>
                <w:b/>
                <w:bCs/>
              </w:rPr>
            </w:pPr>
            <w:r w:rsidRPr="001330C6">
              <w:rPr>
                <w:b/>
                <w:bCs/>
                <w:w w:val="105"/>
              </w:rPr>
              <w:t>Total</w:t>
            </w:r>
            <w:r w:rsidRPr="001330C6">
              <w:rPr>
                <w:b/>
                <w:bCs/>
                <w:spacing w:val="2"/>
                <w:w w:val="105"/>
              </w:rPr>
              <w:t xml:space="preserve"> </w:t>
            </w:r>
            <w:r w:rsidRPr="001330C6">
              <w:rPr>
                <w:b/>
                <w:bCs/>
                <w:w w:val="105"/>
              </w:rPr>
              <w:t>current</w:t>
            </w:r>
            <w:r w:rsidRPr="001330C6">
              <w:rPr>
                <w:b/>
                <w:bCs/>
                <w:spacing w:val="2"/>
                <w:w w:val="105"/>
              </w:rPr>
              <w:t xml:space="preserve"> </w:t>
            </w:r>
            <w:r w:rsidRPr="001330C6">
              <w:rPr>
                <w:b/>
                <w:bCs/>
                <w:w w:val="105"/>
              </w:rPr>
              <w:t>liabilities</w:t>
            </w:r>
          </w:p>
        </w:tc>
        <w:tc>
          <w:tcPr>
            <w:tcW w:w="1188" w:type="dxa"/>
            <w:tcBorders>
              <w:bottom w:val="single" w:sz="4" w:space="0" w:color="A6A6A6" w:themeColor="background1" w:themeShade="A6"/>
            </w:tcBorders>
          </w:tcPr>
          <w:p w14:paraId="1D984942" w14:textId="77777777" w:rsidR="001330C6" w:rsidRPr="001330C6" w:rsidRDefault="001330C6" w:rsidP="00090FEB">
            <w:pPr>
              <w:pStyle w:val="TableText"/>
              <w:ind w:right="194"/>
              <w:jc w:val="center"/>
              <w:rPr>
                <w:rFonts w:ascii="Times New Roman"/>
                <w:b/>
                <w:bCs/>
              </w:rPr>
            </w:pPr>
          </w:p>
        </w:tc>
        <w:tc>
          <w:tcPr>
            <w:tcW w:w="1045" w:type="dxa"/>
            <w:tcBorders>
              <w:bottom w:val="single" w:sz="4" w:space="0" w:color="A6A6A6" w:themeColor="background1" w:themeShade="A6"/>
            </w:tcBorders>
          </w:tcPr>
          <w:p w14:paraId="763F2118" w14:textId="77777777" w:rsidR="001330C6" w:rsidRPr="001330C6" w:rsidRDefault="001330C6" w:rsidP="001330C6">
            <w:pPr>
              <w:pStyle w:val="TableText"/>
              <w:jc w:val="right"/>
              <w:rPr>
                <w:b/>
                <w:bCs/>
              </w:rPr>
            </w:pPr>
            <w:r w:rsidRPr="001330C6">
              <w:rPr>
                <w:b/>
                <w:bCs/>
                <w:w w:val="105"/>
              </w:rPr>
              <w:t>273,264</w:t>
            </w:r>
          </w:p>
        </w:tc>
        <w:tc>
          <w:tcPr>
            <w:tcW w:w="1216" w:type="dxa"/>
            <w:tcBorders>
              <w:bottom w:val="single" w:sz="4" w:space="0" w:color="A6A6A6" w:themeColor="background1" w:themeShade="A6"/>
            </w:tcBorders>
          </w:tcPr>
          <w:p w14:paraId="6EE597CB" w14:textId="77777777" w:rsidR="001330C6" w:rsidRPr="001330C6" w:rsidRDefault="001330C6" w:rsidP="001330C6">
            <w:pPr>
              <w:pStyle w:val="TableText"/>
              <w:jc w:val="right"/>
              <w:rPr>
                <w:b/>
                <w:bCs/>
              </w:rPr>
            </w:pPr>
            <w:r w:rsidRPr="001330C6">
              <w:rPr>
                <w:b/>
                <w:bCs/>
                <w:w w:val="105"/>
              </w:rPr>
              <w:t>34,767</w:t>
            </w:r>
          </w:p>
        </w:tc>
        <w:tc>
          <w:tcPr>
            <w:tcW w:w="1163" w:type="dxa"/>
            <w:tcBorders>
              <w:bottom w:val="single" w:sz="4" w:space="0" w:color="A6A6A6" w:themeColor="background1" w:themeShade="A6"/>
            </w:tcBorders>
          </w:tcPr>
          <w:p w14:paraId="78FD2D2C" w14:textId="77777777" w:rsidR="001330C6" w:rsidRPr="001330C6" w:rsidRDefault="001330C6" w:rsidP="001330C6">
            <w:pPr>
              <w:pStyle w:val="TableText"/>
              <w:jc w:val="right"/>
              <w:rPr>
                <w:b/>
                <w:bCs/>
              </w:rPr>
            </w:pPr>
            <w:r w:rsidRPr="001330C6">
              <w:rPr>
                <w:b/>
                <w:bCs/>
              </w:rPr>
              <w:t>59,341</w:t>
            </w:r>
          </w:p>
        </w:tc>
      </w:tr>
      <w:tr w:rsidR="001330C6" w:rsidRPr="001330C6" w14:paraId="7E0C6C11" w14:textId="77777777" w:rsidTr="006C6773">
        <w:trPr>
          <w:trHeight w:val="340"/>
        </w:trPr>
        <w:tc>
          <w:tcPr>
            <w:tcW w:w="1276" w:type="dxa"/>
            <w:tcBorders>
              <w:top w:val="single" w:sz="4" w:space="0" w:color="A6A6A6" w:themeColor="background1" w:themeShade="A6"/>
            </w:tcBorders>
          </w:tcPr>
          <w:p w14:paraId="389842FF" w14:textId="77777777" w:rsidR="001330C6" w:rsidRPr="001330C6" w:rsidRDefault="001330C6" w:rsidP="001330C6">
            <w:pPr>
              <w:pStyle w:val="TableText"/>
              <w:jc w:val="right"/>
              <w:rPr>
                <w:b/>
                <w:bCs/>
                <w:w w:val="105"/>
              </w:rPr>
            </w:pPr>
          </w:p>
        </w:tc>
        <w:tc>
          <w:tcPr>
            <w:tcW w:w="2830" w:type="dxa"/>
            <w:tcBorders>
              <w:top w:val="single" w:sz="4" w:space="0" w:color="A6A6A6" w:themeColor="background1" w:themeShade="A6"/>
            </w:tcBorders>
          </w:tcPr>
          <w:p w14:paraId="444EFCC4" w14:textId="17DE005F" w:rsidR="001330C6" w:rsidRPr="001330C6" w:rsidRDefault="001330C6" w:rsidP="001330C6">
            <w:pPr>
              <w:pStyle w:val="TableText"/>
              <w:rPr>
                <w:b/>
                <w:bCs/>
              </w:rPr>
            </w:pPr>
            <w:r w:rsidRPr="001330C6">
              <w:rPr>
                <w:b/>
                <w:bCs/>
                <w:w w:val="105"/>
              </w:rPr>
              <w:t>Non-current</w:t>
            </w:r>
            <w:r w:rsidRPr="001330C6">
              <w:rPr>
                <w:b/>
                <w:bCs/>
                <w:spacing w:val="24"/>
                <w:w w:val="105"/>
              </w:rPr>
              <w:t xml:space="preserve"> </w:t>
            </w:r>
            <w:r w:rsidRPr="001330C6">
              <w:rPr>
                <w:b/>
                <w:bCs/>
                <w:w w:val="105"/>
              </w:rPr>
              <w:t>liabilities</w:t>
            </w:r>
          </w:p>
        </w:tc>
        <w:tc>
          <w:tcPr>
            <w:tcW w:w="1188" w:type="dxa"/>
            <w:tcBorders>
              <w:top w:val="single" w:sz="4" w:space="0" w:color="A6A6A6" w:themeColor="background1" w:themeShade="A6"/>
            </w:tcBorders>
          </w:tcPr>
          <w:p w14:paraId="2543B3A9" w14:textId="77777777" w:rsidR="001330C6" w:rsidRPr="001330C6" w:rsidRDefault="001330C6" w:rsidP="00090FEB">
            <w:pPr>
              <w:pStyle w:val="TableText"/>
              <w:ind w:right="194"/>
              <w:jc w:val="center"/>
              <w:rPr>
                <w:rFonts w:ascii="Times New Roman"/>
                <w:b/>
                <w:bCs/>
              </w:rPr>
            </w:pPr>
          </w:p>
        </w:tc>
        <w:tc>
          <w:tcPr>
            <w:tcW w:w="1045" w:type="dxa"/>
            <w:tcBorders>
              <w:top w:val="single" w:sz="4" w:space="0" w:color="A6A6A6" w:themeColor="background1" w:themeShade="A6"/>
            </w:tcBorders>
          </w:tcPr>
          <w:p w14:paraId="315026AC" w14:textId="77777777" w:rsidR="001330C6" w:rsidRPr="001330C6" w:rsidRDefault="001330C6" w:rsidP="001330C6">
            <w:pPr>
              <w:pStyle w:val="TableText"/>
              <w:jc w:val="right"/>
              <w:rPr>
                <w:b/>
                <w:bCs/>
                <w:w w:val="105"/>
              </w:rPr>
            </w:pPr>
          </w:p>
        </w:tc>
        <w:tc>
          <w:tcPr>
            <w:tcW w:w="1216" w:type="dxa"/>
            <w:tcBorders>
              <w:top w:val="single" w:sz="4" w:space="0" w:color="A6A6A6" w:themeColor="background1" w:themeShade="A6"/>
            </w:tcBorders>
          </w:tcPr>
          <w:p w14:paraId="6AE86AE0" w14:textId="77777777" w:rsidR="001330C6" w:rsidRPr="001330C6" w:rsidRDefault="001330C6" w:rsidP="001330C6">
            <w:pPr>
              <w:pStyle w:val="TableText"/>
              <w:jc w:val="right"/>
              <w:rPr>
                <w:b/>
                <w:bCs/>
                <w:w w:val="105"/>
              </w:rPr>
            </w:pPr>
          </w:p>
        </w:tc>
        <w:tc>
          <w:tcPr>
            <w:tcW w:w="1163" w:type="dxa"/>
            <w:tcBorders>
              <w:top w:val="single" w:sz="4" w:space="0" w:color="A6A6A6" w:themeColor="background1" w:themeShade="A6"/>
            </w:tcBorders>
          </w:tcPr>
          <w:p w14:paraId="7158FDC5" w14:textId="77777777" w:rsidR="001330C6" w:rsidRPr="001330C6" w:rsidRDefault="001330C6" w:rsidP="001330C6">
            <w:pPr>
              <w:pStyle w:val="TableText"/>
              <w:jc w:val="right"/>
              <w:rPr>
                <w:b/>
                <w:bCs/>
              </w:rPr>
            </w:pPr>
          </w:p>
        </w:tc>
      </w:tr>
      <w:tr w:rsidR="001330C6" w14:paraId="76ECF06C" w14:textId="77777777" w:rsidTr="006C6773">
        <w:trPr>
          <w:trHeight w:val="340"/>
        </w:trPr>
        <w:tc>
          <w:tcPr>
            <w:tcW w:w="1276" w:type="dxa"/>
          </w:tcPr>
          <w:p w14:paraId="2588653F" w14:textId="177105D9" w:rsidR="001330C6" w:rsidRDefault="001330C6" w:rsidP="001330C6">
            <w:pPr>
              <w:pStyle w:val="TableText"/>
              <w:jc w:val="right"/>
              <w:rPr>
                <w:w w:val="105"/>
              </w:rPr>
            </w:pPr>
            <w:r>
              <w:t xml:space="preserve">1,842  </w:t>
            </w:r>
            <w:r>
              <w:rPr>
                <w:spacing w:val="14"/>
              </w:rPr>
              <w:t xml:space="preserve"> </w:t>
            </w:r>
          </w:p>
        </w:tc>
        <w:tc>
          <w:tcPr>
            <w:tcW w:w="2830" w:type="dxa"/>
          </w:tcPr>
          <w:p w14:paraId="7093FA5A" w14:textId="433305C4" w:rsidR="001330C6" w:rsidRDefault="001330C6" w:rsidP="001330C6">
            <w:pPr>
              <w:pStyle w:val="TableText"/>
            </w:pPr>
            <w:r>
              <w:t>Employee</w:t>
            </w:r>
            <w:r>
              <w:rPr>
                <w:spacing w:val="8"/>
              </w:rPr>
              <w:t xml:space="preserve"> </w:t>
            </w:r>
            <w:r>
              <w:t>entitlements</w:t>
            </w:r>
          </w:p>
        </w:tc>
        <w:tc>
          <w:tcPr>
            <w:tcW w:w="1188" w:type="dxa"/>
          </w:tcPr>
          <w:p w14:paraId="0C9E57CE" w14:textId="77777777" w:rsidR="001330C6" w:rsidRPr="00090FEB" w:rsidRDefault="001330C6" w:rsidP="00090FEB">
            <w:pPr>
              <w:pStyle w:val="TableText"/>
              <w:jc w:val="center"/>
            </w:pPr>
            <w:r w:rsidRPr="00090FEB">
              <w:t>10</w:t>
            </w:r>
          </w:p>
        </w:tc>
        <w:tc>
          <w:tcPr>
            <w:tcW w:w="1045" w:type="dxa"/>
          </w:tcPr>
          <w:p w14:paraId="28CFEB9E" w14:textId="77777777" w:rsidR="001330C6" w:rsidRDefault="001330C6" w:rsidP="001330C6">
            <w:pPr>
              <w:pStyle w:val="TableText"/>
              <w:jc w:val="right"/>
            </w:pPr>
            <w:r>
              <w:t>1,722</w:t>
            </w:r>
          </w:p>
        </w:tc>
        <w:tc>
          <w:tcPr>
            <w:tcW w:w="1216" w:type="dxa"/>
          </w:tcPr>
          <w:p w14:paraId="3F9A3814" w14:textId="77777777" w:rsidR="001330C6" w:rsidRDefault="001330C6" w:rsidP="001330C6">
            <w:pPr>
              <w:pStyle w:val="TableText"/>
              <w:jc w:val="right"/>
            </w:pPr>
            <w:r>
              <w:t>1,726</w:t>
            </w:r>
          </w:p>
        </w:tc>
        <w:tc>
          <w:tcPr>
            <w:tcW w:w="1163" w:type="dxa"/>
          </w:tcPr>
          <w:p w14:paraId="5FAFD0DF" w14:textId="77777777" w:rsidR="001330C6" w:rsidRDefault="001330C6" w:rsidP="001330C6">
            <w:pPr>
              <w:pStyle w:val="TableText"/>
              <w:jc w:val="right"/>
            </w:pPr>
            <w:r>
              <w:t>1,842</w:t>
            </w:r>
          </w:p>
        </w:tc>
      </w:tr>
      <w:tr w:rsidR="001330C6" w:rsidRPr="001330C6" w14:paraId="01892952" w14:textId="77777777" w:rsidTr="006C6773">
        <w:trPr>
          <w:trHeight w:val="340"/>
        </w:trPr>
        <w:tc>
          <w:tcPr>
            <w:tcW w:w="1276" w:type="dxa"/>
            <w:tcBorders>
              <w:bottom w:val="single" w:sz="4" w:space="0" w:color="A6A6A6" w:themeColor="background1" w:themeShade="A6"/>
            </w:tcBorders>
          </w:tcPr>
          <w:p w14:paraId="42F7CD82" w14:textId="08F694FC" w:rsidR="001330C6" w:rsidRPr="001330C6" w:rsidRDefault="001330C6" w:rsidP="001330C6">
            <w:pPr>
              <w:pStyle w:val="TableText"/>
              <w:jc w:val="right"/>
              <w:rPr>
                <w:b/>
                <w:bCs/>
                <w:w w:val="105"/>
              </w:rPr>
            </w:pPr>
            <w:r w:rsidRPr="001330C6">
              <w:rPr>
                <w:b/>
                <w:bCs/>
                <w:w w:val="105"/>
              </w:rPr>
              <w:t xml:space="preserve">1,842  </w:t>
            </w:r>
            <w:r w:rsidRPr="001330C6">
              <w:rPr>
                <w:b/>
                <w:bCs/>
                <w:spacing w:val="28"/>
                <w:w w:val="105"/>
              </w:rPr>
              <w:t xml:space="preserve"> </w:t>
            </w:r>
          </w:p>
        </w:tc>
        <w:tc>
          <w:tcPr>
            <w:tcW w:w="2830" w:type="dxa"/>
            <w:tcBorders>
              <w:bottom w:val="single" w:sz="4" w:space="0" w:color="A6A6A6" w:themeColor="background1" w:themeShade="A6"/>
            </w:tcBorders>
          </w:tcPr>
          <w:p w14:paraId="7AD05146" w14:textId="55D5DFC6" w:rsidR="001330C6" w:rsidRPr="001330C6" w:rsidRDefault="001330C6" w:rsidP="001330C6">
            <w:pPr>
              <w:pStyle w:val="TableText"/>
              <w:rPr>
                <w:b/>
                <w:bCs/>
              </w:rPr>
            </w:pPr>
            <w:r w:rsidRPr="001330C6">
              <w:rPr>
                <w:b/>
                <w:bCs/>
                <w:w w:val="105"/>
              </w:rPr>
              <w:t>Total</w:t>
            </w:r>
            <w:r w:rsidRPr="001330C6">
              <w:rPr>
                <w:b/>
                <w:bCs/>
                <w:spacing w:val="5"/>
                <w:w w:val="105"/>
              </w:rPr>
              <w:t xml:space="preserve"> </w:t>
            </w:r>
            <w:r w:rsidRPr="001330C6">
              <w:rPr>
                <w:b/>
                <w:bCs/>
                <w:w w:val="105"/>
              </w:rPr>
              <w:t>non-current</w:t>
            </w:r>
            <w:r w:rsidRPr="001330C6">
              <w:rPr>
                <w:b/>
                <w:bCs/>
                <w:spacing w:val="5"/>
                <w:w w:val="105"/>
              </w:rPr>
              <w:t xml:space="preserve"> </w:t>
            </w:r>
            <w:r w:rsidRPr="001330C6">
              <w:rPr>
                <w:b/>
                <w:bCs/>
                <w:w w:val="105"/>
              </w:rPr>
              <w:t>liabilities</w:t>
            </w:r>
          </w:p>
        </w:tc>
        <w:tc>
          <w:tcPr>
            <w:tcW w:w="1188" w:type="dxa"/>
            <w:tcBorders>
              <w:bottom w:val="single" w:sz="4" w:space="0" w:color="A6A6A6" w:themeColor="background1" w:themeShade="A6"/>
            </w:tcBorders>
          </w:tcPr>
          <w:p w14:paraId="24CAD5F4" w14:textId="77777777" w:rsidR="001330C6" w:rsidRPr="001330C6" w:rsidRDefault="001330C6" w:rsidP="001330C6">
            <w:pPr>
              <w:pStyle w:val="TableText"/>
              <w:ind w:right="194"/>
              <w:jc w:val="right"/>
              <w:rPr>
                <w:rFonts w:ascii="Times New Roman"/>
                <w:b/>
                <w:bCs/>
              </w:rPr>
            </w:pPr>
          </w:p>
        </w:tc>
        <w:tc>
          <w:tcPr>
            <w:tcW w:w="1045" w:type="dxa"/>
            <w:tcBorders>
              <w:bottom w:val="single" w:sz="4" w:space="0" w:color="A6A6A6" w:themeColor="background1" w:themeShade="A6"/>
            </w:tcBorders>
          </w:tcPr>
          <w:p w14:paraId="147EBE4C" w14:textId="77777777" w:rsidR="001330C6" w:rsidRPr="001330C6" w:rsidRDefault="001330C6" w:rsidP="001330C6">
            <w:pPr>
              <w:pStyle w:val="TableText"/>
              <w:jc w:val="right"/>
              <w:rPr>
                <w:b/>
                <w:bCs/>
              </w:rPr>
            </w:pPr>
            <w:r w:rsidRPr="001330C6">
              <w:rPr>
                <w:b/>
                <w:bCs/>
              </w:rPr>
              <w:t>1,722</w:t>
            </w:r>
          </w:p>
        </w:tc>
        <w:tc>
          <w:tcPr>
            <w:tcW w:w="1216" w:type="dxa"/>
            <w:tcBorders>
              <w:bottom w:val="single" w:sz="4" w:space="0" w:color="A6A6A6" w:themeColor="background1" w:themeShade="A6"/>
            </w:tcBorders>
          </w:tcPr>
          <w:p w14:paraId="5D57161E" w14:textId="77777777" w:rsidR="001330C6" w:rsidRPr="001330C6" w:rsidRDefault="001330C6" w:rsidP="001330C6">
            <w:pPr>
              <w:pStyle w:val="TableText"/>
              <w:jc w:val="right"/>
              <w:rPr>
                <w:b/>
                <w:bCs/>
              </w:rPr>
            </w:pPr>
            <w:r w:rsidRPr="001330C6">
              <w:rPr>
                <w:b/>
                <w:bCs/>
              </w:rPr>
              <w:t>1,726</w:t>
            </w:r>
          </w:p>
        </w:tc>
        <w:tc>
          <w:tcPr>
            <w:tcW w:w="1163" w:type="dxa"/>
            <w:tcBorders>
              <w:bottom w:val="single" w:sz="4" w:space="0" w:color="A6A6A6" w:themeColor="background1" w:themeShade="A6"/>
            </w:tcBorders>
          </w:tcPr>
          <w:p w14:paraId="70F852B0" w14:textId="77777777" w:rsidR="001330C6" w:rsidRPr="001330C6" w:rsidRDefault="001330C6" w:rsidP="001330C6">
            <w:pPr>
              <w:pStyle w:val="TableText"/>
              <w:jc w:val="right"/>
              <w:rPr>
                <w:b/>
                <w:bCs/>
              </w:rPr>
            </w:pPr>
            <w:r w:rsidRPr="001330C6">
              <w:rPr>
                <w:b/>
                <w:bCs/>
              </w:rPr>
              <w:t>1,842</w:t>
            </w:r>
          </w:p>
        </w:tc>
      </w:tr>
      <w:tr w:rsidR="001330C6" w:rsidRPr="001330C6" w14:paraId="03C87745" w14:textId="77777777" w:rsidTr="006C6773">
        <w:trPr>
          <w:trHeight w:val="340"/>
        </w:trPr>
        <w:tc>
          <w:tcPr>
            <w:tcW w:w="1276" w:type="dxa"/>
            <w:tcBorders>
              <w:top w:val="single" w:sz="4" w:space="0" w:color="A6A6A6" w:themeColor="background1" w:themeShade="A6"/>
              <w:bottom w:val="single" w:sz="4" w:space="0" w:color="A6A6A6" w:themeColor="background1" w:themeShade="A6"/>
            </w:tcBorders>
          </w:tcPr>
          <w:p w14:paraId="39F3CF44" w14:textId="05C128BD" w:rsidR="001330C6" w:rsidRPr="001330C6" w:rsidRDefault="001330C6" w:rsidP="001330C6">
            <w:pPr>
              <w:pStyle w:val="TableText"/>
              <w:jc w:val="right"/>
              <w:rPr>
                <w:b/>
                <w:bCs/>
              </w:rPr>
            </w:pPr>
            <w:r w:rsidRPr="001330C6">
              <w:rPr>
                <w:b/>
                <w:bCs/>
              </w:rPr>
              <w:t xml:space="preserve">106,171  </w:t>
            </w:r>
            <w:r w:rsidRPr="001330C6">
              <w:rPr>
                <w:b/>
                <w:bCs/>
                <w:spacing w:val="12"/>
              </w:rPr>
              <w:t xml:space="preserve"> </w:t>
            </w:r>
          </w:p>
        </w:tc>
        <w:tc>
          <w:tcPr>
            <w:tcW w:w="2830" w:type="dxa"/>
            <w:tcBorders>
              <w:top w:val="single" w:sz="4" w:space="0" w:color="A6A6A6" w:themeColor="background1" w:themeShade="A6"/>
              <w:bottom w:val="single" w:sz="4" w:space="0" w:color="A6A6A6" w:themeColor="background1" w:themeShade="A6"/>
            </w:tcBorders>
          </w:tcPr>
          <w:p w14:paraId="0602DA2D" w14:textId="68259B3C" w:rsidR="001330C6" w:rsidRPr="001330C6" w:rsidRDefault="001330C6" w:rsidP="001330C6">
            <w:pPr>
              <w:pStyle w:val="TableText"/>
              <w:rPr>
                <w:b/>
                <w:bCs/>
              </w:rPr>
            </w:pPr>
            <w:r w:rsidRPr="001330C6">
              <w:rPr>
                <w:b/>
                <w:bCs/>
              </w:rPr>
              <w:t>Total</w:t>
            </w:r>
            <w:r w:rsidRPr="001330C6">
              <w:rPr>
                <w:b/>
                <w:bCs/>
                <w:spacing w:val="1"/>
              </w:rPr>
              <w:t xml:space="preserve"> </w:t>
            </w:r>
            <w:r w:rsidRPr="001330C6">
              <w:rPr>
                <w:b/>
                <w:bCs/>
              </w:rPr>
              <w:t>liabilities</w:t>
            </w:r>
          </w:p>
        </w:tc>
        <w:tc>
          <w:tcPr>
            <w:tcW w:w="1188" w:type="dxa"/>
            <w:tcBorders>
              <w:top w:val="single" w:sz="4" w:space="0" w:color="A6A6A6" w:themeColor="background1" w:themeShade="A6"/>
              <w:bottom w:val="single" w:sz="4" w:space="0" w:color="A6A6A6" w:themeColor="background1" w:themeShade="A6"/>
            </w:tcBorders>
          </w:tcPr>
          <w:p w14:paraId="3678AA58" w14:textId="77777777" w:rsidR="001330C6" w:rsidRPr="001330C6" w:rsidRDefault="001330C6" w:rsidP="001330C6">
            <w:pPr>
              <w:pStyle w:val="TableText"/>
              <w:ind w:right="194"/>
              <w:jc w:val="right"/>
              <w:rPr>
                <w:rFonts w:ascii="Times New Roman"/>
                <w:b/>
                <w:bCs/>
              </w:rPr>
            </w:pPr>
          </w:p>
        </w:tc>
        <w:tc>
          <w:tcPr>
            <w:tcW w:w="1045" w:type="dxa"/>
            <w:tcBorders>
              <w:top w:val="single" w:sz="4" w:space="0" w:color="A6A6A6" w:themeColor="background1" w:themeShade="A6"/>
              <w:bottom w:val="single" w:sz="4" w:space="0" w:color="A6A6A6" w:themeColor="background1" w:themeShade="A6"/>
            </w:tcBorders>
          </w:tcPr>
          <w:p w14:paraId="4E2BC792" w14:textId="77777777" w:rsidR="001330C6" w:rsidRPr="001330C6" w:rsidRDefault="001330C6" w:rsidP="001330C6">
            <w:pPr>
              <w:pStyle w:val="TableText"/>
              <w:jc w:val="right"/>
              <w:rPr>
                <w:b/>
                <w:bCs/>
              </w:rPr>
            </w:pPr>
            <w:r w:rsidRPr="001330C6">
              <w:rPr>
                <w:b/>
                <w:bCs/>
                <w:w w:val="110"/>
              </w:rPr>
              <w:t>274,986</w:t>
            </w:r>
          </w:p>
        </w:tc>
        <w:tc>
          <w:tcPr>
            <w:tcW w:w="1216" w:type="dxa"/>
            <w:tcBorders>
              <w:top w:val="single" w:sz="4" w:space="0" w:color="A6A6A6" w:themeColor="background1" w:themeShade="A6"/>
              <w:bottom w:val="single" w:sz="4" w:space="0" w:color="A6A6A6" w:themeColor="background1" w:themeShade="A6"/>
            </w:tcBorders>
          </w:tcPr>
          <w:p w14:paraId="0093FF37" w14:textId="77777777" w:rsidR="001330C6" w:rsidRPr="001330C6" w:rsidRDefault="001330C6" w:rsidP="001330C6">
            <w:pPr>
              <w:pStyle w:val="TableText"/>
              <w:jc w:val="right"/>
              <w:rPr>
                <w:b/>
                <w:bCs/>
              </w:rPr>
            </w:pPr>
            <w:r w:rsidRPr="001330C6">
              <w:rPr>
                <w:b/>
                <w:bCs/>
                <w:w w:val="110"/>
              </w:rPr>
              <w:t>36,493</w:t>
            </w:r>
          </w:p>
        </w:tc>
        <w:tc>
          <w:tcPr>
            <w:tcW w:w="1163" w:type="dxa"/>
            <w:tcBorders>
              <w:top w:val="single" w:sz="4" w:space="0" w:color="A6A6A6" w:themeColor="background1" w:themeShade="A6"/>
              <w:bottom w:val="single" w:sz="4" w:space="0" w:color="A6A6A6" w:themeColor="background1" w:themeShade="A6"/>
            </w:tcBorders>
          </w:tcPr>
          <w:p w14:paraId="48B285EB" w14:textId="77777777" w:rsidR="001330C6" w:rsidRPr="001330C6" w:rsidRDefault="001330C6" w:rsidP="001330C6">
            <w:pPr>
              <w:pStyle w:val="TableText"/>
              <w:jc w:val="right"/>
              <w:rPr>
                <w:b/>
                <w:bCs/>
              </w:rPr>
            </w:pPr>
            <w:r w:rsidRPr="001330C6">
              <w:rPr>
                <w:b/>
                <w:bCs/>
              </w:rPr>
              <w:t>61,183</w:t>
            </w:r>
          </w:p>
        </w:tc>
      </w:tr>
      <w:tr w:rsidR="001330C6" w:rsidRPr="001330C6" w14:paraId="4726477A" w14:textId="77777777" w:rsidTr="006C6773">
        <w:trPr>
          <w:trHeight w:val="340"/>
        </w:trPr>
        <w:tc>
          <w:tcPr>
            <w:tcW w:w="1276" w:type="dxa"/>
            <w:tcBorders>
              <w:top w:val="single" w:sz="4" w:space="0" w:color="A6A6A6" w:themeColor="background1" w:themeShade="A6"/>
              <w:bottom w:val="single" w:sz="4" w:space="0" w:color="A6A6A6" w:themeColor="background1" w:themeShade="A6"/>
            </w:tcBorders>
          </w:tcPr>
          <w:p w14:paraId="4DDE1EF2" w14:textId="4E2A5BC0" w:rsidR="001330C6" w:rsidRPr="001330C6" w:rsidRDefault="001330C6" w:rsidP="001330C6">
            <w:pPr>
              <w:pStyle w:val="TableText"/>
              <w:jc w:val="right"/>
              <w:rPr>
                <w:b/>
                <w:bCs/>
                <w:w w:val="105"/>
              </w:rPr>
            </w:pPr>
            <w:r w:rsidRPr="001330C6">
              <w:rPr>
                <w:b/>
                <w:bCs/>
                <w:w w:val="105"/>
              </w:rPr>
              <w:t>25,891</w:t>
            </w:r>
          </w:p>
        </w:tc>
        <w:tc>
          <w:tcPr>
            <w:tcW w:w="2830" w:type="dxa"/>
            <w:tcBorders>
              <w:top w:val="single" w:sz="4" w:space="0" w:color="A6A6A6" w:themeColor="background1" w:themeShade="A6"/>
              <w:bottom w:val="single" w:sz="4" w:space="0" w:color="A6A6A6" w:themeColor="background1" w:themeShade="A6"/>
            </w:tcBorders>
          </w:tcPr>
          <w:p w14:paraId="3C944A6A" w14:textId="2DCDE080" w:rsidR="001330C6" w:rsidRPr="001330C6" w:rsidRDefault="001330C6" w:rsidP="001330C6">
            <w:pPr>
              <w:pStyle w:val="TableText"/>
              <w:rPr>
                <w:b/>
                <w:bCs/>
              </w:rPr>
            </w:pPr>
            <w:r w:rsidRPr="001330C6">
              <w:rPr>
                <w:b/>
                <w:bCs/>
                <w:w w:val="105"/>
              </w:rPr>
              <w:t>Net</w:t>
            </w:r>
            <w:r w:rsidRPr="001330C6">
              <w:rPr>
                <w:b/>
                <w:bCs/>
                <w:spacing w:val="-8"/>
                <w:w w:val="105"/>
              </w:rPr>
              <w:t xml:space="preserve"> </w:t>
            </w:r>
            <w:r w:rsidRPr="001330C6">
              <w:rPr>
                <w:b/>
                <w:bCs/>
                <w:w w:val="105"/>
              </w:rPr>
              <w:t>assets</w:t>
            </w:r>
          </w:p>
        </w:tc>
        <w:tc>
          <w:tcPr>
            <w:tcW w:w="1188" w:type="dxa"/>
            <w:tcBorders>
              <w:top w:val="single" w:sz="4" w:space="0" w:color="A6A6A6" w:themeColor="background1" w:themeShade="A6"/>
              <w:bottom w:val="single" w:sz="4" w:space="0" w:color="A6A6A6" w:themeColor="background1" w:themeShade="A6"/>
            </w:tcBorders>
          </w:tcPr>
          <w:p w14:paraId="1FF78EC4" w14:textId="77777777" w:rsidR="001330C6" w:rsidRPr="001330C6" w:rsidRDefault="001330C6" w:rsidP="001330C6">
            <w:pPr>
              <w:pStyle w:val="TableText"/>
              <w:ind w:right="194"/>
              <w:jc w:val="right"/>
              <w:rPr>
                <w:rFonts w:ascii="Times New Roman"/>
                <w:b/>
                <w:bCs/>
              </w:rPr>
            </w:pPr>
          </w:p>
        </w:tc>
        <w:tc>
          <w:tcPr>
            <w:tcW w:w="1045" w:type="dxa"/>
            <w:tcBorders>
              <w:top w:val="single" w:sz="4" w:space="0" w:color="A6A6A6" w:themeColor="background1" w:themeShade="A6"/>
              <w:bottom w:val="single" w:sz="4" w:space="0" w:color="A6A6A6" w:themeColor="background1" w:themeShade="A6"/>
            </w:tcBorders>
          </w:tcPr>
          <w:p w14:paraId="772CA8E7" w14:textId="77777777" w:rsidR="001330C6" w:rsidRPr="001330C6" w:rsidRDefault="001330C6" w:rsidP="001330C6">
            <w:pPr>
              <w:pStyle w:val="TableText"/>
              <w:jc w:val="right"/>
              <w:rPr>
                <w:b/>
                <w:bCs/>
              </w:rPr>
            </w:pPr>
            <w:r w:rsidRPr="001330C6">
              <w:rPr>
                <w:b/>
                <w:bCs/>
              </w:rPr>
              <w:t>22,177</w:t>
            </w:r>
          </w:p>
        </w:tc>
        <w:tc>
          <w:tcPr>
            <w:tcW w:w="1216" w:type="dxa"/>
            <w:tcBorders>
              <w:top w:val="single" w:sz="4" w:space="0" w:color="A6A6A6" w:themeColor="background1" w:themeShade="A6"/>
              <w:bottom w:val="single" w:sz="4" w:space="0" w:color="A6A6A6" w:themeColor="background1" w:themeShade="A6"/>
            </w:tcBorders>
          </w:tcPr>
          <w:p w14:paraId="07588C80" w14:textId="77777777" w:rsidR="001330C6" w:rsidRPr="001330C6" w:rsidRDefault="001330C6" w:rsidP="001330C6">
            <w:pPr>
              <w:pStyle w:val="TableText"/>
              <w:jc w:val="right"/>
              <w:rPr>
                <w:b/>
                <w:bCs/>
              </w:rPr>
            </w:pPr>
            <w:r w:rsidRPr="001330C6">
              <w:rPr>
                <w:b/>
                <w:bCs/>
                <w:w w:val="105"/>
              </w:rPr>
              <w:t>59,927</w:t>
            </w:r>
          </w:p>
        </w:tc>
        <w:tc>
          <w:tcPr>
            <w:tcW w:w="1163" w:type="dxa"/>
            <w:tcBorders>
              <w:top w:val="single" w:sz="4" w:space="0" w:color="A6A6A6" w:themeColor="background1" w:themeShade="A6"/>
              <w:bottom w:val="single" w:sz="4" w:space="0" w:color="A6A6A6" w:themeColor="background1" w:themeShade="A6"/>
            </w:tcBorders>
          </w:tcPr>
          <w:p w14:paraId="6B12B13C" w14:textId="77777777" w:rsidR="001330C6" w:rsidRPr="001330C6" w:rsidRDefault="001330C6" w:rsidP="001330C6">
            <w:pPr>
              <w:pStyle w:val="TableText"/>
              <w:jc w:val="right"/>
              <w:rPr>
                <w:b/>
                <w:bCs/>
              </w:rPr>
            </w:pPr>
            <w:r w:rsidRPr="001330C6">
              <w:rPr>
                <w:b/>
                <w:bCs/>
                <w:w w:val="105"/>
              </w:rPr>
              <w:t>22,303</w:t>
            </w:r>
          </w:p>
        </w:tc>
      </w:tr>
    </w:tbl>
    <w:p w14:paraId="5AB4AE9A" w14:textId="77777777" w:rsidR="00090FEB" w:rsidRDefault="00090FEB" w:rsidP="006C6773">
      <w:pPr>
        <w:pStyle w:val="Note"/>
        <w:rPr>
          <w:w w:val="110"/>
        </w:rPr>
      </w:pPr>
    </w:p>
    <w:p w14:paraId="3A3D0D41" w14:textId="77777777" w:rsidR="00090FEB" w:rsidRDefault="00090FEB" w:rsidP="006C6773">
      <w:pPr>
        <w:pStyle w:val="Note"/>
        <w:rPr>
          <w:w w:val="110"/>
        </w:rPr>
      </w:pPr>
    </w:p>
    <w:p w14:paraId="4A037DCF" w14:textId="77777777" w:rsidR="00090FEB" w:rsidRDefault="00090FEB" w:rsidP="006C6773">
      <w:pPr>
        <w:pStyle w:val="Note"/>
        <w:rPr>
          <w:w w:val="110"/>
        </w:rPr>
      </w:pPr>
    </w:p>
    <w:p w14:paraId="6DB4751B" w14:textId="77777777" w:rsidR="00090FEB" w:rsidRDefault="00090FEB" w:rsidP="006C6773">
      <w:pPr>
        <w:pStyle w:val="Note"/>
        <w:rPr>
          <w:w w:val="110"/>
        </w:rPr>
      </w:pPr>
    </w:p>
    <w:p w14:paraId="425C9210" w14:textId="02FE37EF" w:rsidR="006C6773" w:rsidRDefault="006C6773" w:rsidP="006C6773">
      <w:pPr>
        <w:pStyle w:val="Note"/>
        <w:rPr>
          <w:w w:val="110"/>
        </w:rPr>
        <w:sectPr w:rsidR="006C6773" w:rsidSect="00C26282">
          <w:pgSz w:w="11907" w:h="16840" w:code="9"/>
          <w:pgMar w:top="1418" w:right="1701" w:bottom="1134" w:left="1843" w:header="284" w:footer="425" w:gutter="284"/>
          <w:cols w:space="720"/>
        </w:sectPr>
      </w:pPr>
      <w:r>
        <w:rPr>
          <w:w w:val="110"/>
        </w:rPr>
        <w:t>The</w:t>
      </w:r>
      <w:r>
        <w:rPr>
          <w:spacing w:val="8"/>
          <w:w w:val="110"/>
        </w:rPr>
        <w:t xml:space="preserve"> </w:t>
      </w:r>
      <w:r>
        <w:rPr>
          <w:w w:val="110"/>
        </w:rPr>
        <w:t>accompanying</w:t>
      </w:r>
      <w:r>
        <w:rPr>
          <w:spacing w:val="8"/>
          <w:w w:val="110"/>
        </w:rPr>
        <w:t xml:space="preserve"> </w:t>
      </w:r>
      <w:r>
        <w:rPr>
          <w:w w:val="110"/>
        </w:rPr>
        <w:t>notes</w:t>
      </w:r>
      <w:r>
        <w:rPr>
          <w:spacing w:val="8"/>
          <w:w w:val="110"/>
        </w:rPr>
        <w:t xml:space="preserve"> </w:t>
      </w:r>
      <w:r>
        <w:rPr>
          <w:w w:val="110"/>
        </w:rPr>
        <w:t>form</w:t>
      </w:r>
      <w:r>
        <w:rPr>
          <w:spacing w:val="9"/>
          <w:w w:val="110"/>
        </w:rPr>
        <w:t xml:space="preserve"> </w:t>
      </w:r>
      <w:r>
        <w:rPr>
          <w:w w:val="110"/>
        </w:rPr>
        <w:t>part</w:t>
      </w:r>
      <w:r>
        <w:rPr>
          <w:spacing w:val="8"/>
          <w:w w:val="110"/>
        </w:rPr>
        <w:t xml:space="preserve"> </w:t>
      </w:r>
      <w:r>
        <w:rPr>
          <w:w w:val="110"/>
        </w:rPr>
        <w:t>of</w:t>
      </w:r>
      <w:r>
        <w:rPr>
          <w:spacing w:val="8"/>
          <w:w w:val="110"/>
        </w:rPr>
        <w:t xml:space="preserve"> </w:t>
      </w:r>
      <w:r>
        <w:rPr>
          <w:w w:val="110"/>
        </w:rPr>
        <w:t>these</w:t>
      </w:r>
      <w:r>
        <w:rPr>
          <w:spacing w:val="8"/>
          <w:w w:val="110"/>
        </w:rPr>
        <w:t xml:space="preserve"> </w:t>
      </w:r>
      <w:r>
        <w:rPr>
          <w:w w:val="110"/>
        </w:rPr>
        <w:t>financial</w:t>
      </w:r>
      <w:r>
        <w:rPr>
          <w:spacing w:val="9"/>
          <w:w w:val="110"/>
        </w:rPr>
        <w:t xml:space="preserve"> </w:t>
      </w:r>
      <w:r>
        <w:rPr>
          <w:w w:val="110"/>
        </w:rPr>
        <w:t>statements</w:t>
      </w:r>
    </w:p>
    <w:p w14:paraId="1D823B8D" w14:textId="1955B76B" w:rsidR="001330C6" w:rsidRDefault="00E24773" w:rsidP="00E24773">
      <w:pPr>
        <w:pStyle w:val="Heading3"/>
        <w:spacing w:before="0"/>
      </w:pPr>
      <w:bookmarkStart w:id="59" w:name="_Toc117264966"/>
      <w:r w:rsidRPr="00E24773">
        <w:lastRenderedPageBreak/>
        <w:t>Statement of changes in equity for the year ended 30 June 2022</w:t>
      </w:r>
      <w:bookmarkEnd w:id="59"/>
    </w:p>
    <w:tbl>
      <w:tblPr>
        <w:tblpPr w:leftFromText="180" w:rightFromText="180" w:vertAnchor="text" w:horzAnchor="margin" w:tblpY="-3"/>
        <w:tblW w:w="8718" w:type="dxa"/>
        <w:tblLayout w:type="fixed"/>
        <w:tblCellMar>
          <w:left w:w="0" w:type="dxa"/>
          <w:right w:w="0" w:type="dxa"/>
        </w:tblCellMar>
        <w:tblLook w:val="01E0" w:firstRow="1" w:lastRow="1" w:firstColumn="1" w:lastColumn="1" w:noHBand="0" w:noVBand="0"/>
      </w:tblPr>
      <w:tblGrid>
        <w:gridCol w:w="1276"/>
        <w:gridCol w:w="2830"/>
        <w:gridCol w:w="1188"/>
        <w:gridCol w:w="1045"/>
        <w:gridCol w:w="1216"/>
        <w:gridCol w:w="1163"/>
      </w:tblGrid>
      <w:tr w:rsidR="00E24773" w:rsidRPr="001330C6" w14:paraId="6385A620" w14:textId="77777777" w:rsidTr="009623CD">
        <w:trPr>
          <w:trHeight w:val="1079"/>
        </w:trPr>
        <w:tc>
          <w:tcPr>
            <w:tcW w:w="1276" w:type="dxa"/>
            <w:shd w:val="clear" w:color="auto" w:fill="D9D9D9" w:themeFill="background1" w:themeFillShade="D9"/>
          </w:tcPr>
          <w:p w14:paraId="6D6A080C" w14:textId="77777777" w:rsidR="00E24773" w:rsidRPr="001330C6" w:rsidRDefault="00E24773" w:rsidP="00223078">
            <w:pPr>
              <w:pStyle w:val="TableText"/>
              <w:jc w:val="right"/>
              <w:rPr>
                <w:b/>
                <w:bCs/>
              </w:rPr>
            </w:pPr>
            <w:r w:rsidRPr="001330C6">
              <w:rPr>
                <w:b/>
                <w:bCs/>
                <w:w w:val="105"/>
              </w:rPr>
              <w:t>Restated</w:t>
            </w:r>
            <w:r w:rsidRPr="001330C6">
              <w:rPr>
                <w:b/>
                <w:bCs/>
                <w:w w:val="105"/>
              </w:rPr>
              <w:br/>
            </w:r>
            <w:r w:rsidRPr="001330C6">
              <w:rPr>
                <w:b/>
                <w:bCs/>
                <w:spacing w:val="-50"/>
                <w:w w:val="105"/>
              </w:rPr>
              <w:t xml:space="preserve"> </w:t>
            </w:r>
            <w:r w:rsidRPr="001330C6">
              <w:rPr>
                <w:b/>
                <w:bCs/>
                <w:w w:val="110"/>
              </w:rPr>
              <w:t>actual</w:t>
            </w:r>
          </w:p>
          <w:p w14:paraId="17C39505" w14:textId="77777777" w:rsidR="00E24773" w:rsidRPr="001330C6" w:rsidRDefault="00E24773" w:rsidP="00223078">
            <w:pPr>
              <w:pStyle w:val="TableText"/>
              <w:jc w:val="right"/>
              <w:rPr>
                <w:b/>
                <w:bCs/>
              </w:rPr>
            </w:pPr>
            <w:r w:rsidRPr="001330C6">
              <w:rPr>
                <w:b/>
                <w:bCs/>
              </w:rPr>
              <w:t>2021</w:t>
            </w:r>
          </w:p>
          <w:p w14:paraId="4538A095" w14:textId="77777777" w:rsidR="00E24773" w:rsidRPr="001330C6" w:rsidRDefault="00E24773" w:rsidP="00223078">
            <w:pPr>
              <w:pStyle w:val="TableText"/>
              <w:jc w:val="right"/>
              <w:rPr>
                <w:b/>
                <w:bCs/>
                <w:w w:val="105"/>
              </w:rPr>
            </w:pPr>
            <w:r w:rsidRPr="001330C6">
              <w:rPr>
                <w:b/>
                <w:bCs/>
                <w:w w:val="120"/>
              </w:rPr>
              <w:t>$000</w:t>
            </w:r>
          </w:p>
        </w:tc>
        <w:tc>
          <w:tcPr>
            <w:tcW w:w="2830" w:type="dxa"/>
            <w:shd w:val="clear" w:color="auto" w:fill="D9D9D9" w:themeFill="background1" w:themeFillShade="D9"/>
          </w:tcPr>
          <w:p w14:paraId="28753DB6" w14:textId="77777777" w:rsidR="00E24773" w:rsidRPr="001330C6" w:rsidRDefault="00E24773" w:rsidP="00223078">
            <w:pPr>
              <w:pStyle w:val="TableText"/>
              <w:rPr>
                <w:b/>
                <w:bCs/>
              </w:rPr>
            </w:pPr>
          </w:p>
        </w:tc>
        <w:tc>
          <w:tcPr>
            <w:tcW w:w="1188" w:type="dxa"/>
            <w:shd w:val="clear" w:color="auto" w:fill="D9D9D9" w:themeFill="background1" w:themeFillShade="D9"/>
          </w:tcPr>
          <w:p w14:paraId="34CD30D5" w14:textId="77777777" w:rsidR="00E24773" w:rsidRPr="001330C6" w:rsidRDefault="00E24773" w:rsidP="00223078">
            <w:pPr>
              <w:pStyle w:val="TableText"/>
              <w:ind w:right="194"/>
              <w:jc w:val="right"/>
              <w:rPr>
                <w:b/>
                <w:bCs/>
              </w:rPr>
            </w:pPr>
            <w:r w:rsidRPr="001330C6">
              <w:rPr>
                <w:b/>
                <w:bCs/>
                <w:w w:val="110"/>
              </w:rPr>
              <w:t>Note</w:t>
            </w:r>
          </w:p>
        </w:tc>
        <w:tc>
          <w:tcPr>
            <w:tcW w:w="1045" w:type="dxa"/>
            <w:shd w:val="clear" w:color="auto" w:fill="D9D9D9" w:themeFill="background1" w:themeFillShade="D9"/>
          </w:tcPr>
          <w:p w14:paraId="3ED71A52" w14:textId="77777777" w:rsidR="00E24773" w:rsidRPr="001330C6" w:rsidRDefault="00E24773" w:rsidP="00223078">
            <w:pPr>
              <w:pStyle w:val="TableText"/>
              <w:jc w:val="right"/>
              <w:rPr>
                <w:b/>
                <w:bCs/>
              </w:rPr>
            </w:pPr>
            <w:r w:rsidRPr="001330C6">
              <w:rPr>
                <w:b/>
                <w:bCs/>
                <w:w w:val="110"/>
              </w:rPr>
              <w:t>Actual</w:t>
            </w:r>
            <w:r w:rsidRPr="001330C6">
              <w:rPr>
                <w:b/>
                <w:bCs/>
                <w:w w:val="110"/>
              </w:rPr>
              <w:br/>
            </w:r>
          </w:p>
          <w:p w14:paraId="5D198571" w14:textId="77777777" w:rsidR="00E24773" w:rsidRPr="001330C6" w:rsidRDefault="00E24773" w:rsidP="00223078">
            <w:pPr>
              <w:pStyle w:val="TableText"/>
              <w:jc w:val="right"/>
              <w:rPr>
                <w:b/>
                <w:bCs/>
              </w:rPr>
            </w:pPr>
            <w:r w:rsidRPr="001330C6">
              <w:rPr>
                <w:b/>
                <w:bCs/>
                <w:w w:val="105"/>
              </w:rPr>
              <w:t>2022</w:t>
            </w:r>
          </w:p>
          <w:p w14:paraId="37212F18" w14:textId="77777777" w:rsidR="00E24773" w:rsidRPr="001330C6" w:rsidRDefault="00E24773" w:rsidP="00223078">
            <w:pPr>
              <w:pStyle w:val="TableText"/>
              <w:jc w:val="right"/>
              <w:rPr>
                <w:b/>
                <w:bCs/>
              </w:rPr>
            </w:pPr>
            <w:r w:rsidRPr="001330C6">
              <w:rPr>
                <w:b/>
                <w:bCs/>
                <w:w w:val="120"/>
              </w:rPr>
              <w:t>$000</w:t>
            </w:r>
          </w:p>
        </w:tc>
        <w:tc>
          <w:tcPr>
            <w:tcW w:w="1216" w:type="dxa"/>
            <w:shd w:val="clear" w:color="auto" w:fill="D9D9D9" w:themeFill="background1" w:themeFillShade="D9"/>
          </w:tcPr>
          <w:p w14:paraId="0F188CE7" w14:textId="77777777" w:rsidR="00E24773" w:rsidRPr="001330C6" w:rsidRDefault="00E24773" w:rsidP="00223078">
            <w:pPr>
              <w:pStyle w:val="TableText"/>
              <w:jc w:val="right"/>
              <w:rPr>
                <w:b/>
                <w:bCs/>
              </w:rPr>
            </w:pPr>
            <w:r w:rsidRPr="001330C6">
              <w:rPr>
                <w:b/>
                <w:bCs/>
                <w:w w:val="110"/>
              </w:rPr>
              <w:t>Unaudited</w:t>
            </w:r>
            <w:r w:rsidRPr="001330C6">
              <w:rPr>
                <w:b/>
                <w:bCs/>
                <w:w w:val="110"/>
              </w:rPr>
              <w:br/>
              <w:t>budget</w:t>
            </w:r>
          </w:p>
          <w:p w14:paraId="3BE243F3" w14:textId="77777777" w:rsidR="00E24773" w:rsidRPr="001330C6" w:rsidRDefault="00E24773" w:rsidP="00223078">
            <w:pPr>
              <w:pStyle w:val="TableText"/>
              <w:jc w:val="right"/>
              <w:rPr>
                <w:b/>
                <w:bCs/>
              </w:rPr>
            </w:pPr>
            <w:r w:rsidRPr="001330C6">
              <w:rPr>
                <w:b/>
                <w:bCs/>
                <w:w w:val="105"/>
              </w:rPr>
              <w:t>2022</w:t>
            </w:r>
          </w:p>
          <w:p w14:paraId="7255866F" w14:textId="77777777" w:rsidR="00E24773" w:rsidRPr="001330C6" w:rsidRDefault="00E24773" w:rsidP="00223078">
            <w:pPr>
              <w:pStyle w:val="TableText"/>
              <w:jc w:val="right"/>
              <w:rPr>
                <w:b/>
                <w:bCs/>
              </w:rPr>
            </w:pPr>
            <w:r w:rsidRPr="001330C6">
              <w:rPr>
                <w:b/>
                <w:bCs/>
                <w:w w:val="120"/>
              </w:rPr>
              <w:t>$000</w:t>
            </w:r>
          </w:p>
        </w:tc>
        <w:tc>
          <w:tcPr>
            <w:tcW w:w="1163" w:type="dxa"/>
            <w:shd w:val="clear" w:color="auto" w:fill="D9D9D9" w:themeFill="background1" w:themeFillShade="D9"/>
          </w:tcPr>
          <w:p w14:paraId="56134343" w14:textId="77777777" w:rsidR="00E24773" w:rsidRPr="001330C6" w:rsidRDefault="00E24773" w:rsidP="00223078">
            <w:pPr>
              <w:pStyle w:val="TableText"/>
              <w:jc w:val="right"/>
              <w:rPr>
                <w:b/>
                <w:bCs/>
              </w:rPr>
            </w:pPr>
            <w:r w:rsidRPr="001330C6">
              <w:rPr>
                <w:b/>
                <w:bCs/>
                <w:w w:val="110"/>
              </w:rPr>
              <w:t>Unaudited</w:t>
            </w:r>
            <w:r w:rsidRPr="001330C6">
              <w:rPr>
                <w:b/>
                <w:bCs/>
                <w:spacing w:val="-53"/>
                <w:w w:val="110"/>
              </w:rPr>
              <w:t xml:space="preserve"> </w:t>
            </w:r>
            <w:r w:rsidRPr="001330C6">
              <w:rPr>
                <w:b/>
                <w:bCs/>
                <w:w w:val="110"/>
              </w:rPr>
              <w:t>forecast</w:t>
            </w:r>
          </w:p>
          <w:p w14:paraId="3C0853C2" w14:textId="77777777" w:rsidR="00E24773" w:rsidRPr="001330C6" w:rsidRDefault="00E24773" w:rsidP="00223078">
            <w:pPr>
              <w:pStyle w:val="TableText"/>
              <w:jc w:val="right"/>
              <w:rPr>
                <w:b/>
                <w:bCs/>
              </w:rPr>
            </w:pPr>
            <w:r w:rsidRPr="001330C6">
              <w:rPr>
                <w:b/>
                <w:bCs/>
                <w:w w:val="110"/>
              </w:rPr>
              <w:t>2023</w:t>
            </w:r>
          </w:p>
          <w:p w14:paraId="2681FAF7" w14:textId="77777777" w:rsidR="00E24773" w:rsidRPr="001330C6" w:rsidRDefault="00E24773" w:rsidP="00223078">
            <w:pPr>
              <w:pStyle w:val="TableText"/>
              <w:jc w:val="right"/>
              <w:rPr>
                <w:b/>
                <w:bCs/>
              </w:rPr>
            </w:pPr>
            <w:r w:rsidRPr="001330C6">
              <w:rPr>
                <w:b/>
                <w:bCs/>
                <w:w w:val="120"/>
              </w:rPr>
              <w:t>$000</w:t>
            </w:r>
          </w:p>
        </w:tc>
      </w:tr>
      <w:tr w:rsidR="00E24773" w:rsidRPr="001330C6" w14:paraId="7E5E8625" w14:textId="77777777" w:rsidTr="009623CD">
        <w:trPr>
          <w:trHeight w:val="420"/>
        </w:trPr>
        <w:tc>
          <w:tcPr>
            <w:tcW w:w="1276" w:type="dxa"/>
          </w:tcPr>
          <w:p w14:paraId="19431602" w14:textId="4EFA7A61" w:rsidR="00E24773" w:rsidRPr="001330C6" w:rsidRDefault="00E24773" w:rsidP="009623CD">
            <w:pPr>
              <w:pStyle w:val="TableText"/>
              <w:jc w:val="right"/>
              <w:rPr>
                <w:b/>
                <w:bCs/>
                <w:w w:val="110"/>
              </w:rPr>
            </w:pPr>
            <w:r>
              <w:t xml:space="preserve">16,476  </w:t>
            </w:r>
            <w:r>
              <w:rPr>
                <w:spacing w:val="12"/>
              </w:rPr>
              <w:t xml:space="preserve"> </w:t>
            </w:r>
          </w:p>
        </w:tc>
        <w:tc>
          <w:tcPr>
            <w:tcW w:w="2830" w:type="dxa"/>
          </w:tcPr>
          <w:p w14:paraId="3DB01249" w14:textId="6A5DFF77" w:rsidR="00E24773" w:rsidRPr="001330C6" w:rsidRDefault="00E24773" w:rsidP="00223078">
            <w:pPr>
              <w:pStyle w:val="TableText"/>
              <w:rPr>
                <w:b/>
                <w:bCs/>
              </w:rPr>
            </w:pPr>
            <w:r>
              <w:t>Balance</w:t>
            </w:r>
            <w:r>
              <w:rPr>
                <w:spacing w:val="-2"/>
              </w:rPr>
              <w:t xml:space="preserve"> </w:t>
            </w:r>
            <w:r>
              <w:t>as</w:t>
            </w:r>
            <w:r>
              <w:rPr>
                <w:spacing w:val="-1"/>
              </w:rPr>
              <w:t xml:space="preserve"> </w:t>
            </w:r>
            <w:r>
              <w:t>at</w:t>
            </w:r>
            <w:r>
              <w:rPr>
                <w:spacing w:val="-1"/>
              </w:rPr>
              <w:t xml:space="preserve"> </w:t>
            </w:r>
            <w:r>
              <w:rPr>
                <w:w w:val="95"/>
              </w:rPr>
              <w:t>1</w:t>
            </w:r>
            <w:r>
              <w:rPr>
                <w:spacing w:val="1"/>
                <w:w w:val="95"/>
              </w:rPr>
              <w:t xml:space="preserve"> </w:t>
            </w:r>
            <w:r>
              <w:t>July</w:t>
            </w:r>
          </w:p>
        </w:tc>
        <w:tc>
          <w:tcPr>
            <w:tcW w:w="1188" w:type="dxa"/>
          </w:tcPr>
          <w:p w14:paraId="26BA3FE8" w14:textId="77777777" w:rsidR="00E24773" w:rsidRPr="001330C6" w:rsidRDefault="00E24773" w:rsidP="00223078">
            <w:pPr>
              <w:pStyle w:val="TableText"/>
              <w:ind w:right="194"/>
              <w:jc w:val="right"/>
              <w:rPr>
                <w:rFonts w:ascii="Times New Roman"/>
                <w:b/>
                <w:bCs/>
              </w:rPr>
            </w:pPr>
          </w:p>
        </w:tc>
        <w:tc>
          <w:tcPr>
            <w:tcW w:w="1045" w:type="dxa"/>
          </w:tcPr>
          <w:p w14:paraId="52326266" w14:textId="454E3BA1" w:rsidR="00E24773" w:rsidRPr="001330C6" w:rsidRDefault="00E24773" w:rsidP="009623CD">
            <w:pPr>
              <w:pStyle w:val="TableText"/>
              <w:jc w:val="right"/>
              <w:rPr>
                <w:rFonts w:ascii="Times New Roman"/>
                <w:b/>
                <w:bCs/>
              </w:rPr>
            </w:pPr>
            <w:r>
              <w:t>25,891</w:t>
            </w:r>
          </w:p>
        </w:tc>
        <w:tc>
          <w:tcPr>
            <w:tcW w:w="1216" w:type="dxa"/>
          </w:tcPr>
          <w:p w14:paraId="71F5C8F4" w14:textId="48443259" w:rsidR="00E24773" w:rsidRPr="001330C6" w:rsidRDefault="00E24773" w:rsidP="009623CD">
            <w:pPr>
              <w:pStyle w:val="TableText"/>
              <w:jc w:val="right"/>
              <w:rPr>
                <w:rFonts w:ascii="Times New Roman"/>
                <w:b/>
                <w:bCs/>
              </w:rPr>
            </w:pPr>
            <w:r>
              <w:t>49,914</w:t>
            </w:r>
          </w:p>
        </w:tc>
        <w:tc>
          <w:tcPr>
            <w:tcW w:w="1163" w:type="dxa"/>
          </w:tcPr>
          <w:p w14:paraId="7D2B3A0A" w14:textId="0BE718FF" w:rsidR="00E24773" w:rsidRPr="001330C6" w:rsidRDefault="00E24773" w:rsidP="009623CD">
            <w:pPr>
              <w:pStyle w:val="TableText"/>
              <w:jc w:val="right"/>
              <w:rPr>
                <w:rFonts w:ascii="Times New Roman"/>
                <w:b/>
                <w:bCs/>
              </w:rPr>
            </w:pPr>
            <w:r>
              <w:t>22,303</w:t>
            </w:r>
          </w:p>
        </w:tc>
      </w:tr>
      <w:tr w:rsidR="00E24773" w14:paraId="1DA0D105" w14:textId="77777777" w:rsidTr="009623CD">
        <w:trPr>
          <w:trHeight w:val="367"/>
        </w:trPr>
        <w:tc>
          <w:tcPr>
            <w:tcW w:w="1276" w:type="dxa"/>
          </w:tcPr>
          <w:p w14:paraId="0B4D24AB" w14:textId="177B088E" w:rsidR="00E24773" w:rsidRDefault="00E24773" w:rsidP="009623CD">
            <w:pPr>
              <w:pStyle w:val="TableText"/>
              <w:jc w:val="right"/>
              <w:rPr>
                <w:w w:val="105"/>
              </w:rPr>
            </w:pPr>
            <w:r>
              <w:rPr>
                <w:w w:val="105"/>
              </w:rPr>
              <w:t xml:space="preserve">30,205  </w:t>
            </w:r>
            <w:r>
              <w:rPr>
                <w:spacing w:val="25"/>
                <w:w w:val="105"/>
              </w:rPr>
              <w:t xml:space="preserve"> </w:t>
            </w:r>
          </w:p>
        </w:tc>
        <w:tc>
          <w:tcPr>
            <w:tcW w:w="2830" w:type="dxa"/>
          </w:tcPr>
          <w:p w14:paraId="298464E7" w14:textId="1200F0BD" w:rsidR="00E24773" w:rsidRDefault="00E24773" w:rsidP="00223078">
            <w:pPr>
              <w:pStyle w:val="TableText"/>
            </w:pPr>
            <w:r>
              <w:rPr>
                <w:w w:val="105"/>
              </w:rPr>
              <w:t>Net</w:t>
            </w:r>
            <w:r>
              <w:rPr>
                <w:spacing w:val="2"/>
                <w:w w:val="105"/>
              </w:rPr>
              <w:t xml:space="preserve"> </w:t>
            </w:r>
            <w:r>
              <w:rPr>
                <w:w w:val="105"/>
              </w:rPr>
              <w:t>surplus/(deficit)</w:t>
            </w:r>
          </w:p>
        </w:tc>
        <w:tc>
          <w:tcPr>
            <w:tcW w:w="1188" w:type="dxa"/>
          </w:tcPr>
          <w:p w14:paraId="571FAEE9" w14:textId="77777777" w:rsidR="00E24773" w:rsidRDefault="00E24773" w:rsidP="00223078">
            <w:pPr>
              <w:pStyle w:val="TableText"/>
              <w:ind w:right="194"/>
              <w:jc w:val="right"/>
              <w:rPr>
                <w:rFonts w:ascii="Times New Roman"/>
              </w:rPr>
            </w:pPr>
          </w:p>
        </w:tc>
        <w:tc>
          <w:tcPr>
            <w:tcW w:w="1045" w:type="dxa"/>
          </w:tcPr>
          <w:p w14:paraId="7585F4F0" w14:textId="03B2E13F" w:rsidR="00E24773" w:rsidRDefault="00E24773" w:rsidP="009623CD">
            <w:pPr>
              <w:pStyle w:val="TableText"/>
              <w:jc w:val="right"/>
            </w:pPr>
            <w:r>
              <w:t>141,252</w:t>
            </w:r>
          </w:p>
        </w:tc>
        <w:tc>
          <w:tcPr>
            <w:tcW w:w="1216" w:type="dxa"/>
          </w:tcPr>
          <w:p w14:paraId="2F12824A" w14:textId="428CCBEB" w:rsidR="00E24773" w:rsidRDefault="00E24773" w:rsidP="009623CD">
            <w:pPr>
              <w:pStyle w:val="TableText"/>
              <w:jc w:val="right"/>
            </w:pPr>
            <w:r>
              <w:rPr>
                <w:w w:val="110"/>
              </w:rPr>
              <w:t>–</w:t>
            </w:r>
          </w:p>
        </w:tc>
        <w:tc>
          <w:tcPr>
            <w:tcW w:w="1163" w:type="dxa"/>
          </w:tcPr>
          <w:p w14:paraId="741D2852" w14:textId="4CCC8394" w:rsidR="00E24773" w:rsidRDefault="00E24773" w:rsidP="009623CD">
            <w:pPr>
              <w:pStyle w:val="TableText"/>
              <w:jc w:val="right"/>
            </w:pPr>
            <w:r>
              <w:rPr>
                <w:w w:val="110"/>
              </w:rPr>
              <w:t>–</w:t>
            </w:r>
          </w:p>
        </w:tc>
      </w:tr>
      <w:tr w:rsidR="00E24773" w14:paraId="3C4C81B3" w14:textId="77777777" w:rsidTr="009623CD">
        <w:trPr>
          <w:trHeight w:val="359"/>
        </w:trPr>
        <w:tc>
          <w:tcPr>
            <w:tcW w:w="1276" w:type="dxa"/>
          </w:tcPr>
          <w:p w14:paraId="3D7F70C7" w14:textId="1458653B" w:rsidR="00E24773" w:rsidRDefault="00E24773" w:rsidP="009623CD">
            <w:pPr>
              <w:pStyle w:val="TableText"/>
              <w:jc w:val="right"/>
              <w:rPr>
                <w:w w:val="105"/>
              </w:rPr>
            </w:pPr>
            <w:r>
              <w:rPr>
                <w:w w:val="105"/>
              </w:rPr>
              <w:t>965</w:t>
            </w:r>
          </w:p>
        </w:tc>
        <w:tc>
          <w:tcPr>
            <w:tcW w:w="2830" w:type="dxa"/>
          </w:tcPr>
          <w:p w14:paraId="5D165277" w14:textId="237B1CD9" w:rsidR="00E24773" w:rsidRDefault="00E24773" w:rsidP="00223078">
            <w:pPr>
              <w:pStyle w:val="TableText"/>
            </w:pPr>
            <w:r>
              <w:rPr>
                <w:w w:val="105"/>
              </w:rPr>
              <w:t>Property</w:t>
            </w:r>
            <w:r>
              <w:rPr>
                <w:spacing w:val="-4"/>
                <w:w w:val="105"/>
              </w:rPr>
              <w:t xml:space="preserve"> </w:t>
            </w:r>
            <w:r>
              <w:rPr>
                <w:w w:val="105"/>
              </w:rPr>
              <w:t>revaluation</w:t>
            </w:r>
          </w:p>
        </w:tc>
        <w:tc>
          <w:tcPr>
            <w:tcW w:w="1188" w:type="dxa"/>
          </w:tcPr>
          <w:p w14:paraId="3C6686B5" w14:textId="77777777" w:rsidR="00E24773" w:rsidRDefault="00E24773" w:rsidP="00223078">
            <w:pPr>
              <w:pStyle w:val="TableText"/>
              <w:ind w:right="194"/>
              <w:jc w:val="right"/>
              <w:rPr>
                <w:rFonts w:ascii="Times New Roman"/>
              </w:rPr>
            </w:pPr>
          </w:p>
        </w:tc>
        <w:tc>
          <w:tcPr>
            <w:tcW w:w="1045" w:type="dxa"/>
          </w:tcPr>
          <w:p w14:paraId="444AA1AC" w14:textId="50E2D9D8" w:rsidR="00E24773" w:rsidRDefault="00E24773" w:rsidP="009623CD">
            <w:pPr>
              <w:pStyle w:val="TableText"/>
              <w:jc w:val="right"/>
            </w:pPr>
            <w:r>
              <w:rPr>
                <w:w w:val="110"/>
              </w:rPr>
              <w:t>–</w:t>
            </w:r>
          </w:p>
        </w:tc>
        <w:tc>
          <w:tcPr>
            <w:tcW w:w="1216" w:type="dxa"/>
          </w:tcPr>
          <w:p w14:paraId="7E292E1B" w14:textId="6ACC0BDC" w:rsidR="00E24773" w:rsidRDefault="00E24773" w:rsidP="009623CD">
            <w:pPr>
              <w:pStyle w:val="TableText"/>
              <w:jc w:val="right"/>
            </w:pPr>
            <w:r>
              <w:rPr>
                <w:w w:val="110"/>
              </w:rPr>
              <w:t>–</w:t>
            </w:r>
          </w:p>
        </w:tc>
        <w:tc>
          <w:tcPr>
            <w:tcW w:w="1163" w:type="dxa"/>
          </w:tcPr>
          <w:p w14:paraId="0CDAADDC" w14:textId="68660E15" w:rsidR="00E24773" w:rsidRDefault="00E24773" w:rsidP="009623CD">
            <w:pPr>
              <w:pStyle w:val="TableText"/>
              <w:jc w:val="right"/>
            </w:pPr>
            <w:r>
              <w:rPr>
                <w:w w:val="110"/>
              </w:rPr>
              <w:t>–</w:t>
            </w:r>
          </w:p>
        </w:tc>
      </w:tr>
      <w:tr w:rsidR="00E24773" w14:paraId="63DE328A" w14:textId="77777777" w:rsidTr="009623CD">
        <w:trPr>
          <w:trHeight w:val="356"/>
        </w:trPr>
        <w:tc>
          <w:tcPr>
            <w:tcW w:w="1276" w:type="dxa"/>
          </w:tcPr>
          <w:p w14:paraId="5E189361" w14:textId="7DD50373" w:rsidR="00E24773" w:rsidRDefault="00E24773" w:rsidP="009623CD">
            <w:pPr>
              <w:pStyle w:val="TableText"/>
              <w:jc w:val="right"/>
              <w:rPr>
                <w:w w:val="105"/>
              </w:rPr>
            </w:pPr>
          </w:p>
        </w:tc>
        <w:tc>
          <w:tcPr>
            <w:tcW w:w="2830" w:type="dxa"/>
          </w:tcPr>
          <w:p w14:paraId="6FDAEAE5" w14:textId="5F6B4ED4" w:rsidR="00E24773" w:rsidRPr="009623CD" w:rsidRDefault="00E24773" w:rsidP="00E24773">
            <w:pPr>
              <w:pStyle w:val="TableText"/>
              <w:rPr>
                <w:b/>
                <w:bCs/>
                <w:w w:val="105"/>
              </w:rPr>
            </w:pPr>
            <w:r w:rsidRPr="009623CD">
              <w:rPr>
                <w:b/>
                <w:bCs/>
                <w:w w:val="105"/>
              </w:rPr>
              <w:t>Owner transactions</w:t>
            </w:r>
          </w:p>
        </w:tc>
        <w:tc>
          <w:tcPr>
            <w:tcW w:w="1188" w:type="dxa"/>
          </w:tcPr>
          <w:p w14:paraId="3C723A4B" w14:textId="5A906094" w:rsidR="00E24773" w:rsidRDefault="00E24773" w:rsidP="00223078">
            <w:pPr>
              <w:pStyle w:val="TableText"/>
              <w:ind w:right="194"/>
              <w:jc w:val="right"/>
            </w:pPr>
          </w:p>
        </w:tc>
        <w:tc>
          <w:tcPr>
            <w:tcW w:w="1045" w:type="dxa"/>
          </w:tcPr>
          <w:p w14:paraId="053326B1" w14:textId="3DE6CE98" w:rsidR="00E24773" w:rsidRDefault="00E24773" w:rsidP="009623CD">
            <w:pPr>
              <w:pStyle w:val="TableText"/>
              <w:jc w:val="right"/>
            </w:pPr>
          </w:p>
        </w:tc>
        <w:tc>
          <w:tcPr>
            <w:tcW w:w="1216" w:type="dxa"/>
          </w:tcPr>
          <w:p w14:paraId="166006CE" w14:textId="77381767" w:rsidR="00E24773" w:rsidRDefault="00E24773" w:rsidP="009623CD">
            <w:pPr>
              <w:pStyle w:val="TableText"/>
              <w:jc w:val="right"/>
            </w:pPr>
          </w:p>
        </w:tc>
        <w:tc>
          <w:tcPr>
            <w:tcW w:w="1163" w:type="dxa"/>
          </w:tcPr>
          <w:p w14:paraId="7CF1D0A5" w14:textId="69838FFF" w:rsidR="00E24773" w:rsidRDefault="00E24773" w:rsidP="009623CD">
            <w:pPr>
              <w:pStyle w:val="TableText"/>
              <w:jc w:val="right"/>
            </w:pPr>
          </w:p>
        </w:tc>
      </w:tr>
      <w:tr w:rsidR="00E24773" w:rsidRPr="001330C6" w14:paraId="4743E6AA" w14:textId="77777777" w:rsidTr="009623CD">
        <w:trPr>
          <w:trHeight w:val="327"/>
        </w:trPr>
        <w:tc>
          <w:tcPr>
            <w:tcW w:w="1276" w:type="dxa"/>
          </w:tcPr>
          <w:p w14:paraId="5E45C7D9" w14:textId="37CEA0A7" w:rsidR="00E24773" w:rsidRPr="001330C6" w:rsidRDefault="00E24773" w:rsidP="009623CD">
            <w:pPr>
              <w:pStyle w:val="TableText"/>
              <w:jc w:val="right"/>
              <w:rPr>
                <w:b/>
                <w:bCs/>
                <w:w w:val="105"/>
              </w:rPr>
            </w:pPr>
            <w:r>
              <w:rPr>
                <w:w w:val="105"/>
              </w:rPr>
              <w:t>(34,264)</w:t>
            </w:r>
          </w:p>
        </w:tc>
        <w:tc>
          <w:tcPr>
            <w:tcW w:w="2830" w:type="dxa"/>
          </w:tcPr>
          <w:p w14:paraId="3610C95E" w14:textId="32BBF8FA" w:rsidR="00E24773" w:rsidRPr="00E24773" w:rsidRDefault="00E24773" w:rsidP="00E24773">
            <w:pPr>
              <w:pStyle w:val="TableText"/>
              <w:rPr>
                <w:w w:val="105"/>
              </w:rPr>
            </w:pPr>
            <w:r>
              <w:rPr>
                <w:w w:val="105"/>
              </w:rPr>
              <w:t>Return of operating surplus to the</w:t>
            </w:r>
            <w:r w:rsidRPr="00E24773">
              <w:rPr>
                <w:w w:val="105"/>
              </w:rPr>
              <w:t xml:space="preserve"> </w:t>
            </w:r>
            <w:r>
              <w:rPr>
                <w:w w:val="105"/>
              </w:rPr>
              <w:t>Crown</w:t>
            </w:r>
          </w:p>
        </w:tc>
        <w:tc>
          <w:tcPr>
            <w:tcW w:w="1188" w:type="dxa"/>
          </w:tcPr>
          <w:p w14:paraId="3D09E674" w14:textId="13399CD2" w:rsidR="00E24773" w:rsidRPr="001330C6" w:rsidRDefault="00E24773" w:rsidP="00223078">
            <w:pPr>
              <w:pStyle w:val="TableText"/>
              <w:ind w:right="194"/>
              <w:jc w:val="right"/>
              <w:rPr>
                <w:b/>
                <w:bCs/>
              </w:rPr>
            </w:pPr>
            <w:r>
              <w:rPr>
                <w:w w:val="115"/>
              </w:rPr>
              <w:t>9</w:t>
            </w:r>
          </w:p>
        </w:tc>
        <w:tc>
          <w:tcPr>
            <w:tcW w:w="1045" w:type="dxa"/>
          </w:tcPr>
          <w:p w14:paraId="3FDAB8AC" w14:textId="73B9B21D" w:rsidR="00E24773" w:rsidRPr="001330C6" w:rsidRDefault="00E24773" w:rsidP="009623CD">
            <w:pPr>
              <w:pStyle w:val="TableText"/>
              <w:jc w:val="right"/>
              <w:rPr>
                <w:b/>
                <w:bCs/>
              </w:rPr>
            </w:pPr>
            <w:r>
              <w:rPr>
                <w:w w:val="110"/>
              </w:rPr>
              <w:t>(142,589)</w:t>
            </w:r>
          </w:p>
        </w:tc>
        <w:tc>
          <w:tcPr>
            <w:tcW w:w="1216" w:type="dxa"/>
          </w:tcPr>
          <w:p w14:paraId="44EB71BB" w14:textId="6738C06E" w:rsidR="00E24773" w:rsidRPr="001330C6" w:rsidRDefault="00E24773" w:rsidP="009623CD">
            <w:pPr>
              <w:pStyle w:val="TableText"/>
              <w:jc w:val="right"/>
              <w:rPr>
                <w:b/>
                <w:bCs/>
              </w:rPr>
            </w:pPr>
            <w:r>
              <w:rPr>
                <w:w w:val="110"/>
              </w:rPr>
              <w:t>–</w:t>
            </w:r>
          </w:p>
        </w:tc>
        <w:tc>
          <w:tcPr>
            <w:tcW w:w="1163" w:type="dxa"/>
          </w:tcPr>
          <w:p w14:paraId="1776E535" w14:textId="41D127A1" w:rsidR="00E24773" w:rsidRPr="001330C6" w:rsidRDefault="00E24773" w:rsidP="009623CD">
            <w:pPr>
              <w:pStyle w:val="TableText"/>
              <w:jc w:val="right"/>
              <w:rPr>
                <w:b/>
                <w:bCs/>
              </w:rPr>
            </w:pPr>
            <w:r>
              <w:rPr>
                <w:w w:val="110"/>
              </w:rPr>
              <w:t>–</w:t>
            </w:r>
          </w:p>
        </w:tc>
      </w:tr>
      <w:tr w:rsidR="00E24773" w:rsidRPr="001330C6" w14:paraId="415DB5CC" w14:textId="77777777" w:rsidTr="009623CD">
        <w:trPr>
          <w:trHeight w:val="327"/>
        </w:trPr>
        <w:tc>
          <w:tcPr>
            <w:tcW w:w="1276" w:type="dxa"/>
          </w:tcPr>
          <w:p w14:paraId="705118C7" w14:textId="622DDC35" w:rsidR="00E24773" w:rsidRDefault="00E24773" w:rsidP="009623CD">
            <w:pPr>
              <w:pStyle w:val="TableText"/>
              <w:jc w:val="right"/>
              <w:rPr>
                <w:w w:val="105"/>
              </w:rPr>
            </w:pPr>
            <w:r>
              <w:rPr>
                <w:w w:val="105"/>
              </w:rPr>
              <w:t xml:space="preserve">12,509 </w:t>
            </w:r>
            <w:r>
              <w:rPr>
                <w:spacing w:val="37"/>
                <w:w w:val="105"/>
              </w:rPr>
              <w:t xml:space="preserve"> </w:t>
            </w:r>
          </w:p>
        </w:tc>
        <w:tc>
          <w:tcPr>
            <w:tcW w:w="2830" w:type="dxa"/>
          </w:tcPr>
          <w:p w14:paraId="72307AC2" w14:textId="1465D43E" w:rsidR="00E24773" w:rsidRDefault="00E24773" w:rsidP="00E24773">
            <w:pPr>
              <w:pStyle w:val="TableText"/>
              <w:rPr>
                <w:w w:val="105"/>
              </w:rPr>
            </w:pPr>
            <w:r>
              <w:rPr>
                <w:w w:val="105"/>
              </w:rPr>
              <w:t>Capital</w:t>
            </w:r>
            <w:r>
              <w:rPr>
                <w:spacing w:val="-10"/>
                <w:w w:val="105"/>
              </w:rPr>
              <w:t xml:space="preserve"> </w:t>
            </w:r>
            <w:r>
              <w:rPr>
                <w:w w:val="105"/>
              </w:rPr>
              <w:t>contribution</w:t>
            </w:r>
            <w:r>
              <w:rPr>
                <w:spacing w:val="-10"/>
                <w:w w:val="105"/>
              </w:rPr>
              <w:t xml:space="preserve"> </w:t>
            </w:r>
            <w:r>
              <w:rPr>
                <w:w w:val="105"/>
              </w:rPr>
              <w:t>–</w:t>
            </w:r>
            <w:r>
              <w:rPr>
                <w:spacing w:val="-10"/>
                <w:w w:val="105"/>
              </w:rPr>
              <w:t xml:space="preserve"> </w:t>
            </w:r>
            <w:r>
              <w:rPr>
                <w:w w:val="105"/>
              </w:rPr>
              <w:t>cash</w:t>
            </w:r>
          </w:p>
        </w:tc>
        <w:tc>
          <w:tcPr>
            <w:tcW w:w="1188" w:type="dxa"/>
          </w:tcPr>
          <w:p w14:paraId="48E2570B" w14:textId="77777777" w:rsidR="00E24773" w:rsidRDefault="00E24773" w:rsidP="00E24773">
            <w:pPr>
              <w:pStyle w:val="TableText"/>
              <w:ind w:right="194"/>
              <w:jc w:val="right"/>
              <w:rPr>
                <w:w w:val="115"/>
              </w:rPr>
            </w:pPr>
          </w:p>
        </w:tc>
        <w:tc>
          <w:tcPr>
            <w:tcW w:w="1045" w:type="dxa"/>
          </w:tcPr>
          <w:p w14:paraId="2E32107F" w14:textId="76887C20" w:rsidR="00E24773" w:rsidRDefault="00E24773" w:rsidP="009623CD">
            <w:pPr>
              <w:pStyle w:val="TableText"/>
              <w:jc w:val="right"/>
              <w:rPr>
                <w:w w:val="110"/>
              </w:rPr>
            </w:pPr>
            <w:r>
              <w:rPr>
                <w:w w:val="105"/>
              </w:rPr>
              <w:t>4,349</w:t>
            </w:r>
          </w:p>
        </w:tc>
        <w:tc>
          <w:tcPr>
            <w:tcW w:w="1216" w:type="dxa"/>
          </w:tcPr>
          <w:p w14:paraId="51AFA743" w14:textId="6D0ED80D" w:rsidR="00E24773" w:rsidRDefault="00E24773" w:rsidP="009623CD">
            <w:pPr>
              <w:pStyle w:val="TableText"/>
              <w:jc w:val="right"/>
              <w:rPr>
                <w:w w:val="110"/>
              </w:rPr>
            </w:pPr>
            <w:r>
              <w:rPr>
                <w:w w:val="105"/>
              </w:rPr>
              <w:t>10,013</w:t>
            </w:r>
          </w:p>
        </w:tc>
        <w:tc>
          <w:tcPr>
            <w:tcW w:w="1163" w:type="dxa"/>
          </w:tcPr>
          <w:p w14:paraId="5AB087FC" w14:textId="0483F1D5" w:rsidR="00E24773" w:rsidRDefault="00E24773" w:rsidP="009623CD">
            <w:pPr>
              <w:pStyle w:val="TableText"/>
              <w:jc w:val="right"/>
              <w:rPr>
                <w:w w:val="110"/>
              </w:rPr>
            </w:pPr>
            <w:r>
              <w:rPr>
                <w:w w:val="110"/>
              </w:rPr>
              <w:t>943</w:t>
            </w:r>
          </w:p>
        </w:tc>
      </w:tr>
      <w:tr w:rsidR="00E24773" w:rsidRPr="001330C6" w14:paraId="20A980EE" w14:textId="77777777" w:rsidTr="009623CD">
        <w:trPr>
          <w:trHeight w:val="327"/>
        </w:trPr>
        <w:tc>
          <w:tcPr>
            <w:tcW w:w="1276" w:type="dxa"/>
          </w:tcPr>
          <w:p w14:paraId="10D072E2" w14:textId="3D51B1F0" w:rsidR="00E24773" w:rsidRPr="001330C6" w:rsidRDefault="00E24773" w:rsidP="009623CD">
            <w:pPr>
              <w:pStyle w:val="TableText"/>
              <w:jc w:val="right"/>
              <w:rPr>
                <w:b/>
                <w:bCs/>
                <w:w w:val="105"/>
              </w:rPr>
            </w:pPr>
            <w:r>
              <w:rPr>
                <w:w w:val="105"/>
              </w:rPr>
              <w:t>–</w:t>
            </w:r>
          </w:p>
        </w:tc>
        <w:tc>
          <w:tcPr>
            <w:tcW w:w="2830" w:type="dxa"/>
          </w:tcPr>
          <w:p w14:paraId="27D40877" w14:textId="5558F364" w:rsidR="00E24773" w:rsidRDefault="00E24773" w:rsidP="00E24773">
            <w:pPr>
              <w:pStyle w:val="TableText"/>
              <w:rPr>
                <w:w w:val="105"/>
              </w:rPr>
            </w:pPr>
            <w:r>
              <w:rPr>
                <w:w w:val="105"/>
              </w:rPr>
              <w:t>Capital</w:t>
            </w:r>
            <w:r>
              <w:rPr>
                <w:spacing w:val="-6"/>
                <w:w w:val="105"/>
              </w:rPr>
              <w:t xml:space="preserve"> </w:t>
            </w:r>
            <w:r>
              <w:rPr>
                <w:w w:val="105"/>
              </w:rPr>
              <w:t>withdrawal</w:t>
            </w:r>
          </w:p>
        </w:tc>
        <w:tc>
          <w:tcPr>
            <w:tcW w:w="1188" w:type="dxa"/>
          </w:tcPr>
          <w:p w14:paraId="0C559832" w14:textId="77777777" w:rsidR="00E24773" w:rsidRPr="001330C6" w:rsidRDefault="00E24773" w:rsidP="00223078">
            <w:pPr>
              <w:pStyle w:val="TableText"/>
              <w:ind w:right="194"/>
              <w:jc w:val="right"/>
              <w:rPr>
                <w:b/>
                <w:bCs/>
              </w:rPr>
            </w:pPr>
          </w:p>
        </w:tc>
        <w:tc>
          <w:tcPr>
            <w:tcW w:w="1045" w:type="dxa"/>
          </w:tcPr>
          <w:p w14:paraId="4ABC7D45" w14:textId="3A0715B8" w:rsidR="00E24773" w:rsidRPr="00E24773" w:rsidRDefault="00E24773" w:rsidP="009623CD">
            <w:pPr>
              <w:pStyle w:val="TableText"/>
              <w:jc w:val="right"/>
              <w:rPr>
                <w:w w:val="105"/>
              </w:rPr>
            </w:pPr>
            <w:r>
              <w:rPr>
                <w:w w:val="115"/>
              </w:rPr>
              <w:t>(6,726)</w:t>
            </w:r>
          </w:p>
        </w:tc>
        <w:tc>
          <w:tcPr>
            <w:tcW w:w="1216" w:type="dxa"/>
          </w:tcPr>
          <w:p w14:paraId="3C1EA85E" w14:textId="09DC29BB" w:rsidR="00E24773" w:rsidRPr="00E24773" w:rsidRDefault="00E24773" w:rsidP="009623CD">
            <w:pPr>
              <w:pStyle w:val="TableText"/>
              <w:jc w:val="right"/>
              <w:rPr>
                <w:w w:val="105"/>
              </w:rPr>
            </w:pPr>
            <w:r>
              <w:rPr>
                <w:w w:val="115"/>
              </w:rPr>
              <w:t>(6,726)</w:t>
            </w:r>
          </w:p>
        </w:tc>
        <w:tc>
          <w:tcPr>
            <w:tcW w:w="1163" w:type="dxa"/>
          </w:tcPr>
          <w:p w14:paraId="7F2DF1FD" w14:textId="1A46AD05" w:rsidR="00E24773" w:rsidRPr="00E24773" w:rsidRDefault="009623CD" w:rsidP="009623CD">
            <w:pPr>
              <w:pStyle w:val="TableText"/>
              <w:jc w:val="right"/>
              <w:rPr>
                <w:w w:val="105"/>
              </w:rPr>
            </w:pPr>
            <w:r>
              <w:rPr>
                <w:w w:val="105"/>
              </w:rPr>
              <w:t>(943)</w:t>
            </w:r>
          </w:p>
        </w:tc>
      </w:tr>
      <w:tr w:rsidR="00E24773" w:rsidRPr="001330C6" w14:paraId="3A13CA57" w14:textId="77777777" w:rsidTr="009623CD">
        <w:trPr>
          <w:trHeight w:val="327"/>
        </w:trPr>
        <w:tc>
          <w:tcPr>
            <w:tcW w:w="1276" w:type="dxa"/>
            <w:tcBorders>
              <w:bottom w:val="single" w:sz="4" w:space="0" w:color="A6A6A6" w:themeColor="background1" w:themeShade="A6"/>
            </w:tcBorders>
          </w:tcPr>
          <w:p w14:paraId="0155D314" w14:textId="4EA3C766" w:rsidR="00E24773" w:rsidRPr="001330C6" w:rsidRDefault="00E24773" w:rsidP="009623CD">
            <w:pPr>
              <w:pStyle w:val="TableText"/>
              <w:jc w:val="right"/>
              <w:rPr>
                <w:b/>
                <w:bCs/>
                <w:w w:val="105"/>
              </w:rPr>
            </w:pPr>
            <w:r>
              <w:rPr>
                <w:b/>
                <w:w w:val="105"/>
              </w:rPr>
              <w:t xml:space="preserve">25,891  </w:t>
            </w:r>
            <w:r>
              <w:rPr>
                <w:b/>
                <w:spacing w:val="5"/>
                <w:w w:val="105"/>
              </w:rPr>
              <w:t xml:space="preserve"> </w:t>
            </w:r>
          </w:p>
        </w:tc>
        <w:tc>
          <w:tcPr>
            <w:tcW w:w="2830" w:type="dxa"/>
            <w:tcBorders>
              <w:bottom w:val="single" w:sz="4" w:space="0" w:color="A6A6A6" w:themeColor="background1" w:themeShade="A6"/>
            </w:tcBorders>
          </w:tcPr>
          <w:p w14:paraId="548F492F" w14:textId="5C8EF1F4" w:rsidR="00E24773" w:rsidRDefault="00E24773" w:rsidP="00E24773">
            <w:pPr>
              <w:pStyle w:val="TableText"/>
              <w:rPr>
                <w:w w:val="105"/>
              </w:rPr>
            </w:pPr>
            <w:r>
              <w:rPr>
                <w:b/>
                <w:w w:val="105"/>
              </w:rPr>
              <w:t>Balance</w:t>
            </w:r>
            <w:r>
              <w:rPr>
                <w:b/>
                <w:spacing w:val="-10"/>
                <w:w w:val="105"/>
              </w:rPr>
              <w:t xml:space="preserve"> </w:t>
            </w:r>
            <w:r>
              <w:rPr>
                <w:b/>
                <w:w w:val="105"/>
              </w:rPr>
              <w:t>as</w:t>
            </w:r>
            <w:r>
              <w:rPr>
                <w:b/>
                <w:spacing w:val="-9"/>
                <w:w w:val="105"/>
              </w:rPr>
              <w:t xml:space="preserve"> </w:t>
            </w:r>
            <w:r>
              <w:rPr>
                <w:b/>
                <w:w w:val="105"/>
              </w:rPr>
              <w:t>at</w:t>
            </w:r>
            <w:r>
              <w:rPr>
                <w:b/>
                <w:spacing w:val="-9"/>
                <w:w w:val="105"/>
              </w:rPr>
              <w:t xml:space="preserve"> </w:t>
            </w:r>
            <w:r>
              <w:rPr>
                <w:b/>
                <w:w w:val="105"/>
              </w:rPr>
              <w:t>30</w:t>
            </w:r>
            <w:r>
              <w:rPr>
                <w:b/>
                <w:spacing w:val="-9"/>
                <w:w w:val="105"/>
              </w:rPr>
              <w:t xml:space="preserve"> </w:t>
            </w:r>
            <w:r>
              <w:rPr>
                <w:b/>
                <w:w w:val="105"/>
              </w:rPr>
              <w:t>June</w:t>
            </w:r>
          </w:p>
        </w:tc>
        <w:tc>
          <w:tcPr>
            <w:tcW w:w="1188" w:type="dxa"/>
            <w:tcBorders>
              <w:bottom w:val="single" w:sz="4" w:space="0" w:color="A6A6A6" w:themeColor="background1" w:themeShade="A6"/>
            </w:tcBorders>
          </w:tcPr>
          <w:p w14:paraId="17F77347" w14:textId="77777777" w:rsidR="00E24773" w:rsidRPr="001330C6" w:rsidRDefault="00E24773" w:rsidP="00223078">
            <w:pPr>
              <w:pStyle w:val="TableText"/>
              <w:ind w:right="194"/>
              <w:jc w:val="right"/>
              <w:rPr>
                <w:b/>
                <w:bCs/>
              </w:rPr>
            </w:pPr>
          </w:p>
        </w:tc>
        <w:tc>
          <w:tcPr>
            <w:tcW w:w="1045" w:type="dxa"/>
            <w:tcBorders>
              <w:bottom w:val="single" w:sz="4" w:space="0" w:color="A6A6A6" w:themeColor="background1" w:themeShade="A6"/>
            </w:tcBorders>
          </w:tcPr>
          <w:p w14:paraId="0B0E1E0C" w14:textId="79C1F380" w:rsidR="00E24773" w:rsidRPr="00E24773" w:rsidRDefault="009623CD" w:rsidP="009623CD">
            <w:pPr>
              <w:pStyle w:val="TableText"/>
              <w:jc w:val="right"/>
              <w:rPr>
                <w:w w:val="105"/>
              </w:rPr>
            </w:pPr>
            <w:r>
              <w:rPr>
                <w:b/>
                <w:w w:val="105"/>
              </w:rPr>
              <w:t>22,177</w:t>
            </w:r>
          </w:p>
        </w:tc>
        <w:tc>
          <w:tcPr>
            <w:tcW w:w="1216" w:type="dxa"/>
            <w:tcBorders>
              <w:bottom w:val="single" w:sz="4" w:space="0" w:color="A6A6A6" w:themeColor="background1" w:themeShade="A6"/>
            </w:tcBorders>
          </w:tcPr>
          <w:p w14:paraId="37A36F21" w14:textId="1F6FF2D2" w:rsidR="00E24773" w:rsidRPr="00E24773" w:rsidRDefault="009623CD" w:rsidP="009623CD">
            <w:pPr>
              <w:pStyle w:val="TableText"/>
              <w:jc w:val="right"/>
              <w:rPr>
                <w:w w:val="105"/>
              </w:rPr>
            </w:pPr>
            <w:r>
              <w:rPr>
                <w:b/>
                <w:w w:val="105"/>
              </w:rPr>
              <w:t>59,927</w:t>
            </w:r>
          </w:p>
        </w:tc>
        <w:tc>
          <w:tcPr>
            <w:tcW w:w="1163" w:type="dxa"/>
            <w:tcBorders>
              <w:bottom w:val="single" w:sz="4" w:space="0" w:color="A6A6A6" w:themeColor="background1" w:themeShade="A6"/>
            </w:tcBorders>
          </w:tcPr>
          <w:p w14:paraId="13EB0461" w14:textId="47F034A2" w:rsidR="00E24773" w:rsidRPr="00E24773" w:rsidRDefault="009623CD" w:rsidP="009623CD">
            <w:pPr>
              <w:pStyle w:val="TableText"/>
              <w:jc w:val="right"/>
              <w:rPr>
                <w:w w:val="105"/>
              </w:rPr>
            </w:pPr>
            <w:r>
              <w:rPr>
                <w:b/>
                <w:w w:val="105"/>
              </w:rPr>
              <w:t>22,303</w:t>
            </w:r>
          </w:p>
        </w:tc>
      </w:tr>
    </w:tbl>
    <w:p w14:paraId="78B2060A" w14:textId="77777777" w:rsidR="00090FEB" w:rsidRDefault="00090FEB" w:rsidP="00EC0899">
      <w:pPr>
        <w:pStyle w:val="Note"/>
        <w:rPr>
          <w:w w:val="110"/>
        </w:rPr>
      </w:pPr>
    </w:p>
    <w:p w14:paraId="43E14CA8" w14:textId="77777777" w:rsidR="00090FEB" w:rsidRDefault="00090FEB" w:rsidP="00EC0899">
      <w:pPr>
        <w:pStyle w:val="Note"/>
        <w:rPr>
          <w:w w:val="110"/>
        </w:rPr>
      </w:pPr>
    </w:p>
    <w:p w14:paraId="72AF2D80" w14:textId="77777777" w:rsidR="00090FEB" w:rsidRDefault="00090FEB" w:rsidP="00EC0899">
      <w:pPr>
        <w:pStyle w:val="Note"/>
        <w:rPr>
          <w:w w:val="110"/>
        </w:rPr>
      </w:pPr>
    </w:p>
    <w:p w14:paraId="2BC3E05B" w14:textId="77777777" w:rsidR="00090FEB" w:rsidRDefault="00090FEB" w:rsidP="00EC0899">
      <w:pPr>
        <w:pStyle w:val="Note"/>
        <w:rPr>
          <w:w w:val="110"/>
        </w:rPr>
      </w:pPr>
    </w:p>
    <w:p w14:paraId="764B0FCF" w14:textId="77777777" w:rsidR="00090FEB" w:rsidRDefault="00090FEB" w:rsidP="00EC0899">
      <w:pPr>
        <w:pStyle w:val="Note"/>
        <w:rPr>
          <w:w w:val="110"/>
        </w:rPr>
      </w:pPr>
    </w:p>
    <w:p w14:paraId="7CD7503C" w14:textId="77777777" w:rsidR="00090FEB" w:rsidRDefault="00090FEB" w:rsidP="00EC0899">
      <w:pPr>
        <w:pStyle w:val="Note"/>
        <w:rPr>
          <w:w w:val="110"/>
        </w:rPr>
      </w:pPr>
    </w:p>
    <w:p w14:paraId="621AF977" w14:textId="77777777" w:rsidR="00090FEB" w:rsidRDefault="00090FEB" w:rsidP="00EC0899">
      <w:pPr>
        <w:pStyle w:val="Note"/>
        <w:rPr>
          <w:w w:val="110"/>
        </w:rPr>
      </w:pPr>
    </w:p>
    <w:p w14:paraId="3DA9FBC2" w14:textId="77777777" w:rsidR="00090FEB" w:rsidRDefault="00090FEB" w:rsidP="00EC0899">
      <w:pPr>
        <w:pStyle w:val="Note"/>
        <w:rPr>
          <w:w w:val="110"/>
        </w:rPr>
      </w:pPr>
    </w:p>
    <w:p w14:paraId="622BEC8F" w14:textId="77777777" w:rsidR="00090FEB" w:rsidRDefault="00090FEB" w:rsidP="00EC0899">
      <w:pPr>
        <w:pStyle w:val="Note"/>
        <w:rPr>
          <w:w w:val="110"/>
        </w:rPr>
      </w:pPr>
    </w:p>
    <w:p w14:paraId="25651116" w14:textId="77777777" w:rsidR="00090FEB" w:rsidRDefault="00090FEB" w:rsidP="00EC0899">
      <w:pPr>
        <w:pStyle w:val="Note"/>
        <w:rPr>
          <w:w w:val="110"/>
        </w:rPr>
      </w:pPr>
    </w:p>
    <w:p w14:paraId="7E024BF6" w14:textId="77777777" w:rsidR="00090FEB" w:rsidRDefault="00090FEB" w:rsidP="00EC0899">
      <w:pPr>
        <w:pStyle w:val="Note"/>
        <w:rPr>
          <w:w w:val="110"/>
        </w:rPr>
      </w:pPr>
    </w:p>
    <w:p w14:paraId="79A15A20" w14:textId="77777777" w:rsidR="00090FEB" w:rsidRDefault="00090FEB" w:rsidP="00EC0899">
      <w:pPr>
        <w:pStyle w:val="Note"/>
        <w:rPr>
          <w:w w:val="110"/>
        </w:rPr>
      </w:pPr>
    </w:p>
    <w:p w14:paraId="5BA48BCA" w14:textId="77777777" w:rsidR="00090FEB" w:rsidRDefault="00090FEB" w:rsidP="00EC0899">
      <w:pPr>
        <w:pStyle w:val="Note"/>
        <w:rPr>
          <w:w w:val="110"/>
        </w:rPr>
      </w:pPr>
    </w:p>
    <w:p w14:paraId="0831B3F4" w14:textId="77777777" w:rsidR="00090FEB" w:rsidRDefault="00090FEB" w:rsidP="00EC0899">
      <w:pPr>
        <w:pStyle w:val="Note"/>
        <w:rPr>
          <w:w w:val="110"/>
        </w:rPr>
      </w:pPr>
    </w:p>
    <w:p w14:paraId="7BAB5381" w14:textId="77777777" w:rsidR="00090FEB" w:rsidRDefault="00090FEB" w:rsidP="00EC0899">
      <w:pPr>
        <w:pStyle w:val="Note"/>
        <w:rPr>
          <w:w w:val="110"/>
        </w:rPr>
      </w:pPr>
    </w:p>
    <w:p w14:paraId="435FFF22" w14:textId="77777777" w:rsidR="00090FEB" w:rsidRDefault="00090FEB" w:rsidP="00EC0899">
      <w:pPr>
        <w:pStyle w:val="Note"/>
        <w:rPr>
          <w:w w:val="110"/>
        </w:rPr>
      </w:pPr>
    </w:p>
    <w:p w14:paraId="1FF0D871" w14:textId="77777777" w:rsidR="00090FEB" w:rsidRDefault="00090FEB" w:rsidP="00EC0899">
      <w:pPr>
        <w:pStyle w:val="Note"/>
        <w:rPr>
          <w:w w:val="110"/>
        </w:rPr>
      </w:pPr>
    </w:p>
    <w:p w14:paraId="69E697A8" w14:textId="77777777" w:rsidR="00090FEB" w:rsidRDefault="00090FEB" w:rsidP="00EC0899">
      <w:pPr>
        <w:pStyle w:val="Note"/>
        <w:rPr>
          <w:w w:val="110"/>
        </w:rPr>
      </w:pPr>
    </w:p>
    <w:p w14:paraId="2C8ED579" w14:textId="77777777" w:rsidR="00090FEB" w:rsidRDefault="00090FEB" w:rsidP="00EC0899">
      <w:pPr>
        <w:pStyle w:val="Note"/>
        <w:rPr>
          <w:w w:val="110"/>
        </w:rPr>
      </w:pPr>
    </w:p>
    <w:p w14:paraId="689095BA" w14:textId="77777777" w:rsidR="00090FEB" w:rsidRDefault="00090FEB" w:rsidP="00EC0899">
      <w:pPr>
        <w:pStyle w:val="Note"/>
        <w:rPr>
          <w:w w:val="110"/>
        </w:rPr>
      </w:pPr>
    </w:p>
    <w:p w14:paraId="0C3C0243" w14:textId="77777777" w:rsidR="00090FEB" w:rsidRDefault="00090FEB" w:rsidP="00EC0899">
      <w:pPr>
        <w:pStyle w:val="Note"/>
        <w:rPr>
          <w:w w:val="110"/>
        </w:rPr>
      </w:pPr>
    </w:p>
    <w:p w14:paraId="383FA82B" w14:textId="77777777" w:rsidR="00090FEB" w:rsidRDefault="00090FEB" w:rsidP="00EC0899">
      <w:pPr>
        <w:pStyle w:val="Note"/>
        <w:rPr>
          <w:w w:val="110"/>
        </w:rPr>
      </w:pPr>
    </w:p>
    <w:p w14:paraId="4EE9ABAD" w14:textId="77777777" w:rsidR="00090FEB" w:rsidRDefault="00090FEB" w:rsidP="00EC0899">
      <w:pPr>
        <w:pStyle w:val="Note"/>
        <w:rPr>
          <w:w w:val="110"/>
        </w:rPr>
      </w:pPr>
    </w:p>
    <w:p w14:paraId="49CFC628" w14:textId="77777777" w:rsidR="00090FEB" w:rsidRDefault="00090FEB" w:rsidP="00EC0899">
      <w:pPr>
        <w:pStyle w:val="Note"/>
        <w:rPr>
          <w:w w:val="110"/>
        </w:rPr>
      </w:pPr>
    </w:p>
    <w:p w14:paraId="5264E463" w14:textId="77777777" w:rsidR="00090FEB" w:rsidRDefault="00090FEB" w:rsidP="00EC0899">
      <w:pPr>
        <w:pStyle w:val="Note"/>
        <w:rPr>
          <w:w w:val="110"/>
        </w:rPr>
      </w:pPr>
    </w:p>
    <w:p w14:paraId="5B06F8C3" w14:textId="77777777" w:rsidR="00090FEB" w:rsidRDefault="00090FEB" w:rsidP="00EC0899">
      <w:pPr>
        <w:pStyle w:val="Note"/>
        <w:rPr>
          <w:w w:val="110"/>
        </w:rPr>
      </w:pPr>
    </w:p>
    <w:p w14:paraId="61F075BD" w14:textId="77777777" w:rsidR="00090FEB" w:rsidRDefault="00090FEB" w:rsidP="00EC0899">
      <w:pPr>
        <w:pStyle w:val="Note"/>
        <w:rPr>
          <w:w w:val="110"/>
        </w:rPr>
      </w:pPr>
    </w:p>
    <w:p w14:paraId="03CD876C" w14:textId="35824727" w:rsidR="00EC0899" w:rsidRDefault="00EC0899" w:rsidP="00EC0899">
      <w:pPr>
        <w:pStyle w:val="Note"/>
      </w:pPr>
      <w:r>
        <w:rPr>
          <w:w w:val="110"/>
        </w:rPr>
        <w:t>The</w:t>
      </w:r>
      <w:r>
        <w:rPr>
          <w:spacing w:val="8"/>
          <w:w w:val="110"/>
        </w:rPr>
        <w:t xml:space="preserve"> </w:t>
      </w:r>
      <w:r>
        <w:rPr>
          <w:w w:val="110"/>
        </w:rPr>
        <w:t>accompanying</w:t>
      </w:r>
      <w:r>
        <w:rPr>
          <w:spacing w:val="8"/>
          <w:w w:val="110"/>
        </w:rPr>
        <w:t xml:space="preserve"> </w:t>
      </w:r>
      <w:r>
        <w:rPr>
          <w:w w:val="110"/>
        </w:rPr>
        <w:t>notes</w:t>
      </w:r>
      <w:r>
        <w:rPr>
          <w:spacing w:val="8"/>
          <w:w w:val="110"/>
        </w:rPr>
        <w:t xml:space="preserve"> </w:t>
      </w:r>
      <w:r>
        <w:rPr>
          <w:w w:val="110"/>
        </w:rPr>
        <w:t>form</w:t>
      </w:r>
      <w:r>
        <w:rPr>
          <w:spacing w:val="9"/>
          <w:w w:val="110"/>
        </w:rPr>
        <w:t xml:space="preserve"> </w:t>
      </w:r>
      <w:r>
        <w:rPr>
          <w:w w:val="110"/>
        </w:rPr>
        <w:t>part</w:t>
      </w:r>
      <w:r>
        <w:rPr>
          <w:spacing w:val="8"/>
          <w:w w:val="110"/>
        </w:rPr>
        <w:t xml:space="preserve"> </w:t>
      </w:r>
      <w:r>
        <w:rPr>
          <w:w w:val="110"/>
        </w:rPr>
        <w:t>of</w:t>
      </w:r>
      <w:r>
        <w:rPr>
          <w:spacing w:val="8"/>
          <w:w w:val="110"/>
        </w:rPr>
        <w:t xml:space="preserve"> </w:t>
      </w:r>
      <w:r>
        <w:rPr>
          <w:w w:val="110"/>
        </w:rPr>
        <w:t>these</w:t>
      </w:r>
      <w:r>
        <w:rPr>
          <w:spacing w:val="8"/>
          <w:w w:val="110"/>
        </w:rPr>
        <w:t xml:space="preserve"> </w:t>
      </w:r>
      <w:r>
        <w:rPr>
          <w:w w:val="110"/>
        </w:rPr>
        <w:t>financial</w:t>
      </w:r>
      <w:r>
        <w:rPr>
          <w:spacing w:val="9"/>
          <w:w w:val="110"/>
        </w:rPr>
        <w:t xml:space="preserve"> </w:t>
      </w:r>
      <w:r>
        <w:rPr>
          <w:w w:val="110"/>
        </w:rPr>
        <w:t>statements.</w:t>
      </w:r>
    </w:p>
    <w:p w14:paraId="5E3666E5" w14:textId="77777777" w:rsidR="000174A8" w:rsidRDefault="000174A8" w:rsidP="00EC0899">
      <w:pPr>
        <w:pStyle w:val="Note"/>
        <w:sectPr w:rsidR="000174A8" w:rsidSect="00C26282">
          <w:pgSz w:w="11907" w:h="16840" w:code="9"/>
          <w:pgMar w:top="1418" w:right="1701" w:bottom="1134" w:left="1843" w:header="284" w:footer="425" w:gutter="284"/>
          <w:cols w:space="720"/>
        </w:sectPr>
      </w:pPr>
    </w:p>
    <w:p w14:paraId="7F93DC71" w14:textId="3F837F1D" w:rsidR="000174A8" w:rsidRDefault="000174A8" w:rsidP="000174A8">
      <w:pPr>
        <w:pStyle w:val="Heading3"/>
        <w:spacing w:before="0"/>
      </w:pPr>
      <w:bookmarkStart w:id="60" w:name="_Toc117264967"/>
      <w:r w:rsidRPr="000174A8">
        <w:lastRenderedPageBreak/>
        <w:t>Statement of cash flows for the year ended</w:t>
      </w:r>
      <w:r>
        <w:t xml:space="preserve"> 30 June 2022</w:t>
      </w:r>
      <w:bookmarkEnd w:id="60"/>
    </w:p>
    <w:tbl>
      <w:tblPr>
        <w:tblW w:w="8474" w:type="dxa"/>
        <w:tblInd w:w="7" w:type="dxa"/>
        <w:tblLayout w:type="fixed"/>
        <w:tblCellMar>
          <w:left w:w="0" w:type="dxa"/>
          <w:right w:w="0" w:type="dxa"/>
        </w:tblCellMar>
        <w:tblLook w:val="01E0" w:firstRow="1" w:lastRow="1" w:firstColumn="1" w:lastColumn="1" w:noHBand="0" w:noVBand="0"/>
      </w:tblPr>
      <w:tblGrid>
        <w:gridCol w:w="1127"/>
        <w:gridCol w:w="3402"/>
        <w:gridCol w:w="1436"/>
        <w:gridCol w:w="1318"/>
        <w:gridCol w:w="1191"/>
      </w:tblGrid>
      <w:tr w:rsidR="000174A8" w:rsidRPr="000174A8" w14:paraId="13B860E0" w14:textId="77777777" w:rsidTr="009E3BCA">
        <w:trPr>
          <w:trHeight w:val="1069"/>
        </w:trPr>
        <w:tc>
          <w:tcPr>
            <w:tcW w:w="1127" w:type="dxa"/>
            <w:shd w:val="clear" w:color="auto" w:fill="D9D9D9" w:themeFill="background1" w:themeFillShade="D9"/>
          </w:tcPr>
          <w:p w14:paraId="1B02D3BB" w14:textId="77777777" w:rsidR="000174A8" w:rsidRPr="000174A8" w:rsidRDefault="000174A8" w:rsidP="000174A8">
            <w:pPr>
              <w:pStyle w:val="TableText"/>
              <w:jc w:val="right"/>
              <w:rPr>
                <w:b/>
                <w:bCs/>
              </w:rPr>
            </w:pPr>
            <w:r w:rsidRPr="000174A8">
              <w:rPr>
                <w:b/>
                <w:bCs/>
                <w:w w:val="105"/>
              </w:rPr>
              <w:t>Restated</w:t>
            </w:r>
            <w:r w:rsidRPr="000174A8">
              <w:rPr>
                <w:b/>
                <w:bCs/>
                <w:spacing w:val="-50"/>
                <w:w w:val="105"/>
              </w:rPr>
              <w:t xml:space="preserve"> </w:t>
            </w:r>
            <w:r w:rsidRPr="000174A8">
              <w:rPr>
                <w:b/>
                <w:bCs/>
                <w:spacing w:val="-50"/>
                <w:w w:val="105"/>
              </w:rPr>
              <w:br/>
            </w:r>
            <w:r w:rsidRPr="000174A8">
              <w:rPr>
                <w:b/>
                <w:bCs/>
                <w:w w:val="110"/>
              </w:rPr>
              <w:t>actual</w:t>
            </w:r>
          </w:p>
          <w:p w14:paraId="56816D25" w14:textId="77777777" w:rsidR="000174A8" w:rsidRPr="000174A8" w:rsidRDefault="000174A8" w:rsidP="000174A8">
            <w:pPr>
              <w:pStyle w:val="TableText"/>
              <w:jc w:val="right"/>
              <w:rPr>
                <w:b/>
                <w:bCs/>
              </w:rPr>
            </w:pPr>
            <w:r w:rsidRPr="000174A8">
              <w:rPr>
                <w:b/>
                <w:bCs/>
              </w:rPr>
              <w:t>2021</w:t>
            </w:r>
          </w:p>
          <w:p w14:paraId="0C185255" w14:textId="3E4517D5" w:rsidR="000174A8" w:rsidRPr="000174A8" w:rsidRDefault="000174A8" w:rsidP="000174A8">
            <w:pPr>
              <w:pStyle w:val="TableText"/>
              <w:jc w:val="right"/>
              <w:rPr>
                <w:b/>
                <w:bCs/>
                <w:w w:val="105"/>
              </w:rPr>
            </w:pPr>
            <w:r w:rsidRPr="000174A8">
              <w:rPr>
                <w:b/>
                <w:bCs/>
                <w:w w:val="120"/>
              </w:rPr>
              <w:t>$000</w:t>
            </w:r>
          </w:p>
        </w:tc>
        <w:tc>
          <w:tcPr>
            <w:tcW w:w="3402" w:type="dxa"/>
            <w:shd w:val="clear" w:color="auto" w:fill="D9D9D9" w:themeFill="background1" w:themeFillShade="D9"/>
          </w:tcPr>
          <w:p w14:paraId="26A8B199" w14:textId="5B59B1B2" w:rsidR="000174A8" w:rsidRPr="000174A8" w:rsidRDefault="000174A8" w:rsidP="000174A8">
            <w:pPr>
              <w:pStyle w:val="TableText"/>
              <w:rPr>
                <w:b/>
                <w:bCs/>
              </w:rPr>
            </w:pPr>
          </w:p>
        </w:tc>
        <w:tc>
          <w:tcPr>
            <w:tcW w:w="1436" w:type="dxa"/>
            <w:shd w:val="clear" w:color="auto" w:fill="D9D9D9" w:themeFill="background1" w:themeFillShade="D9"/>
          </w:tcPr>
          <w:p w14:paraId="38819F08" w14:textId="320056DF" w:rsidR="000174A8" w:rsidRPr="000174A8" w:rsidRDefault="000174A8" w:rsidP="000174A8">
            <w:pPr>
              <w:pStyle w:val="TableText"/>
              <w:jc w:val="right"/>
              <w:rPr>
                <w:b/>
                <w:bCs/>
              </w:rPr>
            </w:pPr>
            <w:r w:rsidRPr="000174A8">
              <w:rPr>
                <w:b/>
                <w:bCs/>
                <w:w w:val="110"/>
              </w:rPr>
              <w:t>Actual</w:t>
            </w:r>
            <w:r w:rsidRPr="000174A8">
              <w:rPr>
                <w:b/>
                <w:bCs/>
                <w:w w:val="110"/>
              </w:rPr>
              <w:br/>
            </w:r>
          </w:p>
          <w:p w14:paraId="5FBEC3C1" w14:textId="77777777" w:rsidR="000174A8" w:rsidRPr="000174A8" w:rsidRDefault="000174A8" w:rsidP="000174A8">
            <w:pPr>
              <w:pStyle w:val="TableText"/>
              <w:jc w:val="right"/>
              <w:rPr>
                <w:b/>
                <w:bCs/>
              </w:rPr>
            </w:pPr>
            <w:r w:rsidRPr="000174A8">
              <w:rPr>
                <w:b/>
                <w:bCs/>
                <w:w w:val="105"/>
              </w:rPr>
              <w:t>2022</w:t>
            </w:r>
          </w:p>
          <w:p w14:paraId="3468B8C0" w14:textId="77777777" w:rsidR="000174A8" w:rsidRPr="000174A8" w:rsidRDefault="000174A8" w:rsidP="000174A8">
            <w:pPr>
              <w:pStyle w:val="TableText"/>
              <w:jc w:val="right"/>
              <w:rPr>
                <w:b/>
                <w:bCs/>
              </w:rPr>
            </w:pPr>
            <w:r w:rsidRPr="000174A8">
              <w:rPr>
                <w:b/>
                <w:bCs/>
                <w:w w:val="120"/>
              </w:rPr>
              <w:t>$000</w:t>
            </w:r>
          </w:p>
        </w:tc>
        <w:tc>
          <w:tcPr>
            <w:tcW w:w="1318" w:type="dxa"/>
            <w:shd w:val="clear" w:color="auto" w:fill="D9D9D9" w:themeFill="background1" w:themeFillShade="D9"/>
          </w:tcPr>
          <w:p w14:paraId="65EF61E3" w14:textId="1F887973" w:rsidR="000174A8" w:rsidRPr="000174A8" w:rsidRDefault="000174A8" w:rsidP="000174A8">
            <w:pPr>
              <w:pStyle w:val="TableText"/>
              <w:jc w:val="right"/>
              <w:rPr>
                <w:b/>
                <w:bCs/>
              </w:rPr>
            </w:pPr>
            <w:r w:rsidRPr="000174A8">
              <w:rPr>
                <w:b/>
                <w:bCs/>
                <w:w w:val="110"/>
              </w:rPr>
              <w:t>Unaudited</w:t>
            </w:r>
            <w:r w:rsidRPr="000174A8">
              <w:rPr>
                <w:b/>
                <w:bCs/>
                <w:w w:val="110"/>
              </w:rPr>
              <w:br/>
              <w:t>budget</w:t>
            </w:r>
          </w:p>
          <w:p w14:paraId="2B8B2798" w14:textId="77777777" w:rsidR="000174A8" w:rsidRPr="000174A8" w:rsidRDefault="000174A8" w:rsidP="000174A8">
            <w:pPr>
              <w:pStyle w:val="TableText"/>
              <w:jc w:val="right"/>
              <w:rPr>
                <w:b/>
                <w:bCs/>
              </w:rPr>
            </w:pPr>
            <w:r w:rsidRPr="000174A8">
              <w:rPr>
                <w:b/>
                <w:bCs/>
                <w:w w:val="105"/>
              </w:rPr>
              <w:t>2022</w:t>
            </w:r>
          </w:p>
          <w:p w14:paraId="147ABBCD" w14:textId="77777777" w:rsidR="000174A8" w:rsidRPr="000174A8" w:rsidRDefault="000174A8" w:rsidP="000174A8">
            <w:pPr>
              <w:pStyle w:val="TableText"/>
              <w:jc w:val="right"/>
              <w:rPr>
                <w:b/>
                <w:bCs/>
              </w:rPr>
            </w:pPr>
            <w:r w:rsidRPr="000174A8">
              <w:rPr>
                <w:b/>
                <w:bCs/>
                <w:w w:val="120"/>
              </w:rPr>
              <w:t>$000</w:t>
            </w:r>
          </w:p>
        </w:tc>
        <w:tc>
          <w:tcPr>
            <w:tcW w:w="1191" w:type="dxa"/>
            <w:shd w:val="clear" w:color="auto" w:fill="D9D9D9" w:themeFill="background1" w:themeFillShade="D9"/>
          </w:tcPr>
          <w:p w14:paraId="4383692F" w14:textId="77777777" w:rsidR="000174A8" w:rsidRPr="000174A8" w:rsidRDefault="000174A8" w:rsidP="000174A8">
            <w:pPr>
              <w:pStyle w:val="TableText"/>
              <w:jc w:val="right"/>
              <w:rPr>
                <w:b/>
                <w:bCs/>
              </w:rPr>
            </w:pPr>
            <w:r w:rsidRPr="000174A8">
              <w:rPr>
                <w:b/>
                <w:bCs/>
                <w:w w:val="110"/>
              </w:rPr>
              <w:t>Unaudited</w:t>
            </w:r>
            <w:r w:rsidRPr="000174A8">
              <w:rPr>
                <w:b/>
                <w:bCs/>
                <w:spacing w:val="-53"/>
                <w:w w:val="110"/>
              </w:rPr>
              <w:t xml:space="preserve"> </w:t>
            </w:r>
            <w:r w:rsidRPr="000174A8">
              <w:rPr>
                <w:b/>
                <w:bCs/>
                <w:w w:val="110"/>
              </w:rPr>
              <w:t>forecast</w:t>
            </w:r>
          </w:p>
          <w:p w14:paraId="23671561" w14:textId="77777777" w:rsidR="000174A8" w:rsidRPr="000174A8" w:rsidRDefault="000174A8" w:rsidP="000174A8">
            <w:pPr>
              <w:pStyle w:val="TableText"/>
              <w:jc w:val="right"/>
              <w:rPr>
                <w:b/>
                <w:bCs/>
              </w:rPr>
            </w:pPr>
            <w:r w:rsidRPr="000174A8">
              <w:rPr>
                <w:b/>
                <w:bCs/>
                <w:w w:val="110"/>
              </w:rPr>
              <w:t>2023</w:t>
            </w:r>
          </w:p>
          <w:p w14:paraId="44ABF3E5" w14:textId="77777777" w:rsidR="000174A8" w:rsidRPr="000174A8" w:rsidRDefault="000174A8" w:rsidP="000174A8">
            <w:pPr>
              <w:pStyle w:val="TableText"/>
              <w:jc w:val="right"/>
              <w:rPr>
                <w:b/>
                <w:bCs/>
              </w:rPr>
            </w:pPr>
            <w:r w:rsidRPr="000174A8">
              <w:rPr>
                <w:b/>
                <w:bCs/>
                <w:w w:val="120"/>
              </w:rPr>
              <w:t>$000</w:t>
            </w:r>
          </w:p>
        </w:tc>
      </w:tr>
      <w:tr w:rsidR="000174A8" w14:paraId="739FB995" w14:textId="77777777" w:rsidTr="009E3BCA">
        <w:trPr>
          <w:trHeight w:val="340"/>
        </w:trPr>
        <w:tc>
          <w:tcPr>
            <w:tcW w:w="1127" w:type="dxa"/>
          </w:tcPr>
          <w:p w14:paraId="5BE5435E" w14:textId="77777777" w:rsidR="000174A8" w:rsidRDefault="000174A8" w:rsidP="000174A8">
            <w:pPr>
              <w:pStyle w:val="TableText"/>
              <w:jc w:val="right"/>
              <w:rPr>
                <w:w w:val="105"/>
              </w:rPr>
            </w:pPr>
          </w:p>
        </w:tc>
        <w:tc>
          <w:tcPr>
            <w:tcW w:w="3402" w:type="dxa"/>
          </w:tcPr>
          <w:p w14:paraId="14D14432" w14:textId="42C317C3" w:rsidR="000174A8" w:rsidRPr="000174A8" w:rsidRDefault="000174A8" w:rsidP="000174A8">
            <w:pPr>
              <w:pStyle w:val="TableText"/>
              <w:rPr>
                <w:b/>
                <w:bCs/>
              </w:rPr>
            </w:pPr>
            <w:r w:rsidRPr="000174A8">
              <w:rPr>
                <w:b/>
                <w:bCs/>
                <w:w w:val="105"/>
              </w:rPr>
              <w:t>Cash</w:t>
            </w:r>
            <w:r w:rsidRPr="000174A8">
              <w:rPr>
                <w:b/>
                <w:bCs/>
                <w:spacing w:val="8"/>
                <w:w w:val="105"/>
              </w:rPr>
              <w:t xml:space="preserve"> </w:t>
            </w:r>
            <w:r w:rsidRPr="000174A8">
              <w:rPr>
                <w:b/>
                <w:bCs/>
                <w:w w:val="105"/>
              </w:rPr>
              <w:t>flows</w:t>
            </w:r>
            <w:r w:rsidRPr="000174A8">
              <w:rPr>
                <w:b/>
                <w:bCs/>
                <w:spacing w:val="8"/>
                <w:w w:val="105"/>
              </w:rPr>
              <w:t xml:space="preserve"> </w:t>
            </w:r>
            <w:r w:rsidRPr="000174A8">
              <w:rPr>
                <w:b/>
                <w:bCs/>
                <w:w w:val="105"/>
              </w:rPr>
              <w:t>from</w:t>
            </w:r>
            <w:r w:rsidRPr="000174A8">
              <w:rPr>
                <w:b/>
                <w:bCs/>
                <w:spacing w:val="9"/>
                <w:w w:val="105"/>
              </w:rPr>
              <w:t xml:space="preserve"> </w:t>
            </w:r>
            <w:r w:rsidRPr="000174A8">
              <w:rPr>
                <w:b/>
                <w:bCs/>
                <w:w w:val="105"/>
              </w:rPr>
              <w:t>operating</w:t>
            </w:r>
            <w:r w:rsidRPr="000174A8">
              <w:rPr>
                <w:b/>
                <w:bCs/>
                <w:spacing w:val="8"/>
                <w:w w:val="105"/>
              </w:rPr>
              <w:t xml:space="preserve"> </w:t>
            </w:r>
            <w:r w:rsidRPr="000174A8">
              <w:rPr>
                <w:b/>
                <w:bCs/>
                <w:w w:val="105"/>
              </w:rPr>
              <w:t>activities</w:t>
            </w:r>
          </w:p>
        </w:tc>
        <w:tc>
          <w:tcPr>
            <w:tcW w:w="1436" w:type="dxa"/>
          </w:tcPr>
          <w:p w14:paraId="06E9F7BC" w14:textId="4E4FC18C" w:rsidR="000174A8" w:rsidRDefault="000174A8" w:rsidP="000174A8">
            <w:pPr>
              <w:pStyle w:val="TableText"/>
              <w:jc w:val="right"/>
            </w:pPr>
          </w:p>
        </w:tc>
        <w:tc>
          <w:tcPr>
            <w:tcW w:w="1318" w:type="dxa"/>
          </w:tcPr>
          <w:p w14:paraId="7A14C7A7" w14:textId="7795F11C" w:rsidR="000174A8" w:rsidRDefault="000174A8" w:rsidP="000174A8">
            <w:pPr>
              <w:pStyle w:val="TableText"/>
              <w:jc w:val="right"/>
            </w:pPr>
          </w:p>
        </w:tc>
        <w:tc>
          <w:tcPr>
            <w:tcW w:w="1191" w:type="dxa"/>
          </w:tcPr>
          <w:p w14:paraId="46EFABD4" w14:textId="036C94D2" w:rsidR="000174A8" w:rsidRDefault="000174A8" w:rsidP="000174A8">
            <w:pPr>
              <w:pStyle w:val="TableText"/>
              <w:jc w:val="right"/>
            </w:pPr>
          </w:p>
        </w:tc>
      </w:tr>
      <w:tr w:rsidR="000174A8" w14:paraId="1C633B38" w14:textId="77777777" w:rsidTr="009E3BCA">
        <w:trPr>
          <w:trHeight w:val="340"/>
        </w:trPr>
        <w:tc>
          <w:tcPr>
            <w:tcW w:w="1127" w:type="dxa"/>
          </w:tcPr>
          <w:p w14:paraId="1AAE2E26" w14:textId="73E74168" w:rsidR="000174A8" w:rsidRDefault="000174A8" w:rsidP="000174A8">
            <w:pPr>
              <w:pStyle w:val="TableText"/>
              <w:jc w:val="right"/>
              <w:rPr>
                <w:w w:val="105"/>
              </w:rPr>
            </w:pPr>
            <w:r>
              <w:t>355,119</w:t>
            </w:r>
          </w:p>
        </w:tc>
        <w:tc>
          <w:tcPr>
            <w:tcW w:w="3402" w:type="dxa"/>
          </w:tcPr>
          <w:p w14:paraId="272D1B6F" w14:textId="121CBF65" w:rsidR="000174A8" w:rsidRDefault="000174A8" w:rsidP="000174A8">
            <w:pPr>
              <w:pStyle w:val="TableText"/>
              <w:rPr>
                <w:w w:val="105"/>
              </w:rPr>
            </w:pPr>
            <w:r>
              <w:t>Receipts</w:t>
            </w:r>
            <w:r>
              <w:rPr>
                <w:spacing w:val="-1"/>
              </w:rPr>
              <w:t xml:space="preserve"> </w:t>
            </w:r>
            <w:r>
              <w:t>from</w:t>
            </w:r>
            <w:r>
              <w:rPr>
                <w:spacing w:val="-1"/>
              </w:rPr>
              <w:t xml:space="preserve"> </w:t>
            </w:r>
            <w:r>
              <w:t>revenue Crown</w:t>
            </w:r>
          </w:p>
        </w:tc>
        <w:tc>
          <w:tcPr>
            <w:tcW w:w="1436" w:type="dxa"/>
          </w:tcPr>
          <w:p w14:paraId="08822A93" w14:textId="7B547D19" w:rsidR="000174A8" w:rsidRDefault="000174A8" w:rsidP="000174A8">
            <w:pPr>
              <w:pStyle w:val="TableText"/>
              <w:jc w:val="right"/>
              <w:rPr>
                <w:sz w:val="35"/>
              </w:rPr>
            </w:pPr>
            <w:r>
              <w:rPr>
                <w:w w:val="110"/>
              </w:rPr>
              <w:t>692,634</w:t>
            </w:r>
          </w:p>
        </w:tc>
        <w:tc>
          <w:tcPr>
            <w:tcW w:w="1318" w:type="dxa"/>
          </w:tcPr>
          <w:p w14:paraId="04A7F431" w14:textId="644A6432" w:rsidR="000174A8" w:rsidRDefault="000174A8" w:rsidP="000174A8">
            <w:pPr>
              <w:pStyle w:val="TableText"/>
              <w:jc w:val="right"/>
              <w:rPr>
                <w:sz w:val="35"/>
              </w:rPr>
            </w:pPr>
            <w:r>
              <w:rPr>
                <w:w w:val="105"/>
              </w:rPr>
              <w:t>428,357</w:t>
            </w:r>
          </w:p>
        </w:tc>
        <w:tc>
          <w:tcPr>
            <w:tcW w:w="1191" w:type="dxa"/>
          </w:tcPr>
          <w:p w14:paraId="3A4FA46A" w14:textId="3F809439" w:rsidR="000174A8" w:rsidRDefault="000174A8" w:rsidP="000174A8">
            <w:pPr>
              <w:pStyle w:val="TableText"/>
              <w:jc w:val="right"/>
              <w:rPr>
                <w:sz w:val="35"/>
              </w:rPr>
            </w:pPr>
            <w:r>
              <w:t>331,439</w:t>
            </w:r>
          </w:p>
        </w:tc>
      </w:tr>
      <w:tr w:rsidR="000174A8" w14:paraId="420CF749" w14:textId="77777777" w:rsidTr="009E3BCA">
        <w:trPr>
          <w:trHeight w:val="349"/>
        </w:trPr>
        <w:tc>
          <w:tcPr>
            <w:tcW w:w="1127" w:type="dxa"/>
          </w:tcPr>
          <w:p w14:paraId="5B0D9CA6" w14:textId="51BC4A57" w:rsidR="000174A8" w:rsidRDefault="000174A8" w:rsidP="000174A8">
            <w:pPr>
              <w:pStyle w:val="TableText"/>
              <w:jc w:val="right"/>
              <w:rPr>
                <w:w w:val="105"/>
              </w:rPr>
            </w:pPr>
            <w:r>
              <w:rPr>
                <w:w w:val="105"/>
              </w:rPr>
              <w:t>4,957</w:t>
            </w:r>
          </w:p>
        </w:tc>
        <w:tc>
          <w:tcPr>
            <w:tcW w:w="3402" w:type="dxa"/>
          </w:tcPr>
          <w:p w14:paraId="519F739A" w14:textId="344838EA" w:rsidR="000174A8" w:rsidRDefault="000174A8" w:rsidP="000174A8">
            <w:pPr>
              <w:pStyle w:val="TableText"/>
            </w:pPr>
            <w:r>
              <w:rPr>
                <w:w w:val="105"/>
              </w:rPr>
              <w:t>Receipts</w:t>
            </w:r>
            <w:r>
              <w:rPr>
                <w:spacing w:val="-11"/>
                <w:w w:val="105"/>
              </w:rPr>
              <w:t xml:space="preserve"> </w:t>
            </w:r>
            <w:r>
              <w:rPr>
                <w:w w:val="105"/>
              </w:rPr>
              <w:t>from</w:t>
            </w:r>
            <w:r>
              <w:rPr>
                <w:spacing w:val="-10"/>
                <w:w w:val="105"/>
              </w:rPr>
              <w:t xml:space="preserve"> </w:t>
            </w:r>
            <w:r>
              <w:rPr>
                <w:w w:val="105"/>
              </w:rPr>
              <w:t>other</w:t>
            </w:r>
            <w:r>
              <w:rPr>
                <w:spacing w:val="-10"/>
                <w:w w:val="105"/>
              </w:rPr>
              <w:t xml:space="preserve"> </w:t>
            </w:r>
            <w:r>
              <w:rPr>
                <w:w w:val="105"/>
              </w:rPr>
              <w:t>revenue</w:t>
            </w:r>
          </w:p>
        </w:tc>
        <w:tc>
          <w:tcPr>
            <w:tcW w:w="1436" w:type="dxa"/>
          </w:tcPr>
          <w:p w14:paraId="6D22B921" w14:textId="77777777" w:rsidR="000174A8" w:rsidRDefault="000174A8" w:rsidP="000174A8">
            <w:pPr>
              <w:pStyle w:val="TableText"/>
              <w:jc w:val="right"/>
            </w:pPr>
            <w:r>
              <w:t>12,720</w:t>
            </w:r>
          </w:p>
        </w:tc>
        <w:tc>
          <w:tcPr>
            <w:tcW w:w="1318" w:type="dxa"/>
          </w:tcPr>
          <w:p w14:paraId="68250D30" w14:textId="77777777" w:rsidR="000174A8" w:rsidRDefault="000174A8" w:rsidP="000174A8">
            <w:pPr>
              <w:pStyle w:val="TableText"/>
              <w:jc w:val="right"/>
            </w:pPr>
            <w:r>
              <w:t>17,982</w:t>
            </w:r>
          </w:p>
        </w:tc>
        <w:tc>
          <w:tcPr>
            <w:tcW w:w="1191" w:type="dxa"/>
          </w:tcPr>
          <w:p w14:paraId="7077E159" w14:textId="77777777" w:rsidR="000174A8" w:rsidRDefault="000174A8" w:rsidP="000174A8">
            <w:pPr>
              <w:pStyle w:val="TableText"/>
              <w:jc w:val="right"/>
            </w:pPr>
            <w:r>
              <w:rPr>
                <w:w w:val="105"/>
              </w:rPr>
              <w:t>24,433</w:t>
            </w:r>
          </w:p>
        </w:tc>
      </w:tr>
      <w:tr w:rsidR="000174A8" w14:paraId="1C96CDD9" w14:textId="77777777" w:rsidTr="009E3BCA">
        <w:trPr>
          <w:trHeight w:val="349"/>
        </w:trPr>
        <w:tc>
          <w:tcPr>
            <w:tcW w:w="1127" w:type="dxa"/>
          </w:tcPr>
          <w:p w14:paraId="00A89AD3" w14:textId="36357575" w:rsidR="000174A8" w:rsidRDefault="000174A8" w:rsidP="000174A8">
            <w:pPr>
              <w:pStyle w:val="TableText"/>
              <w:jc w:val="right"/>
              <w:rPr>
                <w:w w:val="105"/>
              </w:rPr>
            </w:pPr>
            <w:r>
              <w:rPr>
                <w:w w:val="105"/>
              </w:rPr>
              <w:t>(167,209)</w:t>
            </w:r>
          </w:p>
        </w:tc>
        <w:tc>
          <w:tcPr>
            <w:tcW w:w="3402" w:type="dxa"/>
          </w:tcPr>
          <w:p w14:paraId="0677915A" w14:textId="11BE661E" w:rsidR="000174A8" w:rsidRDefault="000174A8" w:rsidP="000174A8">
            <w:pPr>
              <w:pStyle w:val="TableText"/>
            </w:pPr>
            <w:r>
              <w:rPr>
                <w:w w:val="105"/>
              </w:rPr>
              <w:t>Payments</w:t>
            </w:r>
            <w:r>
              <w:rPr>
                <w:spacing w:val="-3"/>
                <w:w w:val="105"/>
              </w:rPr>
              <w:t xml:space="preserve"> </w:t>
            </w:r>
            <w:r>
              <w:rPr>
                <w:w w:val="105"/>
              </w:rPr>
              <w:t>to</w:t>
            </w:r>
            <w:r>
              <w:rPr>
                <w:spacing w:val="-2"/>
                <w:w w:val="105"/>
              </w:rPr>
              <w:t xml:space="preserve"> </w:t>
            </w:r>
            <w:r>
              <w:rPr>
                <w:w w:val="105"/>
              </w:rPr>
              <w:t>suppliers</w:t>
            </w:r>
          </w:p>
        </w:tc>
        <w:tc>
          <w:tcPr>
            <w:tcW w:w="1436" w:type="dxa"/>
          </w:tcPr>
          <w:p w14:paraId="340FD767" w14:textId="77777777" w:rsidR="000174A8" w:rsidRDefault="000174A8" w:rsidP="000174A8">
            <w:pPr>
              <w:pStyle w:val="TableText"/>
              <w:jc w:val="right"/>
            </w:pPr>
            <w:r>
              <w:rPr>
                <w:w w:val="110"/>
              </w:rPr>
              <w:t>(450,498)</w:t>
            </w:r>
          </w:p>
        </w:tc>
        <w:tc>
          <w:tcPr>
            <w:tcW w:w="1318" w:type="dxa"/>
          </w:tcPr>
          <w:p w14:paraId="5EC75C9D" w14:textId="77777777" w:rsidR="000174A8" w:rsidRDefault="000174A8" w:rsidP="000174A8">
            <w:pPr>
              <w:pStyle w:val="TableText"/>
              <w:jc w:val="right"/>
            </w:pPr>
            <w:r>
              <w:rPr>
                <w:w w:val="105"/>
              </w:rPr>
              <w:t>(237,476)</w:t>
            </w:r>
          </w:p>
        </w:tc>
        <w:tc>
          <w:tcPr>
            <w:tcW w:w="1191" w:type="dxa"/>
          </w:tcPr>
          <w:p w14:paraId="2138D6D8" w14:textId="77777777" w:rsidR="000174A8" w:rsidRDefault="000174A8" w:rsidP="000174A8">
            <w:pPr>
              <w:pStyle w:val="TableText"/>
              <w:jc w:val="right"/>
            </w:pPr>
            <w:r>
              <w:rPr>
                <w:w w:val="105"/>
              </w:rPr>
              <w:t>(237,677)</w:t>
            </w:r>
          </w:p>
        </w:tc>
      </w:tr>
      <w:tr w:rsidR="000174A8" w14:paraId="72FCDEA9" w14:textId="77777777" w:rsidTr="009E3BCA">
        <w:trPr>
          <w:trHeight w:val="349"/>
        </w:trPr>
        <w:tc>
          <w:tcPr>
            <w:tcW w:w="1127" w:type="dxa"/>
          </w:tcPr>
          <w:p w14:paraId="6F459BDF" w14:textId="3692AAAE" w:rsidR="000174A8" w:rsidRDefault="000174A8" w:rsidP="000174A8">
            <w:pPr>
              <w:pStyle w:val="TableText"/>
              <w:jc w:val="right"/>
              <w:rPr>
                <w:w w:val="105"/>
              </w:rPr>
            </w:pPr>
            <w:r>
              <w:rPr>
                <w:w w:val="105"/>
              </w:rPr>
              <w:t>(174,307)</w:t>
            </w:r>
          </w:p>
        </w:tc>
        <w:tc>
          <w:tcPr>
            <w:tcW w:w="3402" w:type="dxa"/>
          </w:tcPr>
          <w:p w14:paraId="6063CC35" w14:textId="26A22C85" w:rsidR="000174A8" w:rsidRDefault="000174A8" w:rsidP="000174A8">
            <w:pPr>
              <w:pStyle w:val="TableText"/>
            </w:pPr>
            <w:r>
              <w:rPr>
                <w:w w:val="105"/>
              </w:rPr>
              <w:t>Payments</w:t>
            </w:r>
            <w:r>
              <w:rPr>
                <w:spacing w:val="-13"/>
                <w:w w:val="105"/>
              </w:rPr>
              <w:t xml:space="preserve"> </w:t>
            </w:r>
            <w:r>
              <w:rPr>
                <w:w w:val="105"/>
              </w:rPr>
              <w:t>to</w:t>
            </w:r>
            <w:r>
              <w:rPr>
                <w:spacing w:val="-12"/>
                <w:w w:val="105"/>
              </w:rPr>
              <w:t xml:space="preserve"> </w:t>
            </w:r>
            <w:r>
              <w:rPr>
                <w:w w:val="105"/>
              </w:rPr>
              <w:t>employees</w:t>
            </w:r>
          </w:p>
        </w:tc>
        <w:tc>
          <w:tcPr>
            <w:tcW w:w="1436" w:type="dxa"/>
          </w:tcPr>
          <w:p w14:paraId="6F9DE6F1" w14:textId="77777777" w:rsidR="000174A8" w:rsidRDefault="000174A8" w:rsidP="000174A8">
            <w:pPr>
              <w:pStyle w:val="TableText"/>
              <w:jc w:val="right"/>
            </w:pPr>
            <w:r>
              <w:rPr>
                <w:w w:val="105"/>
              </w:rPr>
              <w:t>(224,323)</w:t>
            </w:r>
          </w:p>
        </w:tc>
        <w:tc>
          <w:tcPr>
            <w:tcW w:w="1318" w:type="dxa"/>
          </w:tcPr>
          <w:p w14:paraId="17B195A7" w14:textId="77777777" w:rsidR="000174A8" w:rsidRDefault="000174A8" w:rsidP="000174A8">
            <w:pPr>
              <w:pStyle w:val="TableText"/>
              <w:jc w:val="right"/>
            </w:pPr>
            <w:r>
              <w:rPr>
                <w:w w:val="105"/>
              </w:rPr>
              <w:t>(196,523)</w:t>
            </w:r>
          </w:p>
        </w:tc>
        <w:tc>
          <w:tcPr>
            <w:tcW w:w="1191" w:type="dxa"/>
          </w:tcPr>
          <w:p w14:paraId="12C6E2F0" w14:textId="77777777" w:rsidR="000174A8" w:rsidRDefault="000174A8" w:rsidP="000174A8">
            <w:pPr>
              <w:pStyle w:val="TableText"/>
              <w:jc w:val="right"/>
            </w:pPr>
            <w:r>
              <w:rPr>
                <w:w w:val="105"/>
              </w:rPr>
              <w:t>(109,220)</w:t>
            </w:r>
          </w:p>
        </w:tc>
      </w:tr>
      <w:tr w:rsidR="000174A8" w14:paraId="6D3FDF1F" w14:textId="77777777" w:rsidTr="009E3BCA">
        <w:trPr>
          <w:trHeight w:val="349"/>
        </w:trPr>
        <w:tc>
          <w:tcPr>
            <w:tcW w:w="1127" w:type="dxa"/>
          </w:tcPr>
          <w:p w14:paraId="41436BD5" w14:textId="10C17BA4" w:rsidR="000174A8" w:rsidRDefault="000174A8" w:rsidP="000174A8">
            <w:pPr>
              <w:pStyle w:val="TableText"/>
              <w:jc w:val="right"/>
              <w:rPr>
                <w:w w:val="105"/>
              </w:rPr>
            </w:pPr>
            <w:r>
              <w:rPr>
                <w:w w:val="105"/>
              </w:rPr>
              <w:t>(2,288)</w:t>
            </w:r>
          </w:p>
        </w:tc>
        <w:tc>
          <w:tcPr>
            <w:tcW w:w="3402" w:type="dxa"/>
          </w:tcPr>
          <w:p w14:paraId="69F6F28D" w14:textId="7EA811D8" w:rsidR="000174A8" w:rsidRDefault="000174A8" w:rsidP="000174A8">
            <w:pPr>
              <w:pStyle w:val="TableText"/>
            </w:pPr>
            <w:r>
              <w:rPr>
                <w:w w:val="105"/>
              </w:rPr>
              <w:t>Payments</w:t>
            </w:r>
            <w:r>
              <w:rPr>
                <w:spacing w:val="-8"/>
                <w:w w:val="105"/>
              </w:rPr>
              <w:t xml:space="preserve"> </w:t>
            </w:r>
            <w:r>
              <w:rPr>
                <w:w w:val="105"/>
              </w:rPr>
              <w:t>for</w:t>
            </w:r>
            <w:r>
              <w:rPr>
                <w:spacing w:val="-7"/>
                <w:w w:val="105"/>
              </w:rPr>
              <w:t xml:space="preserve"> </w:t>
            </w:r>
            <w:r>
              <w:rPr>
                <w:w w:val="105"/>
              </w:rPr>
              <w:t>capital</w:t>
            </w:r>
            <w:r>
              <w:rPr>
                <w:spacing w:val="-7"/>
                <w:w w:val="105"/>
              </w:rPr>
              <w:t xml:space="preserve"> </w:t>
            </w:r>
            <w:r>
              <w:rPr>
                <w:w w:val="105"/>
              </w:rPr>
              <w:t>charge</w:t>
            </w:r>
          </w:p>
        </w:tc>
        <w:tc>
          <w:tcPr>
            <w:tcW w:w="1436" w:type="dxa"/>
          </w:tcPr>
          <w:p w14:paraId="41C4007C" w14:textId="77777777" w:rsidR="000174A8" w:rsidRDefault="000174A8" w:rsidP="000174A8">
            <w:pPr>
              <w:pStyle w:val="TableText"/>
              <w:jc w:val="right"/>
            </w:pPr>
            <w:r>
              <w:rPr>
                <w:w w:val="110"/>
              </w:rPr>
              <w:t>(2,932)</w:t>
            </w:r>
          </w:p>
        </w:tc>
        <w:tc>
          <w:tcPr>
            <w:tcW w:w="1318" w:type="dxa"/>
          </w:tcPr>
          <w:p w14:paraId="17537927" w14:textId="77777777" w:rsidR="000174A8" w:rsidRDefault="000174A8" w:rsidP="000174A8">
            <w:pPr>
              <w:pStyle w:val="TableText"/>
              <w:jc w:val="right"/>
            </w:pPr>
            <w:r>
              <w:t>(2,951)</w:t>
            </w:r>
          </w:p>
        </w:tc>
        <w:tc>
          <w:tcPr>
            <w:tcW w:w="1191" w:type="dxa"/>
          </w:tcPr>
          <w:p w14:paraId="785B9A6A" w14:textId="77777777" w:rsidR="000174A8" w:rsidRDefault="000174A8" w:rsidP="000174A8">
            <w:pPr>
              <w:pStyle w:val="TableText"/>
              <w:jc w:val="right"/>
            </w:pPr>
            <w:r>
              <w:rPr>
                <w:w w:val="105"/>
              </w:rPr>
              <w:t>(1,658)</w:t>
            </w:r>
          </w:p>
        </w:tc>
      </w:tr>
      <w:tr w:rsidR="000174A8" w14:paraId="0B71DC70" w14:textId="77777777" w:rsidTr="009E3BCA">
        <w:trPr>
          <w:trHeight w:val="346"/>
        </w:trPr>
        <w:tc>
          <w:tcPr>
            <w:tcW w:w="1127" w:type="dxa"/>
          </w:tcPr>
          <w:p w14:paraId="7A08D88E" w14:textId="11E1D15C" w:rsidR="000174A8" w:rsidRDefault="000174A8" w:rsidP="000174A8">
            <w:pPr>
              <w:pStyle w:val="TableText"/>
              <w:jc w:val="right"/>
              <w:rPr>
                <w:w w:val="105"/>
              </w:rPr>
            </w:pPr>
            <w:r>
              <w:rPr>
                <w:w w:val="105"/>
              </w:rPr>
              <w:t>(1,462)</w:t>
            </w:r>
          </w:p>
        </w:tc>
        <w:tc>
          <w:tcPr>
            <w:tcW w:w="3402" w:type="dxa"/>
          </w:tcPr>
          <w:p w14:paraId="465FA9F6" w14:textId="3A52B475" w:rsidR="000174A8" w:rsidRDefault="000174A8" w:rsidP="000174A8">
            <w:pPr>
              <w:pStyle w:val="TableText"/>
            </w:pPr>
            <w:r>
              <w:rPr>
                <w:w w:val="105"/>
              </w:rPr>
              <w:t>Goods</w:t>
            </w:r>
            <w:r>
              <w:rPr>
                <w:spacing w:val="-10"/>
                <w:w w:val="105"/>
              </w:rPr>
              <w:t xml:space="preserve"> </w:t>
            </w:r>
            <w:r>
              <w:rPr>
                <w:w w:val="105"/>
              </w:rPr>
              <w:t>and</w:t>
            </w:r>
            <w:r>
              <w:rPr>
                <w:spacing w:val="-10"/>
                <w:w w:val="105"/>
              </w:rPr>
              <w:t xml:space="preserve"> </w:t>
            </w:r>
            <w:r>
              <w:rPr>
                <w:w w:val="105"/>
              </w:rPr>
              <w:t>services</w:t>
            </w:r>
            <w:r>
              <w:rPr>
                <w:spacing w:val="-10"/>
                <w:w w:val="105"/>
              </w:rPr>
              <w:t xml:space="preserve"> </w:t>
            </w:r>
            <w:r>
              <w:rPr>
                <w:w w:val="105"/>
              </w:rPr>
              <w:t>tax</w:t>
            </w:r>
            <w:r>
              <w:rPr>
                <w:spacing w:val="-10"/>
                <w:w w:val="105"/>
              </w:rPr>
              <w:t xml:space="preserve"> </w:t>
            </w:r>
            <w:r>
              <w:rPr>
                <w:w w:val="105"/>
              </w:rPr>
              <w:t>(net)</w:t>
            </w:r>
          </w:p>
        </w:tc>
        <w:tc>
          <w:tcPr>
            <w:tcW w:w="1436" w:type="dxa"/>
          </w:tcPr>
          <w:p w14:paraId="5F082C64" w14:textId="77777777" w:rsidR="000174A8" w:rsidRDefault="000174A8" w:rsidP="000174A8">
            <w:pPr>
              <w:pStyle w:val="TableText"/>
              <w:jc w:val="right"/>
            </w:pPr>
            <w:r>
              <w:rPr>
                <w:w w:val="110"/>
              </w:rPr>
              <w:t>24,000</w:t>
            </w:r>
          </w:p>
        </w:tc>
        <w:tc>
          <w:tcPr>
            <w:tcW w:w="1318" w:type="dxa"/>
          </w:tcPr>
          <w:p w14:paraId="579BD2FE" w14:textId="77777777" w:rsidR="000174A8" w:rsidRDefault="000174A8" w:rsidP="000174A8">
            <w:pPr>
              <w:pStyle w:val="TableText"/>
              <w:jc w:val="right"/>
            </w:pPr>
            <w:r>
              <w:rPr>
                <w:w w:val="135"/>
              </w:rPr>
              <w:t>–</w:t>
            </w:r>
          </w:p>
        </w:tc>
        <w:tc>
          <w:tcPr>
            <w:tcW w:w="1191" w:type="dxa"/>
          </w:tcPr>
          <w:p w14:paraId="0FFA2BE0" w14:textId="77777777" w:rsidR="000174A8" w:rsidRDefault="000174A8" w:rsidP="000174A8">
            <w:pPr>
              <w:pStyle w:val="TableText"/>
              <w:jc w:val="right"/>
            </w:pPr>
            <w:r>
              <w:rPr>
                <w:w w:val="135"/>
              </w:rPr>
              <w:t>–</w:t>
            </w:r>
          </w:p>
        </w:tc>
      </w:tr>
      <w:tr w:rsidR="000174A8" w:rsidRPr="000174A8" w14:paraId="51C01E16" w14:textId="77777777" w:rsidTr="009E3BCA">
        <w:trPr>
          <w:trHeight w:val="322"/>
        </w:trPr>
        <w:tc>
          <w:tcPr>
            <w:tcW w:w="1127" w:type="dxa"/>
            <w:tcBorders>
              <w:bottom w:val="single" w:sz="4" w:space="0" w:color="A6A6A6" w:themeColor="background1" w:themeShade="A6"/>
            </w:tcBorders>
          </w:tcPr>
          <w:p w14:paraId="0A9E7C12" w14:textId="15D04FC9" w:rsidR="000174A8" w:rsidRPr="000174A8" w:rsidRDefault="000174A8" w:rsidP="000174A8">
            <w:pPr>
              <w:pStyle w:val="TableText"/>
              <w:jc w:val="right"/>
              <w:rPr>
                <w:b/>
                <w:bCs/>
                <w:w w:val="105"/>
              </w:rPr>
            </w:pPr>
            <w:r w:rsidRPr="000174A8">
              <w:rPr>
                <w:b/>
                <w:bCs/>
                <w:w w:val="105"/>
              </w:rPr>
              <w:t xml:space="preserve">14,810 </w:t>
            </w:r>
            <w:r w:rsidRPr="000174A8">
              <w:rPr>
                <w:b/>
                <w:bCs/>
                <w:spacing w:val="10"/>
                <w:w w:val="105"/>
              </w:rPr>
              <w:t xml:space="preserve"> </w:t>
            </w:r>
          </w:p>
        </w:tc>
        <w:tc>
          <w:tcPr>
            <w:tcW w:w="3402" w:type="dxa"/>
            <w:tcBorders>
              <w:bottom w:val="single" w:sz="4" w:space="0" w:color="A6A6A6" w:themeColor="background1" w:themeShade="A6"/>
            </w:tcBorders>
          </w:tcPr>
          <w:p w14:paraId="2A2260AC" w14:textId="11E4E921" w:rsidR="000174A8" w:rsidRPr="000174A8" w:rsidRDefault="000174A8" w:rsidP="000174A8">
            <w:pPr>
              <w:pStyle w:val="TableText"/>
              <w:rPr>
                <w:b/>
                <w:bCs/>
              </w:rPr>
            </w:pPr>
            <w:r w:rsidRPr="000174A8">
              <w:rPr>
                <w:b/>
                <w:bCs/>
                <w:w w:val="105"/>
              </w:rPr>
              <w:t>Net</w:t>
            </w:r>
            <w:r w:rsidRPr="000174A8">
              <w:rPr>
                <w:b/>
                <w:bCs/>
                <w:spacing w:val="-9"/>
                <w:w w:val="105"/>
              </w:rPr>
              <w:t xml:space="preserve"> </w:t>
            </w:r>
            <w:r w:rsidRPr="000174A8">
              <w:rPr>
                <w:b/>
                <w:bCs/>
                <w:w w:val="105"/>
              </w:rPr>
              <w:t>cash</w:t>
            </w:r>
            <w:r w:rsidRPr="000174A8">
              <w:rPr>
                <w:b/>
                <w:bCs/>
                <w:spacing w:val="-8"/>
                <w:w w:val="105"/>
              </w:rPr>
              <w:t xml:space="preserve"> </w:t>
            </w:r>
            <w:r w:rsidRPr="000174A8">
              <w:rPr>
                <w:b/>
                <w:bCs/>
                <w:w w:val="105"/>
              </w:rPr>
              <w:t>flow</w:t>
            </w:r>
            <w:r w:rsidRPr="000174A8">
              <w:rPr>
                <w:b/>
                <w:bCs/>
                <w:spacing w:val="-8"/>
                <w:w w:val="105"/>
              </w:rPr>
              <w:t xml:space="preserve"> </w:t>
            </w:r>
            <w:r w:rsidRPr="000174A8">
              <w:rPr>
                <w:b/>
                <w:bCs/>
                <w:w w:val="105"/>
              </w:rPr>
              <w:t>from</w:t>
            </w:r>
            <w:r w:rsidRPr="000174A8">
              <w:rPr>
                <w:b/>
                <w:bCs/>
                <w:spacing w:val="-8"/>
                <w:w w:val="105"/>
              </w:rPr>
              <w:t xml:space="preserve"> </w:t>
            </w:r>
            <w:r w:rsidRPr="000174A8">
              <w:rPr>
                <w:b/>
                <w:bCs/>
                <w:w w:val="105"/>
              </w:rPr>
              <w:t>operating</w:t>
            </w:r>
            <w:r w:rsidRPr="000174A8">
              <w:rPr>
                <w:b/>
                <w:bCs/>
                <w:spacing w:val="-8"/>
                <w:w w:val="105"/>
              </w:rPr>
              <w:t xml:space="preserve"> </w:t>
            </w:r>
            <w:r w:rsidRPr="000174A8">
              <w:rPr>
                <w:b/>
                <w:bCs/>
                <w:w w:val="105"/>
              </w:rPr>
              <w:t>activities</w:t>
            </w:r>
          </w:p>
        </w:tc>
        <w:tc>
          <w:tcPr>
            <w:tcW w:w="1436" w:type="dxa"/>
            <w:tcBorders>
              <w:bottom w:val="single" w:sz="4" w:space="0" w:color="A6A6A6" w:themeColor="background1" w:themeShade="A6"/>
            </w:tcBorders>
          </w:tcPr>
          <w:p w14:paraId="03E371DE" w14:textId="77777777" w:rsidR="000174A8" w:rsidRPr="000174A8" w:rsidRDefault="000174A8" w:rsidP="000174A8">
            <w:pPr>
              <w:pStyle w:val="TableText"/>
              <w:jc w:val="right"/>
              <w:rPr>
                <w:b/>
                <w:bCs/>
              </w:rPr>
            </w:pPr>
            <w:r w:rsidRPr="000174A8">
              <w:rPr>
                <w:b/>
                <w:bCs/>
              </w:rPr>
              <w:t>51,601</w:t>
            </w:r>
          </w:p>
        </w:tc>
        <w:tc>
          <w:tcPr>
            <w:tcW w:w="1318" w:type="dxa"/>
            <w:tcBorders>
              <w:bottom w:val="single" w:sz="4" w:space="0" w:color="A6A6A6" w:themeColor="background1" w:themeShade="A6"/>
            </w:tcBorders>
          </w:tcPr>
          <w:p w14:paraId="4793FAC9" w14:textId="77777777" w:rsidR="000174A8" w:rsidRPr="000174A8" w:rsidRDefault="000174A8" w:rsidP="000174A8">
            <w:pPr>
              <w:pStyle w:val="TableText"/>
              <w:jc w:val="right"/>
              <w:rPr>
                <w:b/>
                <w:bCs/>
              </w:rPr>
            </w:pPr>
            <w:r w:rsidRPr="000174A8">
              <w:rPr>
                <w:b/>
                <w:bCs/>
                <w:w w:val="110"/>
              </w:rPr>
              <w:t>9,389</w:t>
            </w:r>
          </w:p>
        </w:tc>
        <w:tc>
          <w:tcPr>
            <w:tcW w:w="1191" w:type="dxa"/>
            <w:tcBorders>
              <w:bottom w:val="single" w:sz="4" w:space="0" w:color="A6A6A6" w:themeColor="background1" w:themeShade="A6"/>
            </w:tcBorders>
          </w:tcPr>
          <w:p w14:paraId="1308C026" w14:textId="77777777" w:rsidR="000174A8" w:rsidRPr="000174A8" w:rsidRDefault="000174A8" w:rsidP="000174A8">
            <w:pPr>
              <w:pStyle w:val="TableText"/>
              <w:jc w:val="right"/>
              <w:rPr>
                <w:b/>
                <w:bCs/>
              </w:rPr>
            </w:pPr>
            <w:r w:rsidRPr="000174A8">
              <w:rPr>
                <w:b/>
                <w:bCs/>
              </w:rPr>
              <w:t>7,317</w:t>
            </w:r>
          </w:p>
        </w:tc>
      </w:tr>
      <w:tr w:rsidR="000174A8" w:rsidRPr="000174A8" w14:paraId="3C611771" w14:textId="77777777" w:rsidTr="009E3BCA">
        <w:trPr>
          <w:trHeight w:val="340"/>
        </w:trPr>
        <w:tc>
          <w:tcPr>
            <w:tcW w:w="1127" w:type="dxa"/>
            <w:tcBorders>
              <w:top w:val="single" w:sz="4" w:space="0" w:color="A6A6A6" w:themeColor="background1" w:themeShade="A6"/>
            </w:tcBorders>
          </w:tcPr>
          <w:p w14:paraId="4204CD33" w14:textId="77777777" w:rsidR="000174A8" w:rsidRPr="000174A8" w:rsidRDefault="000174A8" w:rsidP="000174A8">
            <w:pPr>
              <w:pStyle w:val="TableText"/>
              <w:jc w:val="right"/>
              <w:rPr>
                <w:b/>
                <w:bCs/>
                <w:w w:val="105"/>
              </w:rPr>
            </w:pPr>
          </w:p>
        </w:tc>
        <w:tc>
          <w:tcPr>
            <w:tcW w:w="3402" w:type="dxa"/>
            <w:tcBorders>
              <w:top w:val="single" w:sz="4" w:space="0" w:color="A6A6A6" w:themeColor="background1" w:themeShade="A6"/>
            </w:tcBorders>
          </w:tcPr>
          <w:p w14:paraId="4D40E30F" w14:textId="7A1BF0B4" w:rsidR="000174A8" w:rsidRPr="000174A8" w:rsidRDefault="000174A8" w:rsidP="000174A8">
            <w:pPr>
              <w:pStyle w:val="TableText"/>
              <w:rPr>
                <w:b/>
                <w:bCs/>
              </w:rPr>
            </w:pPr>
            <w:r w:rsidRPr="000174A8">
              <w:rPr>
                <w:b/>
                <w:bCs/>
                <w:w w:val="105"/>
              </w:rPr>
              <w:t>Cash</w:t>
            </w:r>
            <w:r w:rsidRPr="000174A8">
              <w:rPr>
                <w:b/>
                <w:bCs/>
                <w:spacing w:val="21"/>
                <w:w w:val="105"/>
              </w:rPr>
              <w:t xml:space="preserve"> </w:t>
            </w:r>
            <w:r w:rsidRPr="000174A8">
              <w:rPr>
                <w:b/>
                <w:bCs/>
                <w:w w:val="105"/>
              </w:rPr>
              <w:t>flows</w:t>
            </w:r>
            <w:r w:rsidRPr="000174A8">
              <w:rPr>
                <w:b/>
                <w:bCs/>
                <w:spacing w:val="22"/>
                <w:w w:val="105"/>
              </w:rPr>
              <w:t xml:space="preserve"> </w:t>
            </w:r>
            <w:r w:rsidRPr="000174A8">
              <w:rPr>
                <w:b/>
                <w:bCs/>
                <w:w w:val="105"/>
              </w:rPr>
              <w:t>from</w:t>
            </w:r>
            <w:r w:rsidRPr="000174A8">
              <w:rPr>
                <w:b/>
                <w:bCs/>
                <w:spacing w:val="21"/>
                <w:w w:val="105"/>
              </w:rPr>
              <w:t xml:space="preserve"> </w:t>
            </w:r>
            <w:r w:rsidRPr="000174A8">
              <w:rPr>
                <w:b/>
                <w:bCs/>
                <w:w w:val="105"/>
              </w:rPr>
              <w:t>investing</w:t>
            </w:r>
            <w:r w:rsidRPr="000174A8">
              <w:rPr>
                <w:b/>
                <w:bCs/>
                <w:spacing w:val="22"/>
                <w:w w:val="105"/>
              </w:rPr>
              <w:t xml:space="preserve"> </w:t>
            </w:r>
            <w:r w:rsidRPr="000174A8">
              <w:rPr>
                <w:b/>
                <w:bCs/>
                <w:w w:val="105"/>
              </w:rPr>
              <w:t>activities</w:t>
            </w:r>
          </w:p>
        </w:tc>
        <w:tc>
          <w:tcPr>
            <w:tcW w:w="1436" w:type="dxa"/>
            <w:tcBorders>
              <w:top w:val="single" w:sz="4" w:space="0" w:color="A6A6A6" w:themeColor="background1" w:themeShade="A6"/>
            </w:tcBorders>
          </w:tcPr>
          <w:p w14:paraId="4D53A5DE" w14:textId="77777777" w:rsidR="000174A8" w:rsidRPr="000174A8" w:rsidRDefault="000174A8" w:rsidP="000174A8">
            <w:pPr>
              <w:pStyle w:val="TableText"/>
              <w:jc w:val="right"/>
              <w:rPr>
                <w:b/>
                <w:bCs/>
              </w:rPr>
            </w:pPr>
          </w:p>
        </w:tc>
        <w:tc>
          <w:tcPr>
            <w:tcW w:w="1318" w:type="dxa"/>
            <w:tcBorders>
              <w:top w:val="single" w:sz="4" w:space="0" w:color="A6A6A6" w:themeColor="background1" w:themeShade="A6"/>
            </w:tcBorders>
          </w:tcPr>
          <w:p w14:paraId="1D0F1350" w14:textId="77777777" w:rsidR="000174A8" w:rsidRPr="000174A8" w:rsidRDefault="000174A8" w:rsidP="000174A8">
            <w:pPr>
              <w:pStyle w:val="TableText"/>
              <w:jc w:val="right"/>
              <w:rPr>
                <w:b/>
                <w:bCs/>
                <w:w w:val="110"/>
              </w:rPr>
            </w:pPr>
          </w:p>
        </w:tc>
        <w:tc>
          <w:tcPr>
            <w:tcW w:w="1191" w:type="dxa"/>
            <w:tcBorders>
              <w:top w:val="single" w:sz="4" w:space="0" w:color="A6A6A6" w:themeColor="background1" w:themeShade="A6"/>
            </w:tcBorders>
          </w:tcPr>
          <w:p w14:paraId="6664997C" w14:textId="77777777" w:rsidR="000174A8" w:rsidRPr="000174A8" w:rsidRDefault="000174A8" w:rsidP="000174A8">
            <w:pPr>
              <w:pStyle w:val="TableText"/>
              <w:jc w:val="right"/>
              <w:rPr>
                <w:b/>
                <w:bCs/>
              </w:rPr>
            </w:pPr>
          </w:p>
        </w:tc>
      </w:tr>
      <w:tr w:rsidR="000174A8" w14:paraId="54BE9B31" w14:textId="77777777" w:rsidTr="009E3BCA">
        <w:trPr>
          <w:trHeight w:val="340"/>
        </w:trPr>
        <w:tc>
          <w:tcPr>
            <w:tcW w:w="1127" w:type="dxa"/>
          </w:tcPr>
          <w:p w14:paraId="16266539" w14:textId="7B83608D" w:rsidR="000174A8" w:rsidRDefault="000174A8" w:rsidP="000174A8">
            <w:pPr>
              <w:pStyle w:val="TableText"/>
              <w:jc w:val="right"/>
              <w:rPr>
                <w:w w:val="105"/>
              </w:rPr>
            </w:pPr>
            <w:r>
              <w:rPr>
                <w:w w:val="105"/>
              </w:rPr>
              <w:t xml:space="preserve">– </w:t>
            </w:r>
            <w:r>
              <w:rPr>
                <w:spacing w:val="47"/>
                <w:w w:val="105"/>
              </w:rPr>
              <w:t xml:space="preserve"> </w:t>
            </w:r>
          </w:p>
        </w:tc>
        <w:tc>
          <w:tcPr>
            <w:tcW w:w="3402" w:type="dxa"/>
          </w:tcPr>
          <w:p w14:paraId="3F8844E7" w14:textId="0B98AF22" w:rsidR="000174A8" w:rsidRDefault="000174A8" w:rsidP="000174A8">
            <w:pPr>
              <w:pStyle w:val="TableText"/>
            </w:pPr>
            <w:r>
              <w:rPr>
                <w:w w:val="105"/>
              </w:rPr>
              <w:t>Receipts</w:t>
            </w:r>
            <w:r>
              <w:rPr>
                <w:spacing w:val="-7"/>
                <w:w w:val="105"/>
              </w:rPr>
              <w:t xml:space="preserve"> </w:t>
            </w:r>
            <w:r>
              <w:rPr>
                <w:w w:val="105"/>
              </w:rPr>
              <w:t>from</w:t>
            </w:r>
            <w:r>
              <w:rPr>
                <w:spacing w:val="-6"/>
                <w:w w:val="105"/>
              </w:rPr>
              <w:t xml:space="preserve"> </w:t>
            </w:r>
            <w:r>
              <w:rPr>
                <w:w w:val="105"/>
              </w:rPr>
              <w:t>sale</w:t>
            </w:r>
            <w:r>
              <w:rPr>
                <w:spacing w:val="-7"/>
                <w:w w:val="105"/>
              </w:rPr>
              <w:t xml:space="preserve"> </w:t>
            </w:r>
            <w:r>
              <w:rPr>
                <w:w w:val="105"/>
              </w:rPr>
              <w:t>of</w:t>
            </w:r>
            <w:r>
              <w:rPr>
                <w:spacing w:val="-7"/>
                <w:w w:val="105"/>
              </w:rPr>
              <w:t xml:space="preserve"> </w:t>
            </w:r>
            <w:r>
              <w:rPr>
                <w:w w:val="105"/>
              </w:rPr>
              <w:t>property,</w:t>
            </w:r>
            <w:r>
              <w:rPr>
                <w:spacing w:val="-6"/>
                <w:w w:val="105"/>
              </w:rPr>
              <w:t xml:space="preserve"> </w:t>
            </w:r>
            <w:r>
              <w:rPr>
                <w:w w:val="105"/>
              </w:rPr>
              <w:t>plant</w:t>
            </w:r>
          </w:p>
        </w:tc>
        <w:tc>
          <w:tcPr>
            <w:tcW w:w="1436" w:type="dxa"/>
          </w:tcPr>
          <w:p w14:paraId="3DE1F30E" w14:textId="77777777" w:rsidR="000174A8" w:rsidRDefault="000174A8" w:rsidP="000174A8">
            <w:pPr>
              <w:pStyle w:val="TableText"/>
              <w:jc w:val="right"/>
            </w:pPr>
            <w:r>
              <w:rPr>
                <w:w w:val="110"/>
              </w:rPr>
              <w:t>28</w:t>
            </w:r>
          </w:p>
        </w:tc>
        <w:tc>
          <w:tcPr>
            <w:tcW w:w="1318" w:type="dxa"/>
          </w:tcPr>
          <w:p w14:paraId="5C811D73" w14:textId="77777777" w:rsidR="000174A8" w:rsidRDefault="000174A8" w:rsidP="000174A8">
            <w:pPr>
              <w:pStyle w:val="TableText"/>
              <w:jc w:val="right"/>
            </w:pPr>
            <w:r>
              <w:rPr>
                <w:w w:val="110"/>
              </w:rPr>
              <w:t>4,000</w:t>
            </w:r>
          </w:p>
        </w:tc>
        <w:tc>
          <w:tcPr>
            <w:tcW w:w="1191" w:type="dxa"/>
          </w:tcPr>
          <w:p w14:paraId="0288CA1E" w14:textId="77777777" w:rsidR="000174A8" w:rsidRDefault="000174A8" w:rsidP="000174A8">
            <w:pPr>
              <w:pStyle w:val="TableText"/>
              <w:jc w:val="right"/>
            </w:pPr>
            <w:r>
              <w:rPr>
                <w:w w:val="110"/>
              </w:rPr>
              <w:t>4,000</w:t>
            </w:r>
          </w:p>
        </w:tc>
      </w:tr>
      <w:tr w:rsidR="000174A8" w14:paraId="30DFC89E" w14:textId="77777777" w:rsidTr="009E3BCA">
        <w:trPr>
          <w:trHeight w:val="340"/>
        </w:trPr>
        <w:tc>
          <w:tcPr>
            <w:tcW w:w="1127" w:type="dxa"/>
          </w:tcPr>
          <w:p w14:paraId="2F6DFE7E" w14:textId="4652B60C" w:rsidR="000174A8" w:rsidRDefault="000174A8" w:rsidP="000174A8">
            <w:pPr>
              <w:pStyle w:val="TableText"/>
              <w:jc w:val="right"/>
            </w:pPr>
            <w:r>
              <w:t>(171)</w:t>
            </w:r>
          </w:p>
        </w:tc>
        <w:tc>
          <w:tcPr>
            <w:tcW w:w="3402" w:type="dxa"/>
          </w:tcPr>
          <w:p w14:paraId="2F548CC8" w14:textId="5BAAE652" w:rsidR="000174A8" w:rsidRDefault="000174A8" w:rsidP="000174A8">
            <w:pPr>
              <w:pStyle w:val="TableText"/>
            </w:pPr>
            <w:r>
              <w:t>Purchase</w:t>
            </w:r>
            <w:r>
              <w:rPr>
                <w:spacing w:val="-2"/>
              </w:rPr>
              <w:t xml:space="preserve"> </w:t>
            </w:r>
            <w:r>
              <w:t>of</w:t>
            </w:r>
            <w:r>
              <w:rPr>
                <w:spacing w:val="-1"/>
              </w:rPr>
              <w:t xml:space="preserve"> </w:t>
            </w:r>
            <w:r>
              <w:t>property,</w:t>
            </w:r>
            <w:r>
              <w:rPr>
                <w:spacing w:val="-1"/>
              </w:rPr>
              <w:t xml:space="preserve"> </w:t>
            </w:r>
            <w:r>
              <w:t>plant</w:t>
            </w:r>
            <w:r>
              <w:rPr>
                <w:spacing w:val="-2"/>
              </w:rPr>
              <w:t xml:space="preserve"> </w:t>
            </w:r>
            <w:r>
              <w:t>and</w:t>
            </w:r>
          </w:p>
        </w:tc>
        <w:tc>
          <w:tcPr>
            <w:tcW w:w="1436" w:type="dxa"/>
          </w:tcPr>
          <w:p w14:paraId="59A9A74D" w14:textId="77777777" w:rsidR="000174A8" w:rsidRDefault="000174A8" w:rsidP="000174A8">
            <w:pPr>
              <w:pStyle w:val="TableText"/>
              <w:jc w:val="right"/>
            </w:pPr>
            <w:r>
              <w:t>(1,128)</w:t>
            </w:r>
          </w:p>
        </w:tc>
        <w:tc>
          <w:tcPr>
            <w:tcW w:w="1318" w:type="dxa"/>
          </w:tcPr>
          <w:p w14:paraId="5C841C39" w14:textId="77777777" w:rsidR="000174A8" w:rsidRDefault="000174A8" w:rsidP="000174A8">
            <w:pPr>
              <w:pStyle w:val="TableText"/>
              <w:jc w:val="right"/>
            </w:pPr>
            <w:r>
              <w:t>(6,213)</w:t>
            </w:r>
          </w:p>
        </w:tc>
        <w:tc>
          <w:tcPr>
            <w:tcW w:w="1191" w:type="dxa"/>
          </w:tcPr>
          <w:p w14:paraId="533B9C16" w14:textId="77777777" w:rsidR="000174A8" w:rsidRDefault="000174A8" w:rsidP="000174A8">
            <w:pPr>
              <w:pStyle w:val="TableText"/>
              <w:jc w:val="right"/>
            </w:pPr>
            <w:r>
              <w:rPr>
                <w:w w:val="110"/>
              </w:rPr>
              <w:t>(5,340)</w:t>
            </w:r>
          </w:p>
        </w:tc>
      </w:tr>
      <w:tr w:rsidR="000174A8" w14:paraId="654D7DB4" w14:textId="77777777" w:rsidTr="009E3BCA">
        <w:trPr>
          <w:trHeight w:val="340"/>
        </w:trPr>
        <w:tc>
          <w:tcPr>
            <w:tcW w:w="1127" w:type="dxa"/>
          </w:tcPr>
          <w:p w14:paraId="1AE8E868" w14:textId="7300BCE8" w:rsidR="000174A8" w:rsidRDefault="000174A8" w:rsidP="000174A8">
            <w:pPr>
              <w:pStyle w:val="TableText"/>
              <w:jc w:val="right"/>
              <w:rPr>
                <w:w w:val="105"/>
              </w:rPr>
            </w:pPr>
            <w:r>
              <w:rPr>
                <w:w w:val="105"/>
              </w:rPr>
              <w:t xml:space="preserve">(3,344) </w:t>
            </w:r>
            <w:r>
              <w:rPr>
                <w:spacing w:val="23"/>
                <w:w w:val="105"/>
              </w:rPr>
              <w:t xml:space="preserve"> </w:t>
            </w:r>
          </w:p>
        </w:tc>
        <w:tc>
          <w:tcPr>
            <w:tcW w:w="3402" w:type="dxa"/>
          </w:tcPr>
          <w:p w14:paraId="142019F6" w14:textId="06D9F7B6" w:rsidR="000174A8" w:rsidRDefault="000174A8" w:rsidP="000174A8">
            <w:pPr>
              <w:pStyle w:val="TableText"/>
            </w:pPr>
            <w:r>
              <w:rPr>
                <w:w w:val="105"/>
              </w:rPr>
              <w:t>Purchase</w:t>
            </w:r>
            <w:r>
              <w:rPr>
                <w:spacing w:val="1"/>
                <w:w w:val="105"/>
              </w:rPr>
              <w:t xml:space="preserve"> </w:t>
            </w:r>
            <w:r>
              <w:rPr>
                <w:w w:val="105"/>
              </w:rPr>
              <w:t>of</w:t>
            </w:r>
            <w:r>
              <w:rPr>
                <w:spacing w:val="1"/>
                <w:w w:val="105"/>
              </w:rPr>
              <w:t xml:space="preserve"> </w:t>
            </w:r>
            <w:r>
              <w:rPr>
                <w:w w:val="105"/>
              </w:rPr>
              <w:t>intangible</w:t>
            </w:r>
            <w:r>
              <w:rPr>
                <w:spacing w:val="1"/>
                <w:w w:val="105"/>
              </w:rPr>
              <w:t xml:space="preserve"> </w:t>
            </w:r>
            <w:r>
              <w:rPr>
                <w:w w:val="105"/>
              </w:rPr>
              <w:t>assets</w:t>
            </w:r>
          </w:p>
        </w:tc>
        <w:tc>
          <w:tcPr>
            <w:tcW w:w="1436" w:type="dxa"/>
          </w:tcPr>
          <w:p w14:paraId="2E90AD90" w14:textId="77777777" w:rsidR="000174A8" w:rsidRDefault="000174A8" w:rsidP="000174A8">
            <w:pPr>
              <w:pStyle w:val="TableText"/>
              <w:jc w:val="right"/>
            </w:pPr>
            <w:r>
              <w:rPr>
                <w:w w:val="110"/>
              </w:rPr>
              <w:t>(2,766)</w:t>
            </w:r>
          </w:p>
        </w:tc>
        <w:tc>
          <w:tcPr>
            <w:tcW w:w="1318" w:type="dxa"/>
          </w:tcPr>
          <w:p w14:paraId="7F5F33D1" w14:textId="77777777" w:rsidR="000174A8" w:rsidRDefault="000174A8" w:rsidP="000174A8">
            <w:pPr>
              <w:pStyle w:val="TableText"/>
              <w:jc w:val="right"/>
            </w:pPr>
            <w:r>
              <w:t>(17,189)</w:t>
            </w:r>
          </w:p>
        </w:tc>
        <w:tc>
          <w:tcPr>
            <w:tcW w:w="1191" w:type="dxa"/>
          </w:tcPr>
          <w:p w14:paraId="0253D636" w14:textId="77777777" w:rsidR="000174A8" w:rsidRDefault="000174A8" w:rsidP="000174A8">
            <w:pPr>
              <w:pStyle w:val="TableText"/>
              <w:jc w:val="right"/>
            </w:pPr>
            <w:r>
              <w:rPr>
                <w:w w:val="110"/>
              </w:rPr>
              <w:t>(72)</w:t>
            </w:r>
          </w:p>
        </w:tc>
      </w:tr>
      <w:tr w:rsidR="000174A8" w:rsidRPr="000174A8" w14:paraId="54EDF4B1" w14:textId="77777777" w:rsidTr="009E3BCA">
        <w:trPr>
          <w:trHeight w:val="340"/>
        </w:trPr>
        <w:tc>
          <w:tcPr>
            <w:tcW w:w="1127" w:type="dxa"/>
            <w:tcBorders>
              <w:bottom w:val="single" w:sz="4" w:space="0" w:color="A6A6A6" w:themeColor="background1" w:themeShade="A6"/>
            </w:tcBorders>
          </w:tcPr>
          <w:p w14:paraId="53E91C2E" w14:textId="39979283" w:rsidR="000174A8" w:rsidRPr="000174A8" w:rsidRDefault="000174A8" w:rsidP="000174A8">
            <w:pPr>
              <w:pStyle w:val="TableText"/>
              <w:jc w:val="right"/>
              <w:rPr>
                <w:b/>
                <w:bCs/>
                <w:w w:val="105"/>
              </w:rPr>
            </w:pPr>
            <w:r w:rsidRPr="000174A8">
              <w:rPr>
                <w:b/>
                <w:bCs/>
                <w:w w:val="105"/>
              </w:rPr>
              <w:t xml:space="preserve">(3,515)  </w:t>
            </w:r>
            <w:r w:rsidRPr="000174A8">
              <w:rPr>
                <w:b/>
                <w:bCs/>
                <w:spacing w:val="41"/>
                <w:w w:val="105"/>
              </w:rPr>
              <w:t xml:space="preserve"> </w:t>
            </w:r>
          </w:p>
        </w:tc>
        <w:tc>
          <w:tcPr>
            <w:tcW w:w="3402" w:type="dxa"/>
            <w:tcBorders>
              <w:bottom w:val="single" w:sz="4" w:space="0" w:color="A6A6A6" w:themeColor="background1" w:themeShade="A6"/>
            </w:tcBorders>
          </w:tcPr>
          <w:p w14:paraId="68DC430C" w14:textId="09A92906" w:rsidR="000174A8" w:rsidRPr="000174A8" w:rsidRDefault="000174A8" w:rsidP="000174A8">
            <w:pPr>
              <w:pStyle w:val="TableText"/>
              <w:rPr>
                <w:b/>
                <w:bCs/>
              </w:rPr>
            </w:pPr>
            <w:r w:rsidRPr="000174A8">
              <w:rPr>
                <w:b/>
                <w:bCs/>
                <w:w w:val="105"/>
              </w:rPr>
              <w:t>Net</w:t>
            </w:r>
            <w:r w:rsidRPr="000174A8">
              <w:rPr>
                <w:b/>
                <w:bCs/>
                <w:spacing w:val="1"/>
                <w:w w:val="105"/>
              </w:rPr>
              <w:t xml:space="preserve"> </w:t>
            </w:r>
            <w:r w:rsidRPr="000174A8">
              <w:rPr>
                <w:b/>
                <w:bCs/>
                <w:w w:val="105"/>
              </w:rPr>
              <w:t>cash flow from</w:t>
            </w:r>
            <w:r w:rsidRPr="000174A8">
              <w:rPr>
                <w:b/>
                <w:bCs/>
                <w:spacing w:val="1"/>
                <w:w w:val="105"/>
              </w:rPr>
              <w:t xml:space="preserve"> </w:t>
            </w:r>
            <w:r w:rsidRPr="000174A8">
              <w:rPr>
                <w:b/>
                <w:bCs/>
                <w:w w:val="105"/>
              </w:rPr>
              <w:t>investing activities</w:t>
            </w:r>
          </w:p>
        </w:tc>
        <w:tc>
          <w:tcPr>
            <w:tcW w:w="1436" w:type="dxa"/>
            <w:tcBorders>
              <w:bottom w:val="single" w:sz="4" w:space="0" w:color="A6A6A6" w:themeColor="background1" w:themeShade="A6"/>
            </w:tcBorders>
          </w:tcPr>
          <w:p w14:paraId="65052056" w14:textId="77777777" w:rsidR="000174A8" w:rsidRPr="000174A8" w:rsidRDefault="000174A8" w:rsidP="000174A8">
            <w:pPr>
              <w:pStyle w:val="TableText"/>
              <w:jc w:val="right"/>
              <w:rPr>
                <w:b/>
                <w:bCs/>
              </w:rPr>
            </w:pPr>
            <w:r w:rsidRPr="000174A8">
              <w:rPr>
                <w:b/>
                <w:bCs/>
                <w:w w:val="115"/>
              </w:rPr>
              <w:t>(3,866)</w:t>
            </w:r>
          </w:p>
        </w:tc>
        <w:tc>
          <w:tcPr>
            <w:tcW w:w="1318" w:type="dxa"/>
            <w:tcBorders>
              <w:bottom w:val="single" w:sz="4" w:space="0" w:color="A6A6A6" w:themeColor="background1" w:themeShade="A6"/>
            </w:tcBorders>
          </w:tcPr>
          <w:p w14:paraId="10B6828C" w14:textId="77777777" w:rsidR="000174A8" w:rsidRPr="000174A8" w:rsidRDefault="000174A8" w:rsidP="000174A8">
            <w:pPr>
              <w:pStyle w:val="TableText"/>
              <w:jc w:val="right"/>
              <w:rPr>
                <w:b/>
                <w:bCs/>
              </w:rPr>
            </w:pPr>
            <w:r w:rsidRPr="000174A8">
              <w:rPr>
                <w:b/>
                <w:bCs/>
                <w:w w:val="105"/>
              </w:rPr>
              <w:t>(19,402)</w:t>
            </w:r>
          </w:p>
        </w:tc>
        <w:tc>
          <w:tcPr>
            <w:tcW w:w="1191" w:type="dxa"/>
            <w:tcBorders>
              <w:bottom w:val="single" w:sz="4" w:space="0" w:color="A6A6A6" w:themeColor="background1" w:themeShade="A6"/>
            </w:tcBorders>
          </w:tcPr>
          <w:p w14:paraId="44BAFFA3" w14:textId="77777777" w:rsidR="000174A8" w:rsidRPr="000174A8" w:rsidRDefault="000174A8" w:rsidP="000174A8">
            <w:pPr>
              <w:pStyle w:val="TableText"/>
              <w:jc w:val="right"/>
              <w:rPr>
                <w:b/>
                <w:bCs/>
              </w:rPr>
            </w:pPr>
            <w:r w:rsidRPr="000174A8">
              <w:rPr>
                <w:b/>
                <w:bCs/>
              </w:rPr>
              <w:t>(1,412)</w:t>
            </w:r>
          </w:p>
        </w:tc>
      </w:tr>
      <w:tr w:rsidR="000174A8" w:rsidRPr="000174A8" w14:paraId="3E53D6E9" w14:textId="77777777" w:rsidTr="009E3BCA">
        <w:trPr>
          <w:trHeight w:val="340"/>
        </w:trPr>
        <w:tc>
          <w:tcPr>
            <w:tcW w:w="1127" w:type="dxa"/>
            <w:tcBorders>
              <w:top w:val="single" w:sz="4" w:space="0" w:color="A6A6A6" w:themeColor="background1" w:themeShade="A6"/>
            </w:tcBorders>
          </w:tcPr>
          <w:p w14:paraId="7849CF94" w14:textId="77777777" w:rsidR="000174A8" w:rsidRPr="000174A8" w:rsidRDefault="000174A8" w:rsidP="000174A8">
            <w:pPr>
              <w:pStyle w:val="TableText"/>
              <w:jc w:val="right"/>
              <w:rPr>
                <w:b/>
                <w:bCs/>
                <w:w w:val="105"/>
              </w:rPr>
            </w:pPr>
          </w:p>
        </w:tc>
        <w:tc>
          <w:tcPr>
            <w:tcW w:w="3402" w:type="dxa"/>
            <w:tcBorders>
              <w:top w:val="single" w:sz="4" w:space="0" w:color="A6A6A6" w:themeColor="background1" w:themeShade="A6"/>
            </w:tcBorders>
          </w:tcPr>
          <w:p w14:paraId="42AD69CF" w14:textId="2CD8B4B7" w:rsidR="000174A8" w:rsidRPr="000174A8" w:rsidRDefault="000174A8" w:rsidP="000174A8">
            <w:pPr>
              <w:pStyle w:val="TableText"/>
              <w:rPr>
                <w:b/>
                <w:bCs/>
              </w:rPr>
            </w:pPr>
            <w:r w:rsidRPr="000174A8">
              <w:rPr>
                <w:b/>
                <w:bCs/>
                <w:w w:val="105"/>
              </w:rPr>
              <w:t>Cash</w:t>
            </w:r>
            <w:r w:rsidRPr="000174A8">
              <w:rPr>
                <w:b/>
                <w:bCs/>
                <w:spacing w:val="9"/>
                <w:w w:val="105"/>
              </w:rPr>
              <w:t xml:space="preserve"> </w:t>
            </w:r>
            <w:r w:rsidRPr="000174A8">
              <w:rPr>
                <w:b/>
                <w:bCs/>
                <w:w w:val="105"/>
              </w:rPr>
              <w:t>flows</w:t>
            </w:r>
            <w:r w:rsidRPr="000174A8">
              <w:rPr>
                <w:b/>
                <w:bCs/>
                <w:spacing w:val="9"/>
                <w:w w:val="105"/>
              </w:rPr>
              <w:t xml:space="preserve"> </w:t>
            </w:r>
            <w:r w:rsidRPr="000174A8">
              <w:rPr>
                <w:b/>
                <w:bCs/>
                <w:w w:val="105"/>
              </w:rPr>
              <w:t>from</w:t>
            </w:r>
            <w:r w:rsidRPr="000174A8">
              <w:rPr>
                <w:b/>
                <w:bCs/>
                <w:spacing w:val="10"/>
                <w:w w:val="105"/>
              </w:rPr>
              <w:t xml:space="preserve"> </w:t>
            </w:r>
            <w:r w:rsidRPr="000174A8">
              <w:rPr>
                <w:b/>
                <w:bCs/>
                <w:w w:val="105"/>
              </w:rPr>
              <w:t>financing</w:t>
            </w:r>
            <w:r w:rsidRPr="000174A8">
              <w:rPr>
                <w:b/>
                <w:bCs/>
                <w:spacing w:val="9"/>
                <w:w w:val="105"/>
              </w:rPr>
              <w:t xml:space="preserve"> </w:t>
            </w:r>
            <w:r w:rsidRPr="000174A8">
              <w:rPr>
                <w:b/>
                <w:bCs/>
                <w:w w:val="105"/>
              </w:rPr>
              <w:t>activities</w:t>
            </w:r>
          </w:p>
        </w:tc>
        <w:tc>
          <w:tcPr>
            <w:tcW w:w="1436" w:type="dxa"/>
            <w:tcBorders>
              <w:top w:val="single" w:sz="4" w:space="0" w:color="A6A6A6" w:themeColor="background1" w:themeShade="A6"/>
            </w:tcBorders>
          </w:tcPr>
          <w:p w14:paraId="11C10C95" w14:textId="77777777" w:rsidR="000174A8" w:rsidRPr="000174A8" w:rsidRDefault="000174A8" w:rsidP="000174A8">
            <w:pPr>
              <w:pStyle w:val="TableText"/>
              <w:jc w:val="right"/>
              <w:rPr>
                <w:b/>
                <w:bCs/>
                <w:w w:val="115"/>
              </w:rPr>
            </w:pPr>
          </w:p>
        </w:tc>
        <w:tc>
          <w:tcPr>
            <w:tcW w:w="1318" w:type="dxa"/>
            <w:tcBorders>
              <w:top w:val="single" w:sz="4" w:space="0" w:color="A6A6A6" w:themeColor="background1" w:themeShade="A6"/>
            </w:tcBorders>
          </w:tcPr>
          <w:p w14:paraId="360C7690" w14:textId="77777777" w:rsidR="000174A8" w:rsidRPr="000174A8" w:rsidRDefault="000174A8" w:rsidP="000174A8">
            <w:pPr>
              <w:pStyle w:val="TableText"/>
              <w:jc w:val="right"/>
              <w:rPr>
                <w:b/>
                <w:bCs/>
                <w:w w:val="105"/>
              </w:rPr>
            </w:pPr>
          </w:p>
        </w:tc>
        <w:tc>
          <w:tcPr>
            <w:tcW w:w="1191" w:type="dxa"/>
            <w:tcBorders>
              <w:top w:val="single" w:sz="4" w:space="0" w:color="A6A6A6" w:themeColor="background1" w:themeShade="A6"/>
            </w:tcBorders>
          </w:tcPr>
          <w:p w14:paraId="172D4244" w14:textId="77777777" w:rsidR="000174A8" w:rsidRPr="000174A8" w:rsidRDefault="000174A8" w:rsidP="000174A8">
            <w:pPr>
              <w:pStyle w:val="TableText"/>
              <w:jc w:val="right"/>
              <w:rPr>
                <w:b/>
                <w:bCs/>
              </w:rPr>
            </w:pPr>
          </w:p>
        </w:tc>
      </w:tr>
      <w:tr w:rsidR="000174A8" w14:paraId="07B9D152" w14:textId="77777777" w:rsidTr="009E3BCA">
        <w:trPr>
          <w:trHeight w:val="340"/>
        </w:trPr>
        <w:tc>
          <w:tcPr>
            <w:tcW w:w="1127" w:type="dxa"/>
          </w:tcPr>
          <w:p w14:paraId="42C14C07" w14:textId="3DBAB454" w:rsidR="000174A8" w:rsidRDefault="000174A8" w:rsidP="000174A8">
            <w:pPr>
              <w:pStyle w:val="TableText"/>
              <w:jc w:val="right"/>
              <w:rPr>
                <w:w w:val="105"/>
              </w:rPr>
            </w:pPr>
            <w:r>
              <w:t>12,509</w:t>
            </w:r>
          </w:p>
        </w:tc>
        <w:tc>
          <w:tcPr>
            <w:tcW w:w="3402" w:type="dxa"/>
          </w:tcPr>
          <w:p w14:paraId="3BEE6457" w14:textId="3B8D7B29" w:rsidR="000174A8" w:rsidRDefault="000174A8" w:rsidP="000174A8">
            <w:pPr>
              <w:pStyle w:val="TableText"/>
            </w:pPr>
            <w:r>
              <w:t>Capital</w:t>
            </w:r>
            <w:r>
              <w:rPr>
                <w:spacing w:val="1"/>
              </w:rPr>
              <w:t xml:space="preserve"> </w:t>
            </w:r>
            <w:r>
              <w:t>injection</w:t>
            </w:r>
          </w:p>
        </w:tc>
        <w:tc>
          <w:tcPr>
            <w:tcW w:w="1436" w:type="dxa"/>
          </w:tcPr>
          <w:p w14:paraId="75B37C86" w14:textId="77777777" w:rsidR="000174A8" w:rsidRDefault="000174A8" w:rsidP="000174A8">
            <w:pPr>
              <w:pStyle w:val="TableText"/>
              <w:jc w:val="right"/>
            </w:pPr>
            <w:r>
              <w:rPr>
                <w:w w:val="105"/>
              </w:rPr>
              <w:t>4,349</w:t>
            </w:r>
          </w:p>
        </w:tc>
        <w:tc>
          <w:tcPr>
            <w:tcW w:w="1318" w:type="dxa"/>
          </w:tcPr>
          <w:p w14:paraId="4C02D98C" w14:textId="77777777" w:rsidR="000174A8" w:rsidRDefault="000174A8" w:rsidP="000174A8">
            <w:pPr>
              <w:pStyle w:val="TableText"/>
              <w:jc w:val="right"/>
            </w:pPr>
            <w:r>
              <w:t>10,013</w:t>
            </w:r>
          </w:p>
        </w:tc>
        <w:tc>
          <w:tcPr>
            <w:tcW w:w="1191" w:type="dxa"/>
          </w:tcPr>
          <w:p w14:paraId="298C5586" w14:textId="77777777" w:rsidR="000174A8" w:rsidRDefault="000174A8" w:rsidP="000174A8">
            <w:pPr>
              <w:pStyle w:val="TableText"/>
              <w:jc w:val="right"/>
            </w:pPr>
            <w:r>
              <w:rPr>
                <w:w w:val="110"/>
              </w:rPr>
              <w:t>943</w:t>
            </w:r>
          </w:p>
        </w:tc>
      </w:tr>
      <w:tr w:rsidR="000174A8" w14:paraId="02096EC8" w14:textId="77777777" w:rsidTr="009E3BCA">
        <w:trPr>
          <w:trHeight w:val="349"/>
        </w:trPr>
        <w:tc>
          <w:tcPr>
            <w:tcW w:w="1127" w:type="dxa"/>
          </w:tcPr>
          <w:p w14:paraId="526BF86D" w14:textId="0E9709B4" w:rsidR="000174A8" w:rsidRDefault="000174A8" w:rsidP="000174A8">
            <w:pPr>
              <w:pStyle w:val="TableText"/>
              <w:jc w:val="right"/>
              <w:rPr>
                <w:w w:val="105"/>
              </w:rPr>
            </w:pPr>
            <w:r>
              <w:rPr>
                <w:w w:val="105"/>
              </w:rPr>
              <w:t>–</w:t>
            </w:r>
          </w:p>
        </w:tc>
        <w:tc>
          <w:tcPr>
            <w:tcW w:w="3402" w:type="dxa"/>
          </w:tcPr>
          <w:p w14:paraId="7E9FEFE2" w14:textId="65FF4F6E" w:rsidR="000174A8" w:rsidRDefault="000174A8" w:rsidP="000174A8">
            <w:pPr>
              <w:pStyle w:val="TableText"/>
            </w:pPr>
            <w:r>
              <w:rPr>
                <w:w w:val="105"/>
              </w:rPr>
              <w:t>Capital</w:t>
            </w:r>
            <w:r>
              <w:rPr>
                <w:spacing w:val="-7"/>
                <w:w w:val="105"/>
              </w:rPr>
              <w:t xml:space="preserve"> </w:t>
            </w:r>
            <w:r>
              <w:rPr>
                <w:w w:val="105"/>
              </w:rPr>
              <w:t>withdrawal</w:t>
            </w:r>
          </w:p>
        </w:tc>
        <w:tc>
          <w:tcPr>
            <w:tcW w:w="1436" w:type="dxa"/>
          </w:tcPr>
          <w:p w14:paraId="58C29AAD" w14:textId="77777777" w:rsidR="000174A8" w:rsidRDefault="000174A8" w:rsidP="000174A8">
            <w:pPr>
              <w:pStyle w:val="TableText"/>
              <w:jc w:val="right"/>
            </w:pPr>
            <w:r>
              <w:rPr>
                <w:w w:val="110"/>
              </w:rPr>
              <w:t>(6,726)</w:t>
            </w:r>
          </w:p>
        </w:tc>
        <w:tc>
          <w:tcPr>
            <w:tcW w:w="1318" w:type="dxa"/>
          </w:tcPr>
          <w:p w14:paraId="3CB4B624" w14:textId="77777777" w:rsidR="000174A8" w:rsidRDefault="000174A8" w:rsidP="000174A8">
            <w:pPr>
              <w:pStyle w:val="TableText"/>
              <w:jc w:val="right"/>
            </w:pPr>
            <w:r>
              <w:rPr>
                <w:w w:val="135"/>
              </w:rPr>
              <w:t>–</w:t>
            </w:r>
          </w:p>
        </w:tc>
        <w:tc>
          <w:tcPr>
            <w:tcW w:w="1191" w:type="dxa"/>
          </w:tcPr>
          <w:p w14:paraId="7BBC4E01" w14:textId="77777777" w:rsidR="000174A8" w:rsidRDefault="000174A8" w:rsidP="000174A8">
            <w:pPr>
              <w:pStyle w:val="TableText"/>
              <w:jc w:val="right"/>
            </w:pPr>
            <w:r>
              <w:rPr>
                <w:w w:val="115"/>
              </w:rPr>
              <w:t>(943)</w:t>
            </w:r>
          </w:p>
        </w:tc>
      </w:tr>
      <w:tr w:rsidR="000174A8" w14:paraId="6EBE8042" w14:textId="77777777" w:rsidTr="009E3BCA">
        <w:trPr>
          <w:trHeight w:val="346"/>
        </w:trPr>
        <w:tc>
          <w:tcPr>
            <w:tcW w:w="1127" w:type="dxa"/>
          </w:tcPr>
          <w:p w14:paraId="42273BFA" w14:textId="5483224A" w:rsidR="000174A8" w:rsidRDefault="000174A8" w:rsidP="000174A8">
            <w:pPr>
              <w:pStyle w:val="TableText"/>
              <w:jc w:val="right"/>
              <w:rPr>
                <w:w w:val="105"/>
              </w:rPr>
            </w:pPr>
            <w:r>
              <w:rPr>
                <w:w w:val="105"/>
              </w:rPr>
              <w:t>(27,345)</w:t>
            </w:r>
          </w:p>
        </w:tc>
        <w:tc>
          <w:tcPr>
            <w:tcW w:w="3402" w:type="dxa"/>
          </w:tcPr>
          <w:p w14:paraId="3EEBB038" w14:textId="228B520A" w:rsidR="000174A8" w:rsidRDefault="000174A8" w:rsidP="000174A8">
            <w:pPr>
              <w:pStyle w:val="TableText"/>
            </w:pPr>
            <w:r>
              <w:rPr>
                <w:w w:val="105"/>
              </w:rPr>
              <w:t>Return</w:t>
            </w:r>
            <w:r>
              <w:rPr>
                <w:spacing w:val="-1"/>
                <w:w w:val="105"/>
              </w:rPr>
              <w:t xml:space="preserve"> </w:t>
            </w:r>
            <w:r>
              <w:rPr>
                <w:w w:val="105"/>
              </w:rPr>
              <w:t>of operating surplus</w:t>
            </w:r>
          </w:p>
        </w:tc>
        <w:tc>
          <w:tcPr>
            <w:tcW w:w="1436" w:type="dxa"/>
          </w:tcPr>
          <w:p w14:paraId="72D42BB6" w14:textId="77777777" w:rsidR="000174A8" w:rsidRDefault="000174A8" w:rsidP="000174A8">
            <w:pPr>
              <w:pStyle w:val="TableText"/>
              <w:jc w:val="right"/>
            </w:pPr>
            <w:r>
              <w:rPr>
                <w:w w:val="110"/>
              </w:rPr>
              <w:t>(34,264)</w:t>
            </w:r>
          </w:p>
        </w:tc>
        <w:tc>
          <w:tcPr>
            <w:tcW w:w="1318" w:type="dxa"/>
          </w:tcPr>
          <w:p w14:paraId="509DCE04" w14:textId="77777777" w:rsidR="000174A8" w:rsidRDefault="000174A8" w:rsidP="000174A8">
            <w:pPr>
              <w:pStyle w:val="TableText"/>
              <w:jc w:val="right"/>
            </w:pPr>
            <w:r>
              <w:rPr>
                <w:w w:val="135"/>
              </w:rPr>
              <w:t>–</w:t>
            </w:r>
          </w:p>
        </w:tc>
        <w:tc>
          <w:tcPr>
            <w:tcW w:w="1191" w:type="dxa"/>
          </w:tcPr>
          <w:p w14:paraId="50F554AE" w14:textId="77777777" w:rsidR="000174A8" w:rsidRDefault="000174A8" w:rsidP="000174A8">
            <w:pPr>
              <w:pStyle w:val="TableText"/>
              <w:jc w:val="right"/>
            </w:pPr>
            <w:r>
              <w:rPr>
                <w:w w:val="110"/>
              </w:rPr>
              <w:t>(5,905)</w:t>
            </w:r>
          </w:p>
        </w:tc>
      </w:tr>
      <w:tr w:rsidR="000174A8" w:rsidRPr="000174A8" w14:paraId="4EE98840" w14:textId="77777777" w:rsidTr="009E3BCA">
        <w:trPr>
          <w:trHeight w:val="322"/>
        </w:trPr>
        <w:tc>
          <w:tcPr>
            <w:tcW w:w="1127" w:type="dxa"/>
            <w:tcBorders>
              <w:bottom w:val="single" w:sz="4" w:space="0" w:color="A6A6A6" w:themeColor="background1" w:themeShade="A6"/>
            </w:tcBorders>
          </w:tcPr>
          <w:p w14:paraId="5E7061AC" w14:textId="3C0012F1" w:rsidR="000174A8" w:rsidRPr="000174A8" w:rsidRDefault="000174A8" w:rsidP="000174A8">
            <w:pPr>
              <w:pStyle w:val="TableText"/>
              <w:jc w:val="right"/>
              <w:rPr>
                <w:b/>
                <w:bCs/>
                <w:w w:val="105"/>
              </w:rPr>
            </w:pPr>
            <w:r w:rsidRPr="000174A8">
              <w:rPr>
                <w:b/>
                <w:bCs/>
                <w:w w:val="105"/>
              </w:rPr>
              <w:t>(14,836)</w:t>
            </w:r>
          </w:p>
        </w:tc>
        <w:tc>
          <w:tcPr>
            <w:tcW w:w="3402" w:type="dxa"/>
            <w:tcBorders>
              <w:bottom w:val="single" w:sz="4" w:space="0" w:color="A6A6A6" w:themeColor="background1" w:themeShade="A6"/>
            </w:tcBorders>
          </w:tcPr>
          <w:p w14:paraId="1D4B5725" w14:textId="6847444C" w:rsidR="000174A8" w:rsidRPr="000174A8" w:rsidRDefault="000174A8" w:rsidP="000174A8">
            <w:pPr>
              <w:pStyle w:val="TableText"/>
              <w:rPr>
                <w:b/>
                <w:bCs/>
              </w:rPr>
            </w:pPr>
            <w:r w:rsidRPr="000174A8">
              <w:rPr>
                <w:b/>
                <w:bCs/>
                <w:w w:val="105"/>
              </w:rPr>
              <w:t>Net cash</w:t>
            </w:r>
            <w:r w:rsidRPr="000174A8">
              <w:rPr>
                <w:b/>
                <w:bCs/>
                <w:spacing w:val="-1"/>
                <w:w w:val="105"/>
              </w:rPr>
              <w:t xml:space="preserve"> </w:t>
            </w:r>
            <w:r w:rsidRPr="000174A8">
              <w:rPr>
                <w:b/>
                <w:bCs/>
                <w:w w:val="105"/>
              </w:rPr>
              <w:t>flow from</w:t>
            </w:r>
            <w:r w:rsidRPr="000174A8">
              <w:rPr>
                <w:b/>
                <w:bCs/>
                <w:spacing w:val="-1"/>
                <w:w w:val="105"/>
              </w:rPr>
              <w:t xml:space="preserve"> </w:t>
            </w:r>
            <w:r w:rsidRPr="000174A8">
              <w:rPr>
                <w:b/>
                <w:bCs/>
                <w:w w:val="105"/>
              </w:rPr>
              <w:t>financing activities</w:t>
            </w:r>
          </w:p>
        </w:tc>
        <w:tc>
          <w:tcPr>
            <w:tcW w:w="1436" w:type="dxa"/>
            <w:tcBorders>
              <w:bottom w:val="single" w:sz="4" w:space="0" w:color="A6A6A6" w:themeColor="background1" w:themeShade="A6"/>
            </w:tcBorders>
          </w:tcPr>
          <w:p w14:paraId="6E5AE0F5" w14:textId="77777777" w:rsidR="000174A8" w:rsidRPr="000174A8" w:rsidRDefault="000174A8" w:rsidP="000174A8">
            <w:pPr>
              <w:pStyle w:val="TableText"/>
              <w:jc w:val="right"/>
              <w:rPr>
                <w:b/>
                <w:bCs/>
              </w:rPr>
            </w:pPr>
            <w:r w:rsidRPr="000174A8">
              <w:rPr>
                <w:b/>
                <w:bCs/>
                <w:w w:val="105"/>
              </w:rPr>
              <w:t>(36,641)</w:t>
            </w:r>
          </w:p>
        </w:tc>
        <w:tc>
          <w:tcPr>
            <w:tcW w:w="1318" w:type="dxa"/>
            <w:tcBorders>
              <w:bottom w:val="single" w:sz="4" w:space="0" w:color="A6A6A6" w:themeColor="background1" w:themeShade="A6"/>
            </w:tcBorders>
          </w:tcPr>
          <w:p w14:paraId="2F7511E3" w14:textId="77777777" w:rsidR="000174A8" w:rsidRPr="000174A8" w:rsidRDefault="000174A8" w:rsidP="000174A8">
            <w:pPr>
              <w:pStyle w:val="TableText"/>
              <w:jc w:val="right"/>
              <w:rPr>
                <w:b/>
                <w:bCs/>
              </w:rPr>
            </w:pPr>
            <w:r w:rsidRPr="000174A8">
              <w:rPr>
                <w:b/>
                <w:bCs/>
              </w:rPr>
              <w:t>10,013</w:t>
            </w:r>
          </w:p>
        </w:tc>
        <w:tc>
          <w:tcPr>
            <w:tcW w:w="1191" w:type="dxa"/>
            <w:tcBorders>
              <w:bottom w:val="single" w:sz="4" w:space="0" w:color="A6A6A6" w:themeColor="background1" w:themeShade="A6"/>
            </w:tcBorders>
          </w:tcPr>
          <w:p w14:paraId="393C071C" w14:textId="77777777" w:rsidR="000174A8" w:rsidRPr="000174A8" w:rsidRDefault="000174A8" w:rsidP="000174A8">
            <w:pPr>
              <w:pStyle w:val="TableText"/>
              <w:jc w:val="right"/>
              <w:rPr>
                <w:b/>
                <w:bCs/>
              </w:rPr>
            </w:pPr>
            <w:r w:rsidRPr="000174A8">
              <w:rPr>
                <w:b/>
                <w:bCs/>
                <w:w w:val="115"/>
              </w:rPr>
              <w:t>(5,905)</w:t>
            </w:r>
          </w:p>
        </w:tc>
      </w:tr>
      <w:tr w:rsidR="000174A8" w:rsidRPr="000174A8" w14:paraId="26DB7A5D" w14:textId="77777777" w:rsidTr="009E3BCA">
        <w:trPr>
          <w:trHeight w:val="369"/>
        </w:trPr>
        <w:tc>
          <w:tcPr>
            <w:tcW w:w="1127" w:type="dxa"/>
            <w:tcBorders>
              <w:top w:val="single" w:sz="4" w:space="0" w:color="A6A6A6" w:themeColor="background1" w:themeShade="A6"/>
            </w:tcBorders>
          </w:tcPr>
          <w:p w14:paraId="3235F9C1" w14:textId="44BBA767" w:rsidR="000174A8" w:rsidRPr="000174A8" w:rsidRDefault="000174A8" w:rsidP="000174A8">
            <w:pPr>
              <w:pStyle w:val="TableText"/>
              <w:jc w:val="right"/>
              <w:rPr>
                <w:b/>
                <w:bCs/>
                <w:w w:val="105"/>
              </w:rPr>
            </w:pPr>
            <w:r w:rsidRPr="000174A8">
              <w:rPr>
                <w:b/>
                <w:bCs/>
                <w:w w:val="105"/>
              </w:rPr>
              <w:t xml:space="preserve">(3,541) </w:t>
            </w:r>
            <w:r w:rsidRPr="000174A8">
              <w:rPr>
                <w:b/>
                <w:bCs/>
                <w:spacing w:val="9"/>
                <w:w w:val="105"/>
              </w:rPr>
              <w:t xml:space="preserve"> </w:t>
            </w:r>
          </w:p>
        </w:tc>
        <w:tc>
          <w:tcPr>
            <w:tcW w:w="3402" w:type="dxa"/>
            <w:tcBorders>
              <w:top w:val="single" w:sz="4" w:space="0" w:color="A6A6A6" w:themeColor="background1" w:themeShade="A6"/>
            </w:tcBorders>
          </w:tcPr>
          <w:p w14:paraId="701CD93C" w14:textId="3C773867" w:rsidR="000174A8" w:rsidRPr="000174A8" w:rsidRDefault="000174A8" w:rsidP="000174A8">
            <w:pPr>
              <w:pStyle w:val="TableText"/>
              <w:rPr>
                <w:b/>
                <w:bCs/>
              </w:rPr>
            </w:pPr>
            <w:r w:rsidRPr="000174A8">
              <w:rPr>
                <w:b/>
                <w:bCs/>
                <w:w w:val="105"/>
              </w:rPr>
              <w:t>Net</w:t>
            </w:r>
            <w:r w:rsidRPr="000174A8">
              <w:rPr>
                <w:b/>
                <w:bCs/>
                <w:spacing w:val="-9"/>
                <w:w w:val="105"/>
              </w:rPr>
              <w:t xml:space="preserve"> </w:t>
            </w:r>
            <w:r w:rsidRPr="000174A8">
              <w:rPr>
                <w:b/>
                <w:bCs/>
                <w:w w:val="105"/>
              </w:rPr>
              <w:t>increase</w:t>
            </w:r>
            <w:r w:rsidRPr="000174A8">
              <w:rPr>
                <w:b/>
                <w:bCs/>
                <w:spacing w:val="-8"/>
                <w:w w:val="105"/>
              </w:rPr>
              <w:t xml:space="preserve"> </w:t>
            </w:r>
            <w:r w:rsidRPr="000174A8">
              <w:rPr>
                <w:b/>
                <w:bCs/>
                <w:w w:val="105"/>
              </w:rPr>
              <w:t>in</w:t>
            </w:r>
            <w:r w:rsidRPr="000174A8">
              <w:rPr>
                <w:b/>
                <w:bCs/>
                <w:spacing w:val="-9"/>
                <w:w w:val="105"/>
              </w:rPr>
              <w:t xml:space="preserve"> </w:t>
            </w:r>
            <w:r w:rsidRPr="000174A8">
              <w:rPr>
                <w:b/>
                <w:bCs/>
                <w:w w:val="105"/>
              </w:rPr>
              <w:t>cash</w:t>
            </w:r>
            <w:r w:rsidRPr="000174A8">
              <w:rPr>
                <w:b/>
                <w:bCs/>
                <w:spacing w:val="-8"/>
                <w:w w:val="105"/>
              </w:rPr>
              <w:t xml:space="preserve"> </w:t>
            </w:r>
            <w:r w:rsidRPr="000174A8">
              <w:rPr>
                <w:b/>
                <w:bCs/>
                <w:w w:val="105"/>
              </w:rPr>
              <w:t>held</w:t>
            </w:r>
          </w:p>
        </w:tc>
        <w:tc>
          <w:tcPr>
            <w:tcW w:w="1436" w:type="dxa"/>
            <w:tcBorders>
              <w:top w:val="single" w:sz="4" w:space="0" w:color="A6A6A6" w:themeColor="background1" w:themeShade="A6"/>
            </w:tcBorders>
          </w:tcPr>
          <w:p w14:paraId="1DC6D8C5" w14:textId="77777777" w:rsidR="000174A8" w:rsidRPr="000174A8" w:rsidRDefault="000174A8" w:rsidP="000174A8">
            <w:pPr>
              <w:pStyle w:val="TableText"/>
              <w:jc w:val="right"/>
              <w:rPr>
                <w:b/>
                <w:bCs/>
              </w:rPr>
            </w:pPr>
            <w:r w:rsidRPr="000174A8">
              <w:rPr>
                <w:b/>
                <w:bCs/>
              </w:rPr>
              <w:t>11,094</w:t>
            </w:r>
          </w:p>
        </w:tc>
        <w:tc>
          <w:tcPr>
            <w:tcW w:w="1318" w:type="dxa"/>
            <w:tcBorders>
              <w:top w:val="single" w:sz="4" w:space="0" w:color="A6A6A6" w:themeColor="background1" w:themeShade="A6"/>
            </w:tcBorders>
          </w:tcPr>
          <w:p w14:paraId="7076CEB6" w14:textId="77777777" w:rsidR="000174A8" w:rsidRPr="000174A8" w:rsidRDefault="000174A8" w:rsidP="000174A8">
            <w:pPr>
              <w:pStyle w:val="TableText"/>
              <w:jc w:val="right"/>
              <w:rPr>
                <w:b/>
                <w:bCs/>
              </w:rPr>
            </w:pPr>
            <w:r w:rsidRPr="000174A8">
              <w:rPr>
                <w:b/>
                <w:bCs/>
                <w:w w:val="140"/>
              </w:rPr>
              <w:t>–</w:t>
            </w:r>
          </w:p>
        </w:tc>
        <w:tc>
          <w:tcPr>
            <w:tcW w:w="1191" w:type="dxa"/>
            <w:tcBorders>
              <w:top w:val="single" w:sz="4" w:space="0" w:color="A6A6A6" w:themeColor="background1" w:themeShade="A6"/>
            </w:tcBorders>
          </w:tcPr>
          <w:p w14:paraId="18E51175" w14:textId="77777777" w:rsidR="000174A8" w:rsidRPr="000174A8" w:rsidRDefault="000174A8" w:rsidP="000174A8">
            <w:pPr>
              <w:pStyle w:val="TableText"/>
              <w:jc w:val="right"/>
              <w:rPr>
                <w:b/>
                <w:bCs/>
              </w:rPr>
            </w:pPr>
            <w:r w:rsidRPr="000174A8">
              <w:rPr>
                <w:b/>
                <w:bCs/>
                <w:w w:val="140"/>
              </w:rPr>
              <w:t>–</w:t>
            </w:r>
          </w:p>
        </w:tc>
      </w:tr>
      <w:tr w:rsidR="000174A8" w14:paraId="29DB1BAC" w14:textId="77777777" w:rsidTr="009E3BCA">
        <w:trPr>
          <w:trHeight w:val="344"/>
        </w:trPr>
        <w:tc>
          <w:tcPr>
            <w:tcW w:w="1127" w:type="dxa"/>
          </w:tcPr>
          <w:p w14:paraId="37B7C0FD" w14:textId="542C5FB5" w:rsidR="000174A8" w:rsidRDefault="000174A8" w:rsidP="000174A8">
            <w:pPr>
              <w:pStyle w:val="TableText"/>
              <w:jc w:val="right"/>
            </w:pPr>
            <w:r>
              <w:t>6,180</w:t>
            </w:r>
          </w:p>
        </w:tc>
        <w:tc>
          <w:tcPr>
            <w:tcW w:w="3402" w:type="dxa"/>
          </w:tcPr>
          <w:p w14:paraId="4CF218DA" w14:textId="53AAA297" w:rsidR="000174A8" w:rsidRDefault="000174A8" w:rsidP="000174A8">
            <w:pPr>
              <w:pStyle w:val="TableText"/>
            </w:pPr>
            <w:r>
              <w:t>Cash</w:t>
            </w:r>
            <w:r>
              <w:rPr>
                <w:spacing w:val="3"/>
              </w:rPr>
              <w:t xml:space="preserve"> </w:t>
            </w:r>
            <w:r>
              <w:t>at</w:t>
            </w:r>
            <w:r>
              <w:rPr>
                <w:spacing w:val="3"/>
              </w:rPr>
              <w:t xml:space="preserve"> </w:t>
            </w:r>
            <w:r>
              <w:t>the</w:t>
            </w:r>
            <w:r>
              <w:rPr>
                <w:spacing w:val="4"/>
              </w:rPr>
              <w:t xml:space="preserve"> </w:t>
            </w:r>
            <w:r>
              <w:t>beginning</w:t>
            </w:r>
            <w:r>
              <w:rPr>
                <w:spacing w:val="3"/>
              </w:rPr>
              <w:t xml:space="preserve"> </w:t>
            </w:r>
            <w:r>
              <w:t>of</w:t>
            </w:r>
            <w:r>
              <w:rPr>
                <w:spacing w:val="4"/>
              </w:rPr>
              <w:t xml:space="preserve"> </w:t>
            </w:r>
            <w:r>
              <w:t>the</w:t>
            </w:r>
            <w:r>
              <w:rPr>
                <w:spacing w:val="3"/>
              </w:rPr>
              <w:t xml:space="preserve"> </w:t>
            </w:r>
            <w:r>
              <w:t>year</w:t>
            </w:r>
          </w:p>
        </w:tc>
        <w:tc>
          <w:tcPr>
            <w:tcW w:w="1436" w:type="dxa"/>
          </w:tcPr>
          <w:p w14:paraId="7EB03F94" w14:textId="77777777" w:rsidR="000174A8" w:rsidRDefault="000174A8" w:rsidP="000174A8">
            <w:pPr>
              <w:pStyle w:val="TableText"/>
              <w:jc w:val="right"/>
            </w:pPr>
            <w:r>
              <w:rPr>
                <w:w w:val="105"/>
              </w:rPr>
              <w:t>2,639</w:t>
            </w:r>
          </w:p>
        </w:tc>
        <w:tc>
          <w:tcPr>
            <w:tcW w:w="1318" w:type="dxa"/>
          </w:tcPr>
          <w:p w14:paraId="4A840F8B" w14:textId="77777777" w:rsidR="000174A8" w:rsidRDefault="000174A8" w:rsidP="000174A8">
            <w:pPr>
              <w:pStyle w:val="TableText"/>
              <w:jc w:val="right"/>
            </w:pPr>
            <w:r>
              <w:rPr>
                <w:w w:val="105"/>
              </w:rPr>
              <w:t>7,000</w:t>
            </w:r>
          </w:p>
        </w:tc>
        <w:tc>
          <w:tcPr>
            <w:tcW w:w="1191" w:type="dxa"/>
          </w:tcPr>
          <w:p w14:paraId="47552E39" w14:textId="77777777" w:rsidR="000174A8" w:rsidRDefault="000174A8" w:rsidP="000174A8">
            <w:pPr>
              <w:pStyle w:val="TableText"/>
              <w:jc w:val="right"/>
            </w:pPr>
            <w:r>
              <w:rPr>
                <w:w w:val="105"/>
              </w:rPr>
              <w:t>7,000</w:t>
            </w:r>
          </w:p>
        </w:tc>
      </w:tr>
      <w:tr w:rsidR="000174A8" w:rsidRPr="000174A8" w14:paraId="59DB2428" w14:textId="77777777" w:rsidTr="009E3BCA">
        <w:trPr>
          <w:trHeight w:val="291"/>
        </w:trPr>
        <w:tc>
          <w:tcPr>
            <w:tcW w:w="1127" w:type="dxa"/>
            <w:tcBorders>
              <w:bottom w:val="single" w:sz="4" w:space="0" w:color="A6A6A6" w:themeColor="background1" w:themeShade="A6"/>
            </w:tcBorders>
          </w:tcPr>
          <w:p w14:paraId="2AC94E7F" w14:textId="1C34BD43" w:rsidR="000174A8" w:rsidRPr="000174A8" w:rsidRDefault="000174A8" w:rsidP="000174A8">
            <w:pPr>
              <w:pStyle w:val="TableText"/>
              <w:jc w:val="right"/>
              <w:rPr>
                <w:b/>
                <w:bCs/>
                <w:w w:val="105"/>
              </w:rPr>
            </w:pPr>
            <w:r w:rsidRPr="000174A8">
              <w:rPr>
                <w:b/>
                <w:bCs/>
                <w:w w:val="105"/>
              </w:rPr>
              <w:t xml:space="preserve">2,639 </w:t>
            </w:r>
            <w:r w:rsidRPr="000174A8">
              <w:rPr>
                <w:b/>
                <w:bCs/>
                <w:spacing w:val="15"/>
                <w:w w:val="105"/>
              </w:rPr>
              <w:t xml:space="preserve"> </w:t>
            </w:r>
          </w:p>
        </w:tc>
        <w:tc>
          <w:tcPr>
            <w:tcW w:w="3402" w:type="dxa"/>
            <w:tcBorders>
              <w:bottom w:val="single" w:sz="4" w:space="0" w:color="A6A6A6" w:themeColor="background1" w:themeShade="A6"/>
            </w:tcBorders>
          </w:tcPr>
          <w:p w14:paraId="55C15C97" w14:textId="28BE00E3" w:rsidR="000174A8" w:rsidRPr="000174A8" w:rsidRDefault="000174A8" w:rsidP="000174A8">
            <w:pPr>
              <w:pStyle w:val="TableText"/>
              <w:rPr>
                <w:b/>
                <w:bCs/>
              </w:rPr>
            </w:pPr>
            <w:r w:rsidRPr="000174A8">
              <w:rPr>
                <w:b/>
                <w:bCs/>
                <w:w w:val="105"/>
              </w:rPr>
              <w:t>Cash</w:t>
            </w:r>
            <w:r w:rsidRPr="000174A8">
              <w:rPr>
                <w:b/>
                <w:bCs/>
                <w:spacing w:val="-7"/>
                <w:w w:val="105"/>
              </w:rPr>
              <w:t xml:space="preserve"> </w:t>
            </w:r>
            <w:r w:rsidRPr="000174A8">
              <w:rPr>
                <w:b/>
                <w:bCs/>
                <w:w w:val="105"/>
              </w:rPr>
              <w:t>at</w:t>
            </w:r>
            <w:r w:rsidRPr="000174A8">
              <w:rPr>
                <w:b/>
                <w:bCs/>
                <w:spacing w:val="-7"/>
                <w:w w:val="105"/>
              </w:rPr>
              <w:t xml:space="preserve"> </w:t>
            </w:r>
            <w:r w:rsidRPr="000174A8">
              <w:rPr>
                <w:b/>
                <w:bCs/>
                <w:w w:val="105"/>
              </w:rPr>
              <w:t>the</w:t>
            </w:r>
            <w:r w:rsidRPr="000174A8">
              <w:rPr>
                <w:b/>
                <w:bCs/>
                <w:spacing w:val="-7"/>
                <w:w w:val="105"/>
              </w:rPr>
              <w:t xml:space="preserve"> </w:t>
            </w:r>
            <w:r w:rsidRPr="000174A8">
              <w:rPr>
                <w:b/>
                <w:bCs/>
                <w:w w:val="105"/>
              </w:rPr>
              <w:t>end</w:t>
            </w:r>
            <w:r w:rsidRPr="000174A8">
              <w:rPr>
                <w:b/>
                <w:bCs/>
                <w:spacing w:val="-7"/>
                <w:w w:val="105"/>
              </w:rPr>
              <w:t xml:space="preserve"> </w:t>
            </w:r>
            <w:r w:rsidRPr="000174A8">
              <w:rPr>
                <w:b/>
                <w:bCs/>
                <w:w w:val="105"/>
              </w:rPr>
              <w:t>of</w:t>
            </w:r>
            <w:r w:rsidRPr="000174A8">
              <w:rPr>
                <w:b/>
                <w:bCs/>
                <w:spacing w:val="-7"/>
                <w:w w:val="105"/>
              </w:rPr>
              <w:t xml:space="preserve"> </w:t>
            </w:r>
            <w:r w:rsidRPr="000174A8">
              <w:rPr>
                <w:b/>
                <w:bCs/>
                <w:w w:val="105"/>
              </w:rPr>
              <w:t>the</w:t>
            </w:r>
            <w:r w:rsidRPr="000174A8">
              <w:rPr>
                <w:b/>
                <w:bCs/>
                <w:spacing w:val="-7"/>
                <w:w w:val="105"/>
              </w:rPr>
              <w:t xml:space="preserve"> </w:t>
            </w:r>
            <w:r w:rsidRPr="000174A8">
              <w:rPr>
                <w:b/>
                <w:bCs/>
                <w:w w:val="105"/>
              </w:rPr>
              <w:t>year</w:t>
            </w:r>
          </w:p>
        </w:tc>
        <w:tc>
          <w:tcPr>
            <w:tcW w:w="1436" w:type="dxa"/>
            <w:tcBorders>
              <w:bottom w:val="single" w:sz="4" w:space="0" w:color="A6A6A6" w:themeColor="background1" w:themeShade="A6"/>
            </w:tcBorders>
          </w:tcPr>
          <w:p w14:paraId="7609F527" w14:textId="77777777" w:rsidR="000174A8" w:rsidRPr="000174A8" w:rsidRDefault="000174A8" w:rsidP="000174A8">
            <w:pPr>
              <w:pStyle w:val="TableText"/>
              <w:jc w:val="right"/>
              <w:rPr>
                <w:b/>
                <w:bCs/>
              </w:rPr>
            </w:pPr>
            <w:r w:rsidRPr="000174A8">
              <w:rPr>
                <w:b/>
                <w:bCs/>
              </w:rPr>
              <w:t>13,733</w:t>
            </w:r>
          </w:p>
        </w:tc>
        <w:tc>
          <w:tcPr>
            <w:tcW w:w="1318" w:type="dxa"/>
            <w:tcBorders>
              <w:bottom w:val="single" w:sz="4" w:space="0" w:color="A6A6A6" w:themeColor="background1" w:themeShade="A6"/>
            </w:tcBorders>
          </w:tcPr>
          <w:p w14:paraId="770ED35F" w14:textId="77777777" w:rsidR="000174A8" w:rsidRPr="000174A8" w:rsidRDefault="000174A8" w:rsidP="000174A8">
            <w:pPr>
              <w:pStyle w:val="TableText"/>
              <w:jc w:val="right"/>
              <w:rPr>
                <w:b/>
                <w:bCs/>
              </w:rPr>
            </w:pPr>
            <w:r w:rsidRPr="000174A8">
              <w:rPr>
                <w:b/>
                <w:bCs/>
                <w:w w:val="110"/>
              </w:rPr>
              <w:t>7,000</w:t>
            </w:r>
          </w:p>
        </w:tc>
        <w:tc>
          <w:tcPr>
            <w:tcW w:w="1191" w:type="dxa"/>
            <w:tcBorders>
              <w:bottom w:val="single" w:sz="4" w:space="0" w:color="A6A6A6" w:themeColor="background1" w:themeShade="A6"/>
            </w:tcBorders>
          </w:tcPr>
          <w:p w14:paraId="0ECFED9C" w14:textId="77777777" w:rsidR="000174A8" w:rsidRPr="000174A8" w:rsidRDefault="000174A8" w:rsidP="000174A8">
            <w:pPr>
              <w:pStyle w:val="TableText"/>
              <w:jc w:val="right"/>
              <w:rPr>
                <w:b/>
                <w:bCs/>
              </w:rPr>
            </w:pPr>
            <w:r w:rsidRPr="000174A8">
              <w:rPr>
                <w:b/>
                <w:bCs/>
                <w:w w:val="110"/>
              </w:rPr>
              <w:t>7,000</w:t>
            </w:r>
          </w:p>
        </w:tc>
      </w:tr>
    </w:tbl>
    <w:p w14:paraId="4DC10E0D" w14:textId="77777777" w:rsidR="00090FEB" w:rsidRDefault="00090FEB" w:rsidP="00EC0899">
      <w:pPr>
        <w:pStyle w:val="Note"/>
        <w:rPr>
          <w:w w:val="110"/>
        </w:rPr>
      </w:pPr>
      <w:bookmarkStart w:id="61" w:name="_Hlk116611715"/>
    </w:p>
    <w:p w14:paraId="2644908A" w14:textId="77777777" w:rsidR="00090FEB" w:rsidRDefault="00090FEB" w:rsidP="00EC0899">
      <w:pPr>
        <w:pStyle w:val="Note"/>
        <w:rPr>
          <w:w w:val="110"/>
        </w:rPr>
      </w:pPr>
    </w:p>
    <w:p w14:paraId="090E2577" w14:textId="77777777" w:rsidR="00090FEB" w:rsidRDefault="00090FEB" w:rsidP="00EC0899">
      <w:pPr>
        <w:pStyle w:val="Note"/>
        <w:rPr>
          <w:w w:val="110"/>
        </w:rPr>
      </w:pPr>
    </w:p>
    <w:p w14:paraId="26B2FCBA" w14:textId="77777777" w:rsidR="00090FEB" w:rsidRDefault="00090FEB" w:rsidP="00EC0899">
      <w:pPr>
        <w:pStyle w:val="Note"/>
        <w:rPr>
          <w:w w:val="110"/>
        </w:rPr>
      </w:pPr>
    </w:p>
    <w:p w14:paraId="0E8FE337" w14:textId="77777777" w:rsidR="00090FEB" w:rsidRDefault="00090FEB" w:rsidP="00EC0899">
      <w:pPr>
        <w:pStyle w:val="Note"/>
        <w:rPr>
          <w:w w:val="110"/>
        </w:rPr>
      </w:pPr>
    </w:p>
    <w:p w14:paraId="17BEF7C2" w14:textId="77777777" w:rsidR="00090FEB" w:rsidRDefault="00090FEB" w:rsidP="00EC0899">
      <w:pPr>
        <w:pStyle w:val="Note"/>
        <w:rPr>
          <w:w w:val="110"/>
        </w:rPr>
      </w:pPr>
    </w:p>
    <w:p w14:paraId="1B3C7065" w14:textId="77777777" w:rsidR="00090FEB" w:rsidRDefault="00090FEB" w:rsidP="00EC0899">
      <w:pPr>
        <w:pStyle w:val="Note"/>
        <w:rPr>
          <w:w w:val="110"/>
        </w:rPr>
      </w:pPr>
    </w:p>
    <w:p w14:paraId="2A1A4EA3" w14:textId="77777777" w:rsidR="00090FEB" w:rsidRDefault="00090FEB" w:rsidP="00EC0899">
      <w:pPr>
        <w:pStyle w:val="Note"/>
        <w:rPr>
          <w:w w:val="110"/>
        </w:rPr>
      </w:pPr>
    </w:p>
    <w:p w14:paraId="27CC2886" w14:textId="77777777" w:rsidR="00090FEB" w:rsidRDefault="00090FEB" w:rsidP="00EC0899">
      <w:pPr>
        <w:pStyle w:val="Note"/>
        <w:rPr>
          <w:w w:val="110"/>
        </w:rPr>
      </w:pPr>
    </w:p>
    <w:p w14:paraId="29306A26" w14:textId="77777777" w:rsidR="00090FEB" w:rsidRDefault="00090FEB" w:rsidP="00EC0899">
      <w:pPr>
        <w:pStyle w:val="Note"/>
        <w:rPr>
          <w:w w:val="110"/>
        </w:rPr>
      </w:pPr>
    </w:p>
    <w:p w14:paraId="54F4D674" w14:textId="5B85EC5C" w:rsidR="00E24773" w:rsidRDefault="00EC0899" w:rsidP="00090FEB">
      <w:pPr>
        <w:pStyle w:val="Note"/>
        <w:rPr>
          <w:rFonts w:eastAsia="Arial Unicode MS"/>
        </w:rPr>
      </w:pPr>
      <w:r>
        <w:rPr>
          <w:w w:val="110"/>
        </w:rPr>
        <w:t>The</w:t>
      </w:r>
      <w:r>
        <w:rPr>
          <w:spacing w:val="8"/>
          <w:w w:val="110"/>
        </w:rPr>
        <w:t xml:space="preserve"> </w:t>
      </w:r>
      <w:r>
        <w:rPr>
          <w:w w:val="110"/>
        </w:rPr>
        <w:t>accompanying</w:t>
      </w:r>
      <w:r>
        <w:rPr>
          <w:spacing w:val="8"/>
          <w:w w:val="110"/>
        </w:rPr>
        <w:t xml:space="preserve"> </w:t>
      </w:r>
      <w:r>
        <w:rPr>
          <w:w w:val="110"/>
        </w:rPr>
        <w:t>notes</w:t>
      </w:r>
      <w:r>
        <w:rPr>
          <w:spacing w:val="8"/>
          <w:w w:val="110"/>
        </w:rPr>
        <w:t xml:space="preserve"> </w:t>
      </w:r>
      <w:r>
        <w:rPr>
          <w:w w:val="110"/>
        </w:rPr>
        <w:t>form</w:t>
      </w:r>
      <w:r>
        <w:rPr>
          <w:spacing w:val="9"/>
          <w:w w:val="110"/>
        </w:rPr>
        <w:t xml:space="preserve"> </w:t>
      </w:r>
      <w:r>
        <w:rPr>
          <w:w w:val="110"/>
        </w:rPr>
        <w:t>part</w:t>
      </w:r>
      <w:r>
        <w:rPr>
          <w:spacing w:val="8"/>
          <w:w w:val="110"/>
        </w:rPr>
        <w:t xml:space="preserve"> </w:t>
      </w:r>
      <w:r>
        <w:rPr>
          <w:w w:val="110"/>
        </w:rPr>
        <w:t>of</w:t>
      </w:r>
      <w:r>
        <w:rPr>
          <w:spacing w:val="8"/>
          <w:w w:val="110"/>
        </w:rPr>
        <w:t xml:space="preserve"> </w:t>
      </w:r>
      <w:r>
        <w:rPr>
          <w:w w:val="110"/>
        </w:rPr>
        <w:t>these</w:t>
      </w:r>
      <w:r>
        <w:rPr>
          <w:spacing w:val="8"/>
          <w:w w:val="110"/>
        </w:rPr>
        <w:t xml:space="preserve"> </w:t>
      </w:r>
      <w:r>
        <w:rPr>
          <w:w w:val="110"/>
        </w:rPr>
        <w:t>financial</w:t>
      </w:r>
      <w:r>
        <w:rPr>
          <w:spacing w:val="9"/>
          <w:w w:val="110"/>
        </w:rPr>
        <w:t xml:space="preserve"> </w:t>
      </w:r>
      <w:r>
        <w:rPr>
          <w:w w:val="110"/>
        </w:rPr>
        <w:t>statements</w:t>
      </w:r>
      <w:bookmarkEnd w:id="61"/>
      <w:r>
        <w:rPr>
          <w:w w:val="110"/>
        </w:rPr>
        <w:t>.</w:t>
      </w:r>
    </w:p>
    <w:p w14:paraId="4C8150C1" w14:textId="77777777" w:rsidR="004D239B" w:rsidRDefault="004D239B" w:rsidP="00E24773">
      <w:pPr>
        <w:rPr>
          <w:rFonts w:eastAsia="Arial Unicode MS"/>
        </w:rPr>
        <w:sectPr w:rsidR="004D239B" w:rsidSect="00C26282">
          <w:pgSz w:w="11907" w:h="16840" w:code="9"/>
          <w:pgMar w:top="1418" w:right="1701" w:bottom="1134" w:left="1843" w:header="284" w:footer="425" w:gutter="284"/>
          <w:cols w:space="720"/>
        </w:sectPr>
      </w:pPr>
    </w:p>
    <w:p w14:paraId="0C2D5122" w14:textId="77777777" w:rsidR="004D239B" w:rsidRPr="00175A9D" w:rsidRDefault="004D239B" w:rsidP="00175A9D">
      <w:pPr>
        <w:pStyle w:val="Heading4"/>
        <w:spacing w:before="0"/>
        <w:rPr>
          <w:sz w:val="36"/>
          <w:szCs w:val="36"/>
        </w:rPr>
      </w:pPr>
      <w:r w:rsidRPr="00175A9D">
        <w:rPr>
          <w:sz w:val="36"/>
          <w:szCs w:val="36"/>
        </w:rPr>
        <w:lastRenderedPageBreak/>
        <w:t>Statement of cash flows for the year ended 30 June 2022 (continued)</w:t>
      </w:r>
    </w:p>
    <w:p w14:paraId="47876BB2" w14:textId="06A2E026" w:rsidR="004D239B" w:rsidRDefault="004D239B" w:rsidP="004D239B">
      <w:pPr>
        <w:pStyle w:val="Heading5"/>
      </w:pPr>
      <w:r w:rsidRPr="004D239B">
        <w:t>Reconciliation of net surplus/(deficit) to net cash flow from operating activities</w:t>
      </w:r>
    </w:p>
    <w:tbl>
      <w:tblPr>
        <w:tblW w:w="8291" w:type="dxa"/>
        <w:tblInd w:w="7" w:type="dxa"/>
        <w:tblLayout w:type="fixed"/>
        <w:tblCellMar>
          <w:left w:w="0" w:type="dxa"/>
          <w:right w:w="0" w:type="dxa"/>
        </w:tblCellMar>
        <w:tblLook w:val="01E0" w:firstRow="1" w:lastRow="1" w:firstColumn="1" w:lastColumn="1" w:noHBand="0" w:noVBand="0"/>
      </w:tblPr>
      <w:tblGrid>
        <w:gridCol w:w="1143"/>
        <w:gridCol w:w="5654"/>
        <w:gridCol w:w="1494"/>
      </w:tblGrid>
      <w:tr w:rsidR="004D239B" w:rsidRPr="004D239B" w14:paraId="0BCC8C7F" w14:textId="77777777" w:rsidTr="004D239B">
        <w:trPr>
          <w:trHeight w:val="1135"/>
        </w:trPr>
        <w:tc>
          <w:tcPr>
            <w:tcW w:w="1143" w:type="dxa"/>
            <w:shd w:val="clear" w:color="auto" w:fill="D9D9D9" w:themeFill="background1" w:themeFillShade="D9"/>
          </w:tcPr>
          <w:p w14:paraId="38EFBFA7" w14:textId="66436C2E" w:rsidR="004D239B" w:rsidRPr="004D239B" w:rsidRDefault="004D239B" w:rsidP="00BF2955">
            <w:pPr>
              <w:pStyle w:val="TableText"/>
              <w:ind w:hanging="14"/>
              <w:jc w:val="right"/>
              <w:rPr>
                <w:b/>
                <w:bCs/>
              </w:rPr>
            </w:pPr>
            <w:r w:rsidRPr="004D239B">
              <w:rPr>
                <w:b/>
                <w:bCs/>
                <w:w w:val="110"/>
              </w:rPr>
              <w:t>Restated</w:t>
            </w:r>
            <w:r w:rsidR="00090FEB">
              <w:rPr>
                <w:b/>
                <w:bCs/>
                <w:w w:val="110"/>
              </w:rPr>
              <w:br/>
              <w:t>actual</w:t>
            </w:r>
          </w:p>
          <w:p w14:paraId="60982C94" w14:textId="77777777" w:rsidR="004D239B" w:rsidRPr="004D239B" w:rsidRDefault="004D239B" w:rsidP="00BF2955">
            <w:pPr>
              <w:pStyle w:val="TableText"/>
              <w:ind w:hanging="14"/>
              <w:jc w:val="right"/>
              <w:rPr>
                <w:b/>
                <w:bCs/>
              </w:rPr>
            </w:pPr>
            <w:r w:rsidRPr="004D239B">
              <w:rPr>
                <w:b/>
                <w:bCs/>
              </w:rPr>
              <w:t>2021</w:t>
            </w:r>
          </w:p>
          <w:p w14:paraId="48F30B79" w14:textId="77777777" w:rsidR="004D239B" w:rsidRPr="004D239B" w:rsidRDefault="004D239B" w:rsidP="00BF2955">
            <w:pPr>
              <w:pStyle w:val="TableText"/>
              <w:ind w:hanging="14"/>
              <w:jc w:val="right"/>
              <w:rPr>
                <w:b/>
                <w:bCs/>
              </w:rPr>
            </w:pPr>
            <w:r w:rsidRPr="004D239B">
              <w:rPr>
                <w:b/>
                <w:bCs/>
                <w:w w:val="120"/>
              </w:rPr>
              <w:t>$000</w:t>
            </w:r>
          </w:p>
        </w:tc>
        <w:tc>
          <w:tcPr>
            <w:tcW w:w="5654" w:type="dxa"/>
            <w:shd w:val="clear" w:color="auto" w:fill="D9D9D9" w:themeFill="background1" w:themeFillShade="D9"/>
          </w:tcPr>
          <w:p w14:paraId="2F0BF567" w14:textId="77777777" w:rsidR="004D239B" w:rsidRPr="004D239B" w:rsidRDefault="004D239B" w:rsidP="00BF2955">
            <w:pPr>
              <w:pStyle w:val="TableText"/>
              <w:ind w:hanging="14"/>
              <w:rPr>
                <w:rFonts w:ascii="Times New Roman"/>
                <w:b/>
                <w:bCs/>
              </w:rPr>
            </w:pPr>
          </w:p>
        </w:tc>
        <w:tc>
          <w:tcPr>
            <w:tcW w:w="1494" w:type="dxa"/>
            <w:shd w:val="clear" w:color="auto" w:fill="D9D9D9" w:themeFill="background1" w:themeFillShade="D9"/>
          </w:tcPr>
          <w:p w14:paraId="78D23F17" w14:textId="77777777" w:rsidR="004D239B" w:rsidRPr="004D239B" w:rsidRDefault="004D239B" w:rsidP="00BF2955">
            <w:pPr>
              <w:pStyle w:val="TableText"/>
              <w:ind w:hanging="14"/>
              <w:jc w:val="right"/>
              <w:rPr>
                <w:b/>
                <w:bCs/>
              </w:rPr>
            </w:pPr>
            <w:r w:rsidRPr="004D239B">
              <w:rPr>
                <w:b/>
                <w:bCs/>
                <w:w w:val="110"/>
              </w:rPr>
              <w:t>Actual</w:t>
            </w:r>
          </w:p>
          <w:p w14:paraId="34CB4AEB" w14:textId="77777777" w:rsidR="004D239B" w:rsidRPr="004D239B" w:rsidRDefault="004D239B" w:rsidP="00BF2955">
            <w:pPr>
              <w:pStyle w:val="TableText"/>
              <w:ind w:hanging="14"/>
              <w:jc w:val="right"/>
              <w:rPr>
                <w:b/>
                <w:bCs/>
              </w:rPr>
            </w:pPr>
          </w:p>
          <w:p w14:paraId="7605F30F" w14:textId="77777777" w:rsidR="004D239B" w:rsidRPr="004D239B" w:rsidRDefault="004D239B" w:rsidP="00BF2955">
            <w:pPr>
              <w:pStyle w:val="TableText"/>
              <w:ind w:hanging="14"/>
              <w:jc w:val="right"/>
              <w:rPr>
                <w:b/>
                <w:bCs/>
              </w:rPr>
            </w:pPr>
            <w:r w:rsidRPr="004D239B">
              <w:rPr>
                <w:b/>
                <w:bCs/>
                <w:w w:val="105"/>
              </w:rPr>
              <w:t>2022</w:t>
            </w:r>
          </w:p>
          <w:p w14:paraId="5D4A708C" w14:textId="77777777" w:rsidR="004D239B" w:rsidRPr="004D239B" w:rsidRDefault="004D239B" w:rsidP="00BF2955">
            <w:pPr>
              <w:pStyle w:val="TableText"/>
              <w:ind w:hanging="14"/>
              <w:jc w:val="right"/>
              <w:rPr>
                <w:b/>
                <w:bCs/>
              </w:rPr>
            </w:pPr>
            <w:r w:rsidRPr="004D239B">
              <w:rPr>
                <w:b/>
                <w:bCs/>
                <w:w w:val="120"/>
              </w:rPr>
              <w:t>$000</w:t>
            </w:r>
          </w:p>
        </w:tc>
      </w:tr>
      <w:tr w:rsidR="004D239B" w:rsidRPr="004D239B" w14:paraId="095B7111" w14:textId="77777777" w:rsidTr="00090FEB">
        <w:trPr>
          <w:trHeight w:val="340"/>
        </w:trPr>
        <w:tc>
          <w:tcPr>
            <w:tcW w:w="1143" w:type="dxa"/>
          </w:tcPr>
          <w:p w14:paraId="41368B40" w14:textId="77777777" w:rsidR="004D239B" w:rsidRPr="004D239B" w:rsidRDefault="004D239B" w:rsidP="00BF2955">
            <w:pPr>
              <w:pStyle w:val="TableText"/>
              <w:ind w:hanging="14"/>
              <w:jc w:val="right"/>
              <w:rPr>
                <w:b/>
                <w:bCs/>
              </w:rPr>
            </w:pPr>
            <w:r w:rsidRPr="004D239B">
              <w:rPr>
                <w:b/>
                <w:bCs/>
                <w:w w:val="110"/>
              </w:rPr>
              <w:t>30,205</w:t>
            </w:r>
          </w:p>
        </w:tc>
        <w:tc>
          <w:tcPr>
            <w:tcW w:w="5654" w:type="dxa"/>
          </w:tcPr>
          <w:p w14:paraId="7361402E" w14:textId="71F0FFBF" w:rsidR="004D239B" w:rsidRPr="004D239B" w:rsidRDefault="004D239B" w:rsidP="008803C1">
            <w:pPr>
              <w:pStyle w:val="TableText"/>
              <w:ind w:left="124" w:hanging="11"/>
              <w:rPr>
                <w:b/>
                <w:bCs/>
              </w:rPr>
            </w:pPr>
            <w:r w:rsidRPr="004D239B">
              <w:rPr>
                <w:b/>
                <w:bCs/>
                <w:w w:val="110"/>
              </w:rPr>
              <w:t>Net</w:t>
            </w:r>
            <w:r w:rsidRPr="004D239B">
              <w:rPr>
                <w:b/>
                <w:bCs/>
                <w:spacing w:val="-11"/>
                <w:w w:val="110"/>
              </w:rPr>
              <w:t xml:space="preserve"> </w:t>
            </w:r>
            <w:r w:rsidRPr="004D239B">
              <w:rPr>
                <w:b/>
                <w:bCs/>
                <w:w w:val="110"/>
              </w:rPr>
              <w:t>surplus/(deficit)</w:t>
            </w:r>
          </w:p>
        </w:tc>
        <w:tc>
          <w:tcPr>
            <w:tcW w:w="1494" w:type="dxa"/>
          </w:tcPr>
          <w:p w14:paraId="74E82835" w14:textId="77777777" w:rsidR="004D239B" w:rsidRPr="004D239B" w:rsidRDefault="004D239B" w:rsidP="00BF2955">
            <w:pPr>
              <w:pStyle w:val="TableText"/>
              <w:ind w:hanging="14"/>
              <w:jc w:val="right"/>
              <w:rPr>
                <w:b/>
                <w:bCs/>
              </w:rPr>
            </w:pPr>
            <w:r w:rsidRPr="004D239B">
              <w:rPr>
                <w:b/>
                <w:bCs/>
              </w:rPr>
              <w:t>141,252</w:t>
            </w:r>
          </w:p>
        </w:tc>
      </w:tr>
      <w:tr w:rsidR="004D239B" w14:paraId="1D852B09" w14:textId="77777777" w:rsidTr="00090FEB">
        <w:trPr>
          <w:trHeight w:val="340"/>
        </w:trPr>
        <w:tc>
          <w:tcPr>
            <w:tcW w:w="1143" w:type="dxa"/>
          </w:tcPr>
          <w:p w14:paraId="340BFF8A" w14:textId="77777777" w:rsidR="004D239B" w:rsidRDefault="004D239B" w:rsidP="00BF2955">
            <w:pPr>
              <w:pStyle w:val="TableText"/>
              <w:ind w:hanging="14"/>
              <w:jc w:val="right"/>
              <w:rPr>
                <w:w w:val="105"/>
              </w:rPr>
            </w:pPr>
          </w:p>
        </w:tc>
        <w:tc>
          <w:tcPr>
            <w:tcW w:w="5654" w:type="dxa"/>
          </w:tcPr>
          <w:p w14:paraId="4B5725BA" w14:textId="42E54E13" w:rsidR="004D239B" w:rsidRDefault="004D239B" w:rsidP="008803C1">
            <w:pPr>
              <w:pStyle w:val="TableText"/>
              <w:ind w:left="124" w:hanging="11"/>
            </w:pPr>
            <w:r w:rsidRPr="004D239B">
              <w:rPr>
                <w:b/>
                <w:bCs/>
                <w:w w:val="110"/>
              </w:rPr>
              <w:t>Add/(less)</w:t>
            </w:r>
            <w:r w:rsidRPr="004D239B">
              <w:rPr>
                <w:b/>
                <w:bCs/>
                <w:spacing w:val="-14"/>
                <w:w w:val="110"/>
              </w:rPr>
              <w:t xml:space="preserve"> </w:t>
            </w:r>
            <w:r w:rsidRPr="004D239B">
              <w:rPr>
                <w:b/>
                <w:bCs/>
                <w:w w:val="110"/>
              </w:rPr>
              <w:t>non-cash</w:t>
            </w:r>
            <w:r w:rsidRPr="004D239B">
              <w:rPr>
                <w:b/>
                <w:bCs/>
                <w:spacing w:val="-13"/>
                <w:w w:val="110"/>
              </w:rPr>
              <w:t xml:space="preserve"> </w:t>
            </w:r>
            <w:r w:rsidRPr="004D239B">
              <w:rPr>
                <w:b/>
                <w:bCs/>
                <w:w w:val="110"/>
              </w:rPr>
              <w:t>items</w:t>
            </w:r>
          </w:p>
        </w:tc>
        <w:tc>
          <w:tcPr>
            <w:tcW w:w="1494" w:type="dxa"/>
          </w:tcPr>
          <w:p w14:paraId="694F2D2E" w14:textId="77777777" w:rsidR="004D239B" w:rsidRDefault="004D239B" w:rsidP="00BF2955">
            <w:pPr>
              <w:pStyle w:val="TableText"/>
              <w:ind w:hanging="14"/>
              <w:jc w:val="center"/>
              <w:rPr>
                <w:w w:val="105"/>
              </w:rPr>
            </w:pPr>
          </w:p>
        </w:tc>
      </w:tr>
      <w:tr w:rsidR="004D239B" w14:paraId="0FEEA119" w14:textId="77777777" w:rsidTr="00090FEB">
        <w:trPr>
          <w:trHeight w:val="340"/>
        </w:trPr>
        <w:tc>
          <w:tcPr>
            <w:tcW w:w="1143" w:type="dxa"/>
          </w:tcPr>
          <w:p w14:paraId="140D5DBD" w14:textId="77777777" w:rsidR="004D239B" w:rsidRPr="00090FEB" w:rsidRDefault="004D239B" w:rsidP="00090FEB">
            <w:pPr>
              <w:pStyle w:val="TableText"/>
              <w:jc w:val="right"/>
            </w:pPr>
            <w:r w:rsidRPr="00090FEB">
              <w:t>6,079</w:t>
            </w:r>
          </w:p>
        </w:tc>
        <w:tc>
          <w:tcPr>
            <w:tcW w:w="5654" w:type="dxa"/>
          </w:tcPr>
          <w:p w14:paraId="5FD1D6DA" w14:textId="77777777" w:rsidR="004D239B" w:rsidRDefault="004D239B" w:rsidP="008803C1">
            <w:pPr>
              <w:pStyle w:val="TableText"/>
              <w:ind w:left="124" w:hanging="11"/>
            </w:pPr>
            <w:r>
              <w:t>Depreciation</w:t>
            </w:r>
            <w:r>
              <w:rPr>
                <w:spacing w:val="21"/>
              </w:rPr>
              <w:t xml:space="preserve"> </w:t>
            </w:r>
            <w:r>
              <w:t>and</w:t>
            </w:r>
            <w:r>
              <w:rPr>
                <w:spacing w:val="22"/>
              </w:rPr>
              <w:t xml:space="preserve"> </w:t>
            </w:r>
            <w:r>
              <w:t>amortisation</w:t>
            </w:r>
            <w:r>
              <w:rPr>
                <w:spacing w:val="22"/>
              </w:rPr>
              <w:t xml:space="preserve"> </w:t>
            </w:r>
            <w:r>
              <w:t>expense</w:t>
            </w:r>
          </w:p>
        </w:tc>
        <w:tc>
          <w:tcPr>
            <w:tcW w:w="1494" w:type="dxa"/>
          </w:tcPr>
          <w:p w14:paraId="102C5612" w14:textId="77777777" w:rsidR="004D239B" w:rsidRDefault="004D239B" w:rsidP="00BF2955">
            <w:pPr>
              <w:pStyle w:val="TableText"/>
              <w:ind w:hanging="14"/>
              <w:jc w:val="right"/>
            </w:pPr>
            <w:r>
              <w:rPr>
                <w:w w:val="105"/>
              </w:rPr>
              <w:t>5,275</w:t>
            </w:r>
          </w:p>
        </w:tc>
      </w:tr>
      <w:tr w:rsidR="004D239B" w14:paraId="06250294" w14:textId="77777777" w:rsidTr="00090FEB">
        <w:trPr>
          <w:trHeight w:val="340"/>
        </w:trPr>
        <w:tc>
          <w:tcPr>
            <w:tcW w:w="1143" w:type="dxa"/>
          </w:tcPr>
          <w:p w14:paraId="50A6E42B" w14:textId="77777777" w:rsidR="004D239B" w:rsidRDefault="004D239B" w:rsidP="00BF2955">
            <w:pPr>
              <w:pStyle w:val="TableText"/>
              <w:ind w:hanging="14"/>
              <w:jc w:val="right"/>
            </w:pPr>
            <w:r>
              <w:t>3,472</w:t>
            </w:r>
          </w:p>
        </w:tc>
        <w:tc>
          <w:tcPr>
            <w:tcW w:w="5654" w:type="dxa"/>
          </w:tcPr>
          <w:p w14:paraId="2D8C2648" w14:textId="77777777" w:rsidR="004D239B" w:rsidRDefault="004D239B" w:rsidP="008803C1">
            <w:pPr>
              <w:pStyle w:val="TableText"/>
              <w:ind w:left="124" w:hanging="11"/>
            </w:pPr>
            <w:r>
              <w:rPr>
                <w:w w:val="105"/>
              </w:rPr>
              <w:t>Impairment</w:t>
            </w:r>
            <w:r>
              <w:rPr>
                <w:spacing w:val="1"/>
                <w:w w:val="105"/>
              </w:rPr>
              <w:t xml:space="preserve"> </w:t>
            </w:r>
            <w:r>
              <w:rPr>
                <w:w w:val="105"/>
              </w:rPr>
              <w:t>of</w:t>
            </w:r>
            <w:r>
              <w:rPr>
                <w:spacing w:val="1"/>
                <w:w w:val="105"/>
              </w:rPr>
              <w:t xml:space="preserve"> </w:t>
            </w:r>
            <w:r>
              <w:rPr>
                <w:w w:val="105"/>
              </w:rPr>
              <w:t>work</w:t>
            </w:r>
            <w:r>
              <w:rPr>
                <w:spacing w:val="2"/>
                <w:w w:val="105"/>
              </w:rPr>
              <w:t xml:space="preserve"> </w:t>
            </w:r>
            <w:r>
              <w:rPr>
                <w:w w:val="105"/>
              </w:rPr>
              <w:t>in</w:t>
            </w:r>
            <w:r>
              <w:rPr>
                <w:spacing w:val="1"/>
                <w:w w:val="105"/>
              </w:rPr>
              <w:t xml:space="preserve"> </w:t>
            </w:r>
            <w:r>
              <w:rPr>
                <w:w w:val="105"/>
              </w:rPr>
              <w:t>progress</w:t>
            </w:r>
            <w:r>
              <w:rPr>
                <w:spacing w:val="2"/>
                <w:w w:val="105"/>
              </w:rPr>
              <w:t xml:space="preserve"> </w:t>
            </w:r>
            <w:r>
              <w:rPr>
                <w:w w:val="105"/>
              </w:rPr>
              <w:t>intangibles</w:t>
            </w:r>
          </w:p>
        </w:tc>
        <w:tc>
          <w:tcPr>
            <w:tcW w:w="1494" w:type="dxa"/>
          </w:tcPr>
          <w:p w14:paraId="74A557C4" w14:textId="77777777" w:rsidR="004D239B" w:rsidRDefault="004D239B" w:rsidP="00BF2955">
            <w:pPr>
              <w:pStyle w:val="TableText"/>
              <w:ind w:hanging="14"/>
              <w:jc w:val="right"/>
            </w:pPr>
            <w:r>
              <w:rPr>
                <w:w w:val="135"/>
              </w:rPr>
              <w:t>–</w:t>
            </w:r>
          </w:p>
        </w:tc>
      </w:tr>
      <w:tr w:rsidR="004D239B" w:rsidRPr="004D239B" w14:paraId="18C048D4" w14:textId="77777777" w:rsidTr="00090FEB">
        <w:trPr>
          <w:trHeight w:val="340"/>
        </w:trPr>
        <w:tc>
          <w:tcPr>
            <w:tcW w:w="1143" w:type="dxa"/>
            <w:tcBorders>
              <w:bottom w:val="single" w:sz="4" w:space="0" w:color="A6A6A6" w:themeColor="background1" w:themeShade="A6"/>
            </w:tcBorders>
          </w:tcPr>
          <w:p w14:paraId="54E08B5B" w14:textId="77777777" w:rsidR="004D239B" w:rsidRPr="004D239B" w:rsidRDefault="004D239B" w:rsidP="00BF2955">
            <w:pPr>
              <w:pStyle w:val="TableText"/>
              <w:ind w:hanging="14"/>
              <w:jc w:val="right"/>
              <w:rPr>
                <w:b/>
                <w:bCs/>
              </w:rPr>
            </w:pPr>
            <w:r w:rsidRPr="004D239B">
              <w:rPr>
                <w:b/>
                <w:bCs/>
              </w:rPr>
              <w:t>9,551</w:t>
            </w:r>
          </w:p>
        </w:tc>
        <w:tc>
          <w:tcPr>
            <w:tcW w:w="5654" w:type="dxa"/>
            <w:tcBorders>
              <w:bottom w:val="single" w:sz="4" w:space="0" w:color="A6A6A6" w:themeColor="background1" w:themeShade="A6"/>
            </w:tcBorders>
          </w:tcPr>
          <w:p w14:paraId="454F069D" w14:textId="77777777" w:rsidR="004D239B" w:rsidRPr="004D239B" w:rsidRDefault="004D239B" w:rsidP="008803C1">
            <w:pPr>
              <w:pStyle w:val="TableText"/>
              <w:ind w:left="124" w:hanging="11"/>
              <w:rPr>
                <w:b/>
                <w:bCs/>
              </w:rPr>
            </w:pPr>
            <w:r w:rsidRPr="004D239B">
              <w:rPr>
                <w:b/>
                <w:bCs/>
                <w:w w:val="110"/>
              </w:rPr>
              <w:t>Total</w:t>
            </w:r>
            <w:r w:rsidRPr="004D239B">
              <w:rPr>
                <w:b/>
                <w:bCs/>
                <w:spacing w:val="-8"/>
                <w:w w:val="110"/>
              </w:rPr>
              <w:t xml:space="preserve"> </w:t>
            </w:r>
            <w:r w:rsidRPr="004D239B">
              <w:rPr>
                <w:b/>
                <w:bCs/>
                <w:w w:val="110"/>
              </w:rPr>
              <w:t>non-cash</w:t>
            </w:r>
            <w:r w:rsidRPr="004D239B">
              <w:rPr>
                <w:b/>
                <w:bCs/>
                <w:spacing w:val="-8"/>
                <w:w w:val="110"/>
              </w:rPr>
              <w:t xml:space="preserve"> </w:t>
            </w:r>
            <w:r w:rsidRPr="004D239B">
              <w:rPr>
                <w:b/>
                <w:bCs/>
                <w:w w:val="110"/>
              </w:rPr>
              <w:t>items</w:t>
            </w:r>
          </w:p>
        </w:tc>
        <w:tc>
          <w:tcPr>
            <w:tcW w:w="1494" w:type="dxa"/>
            <w:tcBorders>
              <w:bottom w:val="single" w:sz="4" w:space="0" w:color="A6A6A6" w:themeColor="background1" w:themeShade="A6"/>
            </w:tcBorders>
          </w:tcPr>
          <w:p w14:paraId="03BD85BD" w14:textId="77777777" w:rsidR="004D239B" w:rsidRPr="004D239B" w:rsidRDefault="004D239B" w:rsidP="00BF2955">
            <w:pPr>
              <w:pStyle w:val="TableText"/>
              <w:ind w:hanging="14"/>
              <w:jc w:val="right"/>
              <w:rPr>
                <w:b/>
                <w:bCs/>
              </w:rPr>
            </w:pPr>
            <w:r w:rsidRPr="004D239B">
              <w:rPr>
                <w:b/>
                <w:bCs/>
                <w:w w:val="105"/>
              </w:rPr>
              <w:t>5,275</w:t>
            </w:r>
          </w:p>
        </w:tc>
      </w:tr>
      <w:tr w:rsidR="004D239B" w:rsidRPr="004D239B" w14:paraId="0449D7CC" w14:textId="77777777" w:rsidTr="00090FEB">
        <w:trPr>
          <w:trHeight w:val="340"/>
        </w:trPr>
        <w:tc>
          <w:tcPr>
            <w:tcW w:w="1143" w:type="dxa"/>
            <w:tcBorders>
              <w:top w:val="single" w:sz="4" w:space="0" w:color="A6A6A6" w:themeColor="background1" w:themeShade="A6"/>
            </w:tcBorders>
          </w:tcPr>
          <w:p w14:paraId="23B6A417" w14:textId="77777777" w:rsidR="004D239B" w:rsidRPr="004D239B" w:rsidRDefault="004D239B" w:rsidP="00BF2955">
            <w:pPr>
              <w:pStyle w:val="TableText"/>
              <w:ind w:hanging="14"/>
              <w:jc w:val="right"/>
              <w:rPr>
                <w:rFonts w:ascii="Times New Roman"/>
                <w:b/>
                <w:bCs/>
              </w:rPr>
            </w:pPr>
          </w:p>
        </w:tc>
        <w:tc>
          <w:tcPr>
            <w:tcW w:w="5654" w:type="dxa"/>
            <w:tcBorders>
              <w:top w:val="single" w:sz="4" w:space="0" w:color="A6A6A6" w:themeColor="background1" w:themeShade="A6"/>
            </w:tcBorders>
          </w:tcPr>
          <w:p w14:paraId="30C1CD3D" w14:textId="77777777" w:rsidR="004D239B" w:rsidRPr="004D239B" w:rsidRDefault="004D239B" w:rsidP="008803C1">
            <w:pPr>
              <w:pStyle w:val="TableText"/>
              <w:ind w:left="124" w:hanging="11"/>
              <w:rPr>
                <w:b/>
                <w:bCs/>
              </w:rPr>
            </w:pPr>
            <w:r w:rsidRPr="004D239B">
              <w:rPr>
                <w:b/>
                <w:bCs/>
                <w:w w:val="105"/>
              </w:rPr>
              <w:t>Add/(less)</w:t>
            </w:r>
            <w:r w:rsidRPr="004D239B">
              <w:rPr>
                <w:b/>
                <w:bCs/>
                <w:spacing w:val="13"/>
                <w:w w:val="105"/>
              </w:rPr>
              <w:t xml:space="preserve"> </w:t>
            </w:r>
            <w:r w:rsidRPr="004D239B">
              <w:rPr>
                <w:b/>
                <w:bCs/>
                <w:w w:val="105"/>
              </w:rPr>
              <w:t>items</w:t>
            </w:r>
            <w:r w:rsidRPr="004D239B">
              <w:rPr>
                <w:b/>
                <w:bCs/>
                <w:spacing w:val="14"/>
                <w:w w:val="105"/>
              </w:rPr>
              <w:t xml:space="preserve"> </w:t>
            </w:r>
            <w:r w:rsidRPr="004D239B">
              <w:rPr>
                <w:b/>
                <w:bCs/>
                <w:w w:val="105"/>
              </w:rPr>
              <w:t>classified</w:t>
            </w:r>
            <w:r w:rsidRPr="004D239B">
              <w:rPr>
                <w:b/>
                <w:bCs/>
                <w:spacing w:val="14"/>
                <w:w w:val="105"/>
              </w:rPr>
              <w:t xml:space="preserve"> </w:t>
            </w:r>
            <w:r w:rsidRPr="004D239B">
              <w:rPr>
                <w:b/>
                <w:bCs/>
                <w:w w:val="105"/>
              </w:rPr>
              <w:t>as</w:t>
            </w:r>
            <w:r w:rsidRPr="004D239B">
              <w:rPr>
                <w:b/>
                <w:bCs/>
                <w:spacing w:val="14"/>
                <w:w w:val="105"/>
              </w:rPr>
              <w:t xml:space="preserve"> </w:t>
            </w:r>
            <w:r w:rsidRPr="004D239B">
              <w:rPr>
                <w:b/>
                <w:bCs/>
                <w:w w:val="105"/>
              </w:rPr>
              <w:t>investing</w:t>
            </w:r>
            <w:r w:rsidRPr="004D239B">
              <w:rPr>
                <w:b/>
                <w:bCs/>
                <w:spacing w:val="14"/>
                <w:w w:val="105"/>
              </w:rPr>
              <w:t xml:space="preserve"> </w:t>
            </w:r>
            <w:r w:rsidRPr="004D239B">
              <w:rPr>
                <w:b/>
                <w:bCs/>
                <w:w w:val="105"/>
              </w:rPr>
              <w:t>or</w:t>
            </w:r>
            <w:r w:rsidRPr="004D239B">
              <w:rPr>
                <w:b/>
                <w:bCs/>
                <w:spacing w:val="13"/>
                <w:w w:val="105"/>
              </w:rPr>
              <w:t xml:space="preserve"> </w:t>
            </w:r>
            <w:r w:rsidRPr="004D239B">
              <w:rPr>
                <w:b/>
                <w:bCs/>
                <w:w w:val="105"/>
              </w:rPr>
              <w:t>financing</w:t>
            </w:r>
            <w:r w:rsidRPr="004D239B">
              <w:rPr>
                <w:b/>
                <w:bCs/>
                <w:spacing w:val="14"/>
                <w:w w:val="105"/>
              </w:rPr>
              <w:t xml:space="preserve"> </w:t>
            </w:r>
            <w:r w:rsidRPr="004D239B">
              <w:rPr>
                <w:b/>
                <w:bCs/>
                <w:w w:val="105"/>
              </w:rPr>
              <w:t>activities</w:t>
            </w:r>
          </w:p>
        </w:tc>
        <w:tc>
          <w:tcPr>
            <w:tcW w:w="1494" w:type="dxa"/>
            <w:tcBorders>
              <w:top w:val="single" w:sz="4" w:space="0" w:color="A6A6A6" w:themeColor="background1" w:themeShade="A6"/>
            </w:tcBorders>
          </w:tcPr>
          <w:p w14:paraId="15EB708F" w14:textId="77777777" w:rsidR="004D239B" w:rsidRPr="004D239B" w:rsidRDefault="004D239B" w:rsidP="00BF2955">
            <w:pPr>
              <w:pStyle w:val="TableText"/>
              <w:ind w:hanging="14"/>
              <w:jc w:val="right"/>
              <w:rPr>
                <w:rFonts w:ascii="Times New Roman"/>
                <w:b/>
                <w:bCs/>
              </w:rPr>
            </w:pPr>
          </w:p>
        </w:tc>
      </w:tr>
      <w:tr w:rsidR="004D239B" w14:paraId="2362A60E" w14:textId="77777777" w:rsidTr="00090FEB">
        <w:trPr>
          <w:trHeight w:val="340"/>
        </w:trPr>
        <w:tc>
          <w:tcPr>
            <w:tcW w:w="1143" w:type="dxa"/>
          </w:tcPr>
          <w:p w14:paraId="1FE86947" w14:textId="77777777" w:rsidR="004D239B" w:rsidRDefault="004D239B" w:rsidP="00BF2955">
            <w:pPr>
              <w:pStyle w:val="TableText"/>
              <w:ind w:hanging="14"/>
              <w:jc w:val="right"/>
            </w:pPr>
            <w:r>
              <w:rPr>
                <w:w w:val="115"/>
              </w:rPr>
              <w:t>69</w:t>
            </w:r>
          </w:p>
        </w:tc>
        <w:tc>
          <w:tcPr>
            <w:tcW w:w="5654" w:type="dxa"/>
          </w:tcPr>
          <w:p w14:paraId="321B9D2A" w14:textId="77777777" w:rsidR="004D239B" w:rsidRDefault="004D239B" w:rsidP="008803C1">
            <w:pPr>
              <w:pStyle w:val="TableText"/>
              <w:ind w:left="124" w:hanging="11"/>
            </w:pPr>
            <w:r>
              <w:rPr>
                <w:w w:val="105"/>
              </w:rPr>
              <w:t>(Gains)/losses</w:t>
            </w:r>
            <w:r>
              <w:rPr>
                <w:spacing w:val="-4"/>
                <w:w w:val="105"/>
              </w:rPr>
              <w:t xml:space="preserve"> </w:t>
            </w:r>
            <w:r>
              <w:rPr>
                <w:w w:val="105"/>
              </w:rPr>
              <w:t>on</w:t>
            </w:r>
            <w:r>
              <w:rPr>
                <w:spacing w:val="-4"/>
                <w:w w:val="105"/>
              </w:rPr>
              <w:t xml:space="preserve"> </w:t>
            </w:r>
            <w:r>
              <w:rPr>
                <w:w w:val="105"/>
              </w:rPr>
              <w:t>disposal</w:t>
            </w:r>
            <w:r>
              <w:rPr>
                <w:spacing w:val="-4"/>
                <w:w w:val="105"/>
              </w:rPr>
              <w:t xml:space="preserve"> </w:t>
            </w:r>
            <w:r>
              <w:rPr>
                <w:w w:val="105"/>
              </w:rPr>
              <w:t>of</w:t>
            </w:r>
            <w:r>
              <w:rPr>
                <w:spacing w:val="-4"/>
                <w:w w:val="105"/>
              </w:rPr>
              <w:t xml:space="preserve"> </w:t>
            </w:r>
            <w:r>
              <w:rPr>
                <w:w w:val="105"/>
              </w:rPr>
              <w:t>property,</w:t>
            </w:r>
            <w:r>
              <w:rPr>
                <w:spacing w:val="-4"/>
                <w:w w:val="105"/>
              </w:rPr>
              <w:t xml:space="preserve"> </w:t>
            </w:r>
            <w:r>
              <w:rPr>
                <w:w w:val="105"/>
              </w:rPr>
              <w:t>plant</w:t>
            </w:r>
            <w:r>
              <w:rPr>
                <w:spacing w:val="-4"/>
                <w:w w:val="105"/>
              </w:rPr>
              <w:t xml:space="preserve"> </w:t>
            </w:r>
            <w:r>
              <w:rPr>
                <w:w w:val="105"/>
              </w:rPr>
              <w:t>and</w:t>
            </w:r>
            <w:r>
              <w:rPr>
                <w:spacing w:val="-4"/>
                <w:w w:val="105"/>
              </w:rPr>
              <w:t xml:space="preserve"> </w:t>
            </w:r>
            <w:r>
              <w:rPr>
                <w:w w:val="105"/>
              </w:rPr>
              <w:t>equipment</w:t>
            </w:r>
          </w:p>
        </w:tc>
        <w:tc>
          <w:tcPr>
            <w:tcW w:w="1494" w:type="dxa"/>
          </w:tcPr>
          <w:p w14:paraId="68691BF6" w14:textId="77777777" w:rsidR="004D239B" w:rsidRPr="004D239B" w:rsidRDefault="004D239B" w:rsidP="00BF2955">
            <w:pPr>
              <w:pStyle w:val="TableText"/>
              <w:ind w:hanging="14"/>
              <w:jc w:val="right"/>
            </w:pPr>
            <w:r w:rsidRPr="004D239B">
              <w:t>18</w:t>
            </w:r>
          </w:p>
        </w:tc>
      </w:tr>
      <w:tr w:rsidR="004D239B" w:rsidRPr="004D239B" w14:paraId="01E8BECB" w14:textId="77777777" w:rsidTr="00090FEB">
        <w:trPr>
          <w:trHeight w:val="340"/>
        </w:trPr>
        <w:tc>
          <w:tcPr>
            <w:tcW w:w="1143" w:type="dxa"/>
            <w:tcBorders>
              <w:bottom w:val="single" w:sz="4" w:space="0" w:color="A6A6A6" w:themeColor="background1" w:themeShade="A6"/>
            </w:tcBorders>
          </w:tcPr>
          <w:p w14:paraId="1A8919F7" w14:textId="77777777" w:rsidR="004D239B" w:rsidRPr="004D239B" w:rsidRDefault="004D239B" w:rsidP="00BF2955">
            <w:pPr>
              <w:pStyle w:val="TableText"/>
              <w:ind w:hanging="14"/>
              <w:jc w:val="right"/>
              <w:rPr>
                <w:b/>
                <w:bCs/>
              </w:rPr>
            </w:pPr>
            <w:r w:rsidRPr="004D239B">
              <w:rPr>
                <w:b/>
                <w:bCs/>
                <w:w w:val="115"/>
              </w:rPr>
              <w:t>69</w:t>
            </w:r>
          </w:p>
        </w:tc>
        <w:tc>
          <w:tcPr>
            <w:tcW w:w="5654" w:type="dxa"/>
            <w:tcBorders>
              <w:bottom w:val="single" w:sz="4" w:space="0" w:color="A6A6A6" w:themeColor="background1" w:themeShade="A6"/>
            </w:tcBorders>
          </w:tcPr>
          <w:p w14:paraId="18B5D906" w14:textId="77777777" w:rsidR="004D239B" w:rsidRPr="004D239B" w:rsidRDefault="004D239B" w:rsidP="008803C1">
            <w:pPr>
              <w:pStyle w:val="TableText"/>
              <w:ind w:left="124" w:hanging="11"/>
              <w:rPr>
                <w:b/>
                <w:bCs/>
              </w:rPr>
            </w:pPr>
            <w:r w:rsidRPr="004D239B">
              <w:rPr>
                <w:b/>
                <w:bCs/>
                <w:w w:val="105"/>
              </w:rPr>
              <w:t>Total</w:t>
            </w:r>
            <w:r w:rsidRPr="004D239B">
              <w:rPr>
                <w:b/>
                <w:bCs/>
                <w:spacing w:val="13"/>
                <w:w w:val="105"/>
              </w:rPr>
              <w:t xml:space="preserve"> </w:t>
            </w:r>
            <w:r w:rsidRPr="004D239B">
              <w:rPr>
                <w:b/>
                <w:bCs/>
                <w:w w:val="105"/>
              </w:rPr>
              <w:t>items</w:t>
            </w:r>
            <w:r w:rsidRPr="004D239B">
              <w:rPr>
                <w:b/>
                <w:bCs/>
                <w:spacing w:val="13"/>
                <w:w w:val="105"/>
              </w:rPr>
              <w:t xml:space="preserve"> </w:t>
            </w:r>
            <w:r w:rsidRPr="004D239B">
              <w:rPr>
                <w:b/>
                <w:bCs/>
                <w:w w:val="105"/>
              </w:rPr>
              <w:t>classified</w:t>
            </w:r>
            <w:r w:rsidRPr="004D239B">
              <w:rPr>
                <w:b/>
                <w:bCs/>
                <w:spacing w:val="13"/>
                <w:w w:val="105"/>
              </w:rPr>
              <w:t xml:space="preserve"> </w:t>
            </w:r>
            <w:r w:rsidRPr="004D239B">
              <w:rPr>
                <w:b/>
                <w:bCs/>
                <w:w w:val="105"/>
              </w:rPr>
              <w:t>as</w:t>
            </w:r>
            <w:r w:rsidRPr="004D239B">
              <w:rPr>
                <w:b/>
                <w:bCs/>
                <w:spacing w:val="13"/>
                <w:w w:val="105"/>
              </w:rPr>
              <w:t xml:space="preserve"> </w:t>
            </w:r>
            <w:r w:rsidRPr="004D239B">
              <w:rPr>
                <w:b/>
                <w:bCs/>
                <w:w w:val="105"/>
              </w:rPr>
              <w:t>investing</w:t>
            </w:r>
            <w:r w:rsidRPr="004D239B">
              <w:rPr>
                <w:b/>
                <w:bCs/>
                <w:spacing w:val="13"/>
                <w:w w:val="105"/>
              </w:rPr>
              <w:t xml:space="preserve"> </w:t>
            </w:r>
            <w:r w:rsidRPr="004D239B">
              <w:rPr>
                <w:b/>
                <w:bCs/>
                <w:w w:val="105"/>
              </w:rPr>
              <w:t>or</w:t>
            </w:r>
            <w:r w:rsidRPr="004D239B">
              <w:rPr>
                <w:b/>
                <w:bCs/>
                <w:spacing w:val="13"/>
                <w:w w:val="105"/>
              </w:rPr>
              <w:t xml:space="preserve"> </w:t>
            </w:r>
            <w:r w:rsidRPr="004D239B">
              <w:rPr>
                <w:b/>
                <w:bCs/>
                <w:w w:val="105"/>
              </w:rPr>
              <w:t>financing</w:t>
            </w:r>
            <w:r w:rsidRPr="004D239B">
              <w:rPr>
                <w:b/>
                <w:bCs/>
                <w:spacing w:val="13"/>
                <w:w w:val="105"/>
              </w:rPr>
              <w:t xml:space="preserve"> </w:t>
            </w:r>
            <w:r w:rsidRPr="004D239B">
              <w:rPr>
                <w:b/>
                <w:bCs/>
                <w:w w:val="105"/>
              </w:rPr>
              <w:t>activities</w:t>
            </w:r>
          </w:p>
        </w:tc>
        <w:tc>
          <w:tcPr>
            <w:tcW w:w="1494" w:type="dxa"/>
            <w:tcBorders>
              <w:bottom w:val="single" w:sz="4" w:space="0" w:color="A6A6A6" w:themeColor="background1" w:themeShade="A6"/>
            </w:tcBorders>
          </w:tcPr>
          <w:p w14:paraId="135368D0" w14:textId="77777777" w:rsidR="004D239B" w:rsidRPr="004D239B" w:rsidRDefault="004D239B" w:rsidP="00BF2955">
            <w:pPr>
              <w:pStyle w:val="TableText"/>
              <w:ind w:hanging="14"/>
              <w:jc w:val="right"/>
              <w:rPr>
                <w:b/>
                <w:bCs/>
              </w:rPr>
            </w:pPr>
            <w:r w:rsidRPr="004D239B">
              <w:rPr>
                <w:b/>
                <w:bCs/>
              </w:rPr>
              <w:t>18</w:t>
            </w:r>
          </w:p>
        </w:tc>
      </w:tr>
      <w:tr w:rsidR="004D239B" w:rsidRPr="004D239B" w14:paraId="5956DC21" w14:textId="77777777" w:rsidTr="00090FEB">
        <w:trPr>
          <w:trHeight w:val="340"/>
        </w:trPr>
        <w:tc>
          <w:tcPr>
            <w:tcW w:w="1143" w:type="dxa"/>
            <w:tcBorders>
              <w:top w:val="single" w:sz="4" w:space="0" w:color="A6A6A6" w:themeColor="background1" w:themeShade="A6"/>
            </w:tcBorders>
          </w:tcPr>
          <w:p w14:paraId="58EC334F" w14:textId="77777777" w:rsidR="004D239B" w:rsidRPr="004D239B" w:rsidRDefault="004D239B" w:rsidP="00BF2955">
            <w:pPr>
              <w:pStyle w:val="TableText"/>
              <w:ind w:hanging="14"/>
              <w:jc w:val="right"/>
              <w:rPr>
                <w:rFonts w:ascii="Times New Roman"/>
                <w:b/>
                <w:bCs/>
              </w:rPr>
            </w:pPr>
          </w:p>
        </w:tc>
        <w:tc>
          <w:tcPr>
            <w:tcW w:w="5654" w:type="dxa"/>
            <w:tcBorders>
              <w:top w:val="single" w:sz="4" w:space="0" w:color="A6A6A6" w:themeColor="background1" w:themeShade="A6"/>
            </w:tcBorders>
          </w:tcPr>
          <w:p w14:paraId="78793511" w14:textId="77777777" w:rsidR="004D239B" w:rsidRPr="004D239B" w:rsidRDefault="004D239B" w:rsidP="008803C1">
            <w:pPr>
              <w:pStyle w:val="TableText"/>
              <w:ind w:left="124" w:hanging="11"/>
              <w:rPr>
                <w:b/>
                <w:bCs/>
              </w:rPr>
            </w:pPr>
            <w:r w:rsidRPr="004D239B">
              <w:rPr>
                <w:b/>
                <w:bCs/>
                <w:w w:val="105"/>
              </w:rPr>
              <w:t>Add/(less)</w:t>
            </w:r>
            <w:r w:rsidRPr="004D239B">
              <w:rPr>
                <w:b/>
                <w:bCs/>
                <w:spacing w:val="9"/>
                <w:w w:val="105"/>
              </w:rPr>
              <w:t xml:space="preserve"> </w:t>
            </w:r>
            <w:r w:rsidRPr="004D239B">
              <w:rPr>
                <w:b/>
                <w:bCs/>
                <w:w w:val="105"/>
              </w:rPr>
              <w:t>movements</w:t>
            </w:r>
            <w:r w:rsidRPr="004D239B">
              <w:rPr>
                <w:b/>
                <w:bCs/>
                <w:spacing w:val="9"/>
                <w:w w:val="105"/>
              </w:rPr>
              <w:t xml:space="preserve"> </w:t>
            </w:r>
            <w:r w:rsidRPr="004D239B">
              <w:rPr>
                <w:b/>
                <w:bCs/>
                <w:w w:val="105"/>
              </w:rPr>
              <w:t>in</w:t>
            </w:r>
            <w:r w:rsidRPr="004D239B">
              <w:rPr>
                <w:b/>
                <w:bCs/>
                <w:spacing w:val="10"/>
                <w:w w:val="105"/>
              </w:rPr>
              <w:t xml:space="preserve"> </w:t>
            </w:r>
            <w:r w:rsidRPr="004D239B">
              <w:rPr>
                <w:b/>
                <w:bCs/>
                <w:w w:val="105"/>
              </w:rPr>
              <w:t>working</w:t>
            </w:r>
            <w:r w:rsidRPr="004D239B">
              <w:rPr>
                <w:b/>
                <w:bCs/>
                <w:spacing w:val="9"/>
                <w:w w:val="105"/>
              </w:rPr>
              <w:t xml:space="preserve"> </w:t>
            </w:r>
            <w:r w:rsidRPr="004D239B">
              <w:rPr>
                <w:b/>
                <w:bCs/>
                <w:w w:val="105"/>
              </w:rPr>
              <w:t>capital</w:t>
            </w:r>
            <w:r w:rsidRPr="004D239B">
              <w:rPr>
                <w:b/>
                <w:bCs/>
                <w:spacing w:val="9"/>
                <w:w w:val="105"/>
              </w:rPr>
              <w:t xml:space="preserve"> </w:t>
            </w:r>
            <w:r w:rsidRPr="004D239B">
              <w:rPr>
                <w:b/>
                <w:bCs/>
                <w:w w:val="105"/>
              </w:rPr>
              <w:t>items</w:t>
            </w:r>
          </w:p>
        </w:tc>
        <w:tc>
          <w:tcPr>
            <w:tcW w:w="1494" w:type="dxa"/>
            <w:tcBorders>
              <w:top w:val="single" w:sz="4" w:space="0" w:color="A6A6A6" w:themeColor="background1" w:themeShade="A6"/>
            </w:tcBorders>
          </w:tcPr>
          <w:p w14:paraId="5CF5B613" w14:textId="77777777" w:rsidR="004D239B" w:rsidRPr="004D239B" w:rsidRDefault="004D239B" w:rsidP="00BF2955">
            <w:pPr>
              <w:pStyle w:val="TableText"/>
              <w:ind w:hanging="14"/>
              <w:jc w:val="right"/>
              <w:rPr>
                <w:rFonts w:ascii="Times New Roman"/>
                <w:b/>
                <w:bCs/>
              </w:rPr>
            </w:pPr>
          </w:p>
        </w:tc>
      </w:tr>
      <w:tr w:rsidR="004D239B" w14:paraId="3473EBC6" w14:textId="77777777" w:rsidTr="00090FEB">
        <w:trPr>
          <w:trHeight w:val="340"/>
        </w:trPr>
        <w:tc>
          <w:tcPr>
            <w:tcW w:w="1143" w:type="dxa"/>
          </w:tcPr>
          <w:p w14:paraId="7447C709" w14:textId="77777777" w:rsidR="004D239B" w:rsidRDefault="004D239B" w:rsidP="00BF2955">
            <w:pPr>
              <w:pStyle w:val="TableText"/>
              <w:ind w:hanging="14"/>
              <w:jc w:val="right"/>
            </w:pPr>
            <w:r>
              <w:rPr>
                <w:w w:val="110"/>
              </w:rPr>
              <w:t>(9,975)</w:t>
            </w:r>
          </w:p>
        </w:tc>
        <w:tc>
          <w:tcPr>
            <w:tcW w:w="5654" w:type="dxa"/>
          </w:tcPr>
          <w:p w14:paraId="00AB9770" w14:textId="77777777" w:rsidR="004D239B" w:rsidRDefault="004D239B" w:rsidP="008803C1">
            <w:pPr>
              <w:pStyle w:val="TableText"/>
              <w:ind w:left="124" w:hanging="11"/>
            </w:pPr>
            <w:r>
              <w:t>(Increase)/decrease</w:t>
            </w:r>
            <w:r>
              <w:rPr>
                <w:spacing w:val="34"/>
              </w:rPr>
              <w:t xml:space="preserve"> </w:t>
            </w:r>
            <w:r>
              <w:t>in</w:t>
            </w:r>
            <w:r>
              <w:rPr>
                <w:spacing w:val="34"/>
              </w:rPr>
              <w:t xml:space="preserve"> </w:t>
            </w:r>
            <w:r>
              <w:t>receivables</w:t>
            </w:r>
          </w:p>
        </w:tc>
        <w:tc>
          <w:tcPr>
            <w:tcW w:w="1494" w:type="dxa"/>
          </w:tcPr>
          <w:p w14:paraId="51DD5E35" w14:textId="77777777" w:rsidR="004D239B" w:rsidRDefault="004D239B" w:rsidP="00BF2955">
            <w:pPr>
              <w:pStyle w:val="TableText"/>
              <w:ind w:hanging="14"/>
              <w:jc w:val="right"/>
            </w:pPr>
            <w:r>
              <w:t>3,377</w:t>
            </w:r>
          </w:p>
        </w:tc>
      </w:tr>
      <w:tr w:rsidR="004D239B" w14:paraId="29FCFF1E" w14:textId="77777777" w:rsidTr="00090FEB">
        <w:trPr>
          <w:trHeight w:val="340"/>
        </w:trPr>
        <w:tc>
          <w:tcPr>
            <w:tcW w:w="1143" w:type="dxa"/>
          </w:tcPr>
          <w:p w14:paraId="5E28EC09" w14:textId="77777777" w:rsidR="004D239B" w:rsidRDefault="004D239B" w:rsidP="00BF2955">
            <w:pPr>
              <w:pStyle w:val="TableText"/>
              <w:ind w:hanging="14"/>
              <w:jc w:val="right"/>
            </w:pPr>
            <w:r>
              <w:t>(49,671)</w:t>
            </w:r>
          </w:p>
        </w:tc>
        <w:tc>
          <w:tcPr>
            <w:tcW w:w="5654" w:type="dxa"/>
          </w:tcPr>
          <w:p w14:paraId="62F3FEB1" w14:textId="77777777" w:rsidR="004D239B" w:rsidRDefault="004D239B" w:rsidP="008803C1">
            <w:pPr>
              <w:pStyle w:val="TableText"/>
              <w:ind w:left="124" w:hanging="11"/>
            </w:pPr>
            <w:r>
              <w:t>(Increase)/decrease</w:t>
            </w:r>
            <w:r>
              <w:rPr>
                <w:spacing w:val="20"/>
              </w:rPr>
              <w:t xml:space="preserve"> </w:t>
            </w:r>
            <w:r>
              <w:t>in</w:t>
            </w:r>
            <w:r>
              <w:rPr>
                <w:spacing w:val="21"/>
              </w:rPr>
              <w:t xml:space="preserve"> </w:t>
            </w:r>
            <w:r>
              <w:t>Debtor</w:t>
            </w:r>
            <w:r>
              <w:rPr>
                <w:spacing w:val="21"/>
              </w:rPr>
              <w:t xml:space="preserve"> </w:t>
            </w:r>
            <w:r>
              <w:t>Crown</w:t>
            </w:r>
          </w:p>
        </w:tc>
        <w:tc>
          <w:tcPr>
            <w:tcW w:w="1494" w:type="dxa"/>
          </w:tcPr>
          <w:p w14:paraId="457EBBF2" w14:textId="77777777" w:rsidR="004D239B" w:rsidRDefault="004D239B" w:rsidP="00BF2955">
            <w:pPr>
              <w:pStyle w:val="TableText"/>
              <w:ind w:hanging="14"/>
              <w:jc w:val="right"/>
            </w:pPr>
            <w:r>
              <w:t>(152,578)</w:t>
            </w:r>
          </w:p>
        </w:tc>
      </w:tr>
      <w:tr w:rsidR="004D239B" w14:paraId="1254421D" w14:textId="77777777" w:rsidTr="00090FEB">
        <w:trPr>
          <w:trHeight w:val="340"/>
        </w:trPr>
        <w:tc>
          <w:tcPr>
            <w:tcW w:w="1143" w:type="dxa"/>
          </w:tcPr>
          <w:p w14:paraId="69D3F152" w14:textId="77777777" w:rsidR="004D239B" w:rsidRDefault="004D239B" w:rsidP="00BF2955">
            <w:pPr>
              <w:pStyle w:val="TableText"/>
              <w:ind w:hanging="14"/>
              <w:jc w:val="right"/>
            </w:pPr>
            <w:r>
              <w:rPr>
                <w:w w:val="110"/>
              </w:rPr>
              <w:t>(325)</w:t>
            </w:r>
          </w:p>
        </w:tc>
        <w:tc>
          <w:tcPr>
            <w:tcW w:w="5654" w:type="dxa"/>
          </w:tcPr>
          <w:p w14:paraId="02DDC550" w14:textId="77777777" w:rsidR="004D239B" w:rsidRDefault="004D239B" w:rsidP="008803C1">
            <w:pPr>
              <w:pStyle w:val="TableText"/>
              <w:ind w:left="124" w:hanging="11"/>
            </w:pPr>
            <w:r>
              <w:rPr>
                <w:w w:val="105"/>
              </w:rPr>
              <w:t>(Increase)/decrease</w:t>
            </w:r>
            <w:r>
              <w:rPr>
                <w:spacing w:val="-9"/>
                <w:w w:val="105"/>
              </w:rPr>
              <w:t xml:space="preserve"> </w:t>
            </w:r>
            <w:r>
              <w:rPr>
                <w:w w:val="105"/>
              </w:rPr>
              <w:t>in</w:t>
            </w:r>
            <w:r>
              <w:rPr>
                <w:spacing w:val="-8"/>
                <w:w w:val="105"/>
              </w:rPr>
              <w:t xml:space="preserve"> </w:t>
            </w:r>
            <w:r>
              <w:rPr>
                <w:w w:val="105"/>
              </w:rPr>
              <w:t>prepayments</w:t>
            </w:r>
          </w:p>
        </w:tc>
        <w:tc>
          <w:tcPr>
            <w:tcW w:w="1494" w:type="dxa"/>
          </w:tcPr>
          <w:p w14:paraId="10E73E78" w14:textId="77777777" w:rsidR="004D239B" w:rsidRDefault="004D239B" w:rsidP="00BF2955">
            <w:pPr>
              <w:pStyle w:val="TableText"/>
              <w:ind w:hanging="14"/>
              <w:jc w:val="right"/>
            </w:pPr>
            <w:r>
              <w:rPr>
                <w:w w:val="105"/>
              </w:rPr>
              <w:t>(4,877)</w:t>
            </w:r>
          </w:p>
        </w:tc>
      </w:tr>
      <w:tr w:rsidR="004D239B" w14:paraId="498470D9" w14:textId="77777777" w:rsidTr="00090FEB">
        <w:trPr>
          <w:trHeight w:val="340"/>
        </w:trPr>
        <w:tc>
          <w:tcPr>
            <w:tcW w:w="1143" w:type="dxa"/>
          </w:tcPr>
          <w:p w14:paraId="457905B6" w14:textId="77777777" w:rsidR="004D239B" w:rsidRDefault="004D239B" w:rsidP="00BF2955">
            <w:pPr>
              <w:pStyle w:val="TableText"/>
              <w:ind w:hanging="14"/>
              <w:jc w:val="right"/>
            </w:pPr>
            <w:r>
              <w:t>29,317</w:t>
            </w:r>
          </w:p>
        </w:tc>
        <w:tc>
          <w:tcPr>
            <w:tcW w:w="5654" w:type="dxa"/>
          </w:tcPr>
          <w:p w14:paraId="4EDCF347" w14:textId="77777777" w:rsidR="004D239B" w:rsidRDefault="004D239B" w:rsidP="008803C1">
            <w:pPr>
              <w:pStyle w:val="TableText"/>
              <w:ind w:left="124" w:hanging="11"/>
            </w:pPr>
            <w:r>
              <w:rPr>
                <w:w w:val="105"/>
              </w:rPr>
              <w:t>Increase/(decrease)</w:t>
            </w:r>
            <w:r>
              <w:rPr>
                <w:spacing w:val="-9"/>
                <w:w w:val="105"/>
              </w:rPr>
              <w:t xml:space="preserve"> </w:t>
            </w:r>
            <w:r>
              <w:rPr>
                <w:w w:val="105"/>
              </w:rPr>
              <w:t>in</w:t>
            </w:r>
            <w:r>
              <w:rPr>
                <w:spacing w:val="-9"/>
                <w:w w:val="105"/>
              </w:rPr>
              <w:t xml:space="preserve"> </w:t>
            </w:r>
            <w:r>
              <w:rPr>
                <w:w w:val="105"/>
              </w:rPr>
              <w:t>payables*</w:t>
            </w:r>
          </w:p>
        </w:tc>
        <w:tc>
          <w:tcPr>
            <w:tcW w:w="1494" w:type="dxa"/>
          </w:tcPr>
          <w:p w14:paraId="0D6DD4AC" w14:textId="77777777" w:rsidR="004D239B" w:rsidRDefault="004D239B" w:rsidP="00BF2955">
            <w:pPr>
              <w:pStyle w:val="TableText"/>
              <w:ind w:hanging="14"/>
              <w:jc w:val="right"/>
            </w:pPr>
            <w:r>
              <w:rPr>
                <w:w w:val="105"/>
              </w:rPr>
              <w:t>52,822</w:t>
            </w:r>
          </w:p>
        </w:tc>
      </w:tr>
      <w:tr w:rsidR="004D239B" w14:paraId="35FFA4B4" w14:textId="77777777" w:rsidTr="00090FEB">
        <w:trPr>
          <w:trHeight w:val="340"/>
        </w:trPr>
        <w:tc>
          <w:tcPr>
            <w:tcW w:w="1143" w:type="dxa"/>
          </w:tcPr>
          <w:p w14:paraId="78EA0EAB" w14:textId="77777777" w:rsidR="004D239B" w:rsidRDefault="004D239B" w:rsidP="00BF2955">
            <w:pPr>
              <w:pStyle w:val="TableText"/>
              <w:ind w:hanging="14"/>
              <w:jc w:val="right"/>
            </w:pPr>
            <w:r>
              <w:t>(214)</w:t>
            </w:r>
          </w:p>
        </w:tc>
        <w:tc>
          <w:tcPr>
            <w:tcW w:w="5654" w:type="dxa"/>
          </w:tcPr>
          <w:p w14:paraId="4641AE28" w14:textId="77777777" w:rsidR="004D239B" w:rsidRDefault="004D239B" w:rsidP="008803C1">
            <w:pPr>
              <w:pStyle w:val="TableText"/>
              <w:ind w:left="124" w:hanging="11"/>
            </w:pPr>
            <w:r>
              <w:rPr>
                <w:w w:val="105"/>
              </w:rPr>
              <w:t>Increase/(decrease)</w:t>
            </w:r>
            <w:r>
              <w:rPr>
                <w:spacing w:val="4"/>
                <w:w w:val="105"/>
              </w:rPr>
              <w:t xml:space="preserve"> </w:t>
            </w:r>
            <w:r>
              <w:rPr>
                <w:w w:val="105"/>
              </w:rPr>
              <w:t>in</w:t>
            </w:r>
            <w:r>
              <w:rPr>
                <w:spacing w:val="4"/>
                <w:w w:val="105"/>
              </w:rPr>
              <w:t xml:space="preserve"> </w:t>
            </w:r>
            <w:r>
              <w:rPr>
                <w:w w:val="105"/>
              </w:rPr>
              <w:t>provisions</w:t>
            </w:r>
          </w:p>
        </w:tc>
        <w:tc>
          <w:tcPr>
            <w:tcW w:w="1494" w:type="dxa"/>
          </w:tcPr>
          <w:p w14:paraId="60C30E12" w14:textId="77777777" w:rsidR="004D239B" w:rsidRDefault="004D239B" w:rsidP="00BF2955">
            <w:pPr>
              <w:pStyle w:val="TableText"/>
              <w:ind w:hanging="14"/>
              <w:jc w:val="right"/>
            </w:pPr>
            <w:r>
              <w:rPr>
                <w:w w:val="135"/>
              </w:rPr>
              <w:t>–</w:t>
            </w:r>
          </w:p>
        </w:tc>
      </w:tr>
      <w:tr w:rsidR="004D239B" w14:paraId="7276FB53" w14:textId="77777777" w:rsidTr="00090FEB">
        <w:trPr>
          <w:trHeight w:val="340"/>
        </w:trPr>
        <w:tc>
          <w:tcPr>
            <w:tcW w:w="1143" w:type="dxa"/>
          </w:tcPr>
          <w:p w14:paraId="2B5E50E7" w14:textId="77777777" w:rsidR="004D239B" w:rsidRDefault="004D239B" w:rsidP="00BF2955">
            <w:pPr>
              <w:pStyle w:val="TableText"/>
              <w:ind w:hanging="14"/>
              <w:jc w:val="right"/>
            </w:pPr>
            <w:r>
              <w:rPr>
                <w:w w:val="105"/>
              </w:rPr>
              <w:t>5,853</w:t>
            </w:r>
          </w:p>
        </w:tc>
        <w:tc>
          <w:tcPr>
            <w:tcW w:w="5654" w:type="dxa"/>
          </w:tcPr>
          <w:p w14:paraId="5C527AA5" w14:textId="77777777" w:rsidR="004D239B" w:rsidRDefault="004D239B" w:rsidP="008803C1">
            <w:pPr>
              <w:pStyle w:val="TableText"/>
              <w:ind w:left="124" w:hanging="11"/>
            </w:pPr>
            <w:r>
              <w:rPr>
                <w:w w:val="105"/>
              </w:rPr>
              <w:t>Increase/(decrease)</w:t>
            </w:r>
            <w:r>
              <w:rPr>
                <w:spacing w:val="-12"/>
                <w:w w:val="105"/>
              </w:rPr>
              <w:t xml:space="preserve"> </w:t>
            </w:r>
            <w:r>
              <w:rPr>
                <w:w w:val="105"/>
              </w:rPr>
              <w:t>in</w:t>
            </w:r>
            <w:r>
              <w:rPr>
                <w:spacing w:val="-12"/>
                <w:w w:val="105"/>
              </w:rPr>
              <w:t xml:space="preserve"> </w:t>
            </w:r>
            <w:r>
              <w:rPr>
                <w:w w:val="105"/>
              </w:rPr>
              <w:t>employee</w:t>
            </w:r>
            <w:r>
              <w:rPr>
                <w:spacing w:val="-12"/>
                <w:w w:val="105"/>
              </w:rPr>
              <w:t xml:space="preserve"> </w:t>
            </w:r>
            <w:r>
              <w:rPr>
                <w:w w:val="105"/>
              </w:rPr>
              <w:t>entitlements</w:t>
            </w:r>
          </w:p>
        </w:tc>
        <w:tc>
          <w:tcPr>
            <w:tcW w:w="1494" w:type="dxa"/>
          </w:tcPr>
          <w:p w14:paraId="6337E5C7" w14:textId="77777777" w:rsidR="004D239B" w:rsidRDefault="004D239B" w:rsidP="00BF2955">
            <w:pPr>
              <w:pStyle w:val="TableText"/>
              <w:ind w:hanging="14"/>
              <w:jc w:val="right"/>
            </w:pPr>
            <w:r>
              <w:t>6,312</w:t>
            </w:r>
          </w:p>
        </w:tc>
      </w:tr>
      <w:tr w:rsidR="004D239B" w:rsidRPr="004D239B" w14:paraId="2910F90E" w14:textId="77777777" w:rsidTr="00090FEB">
        <w:trPr>
          <w:trHeight w:val="340"/>
        </w:trPr>
        <w:tc>
          <w:tcPr>
            <w:tcW w:w="1143" w:type="dxa"/>
            <w:tcBorders>
              <w:bottom w:val="single" w:sz="4" w:space="0" w:color="A6A6A6" w:themeColor="background1" w:themeShade="A6"/>
            </w:tcBorders>
          </w:tcPr>
          <w:p w14:paraId="59949EE7" w14:textId="77777777" w:rsidR="004D239B" w:rsidRPr="004D239B" w:rsidRDefault="004D239B" w:rsidP="00BF2955">
            <w:pPr>
              <w:pStyle w:val="TableText"/>
              <w:ind w:hanging="14"/>
              <w:jc w:val="right"/>
              <w:rPr>
                <w:b/>
                <w:bCs/>
              </w:rPr>
            </w:pPr>
            <w:r w:rsidRPr="004D239B">
              <w:rPr>
                <w:b/>
                <w:bCs/>
                <w:w w:val="105"/>
              </w:rPr>
              <w:t>(25,015)</w:t>
            </w:r>
          </w:p>
        </w:tc>
        <w:tc>
          <w:tcPr>
            <w:tcW w:w="5654" w:type="dxa"/>
            <w:tcBorders>
              <w:bottom w:val="single" w:sz="4" w:space="0" w:color="A6A6A6" w:themeColor="background1" w:themeShade="A6"/>
            </w:tcBorders>
          </w:tcPr>
          <w:p w14:paraId="35A0F895" w14:textId="77777777" w:rsidR="004D239B" w:rsidRPr="004D239B" w:rsidRDefault="004D239B" w:rsidP="008803C1">
            <w:pPr>
              <w:pStyle w:val="TableText"/>
              <w:ind w:left="124" w:hanging="11"/>
              <w:rPr>
                <w:b/>
                <w:bCs/>
              </w:rPr>
            </w:pPr>
            <w:r w:rsidRPr="004D239B">
              <w:rPr>
                <w:b/>
                <w:bCs/>
                <w:w w:val="105"/>
              </w:rPr>
              <w:t>Total</w:t>
            </w:r>
            <w:r w:rsidRPr="004D239B">
              <w:rPr>
                <w:b/>
                <w:bCs/>
                <w:spacing w:val="8"/>
                <w:w w:val="105"/>
              </w:rPr>
              <w:t xml:space="preserve"> </w:t>
            </w:r>
            <w:r w:rsidRPr="004D239B">
              <w:rPr>
                <w:b/>
                <w:bCs/>
                <w:w w:val="105"/>
              </w:rPr>
              <w:t>movements</w:t>
            </w:r>
            <w:r w:rsidRPr="004D239B">
              <w:rPr>
                <w:b/>
                <w:bCs/>
                <w:spacing w:val="8"/>
                <w:w w:val="105"/>
              </w:rPr>
              <w:t xml:space="preserve"> </w:t>
            </w:r>
            <w:r w:rsidRPr="004D239B">
              <w:rPr>
                <w:b/>
                <w:bCs/>
                <w:w w:val="105"/>
              </w:rPr>
              <w:t>in</w:t>
            </w:r>
            <w:r w:rsidRPr="004D239B">
              <w:rPr>
                <w:b/>
                <w:bCs/>
                <w:spacing w:val="9"/>
                <w:w w:val="105"/>
              </w:rPr>
              <w:t xml:space="preserve"> </w:t>
            </w:r>
            <w:r w:rsidRPr="004D239B">
              <w:rPr>
                <w:b/>
                <w:bCs/>
                <w:w w:val="105"/>
              </w:rPr>
              <w:t>working</w:t>
            </w:r>
            <w:r w:rsidRPr="004D239B">
              <w:rPr>
                <w:b/>
                <w:bCs/>
                <w:spacing w:val="8"/>
                <w:w w:val="105"/>
              </w:rPr>
              <w:t xml:space="preserve"> </w:t>
            </w:r>
            <w:r w:rsidRPr="004D239B">
              <w:rPr>
                <w:b/>
                <w:bCs/>
                <w:w w:val="105"/>
              </w:rPr>
              <w:t>capital</w:t>
            </w:r>
            <w:r w:rsidRPr="004D239B">
              <w:rPr>
                <w:b/>
                <w:bCs/>
                <w:spacing w:val="8"/>
                <w:w w:val="105"/>
              </w:rPr>
              <w:t xml:space="preserve"> </w:t>
            </w:r>
            <w:r w:rsidRPr="004D239B">
              <w:rPr>
                <w:b/>
                <w:bCs/>
                <w:w w:val="105"/>
              </w:rPr>
              <w:t>items</w:t>
            </w:r>
          </w:p>
        </w:tc>
        <w:tc>
          <w:tcPr>
            <w:tcW w:w="1494" w:type="dxa"/>
            <w:tcBorders>
              <w:bottom w:val="single" w:sz="4" w:space="0" w:color="A6A6A6" w:themeColor="background1" w:themeShade="A6"/>
            </w:tcBorders>
          </w:tcPr>
          <w:p w14:paraId="7B6D3ED9" w14:textId="77777777" w:rsidR="004D239B" w:rsidRPr="004D239B" w:rsidRDefault="004D239B" w:rsidP="00BF2955">
            <w:pPr>
              <w:pStyle w:val="TableText"/>
              <w:ind w:hanging="14"/>
              <w:jc w:val="right"/>
              <w:rPr>
                <w:b/>
                <w:bCs/>
              </w:rPr>
            </w:pPr>
            <w:r w:rsidRPr="004D239B">
              <w:rPr>
                <w:b/>
                <w:bCs/>
                <w:w w:val="115"/>
              </w:rPr>
              <w:t>(94,944)</w:t>
            </w:r>
          </w:p>
        </w:tc>
      </w:tr>
      <w:tr w:rsidR="004D239B" w:rsidRPr="004D239B" w14:paraId="0CD157B1" w14:textId="77777777" w:rsidTr="00090FEB">
        <w:trPr>
          <w:trHeight w:val="340"/>
        </w:trPr>
        <w:tc>
          <w:tcPr>
            <w:tcW w:w="1143" w:type="dxa"/>
            <w:tcBorders>
              <w:top w:val="single" w:sz="4" w:space="0" w:color="A6A6A6" w:themeColor="background1" w:themeShade="A6"/>
              <w:bottom w:val="single" w:sz="4" w:space="0" w:color="A6A6A6" w:themeColor="background1" w:themeShade="A6"/>
            </w:tcBorders>
          </w:tcPr>
          <w:p w14:paraId="0B2F490F" w14:textId="77777777" w:rsidR="004D239B" w:rsidRPr="004D239B" w:rsidRDefault="004D239B" w:rsidP="00BF2955">
            <w:pPr>
              <w:pStyle w:val="TableText"/>
              <w:ind w:hanging="14"/>
              <w:jc w:val="right"/>
              <w:rPr>
                <w:b/>
                <w:bCs/>
              </w:rPr>
            </w:pPr>
            <w:r w:rsidRPr="004D239B">
              <w:rPr>
                <w:b/>
                <w:bCs/>
              </w:rPr>
              <w:t>14,810</w:t>
            </w:r>
          </w:p>
        </w:tc>
        <w:tc>
          <w:tcPr>
            <w:tcW w:w="5654" w:type="dxa"/>
            <w:tcBorders>
              <w:top w:val="single" w:sz="4" w:space="0" w:color="A6A6A6" w:themeColor="background1" w:themeShade="A6"/>
              <w:bottom w:val="single" w:sz="4" w:space="0" w:color="A6A6A6" w:themeColor="background1" w:themeShade="A6"/>
            </w:tcBorders>
          </w:tcPr>
          <w:p w14:paraId="3012760E" w14:textId="77777777" w:rsidR="004D239B" w:rsidRPr="004D239B" w:rsidRDefault="004D239B" w:rsidP="008803C1">
            <w:pPr>
              <w:pStyle w:val="TableText"/>
              <w:ind w:left="124" w:hanging="11"/>
              <w:rPr>
                <w:b/>
                <w:bCs/>
              </w:rPr>
            </w:pPr>
            <w:r w:rsidRPr="004D239B">
              <w:rPr>
                <w:b/>
                <w:bCs/>
                <w:w w:val="105"/>
              </w:rPr>
              <w:t>Net</w:t>
            </w:r>
            <w:r w:rsidRPr="004D239B">
              <w:rPr>
                <w:b/>
                <w:bCs/>
                <w:spacing w:val="1"/>
                <w:w w:val="105"/>
              </w:rPr>
              <w:t xml:space="preserve"> </w:t>
            </w:r>
            <w:r w:rsidRPr="004D239B">
              <w:rPr>
                <w:b/>
                <w:bCs/>
                <w:w w:val="105"/>
              </w:rPr>
              <w:t>cash</w:t>
            </w:r>
            <w:r w:rsidRPr="004D239B">
              <w:rPr>
                <w:b/>
                <w:bCs/>
                <w:spacing w:val="2"/>
                <w:w w:val="105"/>
              </w:rPr>
              <w:t xml:space="preserve"> </w:t>
            </w:r>
            <w:r w:rsidRPr="004D239B">
              <w:rPr>
                <w:b/>
                <w:bCs/>
                <w:w w:val="105"/>
              </w:rPr>
              <w:t>flow</w:t>
            </w:r>
            <w:r w:rsidRPr="004D239B">
              <w:rPr>
                <w:b/>
                <w:bCs/>
                <w:spacing w:val="2"/>
                <w:w w:val="105"/>
              </w:rPr>
              <w:t xml:space="preserve"> </w:t>
            </w:r>
            <w:r w:rsidRPr="004D239B">
              <w:rPr>
                <w:b/>
                <w:bCs/>
                <w:w w:val="105"/>
              </w:rPr>
              <w:t>from</w:t>
            </w:r>
            <w:r w:rsidRPr="004D239B">
              <w:rPr>
                <w:b/>
                <w:bCs/>
                <w:spacing w:val="2"/>
                <w:w w:val="105"/>
              </w:rPr>
              <w:t xml:space="preserve"> </w:t>
            </w:r>
            <w:r w:rsidRPr="004D239B">
              <w:rPr>
                <w:b/>
                <w:bCs/>
                <w:w w:val="105"/>
              </w:rPr>
              <w:t>operating</w:t>
            </w:r>
            <w:r w:rsidRPr="004D239B">
              <w:rPr>
                <w:b/>
                <w:bCs/>
                <w:spacing w:val="2"/>
                <w:w w:val="105"/>
              </w:rPr>
              <w:t xml:space="preserve"> </w:t>
            </w:r>
            <w:r w:rsidRPr="004D239B">
              <w:rPr>
                <w:b/>
                <w:bCs/>
                <w:w w:val="105"/>
              </w:rPr>
              <w:t>activities</w:t>
            </w:r>
          </w:p>
        </w:tc>
        <w:tc>
          <w:tcPr>
            <w:tcW w:w="1494" w:type="dxa"/>
            <w:tcBorders>
              <w:top w:val="single" w:sz="4" w:space="0" w:color="A6A6A6" w:themeColor="background1" w:themeShade="A6"/>
              <w:bottom w:val="single" w:sz="4" w:space="0" w:color="A6A6A6" w:themeColor="background1" w:themeShade="A6"/>
            </w:tcBorders>
          </w:tcPr>
          <w:p w14:paraId="4F47B401" w14:textId="77777777" w:rsidR="004D239B" w:rsidRPr="004D239B" w:rsidRDefault="004D239B" w:rsidP="00BF2955">
            <w:pPr>
              <w:pStyle w:val="TableText"/>
              <w:ind w:hanging="14"/>
              <w:jc w:val="right"/>
              <w:rPr>
                <w:b/>
                <w:bCs/>
              </w:rPr>
            </w:pPr>
            <w:r w:rsidRPr="004D239B">
              <w:rPr>
                <w:b/>
                <w:bCs/>
              </w:rPr>
              <w:t>51,601</w:t>
            </w:r>
          </w:p>
        </w:tc>
      </w:tr>
    </w:tbl>
    <w:p w14:paraId="317DD817" w14:textId="55CFFB78" w:rsidR="004D239B" w:rsidRDefault="004D239B" w:rsidP="004D239B">
      <w:pPr>
        <w:pStyle w:val="Note"/>
        <w:rPr>
          <w:rFonts w:eastAsia="Arial Unicode MS"/>
        </w:rPr>
      </w:pPr>
      <w:r w:rsidRPr="004D239B">
        <w:rPr>
          <w:rFonts w:eastAsia="Arial Unicode MS"/>
        </w:rPr>
        <w:t>* Payables for capital expenditure have been excluded when calculating the increase/decrease in the payables movement as they are relating to investing activities.</w:t>
      </w:r>
    </w:p>
    <w:p w14:paraId="26EF0DF3" w14:textId="3BF6F792" w:rsidR="00090FEB" w:rsidRDefault="00090FEB" w:rsidP="00090FEB">
      <w:pPr>
        <w:rPr>
          <w:rFonts w:eastAsia="Arial Unicode MS"/>
        </w:rPr>
      </w:pPr>
    </w:p>
    <w:p w14:paraId="0D11C4E3" w14:textId="77777777" w:rsidR="00090FEB" w:rsidRDefault="00090FEB" w:rsidP="00090FEB">
      <w:pPr>
        <w:pStyle w:val="Note"/>
        <w:rPr>
          <w:rFonts w:eastAsia="Arial Unicode MS"/>
        </w:rPr>
      </w:pPr>
    </w:p>
    <w:p w14:paraId="093094C0" w14:textId="77777777" w:rsidR="00090FEB" w:rsidRDefault="00090FEB" w:rsidP="00090FEB">
      <w:pPr>
        <w:pStyle w:val="Note"/>
        <w:rPr>
          <w:rFonts w:eastAsia="Arial Unicode MS"/>
        </w:rPr>
      </w:pPr>
    </w:p>
    <w:p w14:paraId="2087B720" w14:textId="77777777" w:rsidR="00090FEB" w:rsidRDefault="00090FEB" w:rsidP="00090FEB">
      <w:pPr>
        <w:pStyle w:val="Note"/>
        <w:rPr>
          <w:rFonts w:eastAsia="Arial Unicode MS"/>
        </w:rPr>
      </w:pPr>
    </w:p>
    <w:p w14:paraId="51792BE4" w14:textId="77777777" w:rsidR="00090FEB" w:rsidRDefault="00090FEB" w:rsidP="00090FEB">
      <w:pPr>
        <w:pStyle w:val="Note"/>
        <w:rPr>
          <w:rFonts w:eastAsia="Arial Unicode MS"/>
        </w:rPr>
      </w:pPr>
    </w:p>
    <w:p w14:paraId="760B3BEE" w14:textId="77777777" w:rsidR="00090FEB" w:rsidRDefault="00090FEB" w:rsidP="00090FEB">
      <w:pPr>
        <w:pStyle w:val="Note"/>
        <w:rPr>
          <w:rFonts w:eastAsia="Arial Unicode MS"/>
        </w:rPr>
      </w:pPr>
    </w:p>
    <w:p w14:paraId="32C9A802" w14:textId="77777777" w:rsidR="00090FEB" w:rsidRDefault="00090FEB" w:rsidP="00090FEB">
      <w:pPr>
        <w:pStyle w:val="Note"/>
        <w:rPr>
          <w:rFonts w:eastAsia="Arial Unicode MS"/>
        </w:rPr>
      </w:pPr>
    </w:p>
    <w:p w14:paraId="7877CA0C" w14:textId="77777777" w:rsidR="00090FEB" w:rsidRDefault="00090FEB" w:rsidP="00090FEB">
      <w:pPr>
        <w:pStyle w:val="Note"/>
        <w:rPr>
          <w:rFonts w:eastAsia="Arial Unicode MS"/>
        </w:rPr>
      </w:pPr>
    </w:p>
    <w:p w14:paraId="5DCC1E21" w14:textId="77777777" w:rsidR="00090FEB" w:rsidRDefault="00090FEB" w:rsidP="00090FEB">
      <w:pPr>
        <w:pStyle w:val="Note"/>
        <w:rPr>
          <w:rFonts w:eastAsia="Arial Unicode MS"/>
        </w:rPr>
      </w:pPr>
    </w:p>
    <w:p w14:paraId="4D8B0B0F" w14:textId="77777777" w:rsidR="00090FEB" w:rsidRDefault="00090FEB" w:rsidP="00090FEB">
      <w:pPr>
        <w:pStyle w:val="Note"/>
        <w:rPr>
          <w:rFonts w:eastAsia="Arial Unicode MS"/>
        </w:rPr>
      </w:pPr>
    </w:p>
    <w:p w14:paraId="6C3B590D" w14:textId="77777777" w:rsidR="00090FEB" w:rsidRDefault="00090FEB" w:rsidP="00090FEB">
      <w:pPr>
        <w:pStyle w:val="Note"/>
        <w:rPr>
          <w:rFonts w:eastAsia="Arial Unicode MS"/>
        </w:rPr>
      </w:pPr>
    </w:p>
    <w:p w14:paraId="5873B0E1" w14:textId="77777777" w:rsidR="00090FEB" w:rsidRDefault="00090FEB" w:rsidP="00090FEB">
      <w:pPr>
        <w:pStyle w:val="Note"/>
        <w:rPr>
          <w:rFonts w:eastAsia="Arial Unicode MS"/>
        </w:rPr>
      </w:pPr>
    </w:p>
    <w:p w14:paraId="132A5BFB" w14:textId="77777777" w:rsidR="00090FEB" w:rsidRDefault="00090FEB" w:rsidP="00090FEB">
      <w:pPr>
        <w:pStyle w:val="Note"/>
        <w:rPr>
          <w:rFonts w:eastAsia="Arial Unicode MS"/>
        </w:rPr>
      </w:pPr>
    </w:p>
    <w:p w14:paraId="6EAA97AC" w14:textId="4F893489" w:rsidR="00EC0899" w:rsidRDefault="00090FEB" w:rsidP="00090FEB">
      <w:pPr>
        <w:pStyle w:val="Note"/>
        <w:rPr>
          <w:rFonts w:eastAsia="Arial Unicode MS"/>
        </w:rPr>
        <w:sectPr w:rsidR="00EC0899" w:rsidSect="00C26282">
          <w:pgSz w:w="11907" w:h="16840" w:code="9"/>
          <w:pgMar w:top="1418" w:right="1701" w:bottom="1134" w:left="1843" w:header="284" w:footer="425" w:gutter="284"/>
          <w:cols w:space="720"/>
        </w:sectPr>
      </w:pPr>
      <w:r w:rsidRPr="004D239B">
        <w:rPr>
          <w:rFonts w:eastAsia="Arial Unicode MS"/>
        </w:rPr>
        <w:t>The accompanying notes form part of these financial statements.</w:t>
      </w:r>
    </w:p>
    <w:p w14:paraId="388BE789" w14:textId="77777777" w:rsidR="00EC0899" w:rsidRPr="00175A9D" w:rsidRDefault="00EC0899" w:rsidP="00175A9D">
      <w:pPr>
        <w:pStyle w:val="Heading4"/>
        <w:spacing w:before="0"/>
        <w:rPr>
          <w:sz w:val="36"/>
          <w:szCs w:val="36"/>
        </w:rPr>
      </w:pPr>
      <w:r w:rsidRPr="00175A9D">
        <w:rPr>
          <w:sz w:val="36"/>
          <w:szCs w:val="36"/>
        </w:rPr>
        <w:lastRenderedPageBreak/>
        <w:t>Statement of cash flows for the year ended 30 June 2022 (continued)</w:t>
      </w:r>
    </w:p>
    <w:p w14:paraId="03A7877E" w14:textId="69B2F69C" w:rsidR="009623CD" w:rsidRDefault="00EC0899" w:rsidP="00EC0899">
      <w:pPr>
        <w:pStyle w:val="Heading5"/>
      </w:pPr>
      <w:r w:rsidRPr="00EC0899">
        <w:t>Reconciliation of net cash flow from financing activities</w:t>
      </w:r>
    </w:p>
    <w:tbl>
      <w:tblPr>
        <w:tblW w:w="8227" w:type="dxa"/>
        <w:tblLayout w:type="fixed"/>
        <w:tblCellMar>
          <w:left w:w="0" w:type="dxa"/>
          <w:right w:w="0" w:type="dxa"/>
        </w:tblCellMar>
        <w:tblLook w:val="01E0" w:firstRow="1" w:lastRow="1" w:firstColumn="1" w:lastColumn="1" w:noHBand="0" w:noVBand="0"/>
      </w:tblPr>
      <w:tblGrid>
        <w:gridCol w:w="1077"/>
        <w:gridCol w:w="5864"/>
        <w:gridCol w:w="1286"/>
      </w:tblGrid>
      <w:tr w:rsidR="00EC0899" w:rsidRPr="00EC0899" w14:paraId="7803BC59" w14:textId="77777777" w:rsidTr="00EC0899">
        <w:trPr>
          <w:trHeight w:val="895"/>
        </w:trPr>
        <w:tc>
          <w:tcPr>
            <w:tcW w:w="1077" w:type="dxa"/>
            <w:shd w:val="clear" w:color="auto" w:fill="D9D9D9" w:themeFill="background1" w:themeFillShade="D9"/>
          </w:tcPr>
          <w:p w14:paraId="1D70DC05" w14:textId="77777777" w:rsidR="00EC0899" w:rsidRPr="00EC0899" w:rsidRDefault="00EC0899" w:rsidP="00EC0899">
            <w:pPr>
              <w:pStyle w:val="TableText"/>
              <w:jc w:val="right"/>
              <w:rPr>
                <w:b/>
                <w:bCs/>
              </w:rPr>
            </w:pPr>
            <w:r w:rsidRPr="00EC0899">
              <w:rPr>
                <w:b/>
                <w:bCs/>
                <w:w w:val="110"/>
              </w:rPr>
              <w:t>Actual</w:t>
            </w:r>
          </w:p>
          <w:p w14:paraId="0DB5679D" w14:textId="77777777" w:rsidR="00EC0899" w:rsidRPr="00EC0899" w:rsidRDefault="00EC0899" w:rsidP="00EC0899">
            <w:pPr>
              <w:pStyle w:val="TableText"/>
              <w:jc w:val="right"/>
              <w:rPr>
                <w:b/>
                <w:bCs/>
              </w:rPr>
            </w:pPr>
            <w:r w:rsidRPr="00EC0899">
              <w:rPr>
                <w:b/>
                <w:bCs/>
              </w:rPr>
              <w:t>2021</w:t>
            </w:r>
          </w:p>
          <w:p w14:paraId="0354A391" w14:textId="77777777" w:rsidR="00EC0899" w:rsidRPr="00EC0899" w:rsidRDefault="00EC0899" w:rsidP="00EC0899">
            <w:pPr>
              <w:pStyle w:val="TableText"/>
              <w:jc w:val="right"/>
              <w:rPr>
                <w:b/>
                <w:bCs/>
              </w:rPr>
            </w:pPr>
            <w:r w:rsidRPr="00EC0899">
              <w:rPr>
                <w:b/>
                <w:bCs/>
                <w:w w:val="120"/>
              </w:rPr>
              <w:t>$000</w:t>
            </w:r>
          </w:p>
        </w:tc>
        <w:tc>
          <w:tcPr>
            <w:tcW w:w="5864" w:type="dxa"/>
            <w:shd w:val="clear" w:color="auto" w:fill="D9D9D9" w:themeFill="background1" w:themeFillShade="D9"/>
          </w:tcPr>
          <w:p w14:paraId="6113A79F" w14:textId="77777777" w:rsidR="00EC0899" w:rsidRPr="00EC0899" w:rsidRDefault="00EC0899" w:rsidP="00EC0899">
            <w:pPr>
              <w:pStyle w:val="TableText"/>
              <w:rPr>
                <w:rFonts w:ascii="Times New Roman"/>
                <w:b/>
                <w:bCs/>
              </w:rPr>
            </w:pPr>
          </w:p>
        </w:tc>
        <w:tc>
          <w:tcPr>
            <w:tcW w:w="1286" w:type="dxa"/>
            <w:shd w:val="clear" w:color="auto" w:fill="D9D9D9" w:themeFill="background1" w:themeFillShade="D9"/>
          </w:tcPr>
          <w:p w14:paraId="4A127693" w14:textId="2609C536" w:rsidR="00EC0899" w:rsidRPr="00EC0899" w:rsidRDefault="00EC0899" w:rsidP="00EC0899">
            <w:pPr>
              <w:pStyle w:val="TableText"/>
              <w:jc w:val="right"/>
              <w:rPr>
                <w:b/>
                <w:bCs/>
              </w:rPr>
            </w:pPr>
            <w:r w:rsidRPr="00EC0899">
              <w:rPr>
                <w:b/>
                <w:bCs/>
                <w:w w:val="110"/>
              </w:rPr>
              <w:t>Actual</w:t>
            </w:r>
            <w:r w:rsidRPr="00EC0899">
              <w:rPr>
                <w:b/>
                <w:bCs/>
                <w:spacing w:val="-53"/>
                <w:w w:val="110"/>
              </w:rPr>
              <w:t xml:space="preserve"> </w:t>
            </w:r>
            <w:r>
              <w:rPr>
                <w:b/>
                <w:bCs/>
                <w:spacing w:val="-53"/>
                <w:w w:val="110"/>
              </w:rPr>
              <w:br/>
            </w:r>
            <w:r w:rsidRPr="00EC0899">
              <w:rPr>
                <w:b/>
                <w:bCs/>
                <w:w w:val="105"/>
              </w:rPr>
              <w:t>2022</w:t>
            </w:r>
          </w:p>
          <w:p w14:paraId="415BC0E4" w14:textId="77777777" w:rsidR="00EC0899" w:rsidRPr="00EC0899" w:rsidRDefault="00EC0899" w:rsidP="00EC0899">
            <w:pPr>
              <w:pStyle w:val="TableText"/>
              <w:jc w:val="right"/>
              <w:rPr>
                <w:b/>
                <w:bCs/>
              </w:rPr>
            </w:pPr>
            <w:r w:rsidRPr="00EC0899">
              <w:rPr>
                <w:b/>
                <w:bCs/>
                <w:w w:val="120"/>
              </w:rPr>
              <w:t>$000</w:t>
            </w:r>
          </w:p>
        </w:tc>
      </w:tr>
      <w:tr w:rsidR="00EC0899" w:rsidRPr="00EC0899" w14:paraId="20F1B33D" w14:textId="77777777" w:rsidTr="00EC0899">
        <w:trPr>
          <w:trHeight w:val="340"/>
        </w:trPr>
        <w:tc>
          <w:tcPr>
            <w:tcW w:w="1077" w:type="dxa"/>
          </w:tcPr>
          <w:p w14:paraId="425D9426" w14:textId="77777777" w:rsidR="00EC0899" w:rsidRPr="00EC0899" w:rsidRDefault="00EC0899" w:rsidP="00EC0899">
            <w:pPr>
              <w:pStyle w:val="TableText"/>
              <w:jc w:val="right"/>
              <w:rPr>
                <w:rFonts w:ascii="Times New Roman"/>
                <w:b/>
                <w:bCs/>
              </w:rPr>
            </w:pPr>
          </w:p>
        </w:tc>
        <w:tc>
          <w:tcPr>
            <w:tcW w:w="5864" w:type="dxa"/>
          </w:tcPr>
          <w:p w14:paraId="1B094C59" w14:textId="77777777" w:rsidR="00EC0899" w:rsidRPr="00EC0899" w:rsidRDefault="00EC0899" w:rsidP="009E3BCA">
            <w:pPr>
              <w:pStyle w:val="TableText"/>
              <w:ind w:left="113"/>
              <w:rPr>
                <w:b/>
                <w:bCs/>
              </w:rPr>
            </w:pPr>
            <w:r w:rsidRPr="00EC0899">
              <w:rPr>
                <w:b/>
                <w:bCs/>
                <w:w w:val="105"/>
              </w:rPr>
              <w:t>Movement</w:t>
            </w:r>
            <w:r w:rsidRPr="00EC0899">
              <w:rPr>
                <w:b/>
                <w:bCs/>
                <w:spacing w:val="9"/>
                <w:w w:val="105"/>
              </w:rPr>
              <w:t xml:space="preserve"> </w:t>
            </w:r>
            <w:r w:rsidRPr="00EC0899">
              <w:rPr>
                <w:b/>
                <w:bCs/>
                <w:w w:val="105"/>
              </w:rPr>
              <w:t>in</w:t>
            </w:r>
            <w:r w:rsidRPr="00EC0899">
              <w:rPr>
                <w:b/>
                <w:bCs/>
                <w:spacing w:val="10"/>
                <w:w w:val="105"/>
              </w:rPr>
              <w:t xml:space="preserve"> </w:t>
            </w:r>
            <w:r w:rsidRPr="00EC0899">
              <w:rPr>
                <w:b/>
                <w:bCs/>
                <w:w w:val="105"/>
              </w:rPr>
              <w:t>liability</w:t>
            </w:r>
            <w:r w:rsidRPr="00EC0899">
              <w:rPr>
                <w:b/>
                <w:bCs/>
                <w:spacing w:val="10"/>
                <w:w w:val="105"/>
              </w:rPr>
              <w:t xml:space="preserve"> </w:t>
            </w:r>
            <w:r w:rsidRPr="00EC0899">
              <w:rPr>
                <w:b/>
                <w:bCs/>
                <w:w w:val="105"/>
              </w:rPr>
              <w:t>arising</w:t>
            </w:r>
            <w:r w:rsidRPr="00EC0899">
              <w:rPr>
                <w:b/>
                <w:bCs/>
                <w:spacing w:val="10"/>
                <w:w w:val="105"/>
              </w:rPr>
              <w:t xml:space="preserve"> </w:t>
            </w:r>
            <w:r w:rsidRPr="00EC0899">
              <w:rPr>
                <w:b/>
                <w:bCs/>
                <w:w w:val="105"/>
              </w:rPr>
              <w:t>from</w:t>
            </w:r>
            <w:r w:rsidRPr="00EC0899">
              <w:rPr>
                <w:b/>
                <w:bCs/>
                <w:spacing w:val="10"/>
                <w:w w:val="105"/>
              </w:rPr>
              <w:t xml:space="preserve"> </w:t>
            </w:r>
            <w:r w:rsidRPr="00EC0899">
              <w:rPr>
                <w:b/>
                <w:bCs/>
                <w:w w:val="105"/>
              </w:rPr>
              <w:t>financing</w:t>
            </w:r>
            <w:r w:rsidRPr="00EC0899">
              <w:rPr>
                <w:b/>
                <w:bCs/>
                <w:spacing w:val="9"/>
                <w:w w:val="105"/>
              </w:rPr>
              <w:t xml:space="preserve"> </w:t>
            </w:r>
            <w:r w:rsidRPr="00EC0899">
              <w:rPr>
                <w:b/>
                <w:bCs/>
                <w:w w:val="105"/>
              </w:rPr>
              <w:t>activities</w:t>
            </w:r>
          </w:p>
        </w:tc>
        <w:tc>
          <w:tcPr>
            <w:tcW w:w="1286" w:type="dxa"/>
          </w:tcPr>
          <w:p w14:paraId="4EC2C44E" w14:textId="77777777" w:rsidR="00EC0899" w:rsidRPr="00EC0899" w:rsidRDefault="00EC0899" w:rsidP="00EC0899">
            <w:pPr>
              <w:pStyle w:val="TableText"/>
              <w:jc w:val="right"/>
              <w:rPr>
                <w:rFonts w:ascii="Times New Roman"/>
                <w:b/>
                <w:bCs/>
              </w:rPr>
            </w:pPr>
          </w:p>
        </w:tc>
      </w:tr>
      <w:tr w:rsidR="00EC0899" w14:paraId="159CB870" w14:textId="77777777" w:rsidTr="00EC0899">
        <w:trPr>
          <w:trHeight w:val="340"/>
        </w:trPr>
        <w:tc>
          <w:tcPr>
            <w:tcW w:w="1077" w:type="dxa"/>
          </w:tcPr>
          <w:p w14:paraId="7375E8E6" w14:textId="77777777" w:rsidR="00EC0899" w:rsidRDefault="00EC0899" w:rsidP="00EC0899">
            <w:pPr>
              <w:pStyle w:val="TableText"/>
              <w:jc w:val="right"/>
            </w:pPr>
            <w:r>
              <w:t>6,919</w:t>
            </w:r>
          </w:p>
        </w:tc>
        <w:tc>
          <w:tcPr>
            <w:tcW w:w="5864" w:type="dxa"/>
          </w:tcPr>
          <w:p w14:paraId="0D74B32C" w14:textId="77777777" w:rsidR="00EC0899" w:rsidRDefault="00EC0899" w:rsidP="009E3BCA">
            <w:pPr>
              <w:pStyle w:val="TableText"/>
              <w:ind w:left="113"/>
            </w:pPr>
            <w:r>
              <w:rPr>
                <w:w w:val="105"/>
              </w:rPr>
              <w:t>Increase/(decrease)</w:t>
            </w:r>
            <w:r>
              <w:rPr>
                <w:spacing w:val="1"/>
                <w:w w:val="105"/>
              </w:rPr>
              <w:t xml:space="preserve"> </w:t>
            </w:r>
            <w:r>
              <w:rPr>
                <w:w w:val="105"/>
              </w:rPr>
              <w:t>in</w:t>
            </w:r>
            <w:r>
              <w:rPr>
                <w:spacing w:val="1"/>
                <w:w w:val="105"/>
              </w:rPr>
              <w:t xml:space="preserve"> </w:t>
            </w:r>
            <w:r>
              <w:rPr>
                <w:w w:val="105"/>
              </w:rPr>
              <w:t>return</w:t>
            </w:r>
            <w:r>
              <w:rPr>
                <w:spacing w:val="2"/>
                <w:w w:val="105"/>
              </w:rPr>
              <w:t xml:space="preserve"> </w:t>
            </w:r>
            <w:r>
              <w:rPr>
                <w:w w:val="105"/>
              </w:rPr>
              <w:t>of</w:t>
            </w:r>
            <w:r>
              <w:rPr>
                <w:spacing w:val="1"/>
                <w:w w:val="105"/>
              </w:rPr>
              <w:t xml:space="preserve"> </w:t>
            </w:r>
            <w:r>
              <w:rPr>
                <w:w w:val="105"/>
              </w:rPr>
              <w:t>operating</w:t>
            </w:r>
            <w:r>
              <w:rPr>
                <w:spacing w:val="1"/>
                <w:w w:val="105"/>
              </w:rPr>
              <w:t xml:space="preserve"> </w:t>
            </w:r>
            <w:r>
              <w:rPr>
                <w:w w:val="105"/>
              </w:rPr>
              <w:t>surplus</w:t>
            </w:r>
            <w:r>
              <w:rPr>
                <w:spacing w:val="2"/>
                <w:w w:val="105"/>
              </w:rPr>
              <w:t xml:space="preserve"> </w:t>
            </w:r>
            <w:r>
              <w:rPr>
                <w:w w:val="105"/>
              </w:rPr>
              <w:t>liability</w:t>
            </w:r>
          </w:p>
        </w:tc>
        <w:tc>
          <w:tcPr>
            <w:tcW w:w="1286" w:type="dxa"/>
          </w:tcPr>
          <w:p w14:paraId="510A5CF3" w14:textId="77777777" w:rsidR="00EC0899" w:rsidRDefault="00EC0899" w:rsidP="00EC0899">
            <w:pPr>
              <w:pStyle w:val="TableText"/>
              <w:jc w:val="right"/>
            </w:pPr>
            <w:r>
              <w:t>108,325</w:t>
            </w:r>
          </w:p>
        </w:tc>
      </w:tr>
      <w:tr w:rsidR="00EC0899" w:rsidRPr="00EC0899" w14:paraId="12998B27" w14:textId="77777777" w:rsidTr="00EC0899">
        <w:trPr>
          <w:trHeight w:val="340"/>
        </w:trPr>
        <w:tc>
          <w:tcPr>
            <w:tcW w:w="1077" w:type="dxa"/>
            <w:tcBorders>
              <w:bottom w:val="single" w:sz="4" w:space="0" w:color="A6A6A6" w:themeColor="background1" w:themeShade="A6"/>
            </w:tcBorders>
          </w:tcPr>
          <w:p w14:paraId="385C5237" w14:textId="77777777" w:rsidR="00EC0899" w:rsidRPr="00EC0899" w:rsidRDefault="00EC0899" w:rsidP="00EC0899">
            <w:pPr>
              <w:pStyle w:val="TableText"/>
              <w:jc w:val="right"/>
              <w:rPr>
                <w:b/>
                <w:bCs/>
              </w:rPr>
            </w:pPr>
            <w:r w:rsidRPr="00EC0899">
              <w:rPr>
                <w:b/>
                <w:bCs/>
              </w:rPr>
              <w:t>6,919</w:t>
            </w:r>
          </w:p>
        </w:tc>
        <w:tc>
          <w:tcPr>
            <w:tcW w:w="5864" w:type="dxa"/>
            <w:tcBorders>
              <w:bottom w:val="single" w:sz="4" w:space="0" w:color="A6A6A6" w:themeColor="background1" w:themeShade="A6"/>
            </w:tcBorders>
          </w:tcPr>
          <w:p w14:paraId="48CAE44B" w14:textId="77777777" w:rsidR="00EC0899" w:rsidRPr="00EC0899" w:rsidRDefault="00EC0899" w:rsidP="009E3BCA">
            <w:pPr>
              <w:pStyle w:val="TableText"/>
              <w:ind w:left="113"/>
              <w:rPr>
                <w:b/>
                <w:bCs/>
              </w:rPr>
            </w:pPr>
            <w:r w:rsidRPr="00EC0899">
              <w:rPr>
                <w:b/>
                <w:bCs/>
                <w:w w:val="105"/>
              </w:rPr>
              <w:t>Total</w:t>
            </w:r>
            <w:r w:rsidRPr="00EC0899">
              <w:rPr>
                <w:b/>
                <w:bCs/>
                <w:spacing w:val="13"/>
                <w:w w:val="105"/>
              </w:rPr>
              <w:t xml:space="preserve"> </w:t>
            </w:r>
            <w:r w:rsidRPr="00EC0899">
              <w:rPr>
                <w:b/>
                <w:bCs/>
                <w:w w:val="105"/>
              </w:rPr>
              <w:t>movement</w:t>
            </w:r>
            <w:r w:rsidRPr="00EC0899">
              <w:rPr>
                <w:b/>
                <w:bCs/>
                <w:spacing w:val="14"/>
                <w:w w:val="105"/>
              </w:rPr>
              <w:t xml:space="preserve"> </w:t>
            </w:r>
            <w:r w:rsidRPr="00EC0899">
              <w:rPr>
                <w:b/>
                <w:bCs/>
                <w:w w:val="105"/>
              </w:rPr>
              <w:t>in</w:t>
            </w:r>
            <w:r w:rsidRPr="00EC0899">
              <w:rPr>
                <w:b/>
                <w:bCs/>
                <w:spacing w:val="14"/>
                <w:w w:val="105"/>
              </w:rPr>
              <w:t xml:space="preserve"> </w:t>
            </w:r>
            <w:r w:rsidRPr="00EC0899">
              <w:rPr>
                <w:b/>
                <w:bCs/>
                <w:w w:val="105"/>
              </w:rPr>
              <w:t>liability</w:t>
            </w:r>
            <w:r w:rsidRPr="00EC0899">
              <w:rPr>
                <w:b/>
                <w:bCs/>
                <w:spacing w:val="13"/>
                <w:w w:val="105"/>
              </w:rPr>
              <w:t xml:space="preserve"> </w:t>
            </w:r>
            <w:r w:rsidRPr="00EC0899">
              <w:rPr>
                <w:b/>
                <w:bCs/>
                <w:w w:val="105"/>
              </w:rPr>
              <w:t>arising</w:t>
            </w:r>
            <w:r w:rsidRPr="00EC0899">
              <w:rPr>
                <w:b/>
                <w:bCs/>
                <w:spacing w:val="14"/>
                <w:w w:val="105"/>
              </w:rPr>
              <w:t xml:space="preserve"> </w:t>
            </w:r>
            <w:r w:rsidRPr="00EC0899">
              <w:rPr>
                <w:b/>
                <w:bCs/>
                <w:w w:val="105"/>
              </w:rPr>
              <w:t>from</w:t>
            </w:r>
            <w:r w:rsidRPr="00EC0899">
              <w:rPr>
                <w:b/>
                <w:bCs/>
                <w:spacing w:val="14"/>
                <w:w w:val="105"/>
              </w:rPr>
              <w:t xml:space="preserve"> </w:t>
            </w:r>
            <w:r w:rsidRPr="00EC0899">
              <w:rPr>
                <w:b/>
                <w:bCs/>
                <w:w w:val="105"/>
              </w:rPr>
              <w:t>financing</w:t>
            </w:r>
            <w:r w:rsidRPr="00EC0899">
              <w:rPr>
                <w:b/>
                <w:bCs/>
                <w:spacing w:val="13"/>
                <w:w w:val="105"/>
              </w:rPr>
              <w:t xml:space="preserve"> </w:t>
            </w:r>
            <w:r w:rsidRPr="00EC0899">
              <w:rPr>
                <w:b/>
                <w:bCs/>
                <w:w w:val="105"/>
              </w:rPr>
              <w:t>activities</w:t>
            </w:r>
          </w:p>
        </w:tc>
        <w:tc>
          <w:tcPr>
            <w:tcW w:w="1286" w:type="dxa"/>
            <w:tcBorders>
              <w:bottom w:val="single" w:sz="4" w:space="0" w:color="A6A6A6" w:themeColor="background1" w:themeShade="A6"/>
            </w:tcBorders>
          </w:tcPr>
          <w:p w14:paraId="2AA4E2B2" w14:textId="77777777" w:rsidR="00EC0899" w:rsidRPr="00EC0899" w:rsidRDefault="00EC0899" w:rsidP="00EC0899">
            <w:pPr>
              <w:pStyle w:val="TableText"/>
              <w:jc w:val="right"/>
              <w:rPr>
                <w:b/>
                <w:bCs/>
              </w:rPr>
            </w:pPr>
            <w:r w:rsidRPr="00EC0899">
              <w:rPr>
                <w:b/>
                <w:bCs/>
              </w:rPr>
              <w:t>108,325</w:t>
            </w:r>
          </w:p>
        </w:tc>
      </w:tr>
      <w:tr w:rsidR="00EC0899" w:rsidRPr="00EC0899" w14:paraId="26E47ADA" w14:textId="77777777" w:rsidTr="00EC0899">
        <w:trPr>
          <w:trHeight w:val="340"/>
        </w:trPr>
        <w:tc>
          <w:tcPr>
            <w:tcW w:w="1077" w:type="dxa"/>
            <w:tcBorders>
              <w:top w:val="single" w:sz="4" w:space="0" w:color="A6A6A6" w:themeColor="background1" w:themeShade="A6"/>
            </w:tcBorders>
          </w:tcPr>
          <w:p w14:paraId="277C0B65" w14:textId="77777777" w:rsidR="00EC0899" w:rsidRPr="00EC0899" w:rsidRDefault="00EC0899" w:rsidP="00EC0899">
            <w:pPr>
              <w:pStyle w:val="TableText"/>
              <w:jc w:val="right"/>
              <w:rPr>
                <w:rFonts w:ascii="Times New Roman"/>
                <w:b/>
                <w:bCs/>
              </w:rPr>
            </w:pPr>
          </w:p>
        </w:tc>
        <w:tc>
          <w:tcPr>
            <w:tcW w:w="5864" w:type="dxa"/>
            <w:tcBorders>
              <w:top w:val="single" w:sz="4" w:space="0" w:color="A6A6A6" w:themeColor="background1" w:themeShade="A6"/>
            </w:tcBorders>
          </w:tcPr>
          <w:p w14:paraId="5CCDEC52" w14:textId="77777777" w:rsidR="00EC0899" w:rsidRPr="00EC0899" w:rsidRDefault="00EC0899" w:rsidP="009E3BCA">
            <w:pPr>
              <w:pStyle w:val="TableText"/>
              <w:ind w:left="113"/>
              <w:rPr>
                <w:b/>
                <w:bCs/>
              </w:rPr>
            </w:pPr>
            <w:r w:rsidRPr="00EC0899">
              <w:rPr>
                <w:b/>
                <w:bCs/>
                <w:w w:val="105"/>
              </w:rPr>
              <w:t>Non-cash</w:t>
            </w:r>
            <w:r w:rsidRPr="00EC0899">
              <w:rPr>
                <w:b/>
                <w:bCs/>
                <w:spacing w:val="6"/>
                <w:w w:val="105"/>
              </w:rPr>
              <w:t xml:space="preserve"> </w:t>
            </w:r>
            <w:r w:rsidRPr="00EC0899">
              <w:rPr>
                <w:b/>
                <w:bCs/>
                <w:w w:val="105"/>
              </w:rPr>
              <w:t>item</w:t>
            </w:r>
          </w:p>
        </w:tc>
        <w:tc>
          <w:tcPr>
            <w:tcW w:w="1286" w:type="dxa"/>
            <w:tcBorders>
              <w:top w:val="single" w:sz="4" w:space="0" w:color="A6A6A6" w:themeColor="background1" w:themeShade="A6"/>
            </w:tcBorders>
          </w:tcPr>
          <w:p w14:paraId="62EFDC54" w14:textId="77777777" w:rsidR="00EC0899" w:rsidRPr="00EC0899" w:rsidRDefault="00EC0899" w:rsidP="00EC0899">
            <w:pPr>
              <w:pStyle w:val="TableText"/>
              <w:jc w:val="right"/>
              <w:rPr>
                <w:rFonts w:ascii="Times New Roman"/>
                <w:b/>
                <w:bCs/>
              </w:rPr>
            </w:pPr>
          </w:p>
        </w:tc>
      </w:tr>
      <w:tr w:rsidR="00EC0899" w14:paraId="0C82B940" w14:textId="77777777" w:rsidTr="00EC0899">
        <w:trPr>
          <w:trHeight w:val="340"/>
        </w:trPr>
        <w:tc>
          <w:tcPr>
            <w:tcW w:w="1077" w:type="dxa"/>
          </w:tcPr>
          <w:p w14:paraId="2649CC19" w14:textId="77777777" w:rsidR="00EC0899" w:rsidRDefault="00EC0899" w:rsidP="00EC0899">
            <w:pPr>
              <w:pStyle w:val="TableText"/>
              <w:jc w:val="right"/>
            </w:pPr>
            <w:r>
              <w:rPr>
                <w:w w:val="110"/>
              </w:rPr>
              <w:t>(34,264)</w:t>
            </w:r>
          </w:p>
        </w:tc>
        <w:tc>
          <w:tcPr>
            <w:tcW w:w="5864" w:type="dxa"/>
          </w:tcPr>
          <w:p w14:paraId="782798D2" w14:textId="77777777" w:rsidR="00EC0899" w:rsidRDefault="00EC0899" w:rsidP="009E3BCA">
            <w:pPr>
              <w:pStyle w:val="TableText"/>
              <w:ind w:left="113"/>
            </w:pPr>
            <w:r>
              <w:t>Operating</w:t>
            </w:r>
            <w:r>
              <w:rPr>
                <w:spacing w:val="13"/>
              </w:rPr>
              <w:t xml:space="preserve"> </w:t>
            </w:r>
            <w:r>
              <w:t>surplus</w:t>
            </w:r>
            <w:r>
              <w:rPr>
                <w:spacing w:val="13"/>
              </w:rPr>
              <w:t xml:space="preserve"> </w:t>
            </w:r>
            <w:r>
              <w:t>to</w:t>
            </w:r>
            <w:r>
              <w:rPr>
                <w:spacing w:val="13"/>
              </w:rPr>
              <w:t xml:space="preserve"> </w:t>
            </w:r>
            <w:r>
              <w:t>be</w:t>
            </w:r>
            <w:r>
              <w:rPr>
                <w:spacing w:val="14"/>
              </w:rPr>
              <w:t xml:space="preserve"> </w:t>
            </w:r>
            <w:r>
              <w:t>paid</w:t>
            </w:r>
            <w:r>
              <w:rPr>
                <w:spacing w:val="13"/>
              </w:rPr>
              <w:t xml:space="preserve"> </w:t>
            </w:r>
            <w:r>
              <w:t>to</w:t>
            </w:r>
            <w:r>
              <w:rPr>
                <w:spacing w:val="13"/>
              </w:rPr>
              <w:t xml:space="preserve"> </w:t>
            </w:r>
            <w:r>
              <w:t>the</w:t>
            </w:r>
            <w:r>
              <w:rPr>
                <w:spacing w:val="13"/>
              </w:rPr>
              <w:t xml:space="preserve"> </w:t>
            </w:r>
            <w:r>
              <w:t>Crown</w:t>
            </w:r>
            <w:r>
              <w:rPr>
                <w:spacing w:val="14"/>
              </w:rPr>
              <w:t xml:space="preserve"> </w:t>
            </w:r>
            <w:r>
              <w:t>in</w:t>
            </w:r>
            <w:r>
              <w:rPr>
                <w:spacing w:val="13"/>
              </w:rPr>
              <w:t xml:space="preserve"> </w:t>
            </w:r>
            <w:r>
              <w:t>2022/23</w:t>
            </w:r>
          </w:p>
        </w:tc>
        <w:tc>
          <w:tcPr>
            <w:tcW w:w="1286" w:type="dxa"/>
          </w:tcPr>
          <w:p w14:paraId="221EA3E8" w14:textId="77777777" w:rsidR="00EC0899" w:rsidRDefault="00EC0899" w:rsidP="00EC0899">
            <w:pPr>
              <w:pStyle w:val="TableText"/>
              <w:jc w:val="right"/>
            </w:pPr>
            <w:r>
              <w:rPr>
                <w:w w:val="105"/>
              </w:rPr>
              <w:t>(142,589)</w:t>
            </w:r>
          </w:p>
        </w:tc>
      </w:tr>
      <w:tr w:rsidR="00EC0899" w:rsidRPr="00EC0899" w14:paraId="748AD0BD" w14:textId="77777777" w:rsidTr="00EC0899">
        <w:trPr>
          <w:trHeight w:val="340"/>
        </w:trPr>
        <w:tc>
          <w:tcPr>
            <w:tcW w:w="1077" w:type="dxa"/>
            <w:tcBorders>
              <w:bottom w:val="single" w:sz="4" w:space="0" w:color="A6A6A6" w:themeColor="background1" w:themeShade="A6"/>
            </w:tcBorders>
          </w:tcPr>
          <w:p w14:paraId="0E09880C" w14:textId="77777777" w:rsidR="00EC0899" w:rsidRPr="00EC0899" w:rsidRDefault="00EC0899" w:rsidP="00EC0899">
            <w:pPr>
              <w:pStyle w:val="TableText"/>
              <w:jc w:val="right"/>
              <w:rPr>
                <w:b/>
                <w:bCs/>
              </w:rPr>
            </w:pPr>
            <w:r w:rsidRPr="00EC0899">
              <w:rPr>
                <w:b/>
                <w:bCs/>
                <w:w w:val="115"/>
              </w:rPr>
              <w:t>(34,264)</w:t>
            </w:r>
          </w:p>
        </w:tc>
        <w:tc>
          <w:tcPr>
            <w:tcW w:w="5864" w:type="dxa"/>
            <w:tcBorders>
              <w:bottom w:val="single" w:sz="4" w:space="0" w:color="A6A6A6" w:themeColor="background1" w:themeShade="A6"/>
            </w:tcBorders>
          </w:tcPr>
          <w:p w14:paraId="1EB4E5E4" w14:textId="77777777" w:rsidR="00EC0899" w:rsidRPr="00EC0899" w:rsidRDefault="00EC0899" w:rsidP="009E3BCA">
            <w:pPr>
              <w:pStyle w:val="TableText"/>
              <w:ind w:left="113"/>
              <w:rPr>
                <w:b/>
                <w:bCs/>
              </w:rPr>
            </w:pPr>
            <w:r w:rsidRPr="00EC0899">
              <w:rPr>
                <w:b/>
                <w:bCs/>
                <w:w w:val="110"/>
              </w:rPr>
              <w:t>Total</w:t>
            </w:r>
            <w:r w:rsidRPr="00EC0899">
              <w:rPr>
                <w:b/>
                <w:bCs/>
                <w:spacing w:val="-11"/>
                <w:w w:val="110"/>
              </w:rPr>
              <w:t xml:space="preserve"> </w:t>
            </w:r>
            <w:r w:rsidRPr="00EC0899">
              <w:rPr>
                <w:b/>
                <w:bCs/>
                <w:w w:val="110"/>
              </w:rPr>
              <w:t>non-cash</w:t>
            </w:r>
            <w:r w:rsidRPr="00EC0899">
              <w:rPr>
                <w:b/>
                <w:bCs/>
                <w:spacing w:val="-11"/>
                <w:w w:val="110"/>
              </w:rPr>
              <w:t xml:space="preserve"> </w:t>
            </w:r>
            <w:r w:rsidRPr="00EC0899">
              <w:rPr>
                <w:b/>
                <w:bCs/>
                <w:w w:val="110"/>
              </w:rPr>
              <w:t>item</w:t>
            </w:r>
          </w:p>
        </w:tc>
        <w:tc>
          <w:tcPr>
            <w:tcW w:w="1286" w:type="dxa"/>
            <w:tcBorders>
              <w:bottom w:val="single" w:sz="4" w:space="0" w:color="A6A6A6" w:themeColor="background1" w:themeShade="A6"/>
            </w:tcBorders>
          </w:tcPr>
          <w:p w14:paraId="1CE411C7" w14:textId="77777777" w:rsidR="00EC0899" w:rsidRPr="00EC0899" w:rsidRDefault="00EC0899" w:rsidP="00EC0899">
            <w:pPr>
              <w:pStyle w:val="TableText"/>
              <w:jc w:val="right"/>
              <w:rPr>
                <w:b/>
                <w:bCs/>
              </w:rPr>
            </w:pPr>
            <w:r w:rsidRPr="00EC0899">
              <w:rPr>
                <w:b/>
                <w:bCs/>
                <w:w w:val="110"/>
              </w:rPr>
              <w:t>(142,589)</w:t>
            </w:r>
          </w:p>
        </w:tc>
      </w:tr>
      <w:tr w:rsidR="00EC0899" w:rsidRPr="00EC0899" w14:paraId="7E7ADBE8" w14:textId="77777777" w:rsidTr="00EC0899">
        <w:trPr>
          <w:trHeight w:val="340"/>
        </w:trPr>
        <w:tc>
          <w:tcPr>
            <w:tcW w:w="1077" w:type="dxa"/>
            <w:tcBorders>
              <w:top w:val="single" w:sz="4" w:space="0" w:color="A6A6A6" w:themeColor="background1" w:themeShade="A6"/>
            </w:tcBorders>
          </w:tcPr>
          <w:p w14:paraId="0C76CD83" w14:textId="77777777" w:rsidR="00EC0899" w:rsidRPr="00EC0899" w:rsidRDefault="00EC0899" w:rsidP="00EC0899">
            <w:pPr>
              <w:pStyle w:val="TableText"/>
              <w:jc w:val="right"/>
              <w:rPr>
                <w:rFonts w:ascii="Times New Roman"/>
                <w:b/>
                <w:bCs/>
              </w:rPr>
            </w:pPr>
          </w:p>
        </w:tc>
        <w:tc>
          <w:tcPr>
            <w:tcW w:w="5864" w:type="dxa"/>
            <w:tcBorders>
              <w:top w:val="single" w:sz="4" w:space="0" w:color="A6A6A6" w:themeColor="background1" w:themeShade="A6"/>
            </w:tcBorders>
          </w:tcPr>
          <w:p w14:paraId="44B6CEF7" w14:textId="77777777" w:rsidR="00EC0899" w:rsidRPr="00EC0899" w:rsidRDefault="00EC0899" w:rsidP="009E3BCA">
            <w:pPr>
              <w:pStyle w:val="TableText"/>
              <w:ind w:left="113"/>
              <w:rPr>
                <w:b/>
                <w:bCs/>
              </w:rPr>
            </w:pPr>
            <w:r w:rsidRPr="00EC0899">
              <w:rPr>
                <w:b/>
                <w:bCs/>
                <w:w w:val="105"/>
              </w:rPr>
              <w:t>Add/(less)</w:t>
            </w:r>
            <w:r w:rsidRPr="00EC0899">
              <w:rPr>
                <w:b/>
                <w:bCs/>
                <w:spacing w:val="12"/>
                <w:w w:val="105"/>
              </w:rPr>
              <w:t xml:space="preserve"> </w:t>
            </w:r>
            <w:r w:rsidRPr="00EC0899">
              <w:rPr>
                <w:b/>
                <w:bCs/>
                <w:w w:val="105"/>
              </w:rPr>
              <w:t>owner’s</w:t>
            </w:r>
            <w:r w:rsidRPr="00EC0899">
              <w:rPr>
                <w:b/>
                <w:bCs/>
                <w:spacing w:val="13"/>
                <w:w w:val="105"/>
              </w:rPr>
              <w:t xml:space="preserve"> </w:t>
            </w:r>
            <w:r w:rsidRPr="00EC0899">
              <w:rPr>
                <w:b/>
                <w:bCs/>
                <w:w w:val="105"/>
              </w:rPr>
              <w:t>contribution</w:t>
            </w:r>
            <w:r w:rsidRPr="00EC0899">
              <w:rPr>
                <w:b/>
                <w:bCs/>
                <w:spacing w:val="12"/>
                <w:w w:val="105"/>
              </w:rPr>
              <w:t xml:space="preserve"> </w:t>
            </w:r>
            <w:r w:rsidRPr="00EC0899">
              <w:rPr>
                <w:b/>
                <w:bCs/>
                <w:w w:val="105"/>
              </w:rPr>
              <w:t>and</w:t>
            </w:r>
            <w:r w:rsidRPr="00EC0899">
              <w:rPr>
                <w:b/>
                <w:bCs/>
                <w:spacing w:val="13"/>
                <w:w w:val="105"/>
              </w:rPr>
              <w:t xml:space="preserve"> </w:t>
            </w:r>
            <w:r w:rsidRPr="00EC0899">
              <w:rPr>
                <w:b/>
                <w:bCs/>
                <w:w w:val="105"/>
              </w:rPr>
              <w:t>withdrawal</w:t>
            </w:r>
          </w:p>
        </w:tc>
        <w:tc>
          <w:tcPr>
            <w:tcW w:w="1286" w:type="dxa"/>
            <w:tcBorders>
              <w:top w:val="single" w:sz="4" w:space="0" w:color="A6A6A6" w:themeColor="background1" w:themeShade="A6"/>
            </w:tcBorders>
          </w:tcPr>
          <w:p w14:paraId="342EB24C" w14:textId="77777777" w:rsidR="00EC0899" w:rsidRPr="00EC0899" w:rsidRDefault="00EC0899" w:rsidP="00EC0899">
            <w:pPr>
              <w:pStyle w:val="TableText"/>
              <w:jc w:val="right"/>
              <w:rPr>
                <w:rFonts w:ascii="Times New Roman"/>
                <w:b/>
                <w:bCs/>
              </w:rPr>
            </w:pPr>
          </w:p>
        </w:tc>
      </w:tr>
      <w:tr w:rsidR="00EC0899" w14:paraId="48E8F9E9" w14:textId="77777777" w:rsidTr="00EC0899">
        <w:trPr>
          <w:trHeight w:val="340"/>
        </w:trPr>
        <w:tc>
          <w:tcPr>
            <w:tcW w:w="1077" w:type="dxa"/>
          </w:tcPr>
          <w:p w14:paraId="4A534C5D" w14:textId="77777777" w:rsidR="00EC0899" w:rsidRDefault="00EC0899" w:rsidP="00EC0899">
            <w:pPr>
              <w:pStyle w:val="TableText"/>
              <w:jc w:val="right"/>
            </w:pPr>
            <w:r>
              <w:t>12,509</w:t>
            </w:r>
          </w:p>
        </w:tc>
        <w:tc>
          <w:tcPr>
            <w:tcW w:w="5864" w:type="dxa"/>
          </w:tcPr>
          <w:p w14:paraId="78A57A00" w14:textId="77777777" w:rsidR="00EC0899" w:rsidRDefault="00EC0899" w:rsidP="009E3BCA">
            <w:pPr>
              <w:pStyle w:val="TableText"/>
              <w:ind w:left="113"/>
            </w:pPr>
            <w:r>
              <w:t>Capital</w:t>
            </w:r>
            <w:r>
              <w:rPr>
                <w:spacing w:val="20"/>
              </w:rPr>
              <w:t xml:space="preserve"> </w:t>
            </w:r>
            <w:r>
              <w:t>contribution</w:t>
            </w:r>
          </w:p>
        </w:tc>
        <w:tc>
          <w:tcPr>
            <w:tcW w:w="1286" w:type="dxa"/>
          </w:tcPr>
          <w:p w14:paraId="7F46599E" w14:textId="77777777" w:rsidR="00EC0899" w:rsidRDefault="00EC0899" w:rsidP="00EC0899">
            <w:pPr>
              <w:pStyle w:val="TableText"/>
              <w:jc w:val="right"/>
            </w:pPr>
            <w:r>
              <w:rPr>
                <w:w w:val="105"/>
              </w:rPr>
              <w:t>4,349</w:t>
            </w:r>
          </w:p>
        </w:tc>
      </w:tr>
      <w:tr w:rsidR="00EC0899" w14:paraId="79461DD2" w14:textId="77777777" w:rsidTr="00EC0899">
        <w:trPr>
          <w:trHeight w:val="340"/>
        </w:trPr>
        <w:tc>
          <w:tcPr>
            <w:tcW w:w="1077" w:type="dxa"/>
          </w:tcPr>
          <w:p w14:paraId="2CC82EB2" w14:textId="77777777" w:rsidR="00EC0899" w:rsidRDefault="00EC0899" w:rsidP="00EC0899">
            <w:pPr>
              <w:pStyle w:val="TableText"/>
              <w:jc w:val="right"/>
            </w:pPr>
            <w:r>
              <w:rPr>
                <w:w w:val="135"/>
              </w:rPr>
              <w:t>–</w:t>
            </w:r>
          </w:p>
        </w:tc>
        <w:tc>
          <w:tcPr>
            <w:tcW w:w="5864" w:type="dxa"/>
          </w:tcPr>
          <w:p w14:paraId="16B42E58" w14:textId="77777777" w:rsidR="00EC0899" w:rsidRDefault="00EC0899" w:rsidP="009E3BCA">
            <w:pPr>
              <w:pStyle w:val="TableText"/>
              <w:ind w:left="113"/>
            </w:pPr>
            <w:r>
              <w:t>Capital</w:t>
            </w:r>
            <w:r>
              <w:rPr>
                <w:spacing w:val="16"/>
              </w:rPr>
              <w:t xml:space="preserve"> </w:t>
            </w:r>
            <w:r>
              <w:t>withdrawal</w:t>
            </w:r>
          </w:p>
        </w:tc>
        <w:tc>
          <w:tcPr>
            <w:tcW w:w="1286" w:type="dxa"/>
          </w:tcPr>
          <w:p w14:paraId="1962AAFB" w14:textId="77777777" w:rsidR="00EC0899" w:rsidRDefault="00EC0899" w:rsidP="00EC0899">
            <w:pPr>
              <w:pStyle w:val="TableText"/>
              <w:jc w:val="right"/>
            </w:pPr>
            <w:r>
              <w:rPr>
                <w:w w:val="110"/>
              </w:rPr>
              <w:t>(6,726)</w:t>
            </w:r>
          </w:p>
        </w:tc>
      </w:tr>
      <w:tr w:rsidR="00EC0899" w:rsidRPr="00EC0899" w14:paraId="1F8F4D8B" w14:textId="77777777" w:rsidTr="00EC0899">
        <w:trPr>
          <w:trHeight w:val="340"/>
        </w:trPr>
        <w:tc>
          <w:tcPr>
            <w:tcW w:w="1077" w:type="dxa"/>
            <w:tcBorders>
              <w:bottom w:val="single" w:sz="4" w:space="0" w:color="A6A6A6" w:themeColor="background1" w:themeShade="A6"/>
            </w:tcBorders>
          </w:tcPr>
          <w:p w14:paraId="11F2FBCD" w14:textId="77777777" w:rsidR="00EC0899" w:rsidRPr="00EC0899" w:rsidRDefault="00EC0899" w:rsidP="00EC0899">
            <w:pPr>
              <w:pStyle w:val="TableText"/>
              <w:jc w:val="right"/>
              <w:rPr>
                <w:b/>
                <w:bCs/>
              </w:rPr>
            </w:pPr>
            <w:r w:rsidRPr="00EC0899">
              <w:rPr>
                <w:b/>
                <w:bCs/>
              </w:rPr>
              <w:t>12,509</w:t>
            </w:r>
          </w:p>
        </w:tc>
        <w:tc>
          <w:tcPr>
            <w:tcW w:w="5864" w:type="dxa"/>
            <w:tcBorders>
              <w:bottom w:val="single" w:sz="4" w:space="0" w:color="A6A6A6" w:themeColor="background1" w:themeShade="A6"/>
            </w:tcBorders>
          </w:tcPr>
          <w:p w14:paraId="31B29A5A" w14:textId="77777777" w:rsidR="00EC0899" w:rsidRPr="00EC0899" w:rsidRDefault="00EC0899" w:rsidP="009E3BCA">
            <w:pPr>
              <w:pStyle w:val="TableText"/>
              <w:ind w:left="113"/>
              <w:rPr>
                <w:b/>
                <w:bCs/>
              </w:rPr>
            </w:pPr>
            <w:r w:rsidRPr="00EC0899">
              <w:rPr>
                <w:b/>
                <w:bCs/>
                <w:w w:val="105"/>
              </w:rPr>
              <w:t>Net</w:t>
            </w:r>
            <w:r w:rsidRPr="00EC0899">
              <w:rPr>
                <w:b/>
                <w:bCs/>
                <w:spacing w:val="4"/>
                <w:w w:val="105"/>
              </w:rPr>
              <w:t xml:space="preserve"> </w:t>
            </w:r>
            <w:r w:rsidRPr="00EC0899">
              <w:rPr>
                <w:b/>
                <w:bCs/>
                <w:w w:val="105"/>
              </w:rPr>
              <w:t>owner’s</w:t>
            </w:r>
            <w:r w:rsidRPr="00EC0899">
              <w:rPr>
                <w:b/>
                <w:bCs/>
                <w:spacing w:val="4"/>
                <w:w w:val="105"/>
              </w:rPr>
              <w:t xml:space="preserve"> </w:t>
            </w:r>
            <w:r w:rsidRPr="00EC0899">
              <w:rPr>
                <w:b/>
                <w:bCs/>
                <w:w w:val="105"/>
              </w:rPr>
              <w:t>contribution</w:t>
            </w:r>
            <w:r w:rsidRPr="00EC0899">
              <w:rPr>
                <w:b/>
                <w:bCs/>
                <w:spacing w:val="5"/>
                <w:w w:val="105"/>
              </w:rPr>
              <w:t xml:space="preserve"> </w:t>
            </w:r>
            <w:r w:rsidRPr="00EC0899">
              <w:rPr>
                <w:b/>
                <w:bCs/>
                <w:w w:val="105"/>
              </w:rPr>
              <w:t>and</w:t>
            </w:r>
            <w:r w:rsidRPr="00EC0899">
              <w:rPr>
                <w:b/>
                <w:bCs/>
                <w:spacing w:val="4"/>
                <w:w w:val="105"/>
              </w:rPr>
              <w:t xml:space="preserve"> </w:t>
            </w:r>
            <w:r w:rsidRPr="00EC0899">
              <w:rPr>
                <w:b/>
                <w:bCs/>
                <w:w w:val="105"/>
              </w:rPr>
              <w:t>withdrawal</w:t>
            </w:r>
          </w:p>
        </w:tc>
        <w:tc>
          <w:tcPr>
            <w:tcW w:w="1286" w:type="dxa"/>
            <w:tcBorders>
              <w:bottom w:val="single" w:sz="4" w:space="0" w:color="A6A6A6" w:themeColor="background1" w:themeShade="A6"/>
            </w:tcBorders>
          </w:tcPr>
          <w:p w14:paraId="2BD82EFC" w14:textId="77777777" w:rsidR="00EC0899" w:rsidRPr="00EC0899" w:rsidRDefault="00EC0899" w:rsidP="00EC0899">
            <w:pPr>
              <w:pStyle w:val="TableText"/>
              <w:jc w:val="right"/>
              <w:rPr>
                <w:b/>
                <w:bCs/>
              </w:rPr>
            </w:pPr>
            <w:r w:rsidRPr="00EC0899">
              <w:rPr>
                <w:b/>
                <w:bCs/>
                <w:w w:val="105"/>
              </w:rPr>
              <w:t>(2,377)</w:t>
            </w:r>
          </w:p>
        </w:tc>
      </w:tr>
      <w:tr w:rsidR="00EC0899" w:rsidRPr="00EC0899" w14:paraId="6FC298E3" w14:textId="77777777" w:rsidTr="00EC0899">
        <w:trPr>
          <w:trHeight w:val="340"/>
        </w:trPr>
        <w:tc>
          <w:tcPr>
            <w:tcW w:w="1077" w:type="dxa"/>
            <w:tcBorders>
              <w:top w:val="single" w:sz="4" w:space="0" w:color="A6A6A6" w:themeColor="background1" w:themeShade="A6"/>
              <w:bottom w:val="single" w:sz="4" w:space="0" w:color="A6A6A6" w:themeColor="background1" w:themeShade="A6"/>
            </w:tcBorders>
          </w:tcPr>
          <w:p w14:paraId="579E98B9" w14:textId="77777777" w:rsidR="00EC0899" w:rsidRPr="00EC0899" w:rsidRDefault="00EC0899" w:rsidP="00EC0899">
            <w:pPr>
              <w:pStyle w:val="TableText"/>
              <w:jc w:val="right"/>
              <w:rPr>
                <w:b/>
                <w:bCs/>
              </w:rPr>
            </w:pPr>
            <w:r w:rsidRPr="00EC0899">
              <w:rPr>
                <w:b/>
                <w:bCs/>
                <w:w w:val="110"/>
              </w:rPr>
              <w:t>(14,836)</w:t>
            </w:r>
          </w:p>
        </w:tc>
        <w:tc>
          <w:tcPr>
            <w:tcW w:w="5864" w:type="dxa"/>
            <w:tcBorders>
              <w:top w:val="single" w:sz="4" w:space="0" w:color="A6A6A6" w:themeColor="background1" w:themeShade="A6"/>
              <w:bottom w:val="single" w:sz="4" w:space="0" w:color="A6A6A6" w:themeColor="background1" w:themeShade="A6"/>
            </w:tcBorders>
          </w:tcPr>
          <w:p w14:paraId="7A55D921" w14:textId="77777777" w:rsidR="00EC0899" w:rsidRPr="00EC0899" w:rsidRDefault="00EC0899" w:rsidP="009E3BCA">
            <w:pPr>
              <w:pStyle w:val="TableText"/>
              <w:ind w:left="113"/>
              <w:rPr>
                <w:b/>
                <w:bCs/>
              </w:rPr>
            </w:pPr>
            <w:r w:rsidRPr="00EC0899">
              <w:rPr>
                <w:b/>
                <w:bCs/>
                <w:w w:val="105"/>
              </w:rPr>
              <w:t>Net</w:t>
            </w:r>
            <w:r w:rsidRPr="00EC0899">
              <w:rPr>
                <w:b/>
                <w:bCs/>
                <w:spacing w:val="2"/>
                <w:w w:val="105"/>
              </w:rPr>
              <w:t xml:space="preserve"> </w:t>
            </w:r>
            <w:r w:rsidRPr="00EC0899">
              <w:rPr>
                <w:b/>
                <w:bCs/>
                <w:w w:val="105"/>
              </w:rPr>
              <w:t>cash</w:t>
            </w:r>
            <w:r w:rsidRPr="00EC0899">
              <w:rPr>
                <w:b/>
                <w:bCs/>
                <w:spacing w:val="3"/>
                <w:w w:val="105"/>
              </w:rPr>
              <w:t xml:space="preserve"> </w:t>
            </w:r>
            <w:r w:rsidRPr="00EC0899">
              <w:rPr>
                <w:b/>
                <w:bCs/>
                <w:w w:val="105"/>
              </w:rPr>
              <w:t>flow</w:t>
            </w:r>
            <w:r w:rsidRPr="00EC0899">
              <w:rPr>
                <w:b/>
                <w:bCs/>
                <w:spacing w:val="3"/>
                <w:w w:val="105"/>
              </w:rPr>
              <w:t xml:space="preserve"> </w:t>
            </w:r>
            <w:r w:rsidRPr="00EC0899">
              <w:rPr>
                <w:b/>
                <w:bCs/>
                <w:w w:val="105"/>
              </w:rPr>
              <w:t>from</w:t>
            </w:r>
            <w:r w:rsidRPr="00EC0899">
              <w:rPr>
                <w:b/>
                <w:bCs/>
                <w:spacing w:val="3"/>
                <w:w w:val="105"/>
              </w:rPr>
              <w:t xml:space="preserve"> </w:t>
            </w:r>
            <w:r w:rsidRPr="00EC0899">
              <w:rPr>
                <w:b/>
                <w:bCs/>
                <w:w w:val="105"/>
              </w:rPr>
              <w:t>financing</w:t>
            </w:r>
            <w:r w:rsidRPr="00EC0899">
              <w:rPr>
                <w:b/>
                <w:bCs/>
                <w:spacing w:val="2"/>
                <w:w w:val="105"/>
              </w:rPr>
              <w:t xml:space="preserve"> </w:t>
            </w:r>
            <w:r w:rsidRPr="00EC0899">
              <w:rPr>
                <w:b/>
                <w:bCs/>
                <w:w w:val="105"/>
              </w:rPr>
              <w:t>activities</w:t>
            </w:r>
          </w:p>
        </w:tc>
        <w:tc>
          <w:tcPr>
            <w:tcW w:w="1286" w:type="dxa"/>
            <w:tcBorders>
              <w:top w:val="single" w:sz="4" w:space="0" w:color="A6A6A6" w:themeColor="background1" w:themeShade="A6"/>
              <w:bottom w:val="single" w:sz="4" w:space="0" w:color="A6A6A6" w:themeColor="background1" w:themeShade="A6"/>
            </w:tcBorders>
          </w:tcPr>
          <w:p w14:paraId="4A77C4B8" w14:textId="77777777" w:rsidR="00EC0899" w:rsidRPr="00EC0899" w:rsidRDefault="00EC0899" w:rsidP="00EC0899">
            <w:pPr>
              <w:pStyle w:val="TableText"/>
              <w:jc w:val="right"/>
              <w:rPr>
                <w:b/>
                <w:bCs/>
              </w:rPr>
            </w:pPr>
            <w:r w:rsidRPr="00EC0899">
              <w:rPr>
                <w:b/>
                <w:bCs/>
                <w:w w:val="105"/>
              </w:rPr>
              <w:t>(36,641)</w:t>
            </w:r>
          </w:p>
        </w:tc>
      </w:tr>
    </w:tbl>
    <w:p w14:paraId="774F063E" w14:textId="77777777" w:rsidR="00090FEB" w:rsidRDefault="00090FEB" w:rsidP="00DB7B52">
      <w:pPr>
        <w:pStyle w:val="Note"/>
        <w:rPr>
          <w:rFonts w:eastAsia="Arial Unicode MS"/>
        </w:rPr>
      </w:pPr>
    </w:p>
    <w:p w14:paraId="3EABF56B" w14:textId="77777777" w:rsidR="00090FEB" w:rsidRDefault="00090FEB" w:rsidP="00DB7B52">
      <w:pPr>
        <w:pStyle w:val="Note"/>
        <w:rPr>
          <w:rFonts w:eastAsia="Arial Unicode MS"/>
        </w:rPr>
      </w:pPr>
    </w:p>
    <w:p w14:paraId="340D9828" w14:textId="77777777" w:rsidR="00090FEB" w:rsidRDefault="00090FEB" w:rsidP="00DB7B52">
      <w:pPr>
        <w:pStyle w:val="Note"/>
        <w:rPr>
          <w:rFonts w:eastAsia="Arial Unicode MS"/>
        </w:rPr>
      </w:pPr>
    </w:p>
    <w:p w14:paraId="0DFEB1A4" w14:textId="77777777" w:rsidR="00090FEB" w:rsidRDefault="00090FEB" w:rsidP="00DB7B52">
      <w:pPr>
        <w:pStyle w:val="Note"/>
        <w:rPr>
          <w:rFonts w:eastAsia="Arial Unicode MS"/>
        </w:rPr>
      </w:pPr>
    </w:p>
    <w:p w14:paraId="180E2920" w14:textId="77777777" w:rsidR="00090FEB" w:rsidRDefault="00090FEB" w:rsidP="00DB7B52">
      <w:pPr>
        <w:pStyle w:val="Note"/>
        <w:rPr>
          <w:rFonts w:eastAsia="Arial Unicode MS"/>
        </w:rPr>
      </w:pPr>
    </w:p>
    <w:p w14:paraId="7BDC1ABF" w14:textId="77777777" w:rsidR="00090FEB" w:rsidRDefault="00090FEB" w:rsidP="00DB7B52">
      <w:pPr>
        <w:pStyle w:val="Note"/>
        <w:rPr>
          <w:rFonts w:eastAsia="Arial Unicode MS"/>
        </w:rPr>
      </w:pPr>
    </w:p>
    <w:p w14:paraId="4ACAAC04" w14:textId="77777777" w:rsidR="00090FEB" w:rsidRDefault="00090FEB" w:rsidP="00DB7B52">
      <w:pPr>
        <w:pStyle w:val="Note"/>
        <w:rPr>
          <w:rFonts w:eastAsia="Arial Unicode MS"/>
        </w:rPr>
      </w:pPr>
    </w:p>
    <w:p w14:paraId="1EEFE1FA" w14:textId="77777777" w:rsidR="00090FEB" w:rsidRDefault="00090FEB" w:rsidP="00DB7B52">
      <w:pPr>
        <w:pStyle w:val="Note"/>
        <w:rPr>
          <w:rFonts w:eastAsia="Arial Unicode MS"/>
        </w:rPr>
      </w:pPr>
    </w:p>
    <w:p w14:paraId="339FE226" w14:textId="77777777" w:rsidR="00090FEB" w:rsidRDefault="00090FEB" w:rsidP="00DB7B52">
      <w:pPr>
        <w:pStyle w:val="Note"/>
        <w:rPr>
          <w:rFonts w:eastAsia="Arial Unicode MS"/>
        </w:rPr>
      </w:pPr>
    </w:p>
    <w:p w14:paraId="61ACFF33" w14:textId="77777777" w:rsidR="00090FEB" w:rsidRDefault="00090FEB" w:rsidP="00DB7B52">
      <w:pPr>
        <w:pStyle w:val="Note"/>
        <w:rPr>
          <w:rFonts w:eastAsia="Arial Unicode MS"/>
        </w:rPr>
      </w:pPr>
    </w:p>
    <w:p w14:paraId="27211BC5" w14:textId="77777777" w:rsidR="00090FEB" w:rsidRDefault="00090FEB" w:rsidP="00DB7B52">
      <w:pPr>
        <w:pStyle w:val="Note"/>
        <w:rPr>
          <w:rFonts w:eastAsia="Arial Unicode MS"/>
        </w:rPr>
      </w:pPr>
    </w:p>
    <w:p w14:paraId="0F7A40A2" w14:textId="77777777" w:rsidR="00090FEB" w:rsidRDefault="00090FEB" w:rsidP="00DB7B52">
      <w:pPr>
        <w:pStyle w:val="Note"/>
        <w:rPr>
          <w:rFonts w:eastAsia="Arial Unicode MS"/>
        </w:rPr>
      </w:pPr>
    </w:p>
    <w:p w14:paraId="1E112C7B" w14:textId="77777777" w:rsidR="00090FEB" w:rsidRDefault="00090FEB" w:rsidP="00DB7B52">
      <w:pPr>
        <w:pStyle w:val="Note"/>
        <w:rPr>
          <w:rFonts w:eastAsia="Arial Unicode MS"/>
        </w:rPr>
      </w:pPr>
    </w:p>
    <w:p w14:paraId="34DB34BC" w14:textId="77777777" w:rsidR="00090FEB" w:rsidRDefault="00090FEB" w:rsidP="00DB7B52">
      <w:pPr>
        <w:pStyle w:val="Note"/>
        <w:rPr>
          <w:rFonts w:eastAsia="Arial Unicode MS"/>
        </w:rPr>
      </w:pPr>
    </w:p>
    <w:p w14:paraId="30CD58DB" w14:textId="77777777" w:rsidR="00090FEB" w:rsidRDefault="00090FEB" w:rsidP="00DB7B52">
      <w:pPr>
        <w:pStyle w:val="Note"/>
        <w:rPr>
          <w:rFonts w:eastAsia="Arial Unicode MS"/>
        </w:rPr>
      </w:pPr>
    </w:p>
    <w:p w14:paraId="51987C25" w14:textId="77777777" w:rsidR="00090FEB" w:rsidRDefault="00090FEB" w:rsidP="00DB7B52">
      <w:pPr>
        <w:pStyle w:val="Note"/>
        <w:rPr>
          <w:rFonts w:eastAsia="Arial Unicode MS"/>
        </w:rPr>
      </w:pPr>
    </w:p>
    <w:p w14:paraId="55515A15" w14:textId="77777777" w:rsidR="00090FEB" w:rsidRDefault="00090FEB" w:rsidP="00DB7B52">
      <w:pPr>
        <w:pStyle w:val="Note"/>
        <w:rPr>
          <w:rFonts w:eastAsia="Arial Unicode MS"/>
        </w:rPr>
      </w:pPr>
    </w:p>
    <w:p w14:paraId="065E6920" w14:textId="77777777" w:rsidR="00090FEB" w:rsidRDefault="00090FEB" w:rsidP="00DB7B52">
      <w:pPr>
        <w:pStyle w:val="Note"/>
        <w:rPr>
          <w:rFonts w:eastAsia="Arial Unicode MS"/>
        </w:rPr>
      </w:pPr>
    </w:p>
    <w:p w14:paraId="14E28000" w14:textId="77777777" w:rsidR="00090FEB" w:rsidRDefault="00090FEB" w:rsidP="00DB7B52">
      <w:pPr>
        <w:pStyle w:val="Note"/>
        <w:rPr>
          <w:rFonts w:eastAsia="Arial Unicode MS"/>
        </w:rPr>
      </w:pPr>
    </w:p>
    <w:p w14:paraId="6E34B18B" w14:textId="77777777" w:rsidR="00090FEB" w:rsidRDefault="00090FEB" w:rsidP="00DB7B52">
      <w:pPr>
        <w:pStyle w:val="Note"/>
        <w:rPr>
          <w:rFonts w:eastAsia="Arial Unicode MS"/>
        </w:rPr>
      </w:pPr>
    </w:p>
    <w:p w14:paraId="7774731A" w14:textId="77777777" w:rsidR="00090FEB" w:rsidRDefault="00090FEB" w:rsidP="00DB7B52">
      <w:pPr>
        <w:pStyle w:val="Note"/>
        <w:rPr>
          <w:rFonts w:eastAsia="Arial Unicode MS"/>
        </w:rPr>
      </w:pPr>
    </w:p>
    <w:p w14:paraId="001E0AC4" w14:textId="77777777" w:rsidR="00090FEB" w:rsidRDefault="00090FEB" w:rsidP="00DB7B52">
      <w:pPr>
        <w:pStyle w:val="Note"/>
        <w:rPr>
          <w:rFonts w:eastAsia="Arial Unicode MS"/>
        </w:rPr>
      </w:pPr>
    </w:p>
    <w:p w14:paraId="732D27B8" w14:textId="77777777" w:rsidR="00090FEB" w:rsidRDefault="00090FEB" w:rsidP="00DB7B52">
      <w:pPr>
        <w:pStyle w:val="Note"/>
        <w:rPr>
          <w:rFonts w:eastAsia="Arial Unicode MS"/>
        </w:rPr>
      </w:pPr>
    </w:p>
    <w:p w14:paraId="58646C24" w14:textId="77777777" w:rsidR="00090FEB" w:rsidRDefault="00090FEB" w:rsidP="00DB7B52">
      <w:pPr>
        <w:pStyle w:val="Note"/>
        <w:rPr>
          <w:rFonts w:eastAsia="Arial Unicode MS"/>
        </w:rPr>
      </w:pPr>
    </w:p>
    <w:p w14:paraId="7DC02104" w14:textId="2659A6E5" w:rsidR="00DB7B52" w:rsidRDefault="00DB7B52" w:rsidP="00DB7B52">
      <w:pPr>
        <w:pStyle w:val="Note"/>
        <w:rPr>
          <w:rFonts w:eastAsia="Arial Unicode MS"/>
        </w:rPr>
      </w:pPr>
      <w:r w:rsidRPr="004D239B">
        <w:rPr>
          <w:rFonts w:eastAsia="Arial Unicode MS"/>
        </w:rPr>
        <w:t>The accompanying notes form part of these financial statements.</w:t>
      </w:r>
    </w:p>
    <w:p w14:paraId="7FC8FD3C" w14:textId="77777777" w:rsidR="00DB7B52" w:rsidRPr="00175A9D" w:rsidRDefault="00DB7B52" w:rsidP="00175A9D">
      <w:pPr>
        <w:pStyle w:val="Heading4"/>
        <w:spacing w:before="0"/>
        <w:rPr>
          <w:sz w:val="36"/>
          <w:szCs w:val="36"/>
        </w:rPr>
      </w:pPr>
      <w:r w:rsidRPr="00175A9D">
        <w:rPr>
          <w:sz w:val="36"/>
          <w:szCs w:val="36"/>
        </w:rPr>
        <w:lastRenderedPageBreak/>
        <w:t>Statement of commitments as at 30 June 2022</w:t>
      </w:r>
    </w:p>
    <w:p w14:paraId="5CA7DBAF" w14:textId="77777777" w:rsidR="00DB7B52" w:rsidRPr="00DB7B52" w:rsidRDefault="00DB7B52" w:rsidP="00DB7B52">
      <w:pPr>
        <w:pStyle w:val="Heading5"/>
      </w:pPr>
      <w:r w:rsidRPr="00DB7B52">
        <w:t>Capital commitments</w:t>
      </w:r>
    </w:p>
    <w:p w14:paraId="2EA3B034" w14:textId="4EBF7FF4" w:rsidR="00DB7B52" w:rsidRDefault="00DB7B52" w:rsidP="00DB7B52">
      <w:pPr>
        <w:tabs>
          <w:tab w:val="left" w:pos="5135"/>
        </w:tabs>
        <w:rPr>
          <w:rFonts w:eastAsia="Arial Unicode MS"/>
        </w:rPr>
      </w:pPr>
      <w:r w:rsidRPr="00DB7B52">
        <w:rPr>
          <w:rFonts w:eastAsia="Arial Unicode MS"/>
        </w:rPr>
        <w:t>Capital commitments are the aggregate amount of capital expenditure contracted for the acquisition of property, plant and equipment and intangible assets that have not been paid for or are not recognised as a liability at balance date.</w:t>
      </w:r>
    </w:p>
    <w:p w14:paraId="239C83E4" w14:textId="77777777" w:rsidR="00DB7B52" w:rsidRPr="00DB7B52" w:rsidRDefault="00DB7B52" w:rsidP="00DB7B52">
      <w:pPr>
        <w:tabs>
          <w:tab w:val="left" w:pos="5135"/>
        </w:tabs>
        <w:rPr>
          <w:rFonts w:eastAsia="Arial Unicode MS"/>
        </w:rPr>
      </w:pPr>
    </w:p>
    <w:p w14:paraId="58AB7662" w14:textId="77777777" w:rsidR="00DB7B52" w:rsidRPr="00DB7B52" w:rsidRDefault="00DB7B52" w:rsidP="00DB7B52">
      <w:pPr>
        <w:tabs>
          <w:tab w:val="left" w:pos="5135"/>
        </w:tabs>
        <w:rPr>
          <w:rFonts w:eastAsia="Arial Unicode MS"/>
        </w:rPr>
      </w:pPr>
      <w:r w:rsidRPr="00DB7B52">
        <w:rPr>
          <w:rFonts w:eastAsia="Arial Unicode MS"/>
        </w:rPr>
        <w:t>Cancellable capital commitments that have penalty or exit costs explicit in the agreement on exercising that option to cancel are reported below at the lower of the remaining contractual commitment and the value of those penalty or exit costs.</w:t>
      </w:r>
    </w:p>
    <w:p w14:paraId="44E96FFC" w14:textId="77777777" w:rsidR="00DB7B52" w:rsidRPr="00DB7B52" w:rsidRDefault="00DB7B52" w:rsidP="00DB7B52">
      <w:pPr>
        <w:pStyle w:val="Heading5"/>
      </w:pPr>
      <w:r w:rsidRPr="00DB7B52">
        <w:t>Non-cancellable operating lease commitments</w:t>
      </w:r>
    </w:p>
    <w:p w14:paraId="4A79DCFB" w14:textId="467C89E9" w:rsidR="00DB7B52" w:rsidRDefault="00DB7B52" w:rsidP="00DB7B52">
      <w:pPr>
        <w:tabs>
          <w:tab w:val="left" w:pos="5135"/>
        </w:tabs>
        <w:rPr>
          <w:rFonts w:eastAsia="Arial Unicode MS"/>
        </w:rPr>
      </w:pPr>
      <w:r w:rsidRPr="00DB7B52">
        <w:rPr>
          <w:rFonts w:eastAsia="Arial Unicode MS"/>
        </w:rPr>
        <w:t>The Ministry leases property, plant and equipment in the normal course of its business. The majority of these leases are for premises and carparks, which have a non-cancellable leasing period ranging from two to ten years.</w:t>
      </w:r>
    </w:p>
    <w:p w14:paraId="32C37F72" w14:textId="77777777" w:rsidR="00DB7B52" w:rsidRPr="00DB7B52" w:rsidRDefault="00DB7B52" w:rsidP="00DB7B52">
      <w:pPr>
        <w:tabs>
          <w:tab w:val="left" w:pos="5135"/>
        </w:tabs>
        <w:rPr>
          <w:rFonts w:eastAsia="Arial Unicode MS"/>
        </w:rPr>
      </w:pPr>
    </w:p>
    <w:p w14:paraId="54849DE2" w14:textId="77777777" w:rsidR="00DB7B52" w:rsidRDefault="00DB7B52" w:rsidP="00DB7B52">
      <w:pPr>
        <w:tabs>
          <w:tab w:val="left" w:pos="5135"/>
        </w:tabs>
        <w:rPr>
          <w:rFonts w:eastAsia="Arial Unicode MS"/>
        </w:rPr>
      </w:pPr>
      <w:r w:rsidRPr="00DB7B52">
        <w:rPr>
          <w:rFonts w:eastAsia="Arial Unicode MS"/>
        </w:rPr>
        <w:t>The Ministry’s non-cancellable operating leases have varying terms, escalation clauses and renewal rights.</w:t>
      </w:r>
    </w:p>
    <w:p w14:paraId="5397B57C" w14:textId="77777777" w:rsidR="00DB7B52" w:rsidRDefault="00DB7B52" w:rsidP="00DB7B52">
      <w:pPr>
        <w:tabs>
          <w:tab w:val="left" w:pos="5135"/>
        </w:tabs>
        <w:rPr>
          <w:rFonts w:eastAsia="Arial Unicode MS"/>
        </w:rPr>
      </w:pPr>
    </w:p>
    <w:tbl>
      <w:tblPr>
        <w:tblW w:w="8059" w:type="dxa"/>
        <w:tblInd w:w="7" w:type="dxa"/>
        <w:tblLayout w:type="fixed"/>
        <w:tblCellMar>
          <w:left w:w="0" w:type="dxa"/>
          <w:right w:w="0" w:type="dxa"/>
        </w:tblCellMar>
        <w:tblLook w:val="01E0" w:firstRow="1" w:lastRow="1" w:firstColumn="1" w:lastColumn="1" w:noHBand="0" w:noVBand="0"/>
      </w:tblPr>
      <w:tblGrid>
        <w:gridCol w:w="1276"/>
        <w:gridCol w:w="5663"/>
        <w:gridCol w:w="1120"/>
      </w:tblGrid>
      <w:tr w:rsidR="00DB7B52" w:rsidRPr="00DB7B52" w14:paraId="3028FB8F" w14:textId="77777777" w:rsidTr="00BF2955">
        <w:trPr>
          <w:trHeight w:val="895"/>
        </w:trPr>
        <w:tc>
          <w:tcPr>
            <w:tcW w:w="1276" w:type="dxa"/>
            <w:shd w:val="clear" w:color="auto" w:fill="D9D9D9" w:themeFill="background1" w:themeFillShade="D9"/>
          </w:tcPr>
          <w:p w14:paraId="49CDD236" w14:textId="77777777" w:rsidR="008803C1" w:rsidRDefault="00DB7B52" w:rsidP="00DB7B52">
            <w:pPr>
              <w:pStyle w:val="TableText"/>
              <w:jc w:val="right"/>
              <w:rPr>
                <w:b/>
                <w:bCs/>
                <w:w w:val="110"/>
              </w:rPr>
            </w:pPr>
            <w:r w:rsidRPr="00DB7B52">
              <w:rPr>
                <w:b/>
                <w:bCs/>
                <w:w w:val="110"/>
              </w:rPr>
              <w:t>Actual</w:t>
            </w:r>
          </w:p>
          <w:p w14:paraId="5E418E01" w14:textId="78064E69" w:rsidR="00DB7B52" w:rsidRPr="00DB7B52" w:rsidRDefault="00DB7B52" w:rsidP="00DB7B52">
            <w:pPr>
              <w:pStyle w:val="TableText"/>
              <w:jc w:val="right"/>
              <w:rPr>
                <w:b/>
                <w:bCs/>
              </w:rPr>
            </w:pPr>
            <w:r w:rsidRPr="00DB7B52">
              <w:rPr>
                <w:b/>
                <w:bCs/>
              </w:rPr>
              <w:t>2021</w:t>
            </w:r>
          </w:p>
          <w:p w14:paraId="13F19442" w14:textId="77777777" w:rsidR="00DB7B52" w:rsidRPr="00DB7B52" w:rsidRDefault="00DB7B52" w:rsidP="00DB7B52">
            <w:pPr>
              <w:pStyle w:val="TableText"/>
              <w:jc w:val="right"/>
              <w:rPr>
                <w:b/>
                <w:bCs/>
              </w:rPr>
            </w:pPr>
            <w:r w:rsidRPr="00DB7B52">
              <w:rPr>
                <w:b/>
                <w:bCs/>
                <w:w w:val="120"/>
              </w:rPr>
              <w:t>$000</w:t>
            </w:r>
          </w:p>
        </w:tc>
        <w:tc>
          <w:tcPr>
            <w:tcW w:w="5663" w:type="dxa"/>
            <w:shd w:val="clear" w:color="auto" w:fill="D9D9D9" w:themeFill="background1" w:themeFillShade="D9"/>
          </w:tcPr>
          <w:p w14:paraId="35D15DED" w14:textId="77777777" w:rsidR="00DB7B52" w:rsidRPr="00DB7B52" w:rsidRDefault="00DB7B52" w:rsidP="00DB7B52">
            <w:pPr>
              <w:pStyle w:val="TableText"/>
              <w:rPr>
                <w:rFonts w:ascii="Times New Roman"/>
                <w:b/>
                <w:bCs/>
              </w:rPr>
            </w:pPr>
          </w:p>
        </w:tc>
        <w:tc>
          <w:tcPr>
            <w:tcW w:w="1120" w:type="dxa"/>
            <w:shd w:val="clear" w:color="auto" w:fill="D9D9D9" w:themeFill="background1" w:themeFillShade="D9"/>
          </w:tcPr>
          <w:p w14:paraId="4D804326" w14:textId="77777777" w:rsidR="008803C1" w:rsidRDefault="00DB7B52" w:rsidP="00DB7B52">
            <w:pPr>
              <w:pStyle w:val="TableText"/>
              <w:jc w:val="right"/>
              <w:rPr>
                <w:b/>
                <w:bCs/>
                <w:w w:val="110"/>
              </w:rPr>
            </w:pPr>
            <w:r w:rsidRPr="00DB7B52">
              <w:rPr>
                <w:b/>
                <w:bCs/>
                <w:w w:val="110"/>
              </w:rPr>
              <w:t>Actual</w:t>
            </w:r>
          </w:p>
          <w:p w14:paraId="3C0D1E8C" w14:textId="4C9CF00E" w:rsidR="00DB7B52" w:rsidRPr="00DB7B52" w:rsidRDefault="00DB7B52" w:rsidP="00DB7B52">
            <w:pPr>
              <w:pStyle w:val="TableText"/>
              <w:jc w:val="right"/>
              <w:rPr>
                <w:b/>
                <w:bCs/>
              </w:rPr>
            </w:pPr>
            <w:r w:rsidRPr="00DB7B52">
              <w:rPr>
                <w:b/>
                <w:bCs/>
                <w:w w:val="105"/>
              </w:rPr>
              <w:t>2022</w:t>
            </w:r>
          </w:p>
          <w:p w14:paraId="5E59A558" w14:textId="77777777" w:rsidR="00DB7B52" w:rsidRPr="00DB7B52" w:rsidRDefault="00DB7B52" w:rsidP="00DB7B52">
            <w:pPr>
              <w:pStyle w:val="TableText"/>
              <w:jc w:val="right"/>
              <w:rPr>
                <w:b/>
                <w:bCs/>
              </w:rPr>
            </w:pPr>
            <w:r w:rsidRPr="00DB7B52">
              <w:rPr>
                <w:b/>
                <w:bCs/>
                <w:w w:val="120"/>
              </w:rPr>
              <w:t>$000</w:t>
            </w:r>
          </w:p>
        </w:tc>
      </w:tr>
      <w:tr w:rsidR="00DB7B52" w:rsidRPr="00DB7B52" w14:paraId="6FCF629D" w14:textId="77777777" w:rsidTr="00090FEB">
        <w:trPr>
          <w:trHeight w:val="340"/>
        </w:trPr>
        <w:tc>
          <w:tcPr>
            <w:tcW w:w="1276" w:type="dxa"/>
          </w:tcPr>
          <w:p w14:paraId="615D6F4E" w14:textId="4553776B" w:rsidR="00DB7B52" w:rsidRPr="00DB7B52" w:rsidRDefault="00DB7B52" w:rsidP="00DB7B52">
            <w:pPr>
              <w:pStyle w:val="TableText"/>
              <w:rPr>
                <w:b/>
                <w:bCs/>
              </w:rPr>
            </w:pPr>
          </w:p>
        </w:tc>
        <w:tc>
          <w:tcPr>
            <w:tcW w:w="5663" w:type="dxa"/>
          </w:tcPr>
          <w:p w14:paraId="5A5AC462" w14:textId="64834C3D" w:rsidR="00DB7B52" w:rsidRPr="00DB7B52" w:rsidRDefault="00DB7B52" w:rsidP="009E3BCA">
            <w:pPr>
              <w:pStyle w:val="TableText"/>
              <w:ind w:left="113"/>
              <w:rPr>
                <w:b/>
                <w:bCs/>
              </w:rPr>
            </w:pPr>
            <w:r w:rsidRPr="00DB7B52">
              <w:rPr>
                <w:b/>
                <w:bCs/>
                <w:w w:val="105"/>
              </w:rPr>
              <w:t>Capital</w:t>
            </w:r>
            <w:r w:rsidRPr="00DB7B52">
              <w:rPr>
                <w:b/>
                <w:bCs/>
                <w:spacing w:val="14"/>
                <w:w w:val="105"/>
              </w:rPr>
              <w:t xml:space="preserve"> </w:t>
            </w:r>
            <w:r w:rsidRPr="00DB7B52">
              <w:rPr>
                <w:b/>
                <w:bCs/>
                <w:w w:val="105"/>
              </w:rPr>
              <w:t>commitments</w:t>
            </w:r>
          </w:p>
        </w:tc>
        <w:tc>
          <w:tcPr>
            <w:tcW w:w="1120" w:type="dxa"/>
          </w:tcPr>
          <w:p w14:paraId="3BF63801" w14:textId="4CF16A2E" w:rsidR="00DB7B52" w:rsidRPr="00DB7B52" w:rsidRDefault="00DB7B52" w:rsidP="00DB7B52">
            <w:pPr>
              <w:pStyle w:val="TableText"/>
              <w:jc w:val="right"/>
              <w:rPr>
                <w:b/>
                <w:bCs/>
              </w:rPr>
            </w:pPr>
          </w:p>
        </w:tc>
      </w:tr>
      <w:tr w:rsidR="00DB7B52" w14:paraId="208849CE" w14:textId="77777777" w:rsidTr="00090FEB">
        <w:trPr>
          <w:trHeight w:val="340"/>
        </w:trPr>
        <w:tc>
          <w:tcPr>
            <w:tcW w:w="1276" w:type="dxa"/>
          </w:tcPr>
          <w:p w14:paraId="3CED4478" w14:textId="2E191C5D" w:rsidR="00DB7B52" w:rsidRDefault="00DB7B52" w:rsidP="00DB7B52">
            <w:pPr>
              <w:pStyle w:val="TableText"/>
              <w:jc w:val="right"/>
            </w:pPr>
            <w:r>
              <w:t>1,078</w:t>
            </w:r>
          </w:p>
        </w:tc>
        <w:tc>
          <w:tcPr>
            <w:tcW w:w="5663" w:type="dxa"/>
          </w:tcPr>
          <w:p w14:paraId="75687FFD" w14:textId="25855C82" w:rsidR="00DB7B52" w:rsidRDefault="00DB7B52" w:rsidP="009E3BCA">
            <w:pPr>
              <w:pStyle w:val="TableText"/>
              <w:ind w:left="113"/>
              <w:rPr>
                <w:w w:val="105"/>
              </w:rPr>
            </w:pPr>
            <w:r>
              <w:rPr>
                <w:w w:val="105"/>
              </w:rPr>
              <w:t>Intangible</w:t>
            </w:r>
            <w:r>
              <w:rPr>
                <w:spacing w:val="8"/>
                <w:w w:val="105"/>
              </w:rPr>
              <w:t xml:space="preserve"> </w:t>
            </w:r>
            <w:r>
              <w:rPr>
                <w:w w:val="105"/>
              </w:rPr>
              <w:t>assets</w:t>
            </w:r>
          </w:p>
        </w:tc>
        <w:tc>
          <w:tcPr>
            <w:tcW w:w="1120" w:type="dxa"/>
          </w:tcPr>
          <w:p w14:paraId="4503094B" w14:textId="77777777" w:rsidR="00DB7B52" w:rsidRDefault="00DB7B52" w:rsidP="00DB7B52">
            <w:pPr>
              <w:pStyle w:val="TableText"/>
              <w:jc w:val="right"/>
              <w:rPr>
                <w:w w:val="140"/>
              </w:rPr>
            </w:pPr>
          </w:p>
        </w:tc>
      </w:tr>
      <w:tr w:rsidR="00DB7B52" w:rsidRPr="00DB7B52" w14:paraId="5D33AE55" w14:textId="77777777" w:rsidTr="00090FEB">
        <w:trPr>
          <w:trHeight w:val="340"/>
        </w:trPr>
        <w:tc>
          <w:tcPr>
            <w:tcW w:w="1276" w:type="dxa"/>
            <w:tcBorders>
              <w:bottom w:val="single" w:sz="4" w:space="0" w:color="A6A6A6" w:themeColor="background1" w:themeShade="A6"/>
            </w:tcBorders>
          </w:tcPr>
          <w:p w14:paraId="02072297" w14:textId="77777777" w:rsidR="00DB7B52" w:rsidRPr="00DB7B52" w:rsidRDefault="00DB7B52" w:rsidP="00DB7B52">
            <w:pPr>
              <w:pStyle w:val="TableText"/>
              <w:jc w:val="right"/>
              <w:rPr>
                <w:b/>
                <w:bCs/>
              </w:rPr>
            </w:pPr>
            <w:r w:rsidRPr="00DB7B52">
              <w:rPr>
                <w:b/>
                <w:bCs/>
              </w:rPr>
              <w:t>1,078</w:t>
            </w:r>
          </w:p>
        </w:tc>
        <w:tc>
          <w:tcPr>
            <w:tcW w:w="5663" w:type="dxa"/>
            <w:tcBorders>
              <w:bottom w:val="single" w:sz="4" w:space="0" w:color="A6A6A6" w:themeColor="background1" w:themeShade="A6"/>
            </w:tcBorders>
          </w:tcPr>
          <w:p w14:paraId="66C6B094" w14:textId="77777777" w:rsidR="00DB7B52" w:rsidRPr="00DB7B52" w:rsidRDefault="00DB7B52" w:rsidP="009E3BCA">
            <w:pPr>
              <w:pStyle w:val="TableText"/>
              <w:ind w:left="113"/>
              <w:rPr>
                <w:b/>
                <w:bCs/>
              </w:rPr>
            </w:pPr>
            <w:r w:rsidRPr="00DB7B52">
              <w:rPr>
                <w:b/>
                <w:bCs/>
                <w:w w:val="105"/>
              </w:rPr>
              <w:t>Total</w:t>
            </w:r>
            <w:r w:rsidRPr="00DB7B52">
              <w:rPr>
                <w:b/>
                <w:bCs/>
                <w:spacing w:val="16"/>
                <w:w w:val="105"/>
              </w:rPr>
              <w:t xml:space="preserve"> </w:t>
            </w:r>
            <w:r w:rsidRPr="00DB7B52">
              <w:rPr>
                <w:b/>
                <w:bCs/>
                <w:w w:val="105"/>
              </w:rPr>
              <w:t>capital</w:t>
            </w:r>
            <w:r w:rsidRPr="00DB7B52">
              <w:rPr>
                <w:b/>
                <w:bCs/>
                <w:spacing w:val="16"/>
                <w:w w:val="105"/>
              </w:rPr>
              <w:t xml:space="preserve"> </w:t>
            </w:r>
            <w:r w:rsidRPr="00DB7B52">
              <w:rPr>
                <w:b/>
                <w:bCs/>
                <w:w w:val="105"/>
              </w:rPr>
              <w:t>commitments</w:t>
            </w:r>
          </w:p>
        </w:tc>
        <w:tc>
          <w:tcPr>
            <w:tcW w:w="1120" w:type="dxa"/>
            <w:tcBorders>
              <w:bottom w:val="single" w:sz="4" w:space="0" w:color="A6A6A6" w:themeColor="background1" w:themeShade="A6"/>
            </w:tcBorders>
          </w:tcPr>
          <w:p w14:paraId="6F7100AC" w14:textId="77777777" w:rsidR="00DB7B52" w:rsidRPr="00DB7B52" w:rsidRDefault="00DB7B52" w:rsidP="00DB7B52">
            <w:pPr>
              <w:pStyle w:val="TableText"/>
              <w:jc w:val="right"/>
              <w:rPr>
                <w:b/>
                <w:bCs/>
              </w:rPr>
            </w:pPr>
            <w:r w:rsidRPr="00DB7B52">
              <w:rPr>
                <w:b/>
                <w:bCs/>
                <w:w w:val="140"/>
              </w:rPr>
              <w:t>–</w:t>
            </w:r>
          </w:p>
        </w:tc>
      </w:tr>
      <w:tr w:rsidR="00DB7B52" w:rsidRPr="00DB7B52" w14:paraId="0B45C3F6" w14:textId="77777777" w:rsidTr="00090FEB">
        <w:trPr>
          <w:trHeight w:val="340"/>
        </w:trPr>
        <w:tc>
          <w:tcPr>
            <w:tcW w:w="1276" w:type="dxa"/>
            <w:tcBorders>
              <w:top w:val="single" w:sz="4" w:space="0" w:color="A6A6A6" w:themeColor="background1" w:themeShade="A6"/>
            </w:tcBorders>
          </w:tcPr>
          <w:p w14:paraId="22B3E9CB" w14:textId="77777777" w:rsidR="00DB7B52" w:rsidRPr="00DB7B52" w:rsidRDefault="00DB7B52" w:rsidP="00DB7B52">
            <w:pPr>
              <w:pStyle w:val="TableText"/>
              <w:jc w:val="right"/>
              <w:rPr>
                <w:rFonts w:ascii="Times New Roman"/>
                <w:b/>
                <w:bCs/>
              </w:rPr>
            </w:pPr>
          </w:p>
        </w:tc>
        <w:tc>
          <w:tcPr>
            <w:tcW w:w="5663" w:type="dxa"/>
            <w:tcBorders>
              <w:top w:val="single" w:sz="4" w:space="0" w:color="A6A6A6" w:themeColor="background1" w:themeShade="A6"/>
            </w:tcBorders>
          </w:tcPr>
          <w:p w14:paraId="4B249EEB" w14:textId="1A1907AF" w:rsidR="00DB7B52" w:rsidRPr="00DB7B52" w:rsidRDefault="00DB7B52" w:rsidP="009E3BCA">
            <w:pPr>
              <w:pStyle w:val="TableText"/>
              <w:ind w:left="113"/>
              <w:rPr>
                <w:b/>
                <w:bCs/>
              </w:rPr>
            </w:pPr>
            <w:r w:rsidRPr="00DB7B52">
              <w:rPr>
                <w:b/>
                <w:bCs/>
                <w:w w:val="105"/>
              </w:rPr>
              <w:t>Operating</w:t>
            </w:r>
            <w:r w:rsidRPr="00DB7B52">
              <w:rPr>
                <w:b/>
                <w:bCs/>
                <w:spacing w:val="-4"/>
                <w:w w:val="105"/>
              </w:rPr>
              <w:t xml:space="preserve"> </w:t>
            </w:r>
            <w:r w:rsidRPr="00DB7B52">
              <w:rPr>
                <w:b/>
                <w:bCs/>
                <w:w w:val="105"/>
              </w:rPr>
              <w:t>leases</w:t>
            </w:r>
            <w:r w:rsidRPr="00DB7B52">
              <w:rPr>
                <w:b/>
                <w:bCs/>
                <w:spacing w:val="-4"/>
                <w:w w:val="105"/>
              </w:rPr>
              <w:t xml:space="preserve"> </w:t>
            </w:r>
            <w:r w:rsidRPr="00DB7B52">
              <w:rPr>
                <w:b/>
                <w:bCs/>
                <w:w w:val="105"/>
              </w:rPr>
              <w:t>as</w:t>
            </w:r>
            <w:r w:rsidRPr="00DB7B52">
              <w:rPr>
                <w:b/>
                <w:bCs/>
                <w:spacing w:val="-4"/>
                <w:w w:val="105"/>
              </w:rPr>
              <w:t xml:space="preserve"> </w:t>
            </w:r>
            <w:r w:rsidRPr="00DB7B52">
              <w:rPr>
                <w:b/>
                <w:bCs/>
                <w:w w:val="105"/>
              </w:rPr>
              <w:t>lessee</w:t>
            </w:r>
          </w:p>
        </w:tc>
        <w:tc>
          <w:tcPr>
            <w:tcW w:w="1120" w:type="dxa"/>
            <w:tcBorders>
              <w:top w:val="single" w:sz="4" w:space="0" w:color="A6A6A6" w:themeColor="background1" w:themeShade="A6"/>
            </w:tcBorders>
          </w:tcPr>
          <w:p w14:paraId="56F189F1" w14:textId="77777777" w:rsidR="00DB7B52" w:rsidRPr="00DB7B52" w:rsidRDefault="00DB7B52" w:rsidP="00DB7B52">
            <w:pPr>
              <w:pStyle w:val="TableText"/>
              <w:rPr>
                <w:rFonts w:ascii="Times New Roman"/>
                <w:b/>
                <w:bCs/>
              </w:rPr>
            </w:pPr>
          </w:p>
        </w:tc>
      </w:tr>
      <w:tr w:rsidR="00DB7B52" w14:paraId="37435C39" w14:textId="77777777" w:rsidTr="00090FEB">
        <w:trPr>
          <w:trHeight w:val="340"/>
        </w:trPr>
        <w:tc>
          <w:tcPr>
            <w:tcW w:w="1276" w:type="dxa"/>
          </w:tcPr>
          <w:p w14:paraId="3FAE5D90" w14:textId="77777777" w:rsidR="00DB7B52" w:rsidRDefault="00DB7B52" w:rsidP="00DB7B52">
            <w:pPr>
              <w:pStyle w:val="TableText"/>
              <w:jc w:val="right"/>
              <w:rPr>
                <w:rFonts w:ascii="Times New Roman"/>
              </w:rPr>
            </w:pPr>
          </w:p>
        </w:tc>
        <w:tc>
          <w:tcPr>
            <w:tcW w:w="5663" w:type="dxa"/>
          </w:tcPr>
          <w:p w14:paraId="1F482BB1" w14:textId="40550E79" w:rsidR="00DB7B52" w:rsidRDefault="00DB7B52" w:rsidP="009E3BCA">
            <w:pPr>
              <w:pStyle w:val="TableText"/>
              <w:ind w:left="113"/>
              <w:rPr>
                <w:w w:val="105"/>
              </w:rPr>
            </w:pPr>
            <w:r>
              <w:t>Future</w:t>
            </w:r>
            <w:r>
              <w:rPr>
                <w:spacing w:val="16"/>
              </w:rPr>
              <w:t xml:space="preserve"> </w:t>
            </w:r>
            <w:r>
              <w:t>aggregate</w:t>
            </w:r>
            <w:r>
              <w:rPr>
                <w:spacing w:val="16"/>
              </w:rPr>
              <w:t xml:space="preserve"> </w:t>
            </w:r>
            <w:r>
              <w:t>lease</w:t>
            </w:r>
            <w:r>
              <w:rPr>
                <w:spacing w:val="16"/>
              </w:rPr>
              <w:t xml:space="preserve"> </w:t>
            </w:r>
            <w:r>
              <w:t>payments</w:t>
            </w:r>
            <w:r>
              <w:rPr>
                <w:spacing w:val="16"/>
              </w:rPr>
              <w:t xml:space="preserve"> </w:t>
            </w:r>
            <w:r>
              <w:t>to</w:t>
            </w:r>
            <w:r>
              <w:rPr>
                <w:spacing w:val="16"/>
              </w:rPr>
              <w:t xml:space="preserve"> </w:t>
            </w:r>
            <w:r>
              <w:t>be</w:t>
            </w:r>
            <w:r>
              <w:rPr>
                <w:spacing w:val="16"/>
              </w:rPr>
              <w:t xml:space="preserve"> </w:t>
            </w:r>
            <w:r>
              <w:t>paid</w:t>
            </w:r>
            <w:r>
              <w:rPr>
                <w:spacing w:val="16"/>
              </w:rPr>
              <w:t xml:space="preserve"> </w:t>
            </w:r>
            <w:r>
              <w:t>under</w:t>
            </w:r>
            <w:r>
              <w:rPr>
                <w:spacing w:val="16"/>
              </w:rPr>
              <w:t xml:space="preserve"> </w:t>
            </w:r>
            <w:r>
              <w:t>non-cancellable</w:t>
            </w:r>
          </w:p>
        </w:tc>
        <w:tc>
          <w:tcPr>
            <w:tcW w:w="1120" w:type="dxa"/>
          </w:tcPr>
          <w:p w14:paraId="2EC0D8A1" w14:textId="77777777" w:rsidR="00DB7B52" w:rsidRDefault="00DB7B52" w:rsidP="00DB7B52">
            <w:pPr>
              <w:pStyle w:val="TableText"/>
              <w:rPr>
                <w:rFonts w:ascii="Times New Roman"/>
              </w:rPr>
            </w:pPr>
          </w:p>
        </w:tc>
      </w:tr>
      <w:tr w:rsidR="00DB7B52" w14:paraId="1F04509C" w14:textId="77777777" w:rsidTr="00090FEB">
        <w:trPr>
          <w:trHeight w:val="340"/>
        </w:trPr>
        <w:tc>
          <w:tcPr>
            <w:tcW w:w="1276" w:type="dxa"/>
          </w:tcPr>
          <w:p w14:paraId="0E7B6CF1" w14:textId="77777777" w:rsidR="00DB7B52" w:rsidRDefault="00DB7B52" w:rsidP="00DB7B52">
            <w:pPr>
              <w:pStyle w:val="TableText"/>
              <w:jc w:val="right"/>
            </w:pPr>
            <w:r>
              <w:t>10,300</w:t>
            </w:r>
          </w:p>
        </w:tc>
        <w:tc>
          <w:tcPr>
            <w:tcW w:w="5663" w:type="dxa"/>
          </w:tcPr>
          <w:p w14:paraId="300F1259" w14:textId="77777777" w:rsidR="00DB7B52" w:rsidRDefault="00DB7B52" w:rsidP="009E3BCA">
            <w:pPr>
              <w:pStyle w:val="TableText"/>
              <w:ind w:left="113"/>
            </w:pPr>
            <w:r>
              <w:t>Not</w:t>
            </w:r>
            <w:r>
              <w:rPr>
                <w:spacing w:val="5"/>
              </w:rPr>
              <w:t xml:space="preserve"> </w:t>
            </w:r>
            <w:r>
              <w:t>later</w:t>
            </w:r>
            <w:r>
              <w:rPr>
                <w:spacing w:val="5"/>
              </w:rPr>
              <w:t xml:space="preserve"> </w:t>
            </w:r>
            <w:r>
              <w:t>than</w:t>
            </w:r>
            <w:r>
              <w:rPr>
                <w:spacing w:val="5"/>
              </w:rPr>
              <w:t xml:space="preserve"> </w:t>
            </w:r>
            <w:r>
              <w:t>one</w:t>
            </w:r>
            <w:r>
              <w:rPr>
                <w:spacing w:val="5"/>
              </w:rPr>
              <w:t xml:space="preserve"> </w:t>
            </w:r>
            <w:r>
              <w:t>year</w:t>
            </w:r>
          </w:p>
        </w:tc>
        <w:tc>
          <w:tcPr>
            <w:tcW w:w="1120" w:type="dxa"/>
          </w:tcPr>
          <w:p w14:paraId="4D3FAE08" w14:textId="77777777" w:rsidR="00DB7B52" w:rsidRDefault="00DB7B52" w:rsidP="00DB7B52">
            <w:pPr>
              <w:pStyle w:val="TableText"/>
              <w:jc w:val="right"/>
            </w:pPr>
            <w:r>
              <w:t>11,500</w:t>
            </w:r>
          </w:p>
        </w:tc>
      </w:tr>
      <w:tr w:rsidR="00DB7B52" w14:paraId="134548E6" w14:textId="77777777" w:rsidTr="00090FEB">
        <w:trPr>
          <w:trHeight w:val="340"/>
        </w:trPr>
        <w:tc>
          <w:tcPr>
            <w:tcW w:w="1276" w:type="dxa"/>
          </w:tcPr>
          <w:p w14:paraId="03953323" w14:textId="77777777" w:rsidR="00DB7B52" w:rsidRDefault="00DB7B52" w:rsidP="00DB7B52">
            <w:pPr>
              <w:pStyle w:val="TableText"/>
              <w:jc w:val="right"/>
            </w:pPr>
            <w:r>
              <w:rPr>
                <w:w w:val="105"/>
              </w:rPr>
              <w:t>35,507</w:t>
            </w:r>
          </w:p>
        </w:tc>
        <w:tc>
          <w:tcPr>
            <w:tcW w:w="5663" w:type="dxa"/>
          </w:tcPr>
          <w:p w14:paraId="0DD77D9D" w14:textId="77777777" w:rsidR="00DB7B52" w:rsidRDefault="00DB7B52" w:rsidP="009E3BCA">
            <w:pPr>
              <w:pStyle w:val="TableText"/>
              <w:ind w:left="113"/>
            </w:pPr>
            <w:r>
              <w:rPr>
                <w:w w:val="105"/>
              </w:rPr>
              <w:t>Later</w:t>
            </w:r>
            <w:r>
              <w:rPr>
                <w:spacing w:val="-12"/>
                <w:w w:val="105"/>
              </w:rPr>
              <w:t xml:space="preserve"> </w:t>
            </w:r>
            <w:r>
              <w:rPr>
                <w:w w:val="105"/>
              </w:rPr>
              <w:t>than</w:t>
            </w:r>
            <w:r>
              <w:rPr>
                <w:spacing w:val="-12"/>
                <w:w w:val="105"/>
              </w:rPr>
              <w:t xml:space="preserve"> </w:t>
            </w:r>
            <w:r>
              <w:rPr>
                <w:w w:val="105"/>
              </w:rPr>
              <w:t>one</w:t>
            </w:r>
            <w:r>
              <w:rPr>
                <w:spacing w:val="-12"/>
                <w:w w:val="105"/>
              </w:rPr>
              <w:t xml:space="preserve"> </w:t>
            </w:r>
            <w:r>
              <w:rPr>
                <w:w w:val="105"/>
              </w:rPr>
              <w:t>year</w:t>
            </w:r>
            <w:r>
              <w:rPr>
                <w:spacing w:val="-12"/>
                <w:w w:val="105"/>
              </w:rPr>
              <w:t xml:space="preserve"> </w:t>
            </w:r>
            <w:r>
              <w:rPr>
                <w:w w:val="105"/>
              </w:rPr>
              <w:t>and</w:t>
            </w:r>
            <w:r>
              <w:rPr>
                <w:spacing w:val="-12"/>
                <w:w w:val="105"/>
              </w:rPr>
              <w:t xml:space="preserve"> </w:t>
            </w:r>
            <w:r>
              <w:rPr>
                <w:w w:val="105"/>
              </w:rPr>
              <w:t>not</w:t>
            </w:r>
            <w:r>
              <w:rPr>
                <w:spacing w:val="-12"/>
                <w:w w:val="105"/>
              </w:rPr>
              <w:t xml:space="preserve"> </w:t>
            </w:r>
            <w:r>
              <w:rPr>
                <w:w w:val="105"/>
              </w:rPr>
              <w:t>later</w:t>
            </w:r>
            <w:r>
              <w:rPr>
                <w:spacing w:val="-12"/>
                <w:w w:val="105"/>
              </w:rPr>
              <w:t xml:space="preserve"> </w:t>
            </w:r>
            <w:r>
              <w:rPr>
                <w:w w:val="105"/>
              </w:rPr>
              <w:t>than</w:t>
            </w:r>
            <w:r>
              <w:rPr>
                <w:spacing w:val="-12"/>
                <w:w w:val="105"/>
              </w:rPr>
              <w:t xml:space="preserve"> </w:t>
            </w:r>
            <w:r>
              <w:rPr>
                <w:w w:val="105"/>
              </w:rPr>
              <w:t>five</w:t>
            </w:r>
            <w:r>
              <w:rPr>
                <w:spacing w:val="-12"/>
                <w:w w:val="105"/>
              </w:rPr>
              <w:t xml:space="preserve"> </w:t>
            </w:r>
            <w:r>
              <w:rPr>
                <w:w w:val="105"/>
              </w:rPr>
              <w:t>years</w:t>
            </w:r>
          </w:p>
        </w:tc>
        <w:tc>
          <w:tcPr>
            <w:tcW w:w="1120" w:type="dxa"/>
          </w:tcPr>
          <w:p w14:paraId="1EFAB6D8" w14:textId="77777777" w:rsidR="00DB7B52" w:rsidRDefault="00DB7B52" w:rsidP="00DB7B52">
            <w:pPr>
              <w:pStyle w:val="TableText"/>
              <w:jc w:val="right"/>
            </w:pPr>
            <w:r>
              <w:rPr>
                <w:w w:val="105"/>
              </w:rPr>
              <w:t>35,832</w:t>
            </w:r>
          </w:p>
        </w:tc>
      </w:tr>
      <w:tr w:rsidR="00DB7B52" w14:paraId="7892F737" w14:textId="77777777" w:rsidTr="00090FEB">
        <w:trPr>
          <w:trHeight w:val="340"/>
        </w:trPr>
        <w:tc>
          <w:tcPr>
            <w:tcW w:w="1276" w:type="dxa"/>
            <w:tcBorders>
              <w:bottom w:val="single" w:sz="4" w:space="0" w:color="A6A6A6" w:themeColor="background1" w:themeShade="A6"/>
            </w:tcBorders>
          </w:tcPr>
          <w:p w14:paraId="640A5D85" w14:textId="77777777" w:rsidR="00DB7B52" w:rsidRDefault="00DB7B52" w:rsidP="00DB7B52">
            <w:pPr>
              <w:pStyle w:val="TableText"/>
              <w:jc w:val="right"/>
            </w:pPr>
            <w:r>
              <w:t>41,159</w:t>
            </w:r>
          </w:p>
        </w:tc>
        <w:tc>
          <w:tcPr>
            <w:tcW w:w="5663" w:type="dxa"/>
            <w:tcBorders>
              <w:bottom w:val="single" w:sz="4" w:space="0" w:color="A6A6A6" w:themeColor="background1" w:themeShade="A6"/>
            </w:tcBorders>
          </w:tcPr>
          <w:p w14:paraId="7CB29978" w14:textId="77777777" w:rsidR="00DB7B52" w:rsidRDefault="00DB7B52" w:rsidP="009E3BCA">
            <w:pPr>
              <w:pStyle w:val="TableText"/>
              <w:ind w:left="113"/>
            </w:pPr>
            <w:r>
              <w:rPr>
                <w:w w:val="105"/>
              </w:rPr>
              <w:t>Later</w:t>
            </w:r>
            <w:r>
              <w:rPr>
                <w:spacing w:val="-9"/>
                <w:w w:val="105"/>
              </w:rPr>
              <w:t xml:space="preserve"> </w:t>
            </w:r>
            <w:r>
              <w:rPr>
                <w:w w:val="105"/>
              </w:rPr>
              <w:t>than</w:t>
            </w:r>
            <w:r>
              <w:rPr>
                <w:spacing w:val="-9"/>
                <w:w w:val="105"/>
              </w:rPr>
              <w:t xml:space="preserve"> </w:t>
            </w:r>
            <w:r>
              <w:rPr>
                <w:w w:val="105"/>
              </w:rPr>
              <w:t>five</w:t>
            </w:r>
            <w:r>
              <w:rPr>
                <w:spacing w:val="-9"/>
                <w:w w:val="105"/>
              </w:rPr>
              <w:t xml:space="preserve"> </w:t>
            </w:r>
            <w:r>
              <w:rPr>
                <w:w w:val="105"/>
              </w:rPr>
              <w:t>years</w:t>
            </w:r>
          </w:p>
        </w:tc>
        <w:tc>
          <w:tcPr>
            <w:tcW w:w="1120" w:type="dxa"/>
            <w:tcBorders>
              <w:bottom w:val="single" w:sz="4" w:space="0" w:color="A6A6A6" w:themeColor="background1" w:themeShade="A6"/>
            </w:tcBorders>
          </w:tcPr>
          <w:p w14:paraId="6AB68ED8" w14:textId="77777777" w:rsidR="00DB7B52" w:rsidRDefault="00DB7B52" w:rsidP="00DB7B52">
            <w:pPr>
              <w:pStyle w:val="TableText"/>
              <w:jc w:val="right"/>
            </w:pPr>
            <w:r>
              <w:rPr>
                <w:w w:val="105"/>
              </w:rPr>
              <w:t>32,969</w:t>
            </w:r>
          </w:p>
        </w:tc>
      </w:tr>
      <w:tr w:rsidR="00DB7B52" w:rsidRPr="00DB7B52" w14:paraId="1D9BDDAB" w14:textId="77777777" w:rsidTr="00090FEB">
        <w:trPr>
          <w:trHeight w:val="340"/>
        </w:trPr>
        <w:tc>
          <w:tcPr>
            <w:tcW w:w="1276" w:type="dxa"/>
            <w:tcBorders>
              <w:top w:val="single" w:sz="4" w:space="0" w:color="A6A6A6" w:themeColor="background1" w:themeShade="A6"/>
              <w:bottom w:val="single" w:sz="4" w:space="0" w:color="A6A6A6" w:themeColor="background1" w:themeShade="A6"/>
            </w:tcBorders>
          </w:tcPr>
          <w:p w14:paraId="3922F7C3" w14:textId="77777777" w:rsidR="00DB7B52" w:rsidRPr="00DB7B52" w:rsidRDefault="00DB7B52" w:rsidP="00DB7B52">
            <w:pPr>
              <w:pStyle w:val="TableText"/>
              <w:jc w:val="right"/>
              <w:rPr>
                <w:b/>
                <w:bCs/>
              </w:rPr>
            </w:pPr>
            <w:r w:rsidRPr="00DB7B52">
              <w:rPr>
                <w:b/>
                <w:bCs/>
                <w:w w:val="110"/>
              </w:rPr>
              <w:t>86,966</w:t>
            </w:r>
          </w:p>
        </w:tc>
        <w:tc>
          <w:tcPr>
            <w:tcW w:w="5663" w:type="dxa"/>
            <w:tcBorders>
              <w:top w:val="single" w:sz="4" w:space="0" w:color="A6A6A6" w:themeColor="background1" w:themeShade="A6"/>
              <w:bottom w:val="single" w:sz="4" w:space="0" w:color="A6A6A6" w:themeColor="background1" w:themeShade="A6"/>
            </w:tcBorders>
          </w:tcPr>
          <w:p w14:paraId="0D87B435" w14:textId="77777777" w:rsidR="00DB7B52" w:rsidRPr="00DB7B52" w:rsidRDefault="00DB7B52" w:rsidP="009E3BCA">
            <w:pPr>
              <w:pStyle w:val="TableText"/>
              <w:ind w:left="113"/>
              <w:rPr>
                <w:b/>
                <w:bCs/>
              </w:rPr>
            </w:pPr>
            <w:r w:rsidRPr="00DB7B52">
              <w:rPr>
                <w:b/>
                <w:bCs/>
                <w:w w:val="105"/>
              </w:rPr>
              <w:t>Total</w:t>
            </w:r>
            <w:r w:rsidRPr="00DB7B52">
              <w:rPr>
                <w:b/>
                <w:bCs/>
                <w:spacing w:val="7"/>
                <w:w w:val="105"/>
              </w:rPr>
              <w:t xml:space="preserve"> </w:t>
            </w:r>
            <w:r w:rsidRPr="00DB7B52">
              <w:rPr>
                <w:b/>
                <w:bCs/>
                <w:w w:val="105"/>
              </w:rPr>
              <w:t>non-cancellable</w:t>
            </w:r>
            <w:r w:rsidRPr="00DB7B52">
              <w:rPr>
                <w:b/>
                <w:bCs/>
                <w:spacing w:val="7"/>
                <w:w w:val="105"/>
              </w:rPr>
              <w:t xml:space="preserve"> </w:t>
            </w:r>
            <w:r w:rsidRPr="00DB7B52">
              <w:rPr>
                <w:b/>
                <w:bCs/>
                <w:w w:val="105"/>
              </w:rPr>
              <w:t>operating</w:t>
            </w:r>
            <w:r w:rsidRPr="00DB7B52">
              <w:rPr>
                <w:b/>
                <w:bCs/>
                <w:spacing w:val="7"/>
                <w:w w:val="105"/>
              </w:rPr>
              <w:t xml:space="preserve"> </w:t>
            </w:r>
            <w:r w:rsidRPr="00DB7B52">
              <w:rPr>
                <w:b/>
                <w:bCs/>
                <w:w w:val="105"/>
              </w:rPr>
              <w:t>lease</w:t>
            </w:r>
            <w:r w:rsidRPr="00DB7B52">
              <w:rPr>
                <w:b/>
                <w:bCs/>
                <w:spacing w:val="7"/>
                <w:w w:val="105"/>
              </w:rPr>
              <w:t xml:space="preserve"> </w:t>
            </w:r>
            <w:r w:rsidRPr="00DB7B52">
              <w:rPr>
                <w:b/>
                <w:bCs/>
                <w:w w:val="105"/>
              </w:rPr>
              <w:t>commitments</w:t>
            </w:r>
          </w:p>
        </w:tc>
        <w:tc>
          <w:tcPr>
            <w:tcW w:w="1120" w:type="dxa"/>
            <w:tcBorders>
              <w:top w:val="single" w:sz="4" w:space="0" w:color="A6A6A6" w:themeColor="background1" w:themeShade="A6"/>
              <w:bottom w:val="single" w:sz="4" w:space="0" w:color="A6A6A6" w:themeColor="background1" w:themeShade="A6"/>
            </w:tcBorders>
          </w:tcPr>
          <w:p w14:paraId="2A1909DB" w14:textId="77777777" w:rsidR="00DB7B52" w:rsidRPr="00DB7B52" w:rsidRDefault="00DB7B52" w:rsidP="00DB7B52">
            <w:pPr>
              <w:pStyle w:val="TableText"/>
              <w:jc w:val="right"/>
              <w:rPr>
                <w:b/>
                <w:bCs/>
              </w:rPr>
            </w:pPr>
            <w:r w:rsidRPr="00DB7B52">
              <w:rPr>
                <w:b/>
                <w:bCs/>
              </w:rPr>
              <w:t>80,301</w:t>
            </w:r>
          </w:p>
        </w:tc>
      </w:tr>
      <w:tr w:rsidR="00DB7B52" w:rsidRPr="00DB7B52" w14:paraId="610D2997" w14:textId="77777777" w:rsidTr="00090FEB">
        <w:trPr>
          <w:trHeight w:val="340"/>
        </w:trPr>
        <w:tc>
          <w:tcPr>
            <w:tcW w:w="1276" w:type="dxa"/>
            <w:tcBorders>
              <w:top w:val="single" w:sz="4" w:space="0" w:color="A6A6A6" w:themeColor="background1" w:themeShade="A6"/>
              <w:bottom w:val="single" w:sz="4" w:space="0" w:color="A6A6A6" w:themeColor="background1" w:themeShade="A6"/>
            </w:tcBorders>
          </w:tcPr>
          <w:p w14:paraId="7F93AB0E" w14:textId="77777777" w:rsidR="00DB7B52" w:rsidRPr="00DB7B52" w:rsidRDefault="00DB7B52" w:rsidP="00DB7B52">
            <w:pPr>
              <w:pStyle w:val="TableText"/>
              <w:jc w:val="right"/>
              <w:rPr>
                <w:b/>
                <w:bCs/>
              </w:rPr>
            </w:pPr>
            <w:r w:rsidRPr="00DB7B52">
              <w:rPr>
                <w:b/>
                <w:bCs/>
                <w:w w:val="110"/>
              </w:rPr>
              <w:t>88,044</w:t>
            </w:r>
          </w:p>
        </w:tc>
        <w:tc>
          <w:tcPr>
            <w:tcW w:w="5663" w:type="dxa"/>
            <w:tcBorders>
              <w:top w:val="single" w:sz="4" w:space="0" w:color="A6A6A6" w:themeColor="background1" w:themeShade="A6"/>
              <w:bottom w:val="single" w:sz="4" w:space="0" w:color="A6A6A6" w:themeColor="background1" w:themeShade="A6"/>
            </w:tcBorders>
          </w:tcPr>
          <w:p w14:paraId="5F16324B" w14:textId="77777777" w:rsidR="00DB7B52" w:rsidRPr="00DB7B52" w:rsidRDefault="00DB7B52" w:rsidP="009E3BCA">
            <w:pPr>
              <w:pStyle w:val="TableText"/>
              <w:ind w:left="113"/>
              <w:rPr>
                <w:b/>
                <w:bCs/>
              </w:rPr>
            </w:pPr>
            <w:r w:rsidRPr="00DB7B52">
              <w:rPr>
                <w:b/>
                <w:bCs/>
                <w:w w:val="110"/>
              </w:rPr>
              <w:t>Total</w:t>
            </w:r>
            <w:r w:rsidRPr="00DB7B52">
              <w:rPr>
                <w:b/>
                <w:bCs/>
                <w:spacing w:val="-10"/>
                <w:w w:val="110"/>
              </w:rPr>
              <w:t xml:space="preserve"> </w:t>
            </w:r>
            <w:r w:rsidRPr="00DB7B52">
              <w:rPr>
                <w:b/>
                <w:bCs/>
                <w:w w:val="110"/>
              </w:rPr>
              <w:t>commitments</w:t>
            </w:r>
          </w:p>
        </w:tc>
        <w:tc>
          <w:tcPr>
            <w:tcW w:w="1120" w:type="dxa"/>
            <w:tcBorders>
              <w:top w:val="single" w:sz="4" w:space="0" w:color="A6A6A6" w:themeColor="background1" w:themeShade="A6"/>
              <w:bottom w:val="single" w:sz="4" w:space="0" w:color="A6A6A6" w:themeColor="background1" w:themeShade="A6"/>
            </w:tcBorders>
          </w:tcPr>
          <w:p w14:paraId="71944AF9" w14:textId="77777777" w:rsidR="00DB7B52" w:rsidRPr="00DB7B52" w:rsidRDefault="00DB7B52" w:rsidP="00DB7B52">
            <w:pPr>
              <w:pStyle w:val="TableText"/>
              <w:jc w:val="right"/>
              <w:rPr>
                <w:b/>
                <w:bCs/>
              </w:rPr>
            </w:pPr>
            <w:r w:rsidRPr="00DB7B52">
              <w:rPr>
                <w:b/>
                <w:bCs/>
              </w:rPr>
              <w:t>80,301</w:t>
            </w:r>
          </w:p>
        </w:tc>
      </w:tr>
    </w:tbl>
    <w:p w14:paraId="31B8FAC0" w14:textId="47BB56F6" w:rsidR="00DB7B52" w:rsidRDefault="00DB7B52" w:rsidP="00DB7B52">
      <w:pPr>
        <w:pStyle w:val="Note"/>
        <w:rPr>
          <w:rFonts w:eastAsia="Arial Unicode MS"/>
        </w:rPr>
      </w:pPr>
      <w:r w:rsidRPr="00DB7B52">
        <w:rPr>
          <w:rFonts w:eastAsia="Arial Unicode MS"/>
        </w:rPr>
        <w:t>Note:</w:t>
      </w:r>
      <w:r>
        <w:rPr>
          <w:rFonts w:eastAsia="Arial Unicode MS"/>
        </w:rPr>
        <w:t xml:space="preserve"> </w:t>
      </w:r>
      <w:r w:rsidRPr="00DB7B52">
        <w:rPr>
          <w:rFonts w:eastAsia="Arial Unicode MS"/>
        </w:rPr>
        <w:t>Some functions of the Ministry will move to Te Whatu Ora | Health New Zealand and/or Te Aka Whai Ora | Māori Health Authority from 1 July 2022. It is likely that the responsibility for some leased premises where relevant business functions are carried out will also transfer therefore reducing the Ministry’s non- cancellable operating lease commitments from 2023 onwards. Refer to note 16 for more details.</w:t>
      </w:r>
      <w:r w:rsidR="009623CD">
        <w:rPr>
          <w:rFonts w:eastAsia="Arial Unicode MS"/>
        </w:rPr>
        <w:tab/>
      </w:r>
    </w:p>
    <w:p w14:paraId="7903F5E1" w14:textId="27FCA2C3" w:rsidR="00090FEB" w:rsidRDefault="00090FEB" w:rsidP="00090FEB">
      <w:pPr>
        <w:rPr>
          <w:rFonts w:eastAsia="Arial Unicode MS"/>
        </w:rPr>
      </w:pPr>
    </w:p>
    <w:p w14:paraId="21FCED95" w14:textId="7F331F54" w:rsidR="00090FEB" w:rsidRDefault="00090FEB" w:rsidP="00090FEB">
      <w:pPr>
        <w:rPr>
          <w:rFonts w:eastAsia="Arial Unicode MS"/>
        </w:rPr>
      </w:pPr>
    </w:p>
    <w:p w14:paraId="6745CE2D" w14:textId="7C038D81" w:rsidR="00090FEB" w:rsidRDefault="00090FEB" w:rsidP="00090FEB">
      <w:pPr>
        <w:rPr>
          <w:rFonts w:eastAsia="Arial Unicode MS"/>
        </w:rPr>
      </w:pPr>
    </w:p>
    <w:p w14:paraId="2F58830D" w14:textId="71A866DB" w:rsidR="00090FEB" w:rsidRDefault="00090FEB" w:rsidP="00090FEB">
      <w:pPr>
        <w:rPr>
          <w:rFonts w:eastAsia="Arial Unicode MS"/>
        </w:rPr>
      </w:pPr>
    </w:p>
    <w:p w14:paraId="647ED74B" w14:textId="71163C46" w:rsidR="00090FEB" w:rsidRDefault="00090FEB" w:rsidP="00090FEB">
      <w:pPr>
        <w:rPr>
          <w:rFonts w:eastAsia="Arial Unicode MS"/>
        </w:rPr>
      </w:pPr>
    </w:p>
    <w:p w14:paraId="7D133613" w14:textId="650E5F6D" w:rsidR="00090FEB" w:rsidRDefault="00090FEB" w:rsidP="00090FEB">
      <w:pPr>
        <w:rPr>
          <w:rFonts w:eastAsia="Arial Unicode MS"/>
        </w:rPr>
      </w:pPr>
    </w:p>
    <w:p w14:paraId="736FC16B" w14:textId="215C2A7F" w:rsidR="00090FEB" w:rsidRDefault="00090FEB" w:rsidP="00090FEB">
      <w:pPr>
        <w:rPr>
          <w:rFonts w:eastAsia="Arial Unicode MS"/>
        </w:rPr>
      </w:pPr>
    </w:p>
    <w:p w14:paraId="67D71117" w14:textId="40B7A015" w:rsidR="00090FEB" w:rsidRDefault="00090FEB" w:rsidP="00090FEB">
      <w:pPr>
        <w:rPr>
          <w:rFonts w:eastAsia="Arial Unicode MS"/>
        </w:rPr>
      </w:pPr>
    </w:p>
    <w:p w14:paraId="5F8521B7" w14:textId="116B4C64" w:rsidR="00090FEB" w:rsidRDefault="00090FEB" w:rsidP="00090FEB">
      <w:pPr>
        <w:rPr>
          <w:rFonts w:eastAsia="Arial Unicode MS"/>
        </w:rPr>
      </w:pPr>
    </w:p>
    <w:p w14:paraId="5C5E42D0" w14:textId="5D8584BC" w:rsidR="00090FEB" w:rsidRPr="00090FEB" w:rsidRDefault="00090FEB" w:rsidP="00090FEB">
      <w:pPr>
        <w:pStyle w:val="Note"/>
        <w:rPr>
          <w:rFonts w:eastAsia="Arial Unicode MS"/>
        </w:rPr>
      </w:pPr>
      <w:r w:rsidRPr="004D239B">
        <w:rPr>
          <w:rFonts w:eastAsia="Arial Unicode MS"/>
        </w:rPr>
        <w:t>The accompanying notes form part of these financial statements.</w:t>
      </w:r>
    </w:p>
    <w:p w14:paraId="16314640" w14:textId="38CE3566" w:rsidR="00DB7B52" w:rsidRDefault="00DB7B52" w:rsidP="00DB7B52">
      <w:pPr>
        <w:rPr>
          <w:rFonts w:eastAsia="Arial Unicode MS"/>
        </w:rPr>
      </w:pPr>
      <w:r w:rsidRPr="00DB7B52">
        <w:rPr>
          <w:rFonts w:eastAsia="Arial Unicode MS"/>
        </w:rPr>
        <w:lastRenderedPageBreak/>
        <w:t>The Ministry has medium to long-term leases on its premises in Auckland, Christchurch, Dunedin, Hamilton, Whanganui, Palmerston North and Wellington. The annual lease payments are subject to regular reviews ranging from one to four years. Amounts disclosed are based on current rental rates.</w:t>
      </w:r>
    </w:p>
    <w:p w14:paraId="7B60C323" w14:textId="77777777" w:rsidR="00DB7B52" w:rsidRPr="00175A9D" w:rsidRDefault="00DB7B52" w:rsidP="00175A9D">
      <w:pPr>
        <w:pStyle w:val="Heading3"/>
      </w:pPr>
      <w:bookmarkStart w:id="62" w:name="_Toc117264968"/>
      <w:r w:rsidRPr="00175A9D">
        <w:t>Statement of contingent liabilities and contingent assets as at 30 June 2022</w:t>
      </w:r>
      <w:bookmarkEnd w:id="62"/>
    </w:p>
    <w:p w14:paraId="4A2B1744" w14:textId="02C9E1E3" w:rsidR="00DB7B52" w:rsidRDefault="00DB7B52" w:rsidP="00DB7B52">
      <w:pPr>
        <w:rPr>
          <w:rFonts w:eastAsia="Arial Unicode MS"/>
        </w:rPr>
      </w:pPr>
      <w:r w:rsidRPr="00DB7B52">
        <w:rPr>
          <w:rFonts w:eastAsia="Arial Unicode MS"/>
        </w:rPr>
        <w:t>The Ministry is defending a small number of legal disputes involving past employees for which a potential liability has not yet been quantified as at 30 June 2022.</w:t>
      </w:r>
    </w:p>
    <w:p w14:paraId="15EB6775" w14:textId="77777777" w:rsidR="00223078" w:rsidRPr="00DB7B52" w:rsidRDefault="00223078" w:rsidP="00DB7B52">
      <w:pPr>
        <w:rPr>
          <w:rFonts w:eastAsia="Arial Unicode MS"/>
        </w:rPr>
      </w:pPr>
    </w:p>
    <w:p w14:paraId="4C55EDC8" w14:textId="77777777" w:rsidR="00223078" w:rsidRDefault="00DB7B52" w:rsidP="00DB7B52">
      <w:pPr>
        <w:rPr>
          <w:rFonts w:eastAsia="Arial Unicode MS"/>
        </w:rPr>
      </w:pPr>
      <w:r w:rsidRPr="00DB7B52">
        <w:rPr>
          <w:rFonts w:eastAsia="Arial Unicode MS"/>
        </w:rPr>
        <w:t xml:space="preserve">The Ministry had no other contingent liabilities as at 30 June 2022 (2021: $nil). </w:t>
      </w:r>
    </w:p>
    <w:p w14:paraId="05956379" w14:textId="77777777" w:rsidR="00223078" w:rsidRDefault="00223078" w:rsidP="00DB7B52">
      <w:pPr>
        <w:rPr>
          <w:rFonts w:eastAsia="Arial Unicode MS"/>
        </w:rPr>
      </w:pPr>
    </w:p>
    <w:p w14:paraId="18C70244" w14:textId="77777777" w:rsidR="00DB7B52" w:rsidRDefault="00DB7B52" w:rsidP="00DB7B52">
      <w:pPr>
        <w:rPr>
          <w:rFonts w:eastAsia="Arial Unicode MS"/>
        </w:rPr>
      </w:pPr>
      <w:r w:rsidRPr="00DB7B52">
        <w:rPr>
          <w:rFonts w:eastAsia="Arial Unicode MS"/>
        </w:rPr>
        <w:t>The Ministry had no contingent assets as at 30 June 2022 (2021: $nil).</w:t>
      </w:r>
    </w:p>
    <w:p w14:paraId="64EF4CE9" w14:textId="77777777" w:rsidR="00223078" w:rsidRPr="00223078" w:rsidRDefault="00223078" w:rsidP="00175A9D">
      <w:pPr>
        <w:pStyle w:val="Heading3"/>
      </w:pPr>
      <w:bookmarkStart w:id="63" w:name="_Toc117264969"/>
      <w:r w:rsidRPr="00223078">
        <w:t>Notes to the financial statements for the year ended 30 June 2022</w:t>
      </w:r>
      <w:bookmarkEnd w:id="63"/>
    </w:p>
    <w:p w14:paraId="4B66680D" w14:textId="77777777" w:rsidR="00223078" w:rsidRPr="00223078" w:rsidRDefault="00223078" w:rsidP="00223078">
      <w:pPr>
        <w:pStyle w:val="Heading4"/>
      </w:pPr>
      <w:r w:rsidRPr="00223078">
        <w:t>Notes index</w:t>
      </w:r>
    </w:p>
    <w:p w14:paraId="32B299A8" w14:textId="5B681C51" w:rsidR="00223078" w:rsidRPr="00223078" w:rsidRDefault="00223078" w:rsidP="008A439D">
      <w:pPr>
        <w:pStyle w:val="Number"/>
        <w:numPr>
          <w:ilvl w:val="0"/>
          <w:numId w:val="14"/>
        </w:numPr>
        <w:rPr>
          <w:rFonts w:eastAsia="Arial Unicode MS"/>
        </w:rPr>
      </w:pPr>
      <w:r w:rsidRPr="00223078">
        <w:rPr>
          <w:rFonts w:eastAsia="Arial Unicode MS"/>
        </w:rPr>
        <w:t>Statement of accounting policies</w:t>
      </w:r>
    </w:p>
    <w:p w14:paraId="08BDA132" w14:textId="351BE292" w:rsidR="00223078" w:rsidRPr="00223078" w:rsidRDefault="00223078" w:rsidP="008A439D">
      <w:pPr>
        <w:pStyle w:val="Number"/>
        <w:numPr>
          <w:ilvl w:val="0"/>
          <w:numId w:val="14"/>
        </w:numPr>
        <w:rPr>
          <w:rFonts w:eastAsia="Arial Unicode MS"/>
        </w:rPr>
      </w:pPr>
      <w:r w:rsidRPr="00223078">
        <w:rPr>
          <w:rFonts w:eastAsia="Arial Unicode MS"/>
        </w:rPr>
        <w:t>Revenue</w:t>
      </w:r>
    </w:p>
    <w:p w14:paraId="6DDDA280" w14:textId="21EDC9F6" w:rsidR="00223078" w:rsidRPr="00223078" w:rsidRDefault="00223078" w:rsidP="008A439D">
      <w:pPr>
        <w:pStyle w:val="Number"/>
        <w:numPr>
          <w:ilvl w:val="0"/>
          <w:numId w:val="14"/>
        </w:numPr>
        <w:rPr>
          <w:rFonts w:eastAsia="Arial Unicode MS"/>
        </w:rPr>
      </w:pPr>
      <w:r w:rsidRPr="00223078">
        <w:rPr>
          <w:rFonts w:eastAsia="Arial Unicode MS"/>
        </w:rPr>
        <w:t>Personnel costs</w:t>
      </w:r>
    </w:p>
    <w:p w14:paraId="6AAFF033" w14:textId="4553D3CE" w:rsidR="00223078" w:rsidRPr="00223078" w:rsidRDefault="00223078" w:rsidP="008A439D">
      <w:pPr>
        <w:pStyle w:val="Number"/>
        <w:numPr>
          <w:ilvl w:val="0"/>
          <w:numId w:val="14"/>
        </w:numPr>
        <w:rPr>
          <w:rFonts w:eastAsia="Arial Unicode MS"/>
        </w:rPr>
      </w:pPr>
      <w:r w:rsidRPr="00223078">
        <w:rPr>
          <w:rFonts w:eastAsia="Arial Unicode MS"/>
        </w:rPr>
        <w:t>Capital charge</w:t>
      </w:r>
    </w:p>
    <w:p w14:paraId="7A9EBD59" w14:textId="1F8D6AF9" w:rsidR="00223078" w:rsidRPr="00223078" w:rsidRDefault="00223078" w:rsidP="008A439D">
      <w:pPr>
        <w:pStyle w:val="Number"/>
        <w:numPr>
          <w:ilvl w:val="0"/>
          <w:numId w:val="14"/>
        </w:numPr>
        <w:rPr>
          <w:rFonts w:eastAsia="Arial Unicode MS"/>
        </w:rPr>
      </w:pPr>
      <w:r w:rsidRPr="00223078">
        <w:rPr>
          <w:rFonts w:eastAsia="Arial Unicode MS"/>
        </w:rPr>
        <w:t>Other expenses</w:t>
      </w:r>
    </w:p>
    <w:p w14:paraId="36D303F5" w14:textId="6E5C2621" w:rsidR="00223078" w:rsidRPr="00223078" w:rsidRDefault="00223078" w:rsidP="008A439D">
      <w:pPr>
        <w:pStyle w:val="Number"/>
        <w:numPr>
          <w:ilvl w:val="0"/>
          <w:numId w:val="14"/>
        </w:numPr>
        <w:rPr>
          <w:rFonts w:eastAsia="Arial Unicode MS"/>
        </w:rPr>
      </w:pPr>
      <w:r w:rsidRPr="00223078">
        <w:rPr>
          <w:rFonts w:eastAsia="Arial Unicode MS"/>
        </w:rPr>
        <w:t>Plant, property and equipment</w:t>
      </w:r>
    </w:p>
    <w:p w14:paraId="584B94F6" w14:textId="4D00DEFF" w:rsidR="00223078" w:rsidRPr="00223078" w:rsidRDefault="00223078" w:rsidP="008A439D">
      <w:pPr>
        <w:pStyle w:val="Number"/>
        <w:numPr>
          <w:ilvl w:val="0"/>
          <w:numId w:val="14"/>
        </w:numPr>
        <w:rPr>
          <w:rFonts w:eastAsia="Arial Unicode MS"/>
        </w:rPr>
      </w:pPr>
      <w:r w:rsidRPr="00223078">
        <w:rPr>
          <w:rFonts w:eastAsia="Arial Unicode MS"/>
        </w:rPr>
        <w:t>Intangible assets</w:t>
      </w:r>
    </w:p>
    <w:p w14:paraId="669E7BBB" w14:textId="672FE3AE" w:rsidR="00223078" w:rsidRPr="00223078" w:rsidRDefault="00223078" w:rsidP="008A439D">
      <w:pPr>
        <w:pStyle w:val="Number"/>
        <w:numPr>
          <w:ilvl w:val="0"/>
          <w:numId w:val="14"/>
        </w:numPr>
        <w:rPr>
          <w:rFonts w:eastAsia="Arial Unicode MS"/>
        </w:rPr>
      </w:pPr>
      <w:r w:rsidRPr="00223078">
        <w:rPr>
          <w:rFonts w:eastAsia="Arial Unicode MS"/>
        </w:rPr>
        <w:t>Payables</w:t>
      </w:r>
    </w:p>
    <w:p w14:paraId="68FD9105" w14:textId="7A07E244" w:rsidR="00223078" w:rsidRPr="00223078" w:rsidRDefault="00223078" w:rsidP="008A439D">
      <w:pPr>
        <w:pStyle w:val="Number"/>
        <w:numPr>
          <w:ilvl w:val="0"/>
          <w:numId w:val="14"/>
        </w:numPr>
        <w:rPr>
          <w:rFonts w:eastAsia="Arial Unicode MS"/>
        </w:rPr>
      </w:pPr>
      <w:r w:rsidRPr="00223078">
        <w:rPr>
          <w:rFonts w:eastAsia="Arial Unicode MS"/>
        </w:rPr>
        <w:t>Return of operating surplus</w:t>
      </w:r>
    </w:p>
    <w:p w14:paraId="62B14FB8" w14:textId="24544EB9" w:rsidR="00223078" w:rsidRPr="00223078" w:rsidRDefault="00223078" w:rsidP="008A439D">
      <w:pPr>
        <w:pStyle w:val="Number"/>
        <w:numPr>
          <w:ilvl w:val="0"/>
          <w:numId w:val="14"/>
        </w:numPr>
        <w:rPr>
          <w:rFonts w:eastAsia="Arial Unicode MS"/>
        </w:rPr>
      </w:pPr>
      <w:r w:rsidRPr="00223078">
        <w:rPr>
          <w:rFonts w:eastAsia="Arial Unicode MS"/>
        </w:rPr>
        <w:t>Provisions and employee entitlements</w:t>
      </w:r>
    </w:p>
    <w:p w14:paraId="474C3D0E" w14:textId="72403BBB" w:rsidR="00223078" w:rsidRPr="00223078" w:rsidRDefault="00223078" w:rsidP="008A439D">
      <w:pPr>
        <w:pStyle w:val="Number"/>
        <w:numPr>
          <w:ilvl w:val="0"/>
          <w:numId w:val="14"/>
        </w:numPr>
        <w:rPr>
          <w:rFonts w:eastAsia="Arial Unicode MS"/>
        </w:rPr>
      </w:pPr>
      <w:r w:rsidRPr="00223078">
        <w:rPr>
          <w:rFonts w:eastAsia="Arial Unicode MS"/>
        </w:rPr>
        <w:t>Equity</w:t>
      </w:r>
    </w:p>
    <w:p w14:paraId="52CF1B8D" w14:textId="515CDABC" w:rsidR="00223078" w:rsidRPr="00223078" w:rsidRDefault="00223078" w:rsidP="008A439D">
      <w:pPr>
        <w:pStyle w:val="Number"/>
        <w:numPr>
          <w:ilvl w:val="0"/>
          <w:numId w:val="14"/>
        </w:numPr>
        <w:rPr>
          <w:rFonts w:eastAsia="Arial Unicode MS"/>
        </w:rPr>
      </w:pPr>
      <w:r w:rsidRPr="00223078">
        <w:rPr>
          <w:rFonts w:eastAsia="Arial Unicode MS"/>
        </w:rPr>
        <w:t>Memorandum accounts</w:t>
      </w:r>
    </w:p>
    <w:p w14:paraId="6E60C56A" w14:textId="1F51CCD0" w:rsidR="00223078" w:rsidRPr="00223078" w:rsidRDefault="00223078" w:rsidP="008A439D">
      <w:pPr>
        <w:pStyle w:val="Number"/>
        <w:numPr>
          <w:ilvl w:val="0"/>
          <w:numId w:val="14"/>
        </w:numPr>
        <w:rPr>
          <w:rFonts w:eastAsia="Arial Unicode MS"/>
        </w:rPr>
      </w:pPr>
      <w:r w:rsidRPr="00223078">
        <w:rPr>
          <w:rFonts w:eastAsia="Arial Unicode MS"/>
        </w:rPr>
        <w:t>Related party transactions</w:t>
      </w:r>
    </w:p>
    <w:p w14:paraId="11826181" w14:textId="23A7D5AC" w:rsidR="00223078" w:rsidRPr="00223078" w:rsidRDefault="00223078" w:rsidP="008A439D">
      <w:pPr>
        <w:pStyle w:val="Number"/>
        <w:numPr>
          <w:ilvl w:val="0"/>
          <w:numId w:val="14"/>
        </w:numPr>
        <w:rPr>
          <w:rFonts w:eastAsia="Arial Unicode MS"/>
        </w:rPr>
      </w:pPr>
      <w:r w:rsidRPr="00223078">
        <w:rPr>
          <w:rFonts w:eastAsia="Arial Unicode MS"/>
        </w:rPr>
        <w:t>Financial instruments</w:t>
      </w:r>
    </w:p>
    <w:p w14:paraId="51E35E37" w14:textId="4E7CC9BE" w:rsidR="00223078" w:rsidRPr="00223078" w:rsidRDefault="00223078" w:rsidP="008A439D">
      <w:pPr>
        <w:pStyle w:val="Number"/>
        <w:numPr>
          <w:ilvl w:val="0"/>
          <w:numId w:val="14"/>
        </w:numPr>
        <w:rPr>
          <w:rFonts w:eastAsia="Arial Unicode MS"/>
        </w:rPr>
      </w:pPr>
      <w:r w:rsidRPr="00223078">
        <w:rPr>
          <w:rFonts w:eastAsia="Arial Unicode MS"/>
        </w:rPr>
        <w:t>Departmental agency results – Cancer Control Agency, interim Te Whatu Ora | Health New Zealand, interim Te Aka Whai Ora | Māori Health Authority</w:t>
      </w:r>
    </w:p>
    <w:p w14:paraId="1AA24158" w14:textId="35ED6DC4" w:rsidR="00223078" w:rsidRPr="00223078" w:rsidRDefault="00223078" w:rsidP="008A439D">
      <w:pPr>
        <w:pStyle w:val="Number"/>
        <w:numPr>
          <w:ilvl w:val="0"/>
          <w:numId w:val="14"/>
        </w:numPr>
        <w:rPr>
          <w:rFonts w:eastAsia="Arial Unicode MS"/>
        </w:rPr>
      </w:pPr>
      <w:r w:rsidRPr="00223078">
        <w:rPr>
          <w:rFonts w:eastAsia="Arial Unicode MS"/>
        </w:rPr>
        <w:t>Events after balance date</w:t>
      </w:r>
    </w:p>
    <w:p w14:paraId="5DB18CE2" w14:textId="77777777" w:rsidR="00223078" w:rsidRPr="00223078" w:rsidRDefault="00223078" w:rsidP="00A328EB">
      <w:pPr>
        <w:pStyle w:val="Heading4"/>
      </w:pPr>
      <w:r w:rsidRPr="00223078">
        <w:lastRenderedPageBreak/>
        <w:t>1</w:t>
      </w:r>
      <w:r w:rsidRPr="00223078">
        <w:tab/>
        <w:t>Statement of accounting policies</w:t>
      </w:r>
    </w:p>
    <w:p w14:paraId="7F76919D" w14:textId="77777777" w:rsidR="00223078" w:rsidRPr="00223078" w:rsidRDefault="00223078" w:rsidP="00223078">
      <w:pPr>
        <w:pStyle w:val="Heading5"/>
      </w:pPr>
      <w:r w:rsidRPr="00223078">
        <w:t>Reporting entity</w:t>
      </w:r>
    </w:p>
    <w:p w14:paraId="02BD3A3C" w14:textId="7098CD52" w:rsidR="00223078" w:rsidRDefault="00223078" w:rsidP="00223078">
      <w:pPr>
        <w:rPr>
          <w:rFonts w:eastAsia="Arial Unicode MS"/>
        </w:rPr>
      </w:pPr>
      <w:r w:rsidRPr="00223078">
        <w:rPr>
          <w:rFonts w:eastAsia="Arial Unicode MS"/>
        </w:rPr>
        <w:t>The Ministry of Health (the Ministry) is a government department as defined by section 5 of the Public Service Act 2020 and is domiciled and operates in New Zealand. The relevant legislation governing the Ministry’s operations includes the Public Finance Act 1989 (PFA), Public Service Act 2020, and the New Zealand Public Health and Disability Act 2000. The Ministry’s ultimate parent is the New Zealand Crown.</w:t>
      </w:r>
    </w:p>
    <w:p w14:paraId="3109A9D1" w14:textId="77777777" w:rsidR="00223078" w:rsidRPr="00223078" w:rsidRDefault="00223078" w:rsidP="00223078">
      <w:pPr>
        <w:rPr>
          <w:rFonts w:eastAsia="Arial Unicode MS"/>
        </w:rPr>
      </w:pPr>
    </w:p>
    <w:p w14:paraId="4C7A90E5" w14:textId="252BA053" w:rsidR="00223078" w:rsidRDefault="00223078" w:rsidP="00223078">
      <w:pPr>
        <w:rPr>
          <w:rFonts w:eastAsia="Arial Unicode MS"/>
        </w:rPr>
      </w:pPr>
      <w:r w:rsidRPr="00223078">
        <w:rPr>
          <w:rFonts w:eastAsia="Arial Unicode MS"/>
        </w:rPr>
        <w:t>The financial statements of the Ministry for the year ended 30 June 2022 are consolidated financial statements including the Ministry, Cancer Control Agency, interim Te Whatu Ora</w:t>
      </w:r>
      <w:r>
        <w:rPr>
          <w:rFonts w:eastAsia="Arial Unicode MS"/>
        </w:rPr>
        <w:t xml:space="preserve"> </w:t>
      </w:r>
      <w:r w:rsidRPr="00223078">
        <w:rPr>
          <w:rFonts w:eastAsia="Arial Unicode MS"/>
        </w:rPr>
        <w:t>| Health New Zealand, and interim Te Aka Whai Ora | Māori Health Authority. The Cancer Control Agency (established 1 December 2019), interim Te Whatu Ora | Health New Zealand and interim Te Aka Whai Ora | Māori Health Authority (both established 1 September 2021) are departmental agencies as defined by section 2 of the PFA and section 5 of the Public Service Act 2020, which are hosted within the Ministry. Unless explicitly stated, references to the Ministry cover the Ministry and the departmental agencies (see note 15).</w:t>
      </w:r>
    </w:p>
    <w:p w14:paraId="15B2564A" w14:textId="77777777" w:rsidR="00223078" w:rsidRPr="00223078" w:rsidRDefault="00223078" w:rsidP="00223078">
      <w:pPr>
        <w:rPr>
          <w:rFonts w:eastAsia="Arial Unicode MS"/>
        </w:rPr>
      </w:pPr>
    </w:p>
    <w:p w14:paraId="151579E9" w14:textId="77777777" w:rsidR="00223078" w:rsidRPr="00223078" w:rsidRDefault="00223078" w:rsidP="00223078">
      <w:pPr>
        <w:rPr>
          <w:rFonts w:eastAsia="Arial Unicode MS"/>
        </w:rPr>
      </w:pPr>
      <w:r w:rsidRPr="00223078">
        <w:rPr>
          <w:rFonts w:eastAsia="Arial Unicode MS"/>
        </w:rPr>
        <w:t>In addition, the Ministry has reported on Crown activities that it administers in the non- departmental statements and schedules on pages 141 to 157.</w:t>
      </w:r>
    </w:p>
    <w:p w14:paraId="73F29584" w14:textId="77777777" w:rsidR="00223078" w:rsidRPr="00223078" w:rsidRDefault="00223078" w:rsidP="00223078">
      <w:pPr>
        <w:rPr>
          <w:rFonts w:eastAsia="Arial Unicode MS"/>
        </w:rPr>
      </w:pPr>
      <w:r w:rsidRPr="00223078">
        <w:rPr>
          <w:rFonts w:eastAsia="Arial Unicode MS"/>
        </w:rPr>
        <w:t xml:space="preserve"> </w:t>
      </w:r>
    </w:p>
    <w:p w14:paraId="3C5ED9CC" w14:textId="75A508F4" w:rsidR="00223078" w:rsidRDefault="00223078" w:rsidP="00223078">
      <w:pPr>
        <w:rPr>
          <w:rFonts w:eastAsia="Arial Unicode MS"/>
        </w:rPr>
      </w:pPr>
      <w:r w:rsidRPr="00223078">
        <w:rPr>
          <w:rFonts w:eastAsia="Arial Unicode MS"/>
        </w:rPr>
        <w:t>The Ministry’s primary objective is to provide services to the New Zealand public. The Ministry funds, administers and monitors the delivery of health services.</w:t>
      </w:r>
    </w:p>
    <w:p w14:paraId="5755820F" w14:textId="77777777" w:rsidR="00223078" w:rsidRPr="00223078" w:rsidRDefault="00223078" w:rsidP="00223078">
      <w:pPr>
        <w:rPr>
          <w:rFonts w:eastAsia="Arial Unicode MS"/>
        </w:rPr>
      </w:pPr>
    </w:p>
    <w:p w14:paraId="1DD62FDE" w14:textId="066B5863" w:rsidR="00223078" w:rsidRDefault="00223078" w:rsidP="00223078">
      <w:pPr>
        <w:rPr>
          <w:rFonts w:eastAsia="Arial Unicode MS"/>
        </w:rPr>
      </w:pPr>
      <w:r w:rsidRPr="00223078">
        <w:rPr>
          <w:rFonts w:eastAsia="Arial Unicode MS"/>
        </w:rPr>
        <w:t>The Ministry has designated itself as a public benefit entity (PBE) for the purposes of complying with generally accepted accounting practice (GAAP).</w:t>
      </w:r>
    </w:p>
    <w:p w14:paraId="5F2A86C2" w14:textId="77777777" w:rsidR="00223078" w:rsidRPr="00223078" w:rsidRDefault="00223078" w:rsidP="00223078">
      <w:pPr>
        <w:rPr>
          <w:rFonts w:eastAsia="Arial Unicode MS"/>
        </w:rPr>
      </w:pPr>
    </w:p>
    <w:p w14:paraId="3CF71970" w14:textId="77777777" w:rsidR="00223078" w:rsidRPr="00223078" w:rsidRDefault="00223078" w:rsidP="00223078">
      <w:pPr>
        <w:rPr>
          <w:rFonts w:eastAsia="Arial Unicode MS"/>
        </w:rPr>
      </w:pPr>
      <w:r w:rsidRPr="00223078">
        <w:rPr>
          <w:rFonts w:eastAsia="Arial Unicode MS"/>
        </w:rPr>
        <w:t>The financial statements are for the year ended 30 June 2022 and were approved for issue by the Director-General of Health on 30 September 2022.</w:t>
      </w:r>
    </w:p>
    <w:p w14:paraId="6E97A398" w14:textId="77777777" w:rsidR="00223078" w:rsidRPr="00223078" w:rsidRDefault="00223078" w:rsidP="00223078">
      <w:pPr>
        <w:pStyle w:val="Heading5"/>
      </w:pPr>
      <w:r w:rsidRPr="00223078">
        <w:t>Basis of preparation</w:t>
      </w:r>
    </w:p>
    <w:p w14:paraId="4A6BEA1D" w14:textId="77777777" w:rsidR="00223078" w:rsidRPr="00223078" w:rsidRDefault="00223078" w:rsidP="00223078">
      <w:pPr>
        <w:rPr>
          <w:rFonts w:eastAsia="Arial Unicode MS"/>
        </w:rPr>
      </w:pPr>
      <w:r w:rsidRPr="00223078">
        <w:rPr>
          <w:rFonts w:eastAsia="Arial Unicode MS"/>
        </w:rPr>
        <w:t>The financial statements have been prepared on a going-concern basis and the accounting policies have been applied consistently throughout the year.</w:t>
      </w:r>
    </w:p>
    <w:p w14:paraId="290149F5" w14:textId="77777777" w:rsidR="00223078" w:rsidRPr="00223078" w:rsidRDefault="00223078" w:rsidP="00223078">
      <w:pPr>
        <w:pStyle w:val="Heading5"/>
      </w:pPr>
      <w:r w:rsidRPr="00223078">
        <w:t>Statement of compliance</w:t>
      </w:r>
    </w:p>
    <w:p w14:paraId="317EF34D" w14:textId="7D80B489" w:rsidR="00223078" w:rsidRDefault="00223078" w:rsidP="00223078">
      <w:pPr>
        <w:rPr>
          <w:rFonts w:eastAsia="Arial Unicode MS"/>
        </w:rPr>
      </w:pPr>
      <w:r w:rsidRPr="00223078">
        <w:rPr>
          <w:rFonts w:eastAsia="Arial Unicode MS"/>
        </w:rPr>
        <w:t>The financial statements of the Ministry have been prepared in accordance with the requirements of the PFA, which include the requirement to comply with GAAP and Treasury Instructions.</w:t>
      </w:r>
    </w:p>
    <w:p w14:paraId="4D9AF9D5" w14:textId="77777777" w:rsidR="00223078" w:rsidRPr="00223078" w:rsidRDefault="00223078" w:rsidP="00223078">
      <w:pPr>
        <w:rPr>
          <w:rFonts w:eastAsia="Arial Unicode MS"/>
        </w:rPr>
      </w:pPr>
    </w:p>
    <w:p w14:paraId="6E48ACC2" w14:textId="77777777" w:rsidR="00223078" w:rsidRPr="00223078" w:rsidRDefault="00223078" w:rsidP="00223078">
      <w:pPr>
        <w:rPr>
          <w:rFonts w:eastAsia="Arial Unicode MS"/>
        </w:rPr>
      </w:pPr>
      <w:r w:rsidRPr="00223078">
        <w:rPr>
          <w:rFonts w:eastAsia="Arial Unicode MS"/>
        </w:rPr>
        <w:t>The financial statements have been prepared in accordance with and comply with PBE accounting standards.</w:t>
      </w:r>
    </w:p>
    <w:p w14:paraId="75187BDE" w14:textId="77777777" w:rsidR="00223078" w:rsidRPr="00223078" w:rsidRDefault="00223078" w:rsidP="00223078">
      <w:pPr>
        <w:pStyle w:val="Heading5"/>
      </w:pPr>
      <w:r w:rsidRPr="00223078">
        <w:t>Presentation currency and rounding</w:t>
      </w:r>
    </w:p>
    <w:p w14:paraId="4754FB58" w14:textId="77777777" w:rsidR="00223078" w:rsidRPr="00223078" w:rsidRDefault="00223078" w:rsidP="00223078">
      <w:pPr>
        <w:rPr>
          <w:rFonts w:eastAsia="Arial Unicode MS"/>
        </w:rPr>
      </w:pPr>
      <w:r w:rsidRPr="00223078">
        <w:rPr>
          <w:rFonts w:eastAsia="Arial Unicode MS"/>
        </w:rPr>
        <w:t>The financial statements are presented in New Zealand dollars and all values are rounded to the nearest thousand dollars ($000).</w:t>
      </w:r>
    </w:p>
    <w:p w14:paraId="223B3703" w14:textId="77777777" w:rsidR="00223078" w:rsidRPr="00223078" w:rsidRDefault="00223078" w:rsidP="00223078">
      <w:pPr>
        <w:pStyle w:val="Heading5"/>
      </w:pPr>
      <w:r w:rsidRPr="00223078">
        <w:lastRenderedPageBreak/>
        <w:t>Comparative figures</w:t>
      </w:r>
    </w:p>
    <w:p w14:paraId="54BA31F9" w14:textId="77777777" w:rsidR="00223078" w:rsidRPr="00223078" w:rsidRDefault="00223078" w:rsidP="00223078">
      <w:pPr>
        <w:rPr>
          <w:rFonts w:eastAsia="Arial Unicode MS"/>
        </w:rPr>
      </w:pPr>
      <w:r w:rsidRPr="00223078">
        <w:rPr>
          <w:rFonts w:eastAsia="Arial Unicode MS"/>
        </w:rPr>
        <w:t>When presentation or classification of items in the financial statements is amended or accounting policies are changed, comparative figures are restated to ensure consistency with the current period unless it is impracticable to do so.</w:t>
      </w:r>
    </w:p>
    <w:p w14:paraId="061C0D07" w14:textId="77777777" w:rsidR="00223078" w:rsidRPr="00223078" w:rsidRDefault="00223078" w:rsidP="00223078">
      <w:pPr>
        <w:pStyle w:val="Heading5"/>
      </w:pPr>
      <w:r w:rsidRPr="00223078">
        <w:t>Changes in accounting policies</w:t>
      </w:r>
    </w:p>
    <w:p w14:paraId="30D4C7D7" w14:textId="6EEF54F9" w:rsidR="00223078" w:rsidRDefault="00223078" w:rsidP="00223078">
      <w:pPr>
        <w:rPr>
          <w:rFonts w:eastAsia="Arial Unicode MS"/>
        </w:rPr>
      </w:pPr>
      <w:r w:rsidRPr="00223078">
        <w:rPr>
          <w:rFonts w:eastAsia="Arial Unicode MS"/>
        </w:rPr>
        <w:t>The policy applied to account for costs to customise and configure a software under as a service (SaaS) arrangement has changed during the year. In April 2021, the International Financial Reporting Interpretations Committee issued final agenda decision on how to account for SaaS-related expenditure. The agenda decision clarified that a customer does not normally recognise an intangible asset based on the requirement of PBE IPSAS 31 Intangible Assets where a supplier controls the application software to which a customer</w:t>
      </w:r>
      <w:r>
        <w:rPr>
          <w:rFonts w:eastAsia="Arial Unicode MS"/>
        </w:rPr>
        <w:t xml:space="preserve"> </w:t>
      </w:r>
      <w:r w:rsidRPr="00223078">
        <w:rPr>
          <w:rFonts w:eastAsia="Arial Unicode MS"/>
        </w:rPr>
        <w:t>accesses in a SaaS arrangement. The change means that the Ministry’s costs to customise and configure a SaaS software should be recognised in surplus or deficit. Prior year results have been retrospectively adjusted to account for this change.</w:t>
      </w:r>
    </w:p>
    <w:p w14:paraId="6E9BC73F" w14:textId="77777777" w:rsidR="00223078" w:rsidRPr="00223078" w:rsidRDefault="00223078" w:rsidP="00223078">
      <w:pPr>
        <w:rPr>
          <w:rFonts w:eastAsia="Arial Unicode MS"/>
        </w:rPr>
      </w:pPr>
    </w:p>
    <w:p w14:paraId="224E367B" w14:textId="77777777" w:rsidR="00223078" w:rsidRDefault="00223078" w:rsidP="00223078">
      <w:pPr>
        <w:rPr>
          <w:rFonts w:eastAsia="Arial Unicode MS"/>
        </w:rPr>
      </w:pPr>
      <w:r w:rsidRPr="00223078">
        <w:rPr>
          <w:rFonts w:eastAsia="Arial Unicode MS"/>
        </w:rPr>
        <w:t>There have been no other changes in the Ministry’s accounting policies since the date of the last audited financial statements.</w:t>
      </w:r>
    </w:p>
    <w:p w14:paraId="0B75796A" w14:textId="77777777" w:rsidR="00223078" w:rsidRDefault="00223078" w:rsidP="00223078">
      <w:pPr>
        <w:rPr>
          <w:rFonts w:eastAsia="Arial Unicode MS"/>
        </w:rPr>
      </w:pPr>
    </w:p>
    <w:p w14:paraId="0ACBAAB3" w14:textId="0F2B7A5B" w:rsidR="00A41745" w:rsidRDefault="00223078" w:rsidP="009E3BCA">
      <w:pPr>
        <w:sectPr w:rsidR="00A41745" w:rsidSect="00C26282">
          <w:pgSz w:w="11907" w:h="16840" w:code="9"/>
          <w:pgMar w:top="1418" w:right="1701" w:bottom="1134" w:left="1843" w:header="284" w:footer="425" w:gutter="284"/>
          <w:cols w:space="720"/>
        </w:sectPr>
      </w:pPr>
      <w:r w:rsidRPr="00223078">
        <w:rPr>
          <w:rFonts w:eastAsia="Arial Unicode MS"/>
        </w:rPr>
        <w:t>Below tables represent the impact of the changes before and after restatement:</w:t>
      </w:r>
    </w:p>
    <w:p w14:paraId="59599AC2" w14:textId="0A202B58" w:rsidR="00223078" w:rsidRDefault="00223078" w:rsidP="009E3BCA">
      <w:pPr>
        <w:pStyle w:val="Heading4"/>
        <w:spacing w:before="0"/>
      </w:pPr>
      <w:r w:rsidRPr="00223078">
        <w:lastRenderedPageBreak/>
        <w:t>Statement of financial performance for the year ended</w:t>
      </w:r>
      <w:r>
        <w:t xml:space="preserve"> 30</w:t>
      </w:r>
      <w:r w:rsidR="00A41745">
        <w:t xml:space="preserve"> </w:t>
      </w:r>
      <w:r>
        <w:t>June 2022</w:t>
      </w:r>
    </w:p>
    <w:tbl>
      <w:tblPr>
        <w:tblW w:w="8588" w:type="dxa"/>
        <w:tblInd w:w="7" w:type="dxa"/>
        <w:tblLayout w:type="fixed"/>
        <w:tblCellMar>
          <w:left w:w="0" w:type="dxa"/>
          <w:right w:w="0" w:type="dxa"/>
        </w:tblCellMar>
        <w:tblLook w:val="01E0" w:firstRow="1" w:lastRow="1" w:firstColumn="1" w:lastColumn="1" w:noHBand="0" w:noVBand="0"/>
      </w:tblPr>
      <w:tblGrid>
        <w:gridCol w:w="4269"/>
        <w:gridCol w:w="1536"/>
        <w:gridCol w:w="1492"/>
        <w:gridCol w:w="1291"/>
      </w:tblGrid>
      <w:tr w:rsidR="00A41745" w:rsidRPr="00A41745" w14:paraId="5070E58D" w14:textId="77777777" w:rsidTr="00BC0250">
        <w:trPr>
          <w:trHeight w:val="895"/>
        </w:trPr>
        <w:tc>
          <w:tcPr>
            <w:tcW w:w="4269" w:type="dxa"/>
            <w:shd w:val="clear" w:color="auto" w:fill="D9D9D9" w:themeFill="background1" w:themeFillShade="D9"/>
          </w:tcPr>
          <w:p w14:paraId="42DCFA6B" w14:textId="77777777" w:rsidR="00A41745" w:rsidRPr="00A41745" w:rsidRDefault="00A41745" w:rsidP="00A41745">
            <w:pPr>
              <w:pStyle w:val="TableText"/>
              <w:jc w:val="right"/>
              <w:rPr>
                <w:b/>
                <w:bCs/>
              </w:rPr>
            </w:pPr>
          </w:p>
        </w:tc>
        <w:tc>
          <w:tcPr>
            <w:tcW w:w="1536" w:type="dxa"/>
            <w:shd w:val="clear" w:color="auto" w:fill="D9D9D9" w:themeFill="background1" w:themeFillShade="D9"/>
          </w:tcPr>
          <w:p w14:paraId="327FA114" w14:textId="6931F018" w:rsidR="00A41745" w:rsidRPr="00A41745" w:rsidRDefault="00A41745" w:rsidP="00A41745">
            <w:pPr>
              <w:pStyle w:val="TableText"/>
              <w:jc w:val="right"/>
              <w:rPr>
                <w:b/>
                <w:bCs/>
              </w:rPr>
            </w:pPr>
            <w:r w:rsidRPr="00A41745">
              <w:rPr>
                <w:b/>
                <w:bCs/>
              </w:rPr>
              <w:t>After</w:t>
            </w:r>
            <w:r w:rsidRPr="00A41745">
              <w:rPr>
                <w:b/>
                <w:bCs/>
              </w:rPr>
              <w:br/>
              <w:t xml:space="preserve"> restatement</w:t>
            </w:r>
          </w:p>
          <w:p w14:paraId="65535DAC" w14:textId="77777777" w:rsidR="00A41745" w:rsidRPr="00A41745" w:rsidRDefault="00A41745" w:rsidP="00A41745">
            <w:pPr>
              <w:pStyle w:val="TableText"/>
              <w:jc w:val="right"/>
              <w:rPr>
                <w:b/>
                <w:bCs/>
              </w:rPr>
            </w:pPr>
            <w:r w:rsidRPr="00A41745">
              <w:rPr>
                <w:b/>
                <w:bCs/>
              </w:rPr>
              <w:t>$000</w:t>
            </w:r>
          </w:p>
        </w:tc>
        <w:tc>
          <w:tcPr>
            <w:tcW w:w="1492" w:type="dxa"/>
            <w:shd w:val="clear" w:color="auto" w:fill="D9D9D9" w:themeFill="background1" w:themeFillShade="D9"/>
          </w:tcPr>
          <w:p w14:paraId="4A3D6E6B" w14:textId="77777777" w:rsidR="00A41745" w:rsidRPr="00A41745" w:rsidRDefault="00A41745" w:rsidP="00A41745">
            <w:pPr>
              <w:pStyle w:val="TableText"/>
              <w:jc w:val="right"/>
              <w:rPr>
                <w:b/>
                <w:bCs/>
              </w:rPr>
            </w:pPr>
            <w:r w:rsidRPr="00A41745">
              <w:rPr>
                <w:b/>
                <w:bCs/>
              </w:rPr>
              <w:t>Before restatement</w:t>
            </w:r>
          </w:p>
          <w:p w14:paraId="31C1DE08" w14:textId="77777777" w:rsidR="00A41745" w:rsidRPr="00A41745" w:rsidRDefault="00A41745" w:rsidP="00A41745">
            <w:pPr>
              <w:pStyle w:val="TableText"/>
              <w:jc w:val="right"/>
              <w:rPr>
                <w:b/>
                <w:bCs/>
              </w:rPr>
            </w:pPr>
            <w:r w:rsidRPr="00A41745">
              <w:rPr>
                <w:b/>
                <w:bCs/>
              </w:rPr>
              <w:t>$000</w:t>
            </w:r>
          </w:p>
        </w:tc>
        <w:tc>
          <w:tcPr>
            <w:tcW w:w="1291" w:type="dxa"/>
            <w:shd w:val="clear" w:color="auto" w:fill="D9D9D9" w:themeFill="background1" w:themeFillShade="D9"/>
          </w:tcPr>
          <w:p w14:paraId="756FA69B" w14:textId="77777777" w:rsidR="00A41745" w:rsidRPr="00A41745" w:rsidRDefault="00A41745" w:rsidP="00A41745">
            <w:pPr>
              <w:pStyle w:val="TableText"/>
              <w:jc w:val="right"/>
              <w:rPr>
                <w:b/>
                <w:bCs/>
              </w:rPr>
            </w:pPr>
            <w:r w:rsidRPr="00A41745">
              <w:rPr>
                <w:b/>
                <w:bCs/>
              </w:rPr>
              <w:t>Increase / (decrease)</w:t>
            </w:r>
          </w:p>
          <w:p w14:paraId="57577002" w14:textId="77777777" w:rsidR="00A41745" w:rsidRPr="00A41745" w:rsidRDefault="00A41745" w:rsidP="00A41745">
            <w:pPr>
              <w:pStyle w:val="TableText"/>
              <w:jc w:val="right"/>
              <w:rPr>
                <w:b/>
                <w:bCs/>
              </w:rPr>
            </w:pPr>
            <w:r w:rsidRPr="00A41745">
              <w:rPr>
                <w:b/>
                <w:bCs/>
              </w:rPr>
              <w:t>$000</w:t>
            </w:r>
          </w:p>
        </w:tc>
      </w:tr>
      <w:tr w:rsidR="00A41745" w14:paraId="6AD75A87" w14:textId="77777777" w:rsidTr="00BC0250">
        <w:trPr>
          <w:trHeight w:val="340"/>
        </w:trPr>
        <w:tc>
          <w:tcPr>
            <w:tcW w:w="4269" w:type="dxa"/>
          </w:tcPr>
          <w:p w14:paraId="1623307C" w14:textId="77777777" w:rsidR="00A41745" w:rsidRDefault="00A41745" w:rsidP="00A41745">
            <w:pPr>
              <w:pStyle w:val="TableText"/>
              <w:rPr>
                <w:b/>
              </w:rPr>
            </w:pPr>
            <w:r>
              <w:rPr>
                <w:b/>
                <w:w w:val="105"/>
              </w:rPr>
              <w:t>Expenses</w:t>
            </w:r>
          </w:p>
        </w:tc>
        <w:tc>
          <w:tcPr>
            <w:tcW w:w="1536" w:type="dxa"/>
          </w:tcPr>
          <w:p w14:paraId="5F07CBDA" w14:textId="77777777" w:rsidR="00A41745" w:rsidRDefault="00A41745" w:rsidP="00A41745">
            <w:pPr>
              <w:pStyle w:val="TableText"/>
              <w:jc w:val="right"/>
            </w:pPr>
          </w:p>
        </w:tc>
        <w:tc>
          <w:tcPr>
            <w:tcW w:w="1492" w:type="dxa"/>
          </w:tcPr>
          <w:p w14:paraId="49245CFC" w14:textId="77777777" w:rsidR="00A41745" w:rsidRDefault="00A41745" w:rsidP="00A41745">
            <w:pPr>
              <w:pStyle w:val="TableText"/>
              <w:jc w:val="right"/>
            </w:pPr>
          </w:p>
        </w:tc>
        <w:tc>
          <w:tcPr>
            <w:tcW w:w="1291" w:type="dxa"/>
          </w:tcPr>
          <w:p w14:paraId="131013E1" w14:textId="77777777" w:rsidR="00A41745" w:rsidRDefault="00A41745" w:rsidP="00A41745">
            <w:pPr>
              <w:pStyle w:val="TableText"/>
              <w:jc w:val="right"/>
            </w:pPr>
          </w:p>
        </w:tc>
      </w:tr>
      <w:tr w:rsidR="00A41745" w14:paraId="2718C8BE" w14:textId="77777777" w:rsidTr="00BC0250">
        <w:trPr>
          <w:trHeight w:val="340"/>
        </w:trPr>
        <w:tc>
          <w:tcPr>
            <w:tcW w:w="4269" w:type="dxa"/>
          </w:tcPr>
          <w:p w14:paraId="62B8EB4C" w14:textId="77777777" w:rsidR="00A41745" w:rsidRDefault="00A41745" w:rsidP="00A41745">
            <w:pPr>
              <w:pStyle w:val="TableText"/>
            </w:pPr>
            <w:r>
              <w:t>Depreciation</w:t>
            </w:r>
            <w:r>
              <w:rPr>
                <w:spacing w:val="21"/>
              </w:rPr>
              <w:t xml:space="preserve"> </w:t>
            </w:r>
            <w:r>
              <w:t>and</w:t>
            </w:r>
            <w:r>
              <w:rPr>
                <w:spacing w:val="22"/>
              </w:rPr>
              <w:t xml:space="preserve"> </w:t>
            </w:r>
            <w:r>
              <w:t>amortisation</w:t>
            </w:r>
            <w:r>
              <w:rPr>
                <w:spacing w:val="22"/>
              </w:rPr>
              <w:t xml:space="preserve"> </w:t>
            </w:r>
            <w:r>
              <w:t>expense</w:t>
            </w:r>
          </w:p>
        </w:tc>
        <w:tc>
          <w:tcPr>
            <w:tcW w:w="1536" w:type="dxa"/>
          </w:tcPr>
          <w:p w14:paraId="6B279EFE" w14:textId="77777777" w:rsidR="00A41745" w:rsidRDefault="00A41745" w:rsidP="00A41745">
            <w:pPr>
              <w:pStyle w:val="TableText"/>
              <w:jc w:val="right"/>
            </w:pPr>
            <w:r>
              <w:rPr>
                <w:w w:val="105"/>
              </w:rPr>
              <w:t>6,079</w:t>
            </w:r>
          </w:p>
        </w:tc>
        <w:tc>
          <w:tcPr>
            <w:tcW w:w="1492" w:type="dxa"/>
          </w:tcPr>
          <w:p w14:paraId="6A0B750D" w14:textId="77777777" w:rsidR="00A41745" w:rsidRDefault="00A41745" w:rsidP="00A41745">
            <w:pPr>
              <w:pStyle w:val="TableText"/>
              <w:jc w:val="right"/>
            </w:pPr>
            <w:r>
              <w:t>10,864</w:t>
            </w:r>
          </w:p>
        </w:tc>
        <w:tc>
          <w:tcPr>
            <w:tcW w:w="1291" w:type="dxa"/>
          </w:tcPr>
          <w:p w14:paraId="54965A73" w14:textId="77777777" w:rsidR="00A41745" w:rsidRDefault="00A41745" w:rsidP="00A41745">
            <w:pPr>
              <w:pStyle w:val="TableText"/>
              <w:jc w:val="right"/>
            </w:pPr>
            <w:r>
              <w:rPr>
                <w:w w:val="110"/>
              </w:rPr>
              <w:t>(4,785)</w:t>
            </w:r>
          </w:p>
        </w:tc>
      </w:tr>
      <w:tr w:rsidR="00A41745" w14:paraId="4B46B5E0" w14:textId="77777777" w:rsidTr="00BC0250">
        <w:trPr>
          <w:trHeight w:val="340"/>
        </w:trPr>
        <w:tc>
          <w:tcPr>
            <w:tcW w:w="4269" w:type="dxa"/>
          </w:tcPr>
          <w:p w14:paraId="7CD9E821" w14:textId="77777777" w:rsidR="00A41745" w:rsidRDefault="00A41745" w:rsidP="00A41745">
            <w:pPr>
              <w:pStyle w:val="TableText"/>
            </w:pPr>
            <w:r>
              <w:t>Other</w:t>
            </w:r>
            <w:r>
              <w:rPr>
                <w:spacing w:val="15"/>
              </w:rPr>
              <w:t xml:space="preserve"> </w:t>
            </w:r>
            <w:r>
              <w:t>expenses</w:t>
            </w:r>
          </w:p>
        </w:tc>
        <w:tc>
          <w:tcPr>
            <w:tcW w:w="1536" w:type="dxa"/>
          </w:tcPr>
          <w:p w14:paraId="4EAB224A" w14:textId="77777777" w:rsidR="00A41745" w:rsidRDefault="00A41745" w:rsidP="00A41745">
            <w:pPr>
              <w:pStyle w:val="TableText"/>
              <w:jc w:val="right"/>
            </w:pPr>
            <w:r>
              <w:rPr>
                <w:w w:val="105"/>
              </w:rPr>
              <w:t>200,072</w:t>
            </w:r>
          </w:p>
        </w:tc>
        <w:tc>
          <w:tcPr>
            <w:tcW w:w="1492" w:type="dxa"/>
          </w:tcPr>
          <w:p w14:paraId="164F44BB" w14:textId="77777777" w:rsidR="00A41745" w:rsidRDefault="00A41745" w:rsidP="00A41745">
            <w:pPr>
              <w:pStyle w:val="TableText"/>
              <w:jc w:val="right"/>
            </w:pPr>
            <w:r>
              <w:t>193,477</w:t>
            </w:r>
          </w:p>
        </w:tc>
        <w:tc>
          <w:tcPr>
            <w:tcW w:w="1291" w:type="dxa"/>
          </w:tcPr>
          <w:p w14:paraId="7A0C7739" w14:textId="77777777" w:rsidR="00A41745" w:rsidRDefault="00A41745" w:rsidP="00A41745">
            <w:pPr>
              <w:pStyle w:val="TableText"/>
              <w:jc w:val="right"/>
            </w:pPr>
            <w:r>
              <w:rPr>
                <w:w w:val="110"/>
              </w:rPr>
              <w:t>6,595</w:t>
            </w:r>
          </w:p>
        </w:tc>
      </w:tr>
      <w:tr w:rsidR="00A41745" w14:paraId="35BB331A" w14:textId="77777777" w:rsidTr="00BC0250">
        <w:trPr>
          <w:trHeight w:val="340"/>
        </w:trPr>
        <w:tc>
          <w:tcPr>
            <w:tcW w:w="4269" w:type="dxa"/>
            <w:tcBorders>
              <w:bottom w:val="single" w:sz="4" w:space="0" w:color="A6A6A6" w:themeColor="background1" w:themeShade="A6"/>
            </w:tcBorders>
          </w:tcPr>
          <w:p w14:paraId="72BC2910" w14:textId="77777777" w:rsidR="00A41745" w:rsidRDefault="00A41745" w:rsidP="00A41745">
            <w:pPr>
              <w:pStyle w:val="TableText"/>
              <w:rPr>
                <w:b/>
              </w:rPr>
            </w:pPr>
            <w:r>
              <w:rPr>
                <w:b/>
                <w:w w:val="105"/>
              </w:rPr>
              <w:t>Changes</w:t>
            </w:r>
            <w:r>
              <w:rPr>
                <w:b/>
                <w:spacing w:val="15"/>
                <w:w w:val="105"/>
              </w:rPr>
              <w:t xml:space="preserve"> </w:t>
            </w:r>
            <w:r>
              <w:rPr>
                <w:b/>
                <w:w w:val="105"/>
              </w:rPr>
              <w:t>in</w:t>
            </w:r>
            <w:r>
              <w:rPr>
                <w:b/>
                <w:spacing w:val="15"/>
                <w:w w:val="105"/>
              </w:rPr>
              <w:t xml:space="preserve"> </w:t>
            </w:r>
            <w:r>
              <w:rPr>
                <w:b/>
                <w:w w:val="105"/>
              </w:rPr>
              <w:t>net</w:t>
            </w:r>
            <w:r>
              <w:rPr>
                <w:b/>
                <w:spacing w:val="15"/>
                <w:w w:val="105"/>
              </w:rPr>
              <w:t xml:space="preserve"> </w:t>
            </w:r>
            <w:r>
              <w:rPr>
                <w:b/>
                <w:w w:val="105"/>
              </w:rPr>
              <w:t>surplus/(deficit)</w:t>
            </w:r>
          </w:p>
        </w:tc>
        <w:tc>
          <w:tcPr>
            <w:tcW w:w="1536" w:type="dxa"/>
            <w:tcBorders>
              <w:bottom w:val="single" w:sz="4" w:space="0" w:color="A6A6A6" w:themeColor="background1" w:themeShade="A6"/>
            </w:tcBorders>
          </w:tcPr>
          <w:p w14:paraId="37805116" w14:textId="77777777" w:rsidR="00A41745" w:rsidRDefault="00A41745" w:rsidP="00A41745">
            <w:pPr>
              <w:pStyle w:val="TableText"/>
              <w:jc w:val="right"/>
              <w:rPr>
                <w:b/>
              </w:rPr>
            </w:pPr>
            <w:r>
              <w:rPr>
                <w:b/>
              </w:rPr>
              <w:t>(206,151)</w:t>
            </w:r>
          </w:p>
        </w:tc>
        <w:tc>
          <w:tcPr>
            <w:tcW w:w="1492" w:type="dxa"/>
            <w:tcBorders>
              <w:bottom w:val="single" w:sz="4" w:space="0" w:color="A6A6A6" w:themeColor="background1" w:themeShade="A6"/>
            </w:tcBorders>
          </w:tcPr>
          <w:p w14:paraId="50B37FA6" w14:textId="77777777" w:rsidR="00A41745" w:rsidRDefault="00A41745" w:rsidP="00A41745">
            <w:pPr>
              <w:pStyle w:val="TableText"/>
              <w:jc w:val="right"/>
              <w:rPr>
                <w:b/>
              </w:rPr>
            </w:pPr>
            <w:r>
              <w:rPr>
                <w:b/>
                <w:w w:val="105"/>
              </w:rPr>
              <w:t>(204,341)</w:t>
            </w:r>
          </w:p>
        </w:tc>
        <w:tc>
          <w:tcPr>
            <w:tcW w:w="1291" w:type="dxa"/>
            <w:tcBorders>
              <w:bottom w:val="single" w:sz="4" w:space="0" w:color="A6A6A6" w:themeColor="background1" w:themeShade="A6"/>
            </w:tcBorders>
          </w:tcPr>
          <w:p w14:paraId="1134E829" w14:textId="77777777" w:rsidR="00A41745" w:rsidRDefault="00A41745" w:rsidP="00A41745">
            <w:pPr>
              <w:pStyle w:val="TableText"/>
              <w:jc w:val="right"/>
              <w:rPr>
                <w:b/>
              </w:rPr>
            </w:pPr>
            <w:r>
              <w:rPr>
                <w:b/>
              </w:rPr>
              <w:t>(1,810)</w:t>
            </w:r>
          </w:p>
        </w:tc>
      </w:tr>
      <w:tr w:rsidR="00A41745" w14:paraId="5F4B8321" w14:textId="77777777" w:rsidTr="00BC0250">
        <w:trPr>
          <w:trHeight w:val="606"/>
        </w:trPr>
        <w:tc>
          <w:tcPr>
            <w:tcW w:w="8588" w:type="dxa"/>
            <w:gridSpan w:val="4"/>
            <w:tcBorders>
              <w:top w:val="single" w:sz="4" w:space="0" w:color="A6A6A6" w:themeColor="background1" w:themeShade="A6"/>
            </w:tcBorders>
          </w:tcPr>
          <w:p w14:paraId="69A44DDA" w14:textId="77777777" w:rsidR="00A41745" w:rsidRDefault="00A41745" w:rsidP="00BC0250">
            <w:pPr>
              <w:pStyle w:val="Heading4"/>
            </w:pPr>
            <w:r>
              <w:rPr>
                <w:w w:val="105"/>
              </w:rPr>
              <w:t>Statement</w:t>
            </w:r>
            <w:r>
              <w:rPr>
                <w:spacing w:val="-20"/>
                <w:w w:val="105"/>
              </w:rPr>
              <w:t xml:space="preserve"> </w:t>
            </w:r>
            <w:r>
              <w:rPr>
                <w:w w:val="105"/>
              </w:rPr>
              <w:t>of</w:t>
            </w:r>
            <w:r>
              <w:rPr>
                <w:spacing w:val="-19"/>
                <w:w w:val="105"/>
              </w:rPr>
              <w:t xml:space="preserve"> </w:t>
            </w:r>
            <w:r>
              <w:rPr>
                <w:w w:val="105"/>
              </w:rPr>
              <w:t>financial</w:t>
            </w:r>
            <w:r>
              <w:rPr>
                <w:spacing w:val="-19"/>
                <w:w w:val="105"/>
              </w:rPr>
              <w:t xml:space="preserve"> </w:t>
            </w:r>
            <w:r>
              <w:rPr>
                <w:w w:val="105"/>
              </w:rPr>
              <w:t>position</w:t>
            </w:r>
            <w:r>
              <w:rPr>
                <w:spacing w:val="-19"/>
                <w:w w:val="105"/>
              </w:rPr>
              <w:t xml:space="preserve"> </w:t>
            </w:r>
            <w:r>
              <w:rPr>
                <w:w w:val="105"/>
              </w:rPr>
              <w:t>as</w:t>
            </w:r>
            <w:r>
              <w:rPr>
                <w:spacing w:val="-19"/>
                <w:w w:val="105"/>
              </w:rPr>
              <w:t xml:space="preserve"> </w:t>
            </w:r>
            <w:r>
              <w:rPr>
                <w:w w:val="105"/>
              </w:rPr>
              <w:t>at</w:t>
            </w:r>
            <w:r>
              <w:rPr>
                <w:spacing w:val="-19"/>
                <w:w w:val="105"/>
              </w:rPr>
              <w:t xml:space="preserve"> </w:t>
            </w:r>
            <w:r>
              <w:rPr>
                <w:w w:val="105"/>
              </w:rPr>
              <w:t>30</w:t>
            </w:r>
            <w:r>
              <w:rPr>
                <w:spacing w:val="-19"/>
                <w:w w:val="105"/>
              </w:rPr>
              <w:t xml:space="preserve"> </w:t>
            </w:r>
            <w:r>
              <w:rPr>
                <w:w w:val="105"/>
              </w:rPr>
              <w:t>June</w:t>
            </w:r>
            <w:r>
              <w:rPr>
                <w:spacing w:val="-20"/>
                <w:w w:val="105"/>
              </w:rPr>
              <w:t xml:space="preserve"> </w:t>
            </w:r>
            <w:r>
              <w:rPr>
                <w:w w:val="105"/>
              </w:rPr>
              <w:t>2021</w:t>
            </w:r>
          </w:p>
        </w:tc>
      </w:tr>
      <w:tr w:rsidR="00A41745" w:rsidRPr="00A41745" w14:paraId="3810ED3E" w14:textId="77777777" w:rsidTr="00BC0250">
        <w:trPr>
          <w:trHeight w:val="826"/>
        </w:trPr>
        <w:tc>
          <w:tcPr>
            <w:tcW w:w="4269" w:type="dxa"/>
            <w:shd w:val="clear" w:color="auto" w:fill="D9D9D9" w:themeFill="background1" w:themeFillShade="D9"/>
          </w:tcPr>
          <w:p w14:paraId="6EF26825" w14:textId="77777777" w:rsidR="00A41745" w:rsidRPr="00A41745" w:rsidRDefault="00A41745" w:rsidP="00A41745">
            <w:pPr>
              <w:pStyle w:val="TableText"/>
              <w:jc w:val="right"/>
              <w:rPr>
                <w:b/>
                <w:bCs/>
              </w:rPr>
            </w:pPr>
          </w:p>
        </w:tc>
        <w:tc>
          <w:tcPr>
            <w:tcW w:w="1536" w:type="dxa"/>
            <w:shd w:val="clear" w:color="auto" w:fill="D9D9D9" w:themeFill="background1" w:themeFillShade="D9"/>
          </w:tcPr>
          <w:p w14:paraId="64924781" w14:textId="77777777" w:rsidR="00A41745" w:rsidRPr="00A41745" w:rsidRDefault="00A41745" w:rsidP="00A41745">
            <w:pPr>
              <w:pStyle w:val="TableText"/>
              <w:jc w:val="right"/>
              <w:rPr>
                <w:b/>
                <w:bCs/>
              </w:rPr>
            </w:pPr>
            <w:r w:rsidRPr="00A41745">
              <w:rPr>
                <w:b/>
                <w:bCs/>
              </w:rPr>
              <w:t>After restatement</w:t>
            </w:r>
          </w:p>
          <w:p w14:paraId="5ACE07A3" w14:textId="77777777" w:rsidR="00A41745" w:rsidRPr="00A41745" w:rsidRDefault="00A41745" w:rsidP="00A41745">
            <w:pPr>
              <w:pStyle w:val="TableText"/>
              <w:jc w:val="right"/>
              <w:rPr>
                <w:b/>
                <w:bCs/>
              </w:rPr>
            </w:pPr>
            <w:r w:rsidRPr="00A41745">
              <w:rPr>
                <w:b/>
                <w:bCs/>
              </w:rPr>
              <w:t>$000</w:t>
            </w:r>
          </w:p>
        </w:tc>
        <w:tc>
          <w:tcPr>
            <w:tcW w:w="1492" w:type="dxa"/>
            <w:shd w:val="clear" w:color="auto" w:fill="D9D9D9" w:themeFill="background1" w:themeFillShade="D9"/>
          </w:tcPr>
          <w:p w14:paraId="2D07E802" w14:textId="77777777" w:rsidR="00A41745" w:rsidRPr="00A41745" w:rsidRDefault="00A41745" w:rsidP="00A41745">
            <w:pPr>
              <w:pStyle w:val="TableText"/>
              <w:jc w:val="right"/>
              <w:rPr>
                <w:b/>
                <w:bCs/>
              </w:rPr>
            </w:pPr>
            <w:r w:rsidRPr="00A41745">
              <w:rPr>
                <w:b/>
                <w:bCs/>
              </w:rPr>
              <w:t>Before restatement</w:t>
            </w:r>
          </w:p>
          <w:p w14:paraId="235C6EDE" w14:textId="77777777" w:rsidR="00A41745" w:rsidRPr="00A41745" w:rsidRDefault="00A41745" w:rsidP="00A41745">
            <w:pPr>
              <w:pStyle w:val="TableText"/>
              <w:jc w:val="right"/>
              <w:rPr>
                <w:b/>
                <w:bCs/>
              </w:rPr>
            </w:pPr>
            <w:r w:rsidRPr="00A41745">
              <w:rPr>
                <w:b/>
                <w:bCs/>
              </w:rPr>
              <w:t>$000</w:t>
            </w:r>
          </w:p>
        </w:tc>
        <w:tc>
          <w:tcPr>
            <w:tcW w:w="1291" w:type="dxa"/>
            <w:shd w:val="clear" w:color="auto" w:fill="D9D9D9" w:themeFill="background1" w:themeFillShade="D9"/>
          </w:tcPr>
          <w:p w14:paraId="2C1601D5" w14:textId="77777777" w:rsidR="00A41745" w:rsidRPr="00A41745" w:rsidRDefault="00A41745" w:rsidP="00A41745">
            <w:pPr>
              <w:pStyle w:val="TableText"/>
              <w:jc w:val="right"/>
              <w:rPr>
                <w:b/>
                <w:bCs/>
              </w:rPr>
            </w:pPr>
            <w:r w:rsidRPr="00A41745">
              <w:rPr>
                <w:b/>
                <w:bCs/>
              </w:rPr>
              <w:t>Increase / (decrease)</w:t>
            </w:r>
          </w:p>
          <w:p w14:paraId="63511148" w14:textId="77777777" w:rsidR="00A41745" w:rsidRPr="00A41745" w:rsidRDefault="00A41745" w:rsidP="00A41745">
            <w:pPr>
              <w:pStyle w:val="TableText"/>
              <w:jc w:val="right"/>
              <w:rPr>
                <w:b/>
                <w:bCs/>
              </w:rPr>
            </w:pPr>
            <w:r w:rsidRPr="00A41745">
              <w:rPr>
                <w:b/>
                <w:bCs/>
              </w:rPr>
              <w:t>$000</w:t>
            </w:r>
          </w:p>
        </w:tc>
      </w:tr>
      <w:tr w:rsidR="00A41745" w14:paraId="53C6B8EE" w14:textId="77777777" w:rsidTr="00BC0250">
        <w:trPr>
          <w:trHeight w:val="340"/>
        </w:trPr>
        <w:tc>
          <w:tcPr>
            <w:tcW w:w="4269" w:type="dxa"/>
          </w:tcPr>
          <w:p w14:paraId="1447D8DF" w14:textId="68315069" w:rsidR="00A41745" w:rsidRPr="00A41745" w:rsidRDefault="00A41745" w:rsidP="00A41745">
            <w:pPr>
              <w:pStyle w:val="TableText"/>
              <w:rPr>
                <w:b/>
              </w:rPr>
            </w:pPr>
            <w:r>
              <w:rPr>
                <w:b/>
                <w:w w:val="110"/>
              </w:rPr>
              <w:t>Net</w:t>
            </w:r>
            <w:r>
              <w:rPr>
                <w:b/>
                <w:spacing w:val="-14"/>
                <w:w w:val="110"/>
              </w:rPr>
              <w:t xml:space="preserve"> </w:t>
            </w:r>
            <w:r>
              <w:rPr>
                <w:b/>
                <w:w w:val="110"/>
              </w:rPr>
              <w:t>assets</w:t>
            </w:r>
          </w:p>
        </w:tc>
        <w:tc>
          <w:tcPr>
            <w:tcW w:w="1536" w:type="dxa"/>
          </w:tcPr>
          <w:p w14:paraId="746871BB" w14:textId="4ED823CD" w:rsidR="00A41745" w:rsidRDefault="00A41745" w:rsidP="00A41745">
            <w:pPr>
              <w:pStyle w:val="TableText"/>
              <w:jc w:val="right"/>
            </w:pPr>
          </w:p>
        </w:tc>
        <w:tc>
          <w:tcPr>
            <w:tcW w:w="1492" w:type="dxa"/>
          </w:tcPr>
          <w:p w14:paraId="5FE93BDB" w14:textId="7554BCB3" w:rsidR="00A41745" w:rsidRDefault="00A41745" w:rsidP="00A41745">
            <w:pPr>
              <w:pStyle w:val="TableText"/>
              <w:jc w:val="right"/>
            </w:pPr>
          </w:p>
        </w:tc>
        <w:tc>
          <w:tcPr>
            <w:tcW w:w="1291" w:type="dxa"/>
          </w:tcPr>
          <w:p w14:paraId="4A7DB648" w14:textId="5ABBE533" w:rsidR="00A41745" w:rsidRDefault="00A41745" w:rsidP="00A41745">
            <w:pPr>
              <w:pStyle w:val="TableText"/>
              <w:jc w:val="right"/>
            </w:pPr>
          </w:p>
        </w:tc>
      </w:tr>
      <w:tr w:rsidR="00A41745" w14:paraId="69778765" w14:textId="77777777" w:rsidTr="00BC0250">
        <w:trPr>
          <w:trHeight w:val="340"/>
        </w:trPr>
        <w:tc>
          <w:tcPr>
            <w:tcW w:w="4269" w:type="dxa"/>
          </w:tcPr>
          <w:p w14:paraId="5196DE09" w14:textId="4D0DF36E" w:rsidR="00A41745" w:rsidRDefault="00A41745" w:rsidP="00A41745">
            <w:pPr>
              <w:pStyle w:val="TableText"/>
              <w:rPr>
                <w:b/>
                <w:w w:val="110"/>
              </w:rPr>
            </w:pPr>
            <w:r>
              <w:rPr>
                <w:w w:val="105"/>
              </w:rPr>
              <w:t>Intangible</w:t>
            </w:r>
            <w:r>
              <w:rPr>
                <w:spacing w:val="8"/>
                <w:w w:val="105"/>
              </w:rPr>
              <w:t xml:space="preserve"> </w:t>
            </w:r>
            <w:r>
              <w:rPr>
                <w:w w:val="105"/>
              </w:rPr>
              <w:t>assets</w:t>
            </w:r>
          </w:p>
        </w:tc>
        <w:tc>
          <w:tcPr>
            <w:tcW w:w="1536" w:type="dxa"/>
          </w:tcPr>
          <w:p w14:paraId="23D0F01D" w14:textId="07D823EC" w:rsidR="00A41745" w:rsidRDefault="00A41745" w:rsidP="00A41745">
            <w:pPr>
              <w:pStyle w:val="TableText"/>
              <w:jc w:val="right"/>
            </w:pPr>
            <w:r>
              <w:t>14,436</w:t>
            </w:r>
          </w:p>
        </w:tc>
        <w:tc>
          <w:tcPr>
            <w:tcW w:w="1492" w:type="dxa"/>
          </w:tcPr>
          <w:p w14:paraId="21985125" w14:textId="09E6CE6F" w:rsidR="00A41745" w:rsidRDefault="00A41745" w:rsidP="00A41745">
            <w:pPr>
              <w:pStyle w:val="TableText"/>
              <w:jc w:val="right"/>
              <w:rPr>
                <w:w w:val="105"/>
              </w:rPr>
            </w:pPr>
            <w:r>
              <w:rPr>
                <w:w w:val="105"/>
              </w:rPr>
              <w:t>42,228</w:t>
            </w:r>
          </w:p>
        </w:tc>
        <w:tc>
          <w:tcPr>
            <w:tcW w:w="1291" w:type="dxa"/>
          </w:tcPr>
          <w:p w14:paraId="6B6DAC4A" w14:textId="768A268D" w:rsidR="00A41745" w:rsidRDefault="00A41745" w:rsidP="00A41745">
            <w:pPr>
              <w:pStyle w:val="TableText"/>
              <w:jc w:val="right"/>
              <w:rPr>
                <w:w w:val="105"/>
              </w:rPr>
            </w:pPr>
            <w:r>
              <w:rPr>
                <w:w w:val="105"/>
              </w:rPr>
              <w:t>(27,792)</w:t>
            </w:r>
          </w:p>
        </w:tc>
      </w:tr>
      <w:tr w:rsidR="00A41745" w14:paraId="44D41245" w14:textId="77777777" w:rsidTr="00BC0250">
        <w:trPr>
          <w:trHeight w:val="291"/>
        </w:trPr>
        <w:tc>
          <w:tcPr>
            <w:tcW w:w="4269" w:type="dxa"/>
            <w:tcBorders>
              <w:bottom w:val="single" w:sz="4" w:space="0" w:color="A6A6A6" w:themeColor="background1" w:themeShade="A6"/>
            </w:tcBorders>
          </w:tcPr>
          <w:p w14:paraId="09B154F6" w14:textId="77777777" w:rsidR="00A41745" w:rsidRDefault="00A41745" w:rsidP="00A41745">
            <w:pPr>
              <w:pStyle w:val="TableText"/>
              <w:rPr>
                <w:b/>
              </w:rPr>
            </w:pPr>
            <w:r>
              <w:rPr>
                <w:b/>
                <w:w w:val="105"/>
              </w:rPr>
              <w:t>Changes</w:t>
            </w:r>
            <w:r>
              <w:rPr>
                <w:b/>
                <w:spacing w:val="4"/>
                <w:w w:val="105"/>
              </w:rPr>
              <w:t xml:space="preserve"> </w:t>
            </w:r>
            <w:r>
              <w:rPr>
                <w:b/>
                <w:w w:val="105"/>
              </w:rPr>
              <w:t>in</w:t>
            </w:r>
            <w:r>
              <w:rPr>
                <w:b/>
                <w:spacing w:val="4"/>
                <w:w w:val="105"/>
              </w:rPr>
              <w:t xml:space="preserve"> </w:t>
            </w:r>
            <w:r>
              <w:rPr>
                <w:b/>
                <w:w w:val="105"/>
              </w:rPr>
              <w:t>net</w:t>
            </w:r>
            <w:r>
              <w:rPr>
                <w:b/>
                <w:spacing w:val="5"/>
                <w:w w:val="105"/>
              </w:rPr>
              <w:t xml:space="preserve"> </w:t>
            </w:r>
            <w:r>
              <w:rPr>
                <w:b/>
                <w:w w:val="105"/>
              </w:rPr>
              <w:t>assets</w:t>
            </w:r>
          </w:p>
        </w:tc>
        <w:tc>
          <w:tcPr>
            <w:tcW w:w="1536" w:type="dxa"/>
            <w:tcBorders>
              <w:bottom w:val="single" w:sz="4" w:space="0" w:color="A6A6A6" w:themeColor="background1" w:themeShade="A6"/>
            </w:tcBorders>
          </w:tcPr>
          <w:p w14:paraId="73151451" w14:textId="77777777" w:rsidR="00A41745" w:rsidRDefault="00A41745" w:rsidP="00A41745">
            <w:pPr>
              <w:pStyle w:val="TableText"/>
              <w:jc w:val="right"/>
              <w:rPr>
                <w:b/>
              </w:rPr>
            </w:pPr>
            <w:r>
              <w:rPr>
                <w:b/>
                <w:w w:val="105"/>
              </w:rPr>
              <w:t>14,436</w:t>
            </w:r>
          </w:p>
        </w:tc>
        <w:tc>
          <w:tcPr>
            <w:tcW w:w="1492" w:type="dxa"/>
            <w:tcBorders>
              <w:bottom w:val="single" w:sz="4" w:space="0" w:color="A6A6A6" w:themeColor="background1" w:themeShade="A6"/>
            </w:tcBorders>
          </w:tcPr>
          <w:p w14:paraId="0AB9550D" w14:textId="77777777" w:rsidR="00A41745" w:rsidRDefault="00A41745" w:rsidP="00A41745">
            <w:pPr>
              <w:pStyle w:val="TableText"/>
              <w:jc w:val="right"/>
              <w:rPr>
                <w:b/>
              </w:rPr>
            </w:pPr>
            <w:r>
              <w:rPr>
                <w:b/>
                <w:w w:val="105"/>
              </w:rPr>
              <w:t>42,228</w:t>
            </w:r>
          </w:p>
        </w:tc>
        <w:tc>
          <w:tcPr>
            <w:tcW w:w="1291" w:type="dxa"/>
            <w:tcBorders>
              <w:bottom w:val="single" w:sz="4" w:space="0" w:color="A6A6A6" w:themeColor="background1" w:themeShade="A6"/>
            </w:tcBorders>
          </w:tcPr>
          <w:p w14:paraId="03007D50" w14:textId="77777777" w:rsidR="00A41745" w:rsidRDefault="00A41745" w:rsidP="00A41745">
            <w:pPr>
              <w:pStyle w:val="TableText"/>
              <w:jc w:val="right"/>
              <w:rPr>
                <w:b/>
              </w:rPr>
            </w:pPr>
            <w:r>
              <w:rPr>
                <w:b/>
                <w:w w:val="105"/>
              </w:rPr>
              <w:t>(27,792)</w:t>
            </w:r>
          </w:p>
        </w:tc>
      </w:tr>
      <w:tr w:rsidR="00A41745" w14:paraId="6E7F73D5" w14:textId="77777777" w:rsidTr="00BC0250">
        <w:trPr>
          <w:trHeight w:val="606"/>
        </w:trPr>
        <w:tc>
          <w:tcPr>
            <w:tcW w:w="8588" w:type="dxa"/>
            <w:gridSpan w:val="4"/>
            <w:tcBorders>
              <w:top w:val="single" w:sz="4" w:space="0" w:color="A6A6A6" w:themeColor="background1" w:themeShade="A6"/>
            </w:tcBorders>
          </w:tcPr>
          <w:p w14:paraId="16CDC15B" w14:textId="77777777" w:rsidR="00A41745" w:rsidRDefault="00A41745" w:rsidP="00BC0250">
            <w:pPr>
              <w:pStyle w:val="Heading4"/>
            </w:pPr>
            <w:r>
              <w:rPr>
                <w:w w:val="105"/>
              </w:rPr>
              <w:t>Statement</w:t>
            </w:r>
            <w:r>
              <w:rPr>
                <w:spacing w:val="-16"/>
                <w:w w:val="105"/>
              </w:rPr>
              <w:t xml:space="preserve"> </w:t>
            </w:r>
            <w:r>
              <w:rPr>
                <w:w w:val="105"/>
              </w:rPr>
              <w:t>of</w:t>
            </w:r>
            <w:r>
              <w:rPr>
                <w:spacing w:val="-16"/>
                <w:w w:val="105"/>
              </w:rPr>
              <w:t xml:space="preserve"> </w:t>
            </w:r>
            <w:r>
              <w:rPr>
                <w:w w:val="105"/>
              </w:rPr>
              <w:t>changes</w:t>
            </w:r>
            <w:r>
              <w:rPr>
                <w:spacing w:val="-16"/>
                <w:w w:val="105"/>
              </w:rPr>
              <w:t xml:space="preserve"> </w:t>
            </w:r>
            <w:r>
              <w:rPr>
                <w:w w:val="105"/>
              </w:rPr>
              <w:t>in</w:t>
            </w:r>
            <w:r>
              <w:rPr>
                <w:spacing w:val="-16"/>
                <w:w w:val="105"/>
              </w:rPr>
              <w:t xml:space="preserve"> </w:t>
            </w:r>
            <w:r>
              <w:rPr>
                <w:w w:val="105"/>
              </w:rPr>
              <w:t>equity</w:t>
            </w:r>
            <w:r>
              <w:rPr>
                <w:spacing w:val="-16"/>
                <w:w w:val="105"/>
              </w:rPr>
              <w:t xml:space="preserve"> </w:t>
            </w:r>
            <w:r>
              <w:rPr>
                <w:w w:val="105"/>
              </w:rPr>
              <w:t>for</w:t>
            </w:r>
            <w:r>
              <w:rPr>
                <w:spacing w:val="-16"/>
                <w:w w:val="105"/>
              </w:rPr>
              <w:t xml:space="preserve"> </w:t>
            </w:r>
            <w:r>
              <w:rPr>
                <w:w w:val="105"/>
              </w:rPr>
              <w:t>the</w:t>
            </w:r>
            <w:r>
              <w:rPr>
                <w:spacing w:val="-16"/>
                <w:w w:val="105"/>
              </w:rPr>
              <w:t xml:space="preserve"> </w:t>
            </w:r>
            <w:r>
              <w:rPr>
                <w:w w:val="105"/>
              </w:rPr>
              <w:t>year</w:t>
            </w:r>
            <w:r>
              <w:rPr>
                <w:spacing w:val="-16"/>
                <w:w w:val="105"/>
              </w:rPr>
              <w:t xml:space="preserve"> </w:t>
            </w:r>
            <w:r>
              <w:rPr>
                <w:w w:val="105"/>
              </w:rPr>
              <w:t>ended</w:t>
            </w:r>
            <w:r>
              <w:rPr>
                <w:spacing w:val="-16"/>
                <w:w w:val="105"/>
              </w:rPr>
              <w:t xml:space="preserve"> </w:t>
            </w:r>
            <w:r>
              <w:rPr>
                <w:w w:val="105"/>
              </w:rPr>
              <w:t>30</w:t>
            </w:r>
            <w:r>
              <w:rPr>
                <w:spacing w:val="-16"/>
                <w:w w:val="105"/>
              </w:rPr>
              <w:t xml:space="preserve"> </w:t>
            </w:r>
            <w:r>
              <w:rPr>
                <w:w w:val="105"/>
              </w:rPr>
              <w:t>June</w:t>
            </w:r>
            <w:r>
              <w:rPr>
                <w:spacing w:val="-16"/>
                <w:w w:val="105"/>
              </w:rPr>
              <w:t xml:space="preserve"> </w:t>
            </w:r>
            <w:r>
              <w:rPr>
                <w:w w:val="105"/>
              </w:rPr>
              <w:t>2021</w:t>
            </w:r>
          </w:p>
        </w:tc>
      </w:tr>
      <w:tr w:rsidR="00A41745" w:rsidRPr="00A41745" w14:paraId="0EEC1D17" w14:textId="77777777" w:rsidTr="00BC0250">
        <w:trPr>
          <w:trHeight w:val="826"/>
        </w:trPr>
        <w:tc>
          <w:tcPr>
            <w:tcW w:w="4269" w:type="dxa"/>
            <w:shd w:val="clear" w:color="auto" w:fill="D9D9D9" w:themeFill="background1" w:themeFillShade="D9"/>
          </w:tcPr>
          <w:p w14:paraId="2A8B9FED" w14:textId="77777777" w:rsidR="00A41745" w:rsidRPr="00A41745" w:rsidRDefault="00A41745" w:rsidP="00A41745">
            <w:pPr>
              <w:pStyle w:val="TableText"/>
              <w:jc w:val="right"/>
              <w:rPr>
                <w:b/>
                <w:bCs/>
              </w:rPr>
            </w:pPr>
          </w:p>
        </w:tc>
        <w:tc>
          <w:tcPr>
            <w:tcW w:w="1536" w:type="dxa"/>
            <w:shd w:val="clear" w:color="auto" w:fill="D9D9D9" w:themeFill="background1" w:themeFillShade="D9"/>
          </w:tcPr>
          <w:p w14:paraId="49831027" w14:textId="11F1D3BD" w:rsidR="00A41745" w:rsidRPr="00A41745" w:rsidRDefault="00A41745" w:rsidP="00A41745">
            <w:pPr>
              <w:pStyle w:val="TableText"/>
              <w:jc w:val="right"/>
              <w:rPr>
                <w:b/>
                <w:bCs/>
              </w:rPr>
            </w:pPr>
            <w:r w:rsidRPr="00A41745">
              <w:rPr>
                <w:b/>
                <w:bCs/>
              </w:rPr>
              <w:t xml:space="preserve">After </w:t>
            </w:r>
            <w:r>
              <w:rPr>
                <w:b/>
                <w:bCs/>
              </w:rPr>
              <w:br/>
            </w:r>
            <w:r w:rsidRPr="00A41745">
              <w:rPr>
                <w:b/>
                <w:bCs/>
              </w:rPr>
              <w:t>restatement</w:t>
            </w:r>
          </w:p>
          <w:p w14:paraId="440F85D4" w14:textId="77777777" w:rsidR="00A41745" w:rsidRPr="00A41745" w:rsidRDefault="00A41745" w:rsidP="00A41745">
            <w:pPr>
              <w:pStyle w:val="TableText"/>
              <w:jc w:val="right"/>
              <w:rPr>
                <w:b/>
                <w:bCs/>
              </w:rPr>
            </w:pPr>
            <w:r w:rsidRPr="00A41745">
              <w:rPr>
                <w:b/>
                <w:bCs/>
              </w:rPr>
              <w:t>$000</w:t>
            </w:r>
          </w:p>
        </w:tc>
        <w:tc>
          <w:tcPr>
            <w:tcW w:w="1492" w:type="dxa"/>
            <w:shd w:val="clear" w:color="auto" w:fill="D9D9D9" w:themeFill="background1" w:themeFillShade="D9"/>
          </w:tcPr>
          <w:p w14:paraId="228DF1CE" w14:textId="77777777" w:rsidR="00A41745" w:rsidRPr="00A41745" w:rsidRDefault="00A41745" w:rsidP="00A41745">
            <w:pPr>
              <w:pStyle w:val="TableText"/>
              <w:jc w:val="right"/>
              <w:rPr>
                <w:b/>
                <w:bCs/>
              </w:rPr>
            </w:pPr>
            <w:r w:rsidRPr="00A41745">
              <w:rPr>
                <w:b/>
                <w:bCs/>
              </w:rPr>
              <w:t>Before restatement</w:t>
            </w:r>
          </w:p>
          <w:p w14:paraId="3A8232DE" w14:textId="77777777" w:rsidR="00A41745" w:rsidRPr="00A41745" w:rsidRDefault="00A41745" w:rsidP="00A41745">
            <w:pPr>
              <w:pStyle w:val="TableText"/>
              <w:jc w:val="right"/>
              <w:rPr>
                <w:b/>
                <w:bCs/>
              </w:rPr>
            </w:pPr>
            <w:r w:rsidRPr="00A41745">
              <w:rPr>
                <w:b/>
                <w:bCs/>
              </w:rPr>
              <w:t>$000</w:t>
            </w:r>
          </w:p>
        </w:tc>
        <w:tc>
          <w:tcPr>
            <w:tcW w:w="1291" w:type="dxa"/>
            <w:shd w:val="clear" w:color="auto" w:fill="D9D9D9" w:themeFill="background1" w:themeFillShade="D9"/>
          </w:tcPr>
          <w:p w14:paraId="2FE64FFB" w14:textId="77777777" w:rsidR="00A41745" w:rsidRPr="00A41745" w:rsidRDefault="00A41745" w:rsidP="00A41745">
            <w:pPr>
              <w:pStyle w:val="TableText"/>
              <w:jc w:val="right"/>
              <w:rPr>
                <w:b/>
                <w:bCs/>
              </w:rPr>
            </w:pPr>
            <w:r w:rsidRPr="00A41745">
              <w:rPr>
                <w:b/>
                <w:bCs/>
              </w:rPr>
              <w:t>Increase / (decrease)</w:t>
            </w:r>
          </w:p>
          <w:p w14:paraId="31972827" w14:textId="77777777" w:rsidR="00A41745" w:rsidRPr="00A41745" w:rsidRDefault="00A41745" w:rsidP="00A41745">
            <w:pPr>
              <w:pStyle w:val="TableText"/>
              <w:jc w:val="right"/>
              <w:rPr>
                <w:b/>
                <w:bCs/>
              </w:rPr>
            </w:pPr>
            <w:r w:rsidRPr="00A41745">
              <w:rPr>
                <w:b/>
                <w:bCs/>
              </w:rPr>
              <w:t>$000</w:t>
            </w:r>
          </w:p>
        </w:tc>
      </w:tr>
      <w:tr w:rsidR="00A41745" w14:paraId="6DD7FEB5" w14:textId="77777777" w:rsidTr="00BC0250">
        <w:trPr>
          <w:trHeight w:val="398"/>
        </w:trPr>
        <w:tc>
          <w:tcPr>
            <w:tcW w:w="4269" w:type="dxa"/>
          </w:tcPr>
          <w:p w14:paraId="1324A252" w14:textId="77777777" w:rsidR="00A41745" w:rsidRDefault="00A41745" w:rsidP="00A41745">
            <w:pPr>
              <w:pStyle w:val="TableText"/>
            </w:pPr>
            <w:r>
              <w:t>Balance</w:t>
            </w:r>
            <w:r>
              <w:rPr>
                <w:spacing w:val="2"/>
              </w:rPr>
              <w:t xml:space="preserve"> </w:t>
            </w:r>
            <w:r>
              <w:t>as</w:t>
            </w:r>
            <w:r>
              <w:rPr>
                <w:spacing w:val="2"/>
              </w:rPr>
              <w:t xml:space="preserve"> </w:t>
            </w:r>
            <w:r>
              <w:t>at</w:t>
            </w:r>
            <w:r>
              <w:rPr>
                <w:spacing w:val="2"/>
              </w:rPr>
              <w:t xml:space="preserve"> </w:t>
            </w:r>
            <w:r>
              <w:rPr>
                <w:w w:val="95"/>
              </w:rPr>
              <w:t>1</w:t>
            </w:r>
            <w:r>
              <w:rPr>
                <w:spacing w:val="5"/>
                <w:w w:val="95"/>
              </w:rPr>
              <w:t xml:space="preserve"> </w:t>
            </w:r>
            <w:r>
              <w:t>July</w:t>
            </w:r>
          </w:p>
        </w:tc>
        <w:tc>
          <w:tcPr>
            <w:tcW w:w="1536" w:type="dxa"/>
          </w:tcPr>
          <w:p w14:paraId="7F73E8A5" w14:textId="77777777" w:rsidR="00A41745" w:rsidRDefault="00A41745" w:rsidP="00A41745">
            <w:pPr>
              <w:pStyle w:val="TableText"/>
              <w:jc w:val="right"/>
            </w:pPr>
            <w:r>
              <w:t>16,476</w:t>
            </w:r>
          </w:p>
        </w:tc>
        <w:tc>
          <w:tcPr>
            <w:tcW w:w="1492" w:type="dxa"/>
          </w:tcPr>
          <w:p w14:paraId="1CB0FF60" w14:textId="77777777" w:rsidR="00A41745" w:rsidRDefault="00A41745" w:rsidP="00A41745">
            <w:pPr>
              <w:pStyle w:val="TableText"/>
              <w:jc w:val="right"/>
            </w:pPr>
            <w:r>
              <w:rPr>
                <w:w w:val="110"/>
              </w:rPr>
              <w:t>42,458</w:t>
            </w:r>
          </w:p>
        </w:tc>
        <w:tc>
          <w:tcPr>
            <w:tcW w:w="1291" w:type="dxa"/>
          </w:tcPr>
          <w:p w14:paraId="4D41BC0C" w14:textId="77777777" w:rsidR="00A41745" w:rsidRDefault="00A41745" w:rsidP="00A41745">
            <w:pPr>
              <w:pStyle w:val="TableText"/>
              <w:jc w:val="right"/>
            </w:pPr>
            <w:r>
              <w:rPr>
                <w:w w:val="110"/>
              </w:rPr>
              <w:t>(25,982)</w:t>
            </w:r>
          </w:p>
        </w:tc>
      </w:tr>
      <w:tr w:rsidR="00A41745" w14:paraId="73D097CC" w14:textId="77777777" w:rsidTr="00BC0250">
        <w:trPr>
          <w:trHeight w:val="349"/>
        </w:trPr>
        <w:tc>
          <w:tcPr>
            <w:tcW w:w="4269" w:type="dxa"/>
          </w:tcPr>
          <w:p w14:paraId="12536A9B" w14:textId="77777777" w:rsidR="00A41745" w:rsidRDefault="00A41745" w:rsidP="00A41745">
            <w:pPr>
              <w:pStyle w:val="TableText"/>
            </w:pPr>
            <w:r>
              <w:rPr>
                <w:w w:val="105"/>
              </w:rPr>
              <w:t>Net</w:t>
            </w:r>
            <w:r>
              <w:rPr>
                <w:spacing w:val="12"/>
                <w:w w:val="105"/>
              </w:rPr>
              <w:t xml:space="preserve"> </w:t>
            </w:r>
            <w:r>
              <w:rPr>
                <w:w w:val="105"/>
              </w:rPr>
              <w:t>surplus/(deficit)</w:t>
            </w:r>
          </w:p>
        </w:tc>
        <w:tc>
          <w:tcPr>
            <w:tcW w:w="1536" w:type="dxa"/>
          </w:tcPr>
          <w:p w14:paraId="252D71BC" w14:textId="77777777" w:rsidR="00A41745" w:rsidRDefault="00A41745" w:rsidP="00A41745">
            <w:pPr>
              <w:pStyle w:val="TableText"/>
              <w:jc w:val="right"/>
            </w:pPr>
            <w:r>
              <w:rPr>
                <w:w w:val="105"/>
              </w:rPr>
              <w:t>30,205</w:t>
            </w:r>
          </w:p>
        </w:tc>
        <w:tc>
          <w:tcPr>
            <w:tcW w:w="1492" w:type="dxa"/>
          </w:tcPr>
          <w:p w14:paraId="5B710054" w14:textId="77777777" w:rsidR="00A41745" w:rsidRDefault="00A41745" w:rsidP="00A41745">
            <w:pPr>
              <w:pStyle w:val="TableText"/>
              <w:jc w:val="right"/>
            </w:pPr>
            <w:r>
              <w:t>32,015</w:t>
            </w:r>
          </w:p>
        </w:tc>
        <w:tc>
          <w:tcPr>
            <w:tcW w:w="1291" w:type="dxa"/>
          </w:tcPr>
          <w:p w14:paraId="192677DA" w14:textId="77777777" w:rsidR="00A41745" w:rsidRDefault="00A41745" w:rsidP="00A41745">
            <w:pPr>
              <w:pStyle w:val="TableText"/>
              <w:jc w:val="right"/>
            </w:pPr>
            <w:r>
              <w:t>(1,810)</w:t>
            </w:r>
          </w:p>
        </w:tc>
      </w:tr>
      <w:tr w:rsidR="00A41745" w14:paraId="40448B40" w14:textId="77777777" w:rsidTr="00BC0250">
        <w:trPr>
          <w:trHeight w:val="349"/>
        </w:trPr>
        <w:tc>
          <w:tcPr>
            <w:tcW w:w="4269" w:type="dxa"/>
          </w:tcPr>
          <w:p w14:paraId="75461882" w14:textId="1A3644D2" w:rsidR="00A41745" w:rsidRPr="00A41745" w:rsidRDefault="00A41745" w:rsidP="00A41745">
            <w:pPr>
              <w:pStyle w:val="TableText"/>
            </w:pPr>
            <w:r>
              <w:t>Property</w:t>
            </w:r>
            <w:r>
              <w:rPr>
                <w:spacing w:val="57"/>
              </w:rPr>
              <w:t xml:space="preserve"> </w:t>
            </w:r>
            <w:r>
              <w:t>revaluation</w:t>
            </w:r>
          </w:p>
        </w:tc>
        <w:tc>
          <w:tcPr>
            <w:tcW w:w="1536" w:type="dxa"/>
          </w:tcPr>
          <w:p w14:paraId="1D272366" w14:textId="2EFAE1DD" w:rsidR="00A41745" w:rsidRPr="00A41745" w:rsidRDefault="00A41745" w:rsidP="00A41745">
            <w:pPr>
              <w:pStyle w:val="TableText"/>
              <w:jc w:val="right"/>
            </w:pPr>
            <w:r>
              <w:rPr>
                <w:w w:val="115"/>
              </w:rPr>
              <w:t>965</w:t>
            </w:r>
          </w:p>
        </w:tc>
        <w:tc>
          <w:tcPr>
            <w:tcW w:w="1492" w:type="dxa"/>
          </w:tcPr>
          <w:p w14:paraId="0185B063" w14:textId="69B7B040" w:rsidR="00A41745" w:rsidRDefault="00A41745" w:rsidP="00A41745">
            <w:pPr>
              <w:pStyle w:val="TableText"/>
              <w:jc w:val="right"/>
            </w:pPr>
            <w:r>
              <w:rPr>
                <w:w w:val="115"/>
              </w:rPr>
              <w:t>965</w:t>
            </w:r>
          </w:p>
        </w:tc>
        <w:tc>
          <w:tcPr>
            <w:tcW w:w="1291" w:type="dxa"/>
          </w:tcPr>
          <w:p w14:paraId="00CC7F84" w14:textId="1F03C3E8" w:rsidR="00A41745" w:rsidRDefault="00A41745" w:rsidP="00A41745">
            <w:pPr>
              <w:pStyle w:val="TableText"/>
              <w:jc w:val="right"/>
            </w:pPr>
            <w:r>
              <w:rPr>
                <w:w w:val="165"/>
              </w:rPr>
              <w:t>-</w:t>
            </w:r>
          </w:p>
        </w:tc>
      </w:tr>
      <w:tr w:rsidR="00A41745" w14:paraId="184C3B8E" w14:textId="77777777" w:rsidTr="00BC0250">
        <w:trPr>
          <w:trHeight w:val="340"/>
        </w:trPr>
        <w:tc>
          <w:tcPr>
            <w:tcW w:w="4269" w:type="dxa"/>
          </w:tcPr>
          <w:p w14:paraId="71841F7D" w14:textId="13AF49E3" w:rsidR="00A41745" w:rsidRPr="00A41745" w:rsidRDefault="00A41745" w:rsidP="00A41745">
            <w:pPr>
              <w:pStyle w:val="TableText"/>
              <w:rPr>
                <w:b/>
              </w:rPr>
            </w:pPr>
            <w:r>
              <w:rPr>
                <w:b/>
                <w:w w:val="105"/>
              </w:rPr>
              <w:t>Owner</w:t>
            </w:r>
            <w:r>
              <w:rPr>
                <w:b/>
                <w:spacing w:val="40"/>
                <w:w w:val="105"/>
              </w:rPr>
              <w:t xml:space="preserve"> </w:t>
            </w:r>
            <w:r>
              <w:rPr>
                <w:b/>
                <w:w w:val="105"/>
              </w:rPr>
              <w:t>transactions</w:t>
            </w:r>
          </w:p>
        </w:tc>
        <w:tc>
          <w:tcPr>
            <w:tcW w:w="1536" w:type="dxa"/>
          </w:tcPr>
          <w:p w14:paraId="74B8FA90" w14:textId="05728A1F" w:rsidR="00A41745" w:rsidRDefault="00A41745" w:rsidP="00A41745">
            <w:pPr>
              <w:pStyle w:val="TableText"/>
              <w:jc w:val="right"/>
              <w:rPr>
                <w:w w:val="115"/>
              </w:rPr>
            </w:pPr>
          </w:p>
        </w:tc>
        <w:tc>
          <w:tcPr>
            <w:tcW w:w="1492" w:type="dxa"/>
          </w:tcPr>
          <w:p w14:paraId="777165C3" w14:textId="56F05ED9" w:rsidR="00A41745" w:rsidRDefault="00A41745" w:rsidP="00A41745">
            <w:pPr>
              <w:pStyle w:val="TableText"/>
              <w:jc w:val="center"/>
              <w:rPr>
                <w:w w:val="115"/>
              </w:rPr>
            </w:pPr>
          </w:p>
        </w:tc>
        <w:tc>
          <w:tcPr>
            <w:tcW w:w="1291" w:type="dxa"/>
          </w:tcPr>
          <w:p w14:paraId="5459E8FE" w14:textId="77777777" w:rsidR="00A41745" w:rsidRDefault="00A41745" w:rsidP="00A41745">
            <w:pPr>
              <w:pStyle w:val="TableText"/>
              <w:jc w:val="right"/>
              <w:rPr>
                <w:w w:val="165"/>
              </w:rPr>
            </w:pPr>
          </w:p>
        </w:tc>
      </w:tr>
      <w:tr w:rsidR="00A41745" w14:paraId="39A04EAC" w14:textId="77777777" w:rsidTr="00BC0250">
        <w:trPr>
          <w:trHeight w:val="340"/>
        </w:trPr>
        <w:tc>
          <w:tcPr>
            <w:tcW w:w="4269" w:type="dxa"/>
          </w:tcPr>
          <w:p w14:paraId="4E841D09" w14:textId="5AFA15F1" w:rsidR="00A41745" w:rsidRDefault="00A41745" w:rsidP="00A41745">
            <w:pPr>
              <w:pStyle w:val="TableText"/>
            </w:pPr>
            <w:r>
              <w:rPr>
                <w:w w:val="105"/>
              </w:rPr>
              <w:t>Return</w:t>
            </w:r>
            <w:r>
              <w:rPr>
                <w:spacing w:val="-8"/>
                <w:w w:val="105"/>
              </w:rPr>
              <w:t xml:space="preserve"> </w:t>
            </w:r>
            <w:r>
              <w:rPr>
                <w:w w:val="105"/>
              </w:rPr>
              <w:t>of</w:t>
            </w:r>
            <w:r>
              <w:rPr>
                <w:spacing w:val="-8"/>
                <w:w w:val="105"/>
              </w:rPr>
              <w:t xml:space="preserve"> </w:t>
            </w:r>
            <w:r>
              <w:rPr>
                <w:w w:val="105"/>
              </w:rPr>
              <w:t>operating</w:t>
            </w:r>
            <w:r>
              <w:rPr>
                <w:spacing w:val="-8"/>
                <w:w w:val="105"/>
              </w:rPr>
              <w:t xml:space="preserve"> </w:t>
            </w:r>
            <w:r>
              <w:rPr>
                <w:w w:val="105"/>
              </w:rPr>
              <w:t>surplus</w:t>
            </w:r>
            <w:r>
              <w:rPr>
                <w:spacing w:val="-7"/>
                <w:w w:val="105"/>
              </w:rPr>
              <w:t xml:space="preserve"> </w:t>
            </w:r>
            <w:r>
              <w:rPr>
                <w:w w:val="105"/>
              </w:rPr>
              <w:t>to</w:t>
            </w:r>
            <w:r>
              <w:rPr>
                <w:spacing w:val="-8"/>
                <w:w w:val="105"/>
              </w:rPr>
              <w:t xml:space="preserve"> </w:t>
            </w:r>
            <w:r>
              <w:rPr>
                <w:w w:val="105"/>
              </w:rPr>
              <w:t>the</w:t>
            </w:r>
            <w:r>
              <w:rPr>
                <w:spacing w:val="-8"/>
                <w:w w:val="105"/>
              </w:rPr>
              <w:t xml:space="preserve"> </w:t>
            </w:r>
            <w:r>
              <w:rPr>
                <w:w w:val="105"/>
              </w:rPr>
              <w:t>Crown</w:t>
            </w:r>
          </w:p>
        </w:tc>
        <w:tc>
          <w:tcPr>
            <w:tcW w:w="1536" w:type="dxa"/>
          </w:tcPr>
          <w:p w14:paraId="3D5ACA58" w14:textId="16298BAD" w:rsidR="00A41745" w:rsidRDefault="00A41745" w:rsidP="00A41745">
            <w:pPr>
              <w:pStyle w:val="TableText"/>
              <w:jc w:val="right"/>
              <w:rPr>
                <w:w w:val="115"/>
              </w:rPr>
            </w:pPr>
            <w:r>
              <w:rPr>
                <w:w w:val="110"/>
              </w:rPr>
              <w:t>(34,264)</w:t>
            </w:r>
          </w:p>
        </w:tc>
        <w:tc>
          <w:tcPr>
            <w:tcW w:w="1492" w:type="dxa"/>
          </w:tcPr>
          <w:p w14:paraId="5F117745" w14:textId="5E739887" w:rsidR="00A41745" w:rsidRDefault="00A41745" w:rsidP="00A41745">
            <w:pPr>
              <w:pStyle w:val="TableText"/>
              <w:jc w:val="right"/>
              <w:rPr>
                <w:w w:val="115"/>
              </w:rPr>
            </w:pPr>
            <w:r>
              <w:rPr>
                <w:w w:val="110"/>
              </w:rPr>
              <w:t>(34,264)</w:t>
            </w:r>
          </w:p>
        </w:tc>
        <w:tc>
          <w:tcPr>
            <w:tcW w:w="1291" w:type="dxa"/>
          </w:tcPr>
          <w:p w14:paraId="3C198216" w14:textId="26BDA5FA" w:rsidR="00A41745" w:rsidRPr="00A41745" w:rsidRDefault="00A41745" w:rsidP="00A41745">
            <w:pPr>
              <w:pStyle w:val="TableText"/>
              <w:jc w:val="right"/>
            </w:pPr>
            <w:r>
              <w:rPr>
                <w:w w:val="165"/>
              </w:rPr>
              <w:t>-</w:t>
            </w:r>
          </w:p>
        </w:tc>
      </w:tr>
      <w:tr w:rsidR="00A41745" w14:paraId="12D2190C" w14:textId="77777777" w:rsidTr="00BC0250">
        <w:trPr>
          <w:trHeight w:val="346"/>
        </w:trPr>
        <w:tc>
          <w:tcPr>
            <w:tcW w:w="4269" w:type="dxa"/>
          </w:tcPr>
          <w:p w14:paraId="12A6EC1E" w14:textId="77777777" w:rsidR="00A41745" w:rsidRDefault="00A41745" w:rsidP="00A41745">
            <w:pPr>
              <w:pStyle w:val="TableText"/>
            </w:pPr>
            <w:r>
              <w:rPr>
                <w:w w:val="105"/>
              </w:rPr>
              <w:t>Capital</w:t>
            </w:r>
            <w:r>
              <w:rPr>
                <w:spacing w:val="-4"/>
                <w:w w:val="105"/>
              </w:rPr>
              <w:t xml:space="preserve"> </w:t>
            </w:r>
            <w:r>
              <w:rPr>
                <w:w w:val="105"/>
              </w:rPr>
              <w:t>contribution</w:t>
            </w:r>
            <w:r>
              <w:rPr>
                <w:spacing w:val="-4"/>
                <w:w w:val="105"/>
              </w:rPr>
              <w:t xml:space="preserve"> </w:t>
            </w:r>
            <w:r>
              <w:rPr>
                <w:w w:val="105"/>
              </w:rPr>
              <w:t>-</w:t>
            </w:r>
            <w:r>
              <w:rPr>
                <w:spacing w:val="-4"/>
                <w:w w:val="105"/>
              </w:rPr>
              <w:t xml:space="preserve"> </w:t>
            </w:r>
            <w:r>
              <w:rPr>
                <w:w w:val="105"/>
              </w:rPr>
              <w:t>cash</w:t>
            </w:r>
          </w:p>
        </w:tc>
        <w:tc>
          <w:tcPr>
            <w:tcW w:w="1536" w:type="dxa"/>
          </w:tcPr>
          <w:p w14:paraId="28BCF651" w14:textId="77777777" w:rsidR="00A41745" w:rsidRDefault="00A41745" w:rsidP="00A41745">
            <w:pPr>
              <w:pStyle w:val="TableText"/>
              <w:jc w:val="right"/>
            </w:pPr>
            <w:r>
              <w:t>12,509</w:t>
            </w:r>
          </w:p>
        </w:tc>
        <w:tc>
          <w:tcPr>
            <w:tcW w:w="1492" w:type="dxa"/>
          </w:tcPr>
          <w:p w14:paraId="74425CD6" w14:textId="77777777" w:rsidR="00A41745" w:rsidRDefault="00A41745" w:rsidP="00A41745">
            <w:pPr>
              <w:pStyle w:val="TableText"/>
              <w:jc w:val="right"/>
            </w:pPr>
            <w:r>
              <w:t>12,509</w:t>
            </w:r>
          </w:p>
        </w:tc>
        <w:tc>
          <w:tcPr>
            <w:tcW w:w="1291" w:type="dxa"/>
          </w:tcPr>
          <w:p w14:paraId="30F06EA9" w14:textId="77777777" w:rsidR="00A41745" w:rsidRDefault="00A41745" w:rsidP="00A41745">
            <w:pPr>
              <w:pStyle w:val="TableText"/>
              <w:jc w:val="right"/>
            </w:pPr>
            <w:r>
              <w:rPr>
                <w:w w:val="165"/>
              </w:rPr>
              <w:t>-</w:t>
            </w:r>
          </w:p>
        </w:tc>
      </w:tr>
      <w:tr w:rsidR="00A41745" w14:paraId="543B1859" w14:textId="77777777" w:rsidTr="00BC0250">
        <w:trPr>
          <w:trHeight w:val="291"/>
        </w:trPr>
        <w:tc>
          <w:tcPr>
            <w:tcW w:w="4269" w:type="dxa"/>
            <w:tcBorders>
              <w:bottom w:val="single" w:sz="4" w:space="0" w:color="A6A6A6" w:themeColor="background1" w:themeShade="A6"/>
            </w:tcBorders>
          </w:tcPr>
          <w:p w14:paraId="2117980F" w14:textId="77777777" w:rsidR="00A41745" w:rsidRDefault="00A41745" w:rsidP="00A41745">
            <w:pPr>
              <w:pStyle w:val="TableText"/>
              <w:rPr>
                <w:b/>
              </w:rPr>
            </w:pPr>
            <w:r>
              <w:rPr>
                <w:b/>
                <w:w w:val="105"/>
              </w:rPr>
              <w:t>Balance</w:t>
            </w:r>
            <w:r>
              <w:rPr>
                <w:b/>
                <w:spacing w:val="-4"/>
                <w:w w:val="105"/>
              </w:rPr>
              <w:t xml:space="preserve"> </w:t>
            </w:r>
            <w:r>
              <w:rPr>
                <w:b/>
                <w:w w:val="105"/>
              </w:rPr>
              <w:t>as</w:t>
            </w:r>
            <w:r>
              <w:rPr>
                <w:b/>
                <w:spacing w:val="-4"/>
                <w:w w:val="105"/>
              </w:rPr>
              <w:t xml:space="preserve"> </w:t>
            </w:r>
            <w:r>
              <w:rPr>
                <w:b/>
                <w:w w:val="105"/>
              </w:rPr>
              <w:t>at</w:t>
            </w:r>
            <w:r>
              <w:rPr>
                <w:b/>
                <w:spacing w:val="-4"/>
                <w:w w:val="105"/>
              </w:rPr>
              <w:t xml:space="preserve"> </w:t>
            </w:r>
            <w:r>
              <w:rPr>
                <w:b/>
                <w:w w:val="105"/>
              </w:rPr>
              <w:t>30</w:t>
            </w:r>
            <w:r>
              <w:rPr>
                <w:b/>
                <w:spacing w:val="-4"/>
                <w:w w:val="105"/>
              </w:rPr>
              <w:t xml:space="preserve"> </w:t>
            </w:r>
            <w:r>
              <w:rPr>
                <w:b/>
                <w:w w:val="105"/>
              </w:rPr>
              <w:t>June</w:t>
            </w:r>
          </w:p>
        </w:tc>
        <w:tc>
          <w:tcPr>
            <w:tcW w:w="1536" w:type="dxa"/>
            <w:tcBorders>
              <w:bottom w:val="single" w:sz="4" w:space="0" w:color="A6A6A6" w:themeColor="background1" w:themeShade="A6"/>
            </w:tcBorders>
          </w:tcPr>
          <w:p w14:paraId="213141DB" w14:textId="77777777" w:rsidR="00A41745" w:rsidRDefault="00A41745" w:rsidP="00A41745">
            <w:pPr>
              <w:pStyle w:val="TableText"/>
              <w:jc w:val="right"/>
              <w:rPr>
                <w:b/>
              </w:rPr>
            </w:pPr>
            <w:r>
              <w:rPr>
                <w:b/>
              </w:rPr>
              <w:t>25,891</w:t>
            </w:r>
          </w:p>
        </w:tc>
        <w:tc>
          <w:tcPr>
            <w:tcW w:w="1492" w:type="dxa"/>
            <w:tcBorders>
              <w:bottom w:val="single" w:sz="4" w:space="0" w:color="A6A6A6" w:themeColor="background1" w:themeShade="A6"/>
            </w:tcBorders>
          </w:tcPr>
          <w:p w14:paraId="79B83031" w14:textId="77777777" w:rsidR="00A41745" w:rsidRDefault="00A41745" w:rsidP="00A41745">
            <w:pPr>
              <w:pStyle w:val="TableText"/>
              <w:jc w:val="right"/>
              <w:rPr>
                <w:b/>
              </w:rPr>
            </w:pPr>
            <w:r>
              <w:rPr>
                <w:b/>
                <w:w w:val="110"/>
              </w:rPr>
              <w:t>53,683</w:t>
            </w:r>
          </w:p>
        </w:tc>
        <w:tc>
          <w:tcPr>
            <w:tcW w:w="1291" w:type="dxa"/>
            <w:tcBorders>
              <w:bottom w:val="single" w:sz="4" w:space="0" w:color="A6A6A6" w:themeColor="background1" w:themeShade="A6"/>
            </w:tcBorders>
          </w:tcPr>
          <w:p w14:paraId="2A1DCC80" w14:textId="77777777" w:rsidR="00A41745" w:rsidRDefault="00A41745" w:rsidP="00A41745">
            <w:pPr>
              <w:pStyle w:val="TableText"/>
              <w:jc w:val="right"/>
              <w:rPr>
                <w:b/>
              </w:rPr>
            </w:pPr>
            <w:r>
              <w:rPr>
                <w:b/>
                <w:w w:val="105"/>
              </w:rPr>
              <w:t>(27,792)</w:t>
            </w:r>
          </w:p>
        </w:tc>
      </w:tr>
      <w:tr w:rsidR="00A41745" w14:paraId="05FF21AE" w14:textId="77777777" w:rsidTr="00BC0250">
        <w:trPr>
          <w:trHeight w:val="606"/>
        </w:trPr>
        <w:tc>
          <w:tcPr>
            <w:tcW w:w="8588" w:type="dxa"/>
            <w:gridSpan w:val="4"/>
            <w:tcBorders>
              <w:top w:val="single" w:sz="4" w:space="0" w:color="A6A6A6" w:themeColor="background1" w:themeShade="A6"/>
            </w:tcBorders>
          </w:tcPr>
          <w:p w14:paraId="7A2203F7" w14:textId="77777777" w:rsidR="00A41745" w:rsidRDefault="00A41745" w:rsidP="00BC0250">
            <w:pPr>
              <w:pStyle w:val="Heading4"/>
            </w:pPr>
            <w:r>
              <w:rPr>
                <w:w w:val="105"/>
              </w:rPr>
              <w:t>Statement</w:t>
            </w:r>
            <w:r>
              <w:rPr>
                <w:spacing w:val="-19"/>
                <w:w w:val="105"/>
              </w:rPr>
              <w:t xml:space="preserve"> </w:t>
            </w:r>
            <w:r>
              <w:rPr>
                <w:w w:val="105"/>
              </w:rPr>
              <w:t>of</w:t>
            </w:r>
            <w:r>
              <w:rPr>
                <w:spacing w:val="-18"/>
                <w:w w:val="105"/>
              </w:rPr>
              <w:t xml:space="preserve"> </w:t>
            </w:r>
            <w:r>
              <w:rPr>
                <w:w w:val="105"/>
              </w:rPr>
              <w:t>cash</w:t>
            </w:r>
            <w:r>
              <w:rPr>
                <w:spacing w:val="-18"/>
                <w:w w:val="105"/>
              </w:rPr>
              <w:t xml:space="preserve"> </w:t>
            </w:r>
            <w:r>
              <w:rPr>
                <w:w w:val="105"/>
              </w:rPr>
              <w:t>flows</w:t>
            </w:r>
            <w:r>
              <w:rPr>
                <w:spacing w:val="-18"/>
                <w:w w:val="105"/>
              </w:rPr>
              <w:t xml:space="preserve"> </w:t>
            </w:r>
            <w:r>
              <w:rPr>
                <w:w w:val="105"/>
              </w:rPr>
              <w:t>for</w:t>
            </w:r>
            <w:r>
              <w:rPr>
                <w:spacing w:val="-19"/>
                <w:w w:val="105"/>
              </w:rPr>
              <w:t xml:space="preserve"> </w:t>
            </w:r>
            <w:r>
              <w:rPr>
                <w:w w:val="105"/>
              </w:rPr>
              <w:t>the</w:t>
            </w:r>
            <w:r>
              <w:rPr>
                <w:spacing w:val="-18"/>
                <w:w w:val="105"/>
              </w:rPr>
              <w:t xml:space="preserve"> </w:t>
            </w:r>
            <w:r>
              <w:rPr>
                <w:w w:val="105"/>
              </w:rPr>
              <w:t>year</w:t>
            </w:r>
            <w:r>
              <w:rPr>
                <w:spacing w:val="-18"/>
                <w:w w:val="105"/>
              </w:rPr>
              <w:t xml:space="preserve"> </w:t>
            </w:r>
            <w:r>
              <w:rPr>
                <w:w w:val="105"/>
              </w:rPr>
              <w:t>ended</w:t>
            </w:r>
            <w:r>
              <w:rPr>
                <w:spacing w:val="-18"/>
                <w:w w:val="105"/>
              </w:rPr>
              <w:t xml:space="preserve"> </w:t>
            </w:r>
            <w:r>
              <w:rPr>
                <w:w w:val="105"/>
              </w:rPr>
              <w:t>30</w:t>
            </w:r>
            <w:r>
              <w:rPr>
                <w:spacing w:val="-18"/>
                <w:w w:val="105"/>
              </w:rPr>
              <w:t xml:space="preserve"> </w:t>
            </w:r>
            <w:r>
              <w:rPr>
                <w:w w:val="105"/>
              </w:rPr>
              <w:t>June</w:t>
            </w:r>
            <w:r>
              <w:rPr>
                <w:spacing w:val="-19"/>
                <w:w w:val="105"/>
              </w:rPr>
              <w:t xml:space="preserve"> </w:t>
            </w:r>
            <w:r>
              <w:rPr>
                <w:w w:val="105"/>
              </w:rPr>
              <w:t>2021</w:t>
            </w:r>
          </w:p>
        </w:tc>
      </w:tr>
      <w:tr w:rsidR="00A41745" w:rsidRPr="00A41745" w14:paraId="1C03D377" w14:textId="77777777" w:rsidTr="00BC0250">
        <w:trPr>
          <w:trHeight w:val="826"/>
        </w:trPr>
        <w:tc>
          <w:tcPr>
            <w:tcW w:w="4269" w:type="dxa"/>
            <w:shd w:val="clear" w:color="auto" w:fill="D9D9D9" w:themeFill="background1" w:themeFillShade="D9"/>
          </w:tcPr>
          <w:p w14:paraId="27BBC8EF" w14:textId="77777777" w:rsidR="00A41745" w:rsidRPr="00A41745" w:rsidRDefault="00A41745" w:rsidP="00A41745">
            <w:pPr>
              <w:pStyle w:val="TableText"/>
              <w:jc w:val="right"/>
              <w:rPr>
                <w:b/>
                <w:bCs/>
              </w:rPr>
            </w:pPr>
          </w:p>
        </w:tc>
        <w:tc>
          <w:tcPr>
            <w:tcW w:w="1536" w:type="dxa"/>
            <w:shd w:val="clear" w:color="auto" w:fill="D9D9D9" w:themeFill="background1" w:themeFillShade="D9"/>
          </w:tcPr>
          <w:p w14:paraId="6A183F8E" w14:textId="0554C1C8" w:rsidR="00A41745" w:rsidRPr="00A41745" w:rsidRDefault="00A41745" w:rsidP="00A41745">
            <w:pPr>
              <w:pStyle w:val="TableText"/>
              <w:jc w:val="right"/>
              <w:rPr>
                <w:b/>
                <w:bCs/>
              </w:rPr>
            </w:pPr>
            <w:r w:rsidRPr="00A41745">
              <w:rPr>
                <w:b/>
                <w:bCs/>
              </w:rPr>
              <w:t xml:space="preserve">After </w:t>
            </w:r>
            <w:r w:rsidRPr="00A41745">
              <w:rPr>
                <w:b/>
                <w:bCs/>
              </w:rPr>
              <w:br/>
              <w:t>restatement</w:t>
            </w:r>
          </w:p>
          <w:p w14:paraId="3F4B1668" w14:textId="77777777" w:rsidR="00A41745" w:rsidRPr="00A41745" w:rsidRDefault="00A41745" w:rsidP="00A41745">
            <w:pPr>
              <w:pStyle w:val="TableText"/>
              <w:jc w:val="right"/>
              <w:rPr>
                <w:b/>
                <w:bCs/>
              </w:rPr>
            </w:pPr>
            <w:r w:rsidRPr="00A41745">
              <w:rPr>
                <w:b/>
                <w:bCs/>
              </w:rPr>
              <w:t>$000</w:t>
            </w:r>
          </w:p>
        </w:tc>
        <w:tc>
          <w:tcPr>
            <w:tcW w:w="1492" w:type="dxa"/>
            <w:shd w:val="clear" w:color="auto" w:fill="D9D9D9" w:themeFill="background1" w:themeFillShade="D9"/>
          </w:tcPr>
          <w:p w14:paraId="3EA77C3B" w14:textId="77777777" w:rsidR="00A41745" w:rsidRPr="00A41745" w:rsidRDefault="00A41745" w:rsidP="00A41745">
            <w:pPr>
              <w:pStyle w:val="TableText"/>
              <w:jc w:val="right"/>
              <w:rPr>
                <w:b/>
                <w:bCs/>
              </w:rPr>
            </w:pPr>
            <w:r w:rsidRPr="00A41745">
              <w:rPr>
                <w:b/>
                <w:bCs/>
              </w:rPr>
              <w:t>Before restatement</w:t>
            </w:r>
          </w:p>
          <w:p w14:paraId="3A55C537" w14:textId="77777777" w:rsidR="00A41745" w:rsidRPr="00A41745" w:rsidRDefault="00A41745" w:rsidP="00A41745">
            <w:pPr>
              <w:pStyle w:val="TableText"/>
              <w:jc w:val="right"/>
              <w:rPr>
                <w:b/>
                <w:bCs/>
              </w:rPr>
            </w:pPr>
            <w:r w:rsidRPr="00A41745">
              <w:rPr>
                <w:b/>
                <w:bCs/>
              </w:rPr>
              <w:t>$000</w:t>
            </w:r>
          </w:p>
        </w:tc>
        <w:tc>
          <w:tcPr>
            <w:tcW w:w="1291" w:type="dxa"/>
            <w:shd w:val="clear" w:color="auto" w:fill="D9D9D9" w:themeFill="background1" w:themeFillShade="D9"/>
          </w:tcPr>
          <w:p w14:paraId="077BAA66" w14:textId="77777777" w:rsidR="00A41745" w:rsidRPr="00A41745" w:rsidRDefault="00A41745" w:rsidP="00A41745">
            <w:pPr>
              <w:pStyle w:val="TableText"/>
              <w:jc w:val="right"/>
              <w:rPr>
                <w:b/>
                <w:bCs/>
              </w:rPr>
            </w:pPr>
            <w:r w:rsidRPr="00A41745">
              <w:rPr>
                <w:b/>
                <w:bCs/>
              </w:rPr>
              <w:t>Increase / (decrease)</w:t>
            </w:r>
          </w:p>
          <w:p w14:paraId="2E44AF3F" w14:textId="77777777" w:rsidR="00A41745" w:rsidRPr="00A41745" w:rsidRDefault="00A41745" w:rsidP="00A41745">
            <w:pPr>
              <w:pStyle w:val="TableText"/>
              <w:jc w:val="right"/>
              <w:rPr>
                <w:b/>
                <w:bCs/>
              </w:rPr>
            </w:pPr>
            <w:r w:rsidRPr="00A41745">
              <w:rPr>
                <w:b/>
                <w:bCs/>
              </w:rPr>
              <w:t>$000</w:t>
            </w:r>
          </w:p>
        </w:tc>
      </w:tr>
      <w:tr w:rsidR="00A41745" w14:paraId="53770404" w14:textId="77777777" w:rsidTr="00BC0250">
        <w:trPr>
          <w:trHeight w:val="340"/>
        </w:trPr>
        <w:tc>
          <w:tcPr>
            <w:tcW w:w="4269" w:type="dxa"/>
          </w:tcPr>
          <w:p w14:paraId="59D42BF5" w14:textId="77777777" w:rsidR="00A41745" w:rsidRDefault="00A41745" w:rsidP="00A41745">
            <w:pPr>
              <w:pStyle w:val="TableText"/>
            </w:pPr>
            <w:r>
              <w:rPr>
                <w:w w:val="105"/>
              </w:rPr>
              <w:t>Payments</w:t>
            </w:r>
            <w:r>
              <w:rPr>
                <w:spacing w:val="6"/>
                <w:w w:val="105"/>
              </w:rPr>
              <w:t xml:space="preserve"> </w:t>
            </w:r>
            <w:r>
              <w:rPr>
                <w:w w:val="105"/>
              </w:rPr>
              <w:t>to</w:t>
            </w:r>
            <w:r>
              <w:rPr>
                <w:spacing w:val="6"/>
                <w:w w:val="105"/>
              </w:rPr>
              <w:t xml:space="preserve"> </w:t>
            </w:r>
            <w:r>
              <w:rPr>
                <w:w w:val="105"/>
              </w:rPr>
              <w:t>suppliers</w:t>
            </w:r>
          </w:p>
        </w:tc>
        <w:tc>
          <w:tcPr>
            <w:tcW w:w="1536" w:type="dxa"/>
          </w:tcPr>
          <w:p w14:paraId="3BA74AE5" w14:textId="77777777" w:rsidR="00A41745" w:rsidRDefault="00A41745" w:rsidP="00A41745">
            <w:pPr>
              <w:pStyle w:val="TableText"/>
              <w:jc w:val="right"/>
            </w:pPr>
            <w:r>
              <w:t>(167,209)</w:t>
            </w:r>
          </w:p>
        </w:tc>
        <w:tc>
          <w:tcPr>
            <w:tcW w:w="1492" w:type="dxa"/>
          </w:tcPr>
          <w:p w14:paraId="1BF0F475" w14:textId="77777777" w:rsidR="00A41745" w:rsidRDefault="00A41745" w:rsidP="00A41745">
            <w:pPr>
              <w:pStyle w:val="TableText"/>
              <w:jc w:val="right"/>
            </w:pPr>
            <w:r>
              <w:t>(160,614)</w:t>
            </w:r>
          </w:p>
        </w:tc>
        <w:tc>
          <w:tcPr>
            <w:tcW w:w="1291" w:type="dxa"/>
          </w:tcPr>
          <w:p w14:paraId="05DEE800" w14:textId="77777777" w:rsidR="00A41745" w:rsidRDefault="00A41745" w:rsidP="00A41745">
            <w:pPr>
              <w:pStyle w:val="TableText"/>
              <w:jc w:val="right"/>
            </w:pPr>
            <w:r>
              <w:rPr>
                <w:w w:val="110"/>
              </w:rPr>
              <w:t>(6,595)</w:t>
            </w:r>
          </w:p>
        </w:tc>
      </w:tr>
      <w:tr w:rsidR="00A41745" w14:paraId="27A62849" w14:textId="77777777" w:rsidTr="00BC0250">
        <w:trPr>
          <w:trHeight w:val="340"/>
        </w:trPr>
        <w:tc>
          <w:tcPr>
            <w:tcW w:w="4269" w:type="dxa"/>
          </w:tcPr>
          <w:p w14:paraId="17E1FA40" w14:textId="01798BE7" w:rsidR="00A41745" w:rsidRDefault="00A41745" w:rsidP="00A41745">
            <w:pPr>
              <w:pStyle w:val="TableText"/>
              <w:rPr>
                <w:b/>
              </w:rPr>
            </w:pPr>
            <w:r>
              <w:rPr>
                <w:b/>
                <w:w w:val="105"/>
              </w:rPr>
              <w:t>Changes</w:t>
            </w:r>
            <w:r>
              <w:rPr>
                <w:b/>
                <w:spacing w:val="-1"/>
                <w:w w:val="105"/>
              </w:rPr>
              <w:t xml:space="preserve"> </w:t>
            </w:r>
            <w:r>
              <w:rPr>
                <w:b/>
                <w:w w:val="105"/>
              </w:rPr>
              <w:t>in</w:t>
            </w:r>
            <w:r>
              <w:rPr>
                <w:b/>
                <w:spacing w:val="-1"/>
                <w:w w:val="105"/>
              </w:rPr>
              <w:t xml:space="preserve"> </w:t>
            </w:r>
            <w:r>
              <w:rPr>
                <w:b/>
                <w:w w:val="105"/>
              </w:rPr>
              <w:t>cash flow</w:t>
            </w:r>
            <w:r>
              <w:rPr>
                <w:b/>
                <w:spacing w:val="-1"/>
                <w:w w:val="105"/>
              </w:rPr>
              <w:t xml:space="preserve"> </w:t>
            </w:r>
            <w:r>
              <w:rPr>
                <w:b/>
                <w:w w:val="105"/>
              </w:rPr>
              <w:t>from</w:t>
            </w:r>
            <w:r>
              <w:rPr>
                <w:b/>
                <w:spacing w:val="-1"/>
                <w:w w:val="105"/>
              </w:rPr>
              <w:t xml:space="preserve"> </w:t>
            </w:r>
            <w:r>
              <w:rPr>
                <w:b/>
                <w:w w:val="105"/>
              </w:rPr>
              <w:t>operating activities</w:t>
            </w:r>
          </w:p>
        </w:tc>
        <w:tc>
          <w:tcPr>
            <w:tcW w:w="1536" w:type="dxa"/>
          </w:tcPr>
          <w:p w14:paraId="534A3933" w14:textId="77777777" w:rsidR="00A41745" w:rsidRDefault="00A41745" w:rsidP="00A41745">
            <w:pPr>
              <w:pStyle w:val="TableText"/>
              <w:jc w:val="right"/>
              <w:rPr>
                <w:b/>
              </w:rPr>
            </w:pPr>
            <w:r>
              <w:rPr>
                <w:b/>
                <w:w w:val="105"/>
              </w:rPr>
              <w:t>(167,209)</w:t>
            </w:r>
          </w:p>
        </w:tc>
        <w:tc>
          <w:tcPr>
            <w:tcW w:w="1492" w:type="dxa"/>
          </w:tcPr>
          <w:p w14:paraId="61812C19" w14:textId="77777777" w:rsidR="00A41745" w:rsidRDefault="00A41745" w:rsidP="00A41745">
            <w:pPr>
              <w:pStyle w:val="TableText"/>
              <w:jc w:val="right"/>
              <w:rPr>
                <w:b/>
              </w:rPr>
            </w:pPr>
            <w:r>
              <w:rPr>
                <w:b/>
                <w:w w:val="105"/>
              </w:rPr>
              <w:t>(160,614)</w:t>
            </w:r>
          </w:p>
        </w:tc>
        <w:tc>
          <w:tcPr>
            <w:tcW w:w="1291" w:type="dxa"/>
          </w:tcPr>
          <w:p w14:paraId="33859B5E" w14:textId="77777777" w:rsidR="00A41745" w:rsidRDefault="00A41745" w:rsidP="00A41745">
            <w:pPr>
              <w:pStyle w:val="TableText"/>
              <w:jc w:val="right"/>
              <w:rPr>
                <w:b/>
              </w:rPr>
            </w:pPr>
            <w:r>
              <w:rPr>
                <w:b/>
                <w:w w:val="115"/>
              </w:rPr>
              <w:t>(6,595)</w:t>
            </w:r>
          </w:p>
        </w:tc>
      </w:tr>
      <w:tr w:rsidR="00A41745" w14:paraId="0472E094" w14:textId="77777777" w:rsidTr="00BC0250">
        <w:trPr>
          <w:trHeight w:val="340"/>
        </w:trPr>
        <w:tc>
          <w:tcPr>
            <w:tcW w:w="4269" w:type="dxa"/>
          </w:tcPr>
          <w:p w14:paraId="2C6448C5" w14:textId="77777777" w:rsidR="00A41745" w:rsidRDefault="00A41745" w:rsidP="00A41745">
            <w:pPr>
              <w:pStyle w:val="TableText"/>
            </w:pPr>
            <w:r>
              <w:rPr>
                <w:w w:val="105"/>
              </w:rPr>
              <w:t>Purchase</w:t>
            </w:r>
            <w:r>
              <w:rPr>
                <w:spacing w:val="-1"/>
                <w:w w:val="105"/>
              </w:rPr>
              <w:t xml:space="preserve"> </w:t>
            </w:r>
            <w:r>
              <w:rPr>
                <w:w w:val="105"/>
              </w:rPr>
              <w:t>of intangible</w:t>
            </w:r>
            <w:r>
              <w:rPr>
                <w:spacing w:val="-1"/>
                <w:w w:val="105"/>
              </w:rPr>
              <w:t xml:space="preserve"> </w:t>
            </w:r>
            <w:r>
              <w:rPr>
                <w:w w:val="105"/>
              </w:rPr>
              <w:t>assets</w:t>
            </w:r>
          </w:p>
        </w:tc>
        <w:tc>
          <w:tcPr>
            <w:tcW w:w="1536" w:type="dxa"/>
          </w:tcPr>
          <w:p w14:paraId="1E4875A6" w14:textId="77777777" w:rsidR="00A41745" w:rsidRDefault="00A41745" w:rsidP="00A41745">
            <w:pPr>
              <w:pStyle w:val="TableText"/>
              <w:jc w:val="right"/>
            </w:pPr>
            <w:r>
              <w:rPr>
                <w:w w:val="110"/>
              </w:rPr>
              <w:t>(3,344)</w:t>
            </w:r>
          </w:p>
        </w:tc>
        <w:tc>
          <w:tcPr>
            <w:tcW w:w="1492" w:type="dxa"/>
          </w:tcPr>
          <w:p w14:paraId="5CD6311A" w14:textId="77777777" w:rsidR="00A41745" w:rsidRDefault="00A41745" w:rsidP="00A41745">
            <w:pPr>
              <w:pStyle w:val="TableText"/>
              <w:jc w:val="right"/>
            </w:pPr>
            <w:r>
              <w:rPr>
                <w:w w:val="110"/>
              </w:rPr>
              <w:t>(9,939)</w:t>
            </w:r>
          </w:p>
        </w:tc>
        <w:tc>
          <w:tcPr>
            <w:tcW w:w="1291" w:type="dxa"/>
          </w:tcPr>
          <w:p w14:paraId="20269D72" w14:textId="77777777" w:rsidR="00A41745" w:rsidRDefault="00A41745" w:rsidP="00A41745">
            <w:pPr>
              <w:pStyle w:val="TableText"/>
              <w:jc w:val="right"/>
            </w:pPr>
            <w:r>
              <w:rPr>
                <w:w w:val="110"/>
              </w:rPr>
              <w:t>6,595</w:t>
            </w:r>
          </w:p>
        </w:tc>
      </w:tr>
      <w:tr w:rsidR="00A41745" w14:paraId="490EEEBF" w14:textId="77777777" w:rsidTr="00BC0250">
        <w:trPr>
          <w:trHeight w:val="340"/>
        </w:trPr>
        <w:tc>
          <w:tcPr>
            <w:tcW w:w="4269" w:type="dxa"/>
            <w:tcBorders>
              <w:bottom w:val="single" w:sz="4" w:space="0" w:color="A6A6A6" w:themeColor="background1" w:themeShade="A6"/>
            </w:tcBorders>
          </w:tcPr>
          <w:p w14:paraId="461E5027" w14:textId="44D10D32" w:rsidR="00A41745" w:rsidRDefault="00A41745" w:rsidP="00A41745">
            <w:pPr>
              <w:pStyle w:val="TableText"/>
              <w:rPr>
                <w:b/>
              </w:rPr>
            </w:pPr>
            <w:r>
              <w:rPr>
                <w:b/>
                <w:w w:val="105"/>
              </w:rPr>
              <w:t>Changes</w:t>
            </w:r>
            <w:r>
              <w:rPr>
                <w:b/>
                <w:spacing w:val="3"/>
                <w:w w:val="105"/>
              </w:rPr>
              <w:t xml:space="preserve"> </w:t>
            </w:r>
            <w:r>
              <w:rPr>
                <w:b/>
                <w:w w:val="105"/>
              </w:rPr>
              <w:t>in</w:t>
            </w:r>
            <w:r>
              <w:rPr>
                <w:b/>
                <w:spacing w:val="4"/>
                <w:w w:val="105"/>
              </w:rPr>
              <w:t xml:space="preserve"> </w:t>
            </w:r>
            <w:r>
              <w:rPr>
                <w:b/>
                <w:w w:val="105"/>
              </w:rPr>
              <w:t>cash</w:t>
            </w:r>
            <w:r>
              <w:rPr>
                <w:b/>
                <w:spacing w:val="3"/>
                <w:w w:val="105"/>
              </w:rPr>
              <w:t xml:space="preserve"> </w:t>
            </w:r>
            <w:r>
              <w:rPr>
                <w:b/>
                <w:w w:val="105"/>
              </w:rPr>
              <w:t>flow</w:t>
            </w:r>
            <w:r>
              <w:rPr>
                <w:b/>
                <w:spacing w:val="3"/>
                <w:w w:val="105"/>
              </w:rPr>
              <w:t xml:space="preserve"> </w:t>
            </w:r>
            <w:r>
              <w:rPr>
                <w:b/>
                <w:w w:val="105"/>
              </w:rPr>
              <w:t>from</w:t>
            </w:r>
            <w:r>
              <w:rPr>
                <w:b/>
                <w:spacing w:val="4"/>
                <w:w w:val="105"/>
              </w:rPr>
              <w:t xml:space="preserve"> </w:t>
            </w:r>
            <w:r>
              <w:rPr>
                <w:b/>
                <w:w w:val="105"/>
              </w:rPr>
              <w:t>investing activities</w:t>
            </w:r>
          </w:p>
        </w:tc>
        <w:tc>
          <w:tcPr>
            <w:tcW w:w="1536" w:type="dxa"/>
            <w:tcBorders>
              <w:bottom w:val="single" w:sz="4" w:space="0" w:color="A6A6A6" w:themeColor="background1" w:themeShade="A6"/>
            </w:tcBorders>
          </w:tcPr>
          <w:p w14:paraId="13F5BF76" w14:textId="77777777" w:rsidR="00A41745" w:rsidRDefault="00A41745" w:rsidP="00A41745">
            <w:pPr>
              <w:pStyle w:val="TableText"/>
              <w:jc w:val="right"/>
              <w:rPr>
                <w:b/>
              </w:rPr>
            </w:pPr>
            <w:r>
              <w:rPr>
                <w:b/>
                <w:w w:val="115"/>
              </w:rPr>
              <w:t>(3,344)</w:t>
            </w:r>
          </w:p>
        </w:tc>
        <w:tc>
          <w:tcPr>
            <w:tcW w:w="1492" w:type="dxa"/>
            <w:tcBorders>
              <w:bottom w:val="single" w:sz="4" w:space="0" w:color="A6A6A6" w:themeColor="background1" w:themeShade="A6"/>
            </w:tcBorders>
          </w:tcPr>
          <w:p w14:paraId="55BEDCCB" w14:textId="77777777" w:rsidR="00A41745" w:rsidRDefault="00A41745" w:rsidP="00A41745">
            <w:pPr>
              <w:pStyle w:val="TableText"/>
              <w:jc w:val="right"/>
              <w:rPr>
                <w:b/>
              </w:rPr>
            </w:pPr>
            <w:r>
              <w:rPr>
                <w:b/>
                <w:w w:val="115"/>
              </w:rPr>
              <w:t>(9,939)</w:t>
            </w:r>
          </w:p>
        </w:tc>
        <w:tc>
          <w:tcPr>
            <w:tcW w:w="1291" w:type="dxa"/>
            <w:tcBorders>
              <w:bottom w:val="single" w:sz="4" w:space="0" w:color="A6A6A6" w:themeColor="background1" w:themeShade="A6"/>
            </w:tcBorders>
          </w:tcPr>
          <w:p w14:paraId="16294A2A" w14:textId="77777777" w:rsidR="00A41745" w:rsidRDefault="00A41745" w:rsidP="00A41745">
            <w:pPr>
              <w:pStyle w:val="TableText"/>
              <w:jc w:val="right"/>
              <w:rPr>
                <w:b/>
              </w:rPr>
            </w:pPr>
            <w:r>
              <w:rPr>
                <w:b/>
                <w:w w:val="110"/>
              </w:rPr>
              <w:t>6,595</w:t>
            </w:r>
          </w:p>
        </w:tc>
      </w:tr>
    </w:tbl>
    <w:p w14:paraId="6E387939" w14:textId="77777777" w:rsidR="00BC0250" w:rsidRDefault="00BC0250" w:rsidP="00BC0250">
      <w:pPr>
        <w:ind w:firstLine="567"/>
        <w:rPr>
          <w:rFonts w:eastAsia="Arial Unicode MS"/>
        </w:rPr>
        <w:sectPr w:rsidR="00BC0250" w:rsidSect="00C26282">
          <w:pgSz w:w="11907" w:h="16840" w:code="9"/>
          <w:pgMar w:top="1418" w:right="1701" w:bottom="1134" w:left="1843" w:header="284" w:footer="425" w:gutter="284"/>
          <w:cols w:space="720"/>
        </w:sectPr>
      </w:pPr>
    </w:p>
    <w:p w14:paraId="74BCB527" w14:textId="77777777" w:rsidR="00BC0250" w:rsidRPr="00BC0250" w:rsidRDefault="00BC0250" w:rsidP="00BC0250">
      <w:pPr>
        <w:pStyle w:val="Heading4"/>
        <w:spacing w:before="0"/>
      </w:pPr>
      <w:r w:rsidRPr="00BC0250">
        <w:lastRenderedPageBreak/>
        <w:t>Statement of cash flows for the year ended 30 June 2021</w:t>
      </w:r>
    </w:p>
    <w:p w14:paraId="26B0D00D" w14:textId="5A86DC49" w:rsidR="00BC0250" w:rsidRPr="00BC0250" w:rsidRDefault="00BC0250" w:rsidP="00BC0250">
      <w:pPr>
        <w:pStyle w:val="Heading5"/>
        <w:rPr>
          <w:b/>
          <w:bCs/>
        </w:rPr>
      </w:pPr>
      <w:r w:rsidRPr="00BC0250">
        <w:t>Reconciliation of net surplus/(deficit) to net cash flow from operating activities</w:t>
      </w:r>
    </w:p>
    <w:tbl>
      <w:tblPr>
        <w:tblpPr w:leftFromText="180" w:rightFromText="180" w:vertAnchor="text" w:horzAnchor="margin" w:tblpY="-76"/>
        <w:tblW w:w="8060" w:type="dxa"/>
        <w:tblLayout w:type="fixed"/>
        <w:tblCellMar>
          <w:left w:w="0" w:type="dxa"/>
          <w:right w:w="0" w:type="dxa"/>
        </w:tblCellMar>
        <w:tblLook w:val="01E0" w:firstRow="1" w:lastRow="1" w:firstColumn="1" w:lastColumn="1" w:noHBand="0" w:noVBand="0"/>
      </w:tblPr>
      <w:tblGrid>
        <w:gridCol w:w="4280"/>
        <w:gridCol w:w="1107"/>
        <w:gridCol w:w="1423"/>
        <w:gridCol w:w="1250"/>
      </w:tblGrid>
      <w:tr w:rsidR="00BC0250" w:rsidRPr="00BC0250" w14:paraId="70A610A2" w14:textId="77777777" w:rsidTr="00BC0250">
        <w:trPr>
          <w:trHeight w:val="829"/>
        </w:trPr>
        <w:tc>
          <w:tcPr>
            <w:tcW w:w="5387" w:type="dxa"/>
            <w:gridSpan w:val="2"/>
            <w:shd w:val="clear" w:color="auto" w:fill="D9D9D9" w:themeFill="background1" w:themeFillShade="D9"/>
          </w:tcPr>
          <w:p w14:paraId="5DAAC71F" w14:textId="695A1682" w:rsidR="00BC0250" w:rsidRPr="00BC0250" w:rsidRDefault="00BC0250" w:rsidP="00BC0250">
            <w:pPr>
              <w:pStyle w:val="TableText"/>
              <w:jc w:val="right"/>
              <w:rPr>
                <w:b/>
                <w:bCs/>
              </w:rPr>
            </w:pPr>
            <w:r w:rsidRPr="00BC0250">
              <w:rPr>
                <w:b/>
                <w:bCs/>
              </w:rPr>
              <w:t xml:space="preserve">After </w:t>
            </w:r>
            <w:r w:rsidRPr="00BC0250">
              <w:rPr>
                <w:b/>
                <w:bCs/>
              </w:rPr>
              <w:br/>
              <w:t>restatement</w:t>
            </w:r>
          </w:p>
          <w:p w14:paraId="7BA5E380" w14:textId="77777777" w:rsidR="00BC0250" w:rsidRPr="00BC0250" w:rsidRDefault="00BC0250" w:rsidP="00BC0250">
            <w:pPr>
              <w:pStyle w:val="TableText"/>
              <w:jc w:val="right"/>
              <w:rPr>
                <w:b/>
                <w:bCs/>
              </w:rPr>
            </w:pPr>
            <w:r w:rsidRPr="00BC0250">
              <w:rPr>
                <w:b/>
                <w:bCs/>
              </w:rPr>
              <w:t>$000</w:t>
            </w:r>
          </w:p>
        </w:tc>
        <w:tc>
          <w:tcPr>
            <w:tcW w:w="1423" w:type="dxa"/>
            <w:shd w:val="clear" w:color="auto" w:fill="D9D9D9" w:themeFill="background1" w:themeFillShade="D9"/>
          </w:tcPr>
          <w:p w14:paraId="26158D47" w14:textId="77777777" w:rsidR="00BC0250" w:rsidRPr="00BC0250" w:rsidRDefault="00BC0250" w:rsidP="00BC0250">
            <w:pPr>
              <w:pStyle w:val="TableText"/>
              <w:jc w:val="right"/>
              <w:rPr>
                <w:b/>
                <w:bCs/>
              </w:rPr>
            </w:pPr>
            <w:r w:rsidRPr="00BC0250">
              <w:rPr>
                <w:b/>
                <w:bCs/>
              </w:rPr>
              <w:t>Before restatement</w:t>
            </w:r>
          </w:p>
          <w:p w14:paraId="23D9A64D" w14:textId="77777777" w:rsidR="00BC0250" w:rsidRPr="00BC0250" w:rsidRDefault="00BC0250" w:rsidP="00BC0250">
            <w:pPr>
              <w:pStyle w:val="TableText"/>
              <w:jc w:val="right"/>
              <w:rPr>
                <w:b/>
                <w:bCs/>
              </w:rPr>
            </w:pPr>
            <w:r w:rsidRPr="00BC0250">
              <w:rPr>
                <w:b/>
                <w:bCs/>
              </w:rPr>
              <w:t>$000</w:t>
            </w:r>
          </w:p>
        </w:tc>
        <w:tc>
          <w:tcPr>
            <w:tcW w:w="1250" w:type="dxa"/>
            <w:shd w:val="clear" w:color="auto" w:fill="D9D9D9" w:themeFill="background1" w:themeFillShade="D9"/>
          </w:tcPr>
          <w:p w14:paraId="6FCD92B7" w14:textId="77777777" w:rsidR="00BC0250" w:rsidRPr="00BC0250" w:rsidRDefault="00BC0250" w:rsidP="00BC0250">
            <w:pPr>
              <w:pStyle w:val="TableText"/>
              <w:jc w:val="right"/>
              <w:rPr>
                <w:b/>
                <w:bCs/>
              </w:rPr>
            </w:pPr>
            <w:r w:rsidRPr="00BC0250">
              <w:rPr>
                <w:b/>
                <w:bCs/>
              </w:rPr>
              <w:t>Increase / (decrease)</w:t>
            </w:r>
          </w:p>
          <w:p w14:paraId="3C825FE8" w14:textId="77777777" w:rsidR="00BC0250" w:rsidRPr="00BC0250" w:rsidRDefault="00BC0250" w:rsidP="00BC0250">
            <w:pPr>
              <w:pStyle w:val="TableText"/>
              <w:jc w:val="right"/>
              <w:rPr>
                <w:b/>
                <w:bCs/>
              </w:rPr>
            </w:pPr>
            <w:r w:rsidRPr="00BC0250">
              <w:rPr>
                <w:b/>
                <w:bCs/>
              </w:rPr>
              <w:t>$000</w:t>
            </w:r>
          </w:p>
        </w:tc>
      </w:tr>
      <w:tr w:rsidR="00BC0250" w:rsidRPr="00BC0250" w14:paraId="584A436F" w14:textId="77777777" w:rsidTr="00BC0250">
        <w:trPr>
          <w:trHeight w:val="398"/>
        </w:trPr>
        <w:tc>
          <w:tcPr>
            <w:tcW w:w="4280" w:type="dxa"/>
          </w:tcPr>
          <w:p w14:paraId="2DD91063" w14:textId="77777777" w:rsidR="00BC0250" w:rsidRPr="00BC0250" w:rsidRDefault="00BC0250" w:rsidP="00BC0250">
            <w:pPr>
              <w:pStyle w:val="TableText"/>
            </w:pPr>
            <w:r w:rsidRPr="00BC0250">
              <w:t>Net surplus/(deficit)</w:t>
            </w:r>
          </w:p>
        </w:tc>
        <w:tc>
          <w:tcPr>
            <w:tcW w:w="1107" w:type="dxa"/>
          </w:tcPr>
          <w:p w14:paraId="7B56716A" w14:textId="77777777" w:rsidR="00BC0250" w:rsidRPr="00BC0250" w:rsidRDefault="00BC0250" w:rsidP="00BC0250">
            <w:pPr>
              <w:pStyle w:val="TableText"/>
              <w:jc w:val="right"/>
            </w:pPr>
            <w:r w:rsidRPr="00BC0250">
              <w:t>30,205</w:t>
            </w:r>
          </w:p>
        </w:tc>
        <w:tc>
          <w:tcPr>
            <w:tcW w:w="1423" w:type="dxa"/>
          </w:tcPr>
          <w:p w14:paraId="3E49EC57" w14:textId="77777777" w:rsidR="00BC0250" w:rsidRPr="00BC0250" w:rsidRDefault="00BC0250" w:rsidP="00BC0250">
            <w:pPr>
              <w:pStyle w:val="TableText"/>
              <w:jc w:val="right"/>
            </w:pPr>
            <w:r w:rsidRPr="00BC0250">
              <w:t>32,015</w:t>
            </w:r>
          </w:p>
        </w:tc>
        <w:tc>
          <w:tcPr>
            <w:tcW w:w="1250" w:type="dxa"/>
          </w:tcPr>
          <w:p w14:paraId="34FC90C2" w14:textId="77777777" w:rsidR="00BC0250" w:rsidRPr="00BC0250" w:rsidRDefault="00BC0250" w:rsidP="00BC0250">
            <w:pPr>
              <w:pStyle w:val="TableText"/>
              <w:jc w:val="right"/>
            </w:pPr>
            <w:r w:rsidRPr="00BC0250">
              <w:t>(1,810)</w:t>
            </w:r>
          </w:p>
        </w:tc>
      </w:tr>
      <w:tr w:rsidR="00BC0250" w:rsidRPr="00BC0250" w14:paraId="0C64FBFB" w14:textId="77777777" w:rsidTr="00BC0250">
        <w:trPr>
          <w:trHeight w:val="346"/>
        </w:trPr>
        <w:tc>
          <w:tcPr>
            <w:tcW w:w="4280" w:type="dxa"/>
          </w:tcPr>
          <w:p w14:paraId="3409D4D0" w14:textId="77777777" w:rsidR="00BC0250" w:rsidRPr="00BC0250" w:rsidRDefault="00BC0250" w:rsidP="00BC0250">
            <w:pPr>
              <w:pStyle w:val="TableText"/>
            </w:pPr>
            <w:r w:rsidRPr="00BC0250">
              <w:t>Depreciation and amortisation expense</w:t>
            </w:r>
          </w:p>
        </w:tc>
        <w:tc>
          <w:tcPr>
            <w:tcW w:w="1107" w:type="dxa"/>
          </w:tcPr>
          <w:p w14:paraId="78360115" w14:textId="77777777" w:rsidR="00BC0250" w:rsidRPr="00BC0250" w:rsidRDefault="00BC0250" w:rsidP="00BC0250">
            <w:pPr>
              <w:pStyle w:val="TableText"/>
              <w:jc w:val="right"/>
            </w:pPr>
            <w:r w:rsidRPr="00BC0250">
              <w:t>6,079</w:t>
            </w:r>
          </w:p>
        </w:tc>
        <w:tc>
          <w:tcPr>
            <w:tcW w:w="1423" w:type="dxa"/>
          </w:tcPr>
          <w:p w14:paraId="4AD47472" w14:textId="77777777" w:rsidR="00BC0250" w:rsidRPr="00BC0250" w:rsidRDefault="00BC0250" w:rsidP="00BC0250">
            <w:pPr>
              <w:pStyle w:val="TableText"/>
              <w:jc w:val="right"/>
            </w:pPr>
            <w:r w:rsidRPr="00BC0250">
              <w:t>10,864</w:t>
            </w:r>
          </w:p>
        </w:tc>
        <w:tc>
          <w:tcPr>
            <w:tcW w:w="1250" w:type="dxa"/>
          </w:tcPr>
          <w:p w14:paraId="53840FF5" w14:textId="77777777" w:rsidR="00BC0250" w:rsidRPr="00BC0250" w:rsidRDefault="00BC0250" w:rsidP="00BC0250">
            <w:pPr>
              <w:pStyle w:val="TableText"/>
              <w:jc w:val="right"/>
            </w:pPr>
            <w:r w:rsidRPr="00BC0250">
              <w:t>(4,785)</w:t>
            </w:r>
          </w:p>
        </w:tc>
      </w:tr>
      <w:tr w:rsidR="00BC0250" w:rsidRPr="00BC0250" w14:paraId="4891C12F" w14:textId="77777777" w:rsidTr="00BC0250">
        <w:trPr>
          <w:trHeight w:val="327"/>
        </w:trPr>
        <w:tc>
          <w:tcPr>
            <w:tcW w:w="4280" w:type="dxa"/>
            <w:tcBorders>
              <w:bottom w:val="single" w:sz="4" w:space="0" w:color="A6A6A6" w:themeColor="background1" w:themeShade="A6"/>
            </w:tcBorders>
          </w:tcPr>
          <w:p w14:paraId="192374B9" w14:textId="3C769F73" w:rsidR="00BC0250" w:rsidRPr="00BC0250" w:rsidRDefault="00BC0250" w:rsidP="00BC0250">
            <w:pPr>
              <w:pStyle w:val="TableText"/>
              <w:rPr>
                <w:b/>
                <w:bCs/>
              </w:rPr>
            </w:pPr>
            <w:r w:rsidRPr="00BC0250">
              <w:rPr>
                <w:b/>
                <w:bCs/>
              </w:rPr>
              <w:t>Changes in net cash flow from operating activities</w:t>
            </w:r>
          </w:p>
        </w:tc>
        <w:tc>
          <w:tcPr>
            <w:tcW w:w="1107" w:type="dxa"/>
            <w:tcBorders>
              <w:bottom w:val="single" w:sz="4" w:space="0" w:color="A6A6A6" w:themeColor="background1" w:themeShade="A6"/>
            </w:tcBorders>
          </w:tcPr>
          <w:p w14:paraId="00419AF4" w14:textId="77777777" w:rsidR="00BC0250" w:rsidRPr="00BC0250" w:rsidRDefault="00BC0250" w:rsidP="00BC0250">
            <w:pPr>
              <w:pStyle w:val="TableText"/>
              <w:jc w:val="right"/>
              <w:rPr>
                <w:b/>
                <w:bCs/>
              </w:rPr>
            </w:pPr>
            <w:r w:rsidRPr="00BC0250">
              <w:rPr>
                <w:b/>
                <w:bCs/>
              </w:rPr>
              <w:t>36,284</w:t>
            </w:r>
          </w:p>
        </w:tc>
        <w:tc>
          <w:tcPr>
            <w:tcW w:w="1423" w:type="dxa"/>
            <w:tcBorders>
              <w:bottom w:val="single" w:sz="4" w:space="0" w:color="A6A6A6" w:themeColor="background1" w:themeShade="A6"/>
            </w:tcBorders>
          </w:tcPr>
          <w:p w14:paraId="6FE22987" w14:textId="77777777" w:rsidR="00BC0250" w:rsidRPr="00BC0250" w:rsidRDefault="00BC0250" w:rsidP="00BC0250">
            <w:pPr>
              <w:pStyle w:val="TableText"/>
              <w:jc w:val="right"/>
              <w:rPr>
                <w:b/>
                <w:bCs/>
              </w:rPr>
            </w:pPr>
            <w:r w:rsidRPr="00BC0250">
              <w:rPr>
                <w:b/>
                <w:bCs/>
              </w:rPr>
              <w:t>42,879</w:t>
            </w:r>
          </w:p>
        </w:tc>
        <w:tc>
          <w:tcPr>
            <w:tcW w:w="1250" w:type="dxa"/>
            <w:tcBorders>
              <w:bottom w:val="single" w:sz="4" w:space="0" w:color="A6A6A6" w:themeColor="background1" w:themeShade="A6"/>
            </w:tcBorders>
          </w:tcPr>
          <w:p w14:paraId="5260044C" w14:textId="77777777" w:rsidR="00BC0250" w:rsidRPr="00BC0250" w:rsidRDefault="00BC0250" w:rsidP="00BC0250">
            <w:pPr>
              <w:pStyle w:val="TableText"/>
              <w:jc w:val="right"/>
              <w:rPr>
                <w:b/>
                <w:bCs/>
              </w:rPr>
            </w:pPr>
            <w:r w:rsidRPr="00BC0250">
              <w:rPr>
                <w:b/>
                <w:bCs/>
              </w:rPr>
              <w:t>(6,595)</w:t>
            </w:r>
          </w:p>
        </w:tc>
      </w:tr>
    </w:tbl>
    <w:p w14:paraId="285F1749" w14:textId="3CFE9FA7" w:rsidR="00BC0250" w:rsidRPr="00BC0250" w:rsidRDefault="00BC0250" w:rsidP="00BC0250">
      <w:pPr>
        <w:pStyle w:val="Heading4"/>
      </w:pPr>
      <w:r>
        <w:t>A</w:t>
      </w:r>
      <w:r w:rsidRPr="00BC0250">
        <w:t>ccounting standard effective 30 June 2022</w:t>
      </w:r>
    </w:p>
    <w:p w14:paraId="630D2030" w14:textId="77777777" w:rsidR="00BC0250" w:rsidRPr="00BC0250" w:rsidRDefault="00BC0250" w:rsidP="00BC0250">
      <w:pPr>
        <w:rPr>
          <w:rFonts w:eastAsia="Arial Unicode MS"/>
        </w:rPr>
      </w:pPr>
      <w:r w:rsidRPr="00BC0250">
        <w:rPr>
          <w:rFonts w:eastAsia="Arial Unicode MS"/>
        </w:rPr>
        <w:t>An amendment to PBE IPSAS 2 Cash Flow Statements require entities to provide disclosures that enable users of financial statements to evaluate changes in liabilities arising from financing activities, including both changes arising from cash and non-cash changes. The new information required by this amendment has been presented in the reconcilliation of net cash flow from financing actiities on page 111.</w:t>
      </w:r>
    </w:p>
    <w:p w14:paraId="0998B505" w14:textId="77777777" w:rsidR="00BC0250" w:rsidRPr="00BC0250" w:rsidRDefault="00BC0250" w:rsidP="00BC0250">
      <w:pPr>
        <w:pStyle w:val="Heading4"/>
      </w:pPr>
      <w:r w:rsidRPr="00BC0250">
        <w:t>Standards issued, not yet effective and not early adopted</w:t>
      </w:r>
    </w:p>
    <w:p w14:paraId="426543A7" w14:textId="77777777" w:rsidR="00BC0250" w:rsidRPr="00BC0250" w:rsidRDefault="00BC0250" w:rsidP="00BC0250">
      <w:pPr>
        <w:rPr>
          <w:rFonts w:eastAsia="Arial Unicode MS"/>
        </w:rPr>
      </w:pPr>
      <w:r w:rsidRPr="00BC0250">
        <w:rPr>
          <w:rFonts w:eastAsia="Arial Unicode MS"/>
        </w:rPr>
        <w:t>Standards and amendments, issued but not yet effective, that have not been early adopted and which are relevant to the Ministry are:</w:t>
      </w:r>
    </w:p>
    <w:p w14:paraId="41E13868" w14:textId="77777777" w:rsidR="00BC0250" w:rsidRPr="00BC0250" w:rsidRDefault="00BC0250" w:rsidP="00BC0250">
      <w:pPr>
        <w:pStyle w:val="Heading5"/>
      </w:pPr>
      <w:r w:rsidRPr="00BC0250">
        <w:t>PBE IPSAS 41 Financial Instruments</w:t>
      </w:r>
    </w:p>
    <w:p w14:paraId="783DC658" w14:textId="77777777" w:rsidR="00BC0250" w:rsidRPr="00BC0250" w:rsidRDefault="00BC0250" w:rsidP="00BC0250">
      <w:pPr>
        <w:rPr>
          <w:rFonts w:eastAsia="Arial Unicode MS"/>
        </w:rPr>
      </w:pPr>
      <w:r w:rsidRPr="00BC0250">
        <w:rPr>
          <w:rFonts w:eastAsia="Arial Unicode MS"/>
        </w:rPr>
        <w:t>PBE IPSAS 41 replaces PBE IFRS 9 Financial Instruments and is effective for the year ending 30 June 2023, with earlier adoption permitted. The Ministry has assessed that there will be little change as a result of adopting the new standard as the requirements are similar to those contained in PBE IFRS 9. The Ministry has decided not to early adopt the standard.</w:t>
      </w:r>
    </w:p>
    <w:p w14:paraId="74EF12A1" w14:textId="77777777" w:rsidR="00BC0250" w:rsidRPr="00BC0250" w:rsidRDefault="00BC0250" w:rsidP="00BC0250">
      <w:pPr>
        <w:pStyle w:val="Heading5"/>
      </w:pPr>
      <w:r w:rsidRPr="00BC0250">
        <w:t>PBE FRS 48 Service Performance Reporting</w:t>
      </w:r>
    </w:p>
    <w:p w14:paraId="12AAA3A7" w14:textId="77777777" w:rsidR="00BC0250" w:rsidRPr="00BC0250" w:rsidRDefault="00BC0250" w:rsidP="00BC0250">
      <w:pPr>
        <w:rPr>
          <w:rFonts w:eastAsia="Arial Unicode MS"/>
        </w:rPr>
      </w:pPr>
      <w:r w:rsidRPr="00BC0250">
        <w:rPr>
          <w:rFonts w:eastAsia="Arial Unicode MS"/>
        </w:rPr>
        <w:t>PBE FRS 48 replaces the service performance reporting requirements of PBE IPSAS 1 Presentation of Financial Statements and is effective for the year ending 30 June 2023, with early adoption permitted. The Ministry has determined the main impact of the new standard is that additional information will need to be disclosed and those judgements that have the most significant effect on the selection, measurement, aggregation, and presentation of service performance information.</w:t>
      </w:r>
    </w:p>
    <w:p w14:paraId="3754E634" w14:textId="77777777" w:rsidR="00BC0250" w:rsidRPr="00BC0250" w:rsidRDefault="00BC0250" w:rsidP="00090FEB">
      <w:pPr>
        <w:pStyle w:val="Heading4"/>
      </w:pPr>
      <w:r w:rsidRPr="00BC0250">
        <w:t>Summary of significant accounting policies</w:t>
      </w:r>
    </w:p>
    <w:p w14:paraId="4F103CFF" w14:textId="77777777" w:rsidR="00BC0250" w:rsidRPr="00BC0250" w:rsidRDefault="00BC0250" w:rsidP="00BC0250">
      <w:pPr>
        <w:rPr>
          <w:rFonts w:eastAsia="Arial Unicode MS"/>
        </w:rPr>
      </w:pPr>
      <w:r w:rsidRPr="00BC0250">
        <w:rPr>
          <w:rFonts w:eastAsia="Arial Unicode MS"/>
        </w:rPr>
        <w:t>Significant accounting policies are included in the notes to which they relate. Significant accounting policies that do not relate to a specific note are outlined below.</w:t>
      </w:r>
    </w:p>
    <w:p w14:paraId="3D00CFE3" w14:textId="77777777" w:rsidR="00BC0250" w:rsidRPr="00BC0250" w:rsidRDefault="00BC0250" w:rsidP="00BC0250">
      <w:pPr>
        <w:pStyle w:val="Heading5"/>
      </w:pPr>
      <w:r w:rsidRPr="00BC0250">
        <w:lastRenderedPageBreak/>
        <w:t>Foreign currency transactions</w:t>
      </w:r>
    </w:p>
    <w:p w14:paraId="63341BB8" w14:textId="77777777" w:rsidR="00BC0250" w:rsidRPr="00BC0250" w:rsidRDefault="00BC0250" w:rsidP="00BC0250">
      <w:pPr>
        <w:rPr>
          <w:rFonts w:eastAsia="Arial Unicode MS"/>
        </w:rPr>
      </w:pPr>
      <w:r w:rsidRPr="00BC0250">
        <w:rPr>
          <w:rFonts w:eastAsia="Arial Unicode MS"/>
        </w:rPr>
        <w:t>Foreign currency transactions are translated into New Zealand dollars using the spot exchange rates at the dates of the transactions. Foreign exchange gains and losses resulting from the settlement of such transactions are recognised in the surplus or deficit.</w:t>
      </w:r>
    </w:p>
    <w:p w14:paraId="61183D08" w14:textId="77777777" w:rsidR="00BC0250" w:rsidRPr="00BC0250" w:rsidRDefault="00BC0250" w:rsidP="00BC0250">
      <w:pPr>
        <w:pStyle w:val="Heading5"/>
      </w:pPr>
      <w:r w:rsidRPr="00BC0250">
        <w:t>Cash and cash equivalents</w:t>
      </w:r>
    </w:p>
    <w:p w14:paraId="79EA37EA" w14:textId="77777777" w:rsidR="00BC0250" w:rsidRPr="00BC0250" w:rsidRDefault="00BC0250" w:rsidP="00BC0250">
      <w:pPr>
        <w:rPr>
          <w:rFonts w:eastAsia="Arial Unicode MS"/>
        </w:rPr>
      </w:pPr>
      <w:r w:rsidRPr="00BC0250">
        <w:rPr>
          <w:rFonts w:eastAsia="Arial Unicode MS"/>
        </w:rPr>
        <w:t>Cash and cash equivalents comprise funds in current accounts with Westpac New Zealand Limited, a registered bank.</w:t>
      </w:r>
    </w:p>
    <w:p w14:paraId="29700E4F" w14:textId="77777777" w:rsidR="00BC0250" w:rsidRPr="00BC0250" w:rsidRDefault="00BC0250" w:rsidP="00BC0250">
      <w:pPr>
        <w:rPr>
          <w:rFonts w:eastAsia="Arial Unicode MS"/>
        </w:rPr>
      </w:pPr>
      <w:r w:rsidRPr="00BC0250">
        <w:rPr>
          <w:rFonts w:eastAsia="Arial Unicode MS"/>
        </w:rPr>
        <w:t xml:space="preserve"> </w:t>
      </w:r>
    </w:p>
    <w:p w14:paraId="4AE1C1BE" w14:textId="67563A21" w:rsidR="00BC0250" w:rsidRDefault="00BC0250" w:rsidP="00BC0250">
      <w:pPr>
        <w:rPr>
          <w:rFonts w:eastAsia="Arial Unicode MS"/>
        </w:rPr>
      </w:pPr>
      <w:r w:rsidRPr="00BC0250">
        <w:rPr>
          <w:rFonts w:eastAsia="Arial Unicode MS"/>
        </w:rPr>
        <w:t>The Ministry is only permitted to expend its cash and cash equivalents within the scope and limits of its appropriations.</w:t>
      </w:r>
    </w:p>
    <w:p w14:paraId="7200FF2B" w14:textId="77777777" w:rsidR="00BC0250" w:rsidRPr="00BC0250" w:rsidRDefault="00BC0250" w:rsidP="00BC0250">
      <w:pPr>
        <w:rPr>
          <w:rFonts w:eastAsia="Arial Unicode MS"/>
        </w:rPr>
      </w:pPr>
    </w:p>
    <w:p w14:paraId="51D27615" w14:textId="77777777" w:rsidR="00BC0250" w:rsidRPr="00BC0250" w:rsidRDefault="00BC0250" w:rsidP="00BC0250">
      <w:pPr>
        <w:rPr>
          <w:rFonts w:eastAsia="Arial Unicode MS"/>
        </w:rPr>
      </w:pPr>
      <w:r w:rsidRPr="00BC0250">
        <w:rPr>
          <w:rFonts w:eastAsia="Arial Unicode MS"/>
        </w:rPr>
        <w:t>Cash and cash equivalents are subject to the expected loss requirements of PBE IFRS 9.</w:t>
      </w:r>
    </w:p>
    <w:p w14:paraId="1208D83A" w14:textId="77777777" w:rsidR="00BC0250" w:rsidRPr="00BC0250" w:rsidRDefault="00BC0250" w:rsidP="00BC0250">
      <w:pPr>
        <w:rPr>
          <w:rFonts w:eastAsia="Arial Unicode MS"/>
        </w:rPr>
      </w:pPr>
      <w:r w:rsidRPr="00BC0250">
        <w:rPr>
          <w:rFonts w:eastAsia="Arial Unicode MS"/>
        </w:rPr>
        <w:t>However, no loss allowance has been recognised because the estimated loss allowance for credit losses is considered to be nil or trivial.</w:t>
      </w:r>
    </w:p>
    <w:p w14:paraId="785BDF51" w14:textId="77777777" w:rsidR="00BC0250" w:rsidRPr="00BC0250" w:rsidRDefault="00BC0250" w:rsidP="00BC0250">
      <w:pPr>
        <w:pStyle w:val="Heading5"/>
      </w:pPr>
      <w:r w:rsidRPr="00BC0250">
        <w:t>Receivables</w:t>
      </w:r>
    </w:p>
    <w:p w14:paraId="779313BE" w14:textId="2B4A0624" w:rsidR="00BC0250" w:rsidRDefault="00BC0250" w:rsidP="00BC0250">
      <w:pPr>
        <w:rPr>
          <w:rFonts w:eastAsia="Arial Unicode MS"/>
        </w:rPr>
      </w:pPr>
      <w:r w:rsidRPr="00BC0250">
        <w:rPr>
          <w:rFonts w:eastAsia="Arial Unicode MS"/>
        </w:rPr>
        <w:t>Short-term receivables are measured at amortised cost and recorded at the amount less any provision for uncollectability and an allowance for credit losses as per the requirements of PBE IFRS 9. No adjustment for credit losses has been made as the estimated loss allowance is considered to be nil or trivial.</w:t>
      </w:r>
    </w:p>
    <w:p w14:paraId="51DA4DBF" w14:textId="77777777" w:rsidR="00BC0250" w:rsidRPr="00BC0250" w:rsidRDefault="00BC0250" w:rsidP="00BC0250">
      <w:pPr>
        <w:rPr>
          <w:rFonts w:eastAsia="Arial Unicode MS"/>
        </w:rPr>
      </w:pPr>
    </w:p>
    <w:p w14:paraId="606960D3" w14:textId="77777777" w:rsidR="00BC0250" w:rsidRPr="00BC0250" w:rsidRDefault="00BC0250" w:rsidP="00BC0250">
      <w:pPr>
        <w:rPr>
          <w:rFonts w:eastAsia="Arial Unicode MS"/>
        </w:rPr>
      </w:pPr>
      <w:r w:rsidRPr="00BC0250">
        <w:rPr>
          <w:rFonts w:eastAsia="Arial Unicode MS"/>
        </w:rPr>
        <w:t>A receivable is considered to be uncollectable when there is evidence that the amount will not be fully collectable. The amount that is uncollectable is the difference between the carrying amount due and the present value of the amount expected to be collected.</w:t>
      </w:r>
    </w:p>
    <w:p w14:paraId="45B461C8" w14:textId="77777777" w:rsidR="00BC0250" w:rsidRPr="00BC0250" w:rsidRDefault="00BC0250" w:rsidP="00BC0250">
      <w:pPr>
        <w:pStyle w:val="Heading5"/>
      </w:pPr>
      <w:r w:rsidRPr="00BC0250">
        <w:t>Goods and services tax (GST)</w:t>
      </w:r>
    </w:p>
    <w:p w14:paraId="34181B69" w14:textId="3EE57AD8" w:rsidR="00BC0250" w:rsidRDefault="00BC0250" w:rsidP="00BC0250">
      <w:pPr>
        <w:rPr>
          <w:rFonts w:eastAsia="Arial Unicode MS"/>
        </w:rPr>
      </w:pPr>
      <w:r w:rsidRPr="00BC0250">
        <w:rPr>
          <w:rFonts w:eastAsia="Arial Unicode MS"/>
        </w:rPr>
        <w:t>Items in the financial statements are stated exclusive of GST, except for receivables and payables, which are stated on a GST-inclusive basis. Where GST is not recoverable as input tax, it is recognised as part of the related asset or expense.</w:t>
      </w:r>
    </w:p>
    <w:p w14:paraId="04A67DE0" w14:textId="77777777" w:rsidR="00BC0250" w:rsidRPr="00BC0250" w:rsidRDefault="00BC0250" w:rsidP="00BC0250">
      <w:pPr>
        <w:rPr>
          <w:rFonts w:eastAsia="Arial Unicode MS"/>
        </w:rPr>
      </w:pPr>
    </w:p>
    <w:p w14:paraId="1BE05840" w14:textId="77777777" w:rsidR="00BC0250" w:rsidRPr="00BC0250" w:rsidRDefault="00BC0250" w:rsidP="00BC0250">
      <w:pPr>
        <w:rPr>
          <w:rFonts w:eastAsia="Arial Unicode MS"/>
        </w:rPr>
      </w:pPr>
      <w:r w:rsidRPr="00BC0250">
        <w:rPr>
          <w:rFonts w:eastAsia="Arial Unicode MS"/>
        </w:rPr>
        <w:t>The net amount of GST recoverable from, or payable to, Inland Revenue is included as part of receivables or payables in the statement of financial position. The net GST paid to or received from Inland Revenue, including the GST relating to investing and financing activities, is classified as an operating cash flow in the statement of cash flows.</w:t>
      </w:r>
    </w:p>
    <w:p w14:paraId="08A63F35" w14:textId="77777777" w:rsidR="00BC0250" w:rsidRPr="00BC0250" w:rsidRDefault="00BC0250" w:rsidP="00BC0250">
      <w:pPr>
        <w:pStyle w:val="Heading5"/>
      </w:pPr>
      <w:r w:rsidRPr="00BC0250">
        <w:t>Income tax</w:t>
      </w:r>
    </w:p>
    <w:p w14:paraId="6CD39151" w14:textId="77777777" w:rsidR="00BC0250" w:rsidRPr="00BC0250" w:rsidRDefault="00BC0250" w:rsidP="00BC0250">
      <w:pPr>
        <w:rPr>
          <w:rFonts w:eastAsia="Arial Unicode MS"/>
        </w:rPr>
      </w:pPr>
      <w:r w:rsidRPr="00BC0250">
        <w:rPr>
          <w:rFonts w:eastAsia="Arial Unicode MS"/>
        </w:rPr>
        <w:t>The Ministry is a public authority and consequently is exempt from income tax. Accordingly, no provision has been made for income tax.</w:t>
      </w:r>
    </w:p>
    <w:p w14:paraId="0B7AD20E" w14:textId="77777777" w:rsidR="00BC0250" w:rsidRPr="00BC0250" w:rsidRDefault="00BC0250" w:rsidP="00090FEB">
      <w:pPr>
        <w:pStyle w:val="Heading4"/>
      </w:pPr>
      <w:r w:rsidRPr="00BC0250">
        <w:lastRenderedPageBreak/>
        <w:t>Budget and forecast figures</w:t>
      </w:r>
    </w:p>
    <w:p w14:paraId="01D91FDB" w14:textId="77777777" w:rsidR="00BC0250" w:rsidRPr="00BC0250" w:rsidRDefault="00BC0250" w:rsidP="004C2BFC">
      <w:pPr>
        <w:pStyle w:val="Heading6"/>
      </w:pPr>
      <w:r w:rsidRPr="00BC0250">
        <w:t>Basis of the budget figures</w:t>
      </w:r>
    </w:p>
    <w:p w14:paraId="01A7D3F4" w14:textId="77777777" w:rsidR="00BC0250" w:rsidRPr="00BC0250" w:rsidRDefault="00BC0250" w:rsidP="00BC0250">
      <w:pPr>
        <w:rPr>
          <w:rFonts w:eastAsia="Arial Unicode MS"/>
        </w:rPr>
      </w:pPr>
      <w:r w:rsidRPr="00BC0250">
        <w:rPr>
          <w:rFonts w:eastAsia="Arial Unicode MS"/>
        </w:rPr>
        <w:t>The 2021/22 budget figures are for the year ended 30 June 2022 and were published in the 2021 Annual Report. They are consistent with the Ministry’s best estimate at the time for financial forecast information submitted to the Treasury for the Budget Economic and Fiscal Update (BEFU) for the year ended 2021/22.</w:t>
      </w:r>
    </w:p>
    <w:p w14:paraId="1E7ADE62" w14:textId="77777777" w:rsidR="00BC0250" w:rsidRPr="00BC0250" w:rsidRDefault="00BC0250" w:rsidP="004C2BFC">
      <w:pPr>
        <w:pStyle w:val="Heading6"/>
      </w:pPr>
      <w:r w:rsidRPr="00BC0250">
        <w:t>Basis of the forecast figures</w:t>
      </w:r>
    </w:p>
    <w:p w14:paraId="6AB21C8D" w14:textId="02379FD8" w:rsidR="00BC0250" w:rsidRDefault="00BC0250" w:rsidP="00BC0250">
      <w:pPr>
        <w:rPr>
          <w:rFonts w:eastAsia="Arial Unicode MS"/>
        </w:rPr>
      </w:pPr>
      <w:r w:rsidRPr="00BC0250">
        <w:rPr>
          <w:rFonts w:eastAsia="Arial Unicode MS"/>
        </w:rPr>
        <w:t>The 2022/23 forecast figures are for the year ending 30 June 2023, which are consistent with the best estimate at the time for the BEFU forecast financial information submitted to the Treasury for the year ending 2022/23.</w:t>
      </w:r>
    </w:p>
    <w:p w14:paraId="2AFBCE0D" w14:textId="77777777" w:rsidR="00BC0250" w:rsidRPr="00BC0250" w:rsidRDefault="00BC0250" w:rsidP="00BC0250">
      <w:pPr>
        <w:rPr>
          <w:rFonts w:eastAsia="Arial Unicode MS"/>
        </w:rPr>
      </w:pPr>
    </w:p>
    <w:p w14:paraId="4DFE3ACE" w14:textId="191CA57D" w:rsidR="00BC0250" w:rsidRDefault="00BC0250" w:rsidP="00BC0250">
      <w:pPr>
        <w:rPr>
          <w:rFonts w:eastAsia="Arial Unicode MS"/>
        </w:rPr>
      </w:pPr>
      <w:r w:rsidRPr="00BC0250">
        <w:rPr>
          <w:rFonts w:eastAsia="Arial Unicode MS"/>
        </w:rPr>
        <w:t>The forecast financial statements have been prepared as required by the PFA to communicate forecast financial information for accountability purposes. The 30 June 2023 forecast figures have been prepared in accordance with and comply with PBE FRS 42 Prospective Financial Statements.</w:t>
      </w:r>
    </w:p>
    <w:p w14:paraId="7B0571F1" w14:textId="77777777" w:rsidR="00BC0250" w:rsidRPr="00BC0250" w:rsidRDefault="00BC0250" w:rsidP="00BC0250">
      <w:pPr>
        <w:rPr>
          <w:rFonts w:eastAsia="Arial Unicode MS"/>
        </w:rPr>
      </w:pPr>
    </w:p>
    <w:p w14:paraId="51E2CBC1" w14:textId="77777777" w:rsidR="00BC0250" w:rsidRDefault="00BC0250" w:rsidP="00BC0250">
      <w:pPr>
        <w:rPr>
          <w:rFonts w:eastAsia="Arial Unicode MS"/>
        </w:rPr>
      </w:pPr>
      <w:r w:rsidRPr="00BC0250">
        <w:rPr>
          <w:rFonts w:eastAsia="Arial Unicode MS"/>
        </w:rPr>
        <w:t>The budget and forecast figures are unaudited and have been prepared using the accounting policies adopted in preparing these financial statements.</w:t>
      </w:r>
    </w:p>
    <w:p w14:paraId="608028CA" w14:textId="77777777" w:rsidR="00BC0250" w:rsidRDefault="00BC0250" w:rsidP="00BC0250">
      <w:pPr>
        <w:rPr>
          <w:rFonts w:eastAsia="Arial Unicode MS"/>
        </w:rPr>
      </w:pPr>
    </w:p>
    <w:p w14:paraId="22308E5A" w14:textId="1954529D" w:rsidR="00BC0250" w:rsidRDefault="00BC0250" w:rsidP="00BC0250">
      <w:pPr>
        <w:rPr>
          <w:rFonts w:eastAsia="Arial Unicode MS"/>
        </w:rPr>
      </w:pPr>
      <w:r w:rsidRPr="00BC0250">
        <w:rPr>
          <w:rFonts w:eastAsia="Arial Unicode MS"/>
        </w:rPr>
        <w:t>The Director-General as Chief Executive of the Ministry is responsible for the forecast financial statements including the appropriateness of the assumptions underlying them and all other required disclosures. The forecast financial statements were approved by the Chief Executive on 14 April 2022.</w:t>
      </w:r>
    </w:p>
    <w:p w14:paraId="52F213F2" w14:textId="77777777" w:rsidR="00BC0250" w:rsidRPr="00BC0250" w:rsidRDefault="00BC0250" w:rsidP="00BC0250">
      <w:pPr>
        <w:rPr>
          <w:rFonts w:eastAsia="Arial Unicode MS"/>
        </w:rPr>
      </w:pPr>
    </w:p>
    <w:p w14:paraId="3BD1CECA" w14:textId="2BF40C9F" w:rsidR="00BC0250" w:rsidRDefault="00BC0250" w:rsidP="00BC0250">
      <w:pPr>
        <w:rPr>
          <w:rFonts w:eastAsia="Arial Unicode MS"/>
        </w:rPr>
      </w:pPr>
      <w:r w:rsidRPr="00BC0250">
        <w:rPr>
          <w:rFonts w:eastAsia="Arial Unicode MS"/>
        </w:rPr>
        <w:t>While the Ministry regularly updates its forecasts, updated forecast financial statements for the year ending 30 June 2023 will not be published.</w:t>
      </w:r>
    </w:p>
    <w:p w14:paraId="7AF6E8C8" w14:textId="77777777" w:rsidR="00BC0250" w:rsidRPr="00BC0250" w:rsidRDefault="00BC0250" w:rsidP="004C2BFC">
      <w:pPr>
        <w:pStyle w:val="Heading6"/>
      </w:pPr>
      <w:r w:rsidRPr="00BC0250">
        <w:t>Significant assumptions used in preparing the forecast financial information</w:t>
      </w:r>
    </w:p>
    <w:p w14:paraId="45A481C7" w14:textId="3812CABA" w:rsidR="00BC0250" w:rsidRDefault="00BC0250" w:rsidP="00BC0250">
      <w:pPr>
        <w:rPr>
          <w:rFonts w:eastAsia="Arial Unicode MS"/>
        </w:rPr>
      </w:pPr>
      <w:r w:rsidRPr="00BC0250">
        <w:rPr>
          <w:rFonts w:eastAsia="Arial Unicode MS"/>
        </w:rPr>
        <w:t>The forecast figures contained in these financial statements reflect the Ministry’s purpose and activities and are based on a number of assumptions on what may occur during</w:t>
      </w:r>
      <w:r>
        <w:rPr>
          <w:rFonts w:eastAsia="Arial Unicode MS"/>
        </w:rPr>
        <w:t xml:space="preserve"> </w:t>
      </w:r>
      <w:r w:rsidRPr="00BC0250">
        <w:rPr>
          <w:rFonts w:eastAsia="Arial Unicode MS"/>
        </w:rPr>
        <w:t>the 2022/23 year. The forecast figures have been compiled on the basis of existing government policies and ministerial expectations at the time the Main Estimates were finalised.</w:t>
      </w:r>
    </w:p>
    <w:p w14:paraId="43F800F6" w14:textId="77777777" w:rsidR="00BC0250" w:rsidRPr="00BC0250" w:rsidRDefault="00BC0250" w:rsidP="00BC0250">
      <w:pPr>
        <w:rPr>
          <w:rFonts w:eastAsia="Arial Unicode MS"/>
        </w:rPr>
      </w:pPr>
    </w:p>
    <w:p w14:paraId="53138C21" w14:textId="77777777" w:rsidR="00BC0250" w:rsidRPr="00BC0250" w:rsidRDefault="00BC0250" w:rsidP="00BC0250">
      <w:pPr>
        <w:rPr>
          <w:rFonts w:eastAsia="Arial Unicode MS"/>
        </w:rPr>
      </w:pPr>
      <w:r w:rsidRPr="00BC0250">
        <w:rPr>
          <w:rFonts w:eastAsia="Arial Unicode MS"/>
        </w:rPr>
        <w:t>The main assumptions, which were adopted as at 14 April 2022, were as follows:</w:t>
      </w:r>
    </w:p>
    <w:p w14:paraId="2FF3A9DA" w14:textId="511D93E9" w:rsidR="00BC0250" w:rsidRPr="00BC0250" w:rsidRDefault="00BC0250" w:rsidP="00BC0250">
      <w:pPr>
        <w:pStyle w:val="Bullet"/>
        <w:rPr>
          <w:rFonts w:eastAsia="Arial Unicode MS"/>
        </w:rPr>
      </w:pPr>
      <w:r w:rsidRPr="00BC0250">
        <w:rPr>
          <w:rFonts w:eastAsia="Arial Unicode MS"/>
        </w:rPr>
        <w:t>the Ministry’s activities and output expectations for 2022/23 have changed substantially reflecting the implementation of the Government’s health and disability system reforms which include:</w:t>
      </w:r>
    </w:p>
    <w:p w14:paraId="31C7DE32" w14:textId="46C0F52A" w:rsidR="00BC0250" w:rsidRPr="00BC0250" w:rsidRDefault="00BC0250" w:rsidP="00BC0250">
      <w:pPr>
        <w:pStyle w:val="Dash"/>
        <w:rPr>
          <w:rFonts w:eastAsia="Arial Unicode MS"/>
        </w:rPr>
      </w:pPr>
      <w:r w:rsidRPr="00BC0250">
        <w:rPr>
          <w:rFonts w:eastAsia="Arial Unicode MS"/>
        </w:rPr>
        <w:t>the establishment of new agencies: Te Whatu Ora | Health New Zealand, Te Aka Whai Ora | Māori Health Authority</w:t>
      </w:r>
    </w:p>
    <w:p w14:paraId="5BA40160" w14:textId="1748CEB8" w:rsidR="00BC0250" w:rsidRPr="00BC0250" w:rsidRDefault="00BC0250" w:rsidP="00BC0250">
      <w:pPr>
        <w:pStyle w:val="Dash"/>
        <w:rPr>
          <w:rFonts w:eastAsia="Arial Unicode MS"/>
        </w:rPr>
      </w:pPr>
      <w:r w:rsidRPr="00BC0250">
        <w:rPr>
          <w:rFonts w:eastAsia="Arial Unicode MS"/>
        </w:rPr>
        <w:t>the establishment of the Public Health Agency, a distinct business unit within the Ministry</w:t>
      </w:r>
    </w:p>
    <w:p w14:paraId="3DD59837" w14:textId="313B1AF9" w:rsidR="00BC0250" w:rsidRPr="00BC0250" w:rsidRDefault="00BC0250" w:rsidP="00BC0250">
      <w:pPr>
        <w:pStyle w:val="Dash"/>
        <w:rPr>
          <w:rFonts w:eastAsia="Arial Unicode MS"/>
        </w:rPr>
      </w:pPr>
      <w:r w:rsidRPr="00BC0250">
        <w:rPr>
          <w:rFonts w:eastAsia="Arial Unicode MS"/>
        </w:rPr>
        <w:t>the transfer of disability support services related funding to Vote Social Development for the ongoing operation of Whaikaha – Ministry of Disabled People, a new departmental agency within the Ministry of Social Development, to support tangata whaikaha Māori and disabled people</w:t>
      </w:r>
    </w:p>
    <w:p w14:paraId="463D55BD" w14:textId="1E5A9EF5" w:rsidR="00BC0250" w:rsidRPr="00BC0250" w:rsidRDefault="00BC0250" w:rsidP="00BC0250">
      <w:pPr>
        <w:pStyle w:val="Bullet"/>
        <w:rPr>
          <w:rFonts w:eastAsia="Arial Unicode MS"/>
        </w:rPr>
      </w:pPr>
      <w:r w:rsidRPr="00BC0250">
        <w:rPr>
          <w:rFonts w:eastAsia="Arial Unicode MS"/>
        </w:rPr>
        <w:lastRenderedPageBreak/>
        <w:t>personnel costs were based on current wages and salary costs adjusted for anticipated remuneration changes and anticipated workforce changes as a result of the impact of the health and disability system reform and new initiatives</w:t>
      </w:r>
    </w:p>
    <w:p w14:paraId="3A0F12BF" w14:textId="6FEB4CBB" w:rsidR="00BC0250" w:rsidRPr="00BC0250" w:rsidRDefault="00BC0250" w:rsidP="00BC0250">
      <w:pPr>
        <w:pStyle w:val="Bullet"/>
        <w:rPr>
          <w:rFonts w:eastAsia="Arial Unicode MS"/>
        </w:rPr>
      </w:pPr>
      <w:r w:rsidRPr="00BC0250">
        <w:rPr>
          <w:rFonts w:eastAsia="Arial Unicode MS"/>
        </w:rPr>
        <w:t>operating costs were based on historical experience and other factors, including the forecast impact of the health and disability system reform, that are believed to be reasonable in the circumstances and are the Ministry’s best estimate of future costs that will be incurred</w:t>
      </w:r>
    </w:p>
    <w:p w14:paraId="6F4EF01E" w14:textId="5A9B2BC1" w:rsidR="00BC0250" w:rsidRPr="00BC0250" w:rsidRDefault="00BC0250" w:rsidP="00BC0250">
      <w:pPr>
        <w:pStyle w:val="Bullet"/>
        <w:rPr>
          <w:rFonts w:eastAsia="Arial Unicode MS"/>
        </w:rPr>
      </w:pPr>
      <w:r w:rsidRPr="00BC0250">
        <w:rPr>
          <w:rFonts w:eastAsia="Arial Unicode MS"/>
        </w:rPr>
        <w:t>the estimated year-end closing financial position information for 2021/22 was used as the opening position for the 2022/23 forecasts.</w:t>
      </w:r>
    </w:p>
    <w:p w14:paraId="75970625" w14:textId="77777777" w:rsidR="00BC0250" w:rsidRDefault="00BC0250" w:rsidP="00BC0250">
      <w:pPr>
        <w:rPr>
          <w:rFonts w:eastAsia="Arial Unicode MS"/>
        </w:rPr>
      </w:pPr>
    </w:p>
    <w:p w14:paraId="425E9AB8" w14:textId="0DEA6E52" w:rsidR="00BC0250" w:rsidRPr="00BC0250" w:rsidRDefault="00BC0250" w:rsidP="00BC0250">
      <w:pPr>
        <w:rPr>
          <w:rFonts w:eastAsia="Arial Unicode MS"/>
        </w:rPr>
      </w:pPr>
      <w:r w:rsidRPr="00BC0250">
        <w:rPr>
          <w:rFonts w:eastAsia="Arial Unicode MS"/>
        </w:rPr>
        <w:t>The actual financial results achieved for 30 June 2023 are likely to vary from the forecast information presented and the variance may be material. Factors that may lead to a material difference between information in these forecast financial statements and the actual reported results include changes to the budget that may be approved by Cabinet during 2022/23 and reflected in the Vote Health 2022/23 Supplementary Estimates, technical adjustments to (including transfers between) financial years, material deviation between anticipated and actual business functions and associated assets and liabilities balances that will be transferred to Te Whatu Ora, Te Aka Whai Ora, or Whaikaha, and the timing of expenditure relating to significant programmes and projects.</w:t>
      </w:r>
    </w:p>
    <w:p w14:paraId="550A97E6" w14:textId="7BFEFDDC" w:rsidR="00BC0250" w:rsidRPr="00BC0250" w:rsidRDefault="00BC0250" w:rsidP="00BC0250">
      <w:pPr>
        <w:pStyle w:val="Heading4"/>
      </w:pPr>
      <w:r w:rsidRPr="00BC0250">
        <w:t>2</w:t>
      </w:r>
      <w:r w:rsidRPr="00BC0250">
        <w:tab/>
        <w:t>Revenue</w:t>
      </w:r>
    </w:p>
    <w:p w14:paraId="127229D9" w14:textId="77777777" w:rsidR="00BC0250" w:rsidRPr="00BC0250" w:rsidRDefault="00BC0250" w:rsidP="00BC0250">
      <w:pPr>
        <w:pStyle w:val="Heading5"/>
      </w:pPr>
      <w:r w:rsidRPr="00BC0250">
        <w:t>Accounting policy</w:t>
      </w:r>
    </w:p>
    <w:p w14:paraId="40BC34C3" w14:textId="0C584A92" w:rsidR="00BC0250" w:rsidRDefault="00BC0250" w:rsidP="00BC0250">
      <w:pPr>
        <w:rPr>
          <w:rFonts w:eastAsia="Arial Unicode MS"/>
        </w:rPr>
      </w:pPr>
      <w:r w:rsidRPr="00BC0250">
        <w:rPr>
          <w:rFonts w:eastAsia="Arial Unicode MS"/>
        </w:rPr>
        <w:t>The specific accounting policies for significant revenue items are explained below.</w:t>
      </w:r>
    </w:p>
    <w:p w14:paraId="32317983" w14:textId="77777777" w:rsidR="00A328EB" w:rsidRPr="00BC0250" w:rsidRDefault="00A328EB" w:rsidP="00BC0250">
      <w:pPr>
        <w:rPr>
          <w:rFonts w:eastAsia="Arial Unicode MS"/>
        </w:rPr>
      </w:pPr>
    </w:p>
    <w:p w14:paraId="0F40E8E5" w14:textId="77777777" w:rsidR="00BC0250" w:rsidRPr="00BC0250" w:rsidRDefault="00BC0250" w:rsidP="00BC0250">
      <w:pPr>
        <w:rPr>
          <w:rFonts w:eastAsia="Arial Unicode MS"/>
        </w:rPr>
      </w:pPr>
      <w:r w:rsidRPr="00BC0250">
        <w:rPr>
          <w:rFonts w:eastAsia="Arial Unicode MS"/>
        </w:rPr>
        <w:t>The Ministry derives revenue through the provision of outputs to the Crown and for services to third parties. Such revenue is recognised at fair value of consideration received.</w:t>
      </w:r>
    </w:p>
    <w:p w14:paraId="48335AAE" w14:textId="77777777" w:rsidR="00BC0250" w:rsidRPr="00BC0250" w:rsidRDefault="00BC0250" w:rsidP="00A328EB">
      <w:pPr>
        <w:pStyle w:val="Heading5"/>
      </w:pPr>
      <w:r w:rsidRPr="00BC0250">
        <w:t>Revenue Crown</w:t>
      </w:r>
    </w:p>
    <w:p w14:paraId="752A959B" w14:textId="77777777" w:rsidR="00BC0250" w:rsidRPr="00BC0250" w:rsidRDefault="00BC0250" w:rsidP="00BC0250">
      <w:pPr>
        <w:rPr>
          <w:rFonts w:eastAsia="Arial Unicode MS"/>
        </w:rPr>
      </w:pPr>
      <w:r w:rsidRPr="00BC0250">
        <w:rPr>
          <w:rFonts w:eastAsia="Arial Unicode MS"/>
        </w:rPr>
        <w:t>Revenue from the Crown is measured based on the Ministry’s funding entitlement for the reporting period. The funding entitlement is established by Parliament when it</w:t>
      </w:r>
    </w:p>
    <w:p w14:paraId="7DBA57B0" w14:textId="2F0F7274" w:rsidR="00BC0250" w:rsidRDefault="00BC0250" w:rsidP="00BC0250">
      <w:pPr>
        <w:rPr>
          <w:rFonts w:eastAsia="Arial Unicode MS"/>
        </w:rPr>
      </w:pPr>
      <w:r w:rsidRPr="00BC0250">
        <w:rPr>
          <w:rFonts w:eastAsia="Arial Unicode MS"/>
        </w:rPr>
        <w:t>passes the Appropriation Acts for the financial year. The amount of revenue recognised takes into account any amendments to appropriations approved in the Appropriation (Supplementary Estimates) Act for the year and certain other unconditional funding adjustments formally approved prior to the balance date.</w:t>
      </w:r>
    </w:p>
    <w:p w14:paraId="7EA69A23" w14:textId="77777777" w:rsidR="00A328EB" w:rsidRPr="00BC0250" w:rsidRDefault="00A328EB" w:rsidP="00BC0250">
      <w:pPr>
        <w:rPr>
          <w:rFonts w:eastAsia="Arial Unicode MS"/>
        </w:rPr>
      </w:pPr>
    </w:p>
    <w:p w14:paraId="70C2E8DB" w14:textId="5874344A" w:rsidR="00BC0250" w:rsidRDefault="00BC0250" w:rsidP="00BC0250">
      <w:pPr>
        <w:rPr>
          <w:rFonts w:eastAsia="Arial Unicode MS"/>
        </w:rPr>
      </w:pPr>
      <w:r w:rsidRPr="00BC0250">
        <w:rPr>
          <w:rFonts w:eastAsia="Arial Unicode MS"/>
        </w:rPr>
        <w:t>There are no conditions attached to the funding from the Crown. However, the Ministry can incur expenses only within the scope and limits of its appropriations.</w:t>
      </w:r>
    </w:p>
    <w:p w14:paraId="7D06D338" w14:textId="77777777" w:rsidR="00A328EB" w:rsidRPr="00BC0250" w:rsidRDefault="00A328EB" w:rsidP="00BC0250">
      <w:pPr>
        <w:rPr>
          <w:rFonts w:eastAsia="Arial Unicode MS"/>
        </w:rPr>
      </w:pPr>
    </w:p>
    <w:p w14:paraId="006C0562" w14:textId="77777777" w:rsidR="00BC0250" w:rsidRPr="00BC0250" w:rsidRDefault="00BC0250" w:rsidP="00BC0250">
      <w:pPr>
        <w:rPr>
          <w:rFonts w:eastAsia="Arial Unicode MS"/>
        </w:rPr>
      </w:pPr>
      <w:r w:rsidRPr="00BC0250">
        <w:rPr>
          <w:rFonts w:eastAsia="Arial Unicode MS"/>
        </w:rPr>
        <w:t>The fair value of Revenue Crown has been determined to be equivalent to the funding entitlement of $845.212 million (2021: $404.790 million).</w:t>
      </w:r>
    </w:p>
    <w:p w14:paraId="4B1742C3" w14:textId="77777777" w:rsidR="00BC0250" w:rsidRPr="00BC0250" w:rsidRDefault="00BC0250" w:rsidP="00A328EB">
      <w:pPr>
        <w:pStyle w:val="Heading5"/>
      </w:pPr>
      <w:r w:rsidRPr="00BC0250">
        <w:t>Supply of services</w:t>
      </w:r>
    </w:p>
    <w:p w14:paraId="3653DC1B" w14:textId="77777777" w:rsidR="00A328EB" w:rsidRDefault="00BC0250" w:rsidP="00BC0250">
      <w:pPr>
        <w:rPr>
          <w:rFonts w:eastAsia="Arial Unicode MS"/>
        </w:rPr>
        <w:sectPr w:rsidR="00A328EB" w:rsidSect="00C26282">
          <w:pgSz w:w="11907" w:h="16840" w:code="9"/>
          <w:pgMar w:top="1418" w:right="1701" w:bottom="1134" w:left="1843" w:header="284" w:footer="425" w:gutter="284"/>
          <w:cols w:space="720"/>
        </w:sectPr>
      </w:pPr>
      <w:r w:rsidRPr="00BC0250">
        <w:rPr>
          <w:rFonts w:eastAsia="Arial Unicode MS"/>
        </w:rPr>
        <w:t>Revenue from the supply of services is recognised by reference to the stage of completion of the transaction at balance date and only to the extent that the outcome of the transaction can be estimated reliably.</w:t>
      </w:r>
    </w:p>
    <w:p w14:paraId="1ECE18F5" w14:textId="77777777" w:rsidR="00A328EB" w:rsidRDefault="00A328EB" w:rsidP="00A328EB">
      <w:pPr>
        <w:pStyle w:val="Heading5"/>
        <w:spacing w:before="0"/>
      </w:pPr>
      <w:r w:rsidRPr="00A328EB">
        <w:lastRenderedPageBreak/>
        <w:t>Other revenue</w:t>
      </w:r>
    </w:p>
    <w:tbl>
      <w:tblPr>
        <w:tblpPr w:leftFromText="180" w:rightFromText="180" w:vertAnchor="text" w:horzAnchor="margin" w:tblpY="64"/>
        <w:tblW w:w="7926" w:type="dxa"/>
        <w:tblLayout w:type="fixed"/>
        <w:tblCellMar>
          <w:left w:w="0" w:type="dxa"/>
          <w:right w:w="0" w:type="dxa"/>
        </w:tblCellMar>
        <w:tblLook w:val="01E0" w:firstRow="1" w:lastRow="1" w:firstColumn="1" w:lastColumn="1" w:noHBand="0" w:noVBand="0"/>
      </w:tblPr>
      <w:tblGrid>
        <w:gridCol w:w="993"/>
        <w:gridCol w:w="4677"/>
        <w:gridCol w:w="2256"/>
      </w:tblGrid>
      <w:tr w:rsidR="00A328EB" w14:paraId="6D0D1E89" w14:textId="77777777" w:rsidTr="00A328EB">
        <w:trPr>
          <w:trHeight w:val="826"/>
        </w:trPr>
        <w:tc>
          <w:tcPr>
            <w:tcW w:w="993" w:type="dxa"/>
            <w:shd w:val="clear" w:color="auto" w:fill="D9D9D9" w:themeFill="background1" w:themeFillShade="D9"/>
          </w:tcPr>
          <w:p w14:paraId="1F1EBFE9" w14:textId="77777777" w:rsidR="00A328EB" w:rsidRPr="00A328EB" w:rsidRDefault="00A328EB" w:rsidP="00A328EB">
            <w:pPr>
              <w:pStyle w:val="TableText"/>
              <w:jc w:val="right"/>
              <w:rPr>
                <w:b/>
                <w:bCs/>
              </w:rPr>
            </w:pPr>
            <w:r w:rsidRPr="00A328EB">
              <w:rPr>
                <w:b/>
                <w:bCs/>
                <w:w w:val="110"/>
              </w:rPr>
              <w:t>Actual</w:t>
            </w:r>
          </w:p>
          <w:p w14:paraId="79B4FEA5" w14:textId="77777777" w:rsidR="00A328EB" w:rsidRPr="00A328EB" w:rsidRDefault="00A328EB" w:rsidP="00A328EB">
            <w:pPr>
              <w:pStyle w:val="TableText"/>
              <w:jc w:val="right"/>
              <w:rPr>
                <w:b/>
                <w:bCs/>
              </w:rPr>
            </w:pPr>
            <w:r w:rsidRPr="00A328EB">
              <w:rPr>
                <w:b/>
                <w:bCs/>
              </w:rPr>
              <w:t>2021</w:t>
            </w:r>
          </w:p>
          <w:p w14:paraId="15EF33B7" w14:textId="2F9A03B4" w:rsidR="00A328EB" w:rsidRPr="00A328EB" w:rsidRDefault="00A328EB" w:rsidP="00A328EB">
            <w:pPr>
              <w:pStyle w:val="TableText"/>
              <w:jc w:val="right"/>
              <w:rPr>
                <w:b/>
                <w:bCs/>
                <w:w w:val="110"/>
              </w:rPr>
            </w:pPr>
            <w:r w:rsidRPr="00A328EB">
              <w:rPr>
                <w:b/>
                <w:bCs/>
                <w:w w:val="120"/>
              </w:rPr>
              <w:t>$000</w:t>
            </w:r>
          </w:p>
        </w:tc>
        <w:tc>
          <w:tcPr>
            <w:tcW w:w="4677" w:type="dxa"/>
            <w:shd w:val="clear" w:color="auto" w:fill="D9D9D9" w:themeFill="background1" w:themeFillShade="D9"/>
          </w:tcPr>
          <w:p w14:paraId="755EDC71" w14:textId="01226238" w:rsidR="00A328EB" w:rsidRPr="00A328EB" w:rsidRDefault="00A328EB" w:rsidP="00A328EB">
            <w:pPr>
              <w:pStyle w:val="TableText"/>
              <w:ind w:left="-137" w:firstLine="194"/>
              <w:rPr>
                <w:b/>
                <w:bCs/>
              </w:rPr>
            </w:pPr>
          </w:p>
        </w:tc>
        <w:tc>
          <w:tcPr>
            <w:tcW w:w="2256" w:type="dxa"/>
            <w:shd w:val="clear" w:color="auto" w:fill="D9D9D9" w:themeFill="background1" w:themeFillShade="D9"/>
          </w:tcPr>
          <w:p w14:paraId="533BC227" w14:textId="7386FB6A" w:rsidR="00A328EB" w:rsidRPr="00A328EB" w:rsidRDefault="00A328EB" w:rsidP="00A328EB">
            <w:pPr>
              <w:pStyle w:val="TableText"/>
              <w:jc w:val="right"/>
              <w:rPr>
                <w:b/>
                <w:bCs/>
              </w:rPr>
            </w:pPr>
            <w:r w:rsidRPr="00A328EB">
              <w:rPr>
                <w:b/>
                <w:bCs/>
                <w:w w:val="110"/>
              </w:rPr>
              <w:t>Actual</w:t>
            </w:r>
            <w:r>
              <w:rPr>
                <w:b/>
                <w:bCs/>
                <w:w w:val="110"/>
              </w:rPr>
              <w:br/>
            </w:r>
            <w:r w:rsidRPr="00A328EB">
              <w:rPr>
                <w:b/>
                <w:bCs/>
                <w:spacing w:val="-53"/>
                <w:w w:val="110"/>
              </w:rPr>
              <w:t xml:space="preserve"> </w:t>
            </w:r>
            <w:r w:rsidRPr="00A328EB">
              <w:rPr>
                <w:b/>
                <w:bCs/>
                <w:w w:val="105"/>
              </w:rPr>
              <w:t>2022</w:t>
            </w:r>
          </w:p>
          <w:p w14:paraId="3694299C" w14:textId="77777777" w:rsidR="00A328EB" w:rsidRPr="00A328EB" w:rsidRDefault="00A328EB" w:rsidP="00A328EB">
            <w:pPr>
              <w:pStyle w:val="TableText"/>
              <w:jc w:val="right"/>
              <w:rPr>
                <w:b/>
                <w:bCs/>
              </w:rPr>
            </w:pPr>
            <w:r w:rsidRPr="00A328EB">
              <w:rPr>
                <w:b/>
                <w:bCs/>
                <w:w w:val="120"/>
              </w:rPr>
              <w:t>$000</w:t>
            </w:r>
          </w:p>
        </w:tc>
      </w:tr>
      <w:tr w:rsidR="00A328EB" w14:paraId="2A28FE65" w14:textId="77777777" w:rsidTr="00A328EB">
        <w:trPr>
          <w:trHeight w:val="398"/>
        </w:trPr>
        <w:tc>
          <w:tcPr>
            <w:tcW w:w="993" w:type="dxa"/>
          </w:tcPr>
          <w:p w14:paraId="4B8FD9C7" w14:textId="70DDA4CA" w:rsidR="00A328EB" w:rsidRDefault="00A328EB" w:rsidP="00A328EB">
            <w:pPr>
              <w:pStyle w:val="TableText"/>
              <w:jc w:val="right"/>
              <w:rPr>
                <w:w w:val="105"/>
              </w:rPr>
            </w:pPr>
            <w:r>
              <w:rPr>
                <w:w w:val="105"/>
              </w:rPr>
              <w:t xml:space="preserve">9,970 </w:t>
            </w:r>
            <w:r>
              <w:rPr>
                <w:spacing w:val="2"/>
                <w:w w:val="105"/>
              </w:rPr>
              <w:t xml:space="preserve"> </w:t>
            </w:r>
          </w:p>
        </w:tc>
        <w:tc>
          <w:tcPr>
            <w:tcW w:w="4677" w:type="dxa"/>
          </w:tcPr>
          <w:p w14:paraId="2B5957F2" w14:textId="3289F08A" w:rsidR="00A328EB" w:rsidRDefault="00A328EB" w:rsidP="00A328EB">
            <w:pPr>
              <w:pStyle w:val="TableText"/>
            </w:pPr>
            <w:r>
              <w:rPr>
                <w:w w:val="105"/>
              </w:rPr>
              <w:t>Medicines</w:t>
            </w:r>
            <w:r>
              <w:rPr>
                <w:spacing w:val="-5"/>
                <w:w w:val="105"/>
              </w:rPr>
              <w:t xml:space="preserve"> </w:t>
            </w:r>
            <w:r>
              <w:rPr>
                <w:w w:val="105"/>
              </w:rPr>
              <w:t>registration</w:t>
            </w:r>
          </w:p>
        </w:tc>
        <w:tc>
          <w:tcPr>
            <w:tcW w:w="2256" w:type="dxa"/>
          </w:tcPr>
          <w:p w14:paraId="1D8FA13A" w14:textId="77777777" w:rsidR="00A328EB" w:rsidRDefault="00A328EB" w:rsidP="00A328EB">
            <w:pPr>
              <w:pStyle w:val="TableText"/>
              <w:jc w:val="right"/>
            </w:pPr>
            <w:r>
              <w:t>10,092</w:t>
            </w:r>
          </w:p>
        </w:tc>
      </w:tr>
      <w:tr w:rsidR="00A328EB" w14:paraId="0557A168" w14:textId="77777777" w:rsidTr="00A328EB">
        <w:trPr>
          <w:trHeight w:val="349"/>
        </w:trPr>
        <w:tc>
          <w:tcPr>
            <w:tcW w:w="993" w:type="dxa"/>
          </w:tcPr>
          <w:p w14:paraId="40826185" w14:textId="09B23C62" w:rsidR="00A328EB" w:rsidRDefault="00A328EB" w:rsidP="00A328EB">
            <w:pPr>
              <w:pStyle w:val="TableText"/>
              <w:jc w:val="right"/>
              <w:rPr>
                <w:w w:val="105"/>
              </w:rPr>
            </w:pPr>
            <w:r>
              <w:rPr>
                <w:w w:val="105"/>
              </w:rPr>
              <w:t>2,686</w:t>
            </w:r>
          </w:p>
        </w:tc>
        <w:tc>
          <w:tcPr>
            <w:tcW w:w="4677" w:type="dxa"/>
          </w:tcPr>
          <w:p w14:paraId="01B437BF" w14:textId="442CE74D" w:rsidR="00A328EB" w:rsidRDefault="00A328EB" w:rsidP="00A328EB">
            <w:pPr>
              <w:pStyle w:val="TableText"/>
            </w:pPr>
            <w:r>
              <w:rPr>
                <w:w w:val="105"/>
              </w:rPr>
              <w:t>Annual</w:t>
            </w:r>
            <w:r>
              <w:rPr>
                <w:spacing w:val="-9"/>
                <w:w w:val="105"/>
              </w:rPr>
              <w:t xml:space="preserve"> </w:t>
            </w:r>
            <w:r>
              <w:rPr>
                <w:w w:val="105"/>
              </w:rPr>
              <w:t>licence</w:t>
            </w:r>
            <w:r>
              <w:rPr>
                <w:spacing w:val="-9"/>
                <w:w w:val="105"/>
              </w:rPr>
              <w:t xml:space="preserve"> </w:t>
            </w:r>
            <w:r>
              <w:rPr>
                <w:w w:val="105"/>
              </w:rPr>
              <w:t>and</w:t>
            </w:r>
            <w:r>
              <w:rPr>
                <w:spacing w:val="-9"/>
                <w:w w:val="105"/>
              </w:rPr>
              <w:t xml:space="preserve"> </w:t>
            </w:r>
            <w:r>
              <w:rPr>
                <w:w w:val="105"/>
              </w:rPr>
              <w:t>registration</w:t>
            </w:r>
            <w:r>
              <w:rPr>
                <w:spacing w:val="-9"/>
                <w:w w:val="105"/>
              </w:rPr>
              <w:t xml:space="preserve"> </w:t>
            </w:r>
            <w:r>
              <w:rPr>
                <w:w w:val="105"/>
              </w:rPr>
              <w:t>fees</w:t>
            </w:r>
          </w:p>
        </w:tc>
        <w:tc>
          <w:tcPr>
            <w:tcW w:w="2256" w:type="dxa"/>
          </w:tcPr>
          <w:p w14:paraId="79CB3FB3" w14:textId="77777777" w:rsidR="00A328EB" w:rsidRDefault="00A328EB" w:rsidP="00A328EB">
            <w:pPr>
              <w:pStyle w:val="TableText"/>
              <w:jc w:val="right"/>
            </w:pPr>
            <w:r>
              <w:rPr>
                <w:w w:val="105"/>
              </w:rPr>
              <w:t>4,425</w:t>
            </w:r>
          </w:p>
        </w:tc>
      </w:tr>
      <w:tr w:rsidR="00A328EB" w14:paraId="1774C6D2" w14:textId="77777777" w:rsidTr="00A328EB">
        <w:trPr>
          <w:trHeight w:val="346"/>
        </w:trPr>
        <w:tc>
          <w:tcPr>
            <w:tcW w:w="993" w:type="dxa"/>
          </w:tcPr>
          <w:p w14:paraId="19B52C12" w14:textId="2C0D61E4" w:rsidR="00A328EB" w:rsidRDefault="00A328EB" w:rsidP="00A328EB">
            <w:pPr>
              <w:pStyle w:val="TableText"/>
              <w:jc w:val="right"/>
              <w:rPr>
                <w:w w:val="95"/>
              </w:rPr>
            </w:pPr>
            <w:r>
              <w:rPr>
                <w:w w:val="95"/>
              </w:rPr>
              <w:t>1,145</w:t>
            </w:r>
          </w:p>
        </w:tc>
        <w:tc>
          <w:tcPr>
            <w:tcW w:w="4677" w:type="dxa"/>
          </w:tcPr>
          <w:p w14:paraId="0DD7C210" w14:textId="5E5633C8" w:rsidR="00A328EB" w:rsidRPr="00A328EB" w:rsidRDefault="00A328EB" w:rsidP="00A328EB">
            <w:pPr>
              <w:pStyle w:val="TableText"/>
            </w:pPr>
            <w:r w:rsidRPr="00A328EB">
              <w:t>Other revenue</w:t>
            </w:r>
          </w:p>
        </w:tc>
        <w:tc>
          <w:tcPr>
            <w:tcW w:w="2256" w:type="dxa"/>
          </w:tcPr>
          <w:p w14:paraId="293CAAE4" w14:textId="77777777" w:rsidR="00A328EB" w:rsidRDefault="00A328EB" w:rsidP="00A328EB">
            <w:pPr>
              <w:pStyle w:val="TableText"/>
              <w:jc w:val="right"/>
            </w:pPr>
            <w:r>
              <w:t>2,762</w:t>
            </w:r>
          </w:p>
        </w:tc>
      </w:tr>
      <w:tr w:rsidR="00A328EB" w14:paraId="5034556B" w14:textId="77777777" w:rsidTr="00A328EB">
        <w:trPr>
          <w:trHeight w:val="291"/>
        </w:trPr>
        <w:tc>
          <w:tcPr>
            <w:tcW w:w="993" w:type="dxa"/>
            <w:tcBorders>
              <w:bottom w:val="single" w:sz="4" w:space="0" w:color="A6A6A6" w:themeColor="background1" w:themeShade="A6"/>
            </w:tcBorders>
          </w:tcPr>
          <w:p w14:paraId="7D964458" w14:textId="33FAB1B6" w:rsidR="00A328EB" w:rsidRPr="00A328EB" w:rsidRDefault="00A328EB" w:rsidP="00A328EB">
            <w:pPr>
              <w:pStyle w:val="TableText"/>
              <w:jc w:val="right"/>
              <w:rPr>
                <w:b/>
                <w:bCs/>
              </w:rPr>
            </w:pPr>
            <w:r w:rsidRPr="00A328EB">
              <w:rPr>
                <w:b/>
                <w:bCs/>
              </w:rPr>
              <w:t xml:space="preserve">13,801   </w:t>
            </w:r>
            <w:r w:rsidRPr="00A328EB">
              <w:rPr>
                <w:b/>
                <w:bCs/>
                <w:spacing w:val="1"/>
              </w:rPr>
              <w:t xml:space="preserve"> </w:t>
            </w:r>
          </w:p>
        </w:tc>
        <w:tc>
          <w:tcPr>
            <w:tcW w:w="4677" w:type="dxa"/>
            <w:tcBorders>
              <w:bottom w:val="single" w:sz="4" w:space="0" w:color="A6A6A6" w:themeColor="background1" w:themeShade="A6"/>
            </w:tcBorders>
          </w:tcPr>
          <w:p w14:paraId="75FC1F88" w14:textId="496B49CA" w:rsidR="00A328EB" w:rsidRPr="00A328EB" w:rsidRDefault="00A328EB" w:rsidP="00A328EB">
            <w:pPr>
              <w:pStyle w:val="TableText"/>
              <w:rPr>
                <w:b/>
                <w:bCs/>
              </w:rPr>
            </w:pPr>
            <w:r w:rsidRPr="00A328EB">
              <w:rPr>
                <w:b/>
                <w:bCs/>
              </w:rPr>
              <w:t>Total</w:t>
            </w:r>
            <w:r w:rsidRPr="00A328EB">
              <w:rPr>
                <w:b/>
                <w:bCs/>
                <w:spacing w:val="4"/>
              </w:rPr>
              <w:t xml:space="preserve"> </w:t>
            </w:r>
            <w:r w:rsidRPr="00A328EB">
              <w:rPr>
                <w:b/>
                <w:bCs/>
              </w:rPr>
              <w:t>other</w:t>
            </w:r>
            <w:r w:rsidRPr="00A328EB">
              <w:rPr>
                <w:b/>
                <w:bCs/>
                <w:spacing w:val="4"/>
              </w:rPr>
              <w:t xml:space="preserve"> </w:t>
            </w:r>
            <w:r w:rsidRPr="00A328EB">
              <w:rPr>
                <w:b/>
                <w:bCs/>
              </w:rPr>
              <w:t>revenue</w:t>
            </w:r>
          </w:p>
        </w:tc>
        <w:tc>
          <w:tcPr>
            <w:tcW w:w="2256" w:type="dxa"/>
            <w:tcBorders>
              <w:bottom w:val="single" w:sz="4" w:space="0" w:color="A6A6A6" w:themeColor="background1" w:themeShade="A6"/>
            </w:tcBorders>
          </w:tcPr>
          <w:p w14:paraId="64529BEA" w14:textId="77777777" w:rsidR="00A328EB" w:rsidRPr="00A328EB" w:rsidRDefault="00A328EB" w:rsidP="00A328EB">
            <w:pPr>
              <w:pStyle w:val="TableText"/>
              <w:jc w:val="right"/>
              <w:rPr>
                <w:b/>
                <w:bCs/>
              </w:rPr>
            </w:pPr>
            <w:r w:rsidRPr="00A328EB">
              <w:rPr>
                <w:b/>
                <w:bCs/>
              </w:rPr>
              <w:t>17,279</w:t>
            </w:r>
          </w:p>
        </w:tc>
      </w:tr>
    </w:tbl>
    <w:p w14:paraId="07E79B1B" w14:textId="77777777" w:rsidR="00A328EB" w:rsidRPr="00A328EB" w:rsidRDefault="00A328EB" w:rsidP="00A328EB">
      <w:pPr>
        <w:pStyle w:val="Heading5"/>
      </w:pPr>
      <w:r w:rsidRPr="00A328EB">
        <w:t>Explanation of major variances against budget</w:t>
      </w:r>
    </w:p>
    <w:p w14:paraId="4358B145" w14:textId="77777777" w:rsidR="00A328EB" w:rsidRDefault="00A328EB" w:rsidP="00A328EB">
      <w:pPr>
        <w:rPr>
          <w:rFonts w:eastAsia="Arial Unicode MS"/>
        </w:rPr>
      </w:pPr>
      <w:r w:rsidRPr="00A328EB">
        <w:rPr>
          <w:rFonts w:eastAsia="Arial Unicode MS"/>
        </w:rPr>
        <w:t>Revenue Crown was $416.760 million higher than budget due to additional operating costs for COVID-19 vaccine strategies and national response to COVID-19 ($228.136 million), health and disability system reform ($5.020 million), health sector information systems additional funding ($168.628 million) for various technology requirements relating to maintenance and enhancement of COVID-19 technology and the development of a number of new information technology initiatives, accounting policy changes on SaaS converting capital to operating costs, development of national immunisation solution, and a number of immaterial funding adjustments. These variances were expected and the changes were outlined and included in the 2021/22 Vote Health Supplementary Estimates (Revised budget).</w:t>
      </w:r>
    </w:p>
    <w:p w14:paraId="1625E590" w14:textId="77777777" w:rsidR="00A328EB" w:rsidRPr="00A328EB" w:rsidRDefault="00A328EB" w:rsidP="00A328EB">
      <w:pPr>
        <w:pStyle w:val="Heading4"/>
      </w:pPr>
      <w:r w:rsidRPr="00A328EB">
        <w:t>3</w:t>
      </w:r>
      <w:r w:rsidRPr="00A328EB">
        <w:tab/>
        <w:t>Personnel costs</w:t>
      </w:r>
    </w:p>
    <w:p w14:paraId="46E46FB9" w14:textId="77777777" w:rsidR="00A328EB" w:rsidRPr="00A328EB" w:rsidRDefault="00A328EB" w:rsidP="00A328EB">
      <w:pPr>
        <w:pStyle w:val="Heading5"/>
      </w:pPr>
      <w:r w:rsidRPr="00A328EB">
        <w:t>Accounting policy</w:t>
      </w:r>
    </w:p>
    <w:p w14:paraId="449EDEB4" w14:textId="77777777" w:rsidR="00A328EB" w:rsidRPr="00A328EB" w:rsidRDefault="00A328EB" w:rsidP="004C2BFC">
      <w:pPr>
        <w:pStyle w:val="Heading6"/>
      </w:pPr>
      <w:r w:rsidRPr="00A328EB">
        <w:t>Salaries and wages</w:t>
      </w:r>
    </w:p>
    <w:p w14:paraId="1DD278B5" w14:textId="77777777" w:rsidR="00A328EB" w:rsidRPr="00A328EB" w:rsidRDefault="00A328EB" w:rsidP="00A328EB">
      <w:pPr>
        <w:rPr>
          <w:rFonts w:eastAsia="Arial Unicode MS"/>
        </w:rPr>
      </w:pPr>
      <w:r w:rsidRPr="00A328EB">
        <w:rPr>
          <w:rFonts w:eastAsia="Arial Unicode MS"/>
        </w:rPr>
        <w:t>Salaries and wages are recognised as an expense as employees provide services.</w:t>
      </w:r>
    </w:p>
    <w:p w14:paraId="2E6D7F03" w14:textId="77777777" w:rsidR="00A328EB" w:rsidRPr="00A328EB" w:rsidRDefault="00A328EB" w:rsidP="00090FEB">
      <w:pPr>
        <w:pStyle w:val="Heading5"/>
      </w:pPr>
      <w:r w:rsidRPr="00A328EB">
        <w:t>Superannuation schemes</w:t>
      </w:r>
    </w:p>
    <w:p w14:paraId="39AE65F7" w14:textId="77777777" w:rsidR="00A328EB" w:rsidRPr="00090FEB" w:rsidRDefault="00A328EB" w:rsidP="00090FEB">
      <w:pPr>
        <w:pStyle w:val="Heading6"/>
      </w:pPr>
      <w:r w:rsidRPr="00090FEB">
        <w:t>Defined contribution schemes</w:t>
      </w:r>
    </w:p>
    <w:p w14:paraId="104C7A95" w14:textId="728A8055" w:rsidR="00A328EB" w:rsidRDefault="00A328EB" w:rsidP="00A328EB">
      <w:pPr>
        <w:rPr>
          <w:rFonts w:eastAsia="Arial Unicode MS"/>
        </w:rPr>
      </w:pPr>
      <w:r w:rsidRPr="00A328EB">
        <w:rPr>
          <w:rFonts w:eastAsia="Arial Unicode MS"/>
        </w:rPr>
        <w:t>Employer contributions to the State Sector Retirement Savings Scheme, KiwiSaver and the Government Superannuation Fund are accounted for as defined contribution superannuation schemes and are expensed in surplus or deficit as incurred.</w:t>
      </w:r>
    </w:p>
    <w:p w14:paraId="7378304B" w14:textId="77777777" w:rsidR="00A328EB" w:rsidRDefault="00A328EB" w:rsidP="00A328EB">
      <w:pPr>
        <w:rPr>
          <w:rFonts w:eastAsia="Arial Unicode MS"/>
        </w:rPr>
      </w:pPr>
    </w:p>
    <w:tbl>
      <w:tblPr>
        <w:tblpPr w:leftFromText="180" w:rightFromText="180" w:vertAnchor="text" w:horzAnchor="margin" w:tblpY="-72"/>
        <w:tblW w:w="8081" w:type="dxa"/>
        <w:tblLayout w:type="fixed"/>
        <w:tblCellMar>
          <w:left w:w="0" w:type="dxa"/>
          <w:right w:w="0" w:type="dxa"/>
        </w:tblCellMar>
        <w:tblLook w:val="01E0" w:firstRow="1" w:lastRow="1" w:firstColumn="1" w:lastColumn="1" w:noHBand="0" w:noVBand="0"/>
      </w:tblPr>
      <w:tblGrid>
        <w:gridCol w:w="940"/>
        <w:gridCol w:w="5576"/>
        <w:gridCol w:w="1565"/>
      </w:tblGrid>
      <w:tr w:rsidR="00A328EB" w14:paraId="5165E90B" w14:textId="77777777" w:rsidTr="00A328EB">
        <w:trPr>
          <w:trHeight w:val="829"/>
        </w:trPr>
        <w:tc>
          <w:tcPr>
            <w:tcW w:w="940" w:type="dxa"/>
            <w:shd w:val="clear" w:color="auto" w:fill="D9D9D9" w:themeFill="background1" w:themeFillShade="D9"/>
          </w:tcPr>
          <w:p w14:paraId="2C4AFF65" w14:textId="77777777" w:rsidR="00A328EB" w:rsidRPr="00A328EB" w:rsidRDefault="00A328EB" w:rsidP="00A328EB">
            <w:pPr>
              <w:pStyle w:val="TableText"/>
              <w:jc w:val="right"/>
              <w:rPr>
                <w:b/>
                <w:bCs/>
              </w:rPr>
            </w:pPr>
            <w:r w:rsidRPr="00A328EB">
              <w:rPr>
                <w:b/>
                <w:bCs/>
                <w:w w:val="110"/>
              </w:rPr>
              <w:t>Actual</w:t>
            </w:r>
          </w:p>
          <w:p w14:paraId="543493D7" w14:textId="77777777" w:rsidR="00A328EB" w:rsidRPr="00A328EB" w:rsidRDefault="00A328EB" w:rsidP="00A328EB">
            <w:pPr>
              <w:pStyle w:val="TableText"/>
              <w:jc w:val="right"/>
              <w:rPr>
                <w:b/>
                <w:bCs/>
              </w:rPr>
            </w:pPr>
            <w:r w:rsidRPr="00A328EB">
              <w:rPr>
                <w:b/>
                <w:bCs/>
              </w:rPr>
              <w:t>2021</w:t>
            </w:r>
          </w:p>
          <w:p w14:paraId="00188A42" w14:textId="77777777" w:rsidR="00A328EB" w:rsidRPr="00A328EB" w:rsidRDefault="00A328EB" w:rsidP="00A328EB">
            <w:pPr>
              <w:pStyle w:val="TableText"/>
              <w:jc w:val="right"/>
              <w:rPr>
                <w:b/>
                <w:bCs/>
              </w:rPr>
            </w:pPr>
            <w:r w:rsidRPr="00A328EB">
              <w:rPr>
                <w:b/>
                <w:bCs/>
                <w:w w:val="120"/>
              </w:rPr>
              <w:t>$000</w:t>
            </w:r>
          </w:p>
        </w:tc>
        <w:tc>
          <w:tcPr>
            <w:tcW w:w="5576" w:type="dxa"/>
            <w:shd w:val="clear" w:color="auto" w:fill="D9D9D9" w:themeFill="background1" w:themeFillShade="D9"/>
          </w:tcPr>
          <w:p w14:paraId="487CAFB6" w14:textId="77777777" w:rsidR="00A328EB" w:rsidRPr="00A328EB" w:rsidRDefault="00A328EB" w:rsidP="00A328EB">
            <w:pPr>
              <w:pStyle w:val="TableText"/>
              <w:rPr>
                <w:rFonts w:ascii="Times New Roman"/>
                <w:b/>
                <w:bCs/>
                <w:sz w:val="20"/>
              </w:rPr>
            </w:pPr>
          </w:p>
        </w:tc>
        <w:tc>
          <w:tcPr>
            <w:tcW w:w="1565" w:type="dxa"/>
            <w:shd w:val="clear" w:color="auto" w:fill="D9D9D9" w:themeFill="background1" w:themeFillShade="D9"/>
          </w:tcPr>
          <w:p w14:paraId="726DB9A0" w14:textId="45EA3060" w:rsidR="00A328EB" w:rsidRPr="00A328EB" w:rsidRDefault="00A328EB" w:rsidP="00A328EB">
            <w:pPr>
              <w:pStyle w:val="TableText"/>
              <w:jc w:val="right"/>
              <w:rPr>
                <w:b/>
                <w:bCs/>
              </w:rPr>
            </w:pPr>
            <w:r w:rsidRPr="00A328EB">
              <w:rPr>
                <w:b/>
                <w:bCs/>
                <w:w w:val="110"/>
              </w:rPr>
              <w:t>Actual</w:t>
            </w:r>
            <w:r w:rsidRPr="00A328EB">
              <w:rPr>
                <w:b/>
                <w:bCs/>
                <w:spacing w:val="-53"/>
                <w:w w:val="110"/>
              </w:rPr>
              <w:t xml:space="preserve"> </w:t>
            </w:r>
            <w:r>
              <w:rPr>
                <w:b/>
                <w:bCs/>
                <w:spacing w:val="-53"/>
                <w:w w:val="110"/>
              </w:rPr>
              <w:br/>
            </w:r>
            <w:r w:rsidRPr="00A328EB">
              <w:rPr>
                <w:b/>
                <w:bCs/>
                <w:w w:val="105"/>
              </w:rPr>
              <w:t>2022</w:t>
            </w:r>
          </w:p>
          <w:p w14:paraId="767714CD" w14:textId="77777777" w:rsidR="00A328EB" w:rsidRPr="00A328EB" w:rsidRDefault="00A328EB" w:rsidP="00A328EB">
            <w:pPr>
              <w:pStyle w:val="TableText"/>
              <w:jc w:val="right"/>
              <w:rPr>
                <w:b/>
                <w:bCs/>
              </w:rPr>
            </w:pPr>
            <w:r w:rsidRPr="00A328EB">
              <w:rPr>
                <w:b/>
                <w:bCs/>
                <w:w w:val="120"/>
              </w:rPr>
              <w:t>$000</w:t>
            </w:r>
          </w:p>
        </w:tc>
      </w:tr>
      <w:tr w:rsidR="00A328EB" w14:paraId="7C111875" w14:textId="77777777" w:rsidTr="00A328EB">
        <w:trPr>
          <w:trHeight w:val="398"/>
        </w:trPr>
        <w:tc>
          <w:tcPr>
            <w:tcW w:w="940" w:type="dxa"/>
          </w:tcPr>
          <w:p w14:paraId="4DAA2C7A" w14:textId="77777777" w:rsidR="00A328EB" w:rsidRDefault="00A328EB" w:rsidP="00A328EB">
            <w:pPr>
              <w:pStyle w:val="TableText"/>
              <w:jc w:val="right"/>
            </w:pPr>
            <w:r>
              <w:t>166,070</w:t>
            </w:r>
          </w:p>
        </w:tc>
        <w:tc>
          <w:tcPr>
            <w:tcW w:w="5576" w:type="dxa"/>
          </w:tcPr>
          <w:p w14:paraId="14792A3A" w14:textId="77777777" w:rsidR="00A328EB" w:rsidRDefault="00A328EB" w:rsidP="008803C1">
            <w:pPr>
              <w:pStyle w:val="TableText"/>
              <w:ind w:left="113"/>
            </w:pPr>
            <w:r>
              <w:rPr>
                <w:w w:val="105"/>
              </w:rPr>
              <w:t>Salaries</w:t>
            </w:r>
            <w:r>
              <w:rPr>
                <w:spacing w:val="-5"/>
                <w:w w:val="105"/>
              </w:rPr>
              <w:t xml:space="preserve"> </w:t>
            </w:r>
            <w:r>
              <w:rPr>
                <w:w w:val="105"/>
              </w:rPr>
              <w:t>and</w:t>
            </w:r>
            <w:r>
              <w:rPr>
                <w:spacing w:val="-4"/>
                <w:w w:val="105"/>
              </w:rPr>
              <w:t xml:space="preserve"> </w:t>
            </w:r>
            <w:r>
              <w:rPr>
                <w:w w:val="105"/>
              </w:rPr>
              <w:t>wages</w:t>
            </w:r>
          </w:p>
        </w:tc>
        <w:tc>
          <w:tcPr>
            <w:tcW w:w="1565" w:type="dxa"/>
          </w:tcPr>
          <w:p w14:paraId="0755A7C0" w14:textId="77777777" w:rsidR="00A328EB" w:rsidRDefault="00A328EB" w:rsidP="00A328EB">
            <w:pPr>
              <w:pStyle w:val="TableText"/>
              <w:jc w:val="right"/>
            </w:pPr>
            <w:r>
              <w:t>214,987</w:t>
            </w:r>
          </w:p>
        </w:tc>
      </w:tr>
      <w:tr w:rsidR="00A328EB" w14:paraId="41C88D02" w14:textId="77777777" w:rsidTr="00A328EB">
        <w:trPr>
          <w:trHeight w:val="349"/>
        </w:trPr>
        <w:tc>
          <w:tcPr>
            <w:tcW w:w="940" w:type="dxa"/>
          </w:tcPr>
          <w:p w14:paraId="36E44B0C" w14:textId="77777777" w:rsidR="00A328EB" w:rsidRDefault="00A328EB" w:rsidP="00A328EB">
            <w:pPr>
              <w:pStyle w:val="TableText"/>
              <w:jc w:val="right"/>
            </w:pPr>
            <w:r>
              <w:rPr>
                <w:w w:val="105"/>
              </w:rPr>
              <w:t>4,879</w:t>
            </w:r>
          </w:p>
        </w:tc>
        <w:tc>
          <w:tcPr>
            <w:tcW w:w="5576" w:type="dxa"/>
          </w:tcPr>
          <w:p w14:paraId="6F1FDFA7" w14:textId="77777777" w:rsidR="00A328EB" w:rsidRDefault="00A328EB" w:rsidP="008803C1">
            <w:pPr>
              <w:pStyle w:val="TableText"/>
              <w:ind w:left="113"/>
            </w:pPr>
            <w:r>
              <w:rPr>
                <w:w w:val="105"/>
              </w:rPr>
              <w:t>Employer</w:t>
            </w:r>
            <w:r>
              <w:rPr>
                <w:spacing w:val="-11"/>
                <w:w w:val="105"/>
              </w:rPr>
              <w:t xml:space="preserve"> </w:t>
            </w:r>
            <w:r>
              <w:rPr>
                <w:w w:val="105"/>
              </w:rPr>
              <w:t>contributions</w:t>
            </w:r>
            <w:r>
              <w:rPr>
                <w:spacing w:val="-11"/>
                <w:w w:val="105"/>
              </w:rPr>
              <w:t xml:space="preserve"> </w:t>
            </w:r>
            <w:r>
              <w:rPr>
                <w:w w:val="105"/>
              </w:rPr>
              <w:t>to</w:t>
            </w:r>
            <w:r>
              <w:rPr>
                <w:spacing w:val="-11"/>
                <w:w w:val="105"/>
              </w:rPr>
              <w:t xml:space="preserve"> </w:t>
            </w:r>
            <w:r>
              <w:rPr>
                <w:w w:val="105"/>
              </w:rPr>
              <w:t>defined</w:t>
            </w:r>
            <w:r>
              <w:rPr>
                <w:spacing w:val="-11"/>
                <w:w w:val="105"/>
              </w:rPr>
              <w:t xml:space="preserve"> </w:t>
            </w:r>
            <w:r>
              <w:rPr>
                <w:w w:val="105"/>
              </w:rPr>
              <w:t>contribution</w:t>
            </w:r>
            <w:r>
              <w:rPr>
                <w:spacing w:val="-10"/>
                <w:w w:val="105"/>
              </w:rPr>
              <w:t xml:space="preserve"> </w:t>
            </w:r>
            <w:r>
              <w:rPr>
                <w:w w:val="105"/>
              </w:rPr>
              <w:t>plans</w:t>
            </w:r>
          </w:p>
        </w:tc>
        <w:tc>
          <w:tcPr>
            <w:tcW w:w="1565" w:type="dxa"/>
          </w:tcPr>
          <w:p w14:paraId="34D3F0C5" w14:textId="77777777" w:rsidR="00A328EB" w:rsidRDefault="00A328EB" w:rsidP="00A328EB">
            <w:pPr>
              <w:pStyle w:val="TableText"/>
              <w:jc w:val="right"/>
            </w:pPr>
            <w:r>
              <w:t>6,156</w:t>
            </w:r>
          </w:p>
        </w:tc>
      </w:tr>
      <w:tr w:rsidR="00A328EB" w14:paraId="13A94ECD" w14:textId="77777777" w:rsidTr="00A328EB">
        <w:trPr>
          <w:trHeight w:val="349"/>
        </w:trPr>
        <w:tc>
          <w:tcPr>
            <w:tcW w:w="940" w:type="dxa"/>
          </w:tcPr>
          <w:p w14:paraId="45D65E97" w14:textId="77777777" w:rsidR="00A328EB" w:rsidRDefault="00A328EB" w:rsidP="00A328EB">
            <w:pPr>
              <w:pStyle w:val="TableText"/>
              <w:jc w:val="right"/>
            </w:pPr>
            <w:r>
              <w:rPr>
                <w:w w:val="105"/>
              </w:rPr>
              <w:t>5,853</w:t>
            </w:r>
          </w:p>
        </w:tc>
        <w:tc>
          <w:tcPr>
            <w:tcW w:w="5576" w:type="dxa"/>
          </w:tcPr>
          <w:p w14:paraId="4BF7B107" w14:textId="77777777" w:rsidR="00A328EB" w:rsidRDefault="00A328EB" w:rsidP="008803C1">
            <w:pPr>
              <w:pStyle w:val="TableText"/>
              <w:ind w:left="113"/>
            </w:pPr>
            <w:r>
              <w:rPr>
                <w:w w:val="105"/>
              </w:rPr>
              <w:t>Increase/(decrease)</w:t>
            </w:r>
            <w:r>
              <w:rPr>
                <w:spacing w:val="-12"/>
                <w:w w:val="105"/>
              </w:rPr>
              <w:t xml:space="preserve"> </w:t>
            </w:r>
            <w:r>
              <w:rPr>
                <w:w w:val="105"/>
              </w:rPr>
              <w:t>in</w:t>
            </w:r>
            <w:r>
              <w:rPr>
                <w:spacing w:val="-12"/>
                <w:w w:val="105"/>
              </w:rPr>
              <w:t xml:space="preserve"> </w:t>
            </w:r>
            <w:r>
              <w:rPr>
                <w:w w:val="105"/>
              </w:rPr>
              <w:t>employee</w:t>
            </w:r>
            <w:r>
              <w:rPr>
                <w:spacing w:val="-12"/>
                <w:w w:val="105"/>
              </w:rPr>
              <w:t xml:space="preserve"> </w:t>
            </w:r>
            <w:r>
              <w:rPr>
                <w:w w:val="105"/>
              </w:rPr>
              <w:t>entitlements</w:t>
            </w:r>
          </w:p>
        </w:tc>
        <w:tc>
          <w:tcPr>
            <w:tcW w:w="1565" w:type="dxa"/>
          </w:tcPr>
          <w:p w14:paraId="784F4224" w14:textId="77777777" w:rsidR="00A328EB" w:rsidRDefault="00A328EB" w:rsidP="00A328EB">
            <w:pPr>
              <w:pStyle w:val="TableText"/>
              <w:jc w:val="right"/>
            </w:pPr>
            <w:r>
              <w:rPr>
                <w:w w:val="105"/>
              </w:rPr>
              <w:t>6,239</w:t>
            </w:r>
          </w:p>
        </w:tc>
      </w:tr>
      <w:tr w:rsidR="00A328EB" w14:paraId="71044B80" w14:textId="77777777" w:rsidTr="00A328EB">
        <w:trPr>
          <w:trHeight w:val="346"/>
        </w:trPr>
        <w:tc>
          <w:tcPr>
            <w:tcW w:w="940" w:type="dxa"/>
          </w:tcPr>
          <w:p w14:paraId="6140BB5A" w14:textId="77777777" w:rsidR="00A328EB" w:rsidRDefault="00A328EB" w:rsidP="00A328EB">
            <w:pPr>
              <w:pStyle w:val="TableText"/>
              <w:jc w:val="right"/>
            </w:pPr>
            <w:r>
              <w:t>3,145</w:t>
            </w:r>
          </w:p>
        </w:tc>
        <w:tc>
          <w:tcPr>
            <w:tcW w:w="5576" w:type="dxa"/>
          </w:tcPr>
          <w:p w14:paraId="0B606455" w14:textId="77777777" w:rsidR="00A328EB" w:rsidRDefault="00A328EB" w:rsidP="008803C1">
            <w:pPr>
              <w:pStyle w:val="TableText"/>
              <w:ind w:left="113"/>
            </w:pPr>
            <w:r>
              <w:rPr>
                <w:w w:val="105"/>
              </w:rPr>
              <w:t>Other</w:t>
            </w:r>
            <w:r>
              <w:rPr>
                <w:spacing w:val="-6"/>
                <w:w w:val="105"/>
              </w:rPr>
              <w:t xml:space="preserve"> </w:t>
            </w:r>
            <w:r>
              <w:rPr>
                <w:w w:val="105"/>
              </w:rPr>
              <w:t>personnel</w:t>
            </w:r>
            <w:r>
              <w:rPr>
                <w:spacing w:val="-5"/>
                <w:w w:val="105"/>
              </w:rPr>
              <w:t xml:space="preserve"> </w:t>
            </w:r>
            <w:r>
              <w:rPr>
                <w:w w:val="105"/>
              </w:rPr>
              <w:t>costs</w:t>
            </w:r>
          </w:p>
        </w:tc>
        <w:tc>
          <w:tcPr>
            <w:tcW w:w="1565" w:type="dxa"/>
          </w:tcPr>
          <w:p w14:paraId="0BF5D54B" w14:textId="77777777" w:rsidR="00A328EB" w:rsidRDefault="00A328EB" w:rsidP="00A328EB">
            <w:pPr>
              <w:pStyle w:val="TableText"/>
              <w:jc w:val="right"/>
            </w:pPr>
            <w:r>
              <w:rPr>
                <w:w w:val="105"/>
              </w:rPr>
              <w:t>3,253</w:t>
            </w:r>
          </w:p>
        </w:tc>
      </w:tr>
      <w:tr w:rsidR="00A328EB" w14:paraId="557D0BFF" w14:textId="77777777" w:rsidTr="00A328EB">
        <w:trPr>
          <w:trHeight w:val="291"/>
        </w:trPr>
        <w:tc>
          <w:tcPr>
            <w:tcW w:w="940" w:type="dxa"/>
            <w:tcBorders>
              <w:bottom w:val="single" w:sz="4" w:space="0" w:color="A6A6A6" w:themeColor="background1" w:themeShade="A6"/>
            </w:tcBorders>
          </w:tcPr>
          <w:p w14:paraId="4CD1629D" w14:textId="77777777" w:rsidR="00A328EB" w:rsidRPr="00A328EB" w:rsidRDefault="00A328EB" w:rsidP="00A328EB">
            <w:pPr>
              <w:pStyle w:val="TableText"/>
              <w:jc w:val="right"/>
              <w:rPr>
                <w:b/>
                <w:bCs/>
              </w:rPr>
            </w:pPr>
            <w:r w:rsidRPr="00A328EB">
              <w:rPr>
                <w:b/>
                <w:bCs/>
              </w:rPr>
              <w:t>179,947</w:t>
            </w:r>
          </w:p>
        </w:tc>
        <w:tc>
          <w:tcPr>
            <w:tcW w:w="5576" w:type="dxa"/>
            <w:tcBorders>
              <w:bottom w:val="single" w:sz="4" w:space="0" w:color="A6A6A6" w:themeColor="background1" w:themeShade="A6"/>
            </w:tcBorders>
          </w:tcPr>
          <w:p w14:paraId="17C0F748" w14:textId="77777777" w:rsidR="00A328EB" w:rsidRPr="00A328EB" w:rsidRDefault="00A328EB" w:rsidP="008803C1">
            <w:pPr>
              <w:pStyle w:val="TableText"/>
              <w:ind w:left="113"/>
              <w:rPr>
                <w:b/>
                <w:bCs/>
              </w:rPr>
            </w:pPr>
            <w:r w:rsidRPr="00A328EB">
              <w:rPr>
                <w:b/>
                <w:bCs/>
                <w:w w:val="105"/>
              </w:rPr>
              <w:t>Total</w:t>
            </w:r>
            <w:r w:rsidRPr="00A328EB">
              <w:rPr>
                <w:b/>
                <w:bCs/>
                <w:spacing w:val="10"/>
                <w:w w:val="105"/>
              </w:rPr>
              <w:t xml:space="preserve"> </w:t>
            </w:r>
            <w:r w:rsidRPr="00A328EB">
              <w:rPr>
                <w:b/>
                <w:bCs/>
                <w:w w:val="105"/>
              </w:rPr>
              <w:t>personnel</w:t>
            </w:r>
            <w:r w:rsidRPr="00A328EB">
              <w:rPr>
                <w:b/>
                <w:bCs/>
                <w:spacing w:val="11"/>
                <w:w w:val="105"/>
              </w:rPr>
              <w:t xml:space="preserve"> </w:t>
            </w:r>
            <w:r w:rsidRPr="00A328EB">
              <w:rPr>
                <w:b/>
                <w:bCs/>
                <w:w w:val="105"/>
              </w:rPr>
              <w:t>costs</w:t>
            </w:r>
          </w:p>
        </w:tc>
        <w:tc>
          <w:tcPr>
            <w:tcW w:w="1565" w:type="dxa"/>
            <w:tcBorders>
              <w:bottom w:val="single" w:sz="4" w:space="0" w:color="A6A6A6" w:themeColor="background1" w:themeShade="A6"/>
            </w:tcBorders>
          </w:tcPr>
          <w:p w14:paraId="60DB3B41" w14:textId="77777777" w:rsidR="00A328EB" w:rsidRPr="00A328EB" w:rsidRDefault="00A328EB" w:rsidP="00A328EB">
            <w:pPr>
              <w:pStyle w:val="TableText"/>
              <w:jc w:val="right"/>
              <w:rPr>
                <w:b/>
                <w:bCs/>
              </w:rPr>
            </w:pPr>
            <w:r w:rsidRPr="00A328EB">
              <w:rPr>
                <w:b/>
                <w:bCs/>
                <w:w w:val="110"/>
              </w:rPr>
              <w:t>230,635</w:t>
            </w:r>
          </w:p>
        </w:tc>
      </w:tr>
    </w:tbl>
    <w:p w14:paraId="708BB047" w14:textId="77777777" w:rsidR="00A328EB" w:rsidRDefault="00A328EB" w:rsidP="00A328EB">
      <w:pPr>
        <w:rPr>
          <w:rFonts w:eastAsia="Arial Unicode MS"/>
        </w:rPr>
      </w:pPr>
    </w:p>
    <w:p w14:paraId="60E0014B" w14:textId="466A2148" w:rsidR="00A328EB" w:rsidRPr="00A328EB" w:rsidRDefault="00A328EB" w:rsidP="00A328EB">
      <w:pPr>
        <w:rPr>
          <w:rFonts w:eastAsia="Arial Unicode MS"/>
        </w:rPr>
        <w:sectPr w:rsidR="00A328EB" w:rsidRPr="00A328EB" w:rsidSect="00C26282">
          <w:pgSz w:w="11907" w:h="16840" w:code="9"/>
          <w:pgMar w:top="1418" w:right="1701" w:bottom="1134" w:left="1843" w:header="284" w:footer="425" w:gutter="284"/>
          <w:cols w:space="720"/>
        </w:sectPr>
      </w:pPr>
    </w:p>
    <w:p w14:paraId="0F663769" w14:textId="77777777" w:rsidR="00BF2955" w:rsidRPr="00BF2955" w:rsidRDefault="00BF2955" w:rsidP="00BF2955">
      <w:pPr>
        <w:pStyle w:val="Heading5"/>
      </w:pPr>
      <w:r w:rsidRPr="00BF2955">
        <w:lastRenderedPageBreak/>
        <w:t>Explanation of major variances against budget</w:t>
      </w:r>
    </w:p>
    <w:p w14:paraId="5F685D6E" w14:textId="77777777" w:rsidR="00BF2955" w:rsidRPr="00BF2955" w:rsidRDefault="00BF2955" w:rsidP="00BF2955">
      <w:pPr>
        <w:rPr>
          <w:rFonts w:eastAsia="Arial Unicode MS"/>
        </w:rPr>
      </w:pPr>
      <w:r w:rsidRPr="00BF2955">
        <w:rPr>
          <w:rFonts w:eastAsia="Arial Unicode MS"/>
        </w:rPr>
        <w:t>Personnel costs were $24.745 million higher than the budget due to additional resources required for the health and disability system reform, response to COVID-19, and higher than anticipated annual leave expenses due to COVID-19.</w:t>
      </w:r>
    </w:p>
    <w:p w14:paraId="2CBFD9F5" w14:textId="77777777" w:rsidR="00BF2955" w:rsidRPr="00BF2955" w:rsidRDefault="00BF2955" w:rsidP="000A225D">
      <w:pPr>
        <w:pStyle w:val="Heading4"/>
      </w:pPr>
      <w:r w:rsidRPr="00BF2955">
        <w:t>4</w:t>
      </w:r>
      <w:r w:rsidRPr="00BF2955">
        <w:tab/>
        <w:t>Capital charge</w:t>
      </w:r>
    </w:p>
    <w:p w14:paraId="57196505" w14:textId="77777777" w:rsidR="00BF2955" w:rsidRPr="00BF2955" w:rsidRDefault="00BF2955" w:rsidP="00090FEB">
      <w:pPr>
        <w:pStyle w:val="Heading5"/>
      </w:pPr>
      <w:r w:rsidRPr="00BF2955">
        <w:t>Accounting policy</w:t>
      </w:r>
    </w:p>
    <w:p w14:paraId="04454291" w14:textId="3564D3DF" w:rsidR="00BF2955" w:rsidRDefault="00BF2955" w:rsidP="00BF2955">
      <w:pPr>
        <w:rPr>
          <w:rFonts w:eastAsia="Arial Unicode MS"/>
        </w:rPr>
      </w:pPr>
      <w:r w:rsidRPr="00BF2955">
        <w:rPr>
          <w:rFonts w:eastAsia="Arial Unicode MS"/>
        </w:rPr>
        <w:t>The capital charge is recognised as an expense in the financial year to which the charge relates.</w:t>
      </w:r>
    </w:p>
    <w:p w14:paraId="7820CF4D" w14:textId="77777777" w:rsidR="00090FEB" w:rsidRPr="00BF2955" w:rsidRDefault="00090FEB" w:rsidP="00BF2955">
      <w:pPr>
        <w:rPr>
          <w:rFonts w:eastAsia="Arial Unicode MS"/>
        </w:rPr>
      </w:pPr>
    </w:p>
    <w:p w14:paraId="70176EAB" w14:textId="77777777" w:rsidR="00BF2955" w:rsidRPr="00BF2955" w:rsidRDefault="00BF2955" w:rsidP="00BF2955">
      <w:pPr>
        <w:rPr>
          <w:rFonts w:eastAsia="Arial Unicode MS"/>
        </w:rPr>
      </w:pPr>
      <w:r w:rsidRPr="00BF2955">
        <w:rPr>
          <w:rFonts w:eastAsia="Arial Unicode MS"/>
        </w:rPr>
        <w:t>The Ministry pays a capital charge to the Crown on its equity balance (adjusted for memorandum accounts) as at 30 June and 31 December each year. The capital charge rate for the year ended 30 June 2022 was 5.0% (2021: 5.0%).</w:t>
      </w:r>
    </w:p>
    <w:p w14:paraId="12211B10" w14:textId="77777777" w:rsidR="00BF2955" w:rsidRPr="00BF2955" w:rsidRDefault="00BF2955" w:rsidP="000A225D">
      <w:pPr>
        <w:pStyle w:val="Heading4"/>
      </w:pPr>
      <w:r w:rsidRPr="00BF2955">
        <w:t>5</w:t>
      </w:r>
      <w:r w:rsidRPr="00BF2955">
        <w:tab/>
        <w:t>Other expenses</w:t>
      </w:r>
    </w:p>
    <w:p w14:paraId="1B17DDE0" w14:textId="77777777" w:rsidR="00BF2955" w:rsidRPr="00BF2955" w:rsidRDefault="00BF2955" w:rsidP="004C2BFC">
      <w:pPr>
        <w:pStyle w:val="Heading6"/>
      </w:pPr>
      <w:r w:rsidRPr="00BF2955">
        <w:t>Accounting policy</w:t>
      </w:r>
    </w:p>
    <w:p w14:paraId="7DA7A287" w14:textId="623F8890" w:rsidR="00BF2955" w:rsidRPr="00090FEB" w:rsidRDefault="00BF2955" w:rsidP="00090FEB">
      <w:pPr>
        <w:pStyle w:val="Heading6"/>
        <w:rPr>
          <w:sz w:val="20"/>
          <w:szCs w:val="22"/>
        </w:rPr>
      </w:pPr>
      <w:r w:rsidRPr="00090FEB">
        <w:rPr>
          <w:sz w:val="20"/>
          <w:szCs w:val="22"/>
        </w:rPr>
        <w:t>Operating leases</w:t>
      </w:r>
    </w:p>
    <w:p w14:paraId="2313122D" w14:textId="16AB2269" w:rsidR="00BF2955" w:rsidRDefault="00BF2955" w:rsidP="00BF2955">
      <w:pPr>
        <w:rPr>
          <w:rFonts w:eastAsia="Arial Unicode MS"/>
        </w:rPr>
      </w:pPr>
      <w:r w:rsidRPr="00BF2955">
        <w:rPr>
          <w:rFonts w:eastAsia="Arial Unicode MS"/>
        </w:rPr>
        <w:t>An operating lease is a lease that does not transfer substantially all the risks and rewards incidental to ownership of an asset. Lease payments under an operating lease are recognised as an expense on a straight-line basis over the term of the lease.</w:t>
      </w:r>
    </w:p>
    <w:p w14:paraId="3E53DBE7" w14:textId="77777777" w:rsidR="00BF2955" w:rsidRPr="00BF2955" w:rsidRDefault="00BF2955" w:rsidP="00BF2955">
      <w:pPr>
        <w:rPr>
          <w:rFonts w:eastAsia="Arial Unicode MS"/>
        </w:rPr>
      </w:pPr>
    </w:p>
    <w:p w14:paraId="03882661" w14:textId="77777777" w:rsidR="00BC0250" w:rsidRDefault="00BF2955" w:rsidP="00BF2955">
      <w:pPr>
        <w:rPr>
          <w:rFonts w:eastAsia="Arial Unicode MS"/>
        </w:rPr>
      </w:pPr>
      <w:r w:rsidRPr="00BF2955">
        <w:rPr>
          <w:rFonts w:eastAsia="Arial Unicode MS"/>
        </w:rPr>
        <w:t>Lease incentives are recognised in the surplus or deficit as a reduction of rental expense over the lease term.</w:t>
      </w:r>
    </w:p>
    <w:p w14:paraId="31FCFD13" w14:textId="77777777" w:rsidR="00BF2955" w:rsidRDefault="00BF2955" w:rsidP="004C2BFC">
      <w:pPr>
        <w:pStyle w:val="Heading6"/>
        <w:sectPr w:rsidR="00BF2955" w:rsidSect="00C26282">
          <w:pgSz w:w="11907" w:h="16840" w:code="9"/>
          <w:pgMar w:top="1418" w:right="1701" w:bottom="1134" w:left="1843" w:header="284" w:footer="425" w:gutter="284"/>
          <w:cols w:space="720"/>
        </w:sectPr>
      </w:pPr>
    </w:p>
    <w:p w14:paraId="73C2A30A" w14:textId="07E9DE2C" w:rsidR="00BF2955" w:rsidRPr="00BF2955" w:rsidRDefault="00BF2955" w:rsidP="004C2BFC">
      <w:pPr>
        <w:pStyle w:val="Heading6"/>
      </w:pPr>
      <w:r w:rsidRPr="00BF2955">
        <w:lastRenderedPageBreak/>
        <w:t>Other expenses</w:t>
      </w:r>
    </w:p>
    <w:p w14:paraId="0CF5AF59" w14:textId="77777777" w:rsidR="00BF2955" w:rsidRPr="00BF2955" w:rsidRDefault="00BF2955" w:rsidP="00BF2955">
      <w:pPr>
        <w:rPr>
          <w:rFonts w:eastAsia="Arial Unicode MS"/>
        </w:rPr>
      </w:pPr>
      <w:r w:rsidRPr="00BF2955">
        <w:rPr>
          <w:rFonts w:eastAsia="Arial Unicode MS"/>
        </w:rPr>
        <w:t>Other expenses are recognised as expenses as goods and services are received.</w:t>
      </w:r>
    </w:p>
    <w:p w14:paraId="6CAA1364" w14:textId="77777777" w:rsidR="00BF2955" w:rsidRDefault="00BF2955" w:rsidP="004C2BFC">
      <w:pPr>
        <w:pStyle w:val="Heading6"/>
      </w:pPr>
      <w:r w:rsidRPr="00BF2955">
        <w:t>Other expenses</w:t>
      </w:r>
    </w:p>
    <w:tbl>
      <w:tblPr>
        <w:tblW w:w="8758" w:type="dxa"/>
        <w:tblInd w:w="7" w:type="dxa"/>
        <w:tblLayout w:type="fixed"/>
        <w:tblCellMar>
          <w:left w:w="0" w:type="dxa"/>
          <w:right w:w="0" w:type="dxa"/>
        </w:tblCellMar>
        <w:tblLook w:val="01E0" w:firstRow="1" w:lastRow="1" w:firstColumn="1" w:lastColumn="1" w:noHBand="0" w:noVBand="0"/>
      </w:tblPr>
      <w:tblGrid>
        <w:gridCol w:w="1127"/>
        <w:gridCol w:w="3686"/>
        <w:gridCol w:w="1436"/>
        <w:gridCol w:w="1318"/>
        <w:gridCol w:w="1191"/>
      </w:tblGrid>
      <w:tr w:rsidR="00BF2955" w:rsidRPr="000174A8" w14:paraId="2DDC87DC" w14:textId="77777777" w:rsidTr="008803C1">
        <w:trPr>
          <w:trHeight w:val="1069"/>
        </w:trPr>
        <w:tc>
          <w:tcPr>
            <w:tcW w:w="1127" w:type="dxa"/>
            <w:shd w:val="clear" w:color="auto" w:fill="D9D9D9" w:themeFill="background1" w:themeFillShade="D9"/>
          </w:tcPr>
          <w:p w14:paraId="38BF4F53" w14:textId="77777777" w:rsidR="00BF2955" w:rsidRPr="000174A8" w:rsidRDefault="00BF2955" w:rsidP="00BF2955">
            <w:pPr>
              <w:pStyle w:val="TableText"/>
              <w:jc w:val="right"/>
              <w:rPr>
                <w:b/>
                <w:bCs/>
              </w:rPr>
            </w:pPr>
            <w:r w:rsidRPr="000174A8">
              <w:rPr>
                <w:b/>
                <w:bCs/>
                <w:w w:val="105"/>
              </w:rPr>
              <w:t>Restated</w:t>
            </w:r>
            <w:r w:rsidRPr="000174A8">
              <w:rPr>
                <w:b/>
                <w:bCs/>
                <w:spacing w:val="-50"/>
                <w:w w:val="105"/>
              </w:rPr>
              <w:t xml:space="preserve"> </w:t>
            </w:r>
            <w:r w:rsidRPr="000174A8">
              <w:rPr>
                <w:b/>
                <w:bCs/>
                <w:spacing w:val="-50"/>
                <w:w w:val="105"/>
              </w:rPr>
              <w:br/>
            </w:r>
            <w:r w:rsidRPr="000174A8">
              <w:rPr>
                <w:b/>
                <w:bCs/>
                <w:w w:val="110"/>
              </w:rPr>
              <w:t>actual</w:t>
            </w:r>
          </w:p>
          <w:p w14:paraId="1E52EF35" w14:textId="77777777" w:rsidR="00BF2955" w:rsidRPr="000174A8" w:rsidRDefault="00BF2955" w:rsidP="00BF2955">
            <w:pPr>
              <w:pStyle w:val="TableText"/>
              <w:jc w:val="right"/>
              <w:rPr>
                <w:b/>
                <w:bCs/>
              </w:rPr>
            </w:pPr>
            <w:r w:rsidRPr="000174A8">
              <w:rPr>
                <w:b/>
                <w:bCs/>
              </w:rPr>
              <w:t>2021</w:t>
            </w:r>
          </w:p>
          <w:p w14:paraId="6EAF85BD" w14:textId="77777777" w:rsidR="00BF2955" w:rsidRPr="000174A8" w:rsidRDefault="00BF2955" w:rsidP="00BF2955">
            <w:pPr>
              <w:pStyle w:val="TableText"/>
              <w:jc w:val="right"/>
              <w:rPr>
                <w:b/>
                <w:bCs/>
                <w:w w:val="105"/>
              </w:rPr>
            </w:pPr>
            <w:r w:rsidRPr="000174A8">
              <w:rPr>
                <w:b/>
                <w:bCs/>
                <w:w w:val="120"/>
              </w:rPr>
              <w:t>$000</w:t>
            </w:r>
          </w:p>
        </w:tc>
        <w:tc>
          <w:tcPr>
            <w:tcW w:w="3686" w:type="dxa"/>
            <w:shd w:val="clear" w:color="auto" w:fill="D9D9D9" w:themeFill="background1" w:themeFillShade="D9"/>
          </w:tcPr>
          <w:p w14:paraId="5EAA9A6C" w14:textId="77777777" w:rsidR="00BF2955" w:rsidRPr="000174A8" w:rsidRDefault="00BF2955" w:rsidP="008173E0">
            <w:pPr>
              <w:pStyle w:val="TableText"/>
              <w:rPr>
                <w:b/>
                <w:bCs/>
              </w:rPr>
            </w:pPr>
          </w:p>
        </w:tc>
        <w:tc>
          <w:tcPr>
            <w:tcW w:w="1436" w:type="dxa"/>
            <w:shd w:val="clear" w:color="auto" w:fill="D9D9D9" w:themeFill="background1" w:themeFillShade="D9"/>
          </w:tcPr>
          <w:p w14:paraId="51F2F754" w14:textId="77777777" w:rsidR="00BF2955" w:rsidRPr="000174A8" w:rsidRDefault="00BF2955" w:rsidP="00BF2955">
            <w:pPr>
              <w:pStyle w:val="TableText"/>
              <w:jc w:val="right"/>
              <w:rPr>
                <w:b/>
                <w:bCs/>
              </w:rPr>
            </w:pPr>
            <w:r w:rsidRPr="000174A8">
              <w:rPr>
                <w:b/>
                <w:bCs/>
                <w:w w:val="110"/>
              </w:rPr>
              <w:t>Actual</w:t>
            </w:r>
            <w:r w:rsidRPr="000174A8">
              <w:rPr>
                <w:b/>
                <w:bCs/>
                <w:w w:val="110"/>
              </w:rPr>
              <w:br/>
            </w:r>
          </w:p>
          <w:p w14:paraId="7107200A" w14:textId="77777777" w:rsidR="00BF2955" w:rsidRPr="000174A8" w:rsidRDefault="00BF2955" w:rsidP="00BF2955">
            <w:pPr>
              <w:pStyle w:val="TableText"/>
              <w:jc w:val="right"/>
              <w:rPr>
                <w:b/>
                <w:bCs/>
              </w:rPr>
            </w:pPr>
            <w:r w:rsidRPr="000174A8">
              <w:rPr>
                <w:b/>
                <w:bCs/>
                <w:w w:val="105"/>
              </w:rPr>
              <w:t>2022</w:t>
            </w:r>
          </w:p>
          <w:p w14:paraId="39650742" w14:textId="77777777" w:rsidR="00BF2955" w:rsidRPr="000174A8" w:rsidRDefault="00BF2955" w:rsidP="00BF2955">
            <w:pPr>
              <w:pStyle w:val="TableText"/>
              <w:jc w:val="right"/>
              <w:rPr>
                <w:b/>
                <w:bCs/>
              </w:rPr>
            </w:pPr>
            <w:r w:rsidRPr="000174A8">
              <w:rPr>
                <w:b/>
                <w:bCs/>
                <w:w w:val="120"/>
              </w:rPr>
              <w:t>$000</w:t>
            </w:r>
          </w:p>
        </w:tc>
        <w:tc>
          <w:tcPr>
            <w:tcW w:w="1318" w:type="dxa"/>
            <w:shd w:val="clear" w:color="auto" w:fill="D9D9D9" w:themeFill="background1" w:themeFillShade="D9"/>
          </w:tcPr>
          <w:p w14:paraId="73D450E8" w14:textId="77777777" w:rsidR="00BF2955" w:rsidRPr="000174A8" w:rsidRDefault="00BF2955" w:rsidP="00BF2955">
            <w:pPr>
              <w:pStyle w:val="TableText"/>
              <w:jc w:val="right"/>
              <w:rPr>
                <w:b/>
                <w:bCs/>
              </w:rPr>
            </w:pPr>
            <w:r w:rsidRPr="000174A8">
              <w:rPr>
                <w:b/>
                <w:bCs/>
                <w:w w:val="110"/>
              </w:rPr>
              <w:t>Unaudited</w:t>
            </w:r>
            <w:r w:rsidRPr="000174A8">
              <w:rPr>
                <w:b/>
                <w:bCs/>
                <w:w w:val="110"/>
              </w:rPr>
              <w:br/>
              <w:t>budget</w:t>
            </w:r>
          </w:p>
          <w:p w14:paraId="3330BDA2" w14:textId="77777777" w:rsidR="00BF2955" w:rsidRPr="000174A8" w:rsidRDefault="00BF2955" w:rsidP="00BF2955">
            <w:pPr>
              <w:pStyle w:val="TableText"/>
              <w:jc w:val="right"/>
              <w:rPr>
                <w:b/>
                <w:bCs/>
              </w:rPr>
            </w:pPr>
            <w:r w:rsidRPr="000174A8">
              <w:rPr>
                <w:b/>
                <w:bCs/>
                <w:w w:val="105"/>
              </w:rPr>
              <w:t>2022</w:t>
            </w:r>
          </w:p>
          <w:p w14:paraId="6FE7B24F" w14:textId="77777777" w:rsidR="00BF2955" w:rsidRPr="000174A8" w:rsidRDefault="00BF2955" w:rsidP="00BF2955">
            <w:pPr>
              <w:pStyle w:val="TableText"/>
              <w:jc w:val="right"/>
              <w:rPr>
                <w:b/>
                <w:bCs/>
              </w:rPr>
            </w:pPr>
            <w:r w:rsidRPr="000174A8">
              <w:rPr>
                <w:b/>
                <w:bCs/>
                <w:w w:val="120"/>
              </w:rPr>
              <w:t>$000</w:t>
            </w:r>
          </w:p>
        </w:tc>
        <w:tc>
          <w:tcPr>
            <w:tcW w:w="1191" w:type="dxa"/>
            <w:shd w:val="clear" w:color="auto" w:fill="D9D9D9" w:themeFill="background1" w:themeFillShade="D9"/>
          </w:tcPr>
          <w:p w14:paraId="26B08553" w14:textId="77777777" w:rsidR="00BF2955" w:rsidRPr="000174A8" w:rsidRDefault="00BF2955" w:rsidP="00BF2955">
            <w:pPr>
              <w:pStyle w:val="TableText"/>
              <w:jc w:val="right"/>
              <w:rPr>
                <w:b/>
                <w:bCs/>
              </w:rPr>
            </w:pPr>
            <w:r w:rsidRPr="000174A8">
              <w:rPr>
                <w:b/>
                <w:bCs/>
                <w:w w:val="110"/>
              </w:rPr>
              <w:t>Unaudited</w:t>
            </w:r>
            <w:r w:rsidRPr="000174A8">
              <w:rPr>
                <w:b/>
                <w:bCs/>
                <w:spacing w:val="-53"/>
                <w:w w:val="110"/>
              </w:rPr>
              <w:t xml:space="preserve"> </w:t>
            </w:r>
            <w:r w:rsidRPr="000174A8">
              <w:rPr>
                <w:b/>
                <w:bCs/>
                <w:w w:val="110"/>
              </w:rPr>
              <w:t>forecast</w:t>
            </w:r>
          </w:p>
          <w:p w14:paraId="5CF7881C" w14:textId="77777777" w:rsidR="00BF2955" w:rsidRPr="000174A8" w:rsidRDefault="00BF2955" w:rsidP="00BF2955">
            <w:pPr>
              <w:pStyle w:val="TableText"/>
              <w:jc w:val="right"/>
              <w:rPr>
                <w:b/>
                <w:bCs/>
              </w:rPr>
            </w:pPr>
            <w:r w:rsidRPr="000174A8">
              <w:rPr>
                <w:b/>
                <w:bCs/>
                <w:w w:val="110"/>
              </w:rPr>
              <w:t>2023</w:t>
            </w:r>
          </w:p>
          <w:p w14:paraId="1F2D748A" w14:textId="77777777" w:rsidR="00BF2955" w:rsidRPr="000174A8" w:rsidRDefault="00BF2955" w:rsidP="00BF2955">
            <w:pPr>
              <w:pStyle w:val="TableText"/>
              <w:jc w:val="right"/>
              <w:rPr>
                <w:b/>
                <w:bCs/>
              </w:rPr>
            </w:pPr>
            <w:r w:rsidRPr="000174A8">
              <w:rPr>
                <w:b/>
                <w:bCs/>
                <w:w w:val="120"/>
              </w:rPr>
              <w:t>$000</w:t>
            </w:r>
          </w:p>
        </w:tc>
      </w:tr>
      <w:tr w:rsidR="00BF2955" w14:paraId="2E34C41F" w14:textId="77777777" w:rsidTr="008803C1">
        <w:trPr>
          <w:trHeight w:val="340"/>
        </w:trPr>
        <w:tc>
          <w:tcPr>
            <w:tcW w:w="1127" w:type="dxa"/>
          </w:tcPr>
          <w:p w14:paraId="0054BF78" w14:textId="146ADD25" w:rsidR="00BF2955" w:rsidRPr="00BF2955" w:rsidRDefault="00BF2955" w:rsidP="00BF2955">
            <w:pPr>
              <w:pStyle w:val="TableText"/>
              <w:jc w:val="right"/>
            </w:pPr>
            <w:r w:rsidRPr="00BF2955">
              <w:t>560</w:t>
            </w:r>
          </w:p>
        </w:tc>
        <w:tc>
          <w:tcPr>
            <w:tcW w:w="3686" w:type="dxa"/>
          </w:tcPr>
          <w:p w14:paraId="4E420914" w14:textId="044D1658" w:rsidR="00BF2955" w:rsidRPr="00BF2955" w:rsidRDefault="00BF2955" w:rsidP="00BF2955">
            <w:pPr>
              <w:pStyle w:val="TableText"/>
              <w:ind w:left="113"/>
            </w:pPr>
            <w:r w:rsidRPr="00BF2955">
              <w:t>Fees to Audit New Zealand for audit of financial statements</w:t>
            </w:r>
          </w:p>
        </w:tc>
        <w:tc>
          <w:tcPr>
            <w:tcW w:w="1436" w:type="dxa"/>
          </w:tcPr>
          <w:p w14:paraId="56631DBB" w14:textId="6CEBF31B" w:rsidR="00BF2955" w:rsidRPr="00BF2955" w:rsidRDefault="00BF2955" w:rsidP="00BF2955">
            <w:pPr>
              <w:pStyle w:val="TableText"/>
              <w:jc w:val="right"/>
            </w:pPr>
            <w:r w:rsidRPr="00BF2955">
              <w:t>665</w:t>
            </w:r>
          </w:p>
        </w:tc>
        <w:tc>
          <w:tcPr>
            <w:tcW w:w="1318" w:type="dxa"/>
          </w:tcPr>
          <w:p w14:paraId="33787284" w14:textId="1904EE97" w:rsidR="00BF2955" w:rsidRPr="00BF2955" w:rsidRDefault="00BF2955" w:rsidP="00BF2955">
            <w:pPr>
              <w:pStyle w:val="TableText"/>
              <w:jc w:val="right"/>
            </w:pPr>
            <w:r w:rsidRPr="00BF2955">
              <w:t>470</w:t>
            </w:r>
          </w:p>
        </w:tc>
        <w:tc>
          <w:tcPr>
            <w:tcW w:w="1191" w:type="dxa"/>
          </w:tcPr>
          <w:p w14:paraId="2ECDF4CA" w14:textId="7D7FDF30" w:rsidR="00BF2955" w:rsidRPr="00BF2955" w:rsidRDefault="00BF2955" w:rsidP="00BF2955">
            <w:pPr>
              <w:pStyle w:val="TableText"/>
              <w:jc w:val="right"/>
            </w:pPr>
            <w:r w:rsidRPr="00BF2955">
              <w:t>735</w:t>
            </w:r>
          </w:p>
        </w:tc>
      </w:tr>
      <w:tr w:rsidR="00BF2955" w14:paraId="72D47718" w14:textId="77777777" w:rsidTr="008803C1">
        <w:trPr>
          <w:trHeight w:val="349"/>
        </w:trPr>
        <w:tc>
          <w:tcPr>
            <w:tcW w:w="1127" w:type="dxa"/>
          </w:tcPr>
          <w:p w14:paraId="4DF5F171" w14:textId="2A1477A4" w:rsidR="00BF2955" w:rsidRPr="00BF2955" w:rsidRDefault="00BF2955" w:rsidP="00BF2955">
            <w:pPr>
              <w:pStyle w:val="TableText"/>
              <w:jc w:val="right"/>
            </w:pPr>
            <w:r w:rsidRPr="00BF2955">
              <w:t>–</w:t>
            </w:r>
          </w:p>
        </w:tc>
        <w:tc>
          <w:tcPr>
            <w:tcW w:w="3686" w:type="dxa"/>
          </w:tcPr>
          <w:p w14:paraId="6F3C4B06" w14:textId="23DD33A4" w:rsidR="00BF2955" w:rsidRPr="00BF2955" w:rsidRDefault="00BF2955" w:rsidP="00BF2955">
            <w:pPr>
              <w:pStyle w:val="TableText"/>
              <w:ind w:left="113"/>
            </w:pPr>
            <w:r w:rsidRPr="00BF2955">
              <w:t>Fees to Audit New Zealand for other assurance services</w:t>
            </w:r>
          </w:p>
        </w:tc>
        <w:tc>
          <w:tcPr>
            <w:tcW w:w="1436" w:type="dxa"/>
          </w:tcPr>
          <w:p w14:paraId="77171040" w14:textId="1B278A61" w:rsidR="00BF2955" w:rsidRPr="00BF2955" w:rsidRDefault="00BF2955" w:rsidP="00BF2955">
            <w:pPr>
              <w:pStyle w:val="TableText"/>
              <w:jc w:val="right"/>
            </w:pPr>
            <w:r w:rsidRPr="00BF2955">
              <w:t>136</w:t>
            </w:r>
          </w:p>
        </w:tc>
        <w:tc>
          <w:tcPr>
            <w:tcW w:w="1318" w:type="dxa"/>
          </w:tcPr>
          <w:p w14:paraId="4AD756D1" w14:textId="3228C047" w:rsidR="00BF2955" w:rsidRPr="00BF2955" w:rsidRDefault="00BF2955" w:rsidP="00BF2955">
            <w:pPr>
              <w:pStyle w:val="TableText"/>
              <w:jc w:val="right"/>
            </w:pPr>
            <w:r w:rsidRPr="00BF2955">
              <w:t>–</w:t>
            </w:r>
          </w:p>
        </w:tc>
        <w:tc>
          <w:tcPr>
            <w:tcW w:w="1191" w:type="dxa"/>
          </w:tcPr>
          <w:p w14:paraId="422A7B99" w14:textId="6065256E" w:rsidR="00BF2955" w:rsidRPr="00BF2955" w:rsidRDefault="00BF2955" w:rsidP="00BF2955">
            <w:pPr>
              <w:pStyle w:val="TableText"/>
              <w:jc w:val="right"/>
            </w:pPr>
            <w:r w:rsidRPr="00BF2955">
              <w:t>–</w:t>
            </w:r>
          </w:p>
        </w:tc>
      </w:tr>
      <w:tr w:rsidR="00BF2955" w14:paraId="7341F18C" w14:textId="77777777" w:rsidTr="008803C1">
        <w:trPr>
          <w:trHeight w:val="349"/>
        </w:trPr>
        <w:tc>
          <w:tcPr>
            <w:tcW w:w="1127" w:type="dxa"/>
          </w:tcPr>
          <w:p w14:paraId="5BE9BDBE" w14:textId="3B6A1DE0" w:rsidR="00BF2955" w:rsidRPr="00BF2955" w:rsidRDefault="00BF2955" w:rsidP="00BF2955">
            <w:pPr>
              <w:pStyle w:val="TableText"/>
              <w:jc w:val="right"/>
            </w:pPr>
            <w:r w:rsidRPr="00BF2955">
              <w:t>242</w:t>
            </w:r>
          </w:p>
        </w:tc>
        <w:tc>
          <w:tcPr>
            <w:tcW w:w="3686" w:type="dxa"/>
          </w:tcPr>
          <w:p w14:paraId="3120FCC3" w14:textId="06F09DB3" w:rsidR="00BF2955" w:rsidRPr="00BF2955" w:rsidRDefault="00BF2955" w:rsidP="00BF2955">
            <w:pPr>
              <w:pStyle w:val="TableText"/>
              <w:ind w:left="113"/>
            </w:pPr>
            <w:r w:rsidRPr="00BF2955">
              <w:t>Payment made for Auditor-General’s costs for COVID-19 vaccination report</w:t>
            </w:r>
          </w:p>
        </w:tc>
        <w:tc>
          <w:tcPr>
            <w:tcW w:w="1436" w:type="dxa"/>
          </w:tcPr>
          <w:p w14:paraId="598D9D67" w14:textId="0998CDE5" w:rsidR="00BF2955" w:rsidRPr="00BF2955" w:rsidRDefault="00BF2955" w:rsidP="00BF2955">
            <w:pPr>
              <w:pStyle w:val="TableText"/>
              <w:jc w:val="right"/>
            </w:pPr>
            <w:r w:rsidRPr="00BF2955">
              <w:t>–</w:t>
            </w:r>
          </w:p>
        </w:tc>
        <w:tc>
          <w:tcPr>
            <w:tcW w:w="1318" w:type="dxa"/>
          </w:tcPr>
          <w:p w14:paraId="28DC6D15" w14:textId="461F7400" w:rsidR="00BF2955" w:rsidRPr="00BF2955" w:rsidRDefault="00BF2955" w:rsidP="00BF2955">
            <w:pPr>
              <w:pStyle w:val="TableText"/>
              <w:jc w:val="right"/>
            </w:pPr>
            <w:r w:rsidRPr="00BF2955">
              <w:t>–</w:t>
            </w:r>
          </w:p>
        </w:tc>
        <w:tc>
          <w:tcPr>
            <w:tcW w:w="1191" w:type="dxa"/>
          </w:tcPr>
          <w:p w14:paraId="2B51915A" w14:textId="3FB20B7A" w:rsidR="00BF2955" w:rsidRPr="00BF2955" w:rsidRDefault="00BF2955" w:rsidP="00BF2955">
            <w:pPr>
              <w:pStyle w:val="TableText"/>
              <w:jc w:val="right"/>
            </w:pPr>
            <w:r w:rsidRPr="00BF2955">
              <w:t>–</w:t>
            </w:r>
          </w:p>
        </w:tc>
      </w:tr>
      <w:tr w:rsidR="00BF2955" w14:paraId="18AC0E3A" w14:textId="77777777" w:rsidTr="008803C1">
        <w:trPr>
          <w:trHeight w:val="349"/>
        </w:trPr>
        <w:tc>
          <w:tcPr>
            <w:tcW w:w="1127" w:type="dxa"/>
          </w:tcPr>
          <w:p w14:paraId="43DC8F7B" w14:textId="7E46AD81" w:rsidR="00BF2955" w:rsidRPr="00BF2955" w:rsidRDefault="00BF2955" w:rsidP="00BF2955">
            <w:pPr>
              <w:pStyle w:val="TableText"/>
              <w:jc w:val="right"/>
            </w:pPr>
            <w:r w:rsidRPr="00BF2955">
              <w:t xml:space="preserve">54,235    </w:t>
            </w:r>
          </w:p>
        </w:tc>
        <w:tc>
          <w:tcPr>
            <w:tcW w:w="3686" w:type="dxa"/>
          </w:tcPr>
          <w:p w14:paraId="7F7932D4" w14:textId="3B2152FC" w:rsidR="00BF2955" w:rsidRPr="00BF2955" w:rsidRDefault="00BF2955" w:rsidP="00BF2955">
            <w:pPr>
              <w:pStyle w:val="TableText"/>
              <w:ind w:left="113"/>
            </w:pPr>
            <w:r w:rsidRPr="00BF2955">
              <w:t>Contractors and consultants</w:t>
            </w:r>
          </w:p>
        </w:tc>
        <w:tc>
          <w:tcPr>
            <w:tcW w:w="1436" w:type="dxa"/>
          </w:tcPr>
          <w:p w14:paraId="679FE45A" w14:textId="476D2DB4" w:rsidR="00BF2955" w:rsidRPr="00BF2955" w:rsidRDefault="00BF2955" w:rsidP="00BF2955">
            <w:pPr>
              <w:pStyle w:val="TableText"/>
              <w:jc w:val="right"/>
            </w:pPr>
            <w:r w:rsidRPr="00BF2955">
              <w:t>150,092</w:t>
            </w:r>
          </w:p>
        </w:tc>
        <w:tc>
          <w:tcPr>
            <w:tcW w:w="1318" w:type="dxa"/>
          </w:tcPr>
          <w:p w14:paraId="7C083BEA" w14:textId="45F32FD8" w:rsidR="00BF2955" w:rsidRPr="00BF2955" w:rsidRDefault="00BF2955" w:rsidP="00BF2955">
            <w:pPr>
              <w:pStyle w:val="TableText"/>
              <w:jc w:val="right"/>
            </w:pPr>
            <w:r w:rsidRPr="00BF2955">
              <w:t>77,564</w:t>
            </w:r>
          </w:p>
        </w:tc>
        <w:tc>
          <w:tcPr>
            <w:tcW w:w="1191" w:type="dxa"/>
          </w:tcPr>
          <w:p w14:paraId="62EF7D70" w14:textId="0BA29B7F" w:rsidR="00BF2955" w:rsidRPr="00BF2955" w:rsidRDefault="00BF2955" w:rsidP="00BF2955">
            <w:pPr>
              <w:pStyle w:val="TableText"/>
              <w:jc w:val="right"/>
            </w:pPr>
            <w:r w:rsidRPr="00BF2955">
              <w:t>110,117</w:t>
            </w:r>
          </w:p>
        </w:tc>
      </w:tr>
      <w:tr w:rsidR="00BF2955" w14:paraId="3E0BDDFD" w14:textId="77777777" w:rsidTr="008803C1">
        <w:trPr>
          <w:trHeight w:val="349"/>
        </w:trPr>
        <w:tc>
          <w:tcPr>
            <w:tcW w:w="1127" w:type="dxa"/>
          </w:tcPr>
          <w:p w14:paraId="1BAA8710" w14:textId="32FD7C0F" w:rsidR="00BF2955" w:rsidRPr="00BF2955" w:rsidRDefault="00BF2955" w:rsidP="00BF2955">
            <w:pPr>
              <w:pStyle w:val="TableText"/>
              <w:jc w:val="right"/>
            </w:pPr>
            <w:r w:rsidRPr="00BF2955">
              <w:t xml:space="preserve">9,423   </w:t>
            </w:r>
          </w:p>
        </w:tc>
        <w:tc>
          <w:tcPr>
            <w:tcW w:w="3686" w:type="dxa"/>
          </w:tcPr>
          <w:p w14:paraId="780C28EE" w14:textId="675E3F92" w:rsidR="00BF2955" w:rsidRPr="00BF2955" w:rsidRDefault="00BF2955" w:rsidP="00BF2955">
            <w:pPr>
              <w:pStyle w:val="TableText"/>
              <w:ind w:left="113"/>
            </w:pPr>
            <w:r w:rsidRPr="00BF2955">
              <w:t>Professional specialist fees</w:t>
            </w:r>
          </w:p>
        </w:tc>
        <w:tc>
          <w:tcPr>
            <w:tcW w:w="1436" w:type="dxa"/>
          </w:tcPr>
          <w:p w14:paraId="058B348A" w14:textId="48202B6A" w:rsidR="00BF2955" w:rsidRPr="00BF2955" w:rsidRDefault="00BF2955" w:rsidP="00BF2955">
            <w:pPr>
              <w:pStyle w:val="TableText"/>
              <w:jc w:val="right"/>
            </w:pPr>
            <w:r w:rsidRPr="00BF2955">
              <w:t>29,373</w:t>
            </w:r>
          </w:p>
        </w:tc>
        <w:tc>
          <w:tcPr>
            <w:tcW w:w="1318" w:type="dxa"/>
          </w:tcPr>
          <w:p w14:paraId="486B5232" w14:textId="43654FA5" w:rsidR="00BF2955" w:rsidRPr="00BF2955" w:rsidRDefault="00BF2955" w:rsidP="00BF2955">
            <w:pPr>
              <w:pStyle w:val="TableText"/>
              <w:jc w:val="right"/>
            </w:pPr>
            <w:r w:rsidRPr="00BF2955">
              <w:t>19,362</w:t>
            </w:r>
          </w:p>
        </w:tc>
        <w:tc>
          <w:tcPr>
            <w:tcW w:w="1191" w:type="dxa"/>
          </w:tcPr>
          <w:p w14:paraId="583D2D9E" w14:textId="135A7051" w:rsidR="00BF2955" w:rsidRPr="00BF2955" w:rsidRDefault="00BF2955" w:rsidP="00BF2955">
            <w:pPr>
              <w:pStyle w:val="TableText"/>
              <w:jc w:val="right"/>
            </w:pPr>
            <w:r w:rsidRPr="00BF2955">
              <w:t>10,000</w:t>
            </w:r>
          </w:p>
        </w:tc>
      </w:tr>
      <w:tr w:rsidR="00BF2955" w14:paraId="106FF992" w14:textId="77777777" w:rsidTr="008803C1">
        <w:trPr>
          <w:trHeight w:val="346"/>
        </w:trPr>
        <w:tc>
          <w:tcPr>
            <w:tcW w:w="1127" w:type="dxa"/>
          </w:tcPr>
          <w:p w14:paraId="685019B6" w14:textId="4E2AC5C5" w:rsidR="00BF2955" w:rsidRPr="00BF2955" w:rsidRDefault="00BF2955" w:rsidP="00BF2955">
            <w:pPr>
              <w:pStyle w:val="TableText"/>
              <w:jc w:val="right"/>
            </w:pPr>
            <w:r w:rsidRPr="00BF2955">
              <w:t xml:space="preserve">2,351   </w:t>
            </w:r>
          </w:p>
        </w:tc>
        <w:tc>
          <w:tcPr>
            <w:tcW w:w="3686" w:type="dxa"/>
          </w:tcPr>
          <w:p w14:paraId="63F73D0C" w14:textId="4792AE9C" w:rsidR="00BF2955" w:rsidRPr="00BF2955" w:rsidRDefault="00BF2955" w:rsidP="00BF2955">
            <w:pPr>
              <w:pStyle w:val="TableText"/>
              <w:ind w:left="113"/>
            </w:pPr>
            <w:r w:rsidRPr="00BF2955">
              <w:t>Sector and public consultations</w:t>
            </w:r>
          </w:p>
        </w:tc>
        <w:tc>
          <w:tcPr>
            <w:tcW w:w="1436" w:type="dxa"/>
          </w:tcPr>
          <w:p w14:paraId="1EEDDEB6" w14:textId="4AF15EB2" w:rsidR="00BF2955" w:rsidRPr="00BF2955" w:rsidRDefault="00BF2955" w:rsidP="00BF2955">
            <w:pPr>
              <w:pStyle w:val="TableText"/>
              <w:jc w:val="right"/>
            </w:pPr>
            <w:r w:rsidRPr="00BF2955">
              <w:t>1,846</w:t>
            </w:r>
          </w:p>
        </w:tc>
        <w:tc>
          <w:tcPr>
            <w:tcW w:w="1318" w:type="dxa"/>
          </w:tcPr>
          <w:p w14:paraId="2685AE6E" w14:textId="5D424EA3" w:rsidR="00BF2955" w:rsidRPr="00BF2955" w:rsidRDefault="00BF2955" w:rsidP="00BF2955">
            <w:pPr>
              <w:pStyle w:val="TableText"/>
              <w:jc w:val="right"/>
            </w:pPr>
            <w:r w:rsidRPr="00BF2955">
              <w:t>7,156</w:t>
            </w:r>
          </w:p>
        </w:tc>
        <w:tc>
          <w:tcPr>
            <w:tcW w:w="1191" w:type="dxa"/>
          </w:tcPr>
          <w:p w14:paraId="71818248" w14:textId="0584192D" w:rsidR="00BF2955" w:rsidRPr="00BF2955" w:rsidRDefault="00BF2955" w:rsidP="00BF2955">
            <w:pPr>
              <w:pStyle w:val="TableText"/>
              <w:jc w:val="right"/>
            </w:pPr>
            <w:r w:rsidRPr="00BF2955">
              <w:t>2,000</w:t>
            </w:r>
          </w:p>
        </w:tc>
      </w:tr>
      <w:tr w:rsidR="00BF2955" w:rsidRPr="000174A8" w14:paraId="591ACBC9" w14:textId="77777777" w:rsidTr="008803C1">
        <w:trPr>
          <w:trHeight w:val="322"/>
        </w:trPr>
        <w:tc>
          <w:tcPr>
            <w:tcW w:w="1127" w:type="dxa"/>
          </w:tcPr>
          <w:p w14:paraId="32C621CB" w14:textId="4D4AC517" w:rsidR="00BF2955" w:rsidRPr="00BF2955" w:rsidRDefault="00BF2955" w:rsidP="00BF2955">
            <w:pPr>
              <w:pStyle w:val="TableText"/>
              <w:jc w:val="right"/>
            </w:pPr>
            <w:r w:rsidRPr="00BF2955">
              <w:t xml:space="preserve">88,522   </w:t>
            </w:r>
          </w:p>
        </w:tc>
        <w:tc>
          <w:tcPr>
            <w:tcW w:w="3686" w:type="dxa"/>
          </w:tcPr>
          <w:p w14:paraId="760B34B8" w14:textId="343064C0" w:rsidR="00BF2955" w:rsidRPr="00BF2955" w:rsidRDefault="00BF2955" w:rsidP="00BF2955">
            <w:pPr>
              <w:pStyle w:val="TableText"/>
              <w:ind w:left="113"/>
            </w:pPr>
            <w:r w:rsidRPr="00BF2955">
              <w:t>Computer services</w:t>
            </w:r>
          </w:p>
        </w:tc>
        <w:tc>
          <w:tcPr>
            <w:tcW w:w="1436" w:type="dxa"/>
          </w:tcPr>
          <w:p w14:paraId="26F27E17" w14:textId="2D1908A5" w:rsidR="00BF2955" w:rsidRPr="00BF2955" w:rsidRDefault="00BF2955" w:rsidP="00BF2955">
            <w:pPr>
              <w:pStyle w:val="TableText"/>
              <w:jc w:val="right"/>
            </w:pPr>
            <w:r w:rsidRPr="00BF2955">
              <w:t>229,105</w:t>
            </w:r>
          </w:p>
        </w:tc>
        <w:tc>
          <w:tcPr>
            <w:tcW w:w="1318" w:type="dxa"/>
          </w:tcPr>
          <w:p w14:paraId="3FDC0CF3" w14:textId="2793297E" w:rsidR="00BF2955" w:rsidRPr="00BF2955" w:rsidRDefault="00BF2955" w:rsidP="00BF2955">
            <w:pPr>
              <w:pStyle w:val="TableText"/>
              <w:jc w:val="right"/>
            </w:pPr>
            <w:r w:rsidRPr="00BF2955">
              <w:t>76,317</w:t>
            </w:r>
          </w:p>
        </w:tc>
        <w:tc>
          <w:tcPr>
            <w:tcW w:w="1191" w:type="dxa"/>
          </w:tcPr>
          <w:p w14:paraId="77E9A2E3" w14:textId="0E62893E" w:rsidR="00BF2955" w:rsidRPr="00BF2955" w:rsidRDefault="00BF2955" w:rsidP="00BF2955">
            <w:pPr>
              <w:pStyle w:val="TableText"/>
              <w:jc w:val="right"/>
            </w:pPr>
            <w:r w:rsidRPr="00BF2955">
              <w:t>46,562</w:t>
            </w:r>
          </w:p>
        </w:tc>
      </w:tr>
      <w:tr w:rsidR="00BF2955" w:rsidRPr="000174A8" w14:paraId="4DC67355" w14:textId="77777777" w:rsidTr="008803C1">
        <w:trPr>
          <w:trHeight w:val="340"/>
        </w:trPr>
        <w:tc>
          <w:tcPr>
            <w:tcW w:w="1127" w:type="dxa"/>
          </w:tcPr>
          <w:p w14:paraId="7408B875" w14:textId="17020313" w:rsidR="00BF2955" w:rsidRPr="00BF2955" w:rsidRDefault="00BF2955" w:rsidP="00BF2955">
            <w:pPr>
              <w:pStyle w:val="TableText"/>
              <w:jc w:val="right"/>
            </w:pPr>
            <w:r w:rsidRPr="00BF2955">
              <w:t xml:space="preserve">8,578   </w:t>
            </w:r>
          </w:p>
        </w:tc>
        <w:tc>
          <w:tcPr>
            <w:tcW w:w="3686" w:type="dxa"/>
          </w:tcPr>
          <w:p w14:paraId="0D994390" w14:textId="25BB91CC" w:rsidR="00BF2955" w:rsidRPr="00BF2955" w:rsidRDefault="00BF2955" w:rsidP="00BF2955">
            <w:pPr>
              <w:pStyle w:val="TableText"/>
              <w:ind w:left="113"/>
            </w:pPr>
            <w:r w:rsidRPr="00BF2955">
              <w:t>Advertising</w:t>
            </w:r>
          </w:p>
        </w:tc>
        <w:tc>
          <w:tcPr>
            <w:tcW w:w="1436" w:type="dxa"/>
          </w:tcPr>
          <w:p w14:paraId="4BC1A3E2" w14:textId="751AEB2B" w:rsidR="00BF2955" w:rsidRPr="00BF2955" w:rsidRDefault="00BF2955" w:rsidP="00BF2955">
            <w:pPr>
              <w:pStyle w:val="TableText"/>
              <w:jc w:val="right"/>
            </w:pPr>
            <w:r w:rsidRPr="00BF2955">
              <w:t>31,409</w:t>
            </w:r>
          </w:p>
        </w:tc>
        <w:tc>
          <w:tcPr>
            <w:tcW w:w="1318" w:type="dxa"/>
          </w:tcPr>
          <w:p w14:paraId="5EB8F442" w14:textId="41963086" w:rsidR="00BF2955" w:rsidRPr="00BF2955" w:rsidRDefault="00BF2955" w:rsidP="00BF2955">
            <w:pPr>
              <w:pStyle w:val="TableText"/>
              <w:jc w:val="right"/>
            </w:pPr>
            <w:r w:rsidRPr="00BF2955">
              <w:t>416</w:t>
            </w:r>
          </w:p>
        </w:tc>
        <w:tc>
          <w:tcPr>
            <w:tcW w:w="1191" w:type="dxa"/>
          </w:tcPr>
          <w:p w14:paraId="787F7C0A" w14:textId="1B680103" w:rsidR="00BF2955" w:rsidRPr="00BF2955" w:rsidRDefault="00BF2955" w:rsidP="00BF2955">
            <w:pPr>
              <w:pStyle w:val="TableText"/>
              <w:jc w:val="right"/>
            </w:pPr>
            <w:r w:rsidRPr="00BF2955">
              <w:t>8,000</w:t>
            </w:r>
          </w:p>
        </w:tc>
      </w:tr>
      <w:tr w:rsidR="00BF2955" w14:paraId="0C811DB7" w14:textId="77777777" w:rsidTr="008803C1">
        <w:trPr>
          <w:trHeight w:val="340"/>
        </w:trPr>
        <w:tc>
          <w:tcPr>
            <w:tcW w:w="1127" w:type="dxa"/>
          </w:tcPr>
          <w:p w14:paraId="51436CB4" w14:textId="51590BD7" w:rsidR="00BF2955" w:rsidRPr="00BF2955" w:rsidRDefault="00BF2955" w:rsidP="00BF2955">
            <w:pPr>
              <w:pStyle w:val="TableText"/>
              <w:jc w:val="right"/>
            </w:pPr>
            <w:r w:rsidRPr="00BF2955">
              <w:t xml:space="preserve">13,173   </w:t>
            </w:r>
          </w:p>
        </w:tc>
        <w:tc>
          <w:tcPr>
            <w:tcW w:w="3686" w:type="dxa"/>
          </w:tcPr>
          <w:p w14:paraId="22AE13A7" w14:textId="1C57D7E7" w:rsidR="00BF2955" w:rsidRPr="00BF2955" w:rsidRDefault="00BF2955" w:rsidP="00BF2955">
            <w:pPr>
              <w:pStyle w:val="TableText"/>
              <w:ind w:left="113"/>
            </w:pPr>
            <w:r w:rsidRPr="00BF2955">
              <w:t>Operating lease payments</w:t>
            </w:r>
          </w:p>
        </w:tc>
        <w:tc>
          <w:tcPr>
            <w:tcW w:w="1436" w:type="dxa"/>
          </w:tcPr>
          <w:p w14:paraId="0B34B47B" w14:textId="6FB18632" w:rsidR="00BF2955" w:rsidRPr="00BF2955" w:rsidRDefault="00BF2955" w:rsidP="00BF2955">
            <w:pPr>
              <w:pStyle w:val="TableText"/>
              <w:jc w:val="right"/>
            </w:pPr>
            <w:r w:rsidRPr="00BF2955">
              <w:t>15,770</w:t>
            </w:r>
          </w:p>
        </w:tc>
        <w:tc>
          <w:tcPr>
            <w:tcW w:w="1318" w:type="dxa"/>
          </w:tcPr>
          <w:p w14:paraId="7FFC78BE" w14:textId="1491641B" w:rsidR="00BF2955" w:rsidRPr="00BF2955" w:rsidRDefault="00BF2955" w:rsidP="00BF2955">
            <w:pPr>
              <w:pStyle w:val="TableText"/>
              <w:jc w:val="right"/>
            </w:pPr>
            <w:r w:rsidRPr="00BF2955">
              <w:t>14,769</w:t>
            </w:r>
          </w:p>
        </w:tc>
        <w:tc>
          <w:tcPr>
            <w:tcW w:w="1191" w:type="dxa"/>
          </w:tcPr>
          <w:p w14:paraId="13B11BB8" w14:textId="27C07447" w:rsidR="00BF2955" w:rsidRPr="00BF2955" w:rsidRDefault="00BF2955" w:rsidP="00BF2955">
            <w:pPr>
              <w:pStyle w:val="TableText"/>
              <w:jc w:val="right"/>
            </w:pPr>
            <w:r w:rsidRPr="00BF2955">
              <w:t>15,806</w:t>
            </w:r>
          </w:p>
        </w:tc>
      </w:tr>
      <w:tr w:rsidR="00BF2955" w14:paraId="0A6ECE8E" w14:textId="77777777" w:rsidTr="008803C1">
        <w:trPr>
          <w:trHeight w:val="340"/>
        </w:trPr>
        <w:tc>
          <w:tcPr>
            <w:tcW w:w="1127" w:type="dxa"/>
          </w:tcPr>
          <w:p w14:paraId="505DADFA" w14:textId="1AAFCCFF" w:rsidR="00BF2955" w:rsidRPr="00BF2955" w:rsidRDefault="00BF2955" w:rsidP="00BF2955">
            <w:pPr>
              <w:pStyle w:val="TableText"/>
              <w:jc w:val="right"/>
            </w:pPr>
            <w:r w:rsidRPr="00BF2955">
              <w:t xml:space="preserve">3,557   </w:t>
            </w:r>
          </w:p>
        </w:tc>
        <w:tc>
          <w:tcPr>
            <w:tcW w:w="3686" w:type="dxa"/>
          </w:tcPr>
          <w:p w14:paraId="34E82803" w14:textId="708696B5" w:rsidR="00BF2955" w:rsidRPr="00BF2955" w:rsidRDefault="00BF2955" w:rsidP="00BF2955">
            <w:pPr>
              <w:pStyle w:val="TableText"/>
              <w:ind w:left="113"/>
            </w:pPr>
            <w:r w:rsidRPr="00BF2955">
              <w:t>Occupancy costs other than leases</w:t>
            </w:r>
          </w:p>
        </w:tc>
        <w:tc>
          <w:tcPr>
            <w:tcW w:w="1436" w:type="dxa"/>
          </w:tcPr>
          <w:p w14:paraId="4953CCE9" w14:textId="45AFBD41" w:rsidR="00BF2955" w:rsidRPr="00BF2955" w:rsidRDefault="00BF2955" w:rsidP="00BF2955">
            <w:pPr>
              <w:pStyle w:val="TableText"/>
              <w:jc w:val="right"/>
            </w:pPr>
            <w:r w:rsidRPr="00BF2955">
              <w:t>4,269</w:t>
            </w:r>
          </w:p>
        </w:tc>
        <w:tc>
          <w:tcPr>
            <w:tcW w:w="1318" w:type="dxa"/>
          </w:tcPr>
          <w:p w14:paraId="2EE8EDF9" w14:textId="3500ED8D" w:rsidR="00BF2955" w:rsidRPr="00BF2955" w:rsidRDefault="00BF2955" w:rsidP="00BF2955">
            <w:pPr>
              <w:pStyle w:val="TableText"/>
              <w:jc w:val="right"/>
            </w:pPr>
            <w:r w:rsidRPr="00BF2955">
              <w:t>3,779</w:t>
            </w:r>
          </w:p>
        </w:tc>
        <w:tc>
          <w:tcPr>
            <w:tcW w:w="1191" w:type="dxa"/>
          </w:tcPr>
          <w:p w14:paraId="38FE2F71" w14:textId="7B8E816C" w:rsidR="00BF2955" w:rsidRPr="00BF2955" w:rsidRDefault="00BF2955" w:rsidP="00BF2955">
            <w:pPr>
              <w:pStyle w:val="TableText"/>
              <w:jc w:val="right"/>
            </w:pPr>
            <w:r w:rsidRPr="00BF2955">
              <w:t>4,000</w:t>
            </w:r>
          </w:p>
        </w:tc>
      </w:tr>
      <w:tr w:rsidR="00BF2955" w14:paraId="1C562605" w14:textId="77777777" w:rsidTr="008803C1">
        <w:trPr>
          <w:trHeight w:val="340"/>
        </w:trPr>
        <w:tc>
          <w:tcPr>
            <w:tcW w:w="1127" w:type="dxa"/>
          </w:tcPr>
          <w:p w14:paraId="57F6E285" w14:textId="5AFD5579" w:rsidR="00BF2955" w:rsidRPr="00BF2955" w:rsidRDefault="00BF2955" w:rsidP="00BF2955">
            <w:pPr>
              <w:pStyle w:val="TableText"/>
              <w:jc w:val="right"/>
            </w:pPr>
            <w:r w:rsidRPr="00BF2955">
              <w:t xml:space="preserve">7,705  </w:t>
            </w:r>
          </w:p>
        </w:tc>
        <w:tc>
          <w:tcPr>
            <w:tcW w:w="3686" w:type="dxa"/>
          </w:tcPr>
          <w:p w14:paraId="355CE65A" w14:textId="60819B34" w:rsidR="00BF2955" w:rsidRPr="00BF2955" w:rsidRDefault="00BF2955" w:rsidP="00BF2955">
            <w:pPr>
              <w:pStyle w:val="TableText"/>
              <w:ind w:left="113"/>
            </w:pPr>
            <w:r w:rsidRPr="00BF2955">
              <w:t>Communications and couriers</w:t>
            </w:r>
          </w:p>
        </w:tc>
        <w:tc>
          <w:tcPr>
            <w:tcW w:w="1436" w:type="dxa"/>
          </w:tcPr>
          <w:p w14:paraId="47FDE2F6" w14:textId="6800F5EE" w:rsidR="00BF2955" w:rsidRPr="00BF2955" w:rsidRDefault="00BF2955" w:rsidP="00BF2955">
            <w:pPr>
              <w:pStyle w:val="TableText"/>
              <w:jc w:val="right"/>
            </w:pPr>
            <w:r w:rsidRPr="00BF2955">
              <w:t>10,334</w:t>
            </w:r>
          </w:p>
        </w:tc>
        <w:tc>
          <w:tcPr>
            <w:tcW w:w="1318" w:type="dxa"/>
          </w:tcPr>
          <w:p w14:paraId="71F8D028" w14:textId="7E74D97F" w:rsidR="00BF2955" w:rsidRPr="00BF2955" w:rsidRDefault="00BF2955" w:rsidP="00BF2955">
            <w:pPr>
              <w:pStyle w:val="TableText"/>
              <w:jc w:val="right"/>
            </w:pPr>
            <w:r w:rsidRPr="00BF2955">
              <w:t>10,694</w:t>
            </w:r>
          </w:p>
        </w:tc>
        <w:tc>
          <w:tcPr>
            <w:tcW w:w="1191" w:type="dxa"/>
          </w:tcPr>
          <w:p w14:paraId="715671BC" w14:textId="4C336F49" w:rsidR="00BF2955" w:rsidRPr="00BF2955" w:rsidRDefault="00BF2955" w:rsidP="00BF2955">
            <w:pPr>
              <w:pStyle w:val="TableText"/>
              <w:jc w:val="right"/>
            </w:pPr>
            <w:r w:rsidRPr="00BF2955">
              <w:t>8,005</w:t>
            </w:r>
          </w:p>
        </w:tc>
      </w:tr>
      <w:tr w:rsidR="00BF2955" w:rsidRPr="000174A8" w14:paraId="25C9C07F" w14:textId="77777777" w:rsidTr="008803C1">
        <w:trPr>
          <w:trHeight w:val="340"/>
        </w:trPr>
        <w:tc>
          <w:tcPr>
            <w:tcW w:w="1127" w:type="dxa"/>
          </w:tcPr>
          <w:p w14:paraId="2FFD56DF" w14:textId="767EDF79" w:rsidR="00BF2955" w:rsidRPr="00BF2955" w:rsidRDefault="00BF2955" w:rsidP="00BF2955">
            <w:pPr>
              <w:pStyle w:val="TableText"/>
              <w:jc w:val="right"/>
            </w:pPr>
            <w:r w:rsidRPr="00BF2955">
              <w:t xml:space="preserve">1,809  </w:t>
            </w:r>
          </w:p>
        </w:tc>
        <w:tc>
          <w:tcPr>
            <w:tcW w:w="3686" w:type="dxa"/>
          </w:tcPr>
          <w:p w14:paraId="24FA86AD" w14:textId="02204AB2" w:rsidR="00BF2955" w:rsidRPr="00BF2955" w:rsidRDefault="00BF2955" w:rsidP="00BF2955">
            <w:pPr>
              <w:pStyle w:val="TableText"/>
              <w:ind w:left="113"/>
            </w:pPr>
            <w:r w:rsidRPr="00BF2955">
              <w:t>Printing and stationery</w:t>
            </w:r>
          </w:p>
        </w:tc>
        <w:tc>
          <w:tcPr>
            <w:tcW w:w="1436" w:type="dxa"/>
          </w:tcPr>
          <w:p w14:paraId="3A0D5046" w14:textId="6796B127" w:rsidR="00BF2955" w:rsidRPr="00BF2955" w:rsidRDefault="00BF2955" w:rsidP="00BF2955">
            <w:pPr>
              <w:pStyle w:val="TableText"/>
              <w:jc w:val="right"/>
            </w:pPr>
            <w:r w:rsidRPr="00BF2955">
              <w:t>2,384</w:t>
            </w:r>
          </w:p>
        </w:tc>
        <w:tc>
          <w:tcPr>
            <w:tcW w:w="1318" w:type="dxa"/>
          </w:tcPr>
          <w:p w14:paraId="2BCD5477" w14:textId="233D26AD" w:rsidR="00BF2955" w:rsidRPr="00BF2955" w:rsidRDefault="00BF2955" w:rsidP="00BF2955">
            <w:pPr>
              <w:pStyle w:val="TableText"/>
              <w:jc w:val="right"/>
            </w:pPr>
            <w:r w:rsidRPr="00BF2955">
              <w:t>1,597</w:t>
            </w:r>
          </w:p>
        </w:tc>
        <w:tc>
          <w:tcPr>
            <w:tcW w:w="1191" w:type="dxa"/>
          </w:tcPr>
          <w:p w14:paraId="7F2E1432" w14:textId="517B3884" w:rsidR="00BF2955" w:rsidRPr="00BF2955" w:rsidRDefault="00BF2955" w:rsidP="00BF2955">
            <w:pPr>
              <w:pStyle w:val="TableText"/>
              <w:jc w:val="right"/>
            </w:pPr>
            <w:r w:rsidRPr="00BF2955">
              <w:t>3,072</w:t>
            </w:r>
          </w:p>
        </w:tc>
      </w:tr>
      <w:tr w:rsidR="00BF2955" w:rsidRPr="000174A8" w14:paraId="390F2561" w14:textId="77777777" w:rsidTr="008803C1">
        <w:trPr>
          <w:trHeight w:val="340"/>
        </w:trPr>
        <w:tc>
          <w:tcPr>
            <w:tcW w:w="1127" w:type="dxa"/>
          </w:tcPr>
          <w:p w14:paraId="47EA8534" w14:textId="293BEBB6" w:rsidR="00BF2955" w:rsidRPr="00BF2955" w:rsidRDefault="00BF2955" w:rsidP="00BF2955">
            <w:pPr>
              <w:pStyle w:val="TableText"/>
              <w:jc w:val="right"/>
            </w:pPr>
            <w:r w:rsidRPr="00BF2955">
              <w:t xml:space="preserve">2,786   </w:t>
            </w:r>
          </w:p>
        </w:tc>
        <w:tc>
          <w:tcPr>
            <w:tcW w:w="3686" w:type="dxa"/>
          </w:tcPr>
          <w:p w14:paraId="0B04F728" w14:textId="45D8C4EB" w:rsidR="00BF2955" w:rsidRPr="00BF2955" w:rsidRDefault="00BF2955" w:rsidP="00BF2955">
            <w:pPr>
              <w:pStyle w:val="TableText"/>
              <w:ind w:left="113"/>
            </w:pPr>
            <w:r w:rsidRPr="00BF2955">
              <w:t>Travel</w:t>
            </w:r>
          </w:p>
        </w:tc>
        <w:tc>
          <w:tcPr>
            <w:tcW w:w="1436" w:type="dxa"/>
          </w:tcPr>
          <w:p w14:paraId="588A7626" w14:textId="22B02FED" w:rsidR="00BF2955" w:rsidRPr="00BF2955" w:rsidRDefault="00BF2955" w:rsidP="00BF2955">
            <w:pPr>
              <w:pStyle w:val="TableText"/>
              <w:jc w:val="right"/>
            </w:pPr>
            <w:r w:rsidRPr="00BF2955">
              <w:t>3,184</w:t>
            </w:r>
          </w:p>
        </w:tc>
        <w:tc>
          <w:tcPr>
            <w:tcW w:w="1318" w:type="dxa"/>
          </w:tcPr>
          <w:p w14:paraId="52E3679F" w14:textId="067B731E" w:rsidR="00BF2955" w:rsidRPr="00BF2955" w:rsidRDefault="00BF2955" w:rsidP="00BF2955">
            <w:pPr>
              <w:pStyle w:val="TableText"/>
              <w:jc w:val="right"/>
            </w:pPr>
            <w:r w:rsidRPr="00BF2955">
              <w:t>4,006</w:t>
            </w:r>
          </w:p>
        </w:tc>
        <w:tc>
          <w:tcPr>
            <w:tcW w:w="1191" w:type="dxa"/>
          </w:tcPr>
          <w:p w14:paraId="790B141A" w14:textId="1274B6EF" w:rsidR="00BF2955" w:rsidRPr="00BF2955" w:rsidRDefault="00BF2955" w:rsidP="00BF2955">
            <w:pPr>
              <w:pStyle w:val="TableText"/>
              <w:jc w:val="right"/>
            </w:pPr>
            <w:r w:rsidRPr="00BF2955">
              <w:t>1,157</w:t>
            </w:r>
          </w:p>
        </w:tc>
      </w:tr>
      <w:tr w:rsidR="00BF2955" w14:paraId="2490B68B" w14:textId="77777777" w:rsidTr="008803C1">
        <w:trPr>
          <w:trHeight w:val="340"/>
        </w:trPr>
        <w:tc>
          <w:tcPr>
            <w:tcW w:w="1127" w:type="dxa"/>
          </w:tcPr>
          <w:p w14:paraId="1519BE80" w14:textId="591BAF03" w:rsidR="00BF2955" w:rsidRPr="00BF2955" w:rsidRDefault="00BF2955" w:rsidP="00BF2955">
            <w:pPr>
              <w:pStyle w:val="TableText"/>
              <w:jc w:val="right"/>
            </w:pPr>
            <w:r w:rsidRPr="00BF2955">
              <w:t xml:space="preserve">3,472   </w:t>
            </w:r>
          </w:p>
        </w:tc>
        <w:tc>
          <w:tcPr>
            <w:tcW w:w="3686" w:type="dxa"/>
          </w:tcPr>
          <w:p w14:paraId="17ADFA30" w14:textId="30892734" w:rsidR="00BF2955" w:rsidRPr="00BF2955" w:rsidRDefault="00BF2955" w:rsidP="00BF2955">
            <w:pPr>
              <w:pStyle w:val="TableText"/>
              <w:ind w:left="113"/>
            </w:pPr>
            <w:r w:rsidRPr="00BF2955">
              <w:t>Impairment of work in progress intangibles</w:t>
            </w:r>
          </w:p>
        </w:tc>
        <w:tc>
          <w:tcPr>
            <w:tcW w:w="1436" w:type="dxa"/>
          </w:tcPr>
          <w:p w14:paraId="0863B412" w14:textId="5640E0CF" w:rsidR="00BF2955" w:rsidRPr="00BF2955" w:rsidRDefault="00BF2955" w:rsidP="00BF2955">
            <w:pPr>
              <w:pStyle w:val="TableText"/>
              <w:jc w:val="right"/>
            </w:pPr>
            <w:r w:rsidRPr="00BF2955">
              <w:t>–</w:t>
            </w:r>
          </w:p>
        </w:tc>
        <w:tc>
          <w:tcPr>
            <w:tcW w:w="1318" w:type="dxa"/>
          </w:tcPr>
          <w:p w14:paraId="73FFC597" w14:textId="11FD384C" w:rsidR="00BF2955" w:rsidRPr="00BF2955" w:rsidRDefault="00BF2955" w:rsidP="00BF2955">
            <w:pPr>
              <w:pStyle w:val="TableText"/>
              <w:jc w:val="right"/>
            </w:pPr>
            <w:r w:rsidRPr="00BF2955">
              <w:t>–</w:t>
            </w:r>
          </w:p>
        </w:tc>
        <w:tc>
          <w:tcPr>
            <w:tcW w:w="1191" w:type="dxa"/>
          </w:tcPr>
          <w:p w14:paraId="364C34C2" w14:textId="3A657FF2" w:rsidR="00BF2955" w:rsidRPr="00BF2955" w:rsidRDefault="00BF2955" w:rsidP="00BF2955">
            <w:pPr>
              <w:pStyle w:val="TableText"/>
              <w:jc w:val="right"/>
            </w:pPr>
            <w:r w:rsidRPr="00BF2955">
              <w:t>–</w:t>
            </w:r>
          </w:p>
        </w:tc>
      </w:tr>
      <w:tr w:rsidR="00BF2955" w14:paraId="496BFB06" w14:textId="77777777" w:rsidTr="008803C1">
        <w:trPr>
          <w:trHeight w:val="349"/>
        </w:trPr>
        <w:tc>
          <w:tcPr>
            <w:tcW w:w="1127" w:type="dxa"/>
          </w:tcPr>
          <w:p w14:paraId="5EB7B196" w14:textId="3BF0B0D4" w:rsidR="00BF2955" w:rsidRPr="00BF2955" w:rsidRDefault="00BF2955" w:rsidP="00BF2955">
            <w:pPr>
              <w:pStyle w:val="TableText"/>
              <w:jc w:val="right"/>
            </w:pPr>
            <w:r w:rsidRPr="00BF2955">
              <w:t>69</w:t>
            </w:r>
          </w:p>
        </w:tc>
        <w:tc>
          <w:tcPr>
            <w:tcW w:w="3686" w:type="dxa"/>
          </w:tcPr>
          <w:p w14:paraId="48249F15" w14:textId="09A801DF" w:rsidR="00BF2955" w:rsidRPr="00BF2955" w:rsidRDefault="00BF2955" w:rsidP="00BF2955">
            <w:pPr>
              <w:pStyle w:val="TableText"/>
              <w:ind w:left="113"/>
            </w:pPr>
            <w:r w:rsidRPr="00BF2955">
              <w:t>Net loss on sale/disposal of property, plant and equipment</w:t>
            </w:r>
          </w:p>
        </w:tc>
        <w:tc>
          <w:tcPr>
            <w:tcW w:w="1436" w:type="dxa"/>
          </w:tcPr>
          <w:p w14:paraId="3FF7CF6E" w14:textId="362614A7" w:rsidR="00BF2955" w:rsidRPr="00BF2955" w:rsidRDefault="00BF2955" w:rsidP="00BF2955">
            <w:pPr>
              <w:pStyle w:val="TableText"/>
              <w:jc w:val="right"/>
            </w:pPr>
            <w:r w:rsidRPr="00BF2955">
              <w:t>18</w:t>
            </w:r>
          </w:p>
        </w:tc>
        <w:tc>
          <w:tcPr>
            <w:tcW w:w="1318" w:type="dxa"/>
          </w:tcPr>
          <w:p w14:paraId="20DD90E5" w14:textId="6968C20F" w:rsidR="00BF2955" w:rsidRPr="00BF2955" w:rsidRDefault="00BF2955" w:rsidP="00BF2955">
            <w:pPr>
              <w:pStyle w:val="TableText"/>
              <w:jc w:val="right"/>
            </w:pPr>
            <w:r w:rsidRPr="00BF2955">
              <w:t>–</w:t>
            </w:r>
          </w:p>
        </w:tc>
        <w:tc>
          <w:tcPr>
            <w:tcW w:w="1191" w:type="dxa"/>
          </w:tcPr>
          <w:p w14:paraId="6F0C642D" w14:textId="72E9AABD" w:rsidR="00BF2955" w:rsidRPr="00BF2955" w:rsidRDefault="00BF2955" w:rsidP="00BF2955">
            <w:pPr>
              <w:pStyle w:val="TableText"/>
              <w:jc w:val="right"/>
            </w:pPr>
            <w:r w:rsidRPr="00BF2955">
              <w:t>–</w:t>
            </w:r>
          </w:p>
        </w:tc>
      </w:tr>
      <w:tr w:rsidR="00BF2955" w14:paraId="76ACBA29" w14:textId="77777777" w:rsidTr="008803C1">
        <w:trPr>
          <w:trHeight w:val="346"/>
        </w:trPr>
        <w:tc>
          <w:tcPr>
            <w:tcW w:w="1127" w:type="dxa"/>
          </w:tcPr>
          <w:p w14:paraId="4E89E594" w14:textId="0F36BE94" w:rsidR="00BF2955" w:rsidRPr="00BF2955" w:rsidRDefault="00BF2955" w:rsidP="00BF2955">
            <w:pPr>
              <w:pStyle w:val="TableText"/>
              <w:jc w:val="right"/>
            </w:pPr>
            <w:r w:rsidRPr="00BF2955">
              <w:t xml:space="preserve">3,590  </w:t>
            </w:r>
          </w:p>
        </w:tc>
        <w:tc>
          <w:tcPr>
            <w:tcW w:w="3686" w:type="dxa"/>
          </w:tcPr>
          <w:p w14:paraId="1B3934C9" w14:textId="5437B800" w:rsidR="00BF2955" w:rsidRPr="00BF2955" w:rsidRDefault="00BF2955" w:rsidP="00BF2955">
            <w:pPr>
              <w:pStyle w:val="TableText"/>
              <w:ind w:left="113"/>
            </w:pPr>
            <w:r w:rsidRPr="00BF2955">
              <w:t>Other expenses</w:t>
            </w:r>
          </w:p>
        </w:tc>
        <w:tc>
          <w:tcPr>
            <w:tcW w:w="1436" w:type="dxa"/>
          </w:tcPr>
          <w:p w14:paraId="7CAACA93" w14:textId="2B444BD4" w:rsidR="00BF2955" w:rsidRPr="00BF2955" w:rsidRDefault="00BF2955" w:rsidP="00BF2955">
            <w:pPr>
              <w:pStyle w:val="TableText"/>
              <w:jc w:val="right"/>
            </w:pPr>
            <w:r w:rsidRPr="00BF2955">
              <w:t>3,812</w:t>
            </w:r>
          </w:p>
        </w:tc>
        <w:tc>
          <w:tcPr>
            <w:tcW w:w="1318" w:type="dxa"/>
          </w:tcPr>
          <w:p w14:paraId="3F2A5526" w14:textId="57671213" w:rsidR="00BF2955" w:rsidRPr="00BF2955" w:rsidRDefault="00BF2955" w:rsidP="00BF2955">
            <w:pPr>
              <w:pStyle w:val="TableText"/>
              <w:jc w:val="right"/>
            </w:pPr>
            <w:r w:rsidRPr="00BF2955">
              <w:t>10,544</w:t>
            </w:r>
          </w:p>
        </w:tc>
        <w:tc>
          <w:tcPr>
            <w:tcW w:w="1191" w:type="dxa"/>
          </w:tcPr>
          <w:p w14:paraId="5611746F" w14:textId="6CE8A1DE" w:rsidR="00BF2955" w:rsidRPr="00BF2955" w:rsidRDefault="00BF2955" w:rsidP="00BF2955">
            <w:pPr>
              <w:pStyle w:val="TableText"/>
              <w:jc w:val="right"/>
            </w:pPr>
            <w:r w:rsidRPr="00BF2955">
              <w:t>3,460</w:t>
            </w:r>
          </w:p>
        </w:tc>
      </w:tr>
      <w:tr w:rsidR="00BF2955" w:rsidRPr="00BF2955" w14:paraId="0E66F943" w14:textId="77777777" w:rsidTr="008803C1">
        <w:trPr>
          <w:trHeight w:val="322"/>
        </w:trPr>
        <w:tc>
          <w:tcPr>
            <w:tcW w:w="1127" w:type="dxa"/>
            <w:tcBorders>
              <w:bottom w:val="single" w:sz="4" w:space="0" w:color="A6A6A6" w:themeColor="background1" w:themeShade="A6"/>
            </w:tcBorders>
          </w:tcPr>
          <w:p w14:paraId="5B6EB00D" w14:textId="0643C7FA" w:rsidR="00BF2955" w:rsidRPr="00BF2955" w:rsidRDefault="00BF2955" w:rsidP="00BF2955">
            <w:pPr>
              <w:pStyle w:val="TableText"/>
              <w:jc w:val="right"/>
              <w:rPr>
                <w:b/>
                <w:bCs/>
              </w:rPr>
            </w:pPr>
            <w:r w:rsidRPr="00BF2955">
              <w:rPr>
                <w:b/>
                <w:bCs/>
              </w:rPr>
              <w:t xml:space="preserve">200,072   </w:t>
            </w:r>
          </w:p>
        </w:tc>
        <w:tc>
          <w:tcPr>
            <w:tcW w:w="3686" w:type="dxa"/>
            <w:tcBorders>
              <w:bottom w:val="single" w:sz="4" w:space="0" w:color="A6A6A6" w:themeColor="background1" w:themeShade="A6"/>
            </w:tcBorders>
          </w:tcPr>
          <w:p w14:paraId="4064D7FC" w14:textId="7A0F108E" w:rsidR="00BF2955" w:rsidRPr="00BF2955" w:rsidRDefault="00BF2955" w:rsidP="00BF2955">
            <w:pPr>
              <w:pStyle w:val="TableText"/>
              <w:rPr>
                <w:b/>
                <w:bCs/>
              </w:rPr>
            </w:pPr>
            <w:r w:rsidRPr="00BF2955">
              <w:rPr>
                <w:b/>
                <w:bCs/>
              </w:rPr>
              <w:t>Total other expenses</w:t>
            </w:r>
          </w:p>
        </w:tc>
        <w:tc>
          <w:tcPr>
            <w:tcW w:w="1436" w:type="dxa"/>
            <w:tcBorders>
              <w:bottom w:val="single" w:sz="4" w:space="0" w:color="A6A6A6" w:themeColor="background1" w:themeShade="A6"/>
            </w:tcBorders>
          </w:tcPr>
          <w:p w14:paraId="77BEC2A6" w14:textId="2C157E77" w:rsidR="00BF2955" w:rsidRPr="00BF2955" w:rsidRDefault="00BF2955" w:rsidP="00BF2955">
            <w:pPr>
              <w:pStyle w:val="TableText"/>
              <w:jc w:val="right"/>
              <w:rPr>
                <w:b/>
                <w:bCs/>
              </w:rPr>
            </w:pPr>
            <w:r w:rsidRPr="00BF2955">
              <w:rPr>
                <w:b/>
                <w:bCs/>
              </w:rPr>
              <w:t>482,397</w:t>
            </w:r>
          </w:p>
        </w:tc>
        <w:tc>
          <w:tcPr>
            <w:tcW w:w="1318" w:type="dxa"/>
            <w:tcBorders>
              <w:bottom w:val="single" w:sz="4" w:space="0" w:color="A6A6A6" w:themeColor="background1" w:themeShade="A6"/>
            </w:tcBorders>
          </w:tcPr>
          <w:p w14:paraId="6C3E4DEB" w14:textId="41675448" w:rsidR="00BF2955" w:rsidRPr="00BF2955" w:rsidRDefault="00BF2955" w:rsidP="00BF2955">
            <w:pPr>
              <w:pStyle w:val="TableText"/>
              <w:jc w:val="right"/>
              <w:rPr>
                <w:b/>
                <w:bCs/>
              </w:rPr>
            </w:pPr>
            <w:r w:rsidRPr="00BF2955">
              <w:rPr>
                <w:b/>
                <w:bCs/>
              </w:rPr>
              <w:t>226,674</w:t>
            </w:r>
          </w:p>
        </w:tc>
        <w:tc>
          <w:tcPr>
            <w:tcW w:w="1191" w:type="dxa"/>
            <w:tcBorders>
              <w:bottom w:val="single" w:sz="4" w:space="0" w:color="A6A6A6" w:themeColor="background1" w:themeShade="A6"/>
            </w:tcBorders>
          </w:tcPr>
          <w:p w14:paraId="2D4014B4" w14:textId="2F558EE2" w:rsidR="00BF2955" w:rsidRPr="00BF2955" w:rsidRDefault="00BF2955" w:rsidP="00BF2955">
            <w:pPr>
              <w:pStyle w:val="TableText"/>
              <w:jc w:val="right"/>
              <w:rPr>
                <w:b/>
                <w:bCs/>
              </w:rPr>
            </w:pPr>
            <w:r w:rsidRPr="00BF2955">
              <w:rPr>
                <w:b/>
                <w:bCs/>
              </w:rPr>
              <w:t>212,914</w:t>
            </w:r>
          </w:p>
        </w:tc>
      </w:tr>
    </w:tbl>
    <w:p w14:paraId="43E9F066" w14:textId="77777777" w:rsidR="00BF2955" w:rsidRPr="00BF2955" w:rsidRDefault="00BF2955" w:rsidP="004C2BFC">
      <w:pPr>
        <w:pStyle w:val="Heading6"/>
      </w:pPr>
      <w:r w:rsidRPr="00BF2955">
        <w:t>Explanation of major variances against budget</w:t>
      </w:r>
    </w:p>
    <w:p w14:paraId="11F4B0B8" w14:textId="77777777" w:rsidR="00BF2955" w:rsidRDefault="00BF2955" w:rsidP="00BF2955">
      <w:pPr>
        <w:rPr>
          <w:rFonts w:eastAsia="Arial Unicode MS"/>
          <w:lang w:val="en-GB" w:eastAsia="en-US"/>
        </w:rPr>
      </w:pPr>
      <w:r w:rsidRPr="00BF2955">
        <w:rPr>
          <w:rFonts w:eastAsia="Arial Unicode MS"/>
          <w:lang w:val="en-GB" w:eastAsia="en-US"/>
        </w:rPr>
        <w:t>Other expenses were $255.723 million higher than the budget due to additional contractors and consultant ($72.528 million) required for the health and disability systems reforms including the establishment of the interim Te Whatu Ora | Health New Zealand and interim Te Aka Whai Ora | Māori Health Authority departmental agencies, additional costs ($30.993 million) required for COVID-19 vaccine strategies including advertising and awareness campaigns, and the development of a national immunisation solution. Information technology costs were $152.788 million higher than budget to support the implementation of an ecosystem of data and digital services that enables access to a virtual electronic health record (Hira), cyber security, managing COVID-19 in the community, and</w:t>
      </w:r>
      <w:r w:rsidR="000A225D">
        <w:rPr>
          <w:rFonts w:eastAsia="Arial Unicode MS"/>
          <w:lang w:val="en-GB" w:eastAsia="en-US"/>
        </w:rPr>
        <w:t xml:space="preserve"> </w:t>
      </w:r>
      <w:r w:rsidRPr="00BF2955">
        <w:rPr>
          <w:rFonts w:eastAsia="Arial Unicode MS"/>
          <w:lang w:val="en-GB" w:eastAsia="en-US"/>
        </w:rPr>
        <w:t>the changes in SaaS accounting policy which now requires the configuration and customisation costs of a SaaS arrangement to be expensed rather than capitalised.</w:t>
      </w:r>
    </w:p>
    <w:p w14:paraId="01E1FCD4" w14:textId="77777777" w:rsidR="000A225D" w:rsidRDefault="000A225D" w:rsidP="00BF2955">
      <w:pPr>
        <w:rPr>
          <w:rFonts w:eastAsia="Arial Unicode MS"/>
          <w:lang w:val="en-GB" w:eastAsia="en-US"/>
        </w:rPr>
      </w:pPr>
    </w:p>
    <w:p w14:paraId="685035EE" w14:textId="77777777" w:rsidR="000A225D" w:rsidRDefault="000A225D" w:rsidP="00BF2955">
      <w:pPr>
        <w:rPr>
          <w:rFonts w:eastAsia="Arial Unicode MS"/>
          <w:lang w:val="en-GB" w:eastAsia="en-US"/>
        </w:rPr>
      </w:pPr>
    </w:p>
    <w:p w14:paraId="61D49F1A" w14:textId="77777777" w:rsidR="000A225D" w:rsidRPr="000A225D" w:rsidRDefault="000A225D" w:rsidP="000A225D">
      <w:pPr>
        <w:pStyle w:val="Heading4"/>
        <w:rPr>
          <w:lang w:val="en-GB" w:eastAsia="en-US"/>
        </w:rPr>
      </w:pPr>
      <w:r w:rsidRPr="000A225D">
        <w:rPr>
          <w:lang w:val="en-GB" w:eastAsia="en-US"/>
        </w:rPr>
        <w:lastRenderedPageBreak/>
        <w:t>6</w:t>
      </w:r>
      <w:r w:rsidRPr="000A225D">
        <w:rPr>
          <w:lang w:val="en-GB" w:eastAsia="en-US"/>
        </w:rPr>
        <w:tab/>
        <w:t>Plant, property and equipment</w:t>
      </w:r>
    </w:p>
    <w:p w14:paraId="34E89937" w14:textId="77777777" w:rsidR="000A225D" w:rsidRPr="000A225D" w:rsidRDefault="000A225D" w:rsidP="000A225D">
      <w:pPr>
        <w:pStyle w:val="Heading5"/>
        <w:rPr>
          <w:lang w:val="en-GB" w:eastAsia="en-US"/>
        </w:rPr>
      </w:pPr>
      <w:r w:rsidRPr="000A225D">
        <w:rPr>
          <w:lang w:val="en-GB" w:eastAsia="en-US"/>
        </w:rPr>
        <w:t>Accounting policy</w:t>
      </w:r>
    </w:p>
    <w:p w14:paraId="5A4A949E" w14:textId="060CB746" w:rsidR="000A225D" w:rsidRDefault="000A225D" w:rsidP="000A225D">
      <w:pPr>
        <w:rPr>
          <w:rFonts w:eastAsia="Arial Unicode MS"/>
          <w:lang w:val="en-GB" w:eastAsia="en-US"/>
        </w:rPr>
      </w:pPr>
      <w:r w:rsidRPr="000A225D">
        <w:rPr>
          <w:rFonts w:eastAsia="Arial Unicode MS"/>
          <w:lang w:val="en-GB" w:eastAsia="en-US"/>
        </w:rPr>
        <w:t>Property, plant and equipment consists of the following asset classes: land, leasehold improvements, furniture, plant and equipment, and motor vehicles.</w:t>
      </w:r>
    </w:p>
    <w:p w14:paraId="30DFA936" w14:textId="77777777" w:rsidR="000A225D" w:rsidRPr="000A225D" w:rsidRDefault="000A225D" w:rsidP="000A225D">
      <w:pPr>
        <w:rPr>
          <w:rFonts w:eastAsia="Arial Unicode MS"/>
          <w:lang w:val="en-GB" w:eastAsia="en-US"/>
        </w:rPr>
      </w:pPr>
    </w:p>
    <w:p w14:paraId="7A344FBB" w14:textId="0F6B399D" w:rsidR="000A225D" w:rsidRDefault="000A225D" w:rsidP="000A225D">
      <w:pPr>
        <w:rPr>
          <w:rFonts w:eastAsia="Arial Unicode MS"/>
          <w:lang w:val="en-GB" w:eastAsia="en-US"/>
        </w:rPr>
      </w:pPr>
      <w:r w:rsidRPr="000A225D">
        <w:rPr>
          <w:rFonts w:eastAsia="Arial Unicode MS"/>
          <w:lang w:val="en-GB" w:eastAsia="en-US"/>
        </w:rPr>
        <w:t>Land is measured at fair value. All other classes are measured at cost less accumulated depreciation and impairment losses.</w:t>
      </w:r>
    </w:p>
    <w:p w14:paraId="1F8DE9F8" w14:textId="77777777" w:rsidR="000A225D" w:rsidRPr="000A225D" w:rsidRDefault="000A225D" w:rsidP="000A225D">
      <w:pPr>
        <w:rPr>
          <w:rFonts w:eastAsia="Arial Unicode MS"/>
          <w:lang w:val="en-GB" w:eastAsia="en-US"/>
        </w:rPr>
      </w:pPr>
    </w:p>
    <w:p w14:paraId="43E3AD13" w14:textId="77777777" w:rsidR="000A225D" w:rsidRPr="000A225D" w:rsidRDefault="000A225D" w:rsidP="000A225D">
      <w:pPr>
        <w:rPr>
          <w:rFonts w:eastAsia="Arial Unicode MS"/>
          <w:lang w:val="en-GB" w:eastAsia="en-US"/>
        </w:rPr>
      </w:pPr>
      <w:r w:rsidRPr="000A225D">
        <w:rPr>
          <w:rFonts w:eastAsia="Arial Unicode MS"/>
          <w:lang w:val="en-GB" w:eastAsia="en-US"/>
        </w:rPr>
        <w:t>Individual assets, or groups of assets, are capitalised if their cost is greater than $4,000.</w:t>
      </w:r>
    </w:p>
    <w:p w14:paraId="10737A5C" w14:textId="77777777" w:rsidR="000A225D" w:rsidRPr="000A225D" w:rsidRDefault="000A225D" w:rsidP="000A225D">
      <w:pPr>
        <w:pStyle w:val="Heading5"/>
        <w:rPr>
          <w:lang w:val="en-GB" w:eastAsia="en-US"/>
        </w:rPr>
      </w:pPr>
      <w:r w:rsidRPr="000A225D">
        <w:rPr>
          <w:lang w:val="en-GB" w:eastAsia="en-US"/>
        </w:rPr>
        <w:t>Depreciation</w:t>
      </w:r>
    </w:p>
    <w:p w14:paraId="3929E7B3" w14:textId="77777777" w:rsidR="000A225D" w:rsidRPr="000A225D" w:rsidRDefault="000A225D" w:rsidP="000A225D">
      <w:pPr>
        <w:rPr>
          <w:rFonts w:eastAsia="Arial Unicode MS"/>
          <w:lang w:val="en-GB" w:eastAsia="en-US"/>
        </w:rPr>
      </w:pPr>
      <w:r w:rsidRPr="000A225D">
        <w:rPr>
          <w:rFonts w:eastAsia="Arial Unicode MS"/>
          <w:lang w:val="en-GB" w:eastAsia="en-US"/>
        </w:rPr>
        <w:t>Depreciation is provided on a straight-line basis on all property, plant and equipment, other than land, at rates that will write off the cost (or valuation) of the assets to</w:t>
      </w:r>
    </w:p>
    <w:p w14:paraId="1A31FB31" w14:textId="77777777" w:rsidR="000A225D" w:rsidRDefault="000A225D" w:rsidP="000A225D">
      <w:pPr>
        <w:rPr>
          <w:rFonts w:eastAsia="Arial Unicode MS"/>
          <w:lang w:val="en-GB" w:eastAsia="en-US"/>
        </w:rPr>
      </w:pPr>
      <w:r w:rsidRPr="000A225D">
        <w:rPr>
          <w:rFonts w:eastAsia="Arial Unicode MS"/>
          <w:lang w:val="en-GB" w:eastAsia="en-US"/>
        </w:rPr>
        <w:t>their estimated residual values over their useful lives. The useful lives and associated depreciation rates of major classes of property, plant and equipment have been estimated as follows:</w:t>
      </w:r>
    </w:p>
    <w:p w14:paraId="285D7E28" w14:textId="77777777" w:rsidR="000A225D" w:rsidRDefault="000A225D" w:rsidP="000A225D">
      <w:pPr>
        <w:rPr>
          <w:rFonts w:eastAsia="Arial Unicode MS"/>
          <w:lang w:val="en-GB" w:eastAsia="en-US"/>
        </w:rPr>
      </w:pPr>
    </w:p>
    <w:tbl>
      <w:tblPr>
        <w:tblW w:w="8148" w:type="dxa"/>
        <w:tblBorders>
          <w:bottom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686"/>
        <w:gridCol w:w="2231"/>
        <w:gridCol w:w="2231"/>
      </w:tblGrid>
      <w:tr w:rsidR="008173E0" w:rsidRPr="008173E0" w14:paraId="4708DE13" w14:textId="77777777" w:rsidTr="008173E0">
        <w:trPr>
          <w:trHeight w:val="378"/>
        </w:trPr>
        <w:tc>
          <w:tcPr>
            <w:tcW w:w="3686" w:type="dxa"/>
            <w:shd w:val="clear" w:color="auto" w:fill="D9D9D9" w:themeFill="background1" w:themeFillShade="D9"/>
          </w:tcPr>
          <w:p w14:paraId="25BD81C0" w14:textId="77777777" w:rsidR="000A225D" w:rsidRPr="008173E0" w:rsidRDefault="000A225D" w:rsidP="008173E0">
            <w:pPr>
              <w:pStyle w:val="TableText"/>
              <w:rPr>
                <w:b/>
                <w:bCs/>
              </w:rPr>
            </w:pPr>
          </w:p>
        </w:tc>
        <w:tc>
          <w:tcPr>
            <w:tcW w:w="2231" w:type="dxa"/>
            <w:shd w:val="clear" w:color="auto" w:fill="D9D9D9" w:themeFill="background1" w:themeFillShade="D9"/>
          </w:tcPr>
          <w:p w14:paraId="72276595" w14:textId="77777777" w:rsidR="000A225D" w:rsidRPr="008173E0" w:rsidRDefault="000A225D" w:rsidP="00090FEB">
            <w:pPr>
              <w:pStyle w:val="TableText"/>
              <w:jc w:val="right"/>
              <w:rPr>
                <w:b/>
                <w:bCs/>
              </w:rPr>
            </w:pPr>
            <w:r w:rsidRPr="008173E0">
              <w:rPr>
                <w:b/>
                <w:bCs/>
              </w:rPr>
              <w:t>Useful life</w:t>
            </w:r>
          </w:p>
        </w:tc>
        <w:tc>
          <w:tcPr>
            <w:tcW w:w="2231" w:type="dxa"/>
            <w:shd w:val="clear" w:color="auto" w:fill="D9D9D9" w:themeFill="background1" w:themeFillShade="D9"/>
          </w:tcPr>
          <w:p w14:paraId="6C71063A" w14:textId="77777777" w:rsidR="000A225D" w:rsidRPr="008173E0" w:rsidRDefault="000A225D" w:rsidP="00090FEB">
            <w:pPr>
              <w:pStyle w:val="TableText"/>
              <w:jc w:val="right"/>
              <w:rPr>
                <w:b/>
                <w:bCs/>
              </w:rPr>
            </w:pPr>
            <w:r w:rsidRPr="008173E0">
              <w:rPr>
                <w:b/>
                <w:bCs/>
              </w:rPr>
              <w:t>Depreciation rate</w:t>
            </w:r>
          </w:p>
        </w:tc>
      </w:tr>
      <w:tr w:rsidR="000A225D" w14:paraId="65669B25" w14:textId="77777777" w:rsidTr="008173E0">
        <w:trPr>
          <w:trHeight w:val="370"/>
        </w:trPr>
        <w:tc>
          <w:tcPr>
            <w:tcW w:w="3686" w:type="dxa"/>
          </w:tcPr>
          <w:p w14:paraId="3A3C543F" w14:textId="77777777" w:rsidR="000A225D" w:rsidRDefault="000A225D" w:rsidP="008173E0">
            <w:pPr>
              <w:pStyle w:val="TableText"/>
            </w:pPr>
            <w:r>
              <w:t>Motor</w:t>
            </w:r>
            <w:r>
              <w:rPr>
                <w:spacing w:val="11"/>
              </w:rPr>
              <w:t xml:space="preserve"> </w:t>
            </w:r>
            <w:r>
              <w:t>vehicles</w:t>
            </w:r>
          </w:p>
        </w:tc>
        <w:tc>
          <w:tcPr>
            <w:tcW w:w="2231" w:type="dxa"/>
          </w:tcPr>
          <w:p w14:paraId="3778CA75" w14:textId="77777777" w:rsidR="000A225D" w:rsidRDefault="000A225D" w:rsidP="00090FEB">
            <w:pPr>
              <w:pStyle w:val="TableText"/>
              <w:jc w:val="right"/>
            </w:pPr>
            <w:r>
              <w:rPr>
                <w:w w:val="110"/>
              </w:rPr>
              <w:t>5</w:t>
            </w:r>
            <w:r>
              <w:rPr>
                <w:spacing w:val="-11"/>
                <w:w w:val="110"/>
              </w:rPr>
              <w:t xml:space="preserve"> </w:t>
            </w:r>
            <w:r>
              <w:rPr>
                <w:w w:val="110"/>
              </w:rPr>
              <w:t>years</w:t>
            </w:r>
          </w:p>
        </w:tc>
        <w:tc>
          <w:tcPr>
            <w:tcW w:w="2231" w:type="dxa"/>
          </w:tcPr>
          <w:p w14:paraId="2FFBAE9D" w14:textId="77777777" w:rsidR="000A225D" w:rsidRDefault="000A225D" w:rsidP="00090FEB">
            <w:pPr>
              <w:pStyle w:val="TableText"/>
              <w:jc w:val="right"/>
            </w:pPr>
            <w:r>
              <w:rPr>
                <w:w w:val="105"/>
              </w:rPr>
              <w:t>20%</w:t>
            </w:r>
          </w:p>
        </w:tc>
      </w:tr>
      <w:tr w:rsidR="000A225D" w14:paraId="75998F9A" w14:textId="77777777" w:rsidTr="008173E0">
        <w:trPr>
          <w:trHeight w:val="359"/>
        </w:trPr>
        <w:tc>
          <w:tcPr>
            <w:tcW w:w="3686" w:type="dxa"/>
          </w:tcPr>
          <w:p w14:paraId="2C5AB9AD" w14:textId="77777777" w:rsidR="000A225D" w:rsidRDefault="000A225D" w:rsidP="008173E0">
            <w:pPr>
              <w:pStyle w:val="TableText"/>
            </w:pPr>
            <w:r>
              <w:t>Furniture,</w:t>
            </w:r>
            <w:r>
              <w:rPr>
                <w:spacing w:val="18"/>
              </w:rPr>
              <w:t xml:space="preserve"> </w:t>
            </w:r>
            <w:r>
              <w:t>plant</w:t>
            </w:r>
            <w:r>
              <w:rPr>
                <w:spacing w:val="18"/>
              </w:rPr>
              <w:t xml:space="preserve"> </w:t>
            </w:r>
            <w:r>
              <w:t>and</w:t>
            </w:r>
            <w:r>
              <w:rPr>
                <w:spacing w:val="18"/>
              </w:rPr>
              <w:t xml:space="preserve"> </w:t>
            </w:r>
            <w:r>
              <w:t>equipment</w:t>
            </w:r>
          </w:p>
        </w:tc>
        <w:tc>
          <w:tcPr>
            <w:tcW w:w="2231" w:type="dxa"/>
          </w:tcPr>
          <w:p w14:paraId="2F91F685" w14:textId="77777777" w:rsidR="000A225D" w:rsidRDefault="000A225D" w:rsidP="00090FEB">
            <w:pPr>
              <w:pStyle w:val="TableText"/>
              <w:jc w:val="right"/>
            </w:pPr>
            <w:r>
              <w:rPr>
                <w:w w:val="105"/>
              </w:rPr>
              <w:t>5–10</w:t>
            </w:r>
            <w:r>
              <w:rPr>
                <w:spacing w:val="-1"/>
                <w:w w:val="105"/>
              </w:rPr>
              <w:t xml:space="preserve"> </w:t>
            </w:r>
            <w:r>
              <w:rPr>
                <w:w w:val="105"/>
              </w:rPr>
              <w:t>years</w:t>
            </w:r>
          </w:p>
        </w:tc>
        <w:tc>
          <w:tcPr>
            <w:tcW w:w="2231" w:type="dxa"/>
          </w:tcPr>
          <w:p w14:paraId="0DAB0989" w14:textId="77777777" w:rsidR="000A225D" w:rsidRDefault="000A225D" w:rsidP="00090FEB">
            <w:pPr>
              <w:pStyle w:val="TableText"/>
              <w:jc w:val="right"/>
            </w:pPr>
            <w:r>
              <w:rPr>
                <w:w w:val="105"/>
              </w:rPr>
              <w:t>10–20%</w:t>
            </w:r>
          </w:p>
        </w:tc>
      </w:tr>
      <w:tr w:rsidR="000A225D" w14:paraId="31B23BAB" w14:textId="77777777" w:rsidTr="008173E0">
        <w:trPr>
          <w:trHeight w:val="359"/>
        </w:trPr>
        <w:tc>
          <w:tcPr>
            <w:tcW w:w="3686" w:type="dxa"/>
          </w:tcPr>
          <w:p w14:paraId="1F27080D" w14:textId="77777777" w:rsidR="000A225D" w:rsidRDefault="000A225D" w:rsidP="008173E0">
            <w:pPr>
              <w:pStyle w:val="TableText"/>
            </w:pPr>
            <w:r>
              <w:rPr>
                <w:w w:val="105"/>
              </w:rPr>
              <w:t>Leasehold</w:t>
            </w:r>
            <w:r>
              <w:rPr>
                <w:spacing w:val="-12"/>
                <w:w w:val="105"/>
              </w:rPr>
              <w:t xml:space="preserve"> </w:t>
            </w:r>
            <w:r>
              <w:rPr>
                <w:w w:val="105"/>
              </w:rPr>
              <w:t>improvements</w:t>
            </w:r>
          </w:p>
        </w:tc>
        <w:tc>
          <w:tcPr>
            <w:tcW w:w="2231" w:type="dxa"/>
          </w:tcPr>
          <w:p w14:paraId="376C8D00" w14:textId="77777777" w:rsidR="000A225D" w:rsidRDefault="000A225D" w:rsidP="00090FEB">
            <w:pPr>
              <w:pStyle w:val="TableText"/>
              <w:jc w:val="right"/>
            </w:pPr>
            <w:r>
              <w:rPr>
                <w:w w:val="105"/>
              </w:rPr>
              <w:t>5–10</w:t>
            </w:r>
            <w:r>
              <w:rPr>
                <w:spacing w:val="-1"/>
                <w:w w:val="105"/>
              </w:rPr>
              <w:t xml:space="preserve"> </w:t>
            </w:r>
            <w:r>
              <w:rPr>
                <w:w w:val="105"/>
              </w:rPr>
              <w:t>years</w:t>
            </w:r>
          </w:p>
        </w:tc>
        <w:tc>
          <w:tcPr>
            <w:tcW w:w="2231" w:type="dxa"/>
          </w:tcPr>
          <w:p w14:paraId="5A6A0E44" w14:textId="77777777" w:rsidR="000A225D" w:rsidRDefault="000A225D" w:rsidP="00090FEB">
            <w:pPr>
              <w:pStyle w:val="TableText"/>
              <w:jc w:val="right"/>
            </w:pPr>
            <w:r>
              <w:rPr>
                <w:w w:val="105"/>
              </w:rPr>
              <w:t>10–20%</w:t>
            </w:r>
          </w:p>
        </w:tc>
      </w:tr>
      <w:tr w:rsidR="000A225D" w14:paraId="1C2958C2" w14:textId="77777777" w:rsidTr="008173E0">
        <w:trPr>
          <w:trHeight w:val="288"/>
        </w:trPr>
        <w:tc>
          <w:tcPr>
            <w:tcW w:w="3686" w:type="dxa"/>
          </w:tcPr>
          <w:p w14:paraId="1DA7D75B" w14:textId="77777777" w:rsidR="000A225D" w:rsidRDefault="000A225D" w:rsidP="008173E0">
            <w:pPr>
              <w:pStyle w:val="TableText"/>
            </w:pPr>
            <w:r>
              <w:t>Computer</w:t>
            </w:r>
            <w:r>
              <w:rPr>
                <w:spacing w:val="17"/>
              </w:rPr>
              <w:t xml:space="preserve"> </w:t>
            </w:r>
            <w:r>
              <w:t>hardware</w:t>
            </w:r>
          </w:p>
        </w:tc>
        <w:tc>
          <w:tcPr>
            <w:tcW w:w="2231" w:type="dxa"/>
          </w:tcPr>
          <w:p w14:paraId="4AFD756E" w14:textId="77777777" w:rsidR="000A225D" w:rsidRDefault="000A225D" w:rsidP="00090FEB">
            <w:pPr>
              <w:pStyle w:val="TableText"/>
              <w:jc w:val="right"/>
            </w:pPr>
            <w:r>
              <w:rPr>
                <w:w w:val="110"/>
              </w:rPr>
              <w:t>3–5</w:t>
            </w:r>
            <w:r>
              <w:rPr>
                <w:spacing w:val="-2"/>
                <w:w w:val="110"/>
              </w:rPr>
              <w:t xml:space="preserve"> </w:t>
            </w:r>
            <w:r>
              <w:rPr>
                <w:w w:val="110"/>
              </w:rPr>
              <w:t>years</w:t>
            </w:r>
          </w:p>
        </w:tc>
        <w:tc>
          <w:tcPr>
            <w:tcW w:w="2231" w:type="dxa"/>
          </w:tcPr>
          <w:p w14:paraId="788EDFB7" w14:textId="77777777" w:rsidR="000A225D" w:rsidRDefault="000A225D" w:rsidP="00090FEB">
            <w:pPr>
              <w:pStyle w:val="TableText"/>
              <w:jc w:val="right"/>
            </w:pPr>
            <w:r>
              <w:rPr>
                <w:w w:val="105"/>
              </w:rPr>
              <w:t>20–33.3%</w:t>
            </w:r>
          </w:p>
        </w:tc>
      </w:tr>
    </w:tbl>
    <w:p w14:paraId="274241CE" w14:textId="77777777" w:rsidR="000A225D" w:rsidRDefault="000A225D" w:rsidP="000A225D">
      <w:pPr>
        <w:rPr>
          <w:rFonts w:eastAsia="Arial Unicode MS"/>
          <w:lang w:val="en-GB" w:eastAsia="en-US"/>
        </w:rPr>
      </w:pPr>
    </w:p>
    <w:p w14:paraId="03A39548" w14:textId="77777777" w:rsidR="008173E0" w:rsidRPr="008173E0" w:rsidRDefault="008173E0" w:rsidP="008173E0">
      <w:pPr>
        <w:rPr>
          <w:rFonts w:eastAsia="Arial Unicode MS"/>
          <w:lang w:val="en-GB" w:eastAsia="en-US"/>
        </w:rPr>
      </w:pPr>
      <w:r w:rsidRPr="008173E0">
        <w:rPr>
          <w:rFonts w:eastAsia="Arial Unicode MS"/>
          <w:lang w:val="en-GB" w:eastAsia="en-US"/>
        </w:rPr>
        <w:t>Leasehold improvements are capitalised over the shorter of the unexpired period of the lease or the estimated remaining useful lives of the improvements.</w:t>
      </w:r>
    </w:p>
    <w:p w14:paraId="147C13BF" w14:textId="77777777" w:rsidR="008173E0" w:rsidRDefault="008173E0" w:rsidP="008173E0">
      <w:pPr>
        <w:rPr>
          <w:rFonts w:eastAsia="Arial Unicode MS"/>
          <w:lang w:val="en-GB" w:eastAsia="en-US"/>
        </w:rPr>
      </w:pPr>
    </w:p>
    <w:p w14:paraId="35A298A4" w14:textId="0673687C" w:rsidR="008173E0" w:rsidRPr="008173E0" w:rsidRDefault="008173E0" w:rsidP="008173E0">
      <w:pPr>
        <w:rPr>
          <w:rFonts w:eastAsia="Arial Unicode MS"/>
          <w:lang w:val="en-GB" w:eastAsia="en-US"/>
        </w:rPr>
      </w:pPr>
      <w:r w:rsidRPr="008173E0">
        <w:rPr>
          <w:rFonts w:eastAsia="Arial Unicode MS"/>
          <w:lang w:val="en-GB" w:eastAsia="en-US"/>
        </w:rPr>
        <w:t>The residual value and useful life of an asset is reviewed, and adjusted if applicable, at each balance date.</w:t>
      </w:r>
    </w:p>
    <w:p w14:paraId="39C688DF" w14:textId="77777777" w:rsidR="008173E0" w:rsidRPr="008173E0" w:rsidRDefault="008173E0" w:rsidP="008173E0">
      <w:pPr>
        <w:pStyle w:val="Heading5"/>
        <w:rPr>
          <w:lang w:val="en-GB" w:eastAsia="en-US"/>
        </w:rPr>
      </w:pPr>
      <w:r w:rsidRPr="008173E0">
        <w:rPr>
          <w:lang w:val="en-GB" w:eastAsia="en-US"/>
        </w:rPr>
        <w:t>Work in progress</w:t>
      </w:r>
    </w:p>
    <w:p w14:paraId="107D9CD2" w14:textId="77777777" w:rsidR="008173E0" w:rsidRPr="008173E0" w:rsidRDefault="008173E0" w:rsidP="008173E0">
      <w:pPr>
        <w:rPr>
          <w:rFonts w:eastAsia="Arial Unicode MS"/>
          <w:lang w:val="en-GB" w:eastAsia="en-US"/>
        </w:rPr>
      </w:pPr>
      <w:r w:rsidRPr="008173E0">
        <w:rPr>
          <w:rFonts w:eastAsia="Arial Unicode MS"/>
          <w:lang w:val="en-GB" w:eastAsia="en-US"/>
        </w:rPr>
        <w:t>Work in progress is recognised at cost less impairment and is not depreciated.</w:t>
      </w:r>
    </w:p>
    <w:p w14:paraId="3DF5D48B" w14:textId="77777777" w:rsidR="008173E0" w:rsidRPr="008173E0" w:rsidRDefault="008173E0" w:rsidP="008173E0">
      <w:pPr>
        <w:pStyle w:val="Heading5"/>
        <w:rPr>
          <w:lang w:val="en-GB" w:eastAsia="en-US"/>
        </w:rPr>
      </w:pPr>
      <w:r w:rsidRPr="008173E0">
        <w:rPr>
          <w:lang w:val="en-GB" w:eastAsia="en-US"/>
        </w:rPr>
        <w:t>Additions</w:t>
      </w:r>
    </w:p>
    <w:p w14:paraId="1AE7B170" w14:textId="2F0DDE49" w:rsidR="008173E0" w:rsidRDefault="008173E0" w:rsidP="008173E0">
      <w:pPr>
        <w:rPr>
          <w:rFonts w:eastAsia="Arial Unicode MS"/>
          <w:lang w:val="en-GB" w:eastAsia="en-US"/>
        </w:rPr>
      </w:pPr>
      <w:r w:rsidRPr="008173E0">
        <w:rPr>
          <w:rFonts w:eastAsia="Arial Unicode MS"/>
          <w:lang w:val="en-GB" w:eastAsia="en-US"/>
        </w:rPr>
        <w:t>The cost of an item of property, plant and equipment is recognised as an asset only when it is probable that future economic benefits or service potential associated with the item will flow to the Ministry and the cost of the item can be measured reliably.</w:t>
      </w:r>
    </w:p>
    <w:p w14:paraId="4215602D" w14:textId="77777777" w:rsidR="008173E0" w:rsidRPr="008173E0" w:rsidRDefault="008173E0" w:rsidP="008173E0">
      <w:pPr>
        <w:rPr>
          <w:rFonts w:eastAsia="Arial Unicode MS"/>
          <w:lang w:val="en-GB" w:eastAsia="en-US"/>
        </w:rPr>
      </w:pPr>
    </w:p>
    <w:p w14:paraId="458EE077" w14:textId="77777777" w:rsidR="008173E0" w:rsidRPr="008173E0" w:rsidRDefault="008173E0" w:rsidP="008173E0">
      <w:pPr>
        <w:rPr>
          <w:rFonts w:eastAsia="Arial Unicode MS"/>
          <w:lang w:val="en-GB" w:eastAsia="en-US"/>
        </w:rPr>
      </w:pPr>
      <w:r w:rsidRPr="008173E0">
        <w:rPr>
          <w:rFonts w:eastAsia="Arial Unicode MS"/>
          <w:lang w:val="en-GB" w:eastAsia="en-US"/>
        </w:rPr>
        <w:t>An item of property, plant and equipment is initially recognised at its cost. Where an asset is acquired through a non-exchange transaction, it is recognised at its fair value as at the date of acquisition.</w:t>
      </w:r>
    </w:p>
    <w:p w14:paraId="154619B6" w14:textId="77777777" w:rsidR="008173E0" w:rsidRPr="008173E0" w:rsidRDefault="008173E0" w:rsidP="008173E0">
      <w:pPr>
        <w:pStyle w:val="Heading5"/>
        <w:rPr>
          <w:lang w:val="en-GB" w:eastAsia="en-US"/>
        </w:rPr>
      </w:pPr>
      <w:r w:rsidRPr="008173E0">
        <w:rPr>
          <w:lang w:val="en-GB" w:eastAsia="en-US"/>
        </w:rPr>
        <w:t>Disposals</w:t>
      </w:r>
    </w:p>
    <w:p w14:paraId="32B6C6E4" w14:textId="23A5AA81" w:rsidR="008173E0" w:rsidRDefault="008173E0" w:rsidP="008173E0">
      <w:pPr>
        <w:rPr>
          <w:rFonts w:eastAsia="Arial Unicode MS"/>
          <w:lang w:val="en-GB" w:eastAsia="en-US"/>
        </w:rPr>
      </w:pPr>
      <w:r w:rsidRPr="008173E0">
        <w:rPr>
          <w:rFonts w:eastAsia="Arial Unicode MS"/>
          <w:lang w:val="en-GB" w:eastAsia="en-US"/>
        </w:rPr>
        <w:t>Gains and losses on disposals are determined by comparing the disposal proceeds with the carrying amount of the asset and are included in surplus or deficit. When a revalued asset is sold, the amount included in the property revaluation reserve in respect of the disposed asset is transferred to taxpayers’ funds.</w:t>
      </w:r>
    </w:p>
    <w:p w14:paraId="50EF5CBC" w14:textId="77777777" w:rsidR="008173E0" w:rsidRPr="008173E0" w:rsidRDefault="008173E0" w:rsidP="008173E0">
      <w:pPr>
        <w:pStyle w:val="Heading5"/>
        <w:rPr>
          <w:lang w:val="en-GB" w:eastAsia="en-US"/>
        </w:rPr>
      </w:pPr>
      <w:r w:rsidRPr="008173E0">
        <w:rPr>
          <w:lang w:val="en-GB" w:eastAsia="en-US"/>
        </w:rPr>
        <w:lastRenderedPageBreak/>
        <w:t>Subsequent costs</w:t>
      </w:r>
    </w:p>
    <w:p w14:paraId="09C57DD4" w14:textId="0806D677" w:rsidR="008173E0" w:rsidRDefault="008173E0" w:rsidP="008173E0">
      <w:pPr>
        <w:rPr>
          <w:rFonts w:eastAsia="Arial Unicode MS"/>
          <w:lang w:val="en-GB" w:eastAsia="en-US"/>
        </w:rPr>
      </w:pPr>
      <w:r w:rsidRPr="008173E0">
        <w:rPr>
          <w:rFonts w:eastAsia="Arial Unicode MS"/>
          <w:lang w:val="en-GB" w:eastAsia="en-US"/>
        </w:rPr>
        <w:t>Costs incurred subsequent to initial acquisition are capitalised only when it is probable that future economic benefits or service potential associated with the item will flow to the Ministry and the cost of the item can be measured reliably.</w:t>
      </w:r>
    </w:p>
    <w:p w14:paraId="095E3673" w14:textId="77777777" w:rsidR="008173E0" w:rsidRPr="008173E0" w:rsidRDefault="008173E0" w:rsidP="008173E0">
      <w:pPr>
        <w:rPr>
          <w:rFonts w:eastAsia="Arial Unicode MS"/>
          <w:lang w:val="en-GB" w:eastAsia="en-US"/>
        </w:rPr>
      </w:pPr>
    </w:p>
    <w:p w14:paraId="7878E635" w14:textId="77777777" w:rsidR="008173E0" w:rsidRPr="008173E0" w:rsidRDefault="008173E0" w:rsidP="008173E0">
      <w:pPr>
        <w:rPr>
          <w:rFonts w:eastAsia="Arial Unicode MS"/>
          <w:lang w:val="en-GB" w:eastAsia="en-US"/>
        </w:rPr>
      </w:pPr>
      <w:r w:rsidRPr="008173E0">
        <w:rPr>
          <w:rFonts w:eastAsia="Arial Unicode MS"/>
          <w:lang w:val="en-GB" w:eastAsia="en-US"/>
        </w:rPr>
        <w:t>The cost of day-to-day servicing of property, plant and equipment are recognised in surplus or deficit as they are incurred.</w:t>
      </w:r>
    </w:p>
    <w:p w14:paraId="5124884C" w14:textId="77777777" w:rsidR="008173E0" w:rsidRPr="008173E0" w:rsidRDefault="008173E0" w:rsidP="008173E0">
      <w:pPr>
        <w:pStyle w:val="Heading5"/>
        <w:rPr>
          <w:lang w:val="en-GB" w:eastAsia="en-US"/>
        </w:rPr>
      </w:pPr>
      <w:r w:rsidRPr="008173E0">
        <w:rPr>
          <w:lang w:val="en-GB" w:eastAsia="en-US"/>
        </w:rPr>
        <w:t>Revaluations</w:t>
      </w:r>
    </w:p>
    <w:p w14:paraId="018DADFF" w14:textId="7E5B9B7C" w:rsidR="008173E0" w:rsidRDefault="008173E0" w:rsidP="008173E0">
      <w:pPr>
        <w:rPr>
          <w:rFonts w:eastAsia="Arial Unicode MS"/>
          <w:lang w:val="en-GB" w:eastAsia="en-US"/>
        </w:rPr>
      </w:pPr>
      <w:r w:rsidRPr="008173E0">
        <w:rPr>
          <w:rFonts w:eastAsia="Arial Unicode MS"/>
          <w:lang w:val="en-GB" w:eastAsia="en-US"/>
        </w:rPr>
        <w:t>Land is revalued with sufficient regularity to ensure that the carrying amount does not differ materially from its fair value. Land is revalued at least every three years.</w:t>
      </w:r>
    </w:p>
    <w:p w14:paraId="1B68EFB7" w14:textId="77777777" w:rsidR="008173E0" w:rsidRPr="008173E0" w:rsidRDefault="008173E0" w:rsidP="008173E0">
      <w:pPr>
        <w:rPr>
          <w:rFonts w:eastAsia="Arial Unicode MS"/>
          <w:lang w:val="en-GB" w:eastAsia="en-US"/>
        </w:rPr>
      </w:pPr>
    </w:p>
    <w:p w14:paraId="3358AFB5" w14:textId="23C10923" w:rsidR="008173E0" w:rsidRDefault="008173E0" w:rsidP="008173E0">
      <w:pPr>
        <w:rPr>
          <w:rFonts w:eastAsia="Arial Unicode MS"/>
          <w:lang w:val="en-GB" w:eastAsia="en-US"/>
        </w:rPr>
      </w:pPr>
      <w:r w:rsidRPr="008173E0">
        <w:rPr>
          <w:rFonts w:eastAsia="Arial Unicode MS"/>
          <w:lang w:val="en-GB" w:eastAsia="en-US"/>
        </w:rPr>
        <w:t>The carrying value of the revalued asset is assessed annually to ensure that it does not differ materially from fair value. If there is a material difference, then the off-cycle asset class revaluation is carried out.</w:t>
      </w:r>
    </w:p>
    <w:p w14:paraId="3F884C65" w14:textId="77777777" w:rsidR="008173E0" w:rsidRPr="008173E0" w:rsidRDefault="008173E0" w:rsidP="008173E0">
      <w:pPr>
        <w:rPr>
          <w:rFonts w:eastAsia="Arial Unicode MS"/>
          <w:lang w:val="en-GB" w:eastAsia="en-US"/>
        </w:rPr>
      </w:pPr>
    </w:p>
    <w:p w14:paraId="6C5982B4" w14:textId="6AE79FDF" w:rsidR="008173E0" w:rsidRDefault="008173E0" w:rsidP="008173E0">
      <w:pPr>
        <w:rPr>
          <w:rFonts w:eastAsia="Arial Unicode MS"/>
          <w:lang w:val="en-GB" w:eastAsia="en-US"/>
        </w:rPr>
      </w:pPr>
      <w:r w:rsidRPr="008173E0">
        <w:rPr>
          <w:rFonts w:eastAsia="Arial Unicode MS"/>
          <w:lang w:val="en-GB" w:eastAsia="en-US"/>
        </w:rPr>
        <w:t>Revaluation movement is accounted for on a class-of-asset basis.</w:t>
      </w:r>
    </w:p>
    <w:p w14:paraId="52ED1E67" w14:textId="77777777" w:rsidR="008173E0" w:rsidRPr="008173E0" w:rsidRDefault="008173E0" w:rsidP="008173E0">
      <w:pPr>
        <w:rPr>
          <w:rFonts w:eastAsia="Arial Unicode MS"/>
          <w:lang w:val="en-GB" w:eastAsia="en-US"/>
        </w:rPr>
      </w:pPr>
    </w:p>
    <w:p w14:paraId="40F81177" w14:textId="77777777" w:rsidR="008173E0" w:rsidRPr="008173E0" w:rsidRDefault="008173E0" w:rsidP="008173E0">
      <w:pPr>
        <w:rPr>
          <w:rFonts w:eastAsia="Arial Unicode MS"/>
          <w:lang w:val="en-GB" w:eastAsia="en-US"/>
        </w:rPr>
      </w:pPr>
      <w:r w:rsidRPr="008173E0">
        <w:rPr>
          <w:rFonts w:eastAsia="Arial Unicode MS"/>
          <w:lang w:val="en-GB" w:eastAsia="en-US"/>
        </w:rPr>
        <w:t>The net revaluation result is credited or debited to other comprehensive revenue and expense and is accumulated to an asset revaluation reserve in equity for that class- of-asset. Where this would result in a debit balance in the asset revaluation reserve, this balance is not recognised in other comprehensive revenue and expense but is recognised in surplus or deficit. Any subsequent increase on revaluation that reverses a previous decrease in value recognised in surplus or deficit will be recognised first in surplus or deficit up to the amount previously expensed, and then recognised in other</w:t>
      </w:r>
    </w:p>
    <w:p w14:paraId="07C2CAD7" w14:textId="77777777" w:rsidR="008173E0" w:rsidRPr="008173E0" w:rsidRDefault="008173E0" w:rsidP="008173E0">
      <w:pPr>
        <w:rPr>
          <w:rFonts w:eastAsia="Arial Unicode MS"/>
          <w:lang w:val="en-GB" w:eastAsia="en-US"/>
        </w:rPr>
      </w:pPr>
      <w:r w:rsidRPr="008173E0">
        <w:rPr>
          <w:rFonts w:eastAsia="Arial Unicode MS"/>
          <w:lang w:val="en-GB" w:eastAsia="en-US"/>
        </w:rPr>
        <w:t>comprehensive revenue and expense. A revalued asset can be impaired without having to revalue the entire class-of-asset to which the asset belongs.</w:t>
      </w:r>
    </w:p>
    <w:p w14:paraId="56EC4DF4" w14:textId="77777777" w:rsidR="008173E0" w:rsidRPr="008173E0" w:rsidRDefault="008173E0" w:rsidP="008173E0">
      <w:pPr>
        <w:pStyle w:val="Heading5"/>
        <w:rPr>
          <w:lang w:val="en-GB" w:eastAsia="en-US"/>
        </w:rPr>
      </w:pPr>
      <w:r w:rsidRPr="008173E0">
        <w:rPr>
          <w:lang w:val="en-GB" w:eastAsia="en-US"/>
        </w:rPr>
        <w:t>Impairment</w:t>
      </w:r>
    </w:p>
    <w:p w14:paraId="42777E27" w14:textId="77777777" w:rsidR="008173E0" w:rsidRPr="008173E0" w:rsidRDefault="008173E0" w:rsidP="008173E0">
      <w:pPr>
        <w:rPr>
          <w:rFonts w:eastAsia="Arial Unicode MS"/>
          <w:lang w:val="en-GB" w:eastAsia="en-US"/>
        </w:rPr>
      </w:pPr>
      <w:r w:rsidRPr="008173E0">
        <w:rPr>
          <w:rFonts w:eastAsia="Arial Unicode MS"/>
          <w:lang w:val="en-GB" w:eastAsia="en-US"/>
        </w:rPr>
        <w:t>Property, plant and equipment held at cost that have a finite useful life are reviewed for impairment whenever events or changes in circumstances indicate that the carrying amount may not be recoverable. An impairment loss is recognised for the amount</w:t>
      </w:r>
    </w:p>
    <w:p w14:paraId="7D2F8950" w14:textId="6DB440F0" w:rsidR="008173E0" w:rsidRDefault="008173E0" w:rsidP="008173E0">
      <w:pPr>
        <w:rPr>
          <w:rFonts w:eastAsia="Arial Unicode MS"/>
          <w:lang w:val="en-GB" w:eastAsia="en-US"/>
        </w:rPr>
      </w:pPr>
      <w:r w:rsidRPr="008173E0">
        <w:rPr>
          <w:rFonts w:eastAsia="Arial Unicode MS"/>
          <w:lang w:val="en-GB" w:eastAsia="en-US"/>
        </w:rPr>
        <w:t>by which the asset’s carrying amount exceeds its recoverable service amount. The recoverable service amount is the higher of an asset’s fair value less costs to sell and value in use.</w:t>
      </w:r>
    </w:p>
    <w:p w14:paraId="372C2A21" w14:textId="77777777" w:rsidR="008173E0" w:rsidRPr="008173E0" w:rsidRDefault="008173E0" w:rsidP="008173E0">
      <w:pPr>
        <w:rPr>
          <w:rFonts w:eastAsia="Arial Unicode MS"/>
          <w:lang w:val="en-GB" w:eastAsia="en-US"/>
        </w:rPr>
      </w:pPr>
    </w:p>
    <w:p w14:paraId="23B3B887" w14:textId="77777777" w:rsidR="008173E0" w:rsidRPr="008173E0" w:rsidRDefault="008173E0" w:rsidP="008173E0">
      <w:pPr>
        <w:rPr>
          <w:rFonts w:eastAsia="Arial Unicode MS"/>
          <w:lang w:val="en-GB" w:eastAsia="en-US"/>
        </w:rPr>
      </w:pPr>
      <w:r w:rsidRPr="008173E0">
        <w:rPr>
          <w:rFonts w:eastAsia="Arial Unicode MS"/>
          <w:lang w:val="en-GB" w:eastAsia="en-US"/>
        </w:rPr>
        <w:t>Value in use is the present value of the asset’s remaining service potential. Value in use is determined using an approach based on either a depreciated replacement cost</w:t>
      </w:r>
    </w:p>
    <w:p w14:paraId="40BACD43" w14:textId="3459000B" w:rsidR="008173E0" w:rsidRDefault="008173E0" w:rsidP="008173E0">
      <w:pPr>
        <w:rPr>
          <w:rFonts w:eastAsia="Arial Unicode MS"/>
          <w:lang w:val="en-GB" w:eastAsia="en-US"/>
        </w:rPr>
      </w:pPr>
      <w:r w:rsidRPr="008173E0">
        <w:rPr>
          <w:rFonts w:eastAsia="Arial Unicode MS"/>
          <w:lang w:val="en-GB" w:eastAsia="en-US"/>
        </w:rPr>
        <w:t>approach, restoration cost approach, or a service units approach. The most appropriate approach used to measure value in use depends on the nature of the impairment and availability of information.</w:t>
      </w:r>
    </w:p>
    <w:p w14:paraId="5563677C" w14:textId="77777777" w:rsidR="008173E0" w:rsidRPr="008173E0" w:rsidRDefault="008173E0" w:rsidP="008173E0">
      <w:pPr>
        <w:rPr>
          <w:rFonts w:eastAsia="Arial Unicode MS"/>
          <w:lang w:val="en-GB" w:eastAsia="en-US"/>
        </w:rPr>
      </w:pPr>
    </w:p>
    <w:p w14:paraId="258AD67B" w14:textId="6CA1BDF1" w:rsidR="008173E0" w:rsidRDefault="008173E0" w:rsidP="008173E0">
      <w:pPr>
        <w:rPr>
          <w:rFonts w:eastAsia="Arial Unicode MS"/>
          <w:lang w:val="en-GB" w:eastAsia="en-US"/>
        </w:rPr>
      </w:pPr>
      <w:r w:rsidRPr="008173E0">
        <w:rPr>
          <w:rFonts w:eastAsia="Arial Unicode MS"/>
          <w:lang w:val="en-GB" w:eastAsia="en-US"/>
        </w:rPr>
        <w:t>If an asset’s carrying amount exceeds its recoverable service amount, the asset is considered to be impaired and the carrying amount is written down to the recoverable service amount. The total impairment loss is recognised in surplus or deficit, unless the asset belongs to a class that are measured using the revaluation model. Reversal of an impairment loss is recognised in surplus or deficit.</w:t>
      </w:r>
    </w:p>
    <w:p w14:paraId="1400BEAA" w14:textId="7B9F39D3" w:rsidR="008173E0" w:rsidRDefault="008173E0" w:rsidP="008173E0">
      <w:pPr>
        <w:rPr>
          <w:rFonts w:eastAsia="Arial Unicode MS"/>
          <w:lang w:val="en-GB" w:eastAsia="en-US"/>
        </w:rPr>
      </w:pPr>
    </w:p>
    <w:p w14:paraId="267A4B17" w14:textId="3C9F7983" w:rsidR="008173E0" w:rsidRDefault="008173E0" w:rsidP="008173E0">
      <w:pPr>
        <w:rPr>
          <w:rFonts w:eastAsia="Arial Unicode MS"/>
          <w:lang w:val="en-GB" w:eastAsia="en-US"/>
        </w:rPr>
      </w:pPr>
    </w:p>
    <w:p w14:paraId="27F3FABF" w14:textId="77777777" w:rsidR="008173E0" w:rsidRPr="008173E0" w:rsidRDefault="008173E0" w:rsidP="008173E0">
      <w:pPr>
        <w:pStyle w:val="Heading4"/>
        <w:rPr>
          <w:lang w:val="en-GB" w:eastAsia="en-US"/>
        </w:rPr>
      </w:pPr>
      <w:r w:rsidRPr="008173E0">
        <w:rPr>
          <w:lang w:val="en-GB" w:eastAsia="en-US"/>
        </w:rPr>
        <w:lastRenderedPageBreak/>
        <w:t>Movement of property, plant and equipment</w:t>
      </w:r>
    </w:p>
    <w:p w14:paraId="4D056D5B" w14:textId="2A1039BC" w:rsidR="008173E0" w:rsidRDefault="008173E0" w:rsidP="008173E0">
      <w:pPr>
        <w:rPr>
          <w:rFonts w:eastAsia="Arial Unicode MS"/>
          <w:lang w:val="en-GB" w:eastAsia="en-US"/>
        </w:rPr>
      </w:pPr>
      <w:r w:rsidRPr="008173E0">
        <w:rPr>
          <w:rFonts w:eastAsia="Arial Unicode MS"/>
          <w:lang w:val="en-GB" w:eastAsia="en-US"/>
        </w:rPr>
        <w:t>The land which is at 108 Victoria Street, Christchurch was valued by Telfer Young, an independent valuer on 30 June 2021. The building on the land was damaged and had been derecognised as a result of the 2011 Christchurch earthquake.</w:t>
      </w:r>
    </w:p>
    <w:p w14:paraId="4B83BA63" w14:textId="179240AF" w:rsidR="008173E0" w:rsidRDefault="008173E0" w:rsidP="008173E0">
      <w:pPr>
        <w:rPr>
          <w:rFonts w:eastAsia="Arial Unicode MS"/>
          <w:lang w:val="en-GB" w:eastAsia="en-US"/>
        </w:rPr>
      </w:pPr>
    </w:p>
    <w:tbl>
      <w:tblPr>
        <w:tblStyle w:val="TableGrid"/>
        <w:tblW w:w="9127" w:type="dxa"/>
        <w:tblLayout w:type="fixed"/>
        <w:tblLook w:val="04A0" w:firstRow="1" w:lastRow="0" w:firstColumn="1" w:lastColumn="0" w:noHBand="0" w:noVBand="1"/>
      </w:tblPr>
      <w:tblGrid>
        <w:gridCol w:w="2268"/>
        <w:gridCol w:w="851"/>
        <w:gridCol w:w="1556"/>
        <w:gridCol w:w="1288"/>
        <w:gridCol w:w="1008"/>
        <w:gridCol w:w="1204"/>
        <w:gridCol w:w="952"/>
      </w:tblGrid>
      <w:tr w:rsidR="001012E2" w14:paraId="6ECE6E63" w14:textId="77777777" w:rsidTr="001012E2">
        <w:tc>
          <w:tcPr>
            <w:tcW w:w="2268" w:type="dxa"/>
            <w:tcBorders>
              <w:top w:val="nil"/>
              <w:left w:val="nil"/>
              <w:bottom w:val="nil"/>
              <w:right w:val="nil"/>
            </w:tcBorders>
            <w:shd w:val="clear" w:color="auto" w:fill="D9D9D9" w:themeFill="background1" w:themeFillShade="D9"/>
          </w:tcPr>
          <w:p w14:paraId="5768389A" w14:textId="77777777" w:rsidR="008173E0" w:rsidRPr="008173E0" w:rsidRDefault="008173E0" w:rsidP="007F3D00">
            <w:pPr>
              <w:pStyle w:val="TableText"/>
              <w:spacing w:before="50" w:after="50"/>
              <w:rPr>
                <w:rFonts w:eastAsia="Arial Unicode MS"/>
                <w:b/>
                <w:bCs/>
                <w:lang w:val="en-GB" w:eastAsia="en-US"/>
              </w:rPr>
            </w:pPr>
          </w:p>
        </w:tc>
        <w:tc>
          <w:tcPr>
            <w:tcW w:w="851" w:type="dxa"/>
            <w:tcBorders>
              <w:top w:val="nil"/>
              <w:left w:val="nil"/>
              <w:bottom w:val="nil"/>
              <w:right w:val="nil"/>
            </w:tcBorders>
            <w:shd w:val="clear" w:color="auto" w:fill="D9D9D9" w:themeFill="background1" w:themeFillShade="D9"/>
          </w:tcPr>
          <w:p w14:paraId="5450512D" w14:textId="6B01E773" w:rsidR="008173E0" w:rsidRPr="008173E0" w:rsidRDefault="008173E0" w:rsidP="007F3D00">
            <w:pPr>
              <w:pStyle w:val="TableText"/>
              <w:spacing w:before="50" w:after="50"/>
              <w:jc w:val="right"/>
              <w:rPr>
                <w:rFonts w:eastAsia="Arial Unicode MS"/>
                <w:b/>
                <w:bCs/>
              </w:rPr>
            </w:pPr>
            <w:r w:rsidRPr="008173E0">
              <w:rPr>
                <w:b/>
                <w:bCs/>
              </w:rPr>
              <w:t>Land</w:t>
            </w:r>
          </w:p>
        </w:tc>
        <w:tc>
          <w:tcPr>
            <w:tcW w:w="1556" w:type="dxa"/>
            <w:tcBorders>
              <w:top w:val="nil"/>
              <w:left w:val="nil"/>
              <w:bottom w:val="nil"/>
              <w:right w:val="nil"/>
            </w:tcBorders>
            <w:shd w:val="clear" w:color="auto" w:fill="D9D9D9" w:themeFill="background1" w:themeFillShade="D9"/>
          </w:tcPr>
          <w:p w14:paraId="2846FC6C" w14:textId="36D87AE6" w:rsidR="008173E0" w:rsidRPr="008173E0" w:rsidRDefault="008173E0" w:rsidP="007F3D00">
            <w:pPr>
              <w:pStyle w:val="TableText"/>
              <w:spacing w:before="50" w:after="50"/>
              <w:jc w:val="right"/>
              <w:rPr>
                <w:rFonts w:eastAsia="Arial Unicode MS"/>
                <w:b/>
                <w:bCs/>
              </w:rPr>
            </w:pPr>
            <w:r w:rsidRPr="008173E0">
              <w:rPr>
                <w:b/>
                <w:bCs/>
              </w:rPr>
              <w:t xml:space="preserve">Leasehold </w:t>
            </w:r>
            <w:r>
              <w:rPr>
                <w:b/>
                <w:bCs/>
              </w:rPr>
              <w:br/>
            </w:r>
            <w:r w:rsidRPr="008173E0">
              <w:rPr>
                <w:b/>
                <w:bCs/>
              </w:rPr>
              <w:t>improvements</w:t>
            </w:r>
          </w:p>
        </w:tc>
        <w:tc>
          <w:tcPr>
            <w:tcW w:w="1288" w:type="dxa"/>
            <w:tcBorders>
              <w:top w:val="nil"/>
              <w:left w:val="nil"/>
              <w:bottom w:val="nil"/>
              <w:right w:val="nil"/>
            </w:tcBorders>
            <w:shd w:val="clear" w:color="auto" w:fill="D9D9D9" w:themeFill="background1" w:themeFillShade="D9"/>
          </w:tcPr>
          <w:p w14:paraId="464E833E" w14:textId="2499A2E0" w:rsidR="008173E0" w:rsidRPr="008173E0" w:rsidRDefault="008173E0" w:rsidP="007F3D00">
            <w:pPr>
              <w:pStyle w:val="TableText"/>
              <w:spacing w:before="50" w:after="50"/>
              <w:jc w:val="right"/>
              <w:rPr>
                <w:rFonts w:eastAsia="Arial Unicode MS"/>
                <w:b/>
                <w:bCs/>
              </w:rPr>
            </w:pPr>
            <w:r w:rsidRPr="008173E0">
              <w:rPr>
                <w:b/>
                <w:bCs/>
              </w:rPr>
              <w:t xml:space="preserve">Furniture </w:t>
            </w:r>
            <w:r>
              <w:rPr>
                <w:b/>
                <w:bCs/>
              </w:rPr>
              <w:br/>
            </w:r>
            <w:r w:rsidRPr="008173E0">
              <w:rPr>
                <w:b/>
                <w:bCs/>
              </w:rPr>
              <w:t xml:space="preserve">plant and </w:t>
            </w:r>
            <w:r>
              <w:rPr>
                <w:b/>
                <w:bCs/>
              </w:rPr>
              <w:br/>
            </w:r>
            <w:r w:rsidRPr="008173E0">
              <w:rPr>
                <w:b/>
                <w:bCs/>
              </w:rPr>
              <w:t>equipment</w:t>
            </w:r>
          </w:p>
        </w:tc>
        <w:tc>
          <w:tcPr>
            <w:tcW w:w="1008" w:type="dxa"/>
            <w:tcBorders>
              <w:top w:val="nil"/>
              <w:left w:val="nil"/>
              <w:bottom w:val="nil"/>
              <w:right w:val="nil"/>
            </w:tcBorders>
            <w:shd w:val="clear" w:color="auto" w:fill="D9D9D9" w:themeFill="background1" w:themeFillShade="D9"/>
          </w:tcPr>
          <w:p w14:paraId="4D0DAA5A" w14:textId="1CACC0A4" w:rsidR="008173E0" w:rsidRPr="008173E0" w:rsidRDefault="008173E0" w:rsidP="007F3D00">
            <w:pPr>
              <w:pStyle w:val="TableText"/>
              <w:spacing w:before="50" w:after="50"/>
              <w:jc w:val="right"/>
              <w:rPr>
                <w:rFonts w:eastAsia="Arial Unicode MS"/>
                <w:b/>
                <w:bCs/>
              </w:rPr>
            </w:pPr>
            <w:r w:rsidRPr="008173E0">
              <w:rPr>
                <w:b/>
                <w:bCs/>
              </w:rPr>
              <w:t>Motor vehicles</w:t>
            </w:r>
          </w:p>
        </w:tc>
        <w:tc>
          <w:tcPr>
            <w:tcW w:w="1204" w:type="dxa"/>
            <w:tcBorders>
              <w:top w:val="nil"/>
              <w:left w:val="nil"/>
              <w:bottom w:val="nil"/>
              <w:right w:val="nil"/>
            </w:tcBorders>
            <w:shd w:val="clear" w:color="auto" w:fill="D9D9D9" w:themeFill="background1" w:themeFillShade="D9"/>
          </w:tcPr>
          <w:p w14:paraId="204D2DD1" w14:textId="2A670DE0" w:rsidR="008173E0" w:rsidRPr="008173E0" w:rsidRDefault="008173E0" w:rsidP="007F3D00">
            <w:pPr>
              <w:pStyle w:val="TableText"/>
              <w:spacing w:before="50" w:after="50"/>
              <w:jc w:val="right"/>
              <w:rPr>
                <w:rFonts w:eastAsia="Arial Unicode MS"/>
                <w:b/>
                <w:bCs/>
              </w:rPr>
            </w:pPr>
            <w:r w:rsidRPr="008173E0">
              <w:rPr>
                <w:b/>
                <w:bCs/>
              </w:rPr>
              <w:t>Computer hardware</w:t>
            </w:r>
          </w:p>
        </w:tc>
        <w:tc>
          <w:tcPr>
            <w:tcW w:w="952" w:type="dxa"/>
            <w:tcBorders>
              <w:top w:val="nil"/>
              <w:left w:val="nil"/>
              <w:bottom w:val="nil"/>
              <w:right w:val="nil"/>
            </w:tcBorders>
            <w:shd w:val="clear" w:color="auto" w:fill="D9D9D9" w:themeFill="background1" w:themeFillShade="D9"/>
          </w:tcPr>
          <w:p w14:paraId="4BE36CB6" w14:textId="7744A7ED" w:rsidR="008173E0" w:rsidRPr="008173E0" w:rsidRDefault="008173E0" w:rsidP="007F3D00">
            <w:pPr>
              <w:pStyle w:val="TableText"/>
              <w:spacing w:before="50" w:after="50"/>
              <w:jc w:val="right"/>
              <w:rPr>
                <w:rFonts w:eastAsia="Arial Unicode MS"/>
                <w:b/>
                <w:bCs/>
              </w:rPr>
            </w:pPr>
            <w:r w:rsidRPr="008173E0">
              <w:rPr>
                <w:b/>
                <w:bCs/>
              </w:rPr>
              <w:t>Total</w:t>
            </w:r>
          </w:p>
        </w:tc>
      </w:tr>
      <w:tr w:rsidR="001012E2" w14:paraId="786F7BDB" w14:textId="77777777" w:rsidTr="001012E2">
        <w:tc>
          <w:tcPr>
            <w:tcW w:w="2268" w:type="dxa"/>
            <w:tcBorders>
              <w:top w:val="nil"/>
              <w:left w:val="nil"/>
              <w:bottom w:val="nil"/>
              <w:right w:val="nil"/>
            </w:tcBorders>
            <w:shd w:val="clear" w:color="auto" w:fill="D9D9D9" w:themeFill="background1" w:themeFillShade="D9"/>
          </w:tcPr>
          <w:p w14:paraId="006DB7DE" w14:textId="77777777" w:rsidR="008173E0" w:rsidRPr="008173E0" w:rsidRDefault="008173E0" w:rsidP="007F3D00">
            <w:pPr>
              <w:pStyle w:val="TableText"/>
              <w:spacing w:before="50" w:after="50"/>
              <w:rPr>
                <w:rFonts w:eastAsia="Arial Unicode MS"/>
                <w:b/>
                <w:bCs/>
                <w:lang w:val="en-GB" w:eastAsia="en-US"/>
              </w:rPr>
            </w:pPr>
          </w:p>
        </w:tc>
        <w:tc>
          <w:tcPr>
            <w:tcW w:w="851" w:type="dxa"/>
            <w:tcBorders>
              <w:top w:val="nil"/>
              <w:left w:val="nil"/>
              <w:bottom w:val="nil"/>
              <w:right w:val="nil"/>
            </w:tcBorders>
            <w:shd w:val="clear" w:color="auto" w:fill="D9D9D9" w:themeFill="background1" w:themeFillShade="D9"/>
          </w:tcPr>
          <w:p w14:paraId="0C336258" w14:textId="581F3F9E" w:rsidR="008173E0" w:rsidRPr="008173E0" w:rsidRDefault="008173E0" w:rsidP="007F3D00">
            <w:pPr>
              <w:pStyle w:val="TableText"/>
              <w:spacing w:before="50" w:after="50"/>
              <w:jc w:val="right"/>
              <w:rPr>
                <w:rFonts w:eastAsia="Arial Unicode MS"/>
                <w:b/>
                <w:bCs/>
              </w:rPr>
            </w:pPr>
            <w:r w:rsidRPr="008173E0">
              <w:rPr>
                <w:b/>
                <w:bCs/>
              </w:rPr>
              <w:t>$000</w:t>
            </w:r>
          </w:p>
        </w:tc>
        <w:tc>
          <w:tcPr>
            <w:tcW w:w="1556" w:type="dxa"/>
            <w:tcBorders>
              <w:top w:val="nil"/>
              <w:left w:val="nil"/>
              <w:bottom w:val="nil"/>
              <w:right w:val="nil"/>
            </w:tcBorders>
            <w:shd w:val="clear" w:color="auto" w:fill="D9D9D9" w:themeFill="background1" w:themeFillShade="D9"/>
          </w:tcPr>
          <w:p w14:paraId="2A508145" w14:textId="5CA9CED0" w:rsidR="008173E0" w:rsidRPr="008173E0" w:rsidRDefault="008173E0" w:rsidP="007F3D00">
            <w:pPr>
              <w:pStyle w:val="TableText"/>
              <w:spacing w:before="50" w:after="50"/>
              <w:jc w:val="right"/>
              <w:rPr>
                <w:rFonts w:eastAsia="Arial Unicode MS"/>
                <w:b/>
                <w:bCs/>
              </w:rPr>
            </w:pPr>
            <w:r w:rsidRPr="008173E0">
              <w:rPr>
                <w:b/>
                <w:bCs/>
              </w:rPr>
              <w:t>$000</w:t>
            </w:r>
          </w:p>
        </w:tc>
        <w:tc>
          <w:tcPr>
            <w:tcW w:w="1288" w:type="dxa"/>
            <w:tcBorders>
              <w:top w:val="nil"/>
              <w:left w:val="nil"/>
              <w:bottom w:val="nil"/>
              <w:right w:val="nil"/>
            </w:tcBorders>
            <w:shd w:val="clear" w:color="auto" w:fill="D9D9D9" w:themeFill="background1" w:themeFillShade="D9"/>
          </w:tcPr>
          <w:p w14:paraId="6D7BF4FD" w14:textId="0A3571EF" w:rsidR="008173E0" w:rsidRPr="008173E0" w:rsidRDefault="008173E0" w:rsidP="007F3D00">
            <w:pPr>
              <w:pStyle w:val="TableText"/>
              <w:spacing w:before="50" w:after="50"/>
              <w:jc w:val="right"/>
              <w:rPr>
                <w:rFonts w:eastAsia="Arial Unicode MS"/>
                <w:b/>
                <w:bCs/>
              </w:rPr>
            </w:pPr>
            <w:r w:rsidRPr="008173E0">
              <w:rPr>
                <w:b/>
                <w:bCs/>
              </w:rPr>
              <w:t>$000</w:t>
            </w:r>
          </w:p>
        </w:tc>
        <w:tc>
          <w:tcPr>
            <w:tcW w:w="1008" w:type="dxa"/>
            <w:tcBorders>
              <w:top w:val="nil"/>
              <w:left w:val="nil"/>
              <w:bottom w:val="nil"/>
              <w:right w:val="nil"/>
            </w:tcBorders>
            <w:shd w:val="clear" w:color="auto" w:fill="D9D9D9" w:themeFill="background1" w:themeFillShade="D9"/>
          </w:tcPr>
          <w:p w14:paraId="477289F4" w14:textId="2CF3D308" w:rsidR="008173E0" w:rsidRPr="008173E0" w:rsidRDefault="008173E0" w:rsidP="007F3D00">
            <w:pPr>
              <w:pStyle w:val="TableText"/>
              <w:spacing w:before="50" w:after="50"/>
              <w:jc w:val="right"/>
              <w:rPr>
                <w:rFonts w:eastAsia="Arial Unicode MS"/>
                <w:b/>
                <w:bCs/>
              </w:rPr>
            </w:pPr>
            <w:r w:rsidRPr="008173E0">
              <w:rPr>
                <w:b/>
                <w:bCs/>
              </w:rPr>
              <w:t>$000</w:t>
            </w:r>
          </w:p>
        </w:tc>
        <w:tc>
          <w:tcPr>
            <w:tcW w:w="1204" w:type="dxa"/>
            <w:tcBorders>
              <w:top w:val="nil"/>
              <w:left w:val="nil"/>
              <w:bottom w:val="nil"/>
              <w:right w:val="nil"/>
            </w:tcBorders>
            <w:shd w:val="clear" w:color="auto" w:fill="D9D9D9" w:themeFill="background1" w:themeFillShade="D9"/>
          </w:tcPr>
          <w:p w14:paraId="1023376D" w14:textId="20F3951A" w:rsidR="008173E0" w:rsidRPr="008173E0" w:rsidRDefault="008173E0" w:rsidP="007F3D00">
            <w:pPr>
              <w:pStyle w:val="TableText"/>
              <w:spacing w:before="50" w:after="50"/>
              <w:jc w:val="right"/>
              <w:rPr>
                <w:rFonts w:eastAsia="Arial Unicode MS"/>
                <w:b/>
                <w:bCs/>
              </w:rPr>
            </w:pPr>
            <w:r w:rsidRPr="008173E0">
              <w:rPr>
                <w:b/>
                <w:bCs/>
              </w:rPr>
              <w:t>$000</w:t>
            </w:r>
          </w:p>
        </w:tc>
        <w:tc>
          <w:tcPr>
            <w:tcW w:w="952" w:type="dxa"/>
            <w:tcBorders>
              <w:top w:val="nil"/>
              <w:left w:val="nil"/>
              <w:bottom w:val="nil"/>
              <w:right w:val="nil"/>
            </w:tcBorders>
            <w:shd w:val="clear" w:color="auto" w:fill="D9D9D9" w:themeFill="background1" w:themeFillShade="D9"/>
          </w:tcPr>
          <w:p w14:paraId="321205A6" w14:textId="3BABCCF4" w:rsidR="008173E0" w:rsidRPr="008173E0" w:rsidRDefault="008173E0" w:rsidP="007F3D00">
            <w:pPr>
              <w:pStyle w:val="TableText"/>
              <w:spacing w:before="50" w:after="50"/>
              <w:jc w:val="right"/>
              <w:rPr>
                <w:rFonts w:eastAsia="Arial Unicode MS"/>
                <w:b/>
                <w:bCs/>
              </w:rPr>
            </w:pPr>
            <w:r w:rsidRPr="008173E0">
              <w:rPr>
                <w:b/>
                <w:bCs/>
              </w:rPr>
              <w:t>$000</w:t>
            </w:r>
          </w:p>
        </w:tc>
      </w:tr>
      <w:tr w:rsidR="001012E2" w:rsidRPr="007F3D00" w14:paraId="3097E03F" w14:textId="77777777" w:rsidTr="001012E2">
        <w:tc>
          <w:tcPr>
            <w:tcW w:w="9127" w:type="dxa"/>
            <w:gridSpan w:val="7"/>
            <w:tcBorders>
              <w:top w:val="nil"/>
              <w:left w:val="nil"/>
              <w:bottom w:val="nil"/>
              <w:right w:val="nil"/>
            </w:tcBorders>
          </w:tcPr>
          <w:p w14:paraId="66D5BBF0" w14:textId="72BC084B" w:rsidR="001012E2" w:rsidRPr="007F3D00" w:rsidRDefault="001012E2" w:rsidP="001012E2">
            <w:pPr>
              <w:pStyle w:val="TableText"/>
              <w:rPr>
                <w:rFonts w:eastAsia="Arial Unicode MS"/>
                <w:lang w:val="en-GB" w:eastAsia="en-US"/>
              </w:rPr>
            </w:pPr>
            <w:r w:rsidRPr="007F3D00">
              <w:rPr>
                <w:b/>
                <w:bCs/>
              </w:rPr>
              <w:t>Cost or valuation</w:t>
            </w:r>
          </w:p>
        </w:tc>
      </w:tr>
      <w:tr w:rsidR="001012E2" w14:paraId="1245BE19" w14:textId="77777777" w:rsidTr="001012E2">
        <w:tc>
          <w:tcPr>
            <w:tcW w:w="2268" w:type="dxa"/>
            <w:tcBorders>
              <w:top w:val="nil"/>
              <w:left w:val="nil"/>
              <w:bottom w:val="nil"/>
              <w:right w:val="nil"/>
            </w:tcBorders>
          </w:tcPr>
          <w:p w14:paraId="4D82A69B" w14:textId="304FFA5A" w:rsidR="008173E0" w:rsidRPr="007F3D00" w:rsidRDefault="007F3D00" w:rsidP="007F3D00">
            <w:pPr>
              <w:pStyle w:val="TableText"/>
              <w:spacing w:before="50" w:after="50"/>
              <w:rPr>
                <w:rFonts w:eastAsia="Arial Unicode MS"/>
              </w:rPr>
            </w:pPr>
            <w:r w:rsidRPr="007F3D00">
              <w:t>Balance as at 1 July 2020</w:t>
            </w:r>
          </w:p>
        </w:tc>
        <w:tc>
          <w:tcPr>
            <w:tcW w:w="851" w:type="dxa"/>
            <w:tcBorders>
              <w:top w:val="nil"/>
              <w:left w:val="nil"/>
              <w:bottom w:val="nil"/>
              <w:right w:val="nil"/>
            </w:tcBorders>
          </w:tcPr>
          <w:p w14:paraId="283E5A5B" w14:textId="4D6B871D" w:rsidR="008173E0" w:rsidRDefault="007F3D00" w:rsidP="001012E2">
            <w:pPr>
              <w:pStyle w:val="TableText"/>
              <w:jc w:val="right"/>
              <w:rPr>
                <w:rFonts w:eastAsia="Arial Unicode MS"/>
                <w:lang w:val="en-GB" w:eastAsia="en-US"/>
              </w:rPr>
            </w:pPr>
            <w:r>
              <w:t>5,350</w:t>
            </w:r>
          </w:p>
        </w:tc>
        <w:tc>
          <w:tcPr>
            <w:tcW w:w="1556" w:type="dxa"/>
            <w:tcBorders>
              <w:top w:val="nil"/>
              <w:left w:val="nil"/>
              <w:bottom w:val="nil"/>
              <w:right w:val="nil"/>
            </w:tcBorders>
          </w:tcPr>
          <w:p w14:paraId="7B1D2AEC" w14:textId="2E1EFD21" w:rsidR="008173E0" w:rsidRDefault="007F3D00" w:rsidP="001012E2">
            <w:pPr>
              <w:pStyle w:val="TableText"/>
              <w:jc w:val="right"/>
              <w:rPr>
                <w:rFonts w:eastAsia="Arial Unicode MS"/>
                <w:lang w:val="en-GB" w:eastAsia="en-US"/>
              </w:rPr>
            </w:pPr>
            <w:r>
              <w:t>5,271</w:t>
            </w:r>
          </w:p>
        </w:tc>
        <w:tc>
          <w:tcPr>
            <w:tcW w:w="1288" w:type="dxa"/>
            <w:tcBorders>
              <w:top w:val="nil"/>
              <w:left w:val="nil"/>
              <w:bottom w:val="nil"/>
              <w:right w:val="nil"/>
            </w:tcBorders>
          </w:tcPr>
          <w:p w14:paraId="2904A615" w14:textId="17ECD18A" w:rsidR="008173E0" w:rsidRDefault="007F3D00" w:rsidP="001012E2">
            <w:pPr>
              <w:pStyle w:val="TableText"/>
              <w:jc w:val="right"/>
              <w:rPr>
                <w:rFonts w:eastAsia="Arial Unicode MS"/>
                <w:lang w:val="en-GB" w:eastAsia="en-US"/>
              </w:rPr>
            </w:pPr>
            <w:r>
              <w:t>1,622</w:t>
            </w:r>
          </w:p>
        </w:tc>
        <w:tc>
          <w:tcPr>
            <w:tcW w:w="1008" w:type="dxa"/>
            <w:tcBorders>
              <w:top w:val="nil"/>
              <w:left w:val="nil"/>
              <w:bottom w:val="nil"/>
              <w:right w:val="nil"/>
            </w:tcBorders>
          </w:tcPr>
          <w:p w14:paraId="32644155" w14:textId="5B88C813" w:rsidR="008173E0" w:rsidRDefault="007F3D00" w:rsidP="001012E2">
            <w:pPr>
              <w:pStyle w:val="TableText"/>
              <w:jc w:val="right"/>
              <w:rPr>
                <w:rFonts w:eastAsia="Arial Unicode MS"/>
                <w:lang w:val="en-GB" w:eastAsia="en-US"/>
              </w:rPr>
            </w:pPr>
            <w:r>
              <w:t>373</w:t>
            </w:r>
          </w:p>
        </w:tc>
        <w:tc>
          <w:tcPr>
            <w:tcW w:w="1204" w:type="dxa"/>
            <w:tcBorders>
              <w:top w:val="nil"/>
              <w:left w:val="nil"/>
              <w:bottom w:val="nil"/>
              <w:right w:val="nil"/>
            </w:tcBorders>
          </w:tcPr>
          <w:p w14:paraId="4B2B1B37" w14:textId="3F55B229" w:rsidR="008173E0" w:rsidRDefault="007F3D00" w:rsidP="001012E2">
            <w:pPr>
              <w:pStyle w:val="TableText"/>
              <w:jc w:val="right"/>
              <w:rPr>
                <w:rFonts w:eastAsia="Arial Unicode MS"/>
                <w:lang w:val="en-GB" w:eastAsia="en-US"/>
              </w:rPr>
            </w:pPr>
            <w:r>
              <w:t>3,100</w:t>
            </w:r>
          </w:p>
        </w:tc>
        <w:tc>
          <w:tcPr>
            <w:tcW w:w="952" w:type="dxa"/>
            <w:tcBorders>
              <w:top w:val="nil"/>
              <w:left w:val="nil"/>
              <w:bottom w:val="nil"/>
              <w:right w:val="nil"/>
            </w:tcBorders>
          </w:tcPr>
          <w:p w14:paraId="4FBFF5CE" w14:textId="296E5AB2" w:rsidR="008173E0" w:rsidRDefault="007F3D00" w:rsidP="001012E2">
            <w:pPr>
              <w:pStyle w:val="TableText"/>
              <w:jc w:val="right"/>
              <w:rPr>
                <w:rFonts w:eastAsia="Arial Unicode MS"/>
                <w:lang w:val="en-GB" w:eastAsia="en-US"/>
              </w:rPr>
            </w:pPr>
            <w:r>
              <w:t>15,716</w:t>
            </w:r>
          </w:p>
        </w:tc>
      </w:tr>
      <w:tr w:rsidR="001012E2" w14:paraId="64BD4FAA" w14:textId="77777777" w:rsidTr="001012E2">
        <w:tc>
          <w:tcPr>
            <w:tcW w:w="2268" w:type="dxa"/>
            <w:tcBorders>
              <w:top w:val="nil"/>
              <w:left w:val="nil"/>
              <w:bottom w:val="nil"/>
              <w:right w:val="nil"/>
            </w:tcBorders>
          </w:tcPr>
          <w:p w14:paraId="189A8BE4" w14:textId="677F40DA" w:rsidR="008173E0" w:rsidRPr="007F3D00" w:rsidRDefault="007F3D00" w:rsidP="007F3D00">
            <w:pPr>
              <w:pStyle w:val="TableText"/>
              <w:spacing w:before="50" w:after="50"/>
              <w:rPr>
                <w:rFonts w:eastAsia="Arial Unicode MS"/>
              </w:rPr>
            </w:pPr>
            <w:r w:rsidRPr="007F3D00">
              <w:t>Additions</w:t>
            </w:r>
          </w:p>
        </w:tc>
        <w:tc>
          <w:tcPr>
            <w:tcW w:w="851" w:type="dxa"/>
            <w:tcBorders>
              <w:top w:val="nil"/>
              <w:left w:val="nil"/>
              <w:bottom w:val="nil"/>
              <w:right w:val="nil"/>
            </w:tcBorders>
          </w:tcPr>
          <w:p w14:paraId="7BF57640" w14:textId="42869103" w:rsidR="008173E0" w:rsidRDefault="007F3D00" w:rsidP="001012E2">
            <w:pPr>
              <w:pStyle w:val="TableText"/>
              <w:jc w:val="right"/>
              <w:rPr>
                <w:rFonts w:eastAsia="Arial Unicode MS"/>
                <w:lang w:val="en-GB" w:eastAsia="en-US"/>
              </w:rPr>
            </w:pPr>
            <w:r>
              <w:rPr>
                <w:w w:val="115"/>
              </w:rPr>
              <w:t>–</w:t>
            </w:r>
          </w:p>
        </w:tc>
        <w:tc>
          <w:tcPr>
            <w:tcW w:w="1556" w:type="dxa"/>
            <w:tcBorders>
              <w:top w:val="nil"/>
              <w:left w:val="nil"/>
              <w:bottom w:val="nil"/>
              <w:right w:val="nil"/>
            </w:tcBorders>
          </w:tcPr>
          <w:p w14:paraId="12C67FF2" w14:textId="5217D968" w:rsidR="008173E0" w:rsidRDefault="007F3D00" w:rsidP="001012E2">
            <w:pPr>
              <w:pStyle w:val="TableText"/>
              <w:jc w:val="right"/>
              <w:rPr>
                <w:rFonts w:eastAsia="Arial Unicode MS"/>
                <w:lang w:val="en-GB" w:eastAsia="en-US"/>
              </w:rPr>
            </w:pPr>
            <w:r>
              <w:rPr>
                <w:w w:val="115"/>
              </w:rPr>
              <w:t>–</w:t>
            </w:r>
          </w:p>
        </w:tc>
        <w:tc>
          <w:tcPr>
            <w:tcW w:w="1288" w:type="dxa"/>
            <w:tcBorders>
              <w:top w:val="nil"/>
              <w:left w:val="nil"/>
              <w:bottom w:val="nil"/>
              <w:right w:val="nil"/>
            </w:tcBorders>
          </w:tcPr>
          <w:p w14:paraId="642722C8" w14:textId="3D60555E" w:rsidR="008173E0" w:rsidRDefault="001012E2" w:rsidP="001012E2">
            <w:pPr>
              <w:pStyle w:val="TableText"/>
              <w:jc w:val="right"/>
              <w:rPr>
                <w:rFonts w:eastAsia="Arial Unicode MS"/>
                <w:lang w:val="en-GB" w:eastAsia="en-US"/>
              </w:rPr>
            </w:pPr>
            <w:r>
              <w:rPr>
                <w:w w:val="115"/>
              </w:rPr>
              <w:t>467</w:t>
            </w:r>
          </w:p>
        </w:tc>
        <w:tc>
          <w:tcPr>
            <w:tcW w:w="1008" w:type="dxa"/>
            <w:tcBorders>
              <w:top w:val="nil"/>
              <w:left w:val="nil"/>
              <w:bottom w:val="nil"/>
              <w:right w:val="nil"/>
            </w:tcBorders>
          </w:tcPr>
          <w:p w14:paraId="4C6E3184" w14:textId="5C3EB146" w:rsidR="008173E0" w:rsidRDefault="007F3D00" w:rsidP="001012E2">
            <w:pPr>
              <w:pStyle w:val="TableText"/>
              <w:jc w:val="right"/>
              <w:rPr>
                <w:rFonts w:eastAsia="Arial Unicode MS"/>
                <w:lang w:val="en-GB" w:eastAsia="en-US"/>
              </w:rPr>
            </w:pPr>
            <w:r>
              <w:rPr>
                <w:w w:val="115"/>
              </w:rPr>
              <w:t>–</w:t>
            </w:r>
          </w:p>
        </w:tc>
        <w:tc>
          <w:tcPr>
            <w:tcW w:w="1204" w:type="dxa"/>
            <w:tcBorders>
              <w:top w:val="nil"/>
              <w:left w:val="nil"/>
              <w:bottom w:val="nil"/>
              <w:right w:val="nil"/>
            </w:tcBorders>
          </w:tcPr>
          <w:p w14:paraId="3A6E6D25" w14:textId="4B325747" w:rsidR="008173E0" w:rsidRDefault="001012E2" w:rsidP="001012E2">
            <w:pPr>
              <w:pStyle w:val="TableText"/>
              <w:jc w:val="right"/>
              <w:rPr>
                <w:rFonts w:eastAsia="Arial Unicode MS"/>
                <w:lang w:val="en-GB" w:eastAsia="en-US"/>
              </w:rPr>
            </w:pPr>
            <w:r>
              <w:rPr>
                <w:w w:val="115"/>
              </w:rPr>
              <w:t>106</w:t>
            </w:r>
          </w:p>
        </w:tc>
        <w:tc>
          <w:tcPr>
            <w:tcW w:w="952" w:type="dxa"/>
            <w:tcBorders>
              <w:top w:val="nil"/>
              <w:left w:val="nil"/>
              <w:bottom w:val="nil"/>
              <w:right w:val="nil"/>
            </w:tcBorders>
          </w:tcPr>
          <w:p w14:paraId="395DF644" w14:textId="60A4373E" w:rsidR="008173E0" w:rsidRDefault="001012E2" w:rsidP="001012E2">
            <w:pPr>
              <w:pStyle w:val="TableText"/>
              <w:jc w:val="right"/>
              <w:rPr>
                <w:rFonts w:eastAsia="Arial Unicode MS"/>
                <w:lang w:val="en-GB" w:eastAsia="en-US"/>
              </w:rPr>
            </w:pPr>
            <w:r>
              <w:rPr>
                <w:w w:val="115"/>
              </w:rPr>
              <w:t>573</w:t>
            </w:r>
          </w:p>
        </w:tc>
      </w:tr>
      <w:tr w:rsidR="001012E2" w14:paraId="2E37C6F7" w14:textId="77777777" w:rsidTr="001012E2">
        <w:tc>
          <w:tcPr>
            <w:tcW w:w="2268" w:type="dxa"/>
            <w:tcBorders>
              <w:top w:val="nil"/>
              <w:left w:val="nil"/>
              <w:bottom w:val="nil"/>
              <w:right w:val="nil"/>
            </w:tcBorders>
          </w:tcPr>
          <w:p w14:paraId="4DA6191B" w14:textId="51111354" w:rsidR="008173E0" w:rsidRPr="007F3D00" w:rsidRDefault="007F3D00" w:rsidP="007F3D00">
            <w:pPr>
              <w:pStyle w:val="TableText"/>
              <w:spacing w:before="50" w:after="50"/>
              <w:rPr>
                <w:rFonts w:eastAsia="Arial Unicode MS"/>
              </w:rPr>
            </w:pPr>
            <w:r w:rsidRPr="007F3D00">
              <w:t>Revaluation</w:t>
            </w:r>
          </w:p>
        </w:tc>
        <w:tc>
          <w:tcPr>
            <w:tcW w:w="851" w:type="dxa"/>
            <w:tcBorders>
              <w:top w:val="nil"/>
              <w:left w:val="nil"/>
              <w:bottom w:val="nil"/>
              <w:right w:val="nil"/>
            </w:tcBorders>
          </w:tcPr>
          <w:p w14:paraId="781DED4F" w14:textId="53D2E0A1" w:rsidR="008173E0" w:rsidRDefault="007F3D00" w:rsidP="001012E2">
            <w:pPr>
              <w:pStyle w:val="TableText"/>
              <w:jc w:val="right"/>
              <w:rPr>
                <w:rFonts w:eastAsia="Arial Unicode MS"/>
                <w:lang w:val="en-GB" w:eastAsia="en-US"/>
              </w:rPr>
            </w:pPr>
            <w:r>
              <w:rPr>
                <w:rFonts w:eastAsia="Arial Unicode MS"/>
                <w:lang w:val="en-GB" w:eastAsia="en-US"/>
              </w:rPr>
              <w:t>965</w:t>
            </w:r>
          </w:p>
        </w:tc>
        <w:tc>
          <w:tcPr>
            <w:tcW w:w="1556" w:type="dxa"/>
            <w:tcBorders>
              <w:top w:val="nil"/>
              <w:left w:val="nil"/>
              <w:bottom w:val="nil"/>
              <w:right w:val="nil"/>
            </w:tcBorders>
          </w:tcPr>
          <w:p w14:paraId="2F25DAFF" w14:textId="2DA92B90" w:rsidR="008173E0" w:rsidRDefault="007F3D00" w:rsidP="001012E2">
            <w:pPr>
              <w:pStyle w:val="TableText"/>
              <w:jc w:val="right"/>
              <w:rPr>
                <w:rFonts w:eastAsia="Arial Unicode MS"/>
                <w:lang w:val="en-GB" w:eastAsia="en-US"/>
              </w:rPr>
            </w:pPr>
            <w:r>
              <w:rPr>
                <w:w w:val="115"/>
              </w:rPr>
              <w:t>–</w:t>
            </w:r>
          </w:p>
        </w:tc>
        <w:tc>
          <w:tcPr>
            <w:tcW w:w="1288" w:type="dxa"/>
            <w:tcBorders>
              <w:top w:val="nil"/>
              <w:left w:val="nil"/>
              <w:bottom w:val="nil"/>
              <w:right w:val="nil"/>
            </w:tcBorders>
          </w:tcPr>
          <w:p w14:paraId="5A4F46AC" w14:textId="0846B02F" w:rsidR="008173E0" w:rsidRDefault="007F3D00" w:rsidP="001012E2">
            <w:pPr>
              <w:pStyle w:val="TableText"/>
              <w:jc w:val="right"/>
              <w:rPr>
                <w:rFonts w:eastAsia="Arial Unicode MS"/>
                <w:lang w:val="en-GB" w:eastAsia="en-US"/>
              </w:rPr>
            </w:pPr>
            <w:r>
              <w:rPr>
                <w:w w:val="115"/>
              </w:rPr>
              <w:t>–</w:t>
            </w:r>
          </w:p>
        </w:tc>
        <w:tc>
          <w:tcPr>
            <w:tcW w:w="1008" w:type="dxa"/>
            <w:tcBorders>
              <w:top w:val="nil"/>
              <w:left w:val="nil"/>
              <w:bottom w:val="nil"/>
              <w:right w:val="nil"/>
            </w:tcBorders>
          </w:tcPr>
          <w:p w14:paraId="2E570CC0" w14:textId="7BC174F6" w:rsidR="008173E0" w:rsidRDefault="007F3D00" w:rsidP="001012E2">
            <w:pPr>
              <w:pStyle w:val="TableText"/>
              <w:jc w:val="right"/>
              <w:rPr>
                <w:rFonts w:eastAsia="Arial Unicode MS"/>
                <w:lang w:val="en-GB" w:eastAsia="en-US"/>
              </w:rPr>
            </w:pPr>
            <w:r>
              <w:rPr>
                <w:w w:val="115"/>
              </w:rPr>
              <w:t>–</w:t>
            </w:r>
          </w:p>
        </w:tc>
        <w:tc>
          <w:tcPr>
            <w:tcW w:w="1204" w:type="dxa"/>
            <w:tcBorders>
              <w:top w:val="nil"/>
              <w:left w:val="nil"/>
              <w:bottom w:val="nil"/>
              <w:right w:val="nil"/>
            </w:tcBorders>
          </w:tcPr>
          <w:p w14:paraId="5C90FA8A" w14:textId="50FA2DB4" w:rsidR="008173E0" w:rsidRDefault="007F3D00" w:rsidP="001012E2">
            <w:pPr>
              <w:pStyle w:val="TableText"/>
              <w:jc w:val="right"/>
              <w:rPr>
                <w:rFonts w:eastAsia="Arial Unicode MS"/>
                <w:lang w:val="en-GB" w:eastAsia="en-US"/>
              </w:rPr>
            </w:pPr>
            <w:r>
              <w:rPr>
                <w:w w:val="115"/>
              </w:rPr>
              <w:t>–</w:t>
            </w:r>
          </w:p>
        </w:tc>
        <w:tc>
          <w:tcPr>
            <w:tcW w:w="952" w:type="dxa"/>
            <w:tcBorders>
              <w:top w:val="nil"/>
              <w:left w:val="nil"/>
              <w:bottom w:val="nil"/>
              <w:right w:val="nil"/>
            </w:tcBorders>
          </w:tcPr>
          <w:p w14:paraId="40E86357" w14:textId="1BA934F6" w:rsidR="008173E0" w:rsidRPr="001012E2" w:rsidRDefault="001012E2" w:rsidP="001012E2">
            <w:pPr>
              <w:pStyle w:val="TableText"/>
              <w:jc w:val="right"/>
              <w:rPr>
                <w:w w:val="105"/>
              </w:rPr>
            </w:pPr>
            <w:r w:rsidRPr="001012E2">
              <w:rPr>
                <w:w w:val="105"/>
              </w:rPr>
              <w:t>965</w:t>
            </w:r>
          </w:p>
        </w:tc>
      </w:tr>
      <w:tr w:rsidR="001012E2" w14:paraId="20C3F2B0" w14:textId="77777777" w:rsidTr="001012E2">
        <w:tc>
          <w:tcPr>
            <w:tcW w:w="2268" w:type="dxa"/>
            <w:tcBorders>
              <w:top w:val="nil"/>
              <w:left w:val="nil"/>
              <w:bottom w:val="nil"/>
              <w:right w:val="nil"/>
            </w:tcBorders>
          </w:tcPr>
          <w:p w14:paraId="2CD8BAB6" w14:textId="4152A32F" w:rsidR="008173E0" w:rsidRPr="007F3D00" w:rsidRDefault="007F3D00" w:rsidP="007F3D00">
            <w:pPr>
              <w:pStyle w:val="TableText"/>
              <w:spacing w:before="50" w:after="50"/>
              <w:rPr>
                <w:rFonts w:eastAsia="Arial Unicode MS"/>
              </w:rPr>
            </w:pPr>
            <w:r w:rsidRPr="007F3D00">
              <w:t>Disposals</w:t>
            </w:r>
          </w:p>
        </w:tc>
        <w:tc>
          <w:tcPr>
            <w:tcW w:w="851" w:type="dxa"/>
            <w:tcBorders>
              <w:top w:val="nil"/>
              <w:left w:val="nil"/>
              <w:bottom w:val="nil"/>
              <w:right w:val="nil"/>
            </w:tcBorders>
          </w:tcPr>
          <w:p w14:paraId="117FAED0" w14:textId="34789EC8" w:rsidR="008173E0" w:rsidRDefault="007F3D00" w:rsidP="001012E2">
            <w:pPr>
              <w:pStyle w:val="TableText"/>
              <w:jc w:val="right"/>
              <w:rPr>
                <w:rFonts w:eastAsia="Arial Unicode MS"/>
                <w:lang w:val="en-GB" w:eastAsia="en-US"/>
              </w:rPr>
            </w:pPr>
            <w:r>
              <w:rPr>
                <w:w w:val="115"/>
              </w:rPr>
              <w:t>–</w:t>
            </w:r>
          </w:p>
        </w:tc>
        <w:tc>
          <w:tcPr>
            <w:tcW w:w="1556" w:type="dxa"/>
            <w:tcBorders>
              <w:top w:val="nil"/>
              <w:left w:val="nil"/>
              <w:bottom w:val="nil"/>
              <w:right w:val="nil"/>
            </w:tcBorders>
          </w:tcPr>
          <w:p w14:paraId="6A621B1B" w14:textId="7FD56C4E" w:rsidR="008173E0" w:rsidRDefault="007F3D00" w:rsidP="001012E2">
            <w:pPr>
              <w:pStyle w:val="TableText"/>
              <w:jc w:val="right"/>
              <w:rPr>
                <w:rFonts w:eastAsia="Arial Unicode MS"/>
                <w:lang w:val="en-GB" w:eastAsia="en-US"/>
              </w:rPr>
            </w:pPr>
            <w:r>
              <w:rPr>
                <w:w w:val="115"/>
              </w:rPr>
              <w:t>–</w:t>
            </w:r>
          </w:p>
        </w:tc>
        <w:tc>
          <w:tcPr>
            <w:tcW w:w="1288" w:type="dxa"/>
            <w:tcBorders>
              <w:top w:val="nil"/>
              <w:left w:val="nil"/>
              <w:bottom w:val="nil"/>
              <w:right w:val="nil"/>
            </w:tcBorders>
          </w:tcPr>
          <w:p w14:paraId="50B6C7D4" w14:textId="616C9773" w:rsidR="008173E0" w:rsidRDefault="001012E2" w:rsidP="001012E2">
            <w:pPr>
              <w:pStyle w:val="TableText"/>
              <w:jc w:val="right"/>
              <w:rPr>
                <w:rFonts w:eastAsia="Arial Unicode MS"/>
                <w:lang w:val="en-GB" w:eastAsia="en-US"/>
              </w:rPr>
            </w:pPr>
            <w:r>
              <w:rPr>
                <w:w w:val="105"/>
              </w:rPr>
              <w:t>(114)</w:t>
            </w:r>
          </w:p>
        </w:tc>
        <w:tc>
          <w:tcPr>
            <w:tcW w:w="1008" w:type="dxa"/>
            <w:tcBorders>
              <w:top w:val="nil"/>
              <w:left w:val="nil"/>
              <w:bottom w:val="nil"/>
              <w:right w:val="nil"/>
            </w:tcBorders>
          </w:tcPr>
          <w:p w14:paraId="0F1CF4DF" w14:textId="3890A6F1" w:rsidR="008173E0" w:rsidRDefault="001012E2" w:rsidP="001012E2">
            <w:pPr>
              <w:pStyle w:val="TableText"/>
              <w:jc w:val="right"/>
              <w:rPr>
                <w:rFonts w:eastAsia="Arial Unicode MS"/>
                <w:lang w:val="en-GB" w:eastAsia="en-US"/>
              </w:rPr>
            </w:pPr>
            <w:r>
              <w:rPr>
                <w:w w:val="110"/>
              </w:rPr>
              <w:t>(30)</w:t>
            </w:r>
          </w:p>
        </w:tc>
        <w:tc>
          <w:tcPr>
            <w:tcW w:w="1204" w:type="dxa"/>
            <w:tcBorders>
              <w:top w:val="nil"/>
              <w:left w:val="nil"/>
              <w:bottom w:val="nil"/>
              <w:right w:val="nil"/>
            </w:tcBorders>
          </w:tcPr>
          <w:p w14:paraId="64EAD538" w14:textId="68078A94" w:rsidR="008173E0" w:rsidRDefault="001012E2" w:rsidP="001012E2">
            <w:pPr>
              <w:pStyle w:val="TableText"/>
              <w:jc w:val="right"/>
              <w:rPr>
                <w:rFonts w:eastAsia="Arial Unicode MS"/>
                <w:lang w:val="en-GB" w:eastAsia="en-US"/>
              </w:rPr>
            </w:pPr>
            <w:r>
              <w:rPr>
                <w:w w:val="110"/>
              </w:rPr>
              <w:t>(1,465)</w:t>
            </w:r>
          </w:p>
        </w:tc>
        <w:tc>
          <w:tcPr>
            <w:tcW w:w="952" w:type="dxa"/>
            <w:tcBorders>
              <w:top w:val="nil"/>
              <w:left w:val="nil"/>
              <w:bottom w:val="nil"/>
              <w:right w:val="nil"/>
            </w:tcBorders>
          </w:tcPr>
          <w:p w14:paraId="2002A6C1" w14:textId="32972141" w:rsidR="008173E0" w:rsidRPr="001012E2" w:rsidRDefault="001012E2" w:rsidP="001012E2">
            <w:pPr>
              <w:pStyle w:val="TableText"/>
              <w:jc w:val="right"/>
              <w:rPr>
                <w:w w:val="105"/>
              </w:rPr>
            </w:pPr>
            <w:r w:rsidRPr="001012E2">
              <w:rPr>
                <w:w w:val="105"/>
              </w:rPr>
              <w:t>(1,609)</w:t>
            </w:r>
          </w:p>
        </w:tc>
      </w:tr>
      <w:tr w:rsidR="007F3D00" w:rsidRPr="007F3D00" w14:paraId="34E6A2A4" w14:textId="77777777" w:rsidTr="001012E2">
        <w:tc>
          <w:tcPr>
            <w:tcW w:w="2268" w:type="dxa"/>
            <w:tcBorders>
              <w:top w:val="nil"/>
              <w:left w:val="nil"/>
              <w:bottom w:val="single" w:sz="4" w:space="0" w:color="A6A6A6" w:themeColor="background1" w:themeShade="A6"/>
              <w:right w:val="nil"/>
            </w:tcBorders>
          </w:tcPr>
          <w:p w14:paraId="184202BC" w14:textId="696DD308" w:rsidR="008173E0" w:rsidRPr="001012E2" w:rsidRDefault="007F3D00" w:rsidP="007F3D00">
            <w:pPr>
              <w:pStyle w:val="TableText"/>
              <w:spacing w:before="50" w:after="50"/>
              <w:rPr>
                <w:rFonts w:eastAsia="Arial Unicode MS"/>
                <w:b/>
                <w:bCs/>
              </w:rPr>
            </w:pPr>
            <w:r w:rsidRPr="001012E2">
              <w:rPr>
                <w:b/>
                <w:bCs/>
              </w:rPr>
              <w:t>Balance as at 30 June 2021</w:t>
            </w:r>
          </w:p>
        </w:tc>
        <w:tc>
          <w:tcPr>
            <w:tcW w:w="851" w:type="dxa"/>
            <w:tcBorders>
              <w:top w:val="nil"/>
              <w:left w:val="nil"/>
              <w:bottom w:val="single" w:sz="4" w:space="0" w:color="A6A6A6" w:themeColor="background1" w:themeShade="A6"/>
              <w:right w:val="nil"/>
            </w:tcBorders>
          </w:tcPr>
          <w:p w14:paraId="376FB400" w14:textId="0001E924" w:rsidR="008173E0" w:rsidRPr="001012E2" w:rsidRDefault="007F3D00" w:rsidP="001012E2">
            <w:pPr>
              <w:pStyle w:val="TableText"/>
              <w:jc w:val="right"/>
              <w:rPr>
                <w:rFonts w:eastAsia="Arial Unicode MS"/>
                <w:b/>
                <w:bCs/>
                <w:lang w:val="en-GB" w:eastAsia="en-US"/>
              </w:rPr>
            </w:pPr>
            <w:r w:rsidRPr="001012E2">
              <w:rPr>
                <w:rFonts w:eastAsia="Arial Unicode MS"/>
                <w:b/>
                <w:bCs/>
                <w:lang w:val="en-GB" w:eastAsia="en-US"/>
              </w:rPr>
              <w:t>6,315</w:t>
            </w:r>
          </w:p>
        </w:tc>
        <w:tc>
          <w:tcPr>
            <w:tcW w:w="1556" w:type="dxa"/>
            <w:tcBorders>
              <w:top w:val="nil"/>
              <w:left w:val="nil"/>
              <w:bottom w:val="single" w:sz="4" w:space="0" w:color="A6A6A6" w:themeColor="background1" w:themeShade="A6"/>
              <w:right w:val="nil"/>
            </w:tcBorders>
          </w:tcPr>
          <w:p w14:paraId="53592556" w14:textId="6C71B5F7" w:rsidR="008173E0" w:rsidRPr="001012E2" w:rsidRDefault="001012E2" w:rsidP="001012E2">
            <w:pPr>
              <w:pStyle w:val="TableText"/>
              <w:jc w:val="right"/>
              <w:rPr>
                <w:rFonts w:eastAsia="Arial Unicode MS"/>
                <w:b/>
                <w:bCs/>
                <w:lang w:val="en-GB" w:eastAsia="en-US"/>
              </w:rPr>
            </w:pPr>
            <w:r w:rsidRPr="001012E2">
              <w:rPr>
                <w:b/>
                <w:bCs/>
              </w:rPr>
              <w:t>5,271</w:t>
            </w:r>
          </w:p>
        </w:tc>
        <w:tc>
          <w:tcPr>
            <w:tcW w:w="1288" w:type="dxa"/>
            <w:tcBorders>
              <w:top w:val="nil"/>
              <w:left w:val="nil"/>
              <w:bottom w:val="single" w:sz="4" w:space="0" w:color="A6A6A6" w:themeColor="background1" w:themeShade="A6"/>
              <w:right w:val="nil"/>
            </w:tcBorders>
          </w:tcPr>
          <w:p w14:paraId="1DFA3D12" w14:textId="2C9513F9" w:rsidR="008173E0" w:rsidRPr="001012E2" w:rsidRDefault="001012E2" w:rsidP="001012E2">
            <w:pPr>
              <w:pStyle w:val="TableText"/>
              <w:jc w:val="right"/>
              <w:rPr>
                <w:rFonts w:eastAsia="Arial Unicode MS"/>
                <w:b/>
                <w:bCs/>
                <w:lang w:val="en-GB" w:eastAsia="en-US"/>
              </w:rPr>
            </w:pPr>
            <w:r w:rsidRPr="001012E2">
              <w:rPr>
                <w:b/>
                <w:bCs/>
              </w:rPr>
              <w:t>1,975</w:t>
            </w:r>
          </w:p>
        </w:tc>
        <w:tc>
          <w:tcPr>
            <w:tcW w:w="1008" w:type="dxa"/>
            <w:tcBorders>
              <w:top w:val="nil"/>
              <w:left w:val="nil"/>
              <w:bottom w:val="single" w:sz="4" w:space="0" w:color="A6A6A6" w:themeColor="background1" w:themeShade="A6"/>
              <w:right w:val="nil"/>
            </w:tcBorders>
          </w:tcPr>
          <w:p w14:paraId="24059370" w14:textId="79FFC3A4" w:rsidR="008173E0" w:rsidRPr="001012E2" w:rsidRDefault="001012E2" w:rsidP="001012E2">
            <w:pPr>
              <w:pStyle w:val="TableText"/>
              <w:jc w:val="right"/>
              <w:rPr>
                <w:rFonts w:eastAsia="Arial Unicode MS"/>
                <w:b/>
                <w:bCs/>
                <w:lang w:val="en-GB" w:eastAsia="en-US"/>
              </w:rPr>
            </w:pPr>
            <w:r w:rsidRPr="001012E2">
              <w:rPr>
                <w:b/>
                <w:bCs/>
              </w:rPr>
              <w:t>343</w:t>
            </w:r>
          </w:p>
        </w:tc>
        <w:tc>
          <w:tcPr>
            <w:tcW w:w="1204" w:type="dxa"/>
            <w:tcBorders>
              <w:top w:val="nil"/>
              <w:left w:val="nil"/>
              <w:bottom w:val="single" w:sz="4" w:space="0" w:color="A6A6A6" w:themeColor="background1" w:themeShade="A6"/>
              <w:right w:val="nil"/>
            </w:tcBorders>
          </w:tcPr>
          <w:p w14:paraId="04F5F680" w14:textId="586F06F0" w:rsidR="008173E0" w:rsidRPr="001012E2" w:rsidRDefault="001012E2" w:rsidP="001012E2">
            <w:pPr>
              <w:pStyle w:val="TableText"/>
              <w:jc w:val="right"/>
              <w:rPr>
                <w:rFonts w:eastAsia="Arial Unicode MS"/>
                <w:b/>
                <w:bCs/>
                <w:lang w:val="en-GB" w:eastAsia="en-US"/>
              </w:rPr>
            </w:pPr>
            <w:r w:rsidRPr="001012E2">
              <w:rPr>
                <w:b/>
                <w:bCs/>
              </w:rPr>
              <w:t>1,741</w:t>
            </w:r>
          </w:p>
        </w:tc>
        <w:tc>
          <w:tcPr>
            <w:tcW w:w="952" w:type="dxa"/>
            <w:tcBorders>
              <w:top w:val="nil"/>
              <w:left w:val="nil"/>
              <w:bottom w:val="single" w:sz="4" w:space="0" w:color="A6A6A6" w:themeColor="background1" w:themeShade="A6"/>
              <w:right w:val="nil"/>
            </w:tcBorders>
          </w:tcPr>
          <w:p w14:paraId="6AFE3290" w14:textId="6A00C6D2" w:rsidR="008173E0" w:rsidRPr="001012E2" w:rsidRDefault="001012E2" w:rsidP="001012E2">
            <w:pPr>
              <w:pStyle w:val="TableText"/>
              <w:jc w:val="right"/>
              <w:rPr>
                <w:rFonts w:eastAsia="Arial Unicode MS"/>
                <w:b/>
                <w:bCs/>
                <w:lang w:val="en-GB" w:eastAsia="en-US"/>
              </w:rPr>
            </w:pPr>
            <w:r w:rsidRPr="001012E2">
              <w:rPr>
                <w:b/>
                <w:bCs/>
              </w:rPr>
              <w:t>15,645</w:t>
            </w:r>
          </w:p>
        </w:tc>
      </w:tr>
      <w:tr w:rsidR="001012E2" w14:paraId="504DEFF3" w14:textId="77777777" w:rsidTr="001012E2">
        <w:tc>
          <w:tcPr>
            <w:tcW w:w="2268" w:type="dxa"/>
            <w:tcBorders>
              <w:top w:val="single" w:sz="4" w:space="0" w:color="A6A6A6" w:themeColor="background1" w:themeShade="A6"/>
              <w:left w:val="nil"/>
              <w:bottom w:val="nil"/>
              <w:right w:val="nil"/>
            </w:tcBorders>
          </w:tcPr>
          <w:p w14:paraId="11AED7B5" w14:textId="525A6687" w:rsidR="001012E2" w:rsidRPr="007F3D00" w:rsidRDefault="001012E2" w:rsidP="001012E2">
            <w:pPr>
              <w:pStyle w:val="TableText"/>
              <w:spacing w:before="50" w:after="50"/>
              <w:rPr>
                <w:rFonts w:eastAsia="Arial Unicode MS"/>
              </w:rPr>
            </w:pPr>
            <w:r w:rsidRPr="007F3D00">
              <w:t>Balance as at 1 July 2021</w:t>
            </w:r>
          </w:p>
        </w:tc>
        <w:tc>
          <w:tcPr>
            <w:tcW w:w="851" w:type="dxa"/>
            <w:tcBorders>
              <w:top w:val="single" w:sz="4" w:space="0" w:color="A6A6A6" w:themeColor="background1" w:themeShade="A6"/>
              <w:left w:val="nil"/>
              <w:bottom w:val="nil"/>
              <w:right w:val="nil"/>
            </w:tcBorders>
          </w:tcPr>
          <w:p w14:paraId="7B95FC17" w14:textId="06149BA4" w:rsidR="001012E2" w:rsidRDefault="001012E2" w:rsidP="001012E2">
            <w:pPr>
              <w:pStyle w:val="TableText"/>
              <w:jc w:val="right"/>
              <w:rPr>
                <w:rFonts w:eastAsia="Arial Unicode MS"/>
                <w:lang w:val="en-GB" w:eastAsia="en-US"/>
              </w:rPr>
            </w:pPr>
            <w:r>
              <w:t>6,315</w:t>
            </w:r>
          </w:p>
        </w:tc>
        <w:tc>
          <w:tcPr>
            <w:tcW w:w="1556" w:type="dxa"/>
            <w:tcBorders>
              <w:top w:val="single" w:sz="4" w:space="0" w:color="A6A6A6" w:themeColor="background1" w:themeShade="A6"/>
              <w:left w:val="nil"/>
              <w:bottom w:val="nil"/>
              <w:right w:val="nil"/>
            </w:tcBorders>
          </w:tcPr>
          <w:p w14:paraId="43F4E72E" w14:textId="471354B9" w:rsidR="001012E2" w:rsidRDefault="001012E2" w:rsidP="001012E2">
            <w:pPr>
              <w:pStyle w:val="TableText"/>
              <w:jc w:val="right"/>
              <w:rPr>
                <w:rFonts w:eastAsia="Arial Unicode MS"/>
                <w:lang w:val="en-GB" w:eastAsia="en-US"/>
              </w:rPr>
            </w:pPr>
            <w:r>
              <w:t>5,271</w:t>
            </w:r>
          </w:p>
        </w:tc>
        <w:tc>
          <w:tcPr>
            <w:tcW w:w="1288" w:type="dxa"/>
            <w:tcBorders>
              <w:top w:val="single" w:sz="4" w:space="0" w:color="A6A6A6" w:themeColor="background1" w:themeShade="A6"/>
              <w:left w:val="nil"/>
              <w:bottom w:val="nil"/>
              <w:right w:val="nil"/>
            </w:tcBorders>
          </w:tcPr>
          <w:p w14:paraId="2555AE0C" w14:textId="259E814D" w:rsidR="001012E2" w:rsidRPr="001012E2" w:rsidRDefault="001012E2" w:rsidP="001012E2">
            <w:pPr>
              <w:pStyle w:val="TableText"/>
              <w:jc w:val="right"/>
              <w:rPr>
                <w:rFonts w:eastAsia="Arial Unicode MS"/>
                <w:lang w:val="en-GB" w:eastAsia="en-US"/>
              </w:rPr>
            </w:pPr>
            <w:r w:rsidRPr="001012E2">
              <w:t>1,975</w:t>
            </w:r>
          </w:p>
        </w:tc>
        <w:tc>
          <w:tcPr>
            <w:tcW w:w="1008" w:type="dxa"/>
            <w:tcBorders>
              <w:top w:val="single" w:sz="4" w:space="0" w:color="A6A6A6" w:themeColor="background1" w:themeShade="A6"/>
              <w:left w:val="nil"/>
              <w:bottom w:val="nil"/>
              <w:right w:val="nil"/>
            </w:tcBorders>
          </w:tcPr>
          <w:p w14:paraId="6302D022" w14:textId="4CD33280" w:rsidR="001012E2" w:rsidRPr="001012E2" w:rsidRDefault="001012E2" w:rsidP="001012E2">
            <w:pPr>
              <w:pStyle w:val="TableText"/>
              <w:jc w:val="right"/>
              <w:rPr>
                <w:rFonts w:eastAsia="Arial Unicode MS"/>
                <w:lang w:val="en-GB" w:eastAsia="en-US"/>
              </w:rPr>
            </w:pPr>
            <w:r w:rsidRPr="001012E2">
              <w:t>343</w:t>
            </w:r>
          </w:p>
        </w:tc>
        <w:tc>
          <w:tcPr>
            <w:tcW w:w="1204" w:type="dxa"/>
            <w:tcBorders>
              <w:top w:val="single" w:sz="4" w:space="0" w:color="A6A6A6" w:themeColor="background1" w:themeShade="A6"/>
              <w:left w:val="nil"/>
              <w:bottom w:val="nil"/>
              <w:right w:val="nil"/>
            </w:tcBorders>
          </w:tcPr>
          <w:p w14:paraId="7DF79704" w14:textId="5D4535EF" w:rsidR="001012E2" w:rsidRPr="001012E2" w:rsidRDefault="001012E2" w:rsidP="001012E2">
            <w:pPr>
              <w:pStyle w:val="TableText"/>
              <w:jc w:val="right"/>
              <w:rPr>
                <w:rFonts w:eastAsia="Arial Unicode MS"/>
                <w:lang w:val="en-GB" w:eastAsia="en-US"/>
              </w:rPr>
            </w:pPr>
            <w:r w:rsidRPr="001012E2">
              <w:t>1,741</w:t>
            </w:r>
          </w:p>
        </w:tc>
        <w:tc>
          <w:tcPr>
            <w:tcW w:w="952" w:type="dxa"/>
            <w:tcBorders>
              <w:top w:val="single" w:sz="4" w:space="0" w:color="A6A6A6" w:themeColor="background1" w:themeShade="A6"/>
              <w:left w:val="nil"/>
              <w:bottom w:val="nil"/>
              <w:right w:val="nil"/>
            </w:tcBorders>
          </w:tcPr>
          <w:p w14:paraId="1E697F86" w14:textId="4332FF12" w:rsidR="001012E2" w:rsidRPr="001012E2" w:rsidRDefault="001012E2" w:rsidP="001012E2">
            <w:pPr>
              <w:pStyle w:val="TableText"/>
              <w:jc w:val="right"/>
              <w:rPr>
                <w:rFonts w:eastAsia="Arial Unicode MS"/>
                <w:lang w:val="en-GB" w:eastAsia="en-US"/>
              </w:rPr>
            </w:pPr>
            <w:r w:rsidRPr="001012E2">
              <w:t>15,645</w:t>
            </w:r>
          </w:p>
        </w:tc>
      </w:tr>
      <w:tr w:rsidR="001012E2" w14:paraId="527D17F0" w14:textId="77777777" w:rsidTr="001012E2">
        <w:tc>
          <w:tcPr>
            <w:tcW w:w="2268" w:type="dxa"/>
            <w:tcBorders>
              <w:top w:val="nil"/>
              <w:left w:val="nil"/>
              <w:bottom w:val="nil"/>
              <w:right w:val="nil"/>
            </w:tcBorders>
          </w:tcPr>
          <w:p w14:paraId="4D5C901F" w14:textId="2A39AAF3" w:rsidR="008173E0" w:rsidRPr="007F3D00" w:rsidRDefault="007F3D00" w:rsidP="007F3D00">
            <w:pPr>
              <w:pStyle w:val="TableText"/>
              <w:spacing w:before="50" w:after="50"/>
              <w:rPr>
                <w:rFonts w:eastAsia="Arial Unicode MS"/>
              </w:rPr>
            </w:pPr>
            <w:r w:rsidRPr="007F3D00">
              <w:t>Additions</w:t>
            </w:r>
          </w:p>
        </w:tc>
        <w:tc>
          <w:tcPr>
            <w:tcW w:w="851" w:type="dxa"/>
            <w:tcBorders>
              <w:top w:val="nil"/>
              <w:left w:val="nil"/>
              <w:bottom w:val="nil"/>
              <w:right w:val="nil"/>
            </w:tcBorders>
          </w:tcPr>
          <w:p w14:paraId="7311D2B2" w14:textId="130ED898" w:rsidR="008173E0" w:rsidRDefault="007F3D00" w:rsidP="001012E2">
            <w:pPr>
              <w:pStyle w:val="TableText"/>
              <w:jc w:val="right"/>
              <w:rPr>
                <w:rFonts w:eastAsia="Arial Unicode MS"/>
                <w:lang w:val="en-GB" w:eastAsia="en-US"/>
              </w:rPr>
            </w:pPr>
            <w:r>
              <w:rPr>
                <w:w w:val="115"/>
              </w:rPr>
              <w:t>–</w:t>
            </w:r>
          </w:p>
        </w:tc>
        <w:tc>
          <w:tcPr>
            <w:tcW w:w="1556" w:type="dxa"/>
            <w:tcBorders>
              <w:top w:val="nil"/>
              <w:left w:val="nil"/>
              <w:bottom w:val="nil"/>
              <w:right w:val="nil"/>
            </w:tcBorders>
          </w:tcPr>
          <w:p w14:paraId="0DCCE3EA" w14:textId="67DF3908" w:rsidR="008173E0" w:rsidRDefault="001012E2" w:rsidP="001012E2">
            <w:pPr>
              <w:pStyle w:val="TableText"/>
              <w:jc w:val="right"/>
              <w:rPr>
                <w:rFonts w:eastAsia="Arial Unicode MS"/>
                <w:lang w:val="en-GB" w:eastAsia="en-US"/>
              </w:rPr>
            </w:pPr>
            <w:r>
              <w:rPr>
                <w:w w:val="105"/>
              </w:rPr>
              <w:t>317</w:t>
            </w:r>
          </w:p>
        </w:tc>
        <w:tc>
          <w:tcPr>
            <w:tcW w:w="1288" w:type="dxa"/>
            <w:tcBorders>
              <w:top w:val="nil"/>
              <w:left w:val="nil"/>
              <w:bottom w:val="nil"/>
              <w:right w:val="nil"/>
            </w:tcBorders>
          </w:tcPr>
          <w:p w14:paraId="08503531" w14:textId="703FBF37" w:rsidR="008173E0" w:rsidRDefault="001012E2" w:rsidP="001012E2">
            <w:pPr>
              <w:pStyle w:val="TableText"/>
              <w:jc w:val="right"/>
              <w:rPr>
                <w:rFonts w:eastAsia="Arial Unicode MS"/>
                <w:lang w:val="en-GB" w:eastAsia="en-US"/>
              </w:rPr>
            </w:pPr>
            <w:r>
              <w:rPr>
                <w:w w:val="105"/>
              </w:rPr>
              <w:t>126</w:t>
            </w:r>
          </w:p>
        </w:tc>
        <w:tc>
          <w:tcPr>
            <w:tcW w:w="1008" w:type="dxa"/>
            <w:tcBorders>
              <w:top w:val="nil"/>
              <w:left w:val="nil"/>
              <w:bottom w:val="nil"/>
              <w:right w:val="nil"/>
            </w:tcBorders>
          </w:tcPr>
          <w:p w14:paraId="08156096" w14:textId="09625803" w:rsidR="008173E0" w:rsidRDefault="001012E2" w:rsidP="001012E2">
            <w:pPr>
              <w:pStyle w:val="TableText"/>
              <w:jc w:val="right"/>
              <w:rPr>
                <w:rFonts w:eastAsia="Arial Unicode MS"/>
                <w:lang w:val="en-GB" w:eastAsia="en-US"/>
              </w:rPr>
            </w:pPr>
            <w:r>
              <w:rPr>
                <w:w w:val="105"/>
              </w:rPr>
              <w:t>242</w:t>
            </w:r>
          </w:p>
        </w:tc>
        <w:tc>
          <w:tcPr>
            <w:tcW w:w="1204" w:type="dxa"/>
            <w:tcBorders>
              <w:top w:val="nil"/>
              <w:left w:val="nil"/>
              <w:bottom w:val="nil"/>
              <w:right w:val="nil"/>
            </w:tcBorders>
          </w:tcPr>
          <w:p w14:paraId="37270E6B" w14:textId="7DA5A1EA" w:rsidR="008173E0" w:rsidRDefault="001012E2" w:rsidP="001012E2">
            <w:pPr>
              <w:pStyle w:val="TableText"/>
              <w:jc w:val="right"/>
              <w:rPr>
                <w:rFonts w:eastAsia="Arial Unicode MS"/>
                <w:lang w:val="en-GB" w:eastAsia="en-US"/>
              </w:rPr>
            </w:pPr>
            <w:r>
              <w:rPr>
                <w:rFonts w:eastAsia="Arial Unicode MS"/>
                <w:lang w:val="en-GB" w:eastAsia="en-US"/>
              </w:rPr>
              <w:t>1</w:t>
            </w:r>
          </w:p>
        </w:tc>
        <w:tc>
          <w:tcPr>
            <w:tcW w:w="952" w:type="dxa"/>
            <w:tcBorders>
              <w:top w:val="nil"/>
              <w:left w:val="nil"/>
              <w:bottom w:val="nil"/>
              <w:right w:val="nil"/>
            </w:tcBorders>
          </w:tcPr>
          <w:p w14:paraId="7060F3FD" w14:textId="3B2A3B31" w:rsidR="008173E0" w:rsidRPr="001012E2" w:rsidRDefault="001012E2" w:rsidP="001012E2">
            <w:pPr>
              <w:pStyle w:val="TableText"/>
              <w:jc w:val="right"/>
              <w:rPr>
                <w:w w:val="105"/>
              </w:rPr>
            </w:pPr>
            <w:r>
              <w:rPr>
                <w:w w:val="105"/>
              </w:rPr>
              <w:t>686</w:t>
            </w:r>
          </w:p>
        </w:tc>
      </w:tr>
      <w:tr w:rsidR="001012E2" w14:paraId="5C7DE8E3" w14:textId="77777777" w:rsidTr="001012E2">
        <w:tc>
          <w:tcPr>
            <w:tcW w:w="2268" w:type="dxa"/>
            <w:tcBorders>
              <w:top w:val="nil"/>
              <w:left w:val="nil"/>
              <w:bottom w:val="nil"/>
              <w:right w:val="nil"/>
            </w:tcBorders>
          </w:tcPr>
          <w:p w14:paraId="4CCD5B0A" w14:textId="1192ADEE" w:rsidR="008173E0" w:rsidRPr="007F3D00" w:rsidRDefault="007F3D00" w:rsidP="007F3D00">
            <w:pPr>
              <w:pStyle w:val="TableText"/>
              <w:spacing w:before="50" w:after="50"/>
              <w:rPr>
                <w:rFonts w:eastAsia="Arial Unicode MS"/>
              </w:rPr>
            </w:pPr>
            <w:r w:rsidRPr="007F3D00">
              <w:t>Disposals</w:t>
            </w:r>
          </w:p>
        </w:tc>
        <w:tc>
          <w:tcPr>
            <w:tcW w:w="851" w:type="dxa"/>
            <w:tcBorders>
              <w:top w:val="nil"/>
              <w:left w:val="nil"/>
              <w:bottom w:val="nil"/>
              <w:right w:val="nil"/>
            </w:tcBorders>
          </w:tcPr>
          <w:p w14:paraId="7D2A5BA8" w14:textId="62F74F19" w:rsidR="008173E0" w:rsidRDefault="007F3D00" w:rsidP="001012E2">
            <w:pPr>
              <w:pStyle w:val="TableText"/>
              <w:jc w:val="right"/>
              <w:rPr>
                <w:rFonts w:eastAsia="Arial Unicode MS"/>
                <w:lang w:val="en-GB" w:eastAsia="en-US"/>
              </w:rPr>
            </w:pPr>
            <w:r>
              <w:rPr>
                <w:w w:val="115"/>
              </w:rPr>
              <w:t>–</w:t>
            </w:r>
          </w:p>
        </w:tc>
        <w:tc>
          <w:tcPr>
            <w:tcW w:w="1556" w:type="dxa"/>
            <w:tcBorders>
              <w:top w:val="nil"/>
              <w:left w:val="nil"/>
              <w:bottom w:val="nil"/>
              <w:right w:val="nil"/>
            </w:tcBorders>
          </w:tcPr>
          <w:p w14:paraId="5D0B31BE" w14:textId="3BD6047C" w:rsidR="008173E0" w:rsidRDefault="007F3D00" w:rsidP="001012E2">
            <w:pPr>
              <w:pStyle w:val="TableText"/>
              <w:jc w:val="right"/>
              <w:rPr>
                <w:rFonts w:eastAsia="Arial Unicode MS"/>
                <w:lang w:val="en-GB" w:eastAsia="en-US"/>
              </w:rPr>
            </w:pPr>
            <w:r>
              <w:rPr>
                <w:w w:val="115"/>
              </w:rPr>
              <w:t>–</w:t>
            </w:r>
          </w:p>
        </w:tc>
        <w:tc>
          <w:tcPr>
            <w:tcW w:w="1288" w:type="dxa"/>
            <w:tcBorders>
              <w:top w:val="nil"/>
              <w:left w:val="nil"/>
              <w:bottom w:val="nil"/>
              <w:right w:val="nil"/>
            </w:tcBorders>
          </w:tcPr>
          <w:p w14:paraId="11802DA7" w14:textId="1FD33B28" w:rsidR="008173E0" w:rsidRDefault="001012E2" w:rsidP="001012E2">
            <w:pPr>
              <w:pStyle w:val="TableText"/>
              <w:jc w:val="right"/>
              <w:rPr>
                <w:rFonts w:eastAsia="Arial Unicode MS"/>
                <w:lang w:val="en-GB" w:eastAsia="en-US"/>
              </w:rPr>
            </w:pPr>
            <w:r>
              <w:rPr>
                <w:w w:val="105"/>
              </w:rPr>
              <w:t>(115)</w:t>
            </w:r>
          </w:p>
        </w:tc>
        <w:tc>
          <w:tcPr>
            <w:tcW w:w="1008" w:type="dxa"/>
            <w:tcBorders>
              <w:top w:val="nil"/>
              <w:left w:val="nil"/>
              <w:bottom w:val="nil"/>
              <w:right w:val="nil"/>
            </w:tcBorders>
          </w:tcPr>
          <w:p w14:paraId="7D641B28" w14:textId="0C0EB657" w:rsidR="008173E0" w:rsidRDefault="001012E2" w:rsidP="001012E2">
            <w:pPr>
              <w:pStyle w:val="TableText"/>
              <w:jc w:val="right"/>
              <w:rPr>
                <w:rFonts w:eastAsia="Arial Unicode MS"/>
                <w:lang w:val="en-GB" w:eastAsia="en-US"/>
              </w:rPr>
            </w:pPr>
            <w:r>
              <w:rPr>
                <w:w w:val="110"/>
              </w:rPr>
              <w:t>(133)</w:t>
            </w:r>
          </w:p>
        </w:tc>
        <w:tc>
          <w:tcPr>
            <w:tcW w:w="1204" w:type="dxa"/>
            <w:tcBorders>
              <w:top w:val="nil"/>
              <w:left w:val="nil"/>
              <w:bottom w:val="nil"/>
              <w:right w:val="nil"/>
            </w:tcBorders>
          </w:tcPr>
          <w:p w14:paraId="0472D648" w14:textId="2ADB965C" w:rsidR="008173E0" w:rsidRDefault="001012E2" w:rsidP="001012E2">
            <w:pPr>
              <w:pStyle w:val="TableText"/>
              <w:jc w:val="right"/>
              <w:rPr>
                <w:rFonts w:eastAsia="Arial Unicode MS"/>
                <w:lang w:val="en-GB" w:eastAsia="en-US"/>
              </w:rPr>
            </w:pPr>
            <w:r>
              <w:rPr>
                <w:w w:val="110"/>
              </w:rPr>
              <w:t>(470)</w:t>
            </w:r>
          </w:p>
        </w:tc>
        <w:tc>
          <w:tcPr>
            <w:tcW w:w="952" w:type="dxa"/>
            <w:tcBorders>
              <w:top w:val="nil"/>
              <w:left w:val="nil"/>
              <w:bottom w:val="nil"/>
              <w:right w:val="nil"/>
            </w:tcBorders>
          </w:tcPr>
          <w:p w14:paraId="4493284D" w14:textId="5FC0AD88" w:rsidR="008173E0" w:rsidRPr="001012E2" w:rsidRDefault="001012E2" w:rsidP="001012E2">
            <w:pPr>
              <w:pStyle w:val="TableText"/>
              <w:jc w:val="right"/>
              <w:rPr>
                <w:w w:val="105"/>
              </w:rPr>
            </w:pPr>
            <w:r w:rsidRPr="001012E2">
              <w:rPr>
                <w:w w:val="105"/>
              </w:rPr>
              <w:t>(718)</w:t>
            </w:r>
          </w:p>
        </w:tc>
      </w:tr>
      <w:tr w:rsidR="007F3D00" w:rsidRPr="001012E2" w14:paraId="67477F10" w14:textId="77777777" w:rsidTr="001012E2">
        <w:tc>
          <w:tcPr>
            <w:tcW w:w="2268" w:type="dxa"/>
            <w:tcBorders>
              <w:top w:val="nil"/>
              <w:left w:val="nil"/>
              <w:bottom w:val="single" w:sz="4" w:space="0" w:color="A6A6A6" w:themeColor="background1" w:themeShade="A6"/>
              <w:right w:val="nil"/>
            </w:tcBorders>
          </w:tcPr>
          <w:p w14:paraId="527926A0" w14:textId="3DC25AFB" w:rsidR="008173E0" w:rsidRPr="001012E2" w:rsidRDefault="007F3D00" w:rsidP="007F3D00">
            <w:pPr>
              <w:pStyle w:val="TableText"/>
              <w:spacing w:before="50" w:after="50"/>
              <w:rPr>
                <w:rFonts w:eastAsia="Arial Unicode MS"/>
                <w:b/>
                <w:bCs/>
              </w:rPr>
            </w:pPr>
            <w:r w:rsidRPr="001012E2">
              <w:rPr>
                <w:b/>
                <w:bCs/>
              </w:rPr>
              <w:t>Balance as at 30 June 2022</w:t>
            </w:r>
          </w:p>
        </w:tc>
        <w:tc>
          <w:tcPr>
            <w:tcW w:w="851" w:type="dxa"/>
            <w:tcBorders>
              <w:top w:val="nil"/>
              <w:left w:val="nil"/>
              <w:bottom w:val="single" w:sz="4" w:space="0" w:color="A6A6A6" w:themeColor="background1" w:themeShade="A6"/>
              <w:right w:val="nil"/>
            </w:tcBorders>
          </w:tcPr>
          <w:p w14:paraId="0CCBB706" w14:textId="5EA4163D" w:rsidR="008173E0" w:rsidRPr="001012E2" w:rsidRDefault="001012E2" w:rsidP="001012E2">
            <w:pPr>
              <w:pStyle w:val="TableText"/>
              <w:jc w:val="right"/>
              <w:rPr>
                <w:rFonts w:eastAsia="Arial Unicode MS"/>
                <w:b/>
                <w:bCs/>
                <w:lang w:val="en-GB" w:eastAsia="en-US"/>
              </w:rPr>
            </w:pPr>
            <w:r w:rsidRPr="001012E2">
              <w:rPr>
                <w:rFonts w:eastAsia="Arial Unicode MS"/>
                <w:b/>
                <w:bCs/>
                <w:lang w:val="en-GB" w:eastAsia="en-US"/>
              </w:rPr>
              <w:t>6,315</w:t>
            </w:r>
          </w:p>
        </w:tc>
        <w:tc>
          <w:tcPr>
            <w:tcW w:w="1556" w:type="dxa"/>
            <w:tcBorders>
              <w:top w:val="nil"/>
              <w:left w:val="nil"/>
              <w:bottom w:val="single" w:sz="4" w:space="0" w:color="A6A6A6" w:themeColor="background1" w:themeShade="A6"/>
              <w:right w:val="nil"/>
            </w:tcBorders>
          </w:tcPr>
          <w:p w14:paraId="7E390E0F" w14:textId="60628DA8" w:rsidR="008173E0" w:rsidRPr="001012E2" w:rsidRDefault="001012E2" w:rsidP="001012E2">
            <w:pPr>
              <w:pStyle w:val="TableText"/>
              <w:jc w:val="right"/>
              <w:rPr>
                <w:rFonts w:eastAsia="Arial Unicode MS"/>
                <w:b/>
                <w:bCs/>
                <w:lang w:val="en-GB" w:eastAsia="en-US"/>
              </w:rPr>
            </w:pPr>
            <w:r w:rsidRPr="001012E2">
              <w:rPr>
                <w:b/>
                <w:bCs/>
              </w:rPr>
              <w:t>5,588</w:t>
            </w:r>
          </w:p>
        </w:tc>
        <w:tc>
          <w:tcPr>
            <w:tcW w:w="1288" w:type="dxa"/>
            <w:tcBorders>
              <w:top w:val="nil"/>
              <w:left w:val="nil"/>
              <w:bottom w:val="single" w:sz="4" w:space="0" w:color="A6A6A6" w:themeColor="background1" w:themeShade="A6"/>
              <w:right w:val="nil"/>
            </w:tcBorders>
          </w:tcPr>
          <w:p w14:paraId="6DDD4E15" w14:textId="15972489" w:rsidR="008173E0" w:rsidRPr="001012E2" w:rsidRDefault="001012E2" w:rsidP="001012E2">
            <w:pPr>
              <w:pStyle w:val="TableText"/>
              <w:jc w:val="right"/>
              <w:rPr>
                <w:rFonts w:eastAsia="Arial Unicode MS"/>
                <w:b/>
                <w:bCs/>
                <w:lang w:val="en-GB" w:eastAsia="en-US"/>
              </w:rPr>
            </w:pPr>
            <w:r w:rsidRPr="001012E2">
              <w:rPr>
                <w:b/>
                <w:bCs/>
              </w:rPr>
              <w:t>1,986</w:t>
            </w:r>
          </w:p>
        </w:tc>
        <w:tc>
          <w:tcPr>
            <w:tcW w:w="1008" w:type="dxa"/>
            <w:tcBorders>
              <w:top w:val="nil"/>
              <w:left w:val="nil"/>
              <w:bottom w:val="single" w:sz="4" w:space="0" w:color="A6A6A6" w:themeColor="background1" w:themeShade="A6"/>
              <w:right w:val="nil"/>
            </w:tcBorders>
          </w:tcPr>
          <w:p w14:paraId="5E09668D" w14:textId="6964F4D3" w:rsidR="008173E0" w:rsidRPr="001012E2" w:rsidRDefault="001012E2" w:rsidP="001012E2">
            <w:pPr>
              <w:pStyle w:val="TableText"/>
              <w:jc w:val="right"/>
              <w:rPr>
                <w:rFonts w:eastAsia="Arial Unicode MS"/>
                <w:b/>
                <w:bCs/>
                <w:lang w:val="en-GB" w:eastAsia="en-US"/>
              </w:rPr>
            </w:pPr>
            <w:r w:rsidRPr="001012E2">
              <w:rPr>
                <w:b/>
                <w:bCs/>
              </w:rPr>
              <w:t>452</w:t>
            </w:r>
          </w:p>
        </w:tc>
        <w:tc>
          <w:tcPr>
            <w:tcW w:w="1204" w:type="dxa"/>
            <w:tcBorders>
              <w:top w:val="nil"/>
              <w:left w:val="nil"/>
              <w:bottom w:val="single" w:sz="4" w:space="0" w:color="A6A6A6" w:themeColor="background1" w:themeShade="A6"/>
              <w:right w:val="nil"/>
            </w:tcBorders>
          </w:tcPr>
          <w:p w14:paraId="29B010DB" w14:textId="3745D3A8" w:rsidR="008173E0" w:rsidRPr="001012E2" w:rsidRDefault="001012E2" w:rsidP="001012E2">
            <w:pPr>
              <w:pStyle w:val="TableText"/>
              <w:jc w:val="right"/>
              <w:rPr>
                <w:rFonts w:eastAsia="Arial Unicode MS"/>
                <w:b/>
                <w:bCs/>
                <w:lang w:val="en-GB" w:eastAsia="en-US"/>
              </w:rPr>
            </w:pPr>
            <w:r w:rsidRPr="001012E2">
              <w:rPr>
                <w:b/>
                <w:bCs/>
              </w:rPr>
              <w:t>1,272</w:t>
            </w:r>
          </w:p>
        </w:tc>
        <w:tc>
          <w:tcPr>
            <w:tcW w:w="952" w:type="dxa"/>
            <w:tcBorders>
              <w:top w:val="nil"/>
              <w:left w:val="nil"/>
              <w:bottom w:val="single" w:sz="4" w:space="0" w:color="A6A6A6" w:themeColor="background1" w:themeShade="A6"/>
              <w:right w:val="nil"/>
            </w:tcBorders>
          </w:tcPr>
          <w:p w14:paraId="62836F08" w14:textId="33D6555A" w:rsidR="008173E0" w:rsidRPr="001012E2" w:rsidRDefault="001012E2" w:rsidP="001012E2">
            <w:pPr>
              <w:pStyle w:val="TableText"/>
              <w:jc w:val="right"/>
              <w:rPr>
                <w:b/>
                <w:bCs/>
                <w:w w:val="105"/>
              </w:rPr>
            </w:pPr>
            <w:r w:rsidRPr="001012E2">
              <w:rPr>
                <w:b/>
                <w:bCs/>
                <w:w w:val="105"/>
              </w:rPr>
              <w:t>15,613</w:t>
            </w:r>
          </w:p>
        </w:tc>
      </w:tr>
      <w:tr w:rsidR="001012E2" w:rsidRPr="001012E2" w14:paraId="39322AF3" w14:textId="77777777" w:rsidTr="001012E2">
        <w:tc>
          <w:tcPr>
            <w:tcW w:w="9127" w:type="dxa"/>
            <w:gridSpan w:val="7"/>
            <w:tcBorders>
              <w:top w:val="single" w:sz="4" w:space="0" w:color="A6A6A6" w:themeColor="background1" w:themeShade="A6"/>
              <w:left w:val="nil"/>
              <w:bottom w:val="nil"/>
              <w:right w:val="nil"/>
            </w:tcBorders>
          </w:tcPr>
          <w:p w14:paraId="635118D2" w14:textId="50AC71A2" w:rsidR="001012E2" w:rsidRPr="001012E2" w:rsidRDefault="001012E2" w:rsidP="001012E2">
            <w:pPr>
              <w:pStyle w:val="TableText"/>
              <w:rPr>
                <w:rFonts w:eastAsia="Arial Unicode MS"/>
                <w:b/>
                <w:bCs/>
                <w:lang w:val="en-GB" w:eastAsia="en-US"/>
              </w:rPr>
            </w:pPr>
            <w:r w:rsidRPr="001012E2">
              <w:rPr>
                <w:b/>
                <w:bCs/>
              </w:rPr>
              <w:t>Accumulated depreciation and impairment losses</w:t>
            </w:r>
          </w:p>
        </w:tc>
      </w:tr>
      <w:tr w:rsidR="001012E2" w14:paraId="0F48766E" w14:textId="77777777" w:rsidTr="001012E2">
        <w:tc>
          <w:tcPr>
            <w:tcW w:w="2268" w:type="dxa"/>
            <w:tcBorders>
              <w:top w:val="nil"/>
              <w:left w:val="nil"/>
              <w:bottom w:val="nil"/>
              <w:right w:val="nil"/>
            </w:tcBorders>
          </w:tcPr>
          <w:p w14:paraId="70AF177F" w14:textId="6DC8323E" w:rsidR="008173E0" w:rsidRPr="007F3D00" w:rsidRDefault="007F3D00" w:rsidP="007F3D00">
            <w:pPr>
              <w:pStyle w:val="TableText"/>
              <w:spacing w:before="50" w:after="50"/>
              <w:rPr>
                <w:rFonts w:eastAsia="Arial Unicode MS"/>
              </w:rPr>
            </w:pPr>
            <w:r w:rsidRPr="007F3D00">
              <w:t>Balance as at 1 July 2020</w:t>
            </w:r>
          </w:p>
        </w:tc>
        <w:tc>
          <w:tcPr>
            <w:tcW w:w="851" w:type="dxa"/>
            <w:tcBorders>
              <w:top w:val="nil"/>
              <w:left w:val="nil"/>
              <w:bottom w:val="nil"/>
              <w:right w:val="nil"/>
            </w:tcBorders>
          </w:tcPr>
          <w:p w14:paraId="08254812" w14:textId="56F236F4" w:rsidR="008173E0" w:rsidRDefault="001012E2" w:rsidP="001012E2">
            <w:pPr>
              <w:pStyle w:val="TableText"/>
              <w:jc w:val="right"/>
              <w:rPr>
                <w:rFonts w:eastAsia="Arial Unicode MS"/>
                <w:lang w:val="en-GB" w:eastAsia="en-US"/>
              </w:rPr>
            </w:pPr>
            <w:r>
              <w:rPr>
                <w:w w:val="115"/>
              </w:rPr>
              <w:t>–</w:t>
            </w:r>
          </w:p>
        </w:tc>
        <w:tc>
          <w:tcPr>
            <w:tcW w:w="1556" w:type="dxa"/>
            <w:tcBorders>
              <w:top w:val="nil"/>
              <w:left w:val="nil"/>
              <w:bottom w:val="nil"/>
              <w:right w:val="nil"/>
            </w:tcBorders>
          </w:tcPr>
          <w:p w14:paraId="194A816E" w14:textId="311B9CEE" w:rsidR="008173E0" w:rsidRDefault="001012E2" w:rsidP="001012E2">
            <w:pPr>
              <w:pStyle w:val="TableText"/>
              <w:jc w:val="right"/>
              <w:rPr>
                <w:rFonts w:eastAsia="Arial Unicode MS"/>
                <w:lang w:val="en-GB" w:eastAsia="en-US"/>
              </w:rPr>
            </w:pPr>
            <w:r>
              <w:rPr>
                <w:w w:val="105"/>
              </w:rPr>
              <w:t>2,433</w:t>
            </w:r>
          </w:p>
        </w:tc>
        <w:tc>
          <w:tcPr>
            <w:tcW w:w="1288" w:type="dxa"/>
            <w:tcBorders>
              <w:top w:val="nil"/>
              <w:left w:val="nil"/>
              <w:bottom w:val="nil"/>
              <w:right w:val="nil"/>
            </w:tcBorders>
          </w:tcPr>
          <w:p w14:paraId="5A5416DA" w14:textId="6B343D14" w:rsidR="008173E0" w:rsidRDefault="001012E2" w:rsidP="001012E2">
            <w:pPr>
              <w:pStyle w:val="TableText"/>
              <w:jc w:val="right"/>
              <w:rPr>
                <w:rFonts w:eastAsia="Arial Unicode MS"/>
                <w:lang w:val="en-GB" w:eastAsia="en-US"/>
              </w:rPr>
            </w:pPr>
            <w:r>
              <w:rPr>
                <w:w w:val="105"/>
              </w:rPr>
              <w:t>1,296</w:t>
            </w:r>
          </w:p>
        </w:tc>
        <w:tc>
          <w:tcPr>
            <w:tcW w:w="1008" w:type="dxa"/>
            <w:tcBorders>
              <w:top w:val="nil"/>
              <w:left w:val="nil"/>
              <w:bottom w:val="nil"/>
              <w:right w:val="nil"/>
            </w:tcBorders>
          </w:tcPr>
          <w:p w14:paraId="66FD8462" w14:textId="6F6517F2" w:rsidR="008173E0" w:rsidRDefault="001012E2" w:rsidP="001012E2">
            <w:pPr>
              <w:pStyle w:val="TableText"/>
              <w:jc w:val="right"/>
              <w:rPr>
                <w:rFonts w:eastAsia="Arial Unicode MS"/>
                <w:lang w:val="en-GB" w:eastAsia="en-US"/>
              </w:rPr>
            </w:pPr>
            <w:r>
              <w:rPr>
                <w:w w:val="105"/>
              </w:rPr>
              <w:t>298</w:t>
            </w:r>
          </w:p>
        </w:tc>
        <w:tc>
          <w:tcPr>
            <w:tcW w:w="1204" w:type="dxa"/>
            <w:tcBorders>
              <w:top w:val="nil"/>
              <w:left w:val="nil"/>
              <w:bottom w:val="nil"/>
              <w:right w:val="nil"/>
            </w:tcBorders>
          </w:tcPr>
          <w:p w14:paraId="26CC7F9E" w14:textId="28CC9BB8" w:rsidR="008173E0" w:rsidRDefault="001012E2" w:rsidP="001012E2">
            <w:pPr>
              <w:pStyle w:val="TableText"/>
              <w:jc w:val="right"/>
              <w:rPr>
                <w:rFonts w:eastAsia="Arial Unicode MS"/>
                <w:lang w:val="en-GB" w:eastAsia="en-US"/>
              </w:rPr>
            </w:pPr>
            <w:r>
              <w:rPr>
                <w:w w:val="105"/>
              </w:rPr>
              <w:t>2,993</w:t>
            </w:r>
          </w:p>
        </w:tc>
        <w:tc>
          <w:tcPr>
            <w:tcW w:w="952" w:type="dxa"/>
            <w:tcBorders>
              <w:top w:val="nil"/>
              <w:left w:val="nil"/>
              <w:bottom w:val="nil"/>
              <w:right w:val="nil"/>
            </w:tcBorders>
          </w:tcPr>
          <w:p w14:paraId="0E4885FA" w14:textId="72E0DC24" w:rsidR="008173E0" w:rsidRPr="001012E2" w:rsidRDefault="001012E2" w:rsidP="001012E2">
            <w:pPr>
              <w:pStyle w:val="TableText"/>
              <w:jc w:val="right"/>
              <w:rPr>
                <w:w w:val="105"/>
              </w:rPr>
            </w:pPr>
            <w:r>
              <w:rPr>
                <w:w w:val="105"/>
              </w:rPr>
              <w:t>7,020</w:t>
            </w:r>
          </w:p>
        </w:tc>
      </w:tr>
      <w:tr w:rsidR="001012E2" w14:paraId="1AC0B1B6" w14:textId="77777777" w:rsidTr="001012E2">
        <w:tc>
          <w:tcPr>
            <w:tcW w:w="2268" w:type="dxa"/>
            <w:tcBorders>
              <w:top w:val="nil"/>
              <w:left w:val="nil"/>
              <w:bottom w:val="nil"/>
              <w:right w:val="nil"/>
            </w:tcBorders>
          </w:tcPr>
          <w:p w14:paraId="7B1F629A" w14:textId="3294B74B" w:rsidR="008173E0" w:rsidRPr="007F3D00" w:rsidRDefault="007F3D00" w:rsidP="007F3D00">
            <w:pPr>
              <w:pStyle w:val="TableText"/>
              <w:spacing w:before="50" w:after="50"/>
              <w:rPr>
                <w:rFonts w:eastAsia="Arial Unicode MS"/>
              </w:rPr>
            </w:pPr>
            <w:r w:rsidRPr="007F3D00">
              <w:t>Depreciation expense</w:t>
            </w:r>
          </w:p>
        </w:tc>
        <w:tc>
          <w:tcPr>
            <w:tcW w:w="851" w:type="dxa"/>
            <w:tcBorders>
              <w:top w:val="nil"/>
              <w:left w:val="nil"/>
              <w:bottom w:val="nil"/>
              <w:right w:val="nil"/>
            </w:tcBorders>
          </w:tcPr>
          <w:p w14:paraId="7E169B90" w14:textId="253321F5" w:rsidR="008173E0" w:rsidRDefault="001012E2" w:rsidP="001012E2">
            <w:pPr>
              <w:pStyle w:val="TableText"/>
              <w:jc w:val="right"/>
              <w:rPr>
                <w:rFonts w:eastAsia="Arial Unicode MS"/>
                <w:lang w:val="en-GB" w:eastAsia="en-US"/>
              </w:rPr>
            </w:pPr>
            <w:r>
              <w:rPr>
                <w:w w:val="115"/>
              </w:rPr>
              <w:t>–</w:t>
            </w:r>
          </w:p>
        </w:tc>
        <w:tc>
          <w:tcPr>
            <w:tcW w:w="1556" w:type="dxa"/>
            <w:tcBorders>
              <w:top w:val="nil"/>
              <w:left w:val="nil"/>
              <w:bottom w:val="nil"/>
              <w:right w:val="nil"/>
            </w:tcBorders>
          </w:tcPr>
          <w:p w14:paraId="445AD9A0" w14:textId="2C9D7208" w:rsidR="008173E0" w:rsidRDefault="001012E2" w:rsidP="001012E2">
            <w:pPr>
              <w:pStyle w:val="TableText"/>
              <w:jc w:val="right"/>
              <w:rPr>
                <w:rFonts w:eastAsia="Arial Unicode MS"/>
                <w:lang w:val="en-GB" w:eastAsia="en-US"/>
              </w:rPr>
            </w:pPr>
            <w:r>
              <w:t>527</w:t>
            </w:r>
          </w:p>
        </w:tc>
        <w:tc>
          <w:tcPr>
            <w:tcW w:w="1288" w:type="dxa"/>
            <w:tcBorders>
              <w:top w:val="nil"/>
              <w:left w:val="nil"/>
              <w:bottom w:val="nil"/>
              <w:right w:val="nil"/>
            </w:tcBorders>
          </w:tcPr>
          <w:p w14:paraId="6C5BA1C5" w14:textId="07519166" w:rsidR="008173E0" w:rsidRDefault="001012E2" w:rsidP="001012E2">
            <w:pPr>
              <w:pStyle w:val="TableText"/>
              <w:jc w:val="right"/>
              <w:rPr>
                <w:rFonts w:eastAsia="Arial Unicode MS"/>
                <w:lang w:val="en-GB" w:eastAsia="en-US"/>
              </w:rPr>
            </w:pPr>
            <w:r>
              <w:rPr>
                <w:w w:val="95"/>
              </w:rPr>
              <w:t>113</w:t>
            </w:r>
          </w:p>
        </w:tc>
        <w:tc>
          <w:tcPr>
            <w:tcW w:w="1008" w:type="dxa"/>
            <w:tcBorders>
              <w:top w:val="nil"/>
              <w:left w:val="nil"/>
              <w:bottom w:val="nil"/>
              <w:right w:val="nil"/>
            </w:tcBorders>
          </w:tcPr>
          <w:p w14:paraId="1259E9D2" w14:textId="1EDF1CFA" w:rsidR="008173E0" w:rsidRDefault="001012E2" w:rsidP="001012E2">
            <w:pPr>
              <w:pStyle w:val="TableText"/>
              <w:jc w:val="right"/>
              <w:rPr>
                <w:rFonts w:eastAsia="Arial Unicode MS"/>
                <w:lang w:val="en-GB" w:eastAsia="en-US"/>
              </w:rPr>
            </w:pPr>
            <w:r>
              <w:rPr>
                <w:w w:val="115"/>
              </w:rPr>
              <w:t>–</w:t>
            </w:r>
          </w:p>
        </w:tc>
        <w:tc>
          <w:tcPr>
            <w:tcW w:w="1204" w:type="dxa"/>
            <w:tcBorders>
              <w:top w:val="nil"/>
              <w:left w:val="nil"/>
              <w:bottom w:val="nil"/>
              <w:right w:val="nil"/>
            </w:tcBorders>
          </w:tcPr>
          <w:p w14:paraId="1E6BDC75" w14:textId="3C364B2C" w:rsidR="008173E0" w:rsidRDefault="001012E2" w:rsidP="001012E2">
            <w:pPr>
              <w:pStyle w:val="TableText"/>
              <w:jc w:val="right"/>
              <w:rPr>
                <w:rFonts w:eastAsia="Arial Unicode MS"/>
                <w:lang w:val="en-GB" w:eastAsia="en-US"/>
              </w:rPr>
            </w:pPr>
            <w:r>
              <w:t>63</w:t>
            </w:r>
          </w:p>
        </w:tc>
        <w:tc>
          <w:tcPr>
            <w:tcW w:w="952" w:type="dxa"/>
            <w:tcBorders>
              <w:top w:val="nil"/>
              <w:left w:val="nil"/>
              <w:bottom w:val="nil"/>
              <w:right w:val="nil"/>
            </w:tcBorders>
          </w:tcPr>
          <w:p w14:paraId="2AF52CB4" w14:textId="20FA0E17" w:rsidR="008173E0" w:rsidRPr="001012E2" w:rsidRDefault="001012E2" w:rsidP="001012E2">
            <w:pPr>
              <w:pStyle w:val="TableText"/>
              <w:jc w:val="right"/>
              <w:rPr>
                <w:w w:val="105"/>
              </w:rPr>
            </w:pPr>
            <w:r w:rsidRPr="001012E2">
              <w:rPr>
                <w:w w:val="105"/>
              </w:rPr>
              <w:t>703</w:t>
            </w:r>
          </w:p>
        </w:tc>
      </w:tr>
      <w:tr w:rsidR="001012E2" w14:paraId="6C077D95" w14:textId="77777777" w:rsidTr="001012E2">
        <w:tc>
          <w:tcPr>
            <w:tcW w:w="2268" w:type="dxa"/>
            <w:tcBorders>
              <w:top w:val="nil"/>
              <w:left w:val="nil"/>
              <w:bottom w:val="nil"/>
              <w:right w:val="nil"/>
            </w:tcBorders>
          </w:tcPr>
          <w:p w14:paraId="6E241F75" w14:textId="06E117A8" w:rsidR="008173E0" w:rsidRPr="007F3D00" w:rsidRDefault="007F3D00" w:rsidP="007F3D00">
            <w:pPr>
              <w:pStyle w:val="TableText"/>
              <w:spacing w:before="50" w:after="50"/>
              <w:rPr>
                <w:rFonts w:eastAsia="Arial Unicode MS"/>
              </w:rPr>
            </w:pPr>
            <w:r w:rsidRPr="007F3D00">
              <w:t>Eliminate on disposal</w:t>
            </w:r>
          </w:p>
        </w:tc>
        <w:tc>
          <w:tcPr>
            <w:tcW w:w="851" w:type="dxa"/>
            <w:tcBorders>
              <w:top w:val="nil"/>
              <w:left w:val="nil"/>
              <w:bottom w:val="nil"/>
              <w:right w:val="nil"/>
            </w:tcBorders>
          </w:tcPr>
          <w:p w14:paraId="7AD7D046" w14:textId="35AA7C63" w:rsidR="008173E0" w:rsidRDefault="001012E2" w:rsidP="001012E2">
            <w:pPr>
              <w:pStyle w:val="TableText"/>
              <w:jc w:val="right"/>
              <w:rPr>
                <w:rFonts w:eastAsia="Arial Unicode MS"/>
                <w:lang w:val="en-GB" w:eastAsia="en-US"/>
              </w:rPr>
            </w:pPr>
            <w:r>
              <w:rPr>
                <w:w w:val="115"/>
              </w:rPr>
              <w:t>–</w:t>
            </w:r>
          </w:p>
        </w:tc>
        <w:tc>
          <w:tcPr>
            <w:tcW w:w="1556" w:type="dxa"/>
            <w:tcBorders>
              <w:top w:val="nil"/>
              <w:left w:val="nil"/>
              <w:bottom w:val="nil"/>
              <w:right w:val="nil"/>
            </w:tcBorders>
          </w:tcPr>
          <w:p w14:paraId="445E0889" w14:textId="480F7E6D" w:rsidR="008173E0" w:rsidRDefault="001012E2" w:rsidP="001012E2">
            <w:pPr>
              <w:pStyle w:val="TableText"/>
              <w:jc w:val="right"/>
              <w:rPr>
                <w:rFonts w:eastAsia="Arial Unicode MS"/>
                <w:lang w:val="en-GB" w:eastAsia="en-US"/>
              </w:rPr>
            </w:pPr>
            <w:r>
              <w:rPr>
                <w:w w:val="115"/>
              </w:rPr>
              <w:t>–</w:t>
            </w:r>
          </w:p>
        </w:tc>
        <w:tc>
          <w:tcPr>
            <w:tcW w:w="1288" w:type="dxa"/>
            <w:tcBorders>
              <w:top w:val="nil"/>
              <w:left w:val="nil"/>
              <w:bottom w:val="nil"/>
              <w:right w:val="nil"/>
            </w:tcBorders>
          </w:tcPr>
          <w:p w14:paraId="667A5A64" w14:textId="312CB332" w:rsidR="008173E0" w:rsidRDefault="001012E2" w:rsidP="001012E2">
            <w:pPr>
              <w:pStyle w:val="TableText"/>
              <w:jc w:val="right"/>
              <w:rPr>
                <w:rFonts w:eastAsia="Arial Unicode MS"/>
                <w:lang w:val="en-GB" w:eastAsia="en-US"/>
              </w:rPr>
            </w:pPr>
            <w:r>
              <w:rPr>
                <w:w w:val="110"/>
              </w:rPr>
              <w:t>(88)</w:t>
            </w:r>
          </w:p>
        </w:tc>
        <w:tc>
          <w:tcPr>
            <w:tcW w:w="1008" w:type="dxa"/>
            <w:tcBorders>
              <w:top w:val="nil"/>
              <w:left w:val="nil"/>
              <w:bottom w:val="nil"/>
              <w:right w:val="nil"/>
            </w:tcBorders>
          </w:tcPr>
          <w:p w14:paraId="7EEA9A5F" w14:textId="64294147" w:rsidR="008173E0" w:rsidRDefault="001012E2" w:rsidP="001012E2">
            <w:pPr>
              <w:pStyle w:val="TableText"/>
              <w:jc w:val="right"/>
              <w:rPr>
                <w:rFonts w:eastAsia="Arial Unicode MS"/>
                <w:lang w:val="en-GB" w:eastAsia="en-US"/>
              </w:rPr>
            </w:pPr>
            <w:r>
              <w:rPr>
                <w:w w:val="110"/>
              </w:rPr>
              <w:t>(24)</w:t>
            </w:r>
          </w:p>
        </w:tc>
        <w:tc>
          <w:tcPr>
            <w:tcW w:w="1204" w:type="dxa"/>
            <w:tcBorders>
              <w:top w:val="nil"/>
              <w:left w:val="nil"/>
              <w:bottom w:val="nil"/>
              <w:right w:val="nil"/>
            </w:tcBorders>
          </w:tcPr>
          <w:p w14:paraId="09312BDF" w14:textId="34902B52" w:rsidR="008173E0" w:rsidRDefault="001012E2" w:rsidP="001012E2">
            <w:pPr>
              <w:pStyle w:val="TableText"/>
              <w:jc w:val="right"/>
              <w:rPr>
                <w:rFonts w:eastAsia="Arial Unicode MS"/>
                <w:lang w:val="en-GB" w:eastAsia="en-US"/>
              </w:rPr>
            </w:pPr>
            <w:r>
              <w:rPr>
                <w:w w:val="110"/>
              </w:rPr>
              <w:t>(1,429)</w:t>
            </w:r>
          </w:p>
        </w:tc>
        <w:tc>
          <w:tcPr>
            <w:tcW w:w="952" w:type="dxa"/>
            <w:tcBorders>
              <w:top w:val="nil"/>
              <w:left w:val="nil"/>
              <w:bottom w:val="nil"/>
              <w:right w:val="nil"/>
            </w:tcBorders>
          </w:tcPr>
          <w:p w14:paraId="3E6CB924" w14:textId="2FD87BFA" w:rsidR="008173E0" w:rsidRPr="001012E2" w:rsidRDefault="001012E2" w:rsidP="001012E2">
            <w:pPr>
              <w:pStyle w:val="TableText"/>
              <w:jc w:val="right"/>
              <w:rPr>
                <w:w w:val="105"/>
              </w:rPr>
            </w:pPr>
            <w:r w:rsidRPr="001012E2">
              <w:rPr>
                <w:w w:val="105"/>
              </w:rPr>
              <w:t>(1,541)</w:t>
            </w:r>
          </w:p>
        </w:tc>
      </w:tr>
      <w:tr w:rsidR="007F3D00" w:rsidRPr="001012E2" w14:paraId="54F92C97" w14:textId="77777777" w:rsidTr="001012E2">
        <w:tc>
          <w:tcPr>
            <w:tcW w:w="2268" w:type="dxa"/>
            <w:tcBorders>
              <w:top w:val="nil"/>
              <w:left w:val="nil"/>
              <w:bottom w:val="single" w:sz="4" w:space="0" w:color="A6A6A6" w:themeColor="background1" w:themeShade="A6"/>
              <w:right w:val="nil"/>
            </w:tcBorders>
          </w:tcPr>
          <w:p w14:paraId="6F65D616" w14:textId="021139C0" w:rsidR="007F3D00" w:rsidRPr="001012E2" w:rsidRDefault="007F3D00" w:rsidP="007F3D00">
            <w:pPr>
              <w:pStyle w:val="TableText"/>
              <w:spacing w:before="50" w:after="50"/>
              <w:rPr>
                <w:b/>
                <w:bCs/>
              </w:rPr>
            </w:pPr>
            <w:r w:rsidRPr="001012E2">
              <w:rPr>
                <w:b/>
                <w:bCs/>
              </w:rPr>
              <w:t>Balance as at 30 June 2021</w:t>
            </w:r>
          </w:p>
        </w:tc>
        <w:tc>
          <w:tcPr>
            <w:tcW w:w="851" w:type="dxa"/>
            <w:tcBorders>
              <w:top w:val="nil"/>
              <w:left w:val="nil"/>
              <w:bottom w:val="single" w:sz="4" w:space="0" w:color="A6A6A6" w:themeColor="background1" w:themeShade="A6"/>
              <w:right w:val="nil"/>
            </w:tcBorders>
          </w:tcPr>
          <w:p w14:paraId="30D2EDCC" w14:textId="6872A745" w:rsidR="007F3D00" w:rsidRPr="001012E2" w:rsidRDefault="001012E2" w:rsidP="001012E2">
            <w:pPr>
              <w:pStyle w:val="TableText"/>
              <w:jc w:val="right"/>
              <w:rPr>
                <w:rFonts w:eastAsia="Arial Unicode MS"/>
                <w:b/>
                <w:bCs/>
                <w:lang w:val="en-GB" w:eastAsia="en-US"/>
              </w:rPr>
            </w:pPr>
            <w:r w:rsidRPr="001012E2">
              <w:rPr>
                <w:b/>
                <w:bCs/>
                <w:w w:val="115"/>
              </w:rPr>
              <w:t>–</w:t>
            </w:r>
          </w:p>
        </w:tc>
        <w:tc>
          <w:tcPr>
            <w:tcW w:w="1556" w:type="dxa"/>
            <w:tcBorders>
              <w:top w:val="nil"/>
              <w:left w:val="nil"/>
              <w:bottom w:val="single" w:sz="4" w:space="0" w:color="A6A6A6" w:themeColor="background1" w:themeShade="A6"/>
              <w:right w:val="nil"/>
            </w:tcBorders>
          </w:tcPr>
          <w:p w14:paraId="26F982DA" w14:textId="7C41A410" w:rsidR="007F3D00" w:rsidRPr="001012E2" w:rsidRDefault="001012E2" w:rsidP="001012E2">
            <w:pPr>
              <w:pStyle w:val="TableText"/>
              <w:jc w:val="right"/>
              <w:rPr>
                <w:rFonts w:eastAsia="Arial Unicode MS"/>
                <w:b/>
                <w:bCs/>
                <w:lang w:val="en-GB" w:eastAsia="en-US"/>
              </w:rPr>
            </w:pPr>
            <w:r w:rsidRPr="001012E2">
              <w:rPr>
                <w:b/>
                <w:bCs/>
                <w:w w:val="105"/>
              </w:rPr>
              <w:t>2,960</w:t>
            </w:r>
          </w:p>
        </w:tc>
        <w:tc>
          <w:tcPr>
            <w:tcW w:w="1288" w:type="dxa"/>
            <w:tcBorders>
              <w:top w:val="nil"/>
              <w:left w:val="nil"/>
              <w:bottom w:val="single" w:sz="4" w:space="0" w:color="A6A6A6" w:themeColor="background1" w:themeShade="A6"/>
              <w:right w:val="nil"/>
            </w:tcBorders>
          </w:tcPr>
          <w:p w14:paraId="4D1DB392" w14:textId="593BA0AA" w:rsidR="007F3D00" w:rsidRPr="001012E2" w:rsidRDefault="001012E2" w:rsidP="001012E2">
            <w:pPr>
              <w:pStyle w:val="TableText"/>
              <w:jc w:val="right"/>
              <w:rPr>
                <w:rFonts w:eastAsia="Arial Unicode MS"/>
                <w:b/>
                <w:bCs/>
                <w:lang w:val="en-GB" w:eastAsia="en-US"/>
              </w:rPr>
            </w:pPr>
            <w:r w:rsidRPr="001012E2">
              <w:rPr>
                <w:b/>
                <w:bCs/>
              </w:rPr>
              <w:t>1,321</w:t>
            </w:r>
          </w:p>
        </w:tc>
        <w:tc>
          <w:tcPr>
            <w:tcW w:w="1008" w:type="dxa"/>
            <w:tcBorders>
              <w:top w:val="nil"/>
              <w:left w:val="nil"/>
              <w:bottom w:val="single" w:sz="4" w:space="0" w:color="A6A6A6" w:themeColor="background1" w:themeShade="A6"/>
              <w:right w:val="nil"/>
            </w:tcBorders>
          </w:tcPr>
          <w:p w14:paraId="077EC1BB" w14:textId="335BD7E8" w:rsidR="007F3D00" w:rsidRPr="001012E2" w:rsidRDefault="001012E2" w:rsidP="001012E2">
            <w:pPr>
              <w:pStyle w:val="TableText"/>
              <w:jc w:val="right"/>
              <w:rPr>
                <w:rFonts w:eastAsia="Arial Unicode MS"/>
                <w:b/>
                <w:bCs/>
                <w:lang w:val="en-GB" w:eastAsia="en-US"/>
              </w:rPr>
            </w:pPr>
            <w:r w:rsidRPr="001012E2">
              <w:rPr>
                <w:b/>
                <w:bCs/>
                <w:w w:val="105"/>
              </w:rPr>
              <w:t>274</w:t>
            </w:r>
          </w:p>
        </w:tc>
        <w:tc>
          <w:tcPr>
            <w:tcW w:w="1204" w:type="dxa"/>
            <w:tcBorders>
              <w:top w:val="nil"/>
              <w:left w:val="nil"/>
              <w:bottom w:val="single" w:sz="4" w:space="0" w:color="A6A6A6" w:themeColor="background1" w:themeShade="A6"/>
              <w:right w:val="nil"/>
            </w:tcBorders>
          </w:tcPr>
          <w:p w14:paraId="24DAE6AC" w14:textId="2F397499" w:rsidR="007F3D00" w:rsidRPr="001012E2" w:rsidRDefault="001012E2" w:rsidP="001012E2">
            <w:pPr>
              <w:pStyle w:val="TableText"/>
              <w:jc w:val="right"/>
              <w:rPr>
                <w:rFonts w:eastAsia="Arial Unicode MS"/>
                <w:b/>
                <w:bCs/>
                <w:lang w:val="en-GB" w:eastAsia="en-US"/>
              </w:rPr>
            </w:pPr>
            <w:r w:rsidRPr="001012E2">
              <w:rPr>
                <w:b/>
                <w:bCs/>
                <w:w w:val="105"/>
              </w:rPr>
              <w:t>1,627</w:t>
            </w:r>
          </w:p>
        </w:tc>
        <w:tc>
          <w:tcPr>
            <w:tcW w:w="952" w:type="dxa"/>
            <w:tcBorders>
              <w:top w:val="nil"/>
              <w:left w:val="nil"/>
              <w:bottom w:val="single" w:sz="4" w:space="0" w:color="A6A6A6" w:themeColor="background1" w:themeShade="A6"/>
              <w:right w:val="nil"/>
            </w:tcBorders>
          </w:tcPr>
          <w:p w14:paraId="7CD00FC0" w14:textId="409533B7" w:rsidR="007F3D00" w:rsidRPr="001012E2" w:rsidRDefault="001012E2" w:rsidP="001012E2">
            <w:pPr>
              <w:pStyle w:val="TableText"/>
              <w:jc w:val="right"/>
              <w:rPr>
                <w:b/>
                <w:bCs/>
              </w:rPr>
            </w:pPr>
            <w:r w:rsidRPr="001012E2">
              <w:rPr>
                <w:b/>
                <w:bCs/>
                <w:w w:val="105"/>
              </w:rPr>
              <w:t>6,182</w:t>
            </w:r>
          </w:p>
        </w:tc>
      </w:tr>
      <w:tr w:rsidR="007F3D00" w14:paraId="60FE82A8" w14:textId="77777777" w:rsidTr="001012E2">
        <w:tc>
          <w:tcPr>
            <w:tcW w:w="2268" w:type="dxa"/>
            <w:tcBorders>
              <w:top w:val="single" w:sz="4" w:space="0" w:color="A6A6A6" w:themeColor="background1" w:themeShade="A6"/>
              <w:left w:val="nil"/>
              <w:bottom w:val="nil"/>
              <w:right w:val="nil"/>
            </w:tcBorders>
          </w:tcPr>
          <w:p w14:paraId="76306FCC" w14:textId="3723F171" w:rsidR="007F3D00" w:rsidRPr="007F3D00" w:rsidRDefault="007F3D00" w:rsidP="007F3D00">
            <w:pPr>
              <w:pStyle w:val="TableText"/>
              <w:spacing w:before="50" w:after="50"/>
            </w:pPr>
            <w:r w:rsidRPr="007F3D00">
              <w:t>Balance as at 1 July 2021</w:t>
            </w:r>
          </w:p>
        </w:tc>
        <w:tc>
          <w:tcPr>
            <w:tcW w:w="851" w:type="dxa"/>
            <w:tcBorders>
              <w:top w:val="single" w:sz="4" w:space="0" w:color="A6A6A6" w:themeColor="background1" w:themeShade="A6"/>
              <w:left w:val="nil"/>
              <w:bottom w:val="nil"/>
              <w:right w:val="nil"/>
            </w:tcBorders>
          </w:tcPr>
          <w:p w14:paraId="3B3DE83C" w14:textId="118802F2" w:rsidR="007F3D00" w:rsidRDefault="001012E2" w:rsidP="001012E2">
            <w:pPr>
              <w:pStyle w:val="TableText"/>
              <w:jc w:val="right"/>
              <w:rPr>
                <w:rFonts w:eastAsia="Arial Unicode MS"/>
                <w:lang w:val="en-GB" w:eastAsia="en-US"/>
              </w:rPr>
            </w:pPr>
            <w:r>
              <w:rPr>
                <w:w w:val="115"/>
              </w:rPr>
              <w:t>–</w:t>
            </w:r>
          </w:p>
        </w:tc>
        <w:tc>
          <w:tcPr>
            <w:tcW w:w="1556" w:type="dxa"/>
            <w:tcBorders>
              <w:top w:val="single" w:sz="4" w:space="0" w:color="A6A6A6" w:themeColor="background1" w:themeShade="A6"/>
              <w:left w:val="nil"/>
              <w:bottom w:val="nil"/>
              <w:right w:val="nil"/>
            </w:tcBorders>
          </w:tcPr>
          <w:p w14:paraId="51031AD7" w14:textId="25E82F3E" w:rsidR="007F3D00" w:rsidRDefault="001012E2" w:rsidP="001012E2">
            <w:pPr>
              <w:pStyle w:val="TableText"/>
              <w:jc w:val="right"/>
              <w:rPr>
                <w:rFonts w:eastAsia="Arial Unicode MS"/>
                <w:lang w:val="en-GB" w:eastAsia="en-US"/>
              </w:rPr>
            </w:pPr>
            <w:r>
              <w:t>2,960</w:t>
            </w:r>
          </w:p>
        </w:tc>
        <w:tc>
          <w:tcPr>
            <w:tcW w:w="1288" w:type="dxa"/>
            <w:tcBorders>
              <w:top w:val="single" w:sz="4" w:space="0" w:color="A6A6A6" w:themeColor="background1" w:themeShade="A6"/>
              <w:left w:val="nil"/>
              <w:bottom w:val="nil"/>
              <w:right w:val="nil"/>
            </w:tcBorders>
          </w:tcPr>
          <w:p w14:paraId="7F298A29" w14:textId="79C93077" w:rsidR="007F3D00" w:rsidRDefault="001012E2" w:rsidP="001012E2">
            <w:pPr>
              <w:pStyle w:val="TableText"/>
              <w:jc w:val="right"/>
              <w:rPr>
                <w:rFonts w:eastAsia="Arial Unicode MS"/>
                <w:lang w:val="en-GB" w:eastAsia="en-US"/>
              </w:rPr>
            </w:pPr>
            <w:r>
              <w:rPr>
                <w:w w:val="95"/>
              </w:rPr>
              <w:t>1,321</w:t>
            </w:r>
          </w:p>
        </w:tc>
        <w:tc>
          <w:tcPr>
            <w:tcW w:w="1008" w:type="dxa"/>
            <w:tcBorders>
              <w:top w:val="single" w:sz="4" w:space="0" w:color="A6A6A6" w:themeColor="background1" w:themeShade="A6"/>
              <w:left w:val="nil"/>
              <w:bottom w:val="nil"/>
              <w:right w:val="nil"/>
            </w:tcBorders>
          </w:tcPr>
          <w:p w14:paraId="77A641D9" w14:textId="39C65151" w:rsidR="007F3D00" w:rsidRDefault="001012E2" w:rsidP="001012E2">
            <w:pPr>
              <w:pStyle w:val="TableText"/>
              <w:jc w:val="right"/>
              <w:rPr>
                <w:rFonts w:eastAsia="Arial Unicode MS"/>
                <w:lang w:val="en-GB" w:eastAsia="en-US"/>
              </w:rPr>
            </w:pPr>
            <w:r>
              <w:t>274</w:t>
            </w:r>
          </w:p>
        </w:tc>
        <w:tc>
          <w:tcPr>
            <w:tcW w:w="1204" w:type="dxa"/>
            <w:tcBorders>
              <w:top w:val="single" w:sz="4" w:space="0" w:color="A6A6A6" w:themeColor="background1" w:themeShade="A6"/>
              <w:left w:val="nil"/>
              <w:bottom w:val="nil"/>
              <w:right w:val="nil"/>
            </w:tcBorders>
          </w:tcPr>
          <w:p w14:paraId="403924E2" w14:textId="48890E3E" w:rsidR="007F3D00" w:rsidRDefault="001012E2" w:rsidP="001012E2">
            <w:pPr>
              <w:pStyle w:val="TableText"/>
              <w:jc w:val="right"/>
              <w:rPr>
                <w:rFonts w:eastAsia="Arial Unicode MS"/>
                <w:lang w:val="en-GB" w:eastAsia="en-US"/>
              </w:rPr>
            </w:pPr>
            <w:r>
              <w:t>1,627</w:t>
            </w:r>
          </w:p>
        </w:tc>
        <w:tc>
          <w:tcPr>
            <w:tcW w:w="952" w:type="dxa"/>
            <w:tcBorders>
              <w:top w:val="single" w:sz="4" w:space="0" w:color="A6A6A6" w:themeColor="background1" w:themeShade="A6"/>
              <w:left w:val="nil"/>
              <w:bottom w:val="nil"/>
              <w:right w:val="nil"/>
            </w:tcBorders>
          </w:tcPr>
          <w:p w14:paraId="6B48C019" w14:textId="0C3AC214" w:rsidR="007F3D00" w:rsidRPr="001012E2" w:rsidRDefault="001012E2" w:rsidP="001012E2">
            <w:pPr>
              <w:pStyle w:val="TableText"/>
              <w:jc w:val="right"/>
              <w:rPr>
                <w:w w:val="105"/>
              </w:rPr>
            </w:pPr>
            <w:r>
              <w:t>6,182</w:t>
            </w:r>
          </w:p>
        </w:tc>
      </w:tr>
      <w:tr w:rsidR="007F3D00" w14:paraId="0933CE3E" w14:textId="77777777" w:rsidTr="001012E2">
        <w:tc>
          <w:tcPr>
            <w:tcW w:w="2268" w:type="dxa"/>
            <w:tcBorders>
              <w:top w:val="nil"/>
              <w:left w:val="nil"/>
              <w:bottom w:val="nil"/>
              <w:right w:val="nil"/>
            </w:tcBorders>
          </w:tcPr>
          <w:p w14:paraId="1EE73F60" w14:textId="0E459877" w:rsidR="007F3D00" w:rsidRPr="007F3D00" w:rsidRDefault="007F3D00" w:rsidP="007F3D00">
            <w:pPr>
              <w:pStyle w:val="TableText"/>
              <w:spacing w:before="50" w:after="50"/>
            </w:pPr>
            <w:r w:rsidRPr="007F3D00">
              <w:t>Depreciation expense</w:t>
            </w:r>
          </w:p>
        </w:tc>
        <w:tc>
          <w:tcPr>
            <w:tcW w:w="851" w:type="dxa"/>
            <w:tcBorders>
              <w:top w:val="nil"/>
              <w:left w:val="nil"/>
              <w:bottom w:val="nil"/>
              <w:right w:val="nil"/>
            </w:tcBorders>
          </w:tcPr>
          <w:p w14:paraId="2876FF46" w14:textId="29E5C193" w:rsidR="007F3D00" w:rsidRDefault="001012E2" w:rsidP="001012E2">
            <w:pPr>
              <w:pStyle w:val="TableText"/>
              <w:jc w:val="right"/>
              <w:rPr>
                <w:rFonts w:eastAsia="Arial Unicode MS"/>
                <w:lang w:val="en-GB" w:eastAsia="en-US"/>
              </w:rPr>
            </w:pPr>
            <w:r>
              <w:rPr>
                <w:w w:val="115"/>
              </w:rPr>
              <w:t>–</w:t>
            </w:r>
          </w:p>
        </w:tc>
        <w:tc>
          <w:tcPr>
            <w:tcW w:w="1556" w:type="dxa"/>
            <w:tcBorders>
              <w:top w:val="nil"/>
              <w:left w:val="nil"/>
              <w:bottom w:val="nil"/>
              <w:right w:val="nil"/>
            </w:tcBorders>
          </w:tcPr>
          <w:p w14:paraId="782BD926" w14:textId="734438A0" w:rsidR="007F3D00" w:rsidRDefault="001012E2" w:rsidP="001012E2">
            <w:pPr>
              <w:pStyle w:val="TableText"/>
              <w:jc w:val="right"/>
              <w:rPr>
                <w:rFonts w:eastAsia="Arial Unicode MS"/>
                <w:lang w:val="en-GB" w:eastAsia="en-US"/>
              </w:rPr>
            </w:pPr>
            <w:r>
              <w:rPr>
                <w:w w:val="105"/>
              </w:rPr>
              <w:t>488</w:t>
            </w:r>
          </w:p>
        </w:tc>
        <w:tc>
          <w:tcPr>
            <w:tcW w:w="1288" w:type="dxa"/>
            <w:tcBorders>
              <w:top w:val="nil"/>
              <w:left w:val="nil"/>
              <w:bottom w:val="nil"/>
              <w:right w:val="nil"/>
            </w:tcBorders>
          </w:tcPr>
          <w:p w14:paraId="453673E6" w14:textId="5A8CC869" w:rsidR="007F3D00" w:rsidRDefault="001012E2" w:rsidP="001012E2">
            <w:pPr>
              <w:pStyle w:val="TableText"/>
              <w:jc w:val="right"/>
              <w:rPr>
                <w:rFonts w:eastAsia="Arial Unicode MS"/>
                <w:lang w:val="en-GB" w:eastAsia="en-US"/>
              </w:rPr>
            </w:pPr>
            <w:r>
              <w:rPr>
                <w:w w:val="105"/>
              </w:rPr>
              <w:t>125</w:t>
            </w:r>
          </w:p>
        </w:tc>
        <w:tc>
          <w:tcPr>
            <w:tcW w:w="1008" w:type="dxa"/>
            <w:tcBorders>
              <w:top w:val="nil"/>
              <w:left w:val="nil"/>
              <w:bottom w:val="nil"/>
              <w:right w:val="nil"/>
            </w:tcBorders>
          </w:tcPr>
          <w:p w14:paraId="55092A60" w14:textId="3E99869E" w:rsidR="007F3D00" w:rsidRDefault="001012E2" w:rsidP="001012E2">
            <w:pPr>
              <w:pStyle w:val="TableText"/>
              <w:jc w:val="right"/>
              <w:rPr>
                <w:rFonts w:eastAsia="Arial Unicode MS"/>
                <w:lang w:val="en-GB" w:eastAsia="en-US"/>
              </w:rPr>
            </w:pPr>
            <w:r>
              <w:rPr>
                <w:w w:val="105"/>
              </w:rPr>
              <w:t>30</w:t>
            </w:r>
          </w:p>
        </w:tc>
        <w:tc>
          <w:tcPr>
            <w:tcW w:w="1204" w:type="dxa"/>
            <w:tcBorders>
              <w:top w:val="nil"/>
              <w:left w:val="nil"/>
              <w:bottom w:val="nil"/>
              <w:right w:val="nil"/>
            </w:tcBorders>
          </w:tcPr>
          <w:p w14:paraId="5BAB8D53" w14:textId="1DAE48C5" w:rsidR="007F3D00" w:rsidRDefault="001012E2" w:rsidP="001012E2">
            <w:pPr>
              <w:pStyle w:val="TableText"/>
              <w:jc w:val="right"/>
              <w:rPr>
                <w:rFonts w:eastAsia="Arial Unicode MS"/>
                <w:lang w:val="en-GB" w:eastAsia="en-US"/>
              </w:rPr>
            </w:pPr>
            <w:r>
              <w:rPr>
                <w:w w:val="105"/>
              </w:rPr>
              <w:t>47</w:t>
            </w:r>
          </w:p>
        </w:tc>
        <w:tc>
          <w:tcPr>
            <w:tcW w:w="952" w:type="dxa"/>
            <w:tcBorders>
              <w:top w:val="nil"/>
              <w:left w:val="nil"/>
              <w:bottom w:val="nil"/>
              <w:right w:val="nil"/>
            </w:tcBorders>
          </w:tcPr>
          <w:p w14:paraId="5F598AEF" w14:textId="0E84175A" w:rsidR="007F3D00" w:rsidRPr="001012E2" w:rsidRDefault="001012E2" w:rsidP="001012E2">
            <w:pPr>
              <w:pStyle w:val="TableText"/>
              <w:jc w:val="right"/>
              <w:rPr>
                <w:w w:val="105"/>
              </w:rPr>
            </w:pPr>
            <w:r>
              <w:rPr>
                <w:w w:val="105"/>
              </w:rPr>
              <w:t>690</w:t>
            </w:r>
          </w:p>
        </w:tc>
      </w:tr>
      <w:tr w:rsidR="001012E2" w14:paraId="2906C518" w14:textId="77777777" w:rsidTr="001012E2">
        <w:tc>
          <w:tcPr>
            <w:tcW w:w="2268" w:type="dxa"/>
            <w:tcBorders>
              <w:top w:val="nil"/>
              <w:left w:val="nil"/>
              <w:bottom w:val="nil"/>
              <w:right w:val="nil"/>
            </w:tcBorders>
          </w:tcPr>
          <w:p w14:paraId="237BC4B7" w14:textId="1EF6C4FB" w:rsidR="001012E2" w:rsidRPr="007F3D00" w:rsidRDefault="001012E2" w:rsidP="001012E2">
            <w:pPr>
              <w:pStyle w:val="TableText"/>
              <w:spacing w:before="50" w:after="50"/>
            </w:pPr>
            <w:r w:rsidRPr="007F3D00">
              <w:t>Eliminate on disposal</w:t>
            </w:r>
          </w:p>
        </w:tc>
        <w:tc>
          <w:tcPr>
            <w:tcW w:w="851" w:type="dxa"/>
            <w:tcBorders>
              <w:top w:val="nil"/>
              <w:left w:val="nil"/>
              <w:bottom w:val="nil"/>
              <w:right w:val="nil"/>
            </w:tcBorders>
          </w:tcPr>
          <w:p w14:paraId="5E36700E" w14:textId="6E3FFF10" w:rsidR="001012E2" w:rsidRDefault="001012E2" w:rsidP="001012E2">
            <w:pPr>
              <w:pStyle w:val="TableText"/>
              <w:jc w:val="right"/>
              <w:rPr>
                <w:rFonts w:eastAsia="Arial Unicode MS"/>
                <w:lang w:val="en-GB" w:eastAsia="en-US"/>
              </w:rPr>
            </w:pPr>
            <w:r>
              <w:rPr>
                <w:w w:val="115"/>
              </w:rPr>
              <w:t>–</w:t>
            </w:r>
          </w:p>
        </w:tc>
        <w:tc>
          <w:tcPr>
            <w:tcW w:w="1556" w:type="dxa"/>
            <w:tcBorders>
              <w:top w:val="nil"/>
              <w:left w:val="nil"/>
              <w:bottom w:val="nil"/>
              <w:right w:val="nil"/>
            </w:tcBorders>
          </w:tcPr>
          <w:p w14:paraId="69759F2D" w14:textId="386C7A33" w:rsidR="001012E2" w:rsidRDefault="001012E2" w:rsidP="001012E2">
            <w:pPr>
              <w:pStyle w:val="TableText"/>
              <w:jc w:val="right"/>
              <w:rPr>
                <w:rFonts w:eastAsia="Arial Unicode MS"/>
                <w:lang w:val="en-GB" w:eastAsia="en-US"/>
              </w:rPr>
            </w:pPr>
            <w:r>
              <w:rPr>
                <w:w w:val="115"/>
              </w:rPr>
              <w:t>–</w:t>
            </w:r>
          </w:p>
        </w:tc>
        <w:tc>
          <w:tcPr>
            <w:tcW w:w="1288" w:type="dxa"/>
            <w:tcBorders>
              <w:top w:val="nil"/>
              <w:left w:val="nil"/>
              <w:bottom w:val="nil"/>
              <w:right w:val="nil"/>
            </w:tcBorders>
          </w:tcPr>
          <w:p w14:paraId="6068763C" w14:textId="7CAC642F" w:rsidR="001012E2" w:rsidRDefault="001012E2" w:rsidP="001012E2">
            <w:pPr>
              <w:pStyle w:val="TableText"/>
              <w:jc w:val="right"/>
              <w:rPr>
                <w:rFonts w:eastAsia="Arial Unicode MS"/>
                <w:lang w:val="en-GB" w:eastAsia="en-US"/>
              </w:rPr>
            </w:pPr>
            <w:r>
              <w:rPr>
                <w:w w:val="110"/>
              </w:rPr>
              <w:t>(103)</w:t>
            </w:r>
          </w:p>
        </w:tc>
        <w:tc>
          <w:tcPr>
            <w:tcW w:w="1008" w:type="dxa"/>
            <w:tcBorders>
              <w:top w:val="nil"/>
              <w:left w:val="nil"/>
              <w:bottom w:val="nil"/>
              <w:right w:val="nil"/>
            </w:tcBorders>
          </w:tcPr>
          <w:p w14:paraId="228CC36D" w14:textId="7C8C4D4A" w:rsidR="001012E2" w:rsidRDefault="001012E2" w:rsidP="001012E2">
            <w:pPr>
              <w:pStyle w:val="TableText"/>
              <w:jc w:val="right"/>
              <w:rPr>
                <w:rFonts w:eastAsia="Arial Unicode MS"/>
                <w:lang w:val="en-GB" w:eastAsia="en-US"/>
              </w:rPr>
            </w:pPr>
            <w:r>
              <w:rPr>
                <w:w w:val="110"/>
              </w:rPr>
              <w:t>(107)</w:t>
            </w:r>
          </w:p>
        </w:tc>
        <w:tc>
          <w:tcPr>
            <w:tcW w:w="1204" w:type="dxa"/>
            <w:tcBorders>
              <w:top w:val="nil"/>
              <w:left w:val="nil"/>
              <w:bottom w:val="nil"/>
              <w:right w:val="nil"/>
            </w:tcBorders>
          </w:tcPr>
          <w:p w14:paraId="0D31E818" w14:textId="2D7E1794" w:rsidR="001012E2" w:rsidRDefault="001012E2" w:rsidP="001012E2">
            <w:pPr>
              <w:pStyle w:val="TableText"/>
              <w:jc w:val="right"/>
              <w:rPr>
                <w:rFonts w:eastAsia="Arial Unicode MS"/>
                <w:lang w:val="en-GB" w:eastAsia="en-US"/>
              </w:rPr>
            </w:pPr>
            <w:r>
              <w:rPr>
                <w:w w:val="110"/>
              </w:rPr>
              <w:t>(470)</w:t>
            </w:r>
          </w:p>
        </w:tc>
        <w:tc>
          <w:tcPr>
            <w:tcW w:w="952" w:type="dxa"/>
            <w:tcBorders>
              <w:top w:val="nil"/>
              <w:left w:val="nil"/>
              <w:bottom w:val="nil"/>
              <w:right w:val="nil"/>
            </w:tcBorders>
          </w:tcPr>
          <w:p w14:paraId="4EA19CBC" w14:textId="595B60CE" w:rsidR="001012E2" w:rsidRPr="001012E2" w:rsidRDefault="001012E2" w:rsidP="001012E2">
            <w:pPr>
              <w:pStyle w:val="TableText"/>
              <w:jc w:val="right"/>
              <w:rPr>
                <w:w w:val="105"/>
              </w:rPr>
            </w:pPr>
            <w:r>
              <w:rPr>
                <w:w w:val="110"/>
              </w:rPr>
              <w:t>(680)</w:t>
            </w:r>
          </w:p>
        </w:tc>
      </w:tr>
      <w:tr w:rsidR="007F3D00" w:rsidRPr="001012E2" w14:paraId="5B08F7A3" w14:textId="77777777" w:rsidTr="001012E2">
        <w:tc>
          <w:tcPr>
            <w:tcW w:w="2268" w:type="dxa"/>
            <w:tcBorders>
              <w:top w:val="nil"/>
              <w:left w:val="nil"/>
              <w:bottom w:val="single" w:sz="4" w:space="0" w:color="A6A6A6" w:themeColor="background1" w:themeShade="A6"/>
              <w:right w:val="nil"/>
            </w:tcBorders>
          </w:tcPr>
          <w:p w14:paraId="15185E52" w14:textId="77777777" w:rsidR="007F3D00" w:rsidRPr="001012E2" w:rsidRDefault="007F3D00" w:rsidP="007F3D00">
            <w:pPr>
              <w:pStyle w:val="TableText"/>
              <w:spacing w:before="50" w:after="50"/>
              <w:rPr>
                <w:b/>
                <w:bCs/>
              </w:rPr>
            </w:pPr>
            <w:r w:rsidRPr="001012E2">
              <w:rPr>
                <w:b/>
                <w:bCs/>
              </w:rPr>
              <w:t xml:space="preserve">Balance as at 30 June </w:t>
            </w:r>
          </w:p>
          <w:p w14:paraId="7B41DCA2" w14:textId="62E73BEA" w:rsidR="007F3D00" w:rsidRPr="001012E2" w:rsidRDefault="007F3D00" w:rsidP="007F3D00">
            <w:pPr>
              <w:pStyle w:val="TableText"/>
              <w:spacing w:before="50" w:after="50"/>
              <w:rPr>
                <w:b/>
                <w:bCs/>
              </w:rPr>
            </w:pPr>
            <w:r w:rsidRPr="001012E2">
              <w:rPr>
                <w:b/>
                <w:bCs/>
              </w:rPr>
              <w:t>2022</w:t>
            </w:r>
          </w:p>
        </w:tc>
        <w:tc>
          <w:tcPr>
            <w:tcW w:w="851" w:type="dxa"/>
            <w:tcBorders>
              <w:top w:val="nil"/>
              <w:left w:val="nil"/>
              <w:bottom w:val="single" w:sz="4" w:space="0" w:color="A6A6A6" w:themeColor="background1" w:themeShade="A6"/>
              <w:right w:val="nil"/>
            </w:tcBorders>
          </w:tcPr>
          <w:p w14:paraId="28BA1BD4" w14:textId="282900C6" w:rsidR="007F3D00" w:rsidRPr="001012E2" w:rsidRDefault="001012E2" w:rsidP="001012E2">
            <w:pPr>
              <w:pStyle w:val="TableText"/>
              <w:jc w:val="right"/>
              <w:rPr>
                <w:rFonts w:eastAsia="Arial Unicode MS"/>
                <w:b/>
                <w:bCs/>
                <w:lang w:val="en-GB" w:eastAsia="en-US"/>
              </w:rPr>
            </w:pPr>
            <w:r w:rsidRPr="001012E2">
              <w:rPr>
                <w:b/>
                <w:bCs/>
                <w:w w:val="115"/>
              </w:rPr>
              <w:t>–</w:t>
            </w:r>
          </w:p>
        </w:tc>
        <w:tc>
          <w:tcPr>
            <w:tcW w:w="1556" w:type="dxa"/>
            <w:tcBorders>
              <w:top w:val="nil"/>
              <w:left w:val="nil"/>
              <w:bottom w:val="single" w:sz="4" w:space="0" w:color="A6A6A6" w:themeColor="background1" w:themeShade="A6"/>
              <w:right w:val="nil"/>
            </w:tcBorders>
          </w:tcPr>
          <w:p w14:paraId="06CA59ED" w14:textId="4A23CCBF" w:rsidR="007F3D00" w:rsidRPr="001012E2" w:rsidRDefault="001012E2" w:rsidP="001012E2">
            <w:pPr>
              <w:pStyle w:val="TableText"/>
              <w:jc w:val="right"/>
              <w:rPr>
                <w:rFonts w:eastAsia="Arial Unicode MS"/>
                <w:b/>
                <w:bCs/>
                <w:lang w:val="en-GB" w:eastAsia="en-US"/>
              </w:rPr>
            </w:pPr>
            <w:r w:rsidRPr="001012E2">
              <w:rPr>
                <w:b/>
                <w:bCs/>
                <w:w w:val="105"/>
              </w:rPr>
              <w:t>3,448</w:t>
            </w:r>
          </w:p>
        </w:tc>
        <w:tc>
          <w:tcPr>
            <w:tcW w:w="1288" w:type="dxa"/>
            <w:tcBorders>
              <w:top w:val="nil"/>
              <w:left w:val="nil"/>
              <w:bottom w:val="single" w:sz="4" w:space="0" w:color="A6A6A6" w:themeColor="background1" w:themeShade="A6"/>
              <w:right w:val="nil"/>
            </w:tcBorders>
          </w:tcPr>
          <w:p w14:paraId="1BE89EA2" w14:textId="6DF26535" w:rsidR="007F3D00" w:rsidRPr="001012E2" w:rsidRDefault="001012E2" w:rsidP="001012E2">
            <w:pPr>
              <w:pStyle w:val="TableText"/>
              <w:jc w:val="right"/>
              <w:rPr>
                <w:rFonts w:eastAsia="Arial Unicode MS"/>
                <w:b/>
                <w:bCs/>
                <w:lang w:val="en-GB" w:eastAsia="en-US"/>
              </w:rPr>
            </w:pPr>
            <w:r w:rsidRPr="001012E2">
              <w:rPr>
                <w:b/>
                <w:bCs/>
                <w:w w:val="105"/>
              </w:rPr>
              <w:t>1,343</w:t>
            </w:r>
          </w:p>
        </w:tc>
        <w:tc>
          <w:tcPr>
            <w:tcW w:w="1008" w:type="dxa"/>
            <w:tcBorders>
              <w:top w:val="nil"/>
              <w:left w:val="nil"/>
              <w:bottom w:val="single" w:sz="4" w:space="0" w:color="A6A6A6" w:themeColor="background1" w:themeShade="A6"/>
              <w:right w:val="nil"/>
            </w:tcBorders>
          </w:tcPr>
          <w:p w14:paraId="461A75E8" w14:textId="40E41051" w:rsidR="007F3D00" w:rsidRPr="001012E2" w:rsidRDefault="001012E2" w:rsidP="001012E2">
            <w:pPr>
              <w:pStyle w:val="TableText"/>
              <w:jc w:val="right"/>
              <w:rPr>
                <w:rFonts w:eastAsia="Arial Unicode MS"/>
                <w:b/>
                <w:bCs/>
                <w:lang w:val="en-GB" w:eastAsia="en-US"/>
              </w:rPr>
            </w:pPr>
            <w:r w:rsidRPr="001012E2">
              <w:rPr>
                <w:b/>
                <w:bCs/>
                <w:w w:val="105"/>
              </w:rPr>
              <w:t>197</w:t>
            </w:r>
          </w:p>
        </w:tc>
        <w:tc>
          <w:tcPr>
            <w:tcW w:w="1204" w:type="dxa"/>
            <w:tcBorders>
              <w:top w:val="nil"/>
              <w:left w:val="nil"/>
              <w:bottom w:val="single" w:sz="4" w:space="0" w:color="A6A6A6" w:themeColor="background1" w:themeShade="A6"/>
              <w:right w:val="nil"/>
            </w:tcBorders>
          </w:tcPr>
          <w:p w14:paraId="002A22F2" w14:textId="23697352" w:rsidR="007F3D00" w:rsidRPr="001012E2" w:rsidRDefault="001012E2" w:rsidP="001012E2">
            <w:pPr>
              <w:pStyle w:val="TableText"/>
              <w:jc w:val="right"/>
              <w:rPr>
                <w:rFonts w:eastAsia="Arial Unicode MS"/>
                <w:b/>
                <w:bCs/>
                <w:lang w:val="en-GB" w:eastAsia="en-US"/>
              </w:rPr>
            </w:pPr>
            <w:r w:rsidRPr="001012E2">
              <w:rPr>
                <w:b/>
                <w:bCs/>
                <w:w w:val="105"/>
              </w:rPr>
              <w:t>1,204</w:t>
            </w:r>
          </w:p>
        </w:tc>
        <w:tc>
          <w:tcPr>
            <w:tcW w:w="952" w:type="dxa"/>
            <w:tcBorders>
              <w:top w:val="nil"/>
              <w:left w:val="nil"/>
              <w:bottom w:val="single" w:sz="4" w:space="0" w:color="A6A6A6" w:themeColor="background1" w:themeShade="A6"/>
              <w:right w:val="nil"/>
            </w:tcBorders>
          </w:tcPr>
          <w:p w14:paraId="6B8B5356" w14:textId="0B5DF768" w:rsidR="007F3D00" w:rsidRPr="001012E2" w:rsidRDefault="001012E2" w:rsidP="001012E2">
            <w:pPr>
              <w:pStyle w:val="TableText"/>
              <w:jc w:val="right"/>
              <w:rPr>
                <w:b/>
                <w:bCs/>
                <w:w w:val="105"/>
              </w:rPr>
            </w:pPr>
            <w:r w:rsidRPr="001012E2">
              <w:rPr>
                <w:b/>
                <w:bCs/>
                <w:w w:val="105"/>
              </w:rPr>
              <w:t>6,192</w:t>
            </w:r>
          </w:p>
        </w:tc>
      </w:tr>
      <w:tr w:rsidR="007F3D00" w:rsidRPr="001012E2" w14:paraId="0ECED92E" w14:textId="77777777" w:rsidTr="001012E2">
        <w:tc>
          <w:tcPr>
            <w:tcW w:w="9127" w:type="dxa"/>
            <w:gridSpan w:val="7"/>
            <w:tcBorders>
              <w:top w:val="single" w:sz="4" w:space="0" w:color="A6A6A6" w:themeColor="background1" w:themeShade="A6"/>
              <w:left w:val="nil"/>
              <w:bottom w:val="nil"/>
              <w:right w:val="nil"/>
            </w:tcBorders>
          </w:tcPr>
          <w:p w14:paraId="23765CB2" w14:textId="3D6DB924" w:rsidR="007F3D00" w:rsidRPr="001012E2" w:rsidRDefault="007F3D00" w:rsidP="001012E2">
            <w:pPr>
              <w:pStyle w:val="TableText"/>
              <w:rPr>
                <w:rFonts w:eastAsia="Arial Unicode MS"/>
                <w:b/>
                <w:bCs/>
              </w:rPr>
            </w:pPr>
            <w:r w:rsidRPr="001012E2">
              <w:rPr>
                <w:b/>
                <w:bCs/>
              </w:rPr>
              <w:t>Total property, plant and equipment including WIP</w:t>
            </w:r>
          </w:p>
        </w:tc>
      </w:tr>
      <w:tr w:rsidR="007F3D00" w14:paraId="1DFFB7E4" w14:textId="77777777" w:rsidTr="001012E2">
        <w:tc>
          <w:tcPr>
            <w:tcW w:w="2268" w:type="dxa"/>
            <w:tcBorders>
              <w:top w:val="nil"/>
              <w:left w:val="nil"/>
              <w:bottom w:val="nil"/>
              <w:right w:val="nil"/>
            </w:tcBorders>
          </w:tcPr>
          <w:p w14:paraId="306E7C40" w14:textId="02F73F44" w:rsidR="007F3D00" w:rsidRPr="007F3D00" w:rsidRDefault="007F3D00" w:rsidP="007F3D00">
            <w:pPr>
              <w:pStyle w:val="TableText"/>
              <w:spacing w:before="50" w:after="50"/>
            </w:pPr>
            <w:r w:rsidRPr="007F3D00">
              <w:t>At 30 June 2020</w:t>
            </w:r>
          </w:p>
        </w:tc>
        <w:tc>
          <w:tcPr>
            <w:tcW w:w="851" w:type="dxa"/>
            <w:tcBorders>
              <w:top w:val="nil"/>
              <w:left w:val="nil"/>
              <w:bottom w:val="nil"/>
              <w:right w:val="nil"/>
            </w:tcBorders>
          </w:tcPr>
          <w:p w14:paraId="19A1621E" w14:textId="14004CC3" w:rsidR="007F3D00" w:rsidRDefault="007F3D00" w:rsidP="001012E2">
            <w:pPr>
              <w:pStyle w:val="TableText"/>
              <w:jc w:val="right"/>
              <w:rPr>
                <w:rFonts w:eastAsia="Arial Unicode MS"/>
                <w:lang w:val="en-GB" w:eastAsia="en-US"/>
              </w:rPr>
            </w:pPr>
            <w:r>
              <w:rPr>
                <w:w w:val="105"/>
              </w:rPr>
              <w:t>5,350</w:t>
            </w:r>
          </w:p>
        </w:tc>
        <w:tc>
          <w:tcPr>
            <w:tcW w:w="1556" w:type="dxa"/>
            <w:tcBorders>
              <w:top w:val="nil"/>
              <w:left w:val="nil"/>
              <w:bottom w:val="nil"/>
              <w:right w:val="nil"/>
            </w:tcBorders>
          </w:tcPr>
          <w:p w14:paraId="5F3DDB95" w14:textId="26D3BBA1" w:rsidR="007F3D00" w:rsidRDefault="007F3D00" w:rsidP="001012E2">
            <w:pPr>
              <w:pStyle w:val="TableText"/>
              <w:jc w:val="right"/>
              <w:rPr>
                <w:rFonts w:eastAsia="Arial Unicode MS"/>
                <w:lang w:val="en-GB" w:eastAsia="en-US"/>
              </w:rPr>
            </w:pPr>
            <w:r>
              <w:rPr>
                <w:w w:val="105"/>
              </w:rPr>
              <w:t>2,838</w:t>
            </w:r>
          </w:p>
        </w:tc>
        <w:tc>
          <w:tcPr>
            <w:tcW w:w="1288" w:type="dxa"/>
            <w:tcBorders>
              <w:top w:val="nil"/>
              <w:left w:val="nil"/>
              <w:bottom w:val="nil"/>
              <w:right w:val="nil"/>
            </w:tcBorders>
          </w:tcPr>
          <w:p w14:paraId="631DD64B" w14:textId="635D1C1B" w:rsidR="007F3D00" w:rsidRDefault="007F3D00" w:rsidP="001012E2">
            <w:pPr>
              <w:pStyle w:val="TableText"/>
              <w:jc w:val="right"/>
              <w:rPr>
                <w:rFonts w:eastAsia="Arial Unicode MS"/>
                <w:lang w:val="en-GB" w:eastAsia="en-US"/>
              </w:rPr>
            </w:pPr>
            <w:r>
              <w:rPr>
                <w:rFonts w:eastAsia="Arial Unicode MS"/>
                <w:lang w:val="en-GB" w:eastAsia="en-US"/>
              </w:rPr>
              <w:t>326</w:t>
            </w:r>
          </w:p>
        </w:tc>
        <w:tc>
          <w:tcPr>
            <w:tcW w:w="1008" w:type="dxa"/>
            <w:tcBorders>
              <w:top w:val="nil"/>
              <w:left w:val="nil"/>
              <w:bottom w:val="nil"/>
              <w:right w:val="nil"/>
            </w:tcBorders>
          </w:tcPr>
          <w:p w14:paraId="0AB2DC0F" w14:textId="17EB6088" w:rsidR="007F3D00" w:rsidRDefault="007F3D00" w:rsidP="001012E2">
            <w:pPr>
              <w:pStyle w:val="TableText"/>
              <w:jc w:val="right"/>
              <w:rPr>
                <w:rFonts w:eastAsia="Arial Unicode MS"/>
                <w:lang w:val="en-GB" w:eastAsia="en-US"/>
              </w:rPr>
            </w:pPr>
            <w:r>
              <w:rPr>
                <w:rFonts w:eastAsia="Arial Unicode MS"/>
                <w:lang w:val="en-GB" w:eastAsia="en-US"/>
              </w:rPr>
              <w:t>75</w:t>
            </w:r>
          </w:p>
        </w:tc>
        <w:tc>
          <w:tcPr>
            <w:tcW w:w="1204" w:type="dxa"/>
            <w:tcBorders>
              <w:top w:val="nil"/>
              <w:left w:val="nil"/>
              <w:bottom w:val="nil"/>
              <w:right w:val="nil"/>
            </w:tcBorders>
          </w:tcPr>
          <w:p w14:paraId="0AB0D2A4" w14:textId="337E68CB" w:rsidR="007F3D00" w:rsidRDefault="007F3D00" w:rsidP="001012E2">
            <w:pPr>
              <w:pStyle w:val="TableText"/>
              <w:jc w:val="right"/>
              <w:rPr>
                <w:rFonts w:eastAsia="Arial Unicode MS"/>
                <w:lang w:val="en-GB" w:eastAsia="en-US"/>
              </w:rPr>
            </w:pPr>
            <w:r>
              <w:rPr>
                <w:rFonts w:eastAsia="Arial Unicode MS"/>
                <w:lang w:val="en-GB" w:eastAsia="en-US"/>
              </w:rPr>
              <w:t>107</w:t>
            </w:r>
          </w:p>
        </w:tc>
        <w:tc>
          <w:tcPr>
            <w:tcW w:w="952" w:type="dxa"/>
            <w:tcBorders>
              <w:top w:val="nil"/>
              <w:left w:val="nil"/>
              <w:bottom w:val="nil"/>
              <w:right w:val="nil"/>
            </w:tcBorders>
          </w:tcPr>
          <w:p w14:paraId="3C8D90FB" w14:textId="76A3BEF1" w:rsidR="007F3D00" w:rsidRDefault="007F3D00" w:rsidP="001012E2">
            <w:pPr>
              <w:pStyle w:val="TableText"/>
              <w:jc w:val="right"/>
              <w:rPr>
                <w:rFonts w:eastAsia="Arial Unicode MS"/>
                <w:lang w:val="en-GB" w:eastAsia="en-US"/>
              </w:rPr>
            </w:pPr>
            <w:r w:rsidRPr="007F3D00">
              <w:rPr>
                <w:rFonts w:eastAsia="Arial Unicode MS"/>
                <w:lang w:val="en-GB" w:eastAsia="en-US"/>
              </w:rPr>
              <w:t>8,696</w:t>
            </w:r>
          </w:p>
        </w:tc>
      </w:tr>
      <w:tr w:rsidR="007F3D00" w14:paraId="1C9B8F6D" w14:textId="77777777" w:rsidTr="001012E2">
        <w:tc>
          <w:tcPr>
            <w:tcW w:w="2268" w:type="dxa"/>
            <w:tcBorders>
              <w:top w:val="nil"/>
              <w:left w:val="nil"/>
              <w:bottom w:val="nil"/>
              <w:right w:val="nil"/>
            </w:tcBorders>
          </w:tcPr>
          <w:p w14:paraId="763E5CF9" w14:textId="774B481B" w:rsidR="007F3D00" w:rsidRPr="007F3D00" w:rsidRDefault="007F3D00" w:rsidP="007F3D00">
            <w:pPr>
              <w:pStyle w:val="TableText"/>
              <w:spacing w:before="50" w:after="50"/>
            </w:pPr>
            <w:r w:rsidRPr="007F3D00">
              <w:t>At 30 June 2021</w:t>
            </w:r>
          </w:p>
        </w:tc>
        <w:tc>
          <w:tcPr>
            <w:tcW w:w="851" w:type="dxa"/>
            <w:tcBorders>
              <w:top w:val="nil"/>
              <w:left w:val="nil"/>
              <w:bottom w:val="nil"/>
              <w:right w:val="nil"/>
            </w:tcBorders>
          </w:tcPr>
          <w:p w14:paraId="5181B0AC" w14:textId="4F98507B" w:rsidR="007F3D00" w:rsidRDefault="007F3D00" w:rsidP="001012E2">
            <w:pPr>
              <w:pStyle w:val="TableText"/>
              <w:jc w:val="right"/>
              <w:rPr>
                <w:rFonts w:eastAsia="Arial Unicode MS"/>
                <w:lang w:val="en-GB" w:eastAsia="en-US"/>
              </w:rPr>
            </w:pPr>
            <w:r>
              <w:t>6,315</w:t>
            </w:r>
          </w:p>
        </w:tc>
        <w:tc>
          <w:tcPr>
            <w:tcW w:w="1556" w:type="dxa"/>
            <w:tcBorders>
              <w:top w:val="nil"/>
              <w:left w:val="nil"/>
              <w:bottom w:val="nil"/>
              <w:right w:val="nil"/>
            </w:tcBorders>
          </w:tcPr>
          <w:p w14:paraId="776385D5" w14:textId="58A928DE" w:rsidR="007F3D00" w:rsidRDefault="007F3D00" w:rsidP="001012E2">
            <w:pPr>
              <w:pStyle w:val="TableText"/>
              <w:jc w:val="right"/>
              <w:rPr>
                <w:rFonts w:eastAsia="Arial Unicode MS"/>
                <w:lang w:val="en-GB" w:eastAsia="en-US"/>
              </w:rPr>
            </w:pPr>
            <w:r>
              <w:rPr>
                <w:w w:val="95"/>
              </w:rPr>
              <w:t>2,311</w:t>
            </w:r>
          </w:p>
        </w:tc>
        <w:tc>
          <w:tcPr>
            <w:tcW w:w="1288" w:type="dxa"/>
            <w:tcBorders>
              <w:top w:val="nil"/>
              <w:left w:val="nil"/>
              <w:bottom w:val="nil"/>
              <w:right w:val="nil"/>
            </w:tcBorders>
          </w:tcPr>
          <w:p w14:paraId="401223EE" w14:textId="351DD43B" w:rsidR="007F3D00" w:rsidRDefault="007F3D00" w:rsidP="001012E2">
            <w:pPr>
              <w:pStyle w:val="TableText"/>
              <w:jc w:val="right"/>
              <w:rPr>
                <w:rFonts w:eastAsia="Arial Unicode MS"/>
                <w:lang w:val="en-GB" w:eastAsia="en-US"/>
              </w:rPr>
            </w:pPr>
            <w:r>
              <w:t>654</w:t>
            </w:r>
          </w:p>
        </w:tc>
        <w:tc>
          <w:tcPr>
            <w:tcW w:w="1008" w:type="dxa"/>
            <w:tcBorders>
              <w:top w:val="nil"/>
              <w:left w:val="nil"/>
              <w:bottom w:val="nil"/>
              <w:right w:val="nil"/>
            </w:tcBorders>
          </w:tcPr>
          <w:p w14:paraId="12F93C80" w14:textId="2555792E" w:rsidR="007F3D00" w:rsidRDefault="007F3D00" w:rsidP="001012E2">
            <w:pPr>
              <w:pStyle w:val="TableText"/>
              <w:jc w:val="right"/>
              <w:rPr>
                <w:rFonts w:eastAsia="Arial Unicode MS"/>
                <w:lang w:val="en-GB" w:eastAsia="en-US"/>
              </w:rPr>
            </w:pPr>
            <w:r>
              <w:rPr>
                <w:rFonts w:eastAsia="Arial Unicode MS"/>
                <w:lang w:val="en-GB" w:eastAsia="en-US"/>
              </w:rPr>
              <w:t>69</w:t>
            </w:r>
          </w:p>
        </w:tc>
        <w:tc>
          <w:tcPr>
            <w:tcW w:w="1204" w:type="dxa"/>
            <w:tcBorders>
              <w:top w:val="nil"/>
              <w:left w:val="nil"/>
              <w:bottom w:val="nil"/>
              <w:right w:val="nil"/>
            </w:tcBorders>
          </w:tcPr>
          <w:p w14:paraId="7E92C892" w14:textId="1C29C3C5" w:rsidR="007F3D00" w:rsidRDefault="007F3D00" w:rsidP="001012E2">
            <w:pPr>
              <w:pStyle w:val="TableText"/>
              <w:jc w:val="right"/>
              <w:rPr>
                <w:rFonts w:eastAsia="Arial Unicode MS"/>
                <w:lang w:val="en-GB" w:eastAsia="en-US"/>
              </w:rPr>
            </w:pPr>
            <w:r>
              <w:rPr>
                <w:rFonts w:eastAsia="Arial Unicode MS"/>
                <w:lang w:val="en-GB" w:eastAsia="en-US"/>
              </w:rPr>
              <w:t>114</w:t>
            </w:r>
          </w:p>
        </w:tc>
        <w:tc>
          <w:tcPr>
            <w:tcW w:w="952" w:type="dxa"/>
            <w:tcBorders>
              <w:top w:val="nil"/>
              <w:left w:val="nil"/>
              <w:bottom w:val="nil"/>
              <w:right w:val="nil"/>
            </w:tcBorders>
          </w:tcPr>
          <w:p w14:paraId="60259394" w14:textId="149668E8" w:rsidR="007F3D00" w:rsidRDefault="007F3D00" w:rsidP="001012E2">
            <w:pPr>
              <w:pStyle w:val="TableText"/>
              <w:jc w:val="right"/>
              <w:rPr>
                <w:rFonts w:eastAsia="Arial Unicode MS"/>
                <w:lang w:val="en-GB" w:eastAsia="en-US"/>
              </w:rPr>
            </w:pPr>
            <w:r w:rsidRPr="007F3D00">
              <w:rPr>
                <w:rFonts w:eastAsia="Arial Unicode MS"/>
                <w:lang w:val="en-GB" w:eastAsia="en-US"/>
              </w:rPr>
              <w:t>9,463</w:t>
            </w:r>
          </w:p>
        </w:tc>
      </w:tr>
      <w:tr w:rsidR="001012E2" w:rsidRPr="001012E2" w14:paraId="7FB030EB" w14:textId="77777777" w:rsidTr="001012E2">
        <w:tc>
          <w:tcPr>
            <w:tcW w:w="2268" w:type="dxa"/>
            <w:tcBorders>
              <w:top w:val="nil"/>
              <w:left w:val="nil"/>
              <w:bottom w:val="single" w:sz="4" w:space="0" w:color="A6A6A6" w:themeColor="background1" w:themeShade="A6"/>
              <w:right w:val="nil"/>
            </w:tcBorders>
          </w:tcPr>
          <w:p w14:paraId="584FECEB" w14:textId="2154090C" w:rsidR="007F3D00" w:rsidRPr="001012E2" w:rsidRDefault="007F3D00" w:rsidP="007F3D00">
            <w:pPr>
              <w:pStyle w:val="TableText"/>
              <w:spacing w:before="50" w:after="50"/>
              <w:rPr>
                <w:b/>
                <w:bCs/>
              </w:rPr>
            </w:pPr>
            <w:r w:rsidRPr="001012E2">
              <w:rPr>
                <w:b/>
                <w:bCs/>
              </w:rPr>
              <w:t>At 30 June 2022</w:t>
            </w:r>
          </w:p>
        </w:tc>
        <w:tc>
          <w:tcPr>
            <w:tcW w:w="851" w:type="dxa"/>
            <w:tcBorders>
              <w:top w:val="nil"/>
              <w:left w:val="nil"/>
              <w:bottom w:val="single" w:sz="4" w:space="0" w:color="A6A6A6" w:themeColor="background1" w:themeShade="A6"/>
              <w:right w:val="nil"/>
            </w:tcBorders>
          </w:tcPr>
          <w:p w14:paraId="0D40EB7C" w14:textId="3F615935" w:rsidR="007F3D00" w:rsidRPr="001012E2" w:rsidRDefault="007F3D00" w:rsidP="001012E2">
            <w:pPr>
              <w:pStyle w:val="TableText"/>
              <w:jc w:val="right"/>
              <w:rPr>
                <w:rFonts w:eastAsia="Arial Unicode MS"/>
                <w:b/>
                <w:bCs/>
                <w:lang w:val="en-GB" w:eastAsia="en-US"/>
              </w:rPr>
            </w:pPr>
            <w:r w:rsidRPr="001012E2">
              <w:rPr>
                <w:b/>
                <w:bCs/>
              </w:rPr>
              <w:t>6,315</w:t>
            </w:r>
          </w:p>
        </w:tc>
        <w:tc>
          <w:tcPr>
            <w:tcW w:w="1556" w:type="dxa"/>
            <w:tcBorders>
              <w:top w:val="nil"/>
              <w:left w:val="nil"/>
              <w:bottom w:val="single" w:sz="4" w:space="0" w:color="A6A6A6" w:themeColor="background1" w:themeShade="A6"/>
              <w:right w:val="nil"/>
            </w:tcBorders>
          </w:tcPr>
          <w:p w14:paraId="0E96AE0B" w14:textId="73207F34" w:rsidR="007F3D00" w:rsidRPr="001012E2" w:rsidRDefault="007F3D00" w:rsidP="001012E2">
            <w:pPr>
              <w:pStyle w:val="TableText"/>
              <w:jc w:val="right"/>
              <w:rPr>
                <w:rFonts w:eastAsia="Arial Unicode MS"/>
                <w:b/>
                <w:bCs/>
                <w:lang w:val="en-GB" w:eastAsia="en-US"/>
              </w:rPr>
            </w:pPr>
            <w:r w:rsidRPr="001012E2">
              <w:rPr>
                <w:b/>
                <w:bCs/>
                <w:w w:val="105"/>
              </w:rPr>
              <w:t>2,140</w:t>
            </w:r>
          </w:p>
        </w:tc>
        <w:tc>
          <w:tcPr>
            <w:tcW w:w="1288" w:type="dxa"/>
            <w:tcBorders>
              <w:top w:val="nil"/>
              <w:left w:val="nil"/>
              <w:bottom w:val="single" w:sz="4" w:space="0" w:color="A6A6A6" w:themeColor="background1" w:themeShade="A6"/>
              <w:right w:val="nil"/>
            </w:tcBorders>
          </w:tcPr>
          <w:p w14:paraId="459FA61A" w14:textId="163E97C0" w:rsidR="007F3D00" w:rsidRPr="001012E2" w:rsidRDefault="007F3D00" w:rsidP="001012E2">
            <w:pPr>
              <w:pStyle w:val="TableText"/>
              <w:jc w:val="right"/>
              <w:rPr>
                <w:rFonts w:eastAsia="Arial Unicode MS"/>
                <w:b/>
                <w:bCs/>
                <w:lang w:val="en-GB" w:eastAsia="en-US"/>
              </w:rPr>
            </w:pPr>
            <w:r w:rsidRPr="001012E2">
              <w:rPr>
                <w:b/>
                <w:bCs/>
                <w:w w:val="105"/>
              </w:rPr>
              <w:t>643</w:t>
            </w:r>
          </w:p>
        </w:tc>
        <w:tc>
          <w:tcPr>
            <w:tcW w:w="1008" w:type="dxa"/>
            <w:tcBorders>
              <w:top w:val="nil"/>
              <w:left w:val="nil"/>
              <w:bottom w:val="single" w:sz="4" w:space="0" w:color="A6A6A6" w:themeColor="background1" w:themeShade="A6"/>
              <w:right w:val="nil"/>
            </w:tcBorders>
          </w:tcPr>
          <w:p w14:paraId="18B3FF93" w14:textId="64B7C47B" w:rsidR="007F3D00" w:rsidRPr="001012E2" w:rsidRDefault="007F3D00" w:rsidP="001012E2">
            <w:pPr>
              <w:pStyle w:val="TableText"/>
              <w:jc w:val="right"/>
              <w:rPr>
                <w:rFonts w:eastAsia="Arial Unicode MS"/>
                <w:b/>
                <w:bCs/>
                <w:lang w:val="en-GB" w:eastAsia="en-US"/>
              </w:rPr>
            </w:pPr>
            <w:r w:rsidRPr="001012E2">
              <w:rPr>
                <w:rFonts w:eastAsia="Arial Unicode MS"/>
                <w:b/>
                <w:bCs/>
                <w:lang w:val="en-GB" w:eastAsia="en-US"/>
              </w:rPr>
              <w:t>255</w:t>
            </w:r>
          </w:p>
        </w:tc>
        <w:tc>
          <w:tcPr>
            <w:tcW w:w="1204" w:type="dxa"/>
            <w:tcBorders>
              <w:top w:val="nil"/>
              <w:left w:val="nil"/>
              <w:bottom w:val="single" w:sz="4" w:space="0" w:color="A6A6A6" w:themeColor="background1" w:themeShade="A6"/>
              <w:right w:val="nil"/>
            </w:tcBorders>
          </w:tcPr>
          <w:p w14:paraId="4C6072DC" w14:textId="1A9A5F45" w:rsidR="007F3D00" w:rsidRPr="001012E2" w:rsidRDefault="007F3D00" w:rsidP="001012E2">
            <w:pPr>
              <w:pStyle w:val="TableText"/>
              <w:jc w:val="right"/>
              <w:rPr>
                <w:rFonts w:eastAsia="Arial Unicode MS"/>
                <w:b/>
                <w:bCs/>
                <w:lang w:val="en-GB" w:eastAsia="en-US"/>
              </w:rPr>
            </w:pPr>
            <w:r w:rsidRPr="001012E2">
              <w:rPr>
                <w:rFonts w:eastAsia="Arial Unicode MS"/>
                <w:b/>
                <w:bCs/>
                <w:lang w:val="en-GB" w:eastAsia="en-US"/>
              </w:rPr>
              <w:t>68</w:t>
            </w:r>
          </w:p>
        </w:tc>
        <w:tc>
          <w:tcPr>
            <w:tcW w:w="952" w:type="dxa"/>
            <w:tcBorders>
              <w:top w:val="nil"/>
              <w:left w:val="nil"/>
              <w:bottom w:val="single" w:sz="4" w:space="0" w:color="A6A6A6" w:themeColor="background1" w:themeShade="A6"/>
              <w:right w:val="nil"/>
            </w:tcBorders>
          </w:tcPr>
          <w:p w14:paraId="2B232E33" w14:textId="3AB3F711" w:rsidR="007F3D00" w:rsidRPr="001012E2" w:rsidRDefault="007F3D00" w:rsidP="001012E2">
            <w:pPr>
              <w:pStyle w:val="TableText"/>
              <w:jc w:val="right"/>
              <w:rPr>
                <w:rFonts w:eastAsia="Arial Unicode MS"/>
                <w:b/>
                <w:bCs/>
                <w:lang w:val="en-GB" w:eastAsia="en-US"/>
              </w:rPr>
            </w:pPr>
            <w:r w:rsidRPr="001012E2">
              <w:rPr>
                <w:rFonts w:eastAsia="Arial Unicode MS"/>
                <w:b/>
                <w:bCs/>
                <w:lang w:val="en-GB" w:eastAsia="en-US"/>
              </w:rPr>
              <w:t>9,421</w:t>
            </w:r>
          </w:p>
        </w:tc>
      </w:tr>
    </w:tbl>
    <w:p w14:paraId="60C82F72" w14:textId="77777777" w:rsidR="008173E0" w:rsidRDefault="008173E0" w:rsidP="008173E0">
      <w:pPr>
        <w:rPr>
          <w:rFonts w:eastAsia="Arial Unicode MS"/>
          <w:lang w:val="en-GB" w:eastAsia="en-US"/>
        </w:rPr>
      </w:pPr>
    </w:p>
    <w:p w14:paraId="27FBC6A5" w14:textId="77777777" w:rsidR="00552CB4" w:rsidRPr="00552CB4" w:rsidRDefault="00552CB4" w:rsidP="00552CB4">
      <w:pPr>
        <w:pStyle w:val="Heading5"/>
        <w:rPr>
          <w:lang w:val="en-GB" w:eastAsia="en-US"/>
        </w:rPr>
      </w:pPr>
      <w:r w:rsidRPr="00552CB4">
        <w:rPr>
          <w:lang w:val="en-GB" w:eastAsia="en-US"/>
        </w:rPr>
        <w:lastRenderedPageBreak/>
        <w:t>Work in Progress (WIP)</w:t>
      </w:r>
    </w:p>
    <w:p w14:paraId="0100720D" w14:textId="77777777" w:rsidR="00552CB4" w:rsidRPr="00552CB4" w:rsidRDefault="00552CB4" w:rsidP="00552CB4">
      <w:pPr>
        <w:rPr>
          <w:rFonts w:eastAsia="Arial Unicode MS"/>
          <w:lang w:val="en-GB" w:eastAsia="en-US"/>
        </w:rPr>
      </w:pPr>
      <w:r w:rsidRPr="00552CB4">
        <w:rPr>
          <w:rFonts w:eastAsia="Arial Unicode MS"/>
          <w:lang w:val="en-GB" w:eastAsia="en-US"/>
        </w:rPr>
        <w:t>As at 30 June 2022 WIP costs incurred to date of $0.317 million relates to compliance for storage of radioactive waste (2021: $0.434 million for refurbishing the Whanganui warehouse, these were completed and capitalised in 2021/22).</w:t>
      </w:r>
    </w:p>
    <w:p w14:paraId="0924027D" w14:textId="77777777" w:rsidR="00552CB4" w:rsidRPr="00552CB4" w:rsidRDefault="00552CB4" w:rsidP="00552CB4">
      <w:pPr>
        <w:pStyle w:val="Heading5"/>
        <w:rPr>
          <w:lang w:val="en-GB" w:eastAsia="en-US"/>
        </w:rPr>
      </w:pPr>
      <w:r w:rsidRPr="00552CB4">
        <w:rPr>
          <w:lang w:val="en-GB" w:eastAsia="en-US"/>
        </w:rPr>
        <w:t>Restrictions</w:t>
      </w:r>
    </w:p>
    <w:p w14:paraId="45803DDE" w14:textId="77777777" w:rsidR="00552CB4" w:rsidRPr="00552CB4" w:rsidRDefault="00552CB4" w:rsidP="00552CB4">
      <w:pPr>
        <w:rPr>
          <w:rFonts w:eastAsia="Arial Unicode MS"/>
          <w:lang w:val="en-GB" w:eastAsia="en-US"/>
        </w:rPr>
      </w:pPr>
      <w:r w:rsidRPr="00552CB4">
        <w:rPr>
          <w:rFonts w:eastAsia="Arial Unicode MS"/>
          <w:lang w:val="en-GB" w:eastAsia="en-US"/>
        </w:rPr>
        <w:t>There are no restrictions over the title of the Ministry’s plant, property and equipment.</w:t>
      </w:r>
    </w:p>
    <w:p w14:paraId="63D2456D" w14:textId="77777777" w:rsidR="00552CB4" w:rsidRPr="00552CB4" w:rsidRDefault="00552CB4" w:rsidP="00552CB4">
      <w:pPr>
        <w:pStyle w:val="Heading4"/>
        <w:rPr>
          <w:lang w:val="en-GB" w:eastAsia="en-US"/>
        </w:rPr>
      </w:pPr>
      <w:r w:rsidRPr="00552CB4">
        <w:rPr>
          <w:lang w:val="en-GB" w:eastAsia="en-US"/>
        </w:rPr>
        <w:t>7</w:t>
      </w:r>
      <w:r w:rsidRPr="00552CB4">
        <w:rPr>
          <w:lang w:val="en-GB" w:eastAsia="en-US"/>
        </w:rPr>
        <w:tab/>
        <w:t>Intangible assets</w:t>
      </w:r>
    </w:p>
    <w:p w14:paraId="14BE4B9B" w14:textId="77777777" w:rsidR="00552CB4" w:rsidRPr="00552CB4" w:rsidRDefault="00552CB4" w:rsidP="00552CB4">
      <w:pPr>
        <w:pStyle w:val="Heading5"/>
        <w:rPr>
          <w:lang w:val="en-GB" w:eastAsia="en-US"/>
        </w:rPr>
      </w:pPr>
      <w:r w:rsidRPr="00552CB4">
        <w:rPr>
          <w:lang w:val="en-GB" w:eastAsia="en-US"/>
        </w:rPr>
        <w:t>Accounting policy</w:t>
      </w:r>
    </w:p>
    <w:p w14:paraId="63672717" w14:textId="77777777" w:rsidR="00552CB4" w:rsidRPr="00552CB4" w:rsidRDefault="00552CB4" w:rsidP="00552CB4">
      <w:pPr>
        <w:rPr>
          <w:rFonts w:eastAsia="Arial Unicode MS"/>
          <w:lang w:val="en-GB" w:eastAsia="en-US"/>
        </w:rPr>
      </w:pPr>
      <w:r w:rsidRPr="00552CB4">
        <w:rPr>
          <w:rFonts w:eastAsia="Arial Unicode MS"/>
          <w:lang w:val="en-GB" w:eastAsia="en-US"/>
        </w:rPr>
        <w:t>Intangible assets are initially recorded at cost. The cost of an internally generated intangible asset represents expenditure incurred in the development phase of the asset only. The development phase occurs after the following can be demonstrated: technical feasibility; ability to complete the asset; intention and ability to sell or use; and where development expenditure can be reliably measured. Expenditure incurred on research related to an internally generated intangible asset is expensed when it is incurred. Where the research phase cannot be distinguished from the development phase, the expenditure is expensed when it is incurred.</w:t>
      </w:r>
    </w:p>
    <w:p w14:paraId="07537686" w14:textId="77777777" w:rsidR="00552CB4" w:rsidRPr="00552CB4" w:rsidRDefault="00552CB4" w:rsidP="00552CB4">
      <w:pPr>
        <w:pStyle w:val="Heading5"/>
        <w:rPr>
          <w:lang w:val="en-GB" w:eastAsia="en-US"/>
        </w:rPr>
      </w:pPr>
      <w:r w:rsidRPr="00552CB4">
        <w:rPr>
          <w:lang w:val="en-GB" w:eastAsia="en-US"/>
        </w:rPr>
        <w:t>Software acquisition and development</w:t>
      </w:r>
    </w:p>
    <w:p w14:paraId="27F6AC00" w14:textId="2D044E33" w:rsidR="00552CB4" w:rsidRDefault="00552CB4" w:rsidP="00552CB4">
      <w:pPr>
        <w:rPr>
          <w:rFonts w:eastAsia="Arial Unicode MS"/>
          <w:lang w:val="en-GB" w:eastAsia="en-US"/>
        </w:rPr>
      </w:pPr>
      <w:r w:rsidRPr="00552CB4">
        <w:rPr>
          <w:rFonts w:eastAsia="Arial Unicode MS"/>
          <w:lang w:val="en-GB" w:eastAsia="en-US"/>
        </w:rPr>
        <w:t>Acquired computer software licenses are capitalised on the basis of the costs incurred to acquire and bring to use the specific software.</w:t>
      </w:r>
    </w:p>
    <w:p w14:paraId="1938D6B1" w14:textId="77777777" w:rsidR="00552CB4" w:rsidRPr="00552CB4" w:rsidRDefault="00552CB4" w:rsidP="00552CB4">
      <w:pPr>
        <w:rPr>
          <w:rFonts w:eastAsia="Arial Unicode MS"/>
          <w:lang w:val="en-GB" w:eastAsia="en-US"/>
        </w:rPr>
      </w:pPr>
    </w:p>
    <w:p w14:paraId="3D31541E" w14:textId="11EA87BA" w:rsidR="00552CB4" w:rsidRDefault="00552CB4" w:rsidP="00552CB4">
      <w:pPr>
        <w:rPr>
          <w:rFonts w:eastAsia="Arial Unicode MS"/>
          <w:lang w:val="en-GB" w:eastAsia="en-US"/>
        </w:rPr>
      </w:pPr>
      <w:r w:rsidRPr="00552CB4">
        <w:rPr>
          <w:rFonts w:eastAsia="Arial Unicode MS"/>
          <w:lang w:val="en-GB" w:eastAsia="en-US"/>
        </w:rPr>
        <w:t>Costs that are directly associated with the development of software for internal use are recognised as an intangible asset. Direct costs include the costs of services, software development employee costs, and an appropriate portion of relevant overheads.</w:t>
      </w:r>
    </w:p>
    <w:p w14:paraId="6D6595E0" w14:textId="77777777" w:rsidR="00552CB4" w:rsidRPr="00552CB4" w:rsidRDefault="00552CB4" w:rsidP="00552CB4">
      <w:pPr>
        <w:rPr>
          <w:rFonts w:eastAsia="Arial Unicode MS"/>
          <w:lang w:val="en-GB" w:eastAsia="en-US"/>
        </w:rPr>
      </w:pPr>
    </w:p>
    <w:p w14:paraId="2874CDC1" w14:textId="349107D0" w:rsidR="00552CB4" w:rsidRDefault="00552CB4" w:rsidP="00552CB4">
      <w:pPr>
        <w:rPr>
          <w:rFonts w:eastAsia="Arial Unicode MS"/>
          <w:lang w:val="en-GB" w:eastAsia="en-US"/>
        </w:rPr>
      </w:pPr>
      <w:r w:rsidRPr="00552CB4">
        <w:rPr>
          <w:rFonts w:eastAsia="Arial Unicode MS"/>
          <w:lang w:val="en-GB" w:eastAsia="en-US"/>
        </w:rPr>
        <w:t>Costs of software updates or upgrades are capitalised only when they increase the usefulness or value of the software.</w:t>
      </w:r>
    </w:p>
    <w:p w14:paraId="3AE5834A" w14:textId="77777777" w:rsidR="00552CB4" w:rsidRPr="00552CB4" w:rsidRDefault="00552CB4" w:rsidP="00552CB4">
      <w:pPr>
        <w:rPr>
          <w:rFonts w:eastAsia="Arial Unicode MS"/>
          <w:lang w:val="en-GB" w:eastAsia="en-US"/>
        </w:rPr>
      </w:pPr>
    </w:p>
    <w:p w14:paraId="24062A33" w14:textId="77777777" w:rsidR="00552CB4" w:rsidRPr="00552CB4" w:rsidRDefault="00552CB4" w:rsidP="00552CB4">
      <w:pPr>
        <w:rPr>
          <w:rFonts w:eastAsia="Arial Unicode MS"/>
          <w:lang w:val="en-GB" w:eastAsia="en-US"/>
        </w:rPr>
      </w:pPr>
      <w:r w:rsidRPr="00552CB4">
        <w:rPr>
          <w:rFonts w:eastAsia="Arial Unicode MS"/>
          <w:lang w:val="en-GB" w:eastAsia="en-US"/>
        </w:rPr>
        <w:t>Staff training costs, costs associated with maintaining software and costs associated with the development and maintenance of the Ministry’s website are recognised as an expense when incurred.</w:t>
      </w:r>
    </w:p>
    <w:p w14:paraId="1B8DAC23" w14:textId="77777777" w:rsidR="00552CB4" w:rsidRPr="00552CB4" w:rsidRDefault="00552CB4" w:rsidP="00552CB4">
      <w:pPr>
        <w:pStyle w:val="Heading5"/>
        <w:rPr>
          <w:lang w:val="en-GB" w:eastAsia="en-US"/>
        </w:rPr>
      </w:pPr>
      <w:r w:rsidRPr="00552CB4">
        <w:rPr>
          <w:lang w:val="en-GB" w:eastAsia="en-US"/>
        </w:rPr>
        <w:t>Amortisation</w:t>
      </w:r>
    </w:p>
    <w:p w14:paraId="015AD32F" w14:textId="77777777" w:rsidR="008173E0" w:rsidRDefault="00552CB4" w:rsidP="00552CB4">
      <w:pPr>
        <w:rPr>
          <w:rFonts w:eastAsia="Arial Unicode MS"/>
          <w:lang w:val="en-GB" w:eastAsia="en-US"/>
        </w:rPr>
      </w:pPr>
      <w:r w:rsidRPr="00552CB4">
        <w:rPr>
          <w:rFonts w:eastAsia="Arial Unicode MS"/>
          <w:lang w:val="en-GB" w:eastAsia="en-US"/>
        </w:rPr>
        <w:t>The carrying value of an intangible asset with a finite life is amortised on a straight-line basis over its useful life. Amortisation begins when the asset is available for use and ceases at the date that the asset is derecognised. The amortisation charge for each financial year is recognised in surplus or deficit. The useful lives and associated rates of major classes of intangible assets have been estimated as follows:</w:t>
      </w:r>
    </w:p>
    <w:tbl>
      <w:tblPr>
        <w:tblpPr w:leftFromText="180" w:rightFromText="180" w:vertAnchor="text" w:horzAnchor="margin" w:tblpY="145"/>
        <w:tblW w:w="8191"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730"/>
        <w:gridCol w:w="2730"/>
        <w:gridCol w:w="2731"/>
      </w:tblGrid>
      <w:tr w:rsidR="00552CB4" w:rsidRPr="00552CB4" w14:paraId="5BF9A432" w14:textId="77777777" w:rsidTr="00851B45">
        <w:trPr>
          <w:trHeight w:val="378"/>
        </w:trPr>
        <w:tc>
          <w:tcPr>
            <w:tcW w:w="2730" w:type="dxa"/>
            <w:tcBorders>
              <w:top w:val="nil"/>
              <w:bottom w:val="nil"/>
            </w:tcBorders>
            <w:shd w:val="clear" w:color="auto" w:fill="D9D9D9" w:themeFill="background1" w:themeFillShade="D9"/>
          </w:tcPr>
          <w:p w14:paraId="0B5851F2" w14:textId="77777777" w:rsidR="00552CB4" w:rsidRPr="00552CB4" w:rsidRDefault="00552CB4" w:rsidP="00552CB4">
            <w:pPr>
              <w:pStyle w:val="TableText"/>
            </w:pPr>
          </w:p>
        </w:tc>
        <w:tc>
          <w:tcPr>
            <w:tcW w:w="2730" w:type="dxa"/>
            <w:tcBorders>
              <w:top w:val="nil"/>
              <w:bottom w:val="nil"/>
            </w:tcBorders>
            <w:shd w:val="clear" w:color="auto" w:fill="D9D9D9" w:themeFill="background1" w:themeFillShade="D9"/>
          </w:tcPr>
          <w:p w14:paraId="564C7865" w14:textId="77777777" w:rsidR="00552CB4" w:rsidRPr="00851B45" w:rsidRDefault="00552CB4" w:rsidP="00851B45">
            <w:pPr>
              <w:pStyle w:val="TableText"/>
              <w:jc w:val="right"/>
              <w:rPr>
                <w:b/>
                <w:bCs/>
              </w:rPr>
            </w:pPr>
            <w:r w:rsidRPr="00851B45">
              <w:rPr>
                <w:b/>
                <w:bCs/>
              </w:rPr>
              <w:t>Useful life</w:t>
            </w:r>
          </w:p>
        </w:tc>
        <w:tc>
          <w:tcPr>
            <w:tcW w:w="2731" w:type="dxa"/>
            <w:tcBorders>
              <w:top w:val="nil"/>
              <w:bottom w:val="nil"/>
            </w:tcBorders>
            <w:shd w:val="clear" w:color="auto" w:fill="D9D9D9" w:themeFill="background1" w:themeFillShade="D9"/>
          </w:tcPr>
          <w:p w14:paraId="4EB39F78" w14:textId="77777777" w:rsidR="00552CB4" w:rsidRPr="00851B45" w:rsidRDefault="00552CB4" w:rsidP="00851B45">
            <w:pPr>
              <w:pStyle w:val="TableText"/>
              <w:jc w:val="right"/>
              <w:rPr>
                <w:b/>
                <w:bCs/>
              </w:rPr>
            </w:pPr>
            <w:r w:rsidRPr="00851B45">
              <w:rPr>
                <w:b/>
                <w:bCs/>
              </w:rPr>
              <w:t>Amortisation rate</w:t>
            </w:r>
          </w:p>
        </w:tc>
      </w:tr>
      <w:tr w:rsidR="00552CB4" w:rsidRPr="00552CB4" w14:paraId="61727F40" w14:textId="77777777" w:rsidTr="00851B45">
        <w:trPr>
          <w:trHeight w:val="370"/>
        </w:trPr>
        <w:tc>
          <w:tcPr>
            <w:tcW w:w="2730" w:type="dxa"/>
            <w:tcBorders>
              <w:top w:val="nil"/>
              <w:bottom w:val="nil"/>
            </w:tcBorders>
          </w:tcPr>
          <w:p w14:paraId="131CF7B2" w14:textId="77777777" w:rsidR="00552CB4" w:rsidRPr="00552CB4" w:rsidRDefault="00552CB4" w:rsidP="00552CB4">
            <w:pPr>
              <w:pStyle w:val="TableText"/>
            </w:pPr>
            <w:r w:rsidRPr="00552CB4">
              <w:t>Software – internally generated</w:t>
            </w:r>
          </w:p>
        </w:tc>
        <w:tc>
          <w:tcPr>
            <w:tcW w:w="2730" w:type="dxa"/>
            <w:tcBorders>
              <w:top w:val="nil"/>
              <w:bottom w:val="nil"/>
            </w:tcBorders>
          </w:tcPr>
          <w:p w14:paraId="59571FDC" w14:textId="77777777" w:rsidR="00552CB4" w:rsidRPr="00552CB4" w:rsidRDefault="00552CB4" w:rsidP="00851B45">
            <w:pPr>
              <w:pStyle w:val="TableText"/>
              <w:jc w:val="right"/>
            </w:pPr>
            <w:r w:rsidRPr="00552CB4">
              <w:t>3–7 years</w:t>
            </w:r>
          </w:p>
        </w:tc>
        <w:tc>
          <w:tcPr>
            <w:tcW w:w="2731" w:type="dxa"/>
            <w:tcBorders>
              <w:top w:val="nil"/>
              <w:bottom w:val="nil"/>
            </w:tcBorders>
          </w:tcPr>
          <w:p w14:paraId="7E6E1D99" w14:textId="77777777" w:rsidR="00552CB4" w:rsidRPr="00552CB4" w:rsidRDefault="00552CB4" w:rsidP="00851B45">
            <w:pPr>
              <w:pStyle w:val="TableText"/>
              <w:jc w:val="right"/>
            </w:pPr>
            <w:r w:rsidRPr="00552CB4">
              <w:t>14.3–33.3%</w:t>
            </w:r>
          </w:p>
        </w:tc>
      </w:tr>
      <w:tr w:rsidR="00552CB4" w:rsidRPr="00552CB4" w14:paraId="3F3143FE" w14:textId="77777777" w:rsidTr="00851B45">
        <w:trPr>
          <w:trHeight w:val="288"/>
        </w:trPr>
        <w:tc>
          <w:tcPr>
            <w:tcW w:w="2730" w:type="dxa"/>
            <w:tcBorders>
              <w:top w:val="nil"/>
            </w:tcBorders>
          </w:tcPr>
          <w:p w14:paraId="0088A015" w14:textId="77777777" w:rsidR="00552CB4" w:rsidRPr="00552CB4" w:rsidRDefault="00552CB4" w:rsidP="00552CB4">
            <w:pPr>
              <w:pStyle w:val="TableText"/>
            </w:pPr>
            <w:r w:rsidRPr="00552CB4">
              <w:t>Software – other</w:t>
            </w:r>
          </w:p>
        </w:tc>
        <w:tc>
          <w:tcPr>
            <w:tcW w:w="2730" w:type="dxa"/>
            <w:tcBorders>
              <w:top w:val="nil"/>
            </w:tcBorders>
          </w:tcPr>
          <w:p w14:paraId="1471F357" w14:textId="77777777" w:rsidR="00552CB4" w:rsidRPr="00552CB4" w:rsidRDefault="00552CB4" w:rsidP="00851B45">
            <w:pPr>
              <w:pStyle w:val="TableText"/>
              <w:jc w:val="right"/>
            </w:pPr>
            <w:r w:rsidRPr="00552CB4">
              <w:t>3–7 years</w:t>
            </w:r>
          </w:p>
        </w:tc>
        <w:tc>
          <w:tcPr>
            <w:tcW w:w="2731" w:type="dxa"/>
            <w:tcBorders>
              <w:top w:val="nil"/>
            </w:tcBorders>
          </w:tcPr>
          <w:p w14:paraId="7290FC70" w14:textId="77777777" w:rsidR="00552CB4" w:rsidRPr="00552CB4" w:rsidRDefault="00552CB4" w:rsidP="00851B45">
            <w:pPr>
              <w:pStyle w:val="TableText"/>
              <w:jc w:val="right"/>
            </w:pPr>
            <w:r w:rsidRPr="00552CB4">
              <w:t>14.3–33.3%</w:t>
            </w:r>
          </w:p>
        </w:tc>
      </w:tr>
    </w:tbl>
    <w:p w14:paraId="68933B2C" w14:textId="77777777" w:rsidR="00552CB4" w:rsidRDefault="00552CB4" w:rsidP="00552CB4">
      <w:pPr>
        <w:rPr>
          <w:rFonts w:eastAsia="Arial Unicode MS"/>
          <w:lang w:val="en-GB" w:eastAsia="en-US"/>
        </w:rPr>
      </w:pPr>
    </w:p>
    <w:p w14:paraId="2AC1370B" w14:textId="77777777" w:rsidR="00552CB4" w:rsidRDefault="00552CB4" w:rsidP="00552CB4">
      <w:pPr>
        <w:rPr>
          <w:rFonts w:eastAsia="Arial Unicode MS"/>
          <w:lang w:val="en-GB" w:eastAsia="en-US"/>
        </w:rPr>
      </w:pPr>
    </w:p>
    <w:p w14:paraId="502E1D5C" w14:textId="77777777" w:rsidR="00851B45" w:rsidRPr="00851B45" w:rsidRDefault="00851B45" w:rsidP="00851B45">
      <w:pPr>
        <w:pStyle w:val="Heading5"/>
        <w:rPr>
          <w:lang w:val="en-GB" w:eastAsia="en-US"/>
        </w:rPr>
      </w:pPr>
      <w:r w:rsidRPr="00851B45">
        <w:rPr>
          <w:lang w:val="en-GB" w:eastAsia="en-US"/>
        </w:rPr>
        <w:lastRenderedPageBreak/>
        <w:t>Impairment</w:t>
      </w:r>
    </w:p>
    <w:p w14:paraId="0A7FB8EC" w14:textId="50EA9C46" w:rsidR="00851B45" w:rsidRPr="00851B45" w:rsidRDefault="00851B45" w:rsidP="00851B45">
      <w:pPr>
        <w:rPr>
          <w:rFonts w:eastAsia="Arial Unicode MS"/>
          <w:lang w:val="en-GB" w:eastAsia="en-US"/>
        </w:rPr>
      </w:pPr>
      <w:r w:rsidRPr="00851B45">
        <w:rPr>
          <w:rFonts w:eastAsia="Arial Unicode MS"/>
          <w:lang w:val="en-GB" w:eastAsia="en-US"/>
        </w:rPr>
        <w:t>Intangible assets subsequently measured at cost that have an indefinite useful life, or are not yet available for use, are not subject to amortisation and are tested annually for impairment. For further details, refer to the policy for impairment of property, plant and</w:t>
      </w:r>
      <w:r>
        <w:rPr>
          <w:rFonts w:eastAsia="Arial Unicode MS"/>
          <w:lang w:val="en-GB" w:eastAsia="en-US"/>
        </w:rPr>
        <w:t xml:space="preserve"> </w:t>
      </w:r>
      <w:r w:rsidRPr="00851B45">
        <w:rPr>
          <w:rFonts w:eastAsia="Arial Unicode MS"/>
          <w:lang w:val="en-GB" w:eastAsia="en-US"/>
        </w:rPr>
        <w:t>equipment in note 6 as the same approach applies to the impairment of intangible assets.</w:t>
      </w:r>
    </w:p>
    <w:p w14:paraId="6DB23F7D" w14:textId="0BB101A3" w:rsidR="00851B45" w:rsidRPr="00851B45" w:rsidRDefault="00851B45" w:rsidP="00851B45">
      <w:pPr>
        <w:pStyle w:val="Heading5"/>
        <w:rPr>
          <w:lang w:val="en-GB" w:eastAsia="en-US"/>
        </w:rPr>
      </w:pPr>
      <w:r w:rsidRPr="00851B45">
        <w:rPr>
          <w:lang w:val="en-GB" w:eastAsia="en-US"/>
        </w:rPr>
        <w:t>Critical accounting estimates and assumptions</w:t>
      </w:r>
    </w:p>
    <w:p w14:paraId="6A3A82D0" w14:textId="77777777" w:rsidR="00851B45" w:rsidRPr="00851B45" w:rsidRDefault="00851B45" w:rsidP="004C2BFC">
      <w:pPr>
        <w:pStyle w:val="Heading6"/>
      </w:pPr>
      <w:r w:rsidRPr="00851B45">
        <w:t>Useful lives of software</w:t>
      </w:r>
    </w:p>
    <w:p w14:paraId="61B94EAF" w14:textId="77777777" w:rsidR="00851B45" w:rsidRPr="00851B45" w:rsidRDefault="00851B45" w:rsidP="00851B45">
      <w:pPr>
        <w:rPr>
          <w:rFonts w:eastAsia="Arial Unicode MS"/>
          <w:lang w:val="en-GB" w:eastAsia="en-US"/>
        </w:rPr>
      </w:pPr>
      <w:r w:rsidRPr="00851B45">
        <w:rPr>
          <w:rFonts w:eastAsia="Arial Unicode MS"/>
          <w:lang w:val="en-GB" w:eastAsia="en-US"/>
        </w:rPr>
        <w:t>The useful life of software is determined at the time the software is acquired and brought into use and is reviewed at each reporting date for appropriateness. For computer software licences, the useful life represents management’s view of the expected period over which the Ministry will receive benefits from the software but not exceeding the licence term. For internally generated software developed by the Ministry, the useful life is based on historical experience with similar systems as well as anticipation of future events that may impact the useful life such as changes in technology.</w:t>
      </w:r>
    </w:p>
    <w:p w14:paraId="1D0C89B6" w14:textId="77777777" w:rsidR="00851B45" w:rsidRPr="00851B45" w:rsidRDefault="00851B45" w:rsidP="004C2BFC">
      <w:pPr>
        <w:pStyle w:val="Heading6"/>
      </w:pPr>
      <w:r w:rsidRPr="00851B45">
        <w:t>Software as a service</w:t>
      </w:r>
    </w:p>
    <w:p w14:paraId="050BC172" w14:textId="2098772D" w:rsidR="00851B45" w:rsidRDefault="00851B45" w:rsidP="00851B45">
      <w:pPr>
        <w:rPr>
          <w:rFonts w:eastAsia="Arial Unicode MS"/>
          <w:lang w:val="en-GB" w:eastAsia="en-US"/>
        </w:rPr>
      </w:pPr>
      <w:r w:rsidRPr="00851B45">
        <w:rPr>
          <w:rFonts w:eastAsia="Arial Unicode MS"/>
          <w:lang w:val="en-GB" w:eastAsia="en-US"/>
        </w:rPr>
        <w:t>The Ministry exercises judgement in capitalising costs incurred in implementing SaaS. Generally, the costs incurred in configuring and customising software under a SaaS arrangement are expensed in the period they are incurred. SaaS costs that are identifiable, generate future economic benefits and the Ministry can demonstrate control over the asset are capitalised when incurred.</w:t>
      </w:r>
    </w:p>
    <w:p w14:paraId="1420AC3A" w14:textId="77777777" w:rsidR="00851B45" w:rsidRPr="00851B45" w:rsidRDefault="00851B45" w:rsidP="00851B45">
      <w:pPr>
        <w:rPr>
          <w:rFonts w:eastAsia="Arial Unicode MS"/>
          <w:lang w:val="en-GB" w:eastAsia="en-US"/>
        </w:rPr>
      </w:pPr>
    </w:p>
    <w:p w14:paraId="4F5F1A87" w14:textId="77777777" w:rsidR="00851B45" w:rsidRDefault="00851B45" w:rsidP="00851B45">
      <w:pPr>
        <w:rPr>
          <w:rFonts w:eastAsia="Arial Unicode MS"/>
          <w:lang w:val="en-GB" w:eastAsia="en-US"/>
        </w:rPr>
      </w:pPr>
      <w:r w:rsidRPr="00851B45">
        <w:rPr>
          <w:rFonts w:eastAsia="Arial Unicode MS"/>
          <w:lang w:val="en-GB" w:eastAsia="en-US"/>
        </w:rPr>
        <w:t>Costs of configuring and customising commercial off-the-shelf software are capitalised.</w:t>
      </w:r>
    </w:p>
    <w:p w14:paraId="0B61BA24" w14:textId="77777777" w:rsidR="00851B45" w:rsidRDefault="00851B45" w:rsidP="00851B45">
      <w:pPr>
        <w:pStyle w:val="Heading5"/>
        <w:rPr>
          <w:lang w:val="en-GB" w:eastAsia="en-US"/>
        </w:rPr>
        <w:sectPr w:rsidR="00851B45" w:rsidSect="00C26282">
          <w:pgSz w:w="11907" w:h="16840" w:code="9"/>
          <w:pgMar w:top="1418" w:right="1701" w:bottom="1134" w:left="1843" w:header="284" w:footer="425" w:gutter="284"/>
          <w:cols w:space="720"/>
        </w:sectPr>
      </w:pPr>
    </w:p>
    <w:p w14:paraId="7FB60B31" w14:textId="77777777" w:rsidR="00851B45" w:rsidRDefault="00851B45" w:rsidP="00851B45">
      <w:pPr>
        <w:pStyle w:val="Heading5"/>
        <w:rPr>
          <w:lang w:val="en-GB" w:eastAsia="en-US"/>
        </w:rPr>
      </w:pPr>
      <w:r w:rsidRPr="00851B45">
        <w:rPr>
          <w:lang w:val="en-GB" w:eastAsia="en-US"/>
        </w:rPr>
        <w:lastRenderedPageBreak/>
        <w:t>Movement of intangible assets</w:t>
      </w:r>
    </w:p>
    <w:tbl>
      <w:tblPr>
        <w:tblW w:w="8612" w:type="dxa"/>
        <w:tblInd w:w="7" w:type="dxa"/>
        <w:tblLayout w:type="fixed"/>
        <w:tblCellMar>
          <w:left w:w="0" w:type="dxa"/>
          <w:right w:w="0" w:type="dxa"/>
        </w:tblCellMar>
        <w:tblLook w:val="01E0" w:firstRow="1" w:lastRow="1" w:firstColumn="1" w:lastColumn="1" w:noHBand="0" w:noVBand="0"/>
      </w:tblPr>
      <w:tblGrid>
        <w:gridCol w:w="4813"/>
        <w:gridCol w:w="1559"/>
        <w:gridCol w:w="1276"/>
        <w:gridCol w:w="964"/>
      </w:tblGrid>
      <w:tr w:rsidR="00851B45" w14:paraId="0AEB834F" w14:textId="77777777" w:rsidTr="00851B45">
        <w:trPr>
          <w:trHeight w:val="1069"/>
        </w:trPr>
        <w:tc>
          <w:tcPr>
            <w:tcW w:w="4813" w:type="dxa"/>
            <w:shd w:val="clear" w:color="auto" w:fill="D9D9D9" w:themeFill="background1" w:themeFillShade="D9"/>
          </w:tcPr>
          <w:p w14:paraId="755D6CFC" w14:textId="77777777" w:rsidR="00851B45" w:rsidRDefault="00851B45" w:rsidP="00851B45">
            <w:pPr>
              <w:pStyle w:val="TableText"/>
            </w:pPr>
          </w:p>
        </w:tc>
        <w:tc>
          <w:tcPr>
            <w:tcW w:w="1559" w:type="dxa"/>
            <w:shd w:val="clear" w:color="auto" w:fill="D9D9D9" w:themeFill="background1" w:themeFillShade="D9"/>
          </w:tcPr>
          <w:p w14:paraId="1C2AE48D" w14:textId="0B9E3B18" w:rsidR="00851B45" w:rsidRPr="00851B45" w:rsidRDefault="00851B45" w:rsidP="00851B45">
            <w:pPr>
              <w:pStyle w:val="TableText"/>
              <w:jc w:val="right"/>
              <w:rPr>
                <w:b/>
                <w:bCs/>
              </w:rPr>
            </w:pPr>
            <w:r w:rsidRPr="00851B45">
              <w:rPr>
                <w:b/>
                <w:bCs/>
              </w:rPr>
              <w:t>Acquired software</w:t>
            </w:r>
            <w:r>
              <w:rPr>
                <w:b/>
                <w:bCs/>
              </w:rPr>
              <w:br/>
            </w:r>
          </w:p>
          <w:p w14:paraId="348EC95E" w14:textId="77777777" w:rsidR="00851B45" w:rsidRPr="00851B45" w:rsidRDefault="00851B45" w:rsidP="00851B45">
            <w:pPr>
              <w:pStyle w:val="TableText"/>
              <w:jc w:val="right"/>
              <w:rPr>
                <w:b/>
                <w:bCs/>
              </w:rPr>
            </w:pPr>
            <w:r w:rsidRPr="00851B45">
              <w:rPr>
                <w:b/>
                <w:bCs/>
              </w:rPr>
              <w:t>$000</w:t>
            </w:r>
          </w:p>
        </w:tc>
        <w:tc>
          <w:tcPr>
            <w:tcW w:w="1276" w:type="dxa"/>
            <w:shd w:val="clear" w:color="auto" w:fill="D9D9D9" w:themeFill="background1" w:themeFillShade="D9"/>
          </w:tcPr>
          <w:p w14:paraId="5E3FC127" w14:textId="77777777" w:rsidR="00851B45" w:rsidRDefault="00851B45" w:rsidP="00851B45">
            <w:pPr>
              <w:pStyle w:val="TableText"/>
              <w:jc w:val="right"/>
              <w:rPr>
                <w:b/>
                <w:bCs/>
              </w:rPr>
            </w:pPr>
            <w:r w:rsidRPr="00851B45">
              <w:rPr>
                <w:b/>
                <w:bCs/>
              </w:rPr>
              <w:t>Internally generated software</w:t>
            </w:r>
          </w:p>
          <w:p w14:paraId="5E43F780" w14:textId="4EE1DC6B" w:rsidR="00851B45" w:rsidRPr="00851B45" w:rsidRDefault="00851B45" w:rsidP="00851B45">
            <w:pPr>
              <w:pStyle w:val="TableText"/>
              <w:jc w:val="right"/>
              <w:rPr>
                <w:b/>
                <w:bCs/>
              </w:rPr>
            </w:pPr>
            <w:r w:rsidRPr="00851B45">
              <w:rPr>
                <w:b/>
                <w:bCs/>
              </w:rPr>
              <w:t>$000</w:t>
            </w:r>
          </w:p>
        </w:tc>
        <w:tc>
          <w:tcPr>
            <w:tcW w:w="964" w:type="dxa"/>
            <w:shd w:val="clear" w:color="auto" w:fill="D9D9D9" w:themeFill="background1" w:themeFillShade="D9"/>
          </w:tcPr>
          <w:p w14:paraId="12AE99E0" w14:textId="0D4ADA1D" w:rsidR="00851B45" w:rsidRDefault="00851B45" w:rsidP="00851B45">
            <w:pPr>
              <w:pStyle w:val="TableText"/>
              <w:jc w:val="right"/>
              <w:rPr>
                <w:b/>
                <w:bCs/>
              </w:rPr>
            </w:pPr>
            <w:r w:rsidRPr="00851B45">
              <w:rPr>
                <w:b/>
                <w:bCs/>
              </w:rPr>
              <w:t>Total</w:t>
            </w:r>
            <w:r>
              <w:rPr>
                <w:b/>
                <w:bCs/>
              </w:rPr>
              <w:br/>
            </w:r>
            <w:r>
              <w:rPr>
                <w:b/>
                <w:bCs/>
              </w:rPr>
              <w:br/>
            </w:r>
          </w:p>
          <w:p w14:paraId="1F293539" w14:textId="49D1DA40" w:rsidR="00851B45" w:rsidRPr="00851B45" w:rsidRDefault="00851B45" w:rsidP="00851B45">
            <w:pPr>
              <w:pStyle w:val="TableText"/>
              <w:jc w:val="right"/>
              <w:rPr>
                <w:b/>
                <w:bCs/>
              </w:rPr>
            </w:pPr>
            <w:r w:rsidRPr="00851B45">
              <w:rPr>
                <w:b/>
                <w:bCs/>
              </w:rPr>
              <w:t>$000</w:t>
            </w:r>
          </w:p>
        </w:tc>
      </w:tr>
      <w:tr w:rsidR="00851B45" w14:paraId="59B1975F" w14:textId="77777777" w:rsidTr="00851B45">
        <w:trPr>
          <w:trHeight w:val="400"/>
        </w:trPr>
        <w:tc>
          <w:tcPr>
            <w:tcW w:w="4813" w:type="dxa"/>
          </w:tcPr>
          <w:p w14:paraId="081918A3" w14:textId="77777777" w:rsidR="00851B45" w:rsidRDefault="00851B45" w:rsidP="00851B45">
            <w:pPr>
              <w:pStyle w:val="TableText"/>
              <w:rPr>
                <w:b/>
              </w:rPr>
            </w:pPr>
            <w:r>
              <w:rPr>
                <w:b/>
                <w:w w:val="110"/>
              </w:rPr>
              <w:t>Cost</w:t>
            </w:r>
          </w:p>
        </w:tc>
        <w:tc>
          <w:tcPr>
            <w:tcW w:w="1559" w:type="dxa"/>
          </w:tcPr>
          <w:p w14:paraId="45D2DBC3" w14:textId="77777777" w:rsidR="00851B45" w:rsidRDefault="00851B45" w:rsidP="00851B45">
            <w:pPr>
              <w:pStyle w:val="TableText"/>
              <w:jc w:val="right"/>
            </w:pPr>
          </w:p>
        </w:tc>
        <w:tc>
          <w:tcPr>
            <w:tcW w:w="1276" w:type="dxa"/>
          </w:tcPr>
          <w:p w14:paraId="4545AAAC" w14:textId="77777777" w:rsidR="00851B45" w:rsidRDefault="00851B45" w:rsidP="00851B45">
            <w:pPr>
              <w:pStyle w:val="TableText"/>
              <w:jc w:val="right"/>
            </w:pPr>
          </w:p>
        </w:tc>
        <w:tc>
          <w:tcPr>
            <w:tcW w:w="964" w:type="dxa"/>
          </w:tcPr>
          <w:p w14:paraId="1CB1525E" w14:textId="77777777" w:rsidR="00851B45" w:rsidRDefault="00851B45" w:rsidP="00851B45">
            <w:pPr>
              <w:pStyle w:val="TableText"/>
              <w:jc w:val="right"/>
            </w:pPr>
          </w:p>
        </w:tc>
      </w:tr>
      <w:tr w:rsidR="00851B45" w14:paraId="69E43173" w14:textId="77777777" w:rsidTr="00851B45">
        <w:trPr>
          <w:trHeight w:val="347"/>
        </w:trPr>
        <w:tc>
          <w:tcPr>
            <w:tcW w:w="4813" w:type="dxa"/>
          </w:tcPr>
          <w:p w14:paraId="0D08EC55" w14:textId="77777777" w:rsidR="00851B45" w:rsidRDefault="00851B45" w:rsidP="00851B45">
            <w:pPr>
              <w:pStyle w:val="TableText"/>
            </w:pPr>
            <w:r>
              <w:t>Balance</w:t>
            </w:r>
            <w:r>
              <w:rPr>
                <w:spacing w:val="14"/>
              </w:rPr>
              <w:t xml:space="preserve"> </w:t>
            </w:r>
            <w:r>
              <w:t>as</w:t>
            </w:r>
            <w:r>
              <w:rPr>
                <w:spacing w:val="14"/>
              </w:rPr>
              <w:t xml:space="preserve"> </w:t>
            </w:r>
            <w:r>
              <w:t>at</w:t>
            </w:r>
            <w:r>
              <w:rPr>
                <w:spacing w:val="15"/>
              </w:rPr>
              <w:t xml:space="preserve"> </w:t>
            </w:r>
            <w:r>
              <w:rPr>
                <w:w w:val="95"/>
              </w:rPr>
              <w:t>1</w:t>
            </w:r>
            <w:r>
              <w:rPr>
                <w:spacing w:val="17"/>
                <w:w w:val="95"/>
              </w:rPr>
              <w:t xml:space="preserve"> </w:t>
            </w:r>
            <w:r>
              <w:t>July</w:t>
            </w:r>
            <w:r>
              <w:rPr>
                <w:spacing w:val="14"/>
              </w:rPr>
              <w:t xml:space="preserve"> </w:t>
            </w:r>
            <w:r>
              <w:t>2020</w:t>
            </w:r>
            <w:r>
              <w:rPr>
                <w:spacing w:val="14"/>
              </w:rPr>
              <w:t xml:space="preserve"> </w:t>
            </w:r>
            <w:r>
              <w:t>(restated)</w:t>
            </w:r>
          </w:p>
        </w:tc>
        <w:tc>
          <w:tcPr>
            <w:tcW w:w="1559" w:type="dxa"/>
          </w:tcPr>
          <w:p w14:paraId="2A5F4409" w14:textId="77777777" w:rsidR="00851B45" w:rsidRDefault="00851B45" w:rsidP="00851B45">
            <w:pPr>
              <w:pStyle w:val="TableText"/>
              <w:jc w:val="right"/>
            </w:pPr>
            <w:r>
              <w:rPr>
                <w:w w:val="95"/>
              </w:rPr>
              <w:t>20,131</w:t>
            </w:r>
          </w:p>
        </w:tc>
        <w:tc>
          <w:tcPr>
            <w:tcW w:w="1276" w:type="dxa"/>
          </w:tcPr>
          <w:p w14:paraId="23C1C7DE" w14:textId="77777777" w:rsidR="00851B45" w:rsidRDefault="00851B45" w:rsidP="00851B45">
            <w:pPr>
              <w:pStyle w:val="TableText"/>
              <w:jc w:val="right"/>
            </w:pPr>
            <w:r>
              <w:rPr>
                <w:w w:val="105"/>
              </w:rPr>
              <w:t>82,553</w:t>
            </w:r>
          </w:p>
        </w:tc>
        <w:tc>
          <w:tcPr>
            <w:tcW w:w="964" w:type="dxa"/>
          </w:tcPr>
          <w:p w14:paraId="5C1D44C5" w14:textId="77777777" w:rsidR="00851B45" w:rsidRDefault="00851B45" w:rsidP="00851B45">
            <w:pPr>
              <w:pStyle w:val="TableText"/>
              <w:jc w:val="right"/>
            </w:pPr>
            <w:r>
              <w:t>102,684</w:t>
            </w:r>
          </w:p>
        </w:tc>
      </w:tr>
      <w:tr w:rsidR="00851B45" w14:paraId="412DED8D" w14:textId="77777777" w:rsidTr="00851B45">
        <w:trPr>
          <w:trHeight w:val="349"/>
        </w:trPr>
        <w:tc>
          <w:tcPr>
            <w:tcW w:w="4813" w:type="dxa"/>
          </w:tcPr>
          <w:p w14:paraId="7249FA97" w14:textId="77777777" w:rsidR="00851B45" w:rsidRDefault="00851B45" w:rsidP="00851B45">
            <w:pPr>
              <w:pStyle w:val="TableText"/>
            </w:pPr>
            <w:r>
              <w:rPr>
                <w:w w:val="105"/>
              </w:rPr>
              <w:t>Additions (restated)</w:t>
            </w:r>
          </w:p>
        </w:tc>
        <w:tc>
          <w:tcPr>
            <w:tcW w:w="1559" w:type="dxa"/>
          </w:tcPr>
          <w:p w14:paraId="1B1F6FB0" w14:textId="77777777" w:rsidR="00851B45" w:rsidRDefault="00851B45" w:rsidP="00851B45">
            <w:pPr>
              <w:pStyle w:val="TableText"/>
              <w:jc w:val="right"/>
            </w:pPr>
            <w:r>
              <w:rPr>
                <w:w w:val="135"/>
              </w:rPr>
              <w:t>–</w:t>
            </w:r>
          </w:p>
        </w:tc>
        <w:tc>
          <w:tcPr>
            <w:tcW w:w="1276" w:type="dxa"/>
          </w:tcPr>
          <w:p w14:paraId="200C7E18" w14:textId="77777777" w:rsidR="00851B45" w:rsidRDefault="00851B45" w:rsidP="00851B45">
            <w:pPr>
              <w:pStyle w:val="TableText"/>
              <w:jc w:val="right"/>
            </w:pPr>
            <w:r>
              <w:t>1,766</w:t>
            </w:r>
          </w:p>
        </w:tc>
        <w:tc>
          <w:tcPr>
            <w:tcW w:w="964" w:type="dxa"/>
          </w:tcPr>
          <w:p w14:paraId="1A4E1951" w14:textId="77777777" w:rsidR="00851B45" w:rsidRDefault="00851B45" w:rsidP="00851B45">
            <w:pPr>
              <w:pStyle w:val="TableText"/>
              <w:jc w:val="right"/>
            </w:pPr>
            <w:r>
              <w:t>1,766</w:t>
            </w:r>
          </w:p>
        </w:tc>
      </w:tr>
      <w:tr w:rsidR="00851B45" w14:paraId="24E8BDCE" w14:textId="77777777" w:rsidTr="00851B45">
        <w:trPr>
          <w:trHeight w:val="346"/>
        </w:trPr>
        <w:tc>
          <w:tcPr>
            <w:tcW w:w="4813" w:type="dxa"/>
          </w:tcPr>
          <w:p w14:paraId="19FF0BBF" w14:textId="77777777" w:rsidR="00851B45" w:rsidRDefault="00851B45" w:rsidP="00851B45">
            <w:pPr>
              <w:pStyle w:val="TableText"/>
            </w:pPr>
            <w:r>
              <w:rPr>
                <w:w w:val="105"/>
              </w:rPr>
              <w:t>Impairment</w:t>
            </w:r>
          </w:p>
        </w:tc>
        <w:tc>
          <w:tcPr>
            <w:tcW w:w="1559" w:type="dxa"/>
          </w:tcPr>
          <w:p w14:paraId="687269D6" w14:textId="77777777" w:rsidR="00851B45" w:rsidRDefault="00851B45" w:rsidP="00851B45">
            <w:pPr>
              <w:pStyle w:val="TableText"/>
              <w:jc w:val="right"/>
            </w:pPr>
            <w:r>
              <w:rPr>
                <w:w w:val="135"/>
              </w:rPr>
              <w:t>–</w:t>
            </w:r>
          </w:p>
        </w:tc>
        <w:tc>
          <w:tcPr>
            <w:tcW w:w="1276" w:type="dxa"/>
          </w:tcPr>
          <w:p w14:paraId="08533394" w14:textId="77777777" w:rsidR="00851B45" w:rsidRDefault="00851B45" w:rsidP="00851B45">
            <w:pPr>
              <w:pStyle w:val="TableText"/>
              <w:jc w:val="right"/>
            </w:pPr>
            <w:r>
              <w:rPr>
                <w:w w:val="105"/>
              </w:rPr>
              <w:t>(3,472)</w:t>
            </w:r>
          </w:p>
        </w:tc>
        <w:tc>
          <w:tcPr>
            <w:tcW w:w="964" w:type="dxa"/>
          </w:tcPr>
          <w:p w14:paraId="7AEE5967" w14:textId="77777777" w:rsidR="00851B45" w:rsidRDefault="00851B45" w:rsidP="00851B45">
            <w:pPr>
              <w:pStyle w:val="TableText"/>
              <w:jc w:val="right"/>
            </w:pPr>
            <w:r>
              <w:rPr>
                <w:w w:val="105"/>
              </w:rPr>
              <w:t>(3,472)</w:t>
            </w:r>
          </w:p>
        </w:tc>
      </w:tr>
      <w:tr w:rsidR="00851B45" w14:paraId="3FF6F7B8" w14:textId="77777777" w:rsidTr="00851B45">
        <w:trPr>
          <w:trHeight w:val="322"/>
        </w:trPr>
        <w:tc>
          <w:tcPr>
            <w:tcW w:w="4813" w:type="dxa"/>
            <w:tcBorders>
              <w:bottom w:val="single" w:sz="4" w:space="0" w:color="A6A6A6" w:themeColor="background1" w:themeShade="A6"/>
            </w:tcBorders>
          </w:tcPr>
          <w:p w14:paraId="0FC64535" w14:textId="77777777" w:rsidR="00851B45" w:rsidRDefault="00851B45" w:rsidP="00851B45">
            <w:pPr>
              <w:pStyle w:val="TableText"/>
              <w:rPr>
                <w:b/>
              </w:rPr>
            </w:pPr>
            <w:r>
              <w:rPr>
                <w:b/>
                <w:w w:val="105"/>
              </w:rPr>
              <w:t>Balance</w:t>
            </w:r>
            <w:r>
              <w:rPr>
                <w:b/>
                <w:spacing w:val="-3"/>
                <w:w w:val="105"/>
              </w:rPr>
              <w:t xml:space="preserve"> </w:t>
            </w:r>
            <w:r>
              <w:rPr>
                <w:b/>
                <w:w w:val="105"/>
              </w:rPr>
              <w:t>as</w:t>
            </w:r>
            <w:r>
              <w:rPr>
                <w:b/>
                <w:spacing w:val="-2"/>
                <w:w w:val="105"/>
              </w:rPr>
              <w:t xml:space="preserve"> </w:t>
            </w:r>
            <w:r>
              <w:rPr>
                <w:b/>
                <w:w w:val="105"/>
              </w:rPr>
              <w:t>at</w:t>
            </w:r>
            <w:r>
              <w:rPr>
                <w:b/>
                <w:spacing w:val="-3"/>
                <w:w w:val="105"/>
              </w:rPr>
              <w:t xml:space="preserve"> </w:t>
            </w:r>
            <w:r>
              <w:rPr>
                <w:b/>
                <w:w w:val="105"/>
              </w:rPr>
              <w:t>30</w:t>
            </w:r>
            <w:r>
              <w:rPr>
                <w:b/>
                <w:spacing w:val="-2"/>
                <w:w w:val="105"/>
              </w:rPr>
              <w:t xml:space="preserve"> </w:t>
            </w:r>
            <w:r>
              <w:rPr>
                <w:b/>
                <w:w w:val="105"/>
              </w:rPr>
              <w:t>June</w:t>
            </w:r>
            <w:r>
              <w:rPr>
                <w:b/>
                <w:spacing w:val="-2"/>
                <w:w w:val="105"/>
              </w:rPr>
              <w:t xml:space="preserve"> </w:t>
            </w:r>
            <w:r>
              <w:rPr>
                <w:b/>
                <w:w w:val="105"/>
              </w:rPr>
              <w:t>2021</w:t>
            </w:r>
            <w:r>
              <w:rPr>
                <w:b/>
                <w:spacing w:val="-3"/>
                <w:w w:val="105"/>
              </w:rPr>
              <w:t xml:space="preserve"> </w:t>
            </w:r>
            <w:r>
              <w:rPr>
                <w:b/>
                <w:w w:val="105"/>
              </w:rPr>
              <w:t>(restated)</w:t>
            </w:r>
          </w:p>
        </w:tc>
        <w:tc>
          <w:tcPr>
            <w:tcW w:w="1559" w:type="dxa"/>
            <w:tcBorders>
              <w:bottom w:val="single" w:sz="4" w:space="0" w:color="A6A6A6" w:themeColor="background1" w:themeShade="A6"/>
            </w:tcBorders>
          </w:tcPr>
          <w:p w14:paraId="4459ACAA" w14:textId="77777777" w:rsidR="00851B45" w:rsidRDefault="00851B45" w:rsidP="00851B45">
            <w:pPr>
              <w:pStyle w:val="TableText"/>
              <w:jc w:val="right"/>
              <w:rPr>
                <w:b/>
              </w:rPr>
            </w:pPr>
            <w:r>
              <w:rPr>
                <w:b/>
              </w:rPr>
              <w:t>20,131</w:t>
            </w:r>
          </w:p>
        </w:tc>
        <w:tc>
          <w:tcPr>
            <w:tcW w:w="1276" w:type="dxa"/>
            <w:tcBorders>
              <w:bottom w:val="single" w:sz="4" w:space="0" w:color="A6A6A6" w:themeColor="background1" w:themeShade="A6"/>
            </w:tcBorders>
          </w:tcPr>
          <w:p w14:paraId="3F41C841" w14:textId="77777777" w:rsidR="00851B45" w:rsidRDefault="00851B45" w:rsidP="00851B45">
            <w:pPr>
              <w:pStyle w:val="TableText"/>
              <w:jc w:val="right"/>
              <w:rPr>
                <w:b/>
              </w:rPr>
            </w:pPr>
            <w:r>
              <w:rPr>
                <w:b/>
                <w:w w:val="110"/>
              </w:rPr>
              <w:t>80,847</w:t>
            </w:r>
          </w:p>
        </w:tc>
        <w:tc>
          <w:tcPr>
            <w:tcW w:w="964" w:type="dxa"/>
            <w:tcBorders>
              <w:bottom w:val="single" w:sz="4" w:space="0" w:color="A6A6A6" w:themeColor="background1" w:themeShade="A6"/>
            </w:tcBorders>
          </w:tcPr>
          <w:p w14:paraId="59AC3EED" w14:textId="77777777" w:rsidR="00851B45" w:rsidRDefault="00851B45" w:rsidP="00851B45">
            <w:pPr>
              <w:pStyle w:val="TableText"/>
              <w:jc w:val="right"/>
              <w:rPr>
                <w:b/>
              </w:rPr>
            </w:pPr>
            <w:r>
              <w:rPr>
                <w:b/>
              </w:rPr>
              <w:t>100,978</w:t>
            </w:r>
          </w:p>
        </w:tc>
      </w:tr>
      <w:tr w:rsidR="00851B45" w14:paraId="6C9E05B4" w14:textId="77777777" w:rsidTr="00851B45">
        <w:trPr>
          <w:trHeight w:val="367"/>
        </w:trPr>
        <w:tc>
          <w:tcPr>
            <w:tcW w:w="4813" w:type="dxa"/>
            <w:tcBorders>
              <w:top w:val="single" w:sz="4" w:space="0" w:color="A6A6A6" w:themeColor="background1" w:themeShade="A6"/>
            </w:tcBorders>
          </w:tcPr>
          <w:p w14:paraId="008A1DB9" w14:textId="77777777" w:rsidR="00851B45" w:rsidRDefault="00851B45" w:rsidP="00851B45">
            <w:pPr>
              <w:pStyle w:val="TableText"/>
            </w:pPr>
            <w:r>
              <w:t>Balance</w:t>
            </w:r>
            <w:r>
              <w:rPr>
                <w:spacing w:val="6"/>
              </w:rPr>
              <w:t xml:space="preserve"> </w:t>
            </w:r>
            <w:r>
              <w:t>as</w:t>
            </w:r>
            <w:r>
              <w:rPr>
                <w:spacing w:val="7"/>
              </w:rPr>
              <w:t xml:space="preserve"> </w:t>
            </w:r>
            <w:r>
              <w:t>at</w:t>
            </w:r>
            <w:r>
              <w:rPr>
                <w:spacing w:val="7"/>
              </w:rPr>
              <w:t xml:space="preserve"> </w:t>
            </w:r>
            <w:r>
              <w:rPr>
                <w:w w:val="95"/>
              </w:rPr>
              <w:t>1</w:t>
            </w:r>
            <w:r>
              <w:rPr>
                <w:spacing w:val="9"/>
                <w:w w:val="95"/>
              </w:rPr>
              <w:t xml:space="preserve"> </w:t>
            </w:r>
            <w:r>
              <w:t>July</w:t>
            </w:r>
            <w:r>
              <w:rPr>
                <w:spacing w:val="7"/>
              </w:rPr>
              <w:t xml:space="preserve"> </w:t>
            </w:r>
            <w:r>
              <w:t>2021</w:t>
            </w:r>
            <w:r>
              <w:rPr>
                <w:spacing w:val="7"/>
              </w:rPr>
              <w:t xml:space="preserve"> </w:t>
            </w:r>
            <w:r>
              <w:t>(restated)</w:t>
            </w:r>
          </w:p>
        </w:tc>
        <w:tc>
          <w:tcPr>
            <w:tcW w:w="1559" w:type="dxa"/>
            <w:tcBorders>
              <w:top w:val="single" w:sz="4" w:space="0" w:color="A6A6A6" w:themeColor="background1" w:themeShade="A6"/>
            </w:tcBorders>
          </w:tcPr>
          <w:p w14:paraId="4DA2E772" w14:textId="77777777" w:rsidR="00851B45" w:rsidRDefault="00851B45" w:rsidP="00851B45">
            <w:pPr>
              <w:pStyle w:val="TableText"/>
              <w:jc w:val="right"/>
            </w:pPr>
            <w:r>
              <w:rPr>
                <w:w w:val="95"/>
              </w:rPr>
              <w:t>20,131</w:t>
            </w:r>
          </w:p>
        </w:tc>
        <w:tc>
          <w:tcPr>
            <w:tcW w:w="1276" w:type="dxa"/>
            <w:tcBorders>
              <w:top w:val="single" w:sz="4" w:space="0" w:color="A6A6A6" w:themeColor="background1" w:themeShade="A6"/>
            </w:tcBorders>
          </w:tcPr>
          <w:p w14:paraId="7D95E4D1" w14:textId="77777777" w:rsidR="00851B45" w:rsidRDefault="00851B45" w:rsidP="00851B45">
            <w:pPr>
              <w:pStyle w:val="TableText"/>
              <w:jc w:val="right"/>
            </w:pPr>
            <w:r>
              <w:rPr>
                <w:w w:val="105"/>
              </w:rPr>
              <w:t>80,847</w:t>
            </w:r>
          </w:p>
        </w:tc>
        <w:tc>
          <w:tcPr>
            <w:tcW w:w="964" w:type="dxa"/>
            <w:tcBorders>
              <w:top w:val="single" w:sz="4" w:space="0" w:color="A6A6A6" w:themeColor="background1" w:themeShade="A6"/>
            </w:tcBorders>
          </w:tcPr>
          <w:p w14:paraId="7A781A83" w14:textId="77777777" w:rsidR="00851B45" w:rsidRDefault="00851B45" w:rsidP="00851B45">
            <w:pPr>
              <w:pStyle w:val="TableText"/>
              <w:jc w:val="right"/>
            </w:pPr>
            <w:r>
              <w:t>100,978</w:t>
            </w:r>
          </w:p>
        </w:tc>
      </w:tr>
      <w:tr w:rsidR="00851B45" w14:paraId="600B6119" w14:textId="77777777" w:rsidTr="00851B45">
        <w:trPr>
          <w:trHeight w:val="349"/>
        </w:trPr>
        <w:tc>
          <w:tcPr>
            <w:tcW w:w="4813" w:type="dxa"/>
          </w:tcPr>
          <w:p w14:paraId="054DBCCF" w14:textId="77777777" w:rsidR="00851B45" w:rsidRDefault="00851B45" w:rsidP="00851B45">
            <w:pPr>
              <w:pStyle w:val="TableText"/>
            </w:pPr>
            <w:r>
              <w:rPr>
                <w:w w:val="105"/>
              </w:rPr>
              <w:t>Additions</w:t>
            </w:r>
          </w:p>
        </w:tc>
        <w:tc>
          <w:tcPr>
            <w:tcW w:w="1559" w:type="dxa"/>
          </w:tcPr>
          <w:p w14:paraId="125112C4" w14:textId="77777777" w:rsidR="00851B45" w:rsidRDefault="00851B45" w:rsidP="00851B45">
            <w:pPr>
              <w:pStyle w:val="TableText"/>
              <w:jc w:val="right"/>
            </w:pPr>
            <w:r>
              <w:rPr>
                <w:w w:val="95"/>
              </w:rPr>
              <w:t>81</w:t>
            </w:r>
          </w:p>
        </w:tc>
        <w:tc>
          <w:tcPr>
            <w:tcW w:w="1276" w:type="dxa"/>
          </w:tcPr>
          <w:p w14:paraId="4B499A35" w14:textId="77777777" w:rsidR="00851B45" w:rsidRDefault="00851B45" w:rsidP="00851B45">
            <w:pPr>
              <w:pStyle w:val="TableText"/>
              <w:jc w:val="right"/>
            </w:pPr>
            <w:r>
              <w:rPr>
                <w:w w:val="110"/>
              </w:rPr>
              <w:t>4,480</w:t>
            </w:r>
          </w:p>
        </w:tc>
        <w:tc>
          <w:tcPr>
            <w:tcW w:w="964" w:type="dxa"/>
          </w:tcPr>
          <w:p w14:paraId="61ADB526" w14:textId="77777777" w:rsidR="00851B45" w:rsidRDefault="00851B45" w:rsidP="00851B45">
            <w:pPr>
              <w:pStyle w:val="TableText"/>
              <w:jc w:val="right"/>
            </w:pPr>
            <w:r>
              <w:t>4,561</w:t>
            </w:r>
          </w:p>
        </w:tc>
      </w:tr>
      <w:tr w:rsidR="00851B45" w14:paraId="464E6F38" w14:textId="77777777" w:rsidTr="00851B45">
        <w:trPr>
          <w:trHeight w:val="346"/>
        </w:trPr>
        <w:tc>
          <w:tcPr>
            <w:tcW w:w="4813" w:type="dxa"/>
          </w:tcPr>
          <w:p w14:paraId="2F98E44F" w14:textId="77777777" w:rsidR="00851B45" w:rsidRDefault="00851B45" w:rsidP="00851B45">
            <w:pPr>
              <w:pStyle w:val="TableText"/>
            </w:pPr>
            <w:r>
              <w:rPr>
                <w:w w:val="110"/>
              </w:rPr>
              <w:t>Disposals</w:t>
            </w:r>
          </w:p>
        </w:tc>
        <w:tc>
          <w:tcPr>
            <w:tcW w:w="1559" w:type="dxa"/>
          </w:tcPr>
          <w:p w14:paraId="177B7794" w14:textId="77777777" w:rsidR="00851B45" w:rsidRDefault="00851B45" w:rsidP="00851B45">
            <w:pPr>
              <w:pStyle w:val="TableText"/>
              <w:jc w:val="right"/>
            </w:pPr>
            <w:r>
              <w:t>(1,531)</w:t>
            </w:r>
          </w:p>
        </w:tc>
        <w:tc>
          <w:tcPr>
            <w:tcW w:w="1276" w:type="dxa"/>
          </w:tcPr>
          <w:p w14:paraId="76A72A2D" w14:textId="77777777" w:rsidR="00851B45" w:rsidRDefault="00851B45" w:rsidP="00851B45">
            <w:pPr>
              <w:pStyle w:val="TableText"/>
              <w:jc w:val="right"/>
            </w:pPr>
            <w:r>
              <w:rPr>
                <w:w w:val="110"/>
              </w:rPr>
              <w:t>(4,684)</w:t>
            </w:r>
          </w:p>
        </w:tc>
        <w:tc>
          <w:tcPr>
            <w:tcW w:w="964" w:type="dxa"/>
          </w:tcPr>
          <w:p w14:paraId="0609F025" w14:textId="77777777" w:rsidR="00851B45" w:rsidRDefault="00851B45" w:rsidP="00851B45">
            <w:pPr>
              <w:pStyle w:val="TableText"/>
              <w:jc w:val="right"/>
            </w:pPr>
            <w:r>
              <w:t>(6,215)</w:t>
            </w:r>
          </w:p>
        </w:tc>
      </w:tr>
      <w:tr w:rsidR="00851B45" w14:paraId="3DC05B31" w14:textId="77777777" w:rsidTr="00851B45">
        <w:trPr>
          <w:trHeight w:val="322"/>
        </w:trPr>
        <w:tc>
          <w:tcPr>
            <w:tcW w:w="4813" w:type="dxa"/>
            <w:tcBorders>
              <w:bottom w:val="single" w:sz="4" w:space="0" w:color="A6A6A6" w:themeColor="background1" w:themeShade="A6"/>
            </w:tcBorders>
          </w:tcPr>
          <w:p w14:paraId="4A0D7E86" w14:textId="77777777" w:rsidR="00851B45" w:rsidRDefault="00851B45" w:rsidP="00851B45">
            <w:pPr>
              <w:pStyle w:val="TableText"/>
              <w:rPr>
                <w:b/>
              </w:rPr>
            </w:pPr>
            <w:r>
              <w:rPr>
                <w:b/>
                <w:w w:val="105"/>
              </w:rPr>
              <w:t>Balance</w:t>
            </w:r>
            <w:r>
              <w:rPr>
                <w:b/>
                <w:spacing w:val="-5"/>
                <w:w w:val="105"/>
              </w:rPr>
              <w:t xml:space="preserve"> </w:t>
            </w:r>
            <w:r>
              <w:rPr>
                <w:b/>
                <w:w w:val="105"/>
              </w:rPr>
              <w:t>as</w:t>
            </w:r>
            <w:r>
              <w:rPr>
                <w:b/>
                <w:spacing w:val="-4"/>
                <w:w w:val="105"/>
              </w:rPr>
              <w:t xml:space="preserve"> </w:t>
            </w:r>
            <w:r>
              <w:rPr>
                <w:b/>
                <w:w w:val="105"/>
              </w:rPr>
              <w:t>at</w:t>
            </w:r>
            <w:r>
              <w:rPr>
                <w:b/>
                <w:spacing w:val="-5"/>
                <w:w w:val="105"/>
              </w:rPr>
              <w:t xml:space="preserve"> </w:t>
            </w:r>
            <w:r>
              <w:rPr>
                <w:b/>
                <w:w w:val="105"/>
              </w:rPr>
              <w:t>30</w:t>
            </w:r>
            <w:r>
              <w:rPr>
                <w:b/>
                <w:spacing w:val="-4"/>
                <w:w w:val="105"/>
              </w:rPr>
              <w:t xml:space="preserve"> </w:t>
            </w:r>
            <w:r>
              <w:rPr>
                <w:b/>
                <w:w w:val="105"/>
              </w:rPr>
              <w:t>June</w:t>
            </w:r>
            <w:r>
              <w:rPr>
                <w:b/>
                <w:spacing w:val="-4"/>
                <w:w w:val="105"/>
              </w:rPr>
              <w:t xml:space="preserve"> </w:t>
            </w:r>
            <w:r>
              <w:rPr>
                <w:b/>
                <w:w w:val="105"/>
              </w:rPr>
              <w:t>2022</w:t>
            </w:r>
          </w:p>
        </w:tc>
        <w:tc>
          <w:tcPr>
            <w:tcW w:w="1559" w:type="dxa"/>
            <w:tcBorders>
              <w:bottom w:val="single" w:sz="4" w:space="0" w:color="A6A6A6" w:themeColor="background1" w:themeShade="A6"/>
            </w:tcBorders>
          </w:tcPr>
          <w:p w14:paraId="02BBC9F4" w14:textId="77777777" w:rsidR="00851B45" w:rsidRDefault="00851B45" w:rsidP="00851B45">
            <w:pPr>
              <w:pStyle w:val="TableText"/>
              <w:jc w:val="right"/>
              <w:rPr>
                <w:b/>
              </w:rPr>
            </w:pPr>
            <w:r>
              <w:rPr>
                <w:b/>
              </w:rPr>
              <w:t>18,681</w:t>
            </w:r>
          </w:p>
        </w:tc>
        <w:tc>
          <w:tcPr>
            <w:tcW w:w="1276" w:type="dxa"/>
            <w:tcBorders>
              <w:bottom w:val="single" w:sz="4" w:space="0" w:color="A6A6A6" w:themeColor="background1" w:themeShade="A6"/>
            </w:tcBorders>
          </w:tcPr>
          <w:p w14:paraId="793F3EFF" w14:textId="77777777" w:rsidR="00851B45" w:rsidRDefault="00851B45" w:rsidP="00851B45">
            <w:pPr>
              <w:pStyle w:val="TableText"/>
              <w:jc w:val="right"/>
              <w:rPr>
                <w:b/>
              </w:rPr>
            </w:pPr>
            <w:r>
              <w:rPr>
                <w:b/>
                <w:w w:val="110"/>
              </w:rPr>
              <w:t>80,643</w:t>
            </w:r>
          </w:p>
        </w:tc>
        <w:tc>
          <w:tcPr>
            <w:tcW w:w="964" w:type="dxa"/>
            <w:tcBorders>
              <w:bottom w:val="single" w:sz="4" w:space="0" w:color="A6A6A6" w:themeColor="background1" w:themeShade="A6"/>
            </w:tcBorders>
          </w:tcPr>
          <w:p w14:paraId="0A60C709" w14:textId="77777777" w:rsidR="00851B45" w:rsidRDefault="00851B45" w:rsidP="00851B45">
            <w:pPr>
              <w:pStyle w:val="TableText"/>
              <w:jc w:val="right"/>
              <w:rPr>
                <w:b/>
              </w:rPr>
            </w:pPr>
            <w:r>
              <w:rPr>
                <w:b/>
                <w:w w:val="110"/>
              </w:rPr>
              <w:t>99,324</w:t>
            </w:r>
          </w:p>
        </w:tc>
      </w:tr>
      <w:tr w:rsidR="00851B45" w14:paraId="6E0F7A86" w14:textId="77777777" w:rsidTr="00851B45">
        <w:trPr>
          <w:trHeight w:val="369"/>
        </w:trPr>
        <w:tc>
          <w:tcPr>
            <w:tcW w:w="4813" w:type="dxa"/>
            <w:tcBorders>
              <w:top w:val="single" w:sz="4" w:space="0" w:color="A6A6A6" w:themeColor="background1" w:themeShade="A6"/>
            </w:tcBorders>
          </w:tcPr>
          <w:p w14:paraId="1777461D" w14:textId="77777777" w:rsidR="00851B45" w:rsidRDefault="00851B45" w:rsidP="00851B45">
            <w:pPr>
              <w:pStyle w:val="TableText"/>
              <w:rPr>
                <w:b/>
              </w:rPr>
            </w:pPr>
            <w:r>
              <w:rPr>
                <w:b/>
                <w:w w:val="105"/>
              </w:rPr>
              <w:t>Accumulated</w:t>
            </w:r>
            <w:r>
              <w:rPr>
                <w:b/>
                <w:spacing w:val="13"/>
                <w:w w:val="105"/>
              </w:rPr>
              <w:t xml:space="preserve"> </w:t>
            </w:r>
            <w:r>
              <w:rPr>
                <w:b/>
                <w:w w:val="105"/>
              </w:rPr>
              <w:t>amortisation</w:t>
            </w:r>
            <w:r>
              <w:rPr>
                <w:b/>
                <w:spacing w:val="14"/>
                <w:w w:val="105"/>
              </w:rPr>
              <w:t xml:space="preserve"> </w:t>
            </w:r>
            <w:r>
              <w:rPr>
                <w:b/>
                <w:w w:val="105"/>
              </w:rPr>
              <w:t>and</w:t>
            </w:r>
            <w:r>
              <w:rPr>
                <w:b/>
                <w:spacing w:val="13"/>
                <w:w w:val="105"/>
              </w:rPr>
              <w:t xml:space="preserve"> </w:t>
            </w:r>
            <w:r>
              <w:rPr>
                <w:b/>
                <w:w w:val="105"/>
              </w:rPr>
              <w:t>impairment</w:t>
            </w:r>
            <w:r>
              <w:rPr>
                <w:b/>
                <w:spacing w:val="14"/>
                <w:w w:val="105"/>
              </w:rPr>
              <w:t xml:space="preserve"> </w:t>
            </w:r>
            <w:r>
              <w:rPr>
                <w:b/>
                <w:w w:val="105"/>
              </w:rPr>
              <w:t>losses</w:t>
            </w:r>
          </w:p>
        </w:tc>
        <w:tc>
          <w:tcPr>
            <w:tcW w:w="1559" w:type="dxa"/>
            <w:tcBorders>
              <w:top w:val="single" w:sz="4" w:space="0" w:color="A6A6A6" w:themeColor="background1" w:themeShade="A6"/>
            </w:tcBorders>
          </w:tcPr>
          <w:p w14:paraId="55C97BCF" w14:textId="77777777" w:rsidR="00851B45" w:rsidRDefault="00851B45" w:rsidP="00851B45">
            <w:pPr>
              <w:pStyle w:val="TableText"/>
              <w:jc w:val="right"/>
            </w:pPr>
          </w:p>
        </w:tc>
        <w:tc>
          <w:tcPr>
            <w:tcW w:w="1276" w:type="dxa"/>
            <w:tcBorders>
              <w:top w:val="single" w:sz="4" w:space="0" w:color="A6A6A6" w:themeColor="background1" w:themeShade="A6"/>
            </w:tcBorders>
          </w:tcPr>
          <w:p w14:paraId="2D9F93A9" w14:textId="77777777" w:rsidR="00851B45" w:rsidRDefault="00851B45" w:rsidP="00851B45">
            <w:pPr>
              <w:pStyle w:val="TableText"/>
              <w:jc w:val="right"/>
            </w:pPr>
          </w:p>
        </w:tc>
        <w:tc>
          <w:tcPr>
            <w:tcW w:w="964" w:type="dxa"/>
            <w:tcBorders>
              <w:top w:val="single" w:sz="4" w:space="0" w:color="A6A6A6" w:themeColor="background1" w:themeShade="A6"/>
            </w:tcBorders>
          </w:tcPr>
          <w:p w14:paraId="5DF07D9B" w14:textId="77777777" w:rsidR="00851B45" w:rsidRDefault="00851B45" w:rsidP="00851B45">
            <w:pPr>
              <w:pStyle w:val="TableText"/>
              <w:jc w:val="right"/>
            </w:pPr>
          </w:p>
        </w:tc>
      </w:tr>
      <w:tr w:rsidR="00851B45" w14:paraId="74BFE3A9" w14:textId="77777777" w:rsidTr="00851B45">
        <w:trPr>
          <w:trHeight w:val="347"/>
        </w:trPr>
        <w:tc>
          <w:tcPr>
            <w:tcW w:w="4813" w:type="dxa"/>
          </w:tcPr>
          <w:p w14:paraId="62DC5100" w14:textId="77777777" w:rsidR="00851B45" w:rsidRDefault="00851B45" w:rsidP="00851B45">
            <w:pPr>
              <w:pStyle w:val="TableText"/>
            </w:pPr>
            <w:r>
              <w:t>Balance</w:t>
            </w:r>
            <w:r>
              <w:rPr>
                <w:spacing w:val="14"/>
              </w:rPr>
              <w:t xml:space="preserve"> </w:t>
            </w:r>
            <w:r>
              <w:t>as</w:t>
            </w:r>
            <w:r>
              <w:rPr>
                <w:spacing w:val="14"/>
              </w:rPr>
              <w:t xml:space="preserve"> </w:t>
            </w:r>
            <w:r>
              <w:t>at</w:t>
            </w:r>
            <w:r>
              <w:rPr>
                <w:spacing w:val="15"/>
              </w:rPr>
              <w:t xml:space="preserve"> </w:t>
            </w:r>
            <w:r>
              <w:rPr>
                <w:w w:val="95"/>
              </w:rPr>
              <w:t>1</w:t>
            </w:r>
            <w:r>
              <w:rPr>
                <w:spacing w:val="17"/>
                <w:w w:val="95"/>
              </w:rPr>
              <w:t xml:space="preserve"> </w:t>
            </w:r>
            <w:r>
              <w:t>July</w:t>
            </w:r>
            <w:r>
              <w:rPr>
                <w:spacing w:val="14"/>
              </w:rPr>
              <w:t xml:space="preserve"> </w:t>
            </w:r>
            <w:r>
              <w:t>2020</w:t>
            </w:r>
            <w:r>
              <w:rPr>
                <w:spacing w:val="14"/>
              </w:rPr>
              <w:t xml:space="preserve"> </w:t>
            </w:r>
            <w:r>
              <w:t>(restated)</w:t>
            </w:r>
          </w:p>
        </w:tc>
        <w:tc>
          <w:tcPr>
            <w:tcW w:w="1559" w:type="dxa"/>
          </w:tcPr>
          <w:p w14:paraId="391C639D" w14:textId="77777777" w:rsidR="00851B45" w:rsidRDefault="00851B45" w:rsidP="00851B45">
            <w:pPr>
              <w:pStyle w:val="TableText"/>
              <w:jc w:val="right"/>
            </w:pPr>
            <w:r>
              <w:t>19,629</w:t>
            </w:r>
          </w:p>
        </w:tc>
        <w:tc>
          <w:tcPr>
            <w:tcW w:w="1276" w:type="dxa"/>
          </w:tcPr>
          <w:p w14:paraId="1126461F" w14:textId="77777777" w:rsidR="00851B45" w:rsidRDefault="00851B45" w:rsidP="00851B45">
            <w:pPr>
              <w:pStyle w:val="TableText"/>
              <w:jc w:val="right"/>
            </w:pPr>
            <w:r>
              <w:t>61,537</w:t>
            </w:r>
          </w:p>
        </w:tc>
        <w:tc>
          <w:tcPr>
            <w:tcW w:w="964" w:type="dxa"/>
          </w:tcPr>
          <w:p w14:paraId="045CBCB3" w14:textId="77777777" w:rsidR="00851B45" w:rsidRDefault="00851B45" w:rsidP="00851B45">
            <w:pPr>
              <w:pStyle w:val="TableText"/>
              <w:jc w:val="right"/>
            </w:pPr>
            <w:r>
              <w:t>81,166</w:t>
            </w:r>
          </w:p>
        </w:tc>
      </w:tr>
      <w:tr w:rsidR="00851B45" w14:paraId="6EB48892" w14:textId="77777777" w:rsidTr="00851B45">
        <w:trPr>
          <w:trHeight w:val="346"/>
        </w:trPr>
        <w:tc>
          <w:tcPr>
            <w:tcW w:w="4813" w:type="dxa"/>
          </w:tcPr>
          <w:p w14:paraId="008DB2EC" w14:textId="77777777" w:rsidR="00851B45" w:rsidRDefault="00851B45" w:rsidP="00851B45">
            <w:pPr>
              <w:pStyle w:val="TableText"/>
            </w:pPr>
            <w:r>
              <w:rPr>
                <w:w w:val="105"/>
              </w:rPr>
              <w:t>Amortisation</w:t>
            </w:r>
            <w:r>
              <w:rPr>
                <w:spacing w:val="-3"/>
                <w:w w:val="105"/>
              </w:rPr>
              <w:t xml:space="preserve"> </w:t>
            </w:r>
            <w:r>
              <w:rPr>
                <w:w w:val="105"/>
              </w:rPr>
              <w:t>expense</w:t>
            </w:r>
            <w:r>
              <w:rPr>
                <w:spacing w:val="-2"/>
                <w:w w:val="105"/>
              </w:rPr>
              <w:t xml:space="preserve"> </w:t>
            </w:r>
            <w:r>
              <w:rPr>
                <w:w w:val="105"/>
              </w:rPr>
              <w:t>(restated)</w:t>
            </w:r>
          </w:p>
        </w:tc>
        <w:tc>
          <w:tcPr>
            <w:tcW w:w="1559" w:type="dxa"/>
          </w:tcPr>
          <w:p w14:paraId="5715CA32" w14:textId="77777777" w:rsidR="00851B45" w:rsidRDefault="00851B45" w:rsidP="00851B45">
            <w:pPr>
              <w:pStyle w:val="TableText"/>
              <w:jc w:val="right"/>
            </w:pPr>
            <w:r>
              <w:t>148</w:t>
            </w:r>
          </w:p>
        </w:tc>
        <w:tc>
          <w:tcPr>
            <w:tcW w:w="1276" w:type="dxa"/>
          </w:tcPr>
          <w:p w14:paraId="79FABE6C" w14:textId="77777777" w:rsidR="00851B45" w:rsidRDefault="00851B45" w:rsidP="00851B45">
            <w:pPr>
              <w:pStyle w:val="TableText"/>
              <w:jc w:val="right"/>
            </w:pPr>
            <w:r>
              <w:rPr>
                <w:w w:val="105"/>
              </w:rPr>
              <w:t>5,228</w:t>
            </w:r>
          </w:p>
        </w:tc>
        <w:tc>
          <w:tcPr>
            <w:tcW w:w="964" w:type="dxa"/>
          </w:tcPr>
          <w:p w14:paraId="23682DDF" w14:textId="77777777" w:rsidR="00851B45" w:rsidRDefault="00851B45" w:rsidP="00851B45">
            <w:pPr>
              <w:pStyle w:val="TableText"/>
              <w:jc w:val="right"/>
            </w:pPr>
            <w:r>
              <w:rPr>
                <w:w w:val="105"/>
              </w:rPr>
              <w:t>5,376</w:t>
            </w:r>
          </w:p>
        </w:tc>
      </w:tr>
      <w:tr w:rsidR="00851B45" w14:paraId="57D096CD" w14:textId="77777777" w:rsidTr="00851B45">
        <w:trPr>
          <w:trHeight w:val="322"/>
        </w:trPr>
        <w:tc>
          <w:tcPr>
            <w:tcW w:w="4813" w:type="dxa"/>
            <w:tcBorders>
              <w:bottom w:val="single" w:sz="4" w:space="0" w:color="A6A6A6" w:themeColor="background1" w:themeShade="A6"/>
            </w:tcBorders>
          </w:tcPr>
          <w:p w14:paraId="1EE82A99" w14:textId="77777777" w:rsidR="00851B45" w:rsidRDefault="00851B45" w:rsidP="00851B45">
            <w:pPr>
              <w:pStyle w:val="TableText"/>
              <w:rPr>
                <w:b/>
              </w:rPr>
            </w:pPr>
            <w:r>
              <w:rPr>
                <w:b/>
                <w:w w:val="105"/>
              </w:rPr>
              <w:t>Balance</w:t>
            </w:r>
            <w:r>
              <w:rPr>
                <w:b/>
                <w:spacing w:val="-3"/>
                <w:w w:val="105"/>
              </w:rPr>
              <w:t xml:space="preserve"> </w:t>
            </w:r>
            <w:r>
              <w:rPr>
                <w:b/>
                <w:w w:val="105"/>
              </w:rPr>
              <w:t>as</w:t>
            </w:r>
            <w:r>
              <w:rPr>
                <w:b/>
                <w:spacing w:val="-2"/>
                <w:w w:val="105"/>
              </w:rPr>
              <w:t xml:space="preserve"> </w:t>
            </w:r>
            <w:r>
              <w:rPr>
                <w:b/>
                <w:w w:val="105"/>
              </w:rPr>
              <w:t>at</w:t>
            </w:r>
            <w:r>
              <w:rPr>
                <w:b/>
                <w:spacing w:val="-3"/>
                <w:w w:val="105"/>
              </w:rPr>
              <w:t xml:space="preserve"> </w:t>
            </w:r>
            <w:r>
              <w:rPr>
                <w:b/>
                <w:w w:val="105"/>
              </w:rPr>
              <w:t>30</w:t>
            </w:r>
            <w:r>
              <w:rPr>
                <w:b/>
                <w:spacing w:val="-2"/>
                <w:w w:val="105"/>
              </w:rPr>
              <w:t xml:space="preserve"> </w:t>
            </w:r>
            <w:r>
              <w:rPr>
                <w:b/>
                <w:w w:val="105"/>
              </w:rPr>
              <w:t>June</w:t>
            </w:r>
            <w:r>
              <w:rPr>
                <w:b/>
                <w:spacing w:val="-2"/>
                <w:w w:val="105"/>
              </w:rPr>
              <w:t xml:space="preserve"> </w:t>
            </w:r>
            <w:r>
              <w:rPr>
                <w:b/>
                <w:w w:val="105"/>
              </w:rPr>
              <w:t>2021</w:t>
            </w:r>
            <w:r>
              <w:rPr>
                <w:b/>
                <w:spacing w:val="-3"/>
                <w:w w:val="105"/>
              </w:rPr>
              <w:t xml:space="preserve"> </w:t>
            </w:r>
            <w:r>
              <w:rPr>
                <w:b/>
                <w:w w:val="105"/>
              </w:rPr>
              <w:t>(restated)</w:t>
            </w:r>
          </w:p>
        </w:tc>
        <w:tc>
          <w:tcPr>
            <w:tcW w:w="1559" w:type="dxa"/>
            <w:tcBorders>
              <w:bottom w:val="single" w:sz="4" w:space="0" w:color="A6A6A6" w:themeColor="background1" w:themeShade="A6"/>
            </w:tcBorders>
          </w:tcPr>
          <w:p w14:paraId="4BB6F63D" w14:textId="77777777" w:rsidR="00851B45" w:rsidRDefault="00851B45" w:rsidP="00851B45">
            <w:pPr>
              <w:pStyle w:val="TableText"/>
              <w:jc w:val="right"/>
              <w:rPr>
                <w:b/>
              </w:rPr>
            </w:pPr>
            <w:r>
              <w:rPr>
                <w:b/>
              </w:rPr>
              <w:t>19,777</w:t>
            </w:r>
          </w:p>
        </w:tc>
        <w:tc>
          <w:tcPr>
            <w:tcW w:w="1276" w:type="dxa"/>
            <w:tcBorders>
              <w:bottom w:val="single" w:sz="4" w:space="0" w:color="A6A6A6" w:themeColor="background1" w:themeShade="A6"/>
            </w:tcBorders>
          </w:tcPr>
          <w:p w14:paraId="45116703" w14:textId="77777777" w:rsidR="00851B45" w:rsidRDefault="00851B45" w:rsidP="00851B45">
            <w:pPr>
              <w:pStyle w:val="TableText"/>
              <w:jc w:val="right"/>
              <w:rPr>
                <w:b/>
              </w:rPr>
            </w:pPr>
            <w:r>
              <w:rPr>
                <w:b/>
                <w:w w:val="110"/>
              </w:rPr>
              <w:t>66,765</w:t>
            </w:r>
          </w:p>
        </w:tc>
        <w:tc>
          <w:tcPr>
            <w:tcW w:w="964" w:type="dxa"/>
            <w:tcBorders>
              <w:bottom w:val="single" w:sz="4" w:space="0" w:color="A6A6A6" w:themeColor="background1" w:themeShade="A6"/>
            </w:tcBorders>
          </w:tcPr>
          <w:p w14:paraId="47A9CAA9" w14:textId="77777777" w:rsidR="00851B45" w:rsidRDefault="00851B45" w:rsidP="00851B45">
            <w:pPr>
              <w:pStyle w:val="TableText"/>
              <w:jc w:val="right"/>
              <w:rPr>
                <w:b/>
              </w:rPr>
            </w:pPr>
            <w:r>
              <w:rPr>
                <w:b/>
                <w:w w:val="110"/>
              </w:rPr>
              <w:t>86,542</w:t>
            </w:r>
          </w:p>
        </w:tc>
      </w:tr>
      <w:tr w:rsidR="00851B45" w14:paraId="564DD8E2" w14:textId="77777777" w:rsidTr="00851B45">
        <w:trPr>
          <w:trHeight w:val="367"/>
        </w:trPr>
        <w:tc>
          <w:tcPr>
            <w:tcW w:w="4813" w:type="dxa"/>
            <w:tcBorders>
              <w:top w:val="single" w:sz="4" w:space="0" w:color="A6A6A6" w:themeColor="background1" w:themeShade="A6"/>
            </w:tcBorders>
          </w:tcPr>
          <w:p w14:paraId="78361567" w14:textId="77777777" w:rsidR="00851B45" w:rsidRDefault="00851B45" w:rsidP="00851B45">
            <w:pPr>
              <w:pStyle w:val="TableText"/>
            </w:pPr>
            <w:r>
              <w:t>Balance</w:t>
            </w:r>
            <w:r>
              <w:rPr>
                <w:spacing w:val="6"/>
              </w:rPr>
              <w:t xml:space="preserve"> </w:t>
            </w:r>
            <w:r>
              <w:t>as</w:t>
            </w:r>
            <w:r>
              <w:rPr>
                <w:spacing w:val="7"/>
              </w:rPr>
              <w:t xml:space="preserve"> </w:t>
            </w:r>
            <w:r>
              <w:t>at</w:t>
            </w:r>
            <w:r>
              <w:rPr>
                <w:spacing w:val="7"/>
              </w:rPr>
              <w:t xml:space="preserve"> </w:t>
            </w:r>
            <w:r>
              <w:rPr>
                <w:w w:val="95"/>
              </w:rPr>
              <w:t>1</w:t>
            </w:r>
            <w:r>
              <w:rPr>
                <w:spacing w:val="9"/>
                <w:w w:val="95"/>
              </w:rPr>
              <w:t xml:space="preserve"> </w:t>
            </w:r>
            <w:r>
              <w:t>July</w:t>
            </w:r>
            <w:r>
              <w:rPr>
                <w:spacing w:val="7"/>
              </w:rPr>
              <w:t xml:space="preserve"> </w:t>
            </w:r>
            <w:r>
              <w:t>2021</w:t>
            </w:r>
            <w:r>
              <w:rPr>
                <w:spacing w:val="7"/>
              </w:rPr>
              <w:t xml:space="preserve"> </w:t>
            </w:r>
            <w:r>
              <w:t>(restated)</w:t>
            </w:r>
          </w:p>
        </w:tc>
        <w:tc>
          <w:tcPr>
            <w:tcW w:w="1559" w:type="dxa"/>
            <w:tcBorders>
              <w:top w:val="single" w:sz="4" w:space="0" w:color="A6A6A6" w:themeColor="background1" w:themeShade="A6"/>
            </w:tcBorders>
          </w:tcPr>
          <w:p w14:paraId="4DE015F1" w14:textId="77777777" w:rsidR="00851B45" w:rsidRDefault="00851B45" w:rsidP="00851B45">
            <w:pPr>
              <w:pStyle w:val="TableText"/>
              <w:jc w:val="right"/>
            </w:pPr>
            <w:r>
              <w:t>19,777</w:t>
            </w:r>
          </w:p>
        </w:tc>
        <w:tc>
          <w:tcPr>
            <w:tcW w:w="1276" w:type="dxa"/>
            <w:tcBorders>
              <w:top w:val="single" w:sz="4" w:space="0" w:color="A6A6A6" w:themeColor="background1" w:themeShade="A6"/>
            </w:tcBorders>
          </w:tcPr>
          <w:p w14:paraId="28B68C67" w14:textId="77777777" w:rsidR="00851B45" w:rsidRDefault="00851B45" w:rsidP="00851B45">
            <w:pPr>
              <w:pStyle w:val="TableText"/>
              <w:jc w:val="right"/>
            </w:pPr>
            <w:r>
              <w:rPr>
                <w:w w:val="110"/>
              </w:rPr>
              <w:t>66,765</w:t>
            </w:r>
          </w:p>
        </w:tc>
        <w:tc>
          <w:tcPr>
            <w:tcW w:w="964" w:type="dxa"/>
            <w:tcBorders>
              <w:top w:val="single" w:sz="4" w:space="0" w:color="A6A6A6" w:themeColor="background1" w:themeShade="A6"/>
            </w:tcBorders>
          </w:tcPr>
          <w:p w14:paraId="7E351AB0" w14:textId="77777777" w:rsidR="00851B45" w:rsidRDefault="00851B45" w:rsidP="00851B45">
            <w:pPr>
              <w:pStyle w:val="TableText"/>
              <w:jc w:val="right"/>
            </w:pPr>
            <w:r>
              <w:rPr>
                <w:w w:val="110"/>
              </w:rPr>
              <w:t>86,542</w:t>
            </w:r>
          </w:p>
        </w:tc>
      </w:tr>
      <w:tr w:rsidR="00851B45" w14:paraId="5CC64D48" w14:textId="77777777" w:rsidTr="00851B45">
        <w:trPr>
          <w:trHeight w:val="349"/>
        </w:trPr>
        <w:tc>
          <w:tcPr>
            <w:tcW w:w="4813" w:type="dxa"/>
          </w:tcPr>
          <w:p w14:paraId="03863531" w14:textId="77777777" w:rsidR="00851B45" w:rsidRDefault="00851B45" w:rsidP="00851B45">
            <w:pPr>
              <w:pStyle w:val="TableText"/>
            </w:pPr>
            <w:r>
              <w:rPr>
                <w:w w:val="105"/>
              </w:rPr>
              <w:t>Amortisation</w:t>
            </w:r>
            <w:r>
              <w:rPr>
                <w:spacing w:val="-11"/>
                <w:w w:val="105"/>
              </w:rPr>
              <w:t xml:space="preserve"> </w:t>
            </w:r>
            <w:r>
              <w:rPr>
                <w:w w:val="105"/>
              </w:rPr>
              <w:t>expense</w:t>
            </w:r>
          </w:p>
        </w:tc>
        <w:tc>
          <w:tcPr>
            <w:tcW w:w="1559" w:type="dxa"/>
          </w:tcPr>
          <w:p w14:paraId="4EB3392B" w14:textId="77777777" w:rsidR="00851B45" w:rsidRDefault="00851B45" w:rsidP="00851B45">
            <w:pPr>
              <w:pStyle w:val="TableText"/>
              <w:jc w:val="right"/>
            </w:pPr>
            <w:r>
              <w:rPr>
                <w:w w:val="115"/>
              </w:rPr>
              <w:t>50</w:t>
            </w:r>
          </w:p>
        </w:tc>
        <w:tc>
          <w:tcPr>
            <w:tcW w:w="1276" w:type="dxa"/>
          </w:tcPr>
          <w:p w14:paraId="4CA51271" w14:textId="77777777" w:rsidR="00851B45" w:rsidRDefault="00851B45" w:rsidP="00851B45">
            <w:pPr>
              <w:pStyle w:val="TableText"/>
              <w:jc w:val="right"/>
            </w:pPr>
            <w:r>
              <w:rPr>
                <w:w w:val="105"/>
              </w:rPr>
              <w:t>4,535</w:t>
            </w:r>
          </w:p>
        </w:tc>
        <w:tc>
          <w:tcPr>
            <w:tcW w:w="964" w:type="dxa"/>
          </w:tcPr>
          <w:p w14:paraId="73C1617F" w14:textId="77777777" w:rsidR="00851B45" w:rsidRDefault="00851B45" w:rsidP="00851B45">
            <w:pPr>
              <w:pStyle w:val="TableText"/>
              <w:jc w:val="right"/>
            </w:pPr>
            <w:r>
              <w:rPr>
                <w:w w:val="110"/>
              </w:rPr>
              <w:t>4,585</w:t>
            </w:r>
          </w:p>
        </w:tc>
      </w:tr>
      <w:tr w:rsidR="00851B45" w14:paraId="14F09601" w14:textId="77777777" w:rsidTr="00851B45">
        <w:trPr>
          <w:trHeight w:val="346"/>
        </w:trPr>
        <w:tc>
          <w:tcPr>
            <w:tcW w:w="4813" w:type="dxa"/>
          </w:tcPr>
          <w:p w14:paraId="3E8F9EA5" w14:textId="77777777" w:rsidR="00851B45" w:rsidRDefault="00851B45" w:rsidP="00851B45">
            <w:pPr>
              <w:pStyle w:val="TableText"/>
            </w:pPr>
            <w:r>
              <w:rPr>
                <w:w w:val="105"/>
              </w:rPr>
              <w:t>Eliminate on disposal</w:t>
            </w:r>
          </w:p>
        </w:tc>
        <w:tc>
          <w:tcPr>
            <w:tcW w:w="1559" w:type="dxa"/>
          </w:tcPr>
          <w:p w14:paraId="26C5F177" w14:textId="77777777" w:rsidR="00851B45" w:rsidRDefault="00851B45" w:rsidP="00851B45">
            <w:pPr>
              <w:pStyle w:val="TableText"/>
              <w:jc w:val="right"/>
            </w:pPr>
            <w:r>
              <w:t>(1,524)</w:t>
            </w:r>
          </w:p>
        </w:tc>
        <w:tc>
          <w:tcPr>
            <w:tcW w:w="1276" w:type="dxa"/>
          </w:tcPr>
          <w:p w14:paraId="12CD2DB0" w14:textId="77777777" w:rsidR="00851B45" w:rsidRDefault="00851B45" w:rsidP="00851B45">
            <w:pPr>
              <w:pStyle w:val="TableText"/>
              <w:jc w:val="right"/>
            </w:pPr>
            <w:r>
              <w:rPr>
                <w:w w:val="115"/>
              </w:rPr>
              <w:t>(4,686)</w:t>
            </w:r>
          </w:p>
        </w:tc>
        <w:tc>
          <w:tcPr>
            <w:tcW w:w="964" w:type="dxa"/>
          </w:tcPr>
          <w:p w14:paraId="645E690A" w14:textId="77777777" w:rsidR="00851B45" w:rsidRDefault="00851B45" w:rsidP="00851B45">
            <w:pPr>
              <w:pStyle w:val="TableText"/>
              <w:jc w:val="right"/>
            </w:pPr>
            <w:r>
              <w:t>(6,210)</w:t>
            </w:r>
          </w:p>
        </w:tc>
      </w:tr>
      <w:tr w:rsidR="00851B45" w14:paraId="47D46189" w14:textId="77777777" w:rsidTr="00851B45">
        <w:trPr>
          <w:trHeight w:val="322"/>
        </w:trPr>
        <w:tc>
          <w:tcPr>
            <w:tcW w:w="4813" w:type="dxa"/>
            <w:tcBorders>
              <w:bottom w:val="single" w:sz="4" w:space="0" w:color="A6A6A6" w:themeColor="background1" w:themeShade="A6"/>
            </w:tcBorders>
          </w:tcPr>
          <w:p w14:paraId="6CB75105" w14:textId="77777777" w:rsidR="00851B45" w:rsidRDefault="00851B45" w:rsidP="00851B45">
            <w:pPr>
              <w:pStyle w:val="TableText"/>
              <w:rPr>
                <w:b/>
              </w:rPr>
            </w:pPr>
            <w:r>
              <w:rPr>
                <w:b/>
                <w:w w:val="105"/>
              </w:rPr>
              <w:t>Balance</w:t>
            </w:r>
            <w:r>
              <w:rPr>
                <w:b/>
                <w:spacing w:val="-5"/>
                <w:w w:val="105"/>
              </w:rPr>
              <w:t xml:space="preserve"> </w:t>
            </w:r>
            <w:r>
              <w:rPr>
                <w:b/>
                <w:w w:val="105"/>
              </w:rPr>
              <w:t>as</w:t>
            </w:r>
            <w:r>
              <w:rPr>
                <w:b/>
                <w:spacing w:val="-4"/>
                <w:w w:val="105"/>
              </w:rPr>
              <w:t xml:space="preserve"> </w:t>
            </w:r>
            <w:r>
              <w:rPr>
                <w:b/>
                <w:w w:val="105"/>
              </w:rPr>
              <w:t>at</w:t>
            </w:r>
            <w:r>
              <w:rPr>
                <w:b/>
                <w:spacing w:val="-5"/>
                <w:w w:val="105"/>
              </w:rPr>
              <w:t xml:space="preserve"> </w:t>
            </w:r>
            <w:r>
              <w:rPr>
                <w:b/>
                <w:w w:val="105"/>
              </w:rPr>
              <w:t>30</w:t>
            </w:r>
            <w:r>
              <w:rPr>
                <w:b/>
                <w:spacing w:val="-4"/>
                <w:w w:val="105"/>
              </w:rPr>
              <w:t xml:space="preserve"> </w:t>
            </w:r>
            <w:r>
              <w:rPr>
                <w:b/>
                <w:w w:val="105"/>
              </w:rPr>
              <w:t>June</w:t>
            </w:r>
            <w:r>
              <w:rPr>
                <w:b/>
                <w:spacing w:val="-4"/>
                <w:w w:val="105"/>
              </w:rPr>
              <w:t xml:space="preserve"> </w:t>
            </w:r>
            <w:r>
              <w:rPr>
                <w:b/>
                <w:w w:val="105"/>
              </w:rPr>
              <w:t>2022</w:t>
            </w:r>
          </w:p>
        </w:tc>
        <w:tc>
          <w:tcPr>
            <w:tcW w:w="1559" w:type="dxa"/>
            <w:tcBorders>
              <w:bottom w:val="single" w:sz="4" w:space="0" w:color="A6A6A6" w:themeColor="background1" w:themeShade="A6"/>
            </w:tcBorders>
          </w:tcPr>
          <w:p w14:paraId="4FAC108C" w14:textId="77777777" w:rsidR="00851B45" w:rsidRDefault="00851B45" w:rsidP="00851B45">
            <w:pPr>
              <w:pStyle w:val="TableText"/>
              <w:jc w:val="right"/>
              <w:rPr>
                <w:b/>
              </w:rPr>
            </w:pPr>
            <w:r>
              <w:rPr>
                <w:b/>
              </w:rPr>
              <w:t>18,303</w:t>
            </w:r>
          </w:p>
        </w:tc>
        <w:tc>
          <w:tcPr>
            <w:tcW w:w="1276" w:type="dxa"/>
            <w:tcBorders>
              <w:bottom w:val="single" w:sz="4" w:space="0" w:color="A6A6A6" w:themeColor="background1" w:themeShade="A6"/>
            </w:tcBorders>
          </w:tcPr>
          <w:p w14:paraId="17039BB6" w14:textId="77777777" w:rsidR="00851B45" w:rsidRDefault="00851B45" w:rsidP="00851B45">
            <w:pPr>
              <w:pStyle w:val="TableText"/>
              <w:jc w:val="right"/>
              <w:rPr>
                <w:b/>
              </w:rPr>
            </w:pPr>
            <w:r>
              <w:rPr>
                <w:b/>
                <w:w w:val="105"/>
              </w:rPr>
              <w:t>66,614</w:t>
            </w:r>
          </w:p>
        </w:tc>
        <w:tc>
          <w:tcPr>
            <w:tcW w:w="964" w:type="dxa"/>
            <w:tcBorders>
              <w:bottom w:val="single" w:sz="4" w:space="0" w:color="A6A6A6" w:themeColor="background1" w:themeShade="A6"/>
            </w:tcBorders>
          </w:tcPr>
          <w:p w14:paraId="00794839" w14:textId="77777777" w:rsidR="00851B45" w:rsidRDefault="00851B45" w:rsidP="00851B45">
            <w:pPr>
              <w:pStyle w:val="TableText"/>
              <w:jc w:val="right"/>
              <w:rPr>
                <w:b/>
              </w:rPr>
            </w:pPr>
            <w:r>
              <w:rPr>
                <w:b/>
              </w:rPr>
              <w:t>84,917</w:t>
            </w:r>
          </w:p>
        </w:tc>
      </w:tr>
      <w:tr w:rsidR="00851B45" w14:paraId="2AD5AD36" w14:textId="77777777" w:rsidTr="00851B45">
        <w:trPr>
          <w:trHeight w:val="369"/>
        </w:trPr>
        <w:tc>
          <w:tcPr>
            <w:tcW w:w="4813" w:type="dxa"/>
            <w:tcBorders>
              <w:top w:val="single" w:sz="4" w:space="0" w:color="A6A6A6" w:themeColor="background1" w:themeShade="A6"/>
            </w:tcBorders>
          </w:tcPr>
          <w:p w14:paraId="39AEB2C4" w14:textId="77777777" w:rsidR="00851B45" w:rsidRDefault="00851B45" w:rsidP="00851B45">
            <w:pPr>
              <w:pStyle w:val="TableText"/>
              <w:rPr>
                <w:b/>
              </w:rPr>
            </w:pPr>
            <w:r>
              <w:rPr>
                <w:b/>
                <w:w w:val="105"/>
              </w:rPr>
              <w:t>Total</w:t>
            </w:r>
            <w:r>
              <w:rPr>
                <w:b/>
                <w:spacing w:val="12"/>
                <w:w w:val="105"/>
              </w:rPr>
              <w:t xml:space="preserve"> </w:t>
            </w:r>
            <w:r>
              <w:rPr>
                <w:b/>
                <w:w w:val="105"/>
              </w:rPr>
              <w:t>intangible</w:t>
            </w:r>
            <w:r>
              <w:rPr>
                <w:b/>
                <w:spacing w:val="13"/>
                <w:w w:val="105"/>
              </w:rPr>
              <w:t xml:space="preserve"> </w:t>
            </w:r>
            <w:r>
              <w:rPr>
                <w:b/>
                <w:w w:val="105"/>
              </w:rPr>
              <w:t>assets</w:t>
            </w:r>
            <w:r>
              <w:rPr>
                <w:b/>
                <w:spacing w:val="13"/>
                <w:w w:val="105"/>
              </w:rPr>
              <w:t xml:space="preserve"> </w:t>
            </w:r>
            <w:r>
              <w:rPr>
                <w:b/>
                <w:w w:val="105"/>
              </w:rPr>
              <w:t>including</w:t>
            </w:r>
            <w:r>
              <w:rPr>
                <w:b/>
                <w:spacing w:val="13"/>
                <w:w w:val="105"/>
              </w:rPr>
              <w:t xml:space="preserve"> </w:t>
            </w:r>
            <w:r>
              <w:rPr>
                <w:b/>
                <w:w w:val="105"/>
              </w:rPr>
              <w:t>WIP</w:t>
            </w:r>
          </w:p>
        </w:tc>
        <w:tc>
          <w:tcPr>
            <w:tcW w:w="1559" w:type="dxa"/>
            <w:tcBorders>
              <w:top w:val="single" w:sz="4" w:space="0" w:color="A6A6A6" w:themeColor="background1" w:themeShade="A6"/>
            </w:tcBorders>
          </w:tcPr>
          <w:p w14:paraId="7E0CE104" w14:textId="77777777" w:rsidR="00851B45" w:rsidRDefault="00851B45" w:rsidP="00851B45">
            <w:pPr>
              <w:pStyle w:val="TableText"/>
              <w:jc w:val="right"/>
            </w:pPr>
          </w:p>
        </w:tc>
        <w:tc>
          <w:tcPr>
            <w:tcW w:w="1276" w:type="dxa"/>
            <w:tcBorders>
              <w:top w:val="single" w:sz="4" w:space="0" w:color="A6A6A6" w:themeColor="background1" w:themeShade="A6"/>
            </w:tcBorders>
          </w:tcPr>
          <w:p w14:paraId="4F215229" w14:textId="77777777" w:rsidR="00851B45" w:rsidRDefault="00851B45" w:rsidP="00851B45">
            <w:pPr>
              <w:pStyle w:val="TableText"/>
              <w:jc w:val="right"/>
            </w:pPr>
          </w:p>
        </w:tc>
        <w:tc>
          <w:tcPr>
            <w:tcW w:w="964" w:type="dxa"/>
            <w:tcBorders>
              <w:top w:val="single" w:sz="4" w:space="0" w:color="A6A6A6" w:themeColor="background1" w:themeShade="A6"/>
            </w:tcBorders>
          </w:tcPr>
          <w:p w14:paraId="4C59C48A" w14:textId="77777777" w:rsidR="00851B45" w:rsidRDefault="00851B45" w:rsidP="00851B45">
            <w:pPr>
              <w:pStyle w:val="TableText"/>
              <w:jc w:val="right"/>
            </w:pPr>
          </w:p>
        </w:tc>
      </w:tr>
      <w:tr w:rsidR="00851B45" w14:paraId="40D270F5" w14:textId="77777777" w:rsidTr="00851B45">
        <w:trPr>
          <w:trHeight w:val="347"/>
        </w:trPr>
        <w:tc>
          <w:tcPr>
            <w:tcW w:w="4813" w:type="dxa"/>
          </w:tcPr>
          <w:p w14:paraId="6262CA9B" w14:textId="77777777" w:rsidR="00851B45" w:rsidRDefault="00851B45" w:rsidP="00851B45">
            <w:pPr>
              <w:pStyle w:val="TableText"/>
            </w:pPr>
            <w:r>
              <w:rPr>
                <w:w w:val="105"/>
              </w:rPr>
              <w:t>At</w:t>
            </w:r>
            <w:r>
              <w:rPr>
                <w:spacing w:val="-1"/>
                <w:w w:val="105"/>
              </w:rPr>
              <w:t xml:space="preserve"> </w:t>
            </w:r>
            <w:r>
              <w:rPr>
                <w:w w:val="105"/>
              </w:rPr>
              <w:t>30</w:t>
            </w:r>
            <w:r>
              <w:rPr>
                <w:spacing w:val="-1"/>
                <w:w w:val="105"/>
              </w:rPr>
              <w:t xml:space="preserve"> </w:t>
            </w:r>
            <w:r>
              <w:rPr>
                <w:w w:val="105"/>
              </w:rPr>
              <w:t>June</w:t>
            </w:r>
            <w:r>
              <w:rPr>
                <w:spacing w:val="-1"/>
                <w:w w:val="105"/>
              </w:rPr>
              <w:t xml:space="preserve"> </w:t>
            </w:r>
            <w:r>
              <w:rPr>
                <w:w w:val="105"/>
              </w:rPr>
              <w:t>2020 (restated)</w:t>
            </w:r>
          </w:p>
        </w:tc>
        <w:tc>
          <w:tcPr>
            <w:tcW w:w="1559" w:type="dxa"/>
          </w:tcPr>
          <w:p w14:paraId="03037BEC" w14:textId="77777777" w:rsidR="00851B45" w:rsidRDefault="00851B45" w:rsidP="00851B45">
            <w:pPr>
              <w:pStyle w:val="TableText"/>
              <w:jc w:val="right"/>
            </w:pPr>
            <w:r>
              <w:rPr>
                <w:w w:val="110"/>
              </w:rPr>
              <w:t>502</w:t>
            </w:r>
          </w:p>
        </w:tc>
        <w:tc>
          <w:tcPr>
            <w:tcW w:w="1276" w:type="dxa"/>
          </w:tcPr>
          <w:p w14:paraId="37B5B785" w14:textId="77777777" w:rsidR="00851B45" w:rsidRDefault="00851B45" w:rsidP="00851B45">
            <w:pPr>
              <w:pStyle w:val="TableText"/>
              <w:jc w:val="right"/>
            </w:pPr>
            <w:r>
              <w:t>21,016</w:t>
            </w:r>
          </w:p>
        </w:tc>
        <w:tc>
          <w:tcPr>
            <w:tcW w:w="964" w:type="dxa"/>
          </w:tcPr>
          <w:p w14:paraId="514E384B" w14:textId="77777777" w:rsidR="00851B45" w:rsidRDefault="00851B45" w:rsidP="00851B45">
            <w:pPr>
              <w:pStyle w:val="TableText"/>
              <w:jc w:val="right"/>
            </w:pPr>
            <w:r>
              <w:t>21,518</w:t>
            </w:r>
          </w:p>
        </w:tc>
      </w:tr>
      <w:tr w:rsidR="00851B45" w14:paraId="12B17D09" w14:textId="77777777" w:rsidTr="00851B45">
        <w:trPr>
          <w:trHeight w:val="346"/>
        </w:trPr>
        <w:tc>
          <w:tcPr>
            <w:tcW w:w="4813" w:type="dxa"/>
          </w:tcPr>
          <w:p w14:paraId="64444D6E" w14:textId="77777777" w:rsidR="00851B45" w:rsidRDefault="00851B45" w:rsidP="00851B45">
            <w:pPr>
              <w:pStyle w:val="TableText"/>
            </w:pPr>
            <w:r>
              <w:rPr>
                <w:w w:val="105"/>
              </w:rPr>
              <w:t>At</w:t>
            </w:r>
            <w:r>
              <w:rPr>
                <w:spacing w:val="-12"/>
                <w:w w:val="105"/>
              </w:rPr>
              <w:t xml:space="preserve"> </w:t>
            </w:r>
            <w:r>
              <w:rPr>
                <w:w w:val="105"/>
              </w:rPr>
              <w:t>30</w:t>
            </w:r>
            <w:r>
              <w:rPr>
                <w:spacing w:val="-11"/>
                <w:w w:val="105"/>
              </w:rPr>
              <w:t xml:space="preserve"> </w:t>
            </w:r>
            <w:r>
              <w:rPr>
                <w:w w:val="105"/>
              </w:rPr>
              <w:t>June</w:t>
            </w:r>
            <w:r>
              <w:rPr>
                <w:spacing w:val="-11"/>
                <w:w w:val="105"/>
              </w:rPr>
              <w:t xml:space="preserve"> </w:t>
            </w:r>
            <w:r>
              <w:rPr>
                <w:w w:val="105"/>
              </w:rPr>
              <w:t>2021</w:t>
            </w:r>
            <w:r>
              <w:rPr>
                <w:spacing w:val="-11"/>
                <w:w w:val="105"/>
              </w:rPr>
              <w:t xml:space="preserve"> </w:t>
            </w:r>
            <w:r>
              <w:rPr>
                <w:w w:val="105"/>
              </w:rPr>
              <w:t>(restated)</w:t>
            </w:r>
          </w:p>
        </w:tc>
        <w:tc>
          <w:tcPr>
            <w:tcW w:w="1559" w:type="dxa"/>
          </w:tcPr>
          <w:p w14:paraId="2B5B5A6A" w14:textId="77777777" w:rsidR="00851B45" w:rsidRDefault="00851B45" w:rsidP="00851B45">
            <w:pPr>
              <w:pStyle w:val="TableText"/>
              <w:jc w:val="right"/>
            </w:pPr>
            <w:r>
              <w:rPr>
                <w:w w:val="110"/>
              </w:rPr>
              <w:t>354</w:t>
            </w:r>
          </w:p>
        </w:tc>
        <w:tc>
          <w:tcPr>
            <w:tcW w:w="1276" w:type="dxa"/>
          </w:tcPr>
          <w:p w14:paraId="6AA86C19" w14:textId="77777777" w:rsidR="00851B45" w:rsidRDefault="00851B45" w:rsidP="00851B45">
            <w:pPr>
              <w:pStyle w:val="TableText"/>
              <w:jc w:val="right"/>
            </w:pPr>
            <w:r>
              <w:t>14,082</w:t>
            </w:r>
          </w:p>
        </w:tc>
        <w:tc>
          <w:tcPr>
            <w:tcW w:w="964" w:type="dxa"/>
          </w:tcPr>
          <w:p w14:paraId="5A47E1E2" w14:textId="77777777" w:rsidR="00851B45" w:rsidRDefault="00851B45" w:rsidP="00851B45">
            <w:pPr>
              <w:pStyle w:val="TableText"/>
              <w:jc w:val="right"/>
            </w:pPr>
            <w:r>
              <w:t>14,436</w:t>
            </w:r>
          </w:p>
        </w:tc>
      </w:tr>
      <w:tr w:rsidR="00851B45" w14:paraId="3578797A" w14:textId="77777777" w:rsidTr="00851B45">
        <w:trPr>
          <w:trHeight w:val="291"/>
        </w:trPr>
        <w:tc>
          <w:tcPr>
            <w:tcW w:w="4813" w:type="dxa"/>
            <w:tcBorders>
              <w:bottom w:val="single" w:sz="4" w:space="0" w:color="A6A6A6" w:themeColor="background1" w:themeShade="A6"/>
            </w:tcBorders>
          </w:tcPr>
          <w:p w14:paraId="3E168542" w14:textId="77777777" w:rsidR="00851B45" w:rsidRDefault="00851B45" w:rsidP="00851B45">
            <w:pPr>
              <w:pStyle w:val="TableText"/>
              <w:rPr>
                <w:b/>
              </w:rPr>
            </w:pPr>
            <w:r>
              <w:rPr>
                <w:b/>
                <w:w w:val="105"/>
              </w:rPr>
              <w:t>At</w:t>
            </w:r>
            <w:r>
              <w:rPr>
                <w:b/>
                <w:spacing w:val="-4"/>
                <w:w w:val="105"/>
              </w:rPr>
              <w:t xml:space="preserve"> </w:t>
            </w:r>
            <w:r>
              <w:rPr>
                <w:b/>
                <w:w w:val="105"/>
              </w:rPr>
              <w:t>30</w:t>
            </w:r>
            <w:r>
              <w:rPr>
                <w:b/>
                <w:spacing w:val="-4"/>
                <w:w w:val="105"/>
              </w:rPr>
              <w:t xml:space="preserve"> </w:t>
            </w:r>
            <w:r>
              <w:rPr>
                <w:b/>
                <w:w w:val="105"/>
              </w:rPr>
              <w:t>June</w:t>
            </w:r>
            <w:r>
              <w:rPr>
                <w:b/>
                <w:spacing w:val="-3"/>
                <w:w w:val="105"/>
              </w:rPr>
              <w:t xml:space="preserve"> </w:t>
            </w:r>
            <w:r>
              <w:rPr>
                <w:b/>
                <w:w w:val="105"/>
              </w:rPr>
              <w:t>2022</w:t>
            </w:r>
          </w:p>
        </w:tc>
        <w:tc>
          <w:tcPr>
            <w:tcW w:w="1559" w:type="dxa"/>
            <w:tcBorders>
              <w:bottom w:val="single" w:sz="4" w:space="0" w:color="A6A6A6" w:themeColor="background1" w:themeShade="A6"/>
            </w:tcBorders>
          </w:tcPr>
          <w:p w14:paraId="0102F74B" w14:textId="77777777" w:rsidR="00851B45" w:rsidRDefault="00851B45" w:rsidP="00851B45">
            <w:pPr>
              <w:pStyle w:val="TableText"/>
              <w:jc w:val="right"/>
              <w:rPr>
                <w:b/>
              </w:rPr>
            </w:pPr>
            <w:r>
              <w:rPr>
                <w:b/>
                <w:w w:val="105"/>
              </w:rPr>
              <w:t>378</w:t>
            </w:r>
          </w:p>
        </w:tc>
        <w:tc>
          <w:tcPr>
            <w:tcW w:w="1276" w:type="dxa"/>
            <w:tcBorders>
              <w:bottom w:val="single" w:sz="4" w:space="0" w:color="A6A6A6" w:themeColor="background1" w:themeShade="A6"/>
            </w:tcBorders>
          </w:tcPr>
          <w:p w14:paraId="69D5A234" w14:textId="77777777" w:rsidR="00851B45" w:rsidRDefault="00851B45" w:rsidP="00851B45">
            <w:pPr>
              <w:pStyle w:val="TableText"/>
              <w:jc w:val="right"/>
              <w:rPr>
                <w:b/>
              </w:rPr>
            </w:pPr>
            <w:r>
              <w:rPr>
                <w:b/>
              </w:rPr>
              <w:t>14,029</w:t>
            </w:r>
          </w:p>
        </w:tc>
        <w:tc>
          <w:tcPr>
            <w:tcW w:w="964" w:type="dxa"/>
            <w:tcBorders>
              <w:bottom w:val="single" w:sz="4" w:space="0" w:color="A6A6A6" w:themeColor="background1" w:themeShade="A6"/>
            </w:tcBorders>
          </w:tcPr>
          <w:p w14:paraId="43BC9A4E" w14:textId="77777777" w:rsidR="00851B45" w:rsidRDefault="00851B45" w:rsidP="00851B45">
            <w:pPr>
              <w:pStyle w:val="TableText"/>
              <w:jc w:val="right"/>
              <w:rPr>
                <w:b/>
              </w:rPr>
            </w:pPr>
            <w:r>
              <w:rPr>
                <w:b/>
              </w:rPr>
              <w:t>14,407</w:t>
            </w:r>
          </w:p>
        </w:tc>
      </w:tr>
    </w:tbl>
    <w:p w14:paraId="5E450AE9" w14:textId="77777777" w:rsidR="00851B45" w:rsidRPr="00851B45" w:rsidRDefault="00851B45" w:rsidP="00851B45">
      <w:pPr>
        <w:pStyle w:val="Heading5"/>
        <w:rPr>
          <w:lang w:val="en-GB" w:eastAsia="en-US"/>
        </w:rPr>
      </w:pPr>
      <w:r w:rsidRPr="00851B45">
        <w:rPr>
          <w:lang w:val="en-GB" w:eastAsia="en-US"/>
        </w:rPr>
        <w:t>Work in Progress</w:t>
      </w:r>
    </w:p>
    <w:p w14:paraId="19C075FF" w14:textId="77777777" w:rsidR="00851B45" w:rsidRPr="00851B45" w:rsidRDefault="00851B45" w:rsidP="00851B45">
      <w:pPr>
        <w:rPr>
          <w:rFonts w:eastAsia="Arial Unicode MS"/>
          <w:lang w:val="en-GB" w:eastAsia="en-US"/>
        </w:rPr>
      </w:pPr>
      <w:r w:rsidRPr="00851B45">
        <w:rPr>
          <w:rFonts w:eastAsia="Arial Unicode MS"/>
          <w:lang w:val="en-GB" w:eastAsia="en-US"/>
        </w:rPr>
        <w:t>The Ministry has a number of IT projects in progress, mainly relating to Hira, resulting in work in progress of $6.269 million (2021: $2.251 million restated).</w:t>
      </w:r>
    </w:p>
    <w:p w14:paraId="077B79F4" w14:textId="77777777" w:rsidR="00851B45" w:rsidRPr="00851B45" w:rsidRDefault="00851B45" w:rsidP="00851B45">
      <w:pPr>
        <w:pStyle w:val="Heading5"/>
        <w:rPr>
          <w:lang w:val="en-GB" w:eastAsia="en-US"/>
        </w:rPr>
      </w:pPr>
      <w:r w:rsidRPr="00851B45">
        <w:rPr>
          <w:lang w:val="en-GB" w:eastAsia="en-US"/>
        </w:rPr>
        <w:t>Restrictions</w:t>
      </w:r>
    </w:p>
    <w:p w14:paraId="27022F9A" w14:textId="77777777" w:rsidR="00851B45" w:rsidRPr="00851B45" w:rsidRDefault="00851B45" w:rsidP="00851B45">
      <w:pPr>
        <w:rPr>
          <w:rFonts w:eastAsia="Arial Unicode MS"/>
          <w:lang w:val="en-GB" w:eastAsia="en-US"/>
        </w:rPr>
      </w:pPr>
      <w:r w:rsidRPr="00851B45">
        <w:rPr>
          <w:rFonts w:eastAsia="Arial Unicode MS"/>
          <w:lang w:val="en-GB" w:eastAsia="en-US"/>
        </w:rPr>
        <w:t>There are no restrictions over the title of the Ministry’s intangible assets.</w:t>
      </w:r>
    </w:p>
    <w:p w14:paraId="19E8F5FF" w14:textId="77777777" w:rsidR="00851B45" w:rsidRPr="00851B45" w:rsidRDefault="00851B45" w:rsidP="00851B45">
      <w:pPr>
        <w:pStyle w:val="Heading5"/>
        <w:rPr>
          <w:lang w:val="en-GB" w:eastAsia="en-US"/>
        </w:rPr>
      </w:pPr>
      <w:r w:rsidRPr="00851B45">
        <w:rPr>
          <w:lang w:val="en-GB" w:eastAsia="en-US"/>
        </w:rPr>
        <w:t>Explanation of major variances against budget</w:t>
      </w:r>
    </w:p>
    <w:p w14:paraId="19320351" w14:textId="77777777" w:rsidR="00851B45" w:rsidRPr="00851B45" w:rsidRDefault="00851B45" w:rsidP="00851B45">
      <w:pPr>
        <w:rPr>
          <w:rFonts w:eastAsia="Arial Unicode MS"/>
          <w:lang w:val="en-GB" w:eastAsia="en-US"/>
        </w:rPr>
      </w:pPr>
      <w:r w:rsidRPr="00851B45">
        <w:rPr>
          <w:rFonts w:eastAsia="Arial Unicode MS"/>
          <w:lang w:val="en-GB" w:eastAsia="en-US"/>
        </w:rPr>
        <w:t>Intangible assets were $44.442 million lower than budget which reflected the changes in accounting policy for SaaS. Last year’s intangible assets were reduced by $27.792 million while current year SaaS spend was recognised under computer services in other expenses rather than intangible assets.</w:t>
      </w:r>
    </w:p>
    <w:p w14:paraId="2EB5FF70" w14:textId="77777777" w:rsidR="00851B45" w:rsidRPr="00851B45" w:rsidRDefault="00851B45" w:rsidP="00851B45">
      <w:pPr>
        <w:rPr>
          <w:rFonts w:eastAsia="Arial Unicode MS"/>
          <w:lang w:val="en-GB" w:eastAsia="en-US"/>
        </w:rPr>
      </w:pPr>
    </w:p>
    <w:p w14:paraId="17152A55" w14:textId="77777777" w:rsidR="00851B45" w:rsidRPr="00851B45" w:rsidRDefault="00851B45" w:rsidP="00851B45">
      <w:pPr>
        <w:pStyle w:val="Heading4"/>
        <w:rPr>
          <w:lang w:val="en-GB" w:eastAsia="en-US"/>
        </w:rPr>
      </w:pPr>
      <w:r w:rsidRPr="00851B45">
        <w:rPr>
          <w:lang w:val="en-GB" w:eastAsia="en-US"/>
        </w:rPr>
        <w:lastRenderedPageBreak/>
        <w:t>8</w:t>
      </w:r>
      <w:r w:rsidRPr="00851B45">
        <w:rPr>
          <w:lang w:val="en-GB" w:eastAsia="en-US"/>
        </w:rPr>
        <w:tab/>
        <w:t>Payables</w:t>
      </w:r>
    </w:p>
    <w:p w14:paraId="2205ACAA" w14:textId="77777777" w:rsidR="00851B45" w:rsidRPr="00851B45" w:rsidRDefault="00851B45" w:rsidP="00851B45">
      <w:pPr>
        <w:pStyle w:val="Heading5"/>
        <w:rPr>
          <w:lang w:val="en-GB" w:eastAsia="en-US"/>
        </w:rPr>
      </w:pPr>
      <w:r w:rsidRPr="00851B45">
        <w:rPr>
          <w:lang w:val="en-GB" w:eastAsia="en-US"/>
        </w:rPr>
        <w:t>Accounting policy</w:t>
      </w:r>
    </w:p>
    <w:p w14:paraId="4EBDA88F" w14:textId="3DF9FFF8" w:rsidR="00851B45" w:rsidRDefault="00851B45" w:rsidP="00851B45">
      <w:pPr>
        <w:rPr>
          <w:rFonts w:eastAsia="Arial Unicode MS"/>
          <w:lang w:val="en-GB" w:eastAsia="en-US"/>
        </w:rPr>
      </w:pPr>
      <w:r w:rsidRPr="00851B45">
        <w:rPr>
          <w:rFonts w:eastAsia="Arial Unicode MS"/>
          <w:lang w:val="en-GB" w:eastAsia="en-US"/>
        </w:rPr>
        <w:t>Short-term payables are measured at the amount payable.</w:t>
      </w:r>
    </w:p>
    <w:p w14:paraId="3ADD97F3" w14:textId="77777777" w:rsidR="00851B45" w:rsidRPr="00851B45" w:rsidRDefault="00851B45" w:rsidP="00851B45">
      <w:pPr>
        <w:rPr>
          <w:rFonts w:eastAsia="Arial Unicode MS"/>
          <w:lang w:val="en-GB" w:eastAsia="en-US"/>
        </w:rPr>
      </w:pPr>
    </w:p>
    <w:p w14:paraId="74738207" w14:textId="216F6EF0" w:rsidR="00851B45" w:rsidRDefault="00851B45" w:rsidP="00851B45">
      <w:pPr>
        <w:rPr>
          <w:rFonts w:eastAsia="Arial Unicode MS"/>
          <w:lang w:val="en-GB" w:eastAsia="en-US"/>
        </w:rPr>
      </w:pPr>
      <w:r w:rsidRPr="00851B45">
        <w:rPr>
          <w:rFonts w:eastAsia="Arial Unicode MS"/>
          <w:lang w:val="en-GB" w:eastAsia="en-US"/>
        </w:rPr>
        <w:t>Revenue in advance are fees received in advance in relation to new medicine applications.</w:t>
      </w:r>
    </w:p>
    <w:p w14:paraId="4AFF9EF1" w14:textId="77777777" w:rsidR="00851B45" w:rsidRDefault="00851B45" w:rsidP="00851B45">
      <w:pPr>
        <w:rPr>
          <w:rFonts w:eastAsia="Arial Unicode MS"/>
          <w:lang w:val="en-GB" w:eastAsia="en-US"/>
        </w:rPr>
      </w:pPr>
    </w:p>
    <w:tbl>
      <w:tblPr>
        <w:tblW w:w="8275" w:type="dxa"/>
        <w:tblLayout w:type="fixed"/>
        <w:tblCellMar>
          <w:left w:w="0" w:type="dxa"/>
          <w:right w:w="0" w:type="dxa"/>
        </w:tblCellMar>
        <w:tblLook w:val="01E0" w:firstRow="1" w:lastRow="1" w:firstColumn="1" w:lastColumn="1" w:noHBand="0" w:noVBand="0"/>
      </w:tblPr>
      <w:tblGrid>
        <w:gridCol w:w="1134"/>
        <w:gridCol w:w="4169"/>
        <w:gridCol w:w="2972"/>
      </w:tblGrid>
      <w:tr w:rsidR="00851B45" w:rsidRPr="00851B45" w14:paraId="1F605204" w14:textId="77777777" w:rsidTr="00851B45">
        <w:trPr>
          <w:trHeight w:val="829"/>
        </w:trPr>
        <w:tc>
          <w:tcPr>
            <w:tcW w:w="1134" w:type="dxa"/>
            <w:shd w:val="clear" w:color="auto" w:fill="D9D9D9" w:themeFill="background1" w:themeFillShade="D9"/>
          </w:tcPr>
          <w:p w14:paraId="44AC668E" w14:textId="77777777" w:rsidR="00851B45" w:rsidRPr="00851B45" w:rsidRDefault="00851B45" w:rsidP="00851B45">
            <w:pPr>
              <w:pStyle w:val="TableText"/>
              <w:jc w:val="right"/>
              <w:rPr>
                <w:b/>
                <w:bCs/>
              </w:rPr>
            </w:pPr>
            <w:r w:rsidRPr="00851B45">
              <w:rPr>
                <w:b/>
                <w:bCs/>
              </w:rPr>
              <w:t>Actual</w:t>
            </w:r>
          </w:p>
          <w:p w14:paraId="24E724F0" w14:textId="77777777" w:rsidR="00851B45" w:rsidRPr="00851B45" w:rsidRDefault="00851B45" w:rsidP="00851B45">
            <w:pPr>
              <w:pStyle w:val="TableText"/>
              <w:jc w:val="right"/>
              <w:rPr>
                <w:b/>
                <w:bCs/>
              </w:rPr>
            </w:pPr>
            <w:r w:rsidRPr="00851B45">
              <w:rPr>
                <w:b/>
                <w:bCs/>
              </w:rPr>
              <w:t>2021</w:t>
            </w:r>
          </w:p>
          <w:p w14:paraId="5280CC60" w14:textId="77777777" w:rsidR="00851B45" w:rsidRPr="00851B45" w:rsidRDefault="00851B45" w:rsidP="00851B45">
            <w:pPr>
              <w:pStyle w:val="TableText"/>
              <w:jc w:val="right"/>
              <w:rPr>
                <w:b/>
                <w:bCs/>
              </w:rPr>
            </w:pPr>
            <w:r w:rsidRPr="00851B45">
              <w:rPr>
                <w:b/>
                <w:bCs/>
              </w:rPr>
              <w:t>$000</w:t>
            </w:r>
          </w:p>
        </w:tc>
        <w:tc>
          <w:tcPr>
            <w:tcW w:w="4169" w:type="dxa"/>
            <w:shd w:val="clear" w:color="auto" w:fill="D9D9D9" w:themeFill="background1" w:themeFillShade="D9"/>
          </w:tcPr>
          <w:p w14:paraId="322D59C4" w14:textId="77777777" w:rsidR="00851B45" w:rsidRPr="00851B45" w:rsidRDefault="00851B45" w:rsidP="00851B45">
            <w:pPr>
              <w:pStyle w:val="TableText"/>
              <w:rPr>
                <w:b/>
                <w:bCs/>
              </w:rPr>
            </w:pPr>
          </w:p>
        </w:tc>
        <w:tc>
          <w:tcPr>
            <w:tcW w:w="2972" w:type="dxa"/>
            <w:shd w:val="clear" w:color="auto" w:fill="D9D9D9" w:themeFill="background1" w:themeFillShade="D9"/>
          </w:tcPr>
          <w:p w14:paraId="10D97458" w14:textId="08EA406C" w:rsidR="00851B45" w:rsidRPr="00851B45" w:rsidRDefault="00851B45" w:rsidP="00851B45">
            <w:pPr>
              <w:pStyle w:val="TableText"/>
              <w:jc w:val="right"/>
              <w:rPr>
                <w:b/>
                <w:bCs/>
              </w:rPr>
            </w:pPr>
            <w:r w:rsidRPr="00851B45">
              <w:rPr>
                <w:b/>
                <w:bCs/>
              </w:rPr>
              <w:t xml:space="preserve">Actual </w:t>
            </w:r>
            <w:r>
              <w:rPr>
                <w:b/>
                <w:bCs/>
              </w:rPr>
              <w:br/>
            </w:r>
            <w:r w:rsidRPr="00851B45">
              <w:rPr>
                <w:b/>
                <w:bCs/>
              </w:rPr>
              <w:t>2022</w:t>
            </w:r>
          </w:p>
          <w:p w14:paraId="01511A08" w14:textId="77777777" w:rsidR="00851B45" w:rsidRPr="00851B45" w:rsidRDefault="00851B45" w:rsidP="00851B45">
            <w:pPr>
              <w:pStyle w:val="TableText"/>
              <w:jc w:val="right"/>
              <w:rPr>
                <w:b/>
                <w:bCs/>
              </w:rPr>
            </w:pPr>
            <w:r w:rsidRPr="00851B45">
              <w:rPr>
                <w:b/>
                <w:bCs/>
              </w:rPr>
              <w:t>$000</w:t>
            </w:r>
          </w:p>
        </w:tc>
      </w:tr>
      <w:tr w:rsidR="00851B45" w:rsidRPr="00851B45" w14:paraId="5A9B709F" w14:textId="77777777" w:rsidTr="00851B45">
        <w:trPr>
          <w:trHeight w:val="398"/>
        </w:trPr>
        <w:tc>
          <w:tcPr>
            <w:tcW w:w="1134" w:type="dxa"/>
          </w:tcPr>
          <w:p w14:paraId="4D372444" w14:textId="77777777" w:rsidR="00851B45" w:rsidRPr="00851B45" w:rsidRDefault="00851B45" w:rsidP="00851B45">
            <w:pPr>
              <w:pStyle w:val="TableText"/>
              <w:jc w:val="right"/>
            </w:pPr>
            <w:r w:rsidRPr="00851B45">
              <w:t>3,538</w:t>
            </w:r>
          </w:p>
        </w:tc>
        <w:tc>
          <w:tcPr>
            <w:tcW w:w="4169" w:type="dxa"/>
          </w:tcPr>
          <w:p w14:paraId="57772E9D" w14:textId="77777777" w:rsidR="00851B45" w:rsidRPr="00851B45" w:rsidRDefault="00851B45" w:rsidP="00851B45">
            <w:pPr>
              <w:pStyle w:val="TableText"/>
              <w:ind w:left="170"/>
            </w:pPr>
            <w:r w:rsidRPr="00851B45">
              <w:t>Creditors</w:t>
            </w:r>
          </w:p>
        </w:tc>
        <w:tc>
          <w:tcPr>
            <w:tcW w:w="2972" w:type="dxa"/>
          </w:tcPr>
          <w:p w14:paraId="12442065" w14:textId="77777777" w:rsidR="00851B45" w:rsidRPr="00851B45" w:rsidRDefault="00851B45" w:rsidP="00851B45">
            <w:pPr>
              <w:pStyle w:val="TableText"/>
              <w:jc w:val="right"/>
            </w:pPr>
            <w:r w:rsidRPr="00851B45">
              <w:t>1,909</w:t>
            </w:r>
          </w:p>
        </w:tc>
      </w:tr>
      <w:tr w:rsidR="00851B45" w:rsidRPr="00851B45" w14:paraId="1E2CD380" w14:textId="77777777" w:rsidTr="00851B45">
        <w:trPr>
          <w:trHeight w:val="349"/>
        </w:trPr>
        <w:tc>
          <w:tcPr>
            <w:tcW w:w="1134" w:type="dxa"/>
          </w:tcPr>
          <w:p w14:paraId="183C6ADE" w14:textId="77777777" w:rsidR="00851B45" w:rsidRPr="00851B45" w:rsidRDefault="00851B45" w:rsidP="00851B45">
            <w:pPr>
              <w:pStyle w:val="TableText"/>
              <w:jc w:val="right"/>
            </w:pPr>
            <w:r w:rsidRPr="00851B45">
              <w:t>3,302</w:t>
            </w:r>
          </w:p>
        </w:tc>
        <w:tc>
          <w:tcPr>
            <w:tcW w:w="4169" w:type="dxa"/>
          </w:tcPr>
          <w:p w14:paraId="60DC77BA" w14:textId="77777777" w:rsidR="00851B45" w:rsidRPr="00851B45" w:rsidRDefault="00851B45" w:rsidP="00851B45">
            <w:pPr>
              <w:pStyle w:val="TableText"/>
              <w:ind w:left="170"/>
            </w:pPr>
            <w:r w:rsidRPr="00851B45">
              <w:t>Revenue in advance</w:t>
            </w:r>
          </w:p>
        </w:tc>
        <w:tc>
          <w:tcPr>
            <w:tcW w:w="2972" w:type="dxa"/>
          </w:tcPr>
          <w:p w14:paraId="04E9F370" w14:textId="77777777" w:rsidR="00851B45" w:rsidRPr="00851B45" w:rsidRDefault="00851B45" w:rsidP="00851B45">
            <w:pPr>
              <w:pStyle w:val="TableText"/>
              <w:jc w:val="right"/>
            </w:pPr>
            <w:r w:rsidRPr="00851B45">
              <w:t>3,459</w:t>
            </w:r>
          </w:p>
        </w:tc>
      </w:tr>
      <w:tr w:rsidR="00851B45" w:rsidRPr="00851B45" w14:paraId="549CF06D" w14:textId="77777777" w:rsidTr="00851B45">
        <w:trPr>
          <w:trHeight w:val="349"/>
        </w:trPr>
        <w:tc>
          <w:tcPr>
            <w:tcW w:w="1134" w:type="dxa"/>
          </w:tcPr>
          <w:p w14:paraId="38BA97BD" w14:textId="77777777" w:rsidR="00851B45" w:rsidRPr="00851B45" w:rsidRDefault="00851B45" w:rsidP="00851B45">
            <w:pPr>
              <w:pStyle w:val="TableText"/>
              <w:jc w:val="right"/>
            </w:pPr>
            <w:r w:rsidRPr="00851B45">
              <w:t>42,754</w:t>
            </w:r>
          </w:p>
        </w:tc>
        <w:tc>
          <w:tcPr>
            <w:tcW w:w="4169" w:type="dxa"/>
          </w:tcPr>
          <w:p w14:paraId="695BF703" w14:textId="77777777" w:rsidR="00851B45" w:rsidRPr="00851B45" w:rsidRDefault="00851B45" w:rsidP="00851B45">
            <w:pPr>
              <w:pStyle w:val="TableText"/>
              <w:ind w:left="170"/>
            </w:pPr>
            <w:r w:rsidRPr="00851B45">
              <w:t>Accrued expenses</w:t>
            </w:r>
          </w:p>
        </w:tc>
        <w:tc>
          <w:tcPr>
            <w:tcW w:w="2972" w:type="dxa"/>
          </w:tcPr>
          <w:p w14:paraId="082027A1" w14:textId="77777777" w:rsidR="00851B45" w:rsidRPr="00851B45" w:rsidRDefault="00851B45" w:rsidP="00851B45">
            <w:pPr>
              <w:pStyle w:val="TableText"/>
              <w:jc w:val="right"/>
            </w:pPr>
            <w:r w:rsidRPr="00851B45">
              <w:t>74,404</w:t>
            </w:r>
          </w:p>
        </w:tc>
      </w:tr>
      <w:tr w:rsidR="00851B45" w:rsidRPr="00851B45" w14:paraId="5B92A1C3" w14:textId="77777777" w:rsidTr="00851B45">
        <w:trPr>
          <w:trHeight w:val="346"/>
        </w:trPr>
        <w:tc>
          <w:tcPr>
            <w:tcW w:w="1134" w:type="dxa"/>
          </w:tcPr>
          <w:p w14:paraId="23C0747E" w14:textId="77777777" w:rsidR="00851B45" w:rsidRPr="00851B45" w:rsidRDefault="00851B45" w:rsidP="00851B45">
            <w:pPr>
              <w:pStyle w:val="TableText"/>
              <w:jc w:val="right"/>
            </w:pPr>
            <w:r w:rsidRPr="00851B45">
              <w:t>3,143</w:t>
            </w:r>
          </w:p>
        </w:tc>
        <w:tc>
          <w:tcPr>
            <w:tcW w:w="4169" w:type="dxa"/>
          </w:tcPr>
          <w:p w14:paraId="2941D905" w14:textId="77777777" w:rsidR="00851B45" w:rsidRPr="00851B45" w:rsidRDefault="00851B45" w:rsidP="00851B45">
            <w:pPr>
              <w:pStyle w:val="TableText"/>
              <w:ind w:left="170"/>
            </w:pPr>
            <w:r w:rsidRPr="00851B45">
              <w:t>GST payable</w:t>
            </w:r>
          </w:p>
        </w:tc>
        <w:tc>
          <w:tcPr>
            <w:tcW w:w="2972" w:type="dxa"/>
          </w:tcPr>
          <w:p w14:paraId="5E2F6716" w14:textId="77777777" w:rsidR="00851B45" w:rsidRPr="00851B45" w:rsidRDefault="00851B45" w:rsidP="00851B45">
            <w:pPr>
              <w:pStyle w:val="TableText"/>
              <w:jc w:val="right"/>
            </w:pPr>
            <w:r w:rsidRPr="00851B45">
              <w:t>27,143</w:t>
            </w:r>
          </w:p>
        </w:tc>
      </w:tr>
      <w:tr w:rsidR="00851B45" w:rsidRPr="00447157" w14:paraId="326060FD" w14:textId="77777777" w:rsidTr="00851B45">
        <w:trPr>
          <w:trHeight w:val="291"/>
        </w:trPr>
        <w:tc>
          <w:tcPr>
            <w:tcW w:w="1134" w:type="dxa"/>
            <w:tcBorders>
              <w:bottom w:val="single" w:sz="4" w:space="0" w:color="A6A6A6" w:themeColor="background1" w:themeShade="A6"/>
            </w:tcBorders>
          </w:tcPr>
          <w:p w14:paraId="2354AFD3" w14:textId="77777777" w:rsidR="00851B45" w:rsidRPr="00447157" w:rsidRDefault="00851B45" w:rsidP="00851B45">
            <w:pPr>
              <w:pStyle w:val="TableText"/>
              <w:jc w:val="right"/>
              <w:rPr>
                <w:b/>
                <w:bCs/>
              </w:rPr>
            </w:pPr>
            <w:r w:rsidRPr="00447157">
              <w:rPr>
                <w:b/>
                <w:bCs/>
              </w:rPr>
              <w:t>52,737</w:t>
            </w:r>
          </w:p>
        </w:tc>
        <w:tc>
          <w:tcPr>
            <w:tcW w:w="4169" w:type="dxa"/>
            <w:tcBorders>
              <w:bottom w:val="single" w:sz="4" w:space="0" w:color="A6A6A6" w:themeColor="background1" w:themeShade="A6"/>
            </w:tcBorders>
          </w:tcPr>
          <w:p w14:paraId="02EA0068" w14:textId="77777777" w:rsidR="00851B45" w:rsidRPr="00447157" w:rsidRDefault="00851B45" w:rsidP="00851B45">
            <w:pPr>
              <w:pStyle w:val="TableText"/>
              <w:ind w:left="170"/>
              <w:rPr>
                <w:b/>
                <w:bCs/>
              </w:rPr>
            </w:pPr>
            <w:r w:rsidRPr="00447157">
              <w:rPr>
                <w:b/>
                <w:bCs/>
              </w:rPr>
              <w:t>Total payables</w:t>
            </w:r>
          </w:p>
        </w:tc>
        <w:tc>
          <w:tcPr>
            <w:tcW w:w="2972" w:type="dxa"/>
            <w:tcBorders>
              <w:bottom w:val="single" w:sz="4" w:space="0" w:color="A6A6A6" w:themeColor="background1" w:themeShade="A6"/>
            </w:tcBorders>
          </w:tcPr>
          <w:p w14:paraId="661E4595" w14:textId="77777777" w:rsidR="00851B45" w:rsidRPr="00447157" w:rsidRDefault="00851B45" w:rsidP="00851B45">
            <w:pPr>
              <w:pStyle w:val="TableText"/>
              <w:jc w:val="right"/>
              <w:rPr>
                <w:b/>
                <w:bCs/>
              </w:rPr>
            </w:pPr>
            <w:r w:rsidRPr="00447157">
              <w:rPr>
                <w:b/>
                <w:bCs/>
              </w:rPr>
              <w:t>106,915</w:t>
            </w:r>
          </w:p>
        </w:tc>
      </w:tr>
    </w:tbl>
    <w:p w14:paraId="41A87C11" w14:textId="77777777" w:rsidR="00851B45" w:rsidRPr="00851B45" w:rsidRDefault="00851B45" w:rsidP="00851B45">
      <w:pPr>
        <w:pStyle w:val="Heading5"/>
        <w:rPr>
          <w:lang w:val="en-GB" w:eastAsia="en-US"/>
        </w:rPr>
      </w:pPr>
      <w:r w:rsidRPr="00851B45">
        <w:rPr>
          <w:lang w:val="en-GB" w:eastAsia="en-US"/>
        </w:rPr>
        <w:t>Explanation of major variances against budget</w:t>
      </w:r>
    </w:p>
    <w:p w14:paraId="77AC7502" w14:textId="77777777" w:rsidR="00851B45" w:rsidRPr="00851B45" w:rsidRDefault="00851B45" w:rsidP="00851B45">
      <w:pPr>
        <w:rPr>
          <w:rFonts w:eastAsia="Arial Unicode MS"/>
          <w:lang w:val="en-GB" w:eastAsia="en-US"/>
        </w:rPr>
      </w:pPr>
      <w:r w:rsidRPr="00851B45">
        <w:rPr>
          <w:rFonts w:eastAsia="Arial Unicode MS"/>
          <w:lang w:val="en-GB" w:eastAsia="en-US"/>
        </w:rPr>
        <w:t>Payables were $84.073 million higher than the budget due to higher accrued expenses at the end of the year as a result of higher expenses this year compared to the original</w:t>
      </w:r>
    </w:p>
    <w:p w14:paraId="12DCDD89" w14:textId="77777777" w:rsidR="00851B45" w:rsidRDefault="00851B45" w:rsidP="00851B45">
      <w:pPr>
        <w:rPr>
          <w:rFonts w:eastAsia="Arial Unicode MS"/>
          <w:lang w:val="en-GB" w:eastAsia="en-US"/>
        </w:rPr>
      </w:pPr>
      <w:r w:rsidRPr="00851B45">
        <w:rPr>
          <w:rFonts w:eastAsia="Arial Unicode MS"/>
          <w:lang w:val="en-GB" w:eastAsia="en-US"/>
        </w:rPr>
        <w:t>budget and suppliers’ invoices not received and settled by 30 June 2022. Furthermore, GST payable was higher due to higher Crown revenue recognised at the end of the year and lower expenses than anticipated, therefore GST output materially exceeding GST input.</w:t>
      </w:r>
    </w:p>
    <w:p w14:paraId="128D08E4" w14:textId="77777777" w:rsidR="00851B45" w:rsidRDefault="00851B45" w:rsidP="00851B45">
      <w:pPr>
        <w:pStyle w:val="Heading4"/>
      </w:pPr>
      <w:r w:rsidRPr="00851B45">
        <w:t>9</w:t>
      </w:r>
      <w:r w:rsidRPr="00851B45">
        <w:tab/>
        <w:t>Return of operating surplus</w:t>
      </w:r>
    </w:p>
    <w:tbl>
      <w:tblPr>
        <w:tblW w:w="8332" w:type="dxa"/>
        <w:tblInd w:w="7" w:type="dxa"/>
        <w:tblLayout w:type="fixed"/>
        <w:tblCellMar>
          <w:left w:w="0" w:type="dxa"/>
          <w:right w:w="0" w:type="dxa"/>
        </w:tblCellMar>
        <w:tblLook w:val="01E0" w:firstRow="1" w:lastRow="1" w:firstColumn="1" w:lastColumn="1" w:noHBand="0" w:noVBand="0"/>
      </w:tblPr>
      <w:tblGrid>
        <w:gridCol w:w="1191"/>
        <w:gridCol w:w="5204"/>
        <w:gridCol w:w="1937"/>
      </w:tblGrid>
      <w:tr w:rsidR="00851B45" w:rsidRPr="00851B45" w14:paraId="3677374B" w14:textId="77777777" w:rsidTr="008C677C">
        <w:trPr>
          <w:trHeight w:val="924"/>
        </w:trPr>
        <w:tc>
          <w:tcPr>
            <w:tcW w:w="1191" w:type="dxa"/>
            <w:shd w:val="clear" w:color="auto" w:fill="D9D9D9" w:themeFill="background1" w:themeFillShade="D9"/>
          </w:tcPr>
          <w:p w14:paraId="05CF4378" w14:textId="77777777" w:rsidR="00851B45" w:rsidRPr="00851B45" w:rsidRDefault="00851B45" w:rsidP="00851B45">
            <w:pPr>
              <w:pStyle w:val="TableText"/>
              <w:jc w:val="right"/>
              <w:rPr>
                <w:b/>
                <w:bCs/>
              </w:rPr>
            </w:pPr>
            <w:r w:rsidRPr="00851B45">
              <w:rPr>
                <w:b/>
                <w:bCs/>
              </w:rPr>
              <w:t>Restated</w:t>
            </w:r>
          </w:p>
          <w:p w14:paraId="146A51D3" w14:textId="77777777" w:rsidR="00851B45" w:rsidRPr="00851B45" w:rsidRDefault="00851B45" w:rsidP="00851B45">
            <w:pPr>
              <w:pStyle w:val="TableText"/>
              <w:jc w:val="right"/>
              <w:rPr>
                <w:b/>
                <w:bCs/>
              </w:rPr>
            </w:pPr>
            <w:r w:rsidRPr="00851B45">
              <w:rPr>
                <w:b/>
                <w:bCs/>
              </w:rPr>
              <w:t>2021</w:t>
            </w:r>
          </w:p>
          <w:p w14:paraId="4DD1D8C1" w14:textId="77777777" w:rsidR="00851B45" w:rsidRPr="00851B45" w:rsidRDefault="00851B45" w:rsidP="00851B45">
            <w:pPr>
              <w:pStyle w:val="TableText"/>
              <w:jc w:val="right"/>
              <w:rPr>
                <w:b/>
                <w:bCs/>
              </w:rPr>
            </w:pPr>
            <w:r w:rsidRPr="00851B45">
              <w:rPr>
                <w:b/>
                <w:bCs/>
              </w:rPr>
              <w:t>$000</w:t>
            </w:r>
          </w:p>
        </w:tc>
        <w:tc>
          <w:tcPr>
            <w:tcW w:w="5204" w:type="dxa"/>
            <w:shd w:val="clear" w:color="auto" w:fill="D9D9D9" w:themeFill="background1" w:themeFillShade="D9"/>
          </w:tcPr>
          <w:p w14:paraId="06753A6F" w14:textId="77777777" w:rsidR="00851B45" w:rsidRPr="00851B45" w:rsidRDefault="00851B45" w:rsidP="00851B45">
            <w:pPr>
              <w:pStyle w:val="TableText"/>
              <w:rPr>
                <w:b/>
                <w:bCs/>
              </w:rPr>
            </w:pPr>
          </w:p>
        </w:tc>
        <w:tc>
          <w:tcPr>
            <w:tcW w:w="1937" w:type="dxa"/>
            <w:shd w:val="clear" w:color="auto" w:fill="D9D9D9" w:themeFill="background1" w:themeFillShade="D9"/>
          </w:tcPr>
          <w:p w14:paraId="5A4F7164" w14:textId="77777777" w:rsidR="00851B45" w:rsidRPr="00851B45" w:rsidRDefault="00851B45" w:rsidP="00851B45">
            <w:pPr>
              <w:pStyle w:val="TableText"/>
              <w:jc w:val="right"/>
              <w:rPr>
                <w:b/>
                <w:bCs/>
              </w:rPr>
            </w:pPr>
            <w:r w:rsidRPr="00851B45">
              <w:rPr>
                <w:b/>
                <w:bCs/>
              </w:rPr>
              <w:t>Actual</w:t>
            </w:r>
          </w:p>
          <w:p w14:paraId="73F757D5" w14:textId="77777777" w:rsidR="00851B45" w:rsidRPr="00851B45" w:rsidRDefault="00851B45" w:rsidP="00851B45">
            <w:pPr>
              <w:pStyle w:val="TableText"/>
              <w:jc w:val="right"/>
              <w:rPr>
                <w:b/>
                <w:bCs/>
              </w:rPr>
            </w:pPr>
            <w:r w:rsidRPr="00851B45">
              <w:rPr>
                <w:b/>
                <w:bCs/>
              </w:rPr>
              <w:t>2022</w:t>
            </w:r>
          </w:p>
          <w:p w14:paraId="72F1848E" w14:textId="77777777" w:rsidR="00851B45" w:rsidRPr="00851B45" w:rsidRDefault="00851B45" w:rsidP="00851B45">
            <w:pPr>
              <w:pStyle w:val="TableText"/>
              <w:jc w:val="right"/>
              <w:rPr>
                <w:b/>
                <w:bCs/>
              </w:rPr>
            </w:pPr>
            <w:r w:rsidRPr="00851B45">
              <w:rPr>
                <w:b/>
                <w:bCs/>
              </w:rPr>
              <w:t>$000</w:t>
            </w:r>
          </w:p>
        </w:tc>
      </w:tr>
      <w:tr w:rsidR="00851B45" w:rsidRPr="00851B45" w14:paraId="54943AAD" w14:textId="77777777" w:rsidTr="00851B45">
        <w:trPr>
          <w:trHeight w:val="398"/>
        </w:trPr>
        <w:tc>
          <w:tcPr>
            <w:tcW w:w="1191" w:type="dxa"/>
          </w:tcPr>
          <w:p w14:paraId="16910DE4" w14:textId="77777777" w:rsidR="00851B45" w:rsidRPr="00851B45" w:rsidRDefault="00851B45" w:rsidP="00851B45">
            <w:pPr>
              <w:pStyle w:val="TableText"/>
              <w:jc w:val="right"/>
            </w:pPr>
            <w:r w:rsidRPr="00851B45">
              <w:t>30,205</w:t>
            </w:r>
          </w:p>
        </w:tc>
        <w:tc>
          <w:tcPr>
            <w:tcW w:w="5204" w:type="dxa"/>
          </w:tcPr>
          <w:p w14:paraId="55CEAEE8" w14:textId="77777777" w:rsidR="00851B45" w:rsidRPr="00851B45" w:rsidRDefault="00851B45" w:rsidP="00851B45">
            <w:pPr>
              <w:pStyle w:val="TableText"/>
              <w:ind w:left="170"/>
            </w:pPr>
            <w:r w:rsidRPr="00851B45">
              <w:t>Net surplus/(deficit)</w:t>
            </w:r>
          </w:p>
        </w:tc>
        <w:tc>
          <w:tcPr>
            <w:tcW w:w="1937" w:type="dxa"/>
          </w:tcPr>
          <w:p w14:paraId="7518D444" w14:textId="77777777" w:rsidR="00851B45" w:rsidRPr="00851B45" w:rsidRDefault="00851B45" w:rsidP="00851B45">
            <w:pPr>
              <w:pStyle w:val="TableText"/>
              <w:jc w:val="right"/>
            </w:pPr>
            <w:r w:rsidRPr="00851B45">
              <w:t>141,252</w:t>
            </w:r>
          </w:p>
        </w:tc>
      </w:tr>
      <w:tr w:rsidR="00851B45" w:rsidRPr="00851B45" w14:paraId="1DFD9F85" w14:textId="77777777" w:rsidTr="00851B45">
        <w:trPr>
          <w:trHeight w:val="349"/>
        </w:trPr>
        <w:tc>
          <w:tcPr>
            <w:tcW w:w="1191" w:type="dxa"/>
          </w:tcPr>
          <w:p w14:paraId="559BCFFE" w14:textId="77777777" w:rsidR="00851B45" w:rsidRPr="00851B45" w:rsidRDefault="00851B45" w:rsidP="00851B45">
            <w:pPr>
              <w:pStyle w:val="TableText"/>
              <w:jc w:val="right"/>
            </w:pPr>
          </w:p>
        </w:tc>
        <w:tc>
          <w:tcPr>
            <w:tcW w:w="5204" w:type="dxa"/>
          </w:tcPr>
          <w:p w14:paraId="5587389C" w14:textId="77777777" w:rsidR="00851B45" w:rsidRPr="00851B45" w:rsidRDefault="00851B45" w:rsidP="00851B45">
            <w:pPr>
              <w:pStyle w:val="TableText"/>
              <w:ind w:left="170"/>
            </w:pPr>
            <w:r w:rsidRPr="00851B45">
              <w:t>Add:</w:t>
            </w:r>
          </w:p>
        </w:tc>
        <w:tc>
          <w:tcPr>
            <w:tcW w:w="1937" w:type="dxa"/>
          </w:tcPr>
          <w:p w14:paraId="3F93A3BF" w14:textId="77777777" w:rsidR="00851B45" w:rsidRPr="00851B45" w:rsidRDefault="00851B45" w:rsidP="00851B45">
            <w:pPr>
              <w:pStyle w:val="TableText"/>
              <w:jc w:val="right"/>
            </w:pPr>
          </w:p>
        </w:tc>
      </w:tr>
      <w:tr w:rsidR="00851B45" w:rsidRPr="00851B45" w14:paraId="7C7CE8C3" w14:textId="77777777" w:rsidTr="00851B45">
        <w:trPr>
          <w:trHeight w:val="349"/>
        </w:trPr>
        <w:tc>
          <w:tcPr>
            <w:tcW w:w="1191" w:type="dxa"/>
          </w:tcPr>
          <w:p w14:paraId="25DD6F95" w14:textId="77777777" w:rsidR="00851B45" w:rsidRPr="00851B45" w:rsidRDefault="00851B45" w:rsidP="00851B45">
            <w:pPr>
              <w:pStyle w:val="TableText"/>
              <w:jc w:val="right"/>
            </w:pPr>
            <w:r w:rsidRPr="00851B45">
              <w:t>2,249</w:t>
            </w:r>
          </w:p>
        </w:tc>
        <w:tc>
          <w:tcPr>
            <w:tcW w:w="5204" w:type="dxa"/>
          </w:tcPr>
          <w:p w14:paraId="3B0E7ECC" w14:textId="77777777" w:rsidR="00851B45" w:rsidRPr="00851B45" w:rsidRDefault="00851B45" w:rsidP="00851B45">
            <w:pPr>
              <w:pStyle w:val="TableText"/>
              <w:ind w:left="170"/>
            </w:pPr>
            <w:r w:rsidRPr="00851B45">
              <w:t>(Surplus)/deficit of memorandum accounts</w:t>
            </w:r>
          </w:p>
        </w:tc>
        <w:tc>
          <w:tcPr>
            <w:tcW w:w="1937" w:type="dxa"/>
          </w:tcPr>
          <w:p w14:paraId="36231F84" w14:textId="77777777" w:rsidR="00851B45" w:rsidRPr="00851B45" w:rsidRDefault="00851B45" w:rsidP="00851B45">
            <w:pPr>
              <w:pStyle w:val="TableText"/>
              <w:jc w:val="right"/>
            </w:pPr>
            <w:r w:rsidRPr="00851B45">
              <w:t>1,337</w:t>
            </w:r>
          </w:p>
        </w:tc>
      </w:tr>
      <w:tr w:rsidR="00851B45" w:rsidRPr="00851B45" w14:paraId="56CBC5E0" w14:textId="77777777" w:rsidTr="00851B45">
        <w:trPr>
          <w:trHeight w:val="349"/>
        </w:trPr>
        <w:tc>
          <w:tcPr>
            <w:tcW w:w="1191" w:type="dxa"/>
          </w:tcPr>
          <w:p w14:paraId="5EFA6A90" w14:textId="77777777" w:rsidR="00851B45" w:rsidRPr="00851B45" w:rsidRDefault="00851B45" w:rsidP="00851B45">
            <w:pPr>
              <w:pStyle w:val="TableText"/>
              <w:jc w:val="right"/>
            </w:pPr>
            <w:r w:rsidRPr="00851B45">
              <w:t>1,810</w:t>
            </w:r>
          </w:p>
        </w:tc>
        <w:tc>
          <w:tcPr>
            <w:tcW w:w="5204" w:type="dxa"/>
          </w:tcPr>
          <w:p w14:paraId="47D6FB8A" w14:textId="77777777" w:rsidR="00851B45" w:rsidRPr="00851B45" w:rsidRDefault="00851B45" w:rsidP="00851B45">
            <w:pPr>
              <w:pStyle w:val="TableText"/>
              <w:ind w:left="170"/>
            </w:pPr>
            <w:r w:rsidRPr="00851B45">
              <w:t>Impact of changes in accounting for SaaS</w:t>
            </w:r>
          </w:p>
        </w:tc>
        <w:tc>
          <w:tcPr>
            <w:tcW w:w="1937" w:type="dxa"/>
          </w:tcPr>
          <w:p w14:paraId="1D7CC62F" w14:textId="77777777" w:rsidR="00851B45" w:rsidRPr="00851B45" w:rsidRDefault="00851B45" w:rsidP="00851B45">
            <w:pPr>
              <w:pStyle w:val="TableText"/>
              <w:jc w:val="right"/>
            </w:pPr>
            <w:r w:rsidRPr="00851B45">
              <w:t>–</w:t>
            </w:r>
          </w:p>
        </w:tc>
      </w:tr>
      <w:tr w:rsidR="00851B45" w:rsidRPr="00851B45" w14:paraId="3F8543AF" w14:textId="77777777" w:rsidTr="00851B45">
        <w:trPr>
          <w:trHeight w:val="345"/>
        </w:trPr>
        <w:tc>
          <w:tcPr>
            <w:tcW w:w="1191" w:type="dxa"/>
          </w:tcPr>
          <w:p w14:paraId="6273032E" w14:textId="77777777" w:rsidR="00851B45" w:rsidRPr="00851B45" w:rsidRDefault="00851B45" w:rsidP="00851B45">
            <w:pPr>
              <w:pStyle w:val="TableText"/>
              <w:jc w:val="right"/>
            </w:pPr>
            <w:r w:rsidRPr="00851B45">
              <w:t>34,264</w:t>
            </w:r>
          </w:p>
        </w:tc>
        <w:tc>
          <w:tcPr>
            <w:tcW w:w="5204" w:type="dxa"/>
          </w:tcPr>
          <w:p w14:paraId="714DEF9F" w14:textId="77777777" w:rsidR="00851B45" w:rsidRPr="00851B45" w:rsidRDefault="00851B45" w:rsidP="00851B45">
            <w:pPr>
              <w:pStyle w:val="TableText"/>
              <w:ind w:left="170"/>
            </w:pPr>
            <w:r w:rsidRPr="00851B45">
              <w:t>Total operating surplus/(deficit)</w:t>
            </w:r>
          </w:p>
        </w:tc>
        <w:tc>
          <w:tcPr>
            <w:tcW w:w="1937" w:type="dxa"/>
          </w:tcPr>
          <w:p w14:paraId="55EEA6E3" w14:textId="77777777" w:rsidR="00851B45" w:rsidRPr="00851B45" w:rsidRDefault="00851B45" w:rsidP="00851B45">
            <w:pPr>
              <w:pStyle w:val="TableText"/>
              <w:jc w:val="right"/>
            </w:pPr>
            <w:r w:rsidRPr="00851B45">
              <w:t>142,589</w:t>
            </w:r>
          </w:p>
        </w:tc>
      </w:tr>
      <w:tr w:rsidR="00851B45" w:rsidRPr="00447157" w14:paraId="25AA3761" w14:textId="77777777" w:rsidTr="00851B45">
        <w:trPr>
          <w:trHeight w:val="292"/>
        </w:trPr>
        <w:tc>
          <w:tcPr>
            <w:tcW w:w="1191" w:type="dxa"/>
            <w:tcBorders>
              <w:bottom w:val="single" w:sz="4" w:space="0" w:color="A6A6A6" w:themeColor="background1" w:themeShade="A6"/>
            </w:tcBorders>
          </w:tcPr>
          <w:p w14:paraId="768255A8" w14:textId="77777777" w:rsidR="00851B45" w:rsidRPr="00447157" w:rsidRDefault="00851B45" w:rsidP="00851B45">
            <w:pPr>
              <w:pStyle w:val="TableText"/>
              <w:jc w:val="right"/>
              <w:rPr>
                <w:b/>
                <w:bCs/>
              </w:rPr>
            </w:pPr>
            <w:r w:rsidRPr="00447157">
              <w:rPr>
                <w:b/>
                <w:bCs/>
              </w:rPr>
              <w:t>34,264</w:t>
            </w:r>
          </w:p>
        </w:tc>
        <w:tc>
          <w:tcPr>
            <w:tcW w:w="5204" w:type="dxa"/>
            <w:tcBorders>
              <w:bottom w:val="single" w:sz="4" w:space="0" w:color="A6A6A6" w:themeColor="background1" w:themeShade="A6"/>
            </w:tcBorders>
          </w:tcPr>
          <w:p w14:paraId="011CFA02" w14:textId="77777777" w:rsidR="00851B45" w:rsidRPr="00447157" w:rsidRDefault="00851B45" w:rsidP="00851B45">
            <w:pPr>
              <w:pStyle w:val="TableText"/>
              <w:ind w:left="170"/>
              <w:rPr>
                <w:b/>
                <w:bCs/>
              </w:rPr>
            </w:pPr>
            <w:r w:rsidRPr="00447157">
              <w:rPr>
                <w:b/>
                <w:bCs/>
              </w:rPr>
              <w:t>Total return of operating surplus</w:t>
            </w:r>
          </w:p>
        </w:tc>
        <w:tc>
          <w:tcPr>
            <w:tcW w:w="1937" w:type="dxa"/>
            <w:tcBorders>
              <w:bottom w:val="single" w:sz="4" w:space="0" w:color="A6A6A6" w:themeColor="background1" w:themeShade="A6"/>
            </w:tcBorders>
          </w:tcPr>
          <w:p w14:paraId="4FAFC876" w14:textId="77777777" w:rsidR="00851B45" w:rsidRPr="00447157" w:rsidRDefault="00851B45" w:rsidP="00851B45">
            <w:pPr>
              <w:pStyle w:val="TableText"/>
              <w:jc w:val="right"/>
              <w:rPr>
                <w:b/>
                <w:bCs/>
              </w:rPr>
            </w:pPr>
            <w:r w:rsidRPr="00447157">
              <w:rPr>
                <w:b/>
                <w:bCs/>
              </w:rPr>
              <w:t>142,589</w:t>
            </w:r>
          </w:p>
        </w:tc>
      </w:tr>
    </w:tbl>
    <w:p w14:paraId="454907A9" w14:textId="77777777" w:rsidR="00851B45" w:rsidRDefault="00851B45" w:rsidP="00851B45">
      <w:pPr>
        <w:rPr>
          <w:rFonts w:eastAsia="Arial Unicode MS"/>
        </w:rPr>
      </w:pPr>
    </w:p>
    <w:p w14:paraId="22002649" w14:textId="77777777" w:rsidR="00851B45" w:rsidRPr="00851B45" w:rsidRDefault="00851B45" w:rsidP="00851B45">
      <w:pPr>
        <w:rPr>
          <w:rFonts w:eastAsia="Arial Unicode MS"/>
        </w:rPr>
      </w:pPr>
      <w:r w:rsidRPr="00851B45">
        <w:rPr>
          <w:rFonts w:eastAsia="Arial Unicode MS"/>
        </w:rPr>
        <w:t>The return of operating surplus to the Crown is required to be paid by 31 October of each year.</w:t>
      </w:r>
    </w:p>
    <w:p w14:paraId="7AC97CEE" w14:textId="77777777" w:rsidR="00851B45" w:rsidRPr="00851B45" w:rsidRDefault="00851B45" w:rsidP="00851B45">
      <w:pPr>
        <w:ind w:firstLine="567"/>
        <w:rPr>
          <w:rFonts w:eastAsia="Arial Unicode MS"/>
        </w:rPr>
      </w:pPr>
    </w:p>
    <w:p w14:paraId="1ECAC26E" w14:textId="77777777" w:rsidR="00851B45" w:rsidRPr="00851B45" w:rsidRDefault="00851B45" w:rsidP="00851B45">
      <w:pPr>
        <w:pStyle w:val="Heading4"/>
      </w:pPr>
      <w:r w:rsidRPr="00851B45">
        <w:lastRenderedPageBreak/>
        <w:t>10</w:t>
      </w:r>
      <w:r w:rsidRPr="00851B45">
        <w:tab/>
        <w:t>Provisions and employee entitlements</w:t>
      </w:r>
    </w:p>
    <w:p w14:paraId="6391B520" w14:textId="77777777" w:rsidR="00851B45" w:rsidRPr="00851B45" w:rsidRDefault="00851B45" w:rsidP="00851B45">
      <w:pPr>
        <w:pStyle w:val="Heading5"/>
      </w:pPr>
      <w:r w:rsidRPr="00851B45">
        <w:t>Provisions</w:t>
      </w:r>
    </w:p>
    <w:p w14:paraId="67DE6B2F" w14:textId="77777777" w:rsidR="00851B45" w:rsidRPr="008C677C" w:rsidRDefault="00851B45" w:rsidP="004C2BFC">
      <w:pPr>
        <w:pStyle w:val="Heading6"/>
        <w:rPr>
          <w:sz w:val="20"/>
          <w:szCs w:val="22"/>
        </w:rPr>
      </w:pPr>
      <w:r w:rsidRPr="008C677C">
        <w:rPr>
          <w:sz w:val="20"/>
          <w:szCs w:val="22"/>
        </w:rPr>
        <w:t>Accounting policy</w:t>
      </w:r>
    </w:p>
    <w:p w14:paraId="5AC2CCC1" w14:textId="77777777" w:rsidR="00851B45" w:rsidRPr="00851B45" w:rsidRDefault="00851B45" w:rsidP="00851B45">
      <w:pPr>
        <w:rPr>
          <w:rFonts w:eastAsia="Arial Unicode MS"/>
        </w:rPr>
      </w:pPr>
      <w:r w:rsidRPr="00851B45">
        <w:rPr>
          <w:rFonts w:eastAsia="Arial Unicode MS"/>
        </w:rPr>
        <w:t>A provision is recognised for future expenditure of an uncertain amount or timing when:</w:t>
      </w:r>
    </w:p>
    <w:p w14:paraId="7E35EA6A" w14:textId="6FE47EF1" w:rsidR="00851B45" w:rsidRPr="00851B45" w:rsidRDefault="00851B45" w:rsidP="00851B45">
      <w:pPr>
        <w:pStyle w:val="Bullet"/>
        <w:rPr>
          <w:rFonts w:eastAsia="Arial Unicode MS"/>
        </w:rPr>
      </w:pPr>
      <w:r w:rsidRPr="00851B45">
        <w:rPr>
          <w:rFonts w:eastAsia="Arial Unicode MS"/>
        </w:rPr>
        <w:t>there is a present obligation (either legal or constructive) as a result of a past event</w:t>
      </w:r>
    </w:p>
    <w:p w14:paraId="756EF0B2" w14:textId="5143D150" w:rsidR="00851B45" w:rsidRPr="00851B45" w:rsidRDefault="00851B45" w:rsidP="00851B45">
      <w:pPr>
        <w:pStyle w:val="Bullet"/>
        <w:rPr>
          <w:rFonts w:eastAsia="Arial Unicode MS"/>
        </w:rPr>
      </w:pPr>
      <w:r w:rsidRPr="00851B45">
        <w:rPr>
          <w:rFonts w:eastAsia="Arial Unicode MS"/>
        </w:rPr>
        <w:t>it is probable that an outflow of resources embodying economic benefits or service potential will be required to settle the obligation</w:t>
      </w:r>
    </w:p>
    <w:p w14:paraId="7745904E" w14:textId="77777777" w:rsidR="00851B45" w:rsidRDefault="00851B45" w:rsidP="00851B45">
      <w:pPr>
        <w:pStyle w:val="Bullet"/>
        <w:rPr>
          <w:rFonts w:eastAsia="Arial Unicode MS"/>
        </w:rPr>
      </w:pPr>
      <w:r w:rsidRPr="00851B45">
        <w:rPr>
          <w:rFonts w:eastAsia="Arial Unicode MS"/>
        </w:rPr>
        <w:t xml:space="preserve">a reliable estimate can be made of the amount of the obligation. </w:t>
      </w:r>
    </w:p>
    <w:p w14:paraId="0F9A4F20" w14:textId="77777777" w:rsidR="00851B45" w:rsidRDefault="00851B45" w:rsidP="00851B45">
      <w:pPr>
        <w:rPr>
          <w:rFonts w:eastAsia="Arial Unicode MS"/>
        </w:rPr>
      </w:pPr>
    </w:p>
    <w:p w14:paraId="3C14D72C" w14:textId="42BE0A34" w:rsidR="00851B45" w:rsidRPr="00851B45" w:rsidRDefault="00851B45" w:rsidP="00851B45">
      <w:pPr>
        <w:rPr>
          <w:rFonts w:eastAsia="Arial Unicode MS"/>
        </w:rPr>
      </w:pPr>
      <w:r w:rsidRPr="00851B45">
        <w:rPr>
          <w:rFonts w:eastAsia="Arial Unicode MS"/>
        </w:rPr>
        <w:t>Provisions are not recognised for net deficits from future operating activities.</w:t>
      </w:r>
    </w:p>
    <w:p w14:paraId="2E4BE2A2" w14:textId="77777777" w:rsidR="00851B45" w:rsidRDefault="00851B45" w:rsidP="00851B45">
      <w:pPr>
        <w:rPr>
          <w:rFonts w:eastAsia="Arial Unicode MS"/>
        </w:rPr>
      </w:pPr>
    </w:p>
    <w:p w14:paraId="068F8C3A" w14:textId="2DDA371F" w:rsidR="00851B45" w:rsidRDefault="00851B45" w:rsidP="00851B45">
      <w:pPr>
        <w:rPr>
          <w:rFonts w:eastAsia="Arial Unicode MS"/>
        </w:rPr>
      </w:pPr>
      <w:r w:rsidRPr="00851B45">
        <w:rPr>
          <w:rFonts w:eastAsia="Arial Unicode MS"/>
        </w:rPr>
        <w:t>Provisions are measured at the present value of the expenditure expected to be required to settle the obligation using a pre-tax discount rate that reflects current market assessments of the time value of money and the risks specific to the obligation. Provisions to be settled beyond 12 months are recorded at their present value.</w:t>
      </w:r>
    </w:p>
    <w:p w14:paraId="27817874" w14:textId="77777777" w:rsidR="00851B45" w:rsidRPr="00851B45" w:rsidRDefault="00851B45" w:rsidP="00851B45">
      <w:pPr>
        <w:rPr>
          <w:rFonts w:eastAsia="Arial Unicode MS"/>
        </w:rPr>
      </w:pPr>
    </w:p>
    <w:p w14:paraId="4C034D5C" w14:textId="77777777" w:rsidR="00851B45" w:rsidRPr="00851B45" w:rsidRDefault="00851B45" w:rsidP="00851B45">
      <w:pPr>
        <w:rPr>
          <w:rFonts w:eastAsia="Arial Unicode MS"/>
        </w:rPr>
      </w:pPr>
      <w:r w:rsidRPr="00851B45">
        <w:rPr>
          <w:rFonts w:eastAsia="Arial Unicode MS"/>
        </w:rPr>
        <w:t>No provision was recognised as at 30 June 2022 (2021: nil).</w:t>
      </w:r>
    </w:p>
    <w:p w14:paraId="35BB966B" w14:textId="77777777" w:rsidR="00851B45" w:rsidRPr="00851B45" w:rsidRDefault="00851B45" w:rsidP="00851B45">
      <w:pPr>
        <w:pStyle w:val="Heading5"/>
      </w:pPr>
      <w:r w:rsidRPr="00851B45">
        <w:t>Employee entitlements</w:t>
      </w:r>
    </w:p>
    <w:p w14:paraId="78865219" w14:textId="77777777" w:rsidR="00851B45" w:rsidRPr="008C677C" w:rsidRDefault="00851B45" w:rsidP="004C2BFC">
      <w:pPr>
        <w:pStyle w:val="Heading6"/>
        <w:rPr>
          <w:sz w:val="20"/>
          <w:szCs w:val="22"/>
        </w:rPr>
      </w:pPr>
      <w:r w:rsidRPr="008C677C">
        <w:rPr>
          <w:sz w:val="20"/>
          <w:szCs w:val="22"/>
        </w:rPr>
        <w:t>Accounting policy</w:t>
      </w:r>
    </w:p>
    <w:p w14:paraId="54087102" w14:textId="77777777" w:rsidR="00851B45" w:rsidRPr="008C677C" w:rsidRDefault="00851B45" w:rsidP="004C2BFC">
      <w:pPr>
        <w:pStyle w:val="Heading6"/>
        <w:rPr>
          <w:sz w:val="20"/>
          <w:szCs w:val="22"/>
        </w:rPr>
      </w:pPr>
      <w:r w:rsidRPr="008C677C">
        <w:rPr>
          <w:sz w:val="20"/>
          <w:szCs w:val="22"/>
        </w:rPr>
        <w:t>Short-term employee entitlements</w:t>
      </w:r>
    </w:p>
    <w:p w14:paraId="62E4312B" w14:textId="2CF6CBF7" w:rsidR="00851B45" w:rsidRDefault="00851B45" w:rsidP="00851B45">
      <w:pPr>
        <w:rPr>
          <w:rFonts w:eastAsia="Arial Unicode MS"/>
        </w:rPr>
      </w:pPr>
      <w:r w:rsidRPr="00851B45">
        <w:rPr>
          <w:rFonts w:eastAsia="Arial Unicode MS"/>
        </w:rPr>
        <w:t>Employee entitlements that are due to be settled within 12 months after the end of the year in which the employee provides the related service are measured based on accrued entitlements at current rates of pay.</w:t>
      </w:r>
    </w:p>
    <w:p w14:paraId="12FB83B2" w14:textId="77777777" w:rsidR="00851B45" w:rsidRPr="00851B45" w:rsidRDefault="00851B45" w:rsidP="00851B45">
      <w:pPr>
        <w:rPr>
          <w:rFonts w:eastAsia="Arial Unicode MS"/>
        </w:rPr>
      </w:pPr>
    </w:p>
    <w:p w14:paraId="2BD8D537" w14:textId="12B0C450" w:rsidR="00851B45" w:rsidRDefault="00851B45" w:rsidP="00851B45">
      <w:pPr>
        <w:rPr>
          <w:rFonts w:eastAsia="Arial Unicode MS"/>
        </w:rPr>
      </w:pPr>
      <w:r w:rsidRPr="00851B45">
        <w:rPr>
          <w:rFonts w:eastAsia="Arial Unicode MS"/>
        </w:rPr>
        <w:t>These include salaries and wages accrued up to balance date, annual leave earned but not yet taken at balance date, long service leave and retirement gratuities expected to be settled within 12 months and sick leave.</w:t>
      </w:r>
    </w:p>
    <w:p w14:paraId="31C200F6" w14:textId="77777777" w:rsidR="00851B45" w:rsidRPr="00851B45" w:rsidRDefault="00851B45" w:rsidP="004C2BFC">
      <w:pPr>
        <w:pStyle w:val="Heading6"/>
      </w:pPr>
      <w:r w:rsidRPr="00851B45">
        <w:t>Long-term employee entitlements</w:t>
      </w:r>
    </w:p>
    <w:p w14:paraId="7AABB627" w14:textId="77777777" w:rsidR="00851B45" w:rsidRPr="00851B45" w:rsidRDefault="00851B45" w:rsidP="00851B45">
      <w:pPr>
        <w:rPr>
          <w:rFonts w:eastAsia="Arial Unicode MS"/>
        </w:rPr>
      </w:pPr>
      <w:r w:rsidRPr="00851B45">
        <w:rPr>
          <w:rFonts w:eastAsia="Arial Unicode MS"/>
        </w:rPr>
        <w:t>Employee entitlements that are due to be settled beyond 12 months after the end of the year in which the employee provides the related service, such as retirement and long service leave have been calculated on an actuarial basis. The calculations are based on:</w:t>
      </w:r>
    </w:p>
    <w:p w14:paraId="2877FFBD" w14:textId="40F280BD" w:rsidR="00851B45" w:rsidRPr="00851B45" w:rsidRDefault="00851B45" w:rsidP="00851B45">
      <w:pPr>
        <w:pStyle w:val="Bullet"/>
        <w:rPr>
          <w:rFonts w:eastAsia="Arial Unicode MS"/>
        </w:rPr>
      </w:pPr>
      <w:r w:rsidRPr="00851B45">
        <w:rPr>
          <w:rFonts w:eastAsia="Arial Unicode MS"/>
        </w:rPr>
        <w:t>likely future entitlements accruing to employees, based on years of service, years to entitlement, the likelihood that employees will reach the point of entitlement, and contractual entitlements information</w:t>
      </w:r>
    </w:p>
    <w:p w14:paraId="02B1496F" w14:textId="77777777" w:rsidR="00851B45" w:rsidRDefault="00851B45" w:rsidP="00851B45">
      <w:pPr>
        <w:pStyle w:val="Bullet"/>
        <w:rPr>
          <w:rFonts w:eastAsia="Arial Unicode MS"/>
        </w:rPr>
        <w:sectPr w:rsidR="00851B45" w:rsidSect="00447157">
          <w:pgSz w:w="11907" w:h="16840" w:code="9"/>
          <w:pgMar w:top="1418" w:right="1701" w:bottom="1134" w:left="1843" w:header="284" w:footer="425" w:gutter="284"/>
          <w:cols w:space="720"/>
        </w:sectPr>
      </w:pPr>
      <w:r w:rsidRPr="00851B45">
        <w:rPr>
          <w:rFonts w:eastAsia="Arial Unicode MS"/>
        </w:rPr>
        <w:t>the present value of the estimated future cash flows.</w:t>
      </w:r>
    </w:p>
    <w:tbl>
      <w:tblPr>
        <w:tblW w:w="7938" w:type="dxa"/>
        <w:tblLayout w:type="fixed"/>
        <w:tblCellMar>
          <w:left w:w="0" w:type="dxa"/>
          <w:right w:w="0" w:type="dxa"/>
        </w:tblCellMar>
        <w:tblLook w:val="01E0" w:firstRow="1" w:lastRow="1" w:firstColumn="1" w:lastColumn="1" w:noHBand="0" w:noVBand="0"/>
      </w:tblPr>
      <w:tblGrid>
        <w:gridCol w:w="1134"/>
        <w:gridCol w:w="4796"/>
        <w:gridCol w:w="2008"/>
      </w:tblGrid>
      <w:tr w:rsidR="00851B45" w:rsidRPr="00DA1662" w14:paraId="01E9C446" w14:textId="77777777" w:rsidTr="00DA1662">
        <w:trPr>
          <w:trHeight w:val="829"/>
        </w:trPr>
        <w:tc>
          <w:tcPr>
            <w:tcW w:w="1134" w:type="dxa"/>
            <w:shd w:val="clear" w:color="auto" w:fill="D9D9D9" w:themeFill="background1" w:themeFillShade="D9"/>
          </w:tcPr>
          <w:p w14:paraId="665ADE8B" w14:textId="77777777" w:rsidR="00851B45" w:rsidRPr="00DA1662" w:rsidRDefault="00851B45" w:rsidP="00DA1662">
            <w:pPr>
              <w:pStyle w:val="TableText"/>
              <w:jc w:val="right"/>
              <w:rPr>
                <w:b/>
                <w:bCs/>
              </w:rPr>
            </w:pPr>
            <w:r w:rsidRPr="00DA1662">
              <w:rPr>
                <w:b/>
                <w:bCs/>
                <w:w w:val="110"/>
              </w:rPr>
              <w:lastRenderedPageBreak/>
              <w:t>Actual</w:t>
            </w:r>
          </w:p>
          <w:p w14:paraId="51F1ECDF" w14:textId="77777777" w:rsidR="00DA1662" w:rsidRPr="00DA1662" w:rsidRDefault="00851B45" w:rsidP="00DA1662">
            <w:pPr>
              <w:pStyle w:val="TableText"/>
              <w:jc w:val="right"/>
              <w:rPr>
                <w:b/>
                <w:bCs/>
              </w:rPr>
            </w:pPr>
            <w:r w:rsidRPr="00DA1662">
              <w:rPr>
                <w:b/>
                <w:bCs/>
              </w:rPr>
              <w:t>2021</w:t>
            </w:r>
          </w:p>
          <w:p w14:paraId="1067765F" w14:textId="21EE66FE" w:rsidR="00851B45" w:rsidRPr="00DA1662" w:rsidRDefault="00851B45" w:rsidP="00DA1662">
            <w:pPr>
              <w:pStyle w:val="TableText"/>
              <w:jc w:val="right"/>
              <w:rPr>
                <w:b/>
                <w:bCs/>
              </w:rPr>
            </w:pPr>
            <w:r w:rsidRPr="00DA1662">
              <w:rPr>
                <w:b/>
                <w:bCs/>
                <w:w w:val="120"/>
              </w:rPr>
              <w:t>$000</w:t>
            </w:r>
          </w:p>
        </w:tc>
        <w:tc>
          <w:tcPr>
            <w:tcW w:w="4796" w:type="dxa"/>
            <w:shd w:val="clear" w:color="auto" w:fill="D9D9D9" w:themeFill="background1" w:themeFillShade="D9"/>
          </w:tcPr>
          <w:p w14:paraId="6C34CC09" w14:textId="77777777" w:rsidR="00851B45" w:rsidRPr="00DA1662" w:rsidRDefault="00851B45" w:rsidP="00DA1662">
            <w:pPr>
              <w:pStyle w:val="TableText"/>
              <w:rPr>
                <w:rFonts w:ascii="Times New Roman"/>
                <w:b/>
                <w:bCs/>
              </w:rPr>
            </w:pPr>
          </w:p>
        </w:tc>
        <w:tc>
          <w:tcPr>
            <w:tcW w:w="2008" w:type="dxa"/>
            <w:shd w:val="clear" w:color="auto" w:fill="D9D9D9" w:themeFill="background1" w:themeFillShade="D9"/>
          </w:tcPr>
          <w:p w14:paraId="4049837D" w14:textId="77777777" w:rsidR="00DA1662" w:rsidRPr="00DA1662" w:rsidRDefault="00851B45" w:rsidP="00DA1662">
            <w:pPr>
              <w:pStyle w:val="TableText"/>
              <w:jc w:val="right"/>
              <w:rPr>
                <w:b/>
                <w:bCs/>
                <w:w w:val="105"/>
              </w:rPr>
            </w:pPr>
            <w:r w:rsidRPr="00DA1662">
              <w:rPr>
                <w:b/>
                <w:bCs/>
                <w:w w:val="110"/>
              </w:rPr>
              <w:t>Actual</w:t>
            </w:r>
            <w:r w:rsidRPr="00DA1662">
              <w:rPr>
                <w:b/>
                <w:bCs/>
                <w:spacing w:val="-53"/>
                <w:w w:val="110"/>
              </w:rPr>
              <w:t xml:space="preserve"> </w:t>
            </w:r>
            <w:r w:rsidR="00DA1662" w:rsidRPr="00DA1662">
              <w:rPr>
                <w:b/>
                <w:bCs/>
                <w:spacing w:val="-53"/>
                <w:w w:val="110"/>
              </w:rPr>
              <w:br/>
            </w:r>
            <w:r w:rsidRPr="00DA1662">
              <w:rPr>
                <w:b/>
                <w:bCs/>
                <w:w w:val="105"/>
              </w:rPr>
              <w:t>2022</w:t>
            </w:r>
          </w:p>
          <w:p w14:paraId="34FA505D" w14:textId="6E514ED0" w:rsidR="00851B45" w:rsidRPr="00DA1662" w:rsidRDefault="00851B45" w:rsidP="00DA1662">
            <w:pPr>
              <w:pStyle w:val="TableText"/>
              <w:jc w:val="right"/>
              <w:rPr>
                <w:b/>
                <w:bCs/>
              </w:rPr>
            </w:pPr>
            <w:r w:rsidRPr="00DA1662">
              <w:rPr>
                <w:b/>
                <w:bCs/>
                <w:w w:val="120"/>
              </w:rPr>
              <w:t>$000</w:t>
            </w:r>
          </w:p>
        </w:tc>
      </w:tr>
      <w:tr w:rsidR="00851B45" w14:paraId="6D30D7D5" w14:textId="77777777" w:rsidTr="00DA1662">
        <w:trPr>
          <w:trHeight w:val="400"/>
        </w:trPr>
        <w:tc>
          <w:tcPr>
            <w:tcW w:w="1134" w:type="dxa"/>
          </w:tcPr>
          <w:p w14:paraId="001B65A9" w14:textId="77777777" w:rsidR="00851B45" w:rsidRDefault="00851B45" w:rsidP="00DA1662">
            <w:pPr>
              <w:pStyle w:val="TableText"/>
              <w:jc w:val="right"/>
              <w:rPr>
                <w:rFonts w:ascii="Times New Roman"/>
              </w:rPr>
            </w:pPr>
          </w:p>
        </w:tc>
        <w:tc>
          <w:tcPr>
            <w:tcW w:w="4796" w:type="dxa"/>
          </w:tcPr>
          <w:p w14:paraId="3617A8AA" w14:textId="77777777" w:rsidR="00851B45" w:rsidRPr="008C677C" w:rsidRDefault="00851B45" w:rsidP="00DA1662">
            <w:pPr>
              <w:pStyle w:val="TableText"/>
              <w:ind w:left="170"/>
              <w:rPr>
                <w:b/>
                <w:bCs/>
              </w:rPr>
            </w:pPr>
            <w:r w:rsidRPr="008C677C">
              <w:rPr>
                <w:b/>
                <w:bCs/>
                <w:w w:val="105"/>
              </w:rPr>
              <w:t>Current</w:t>
            </w:r>
            <w:r w:rsidRPr="008C677C">
              <w:rPr>
                <w:b/>
                <w:bCs/>
                <w:spacing w:val="13"/>
                <w:w w:val="105"/>
              </w:rPr>
              <w:t xml:space="preserve"> </w:t>
            </w:r>
            <w:r w:rsidRPr="008C677C">
              <w:rPr>
                <w:b/>
                <w:bCs/>
                <w:w w:val="105"/>
              </w:rPr>
              <w:t>position</w:t>
            </w:r>
          </w:p>
        </w:tc>
        <w:tc>
          <w:tcPr>
            <w:tcW w:w="2008" w:type="dxa"/>
          </w:tcPr>
          <w:p w14:paraId="44AE48EF" w14:textId="77777777" w:rsidR="00851B45" w:rsidRDefault="00851B45" w:rsidP="00DA1662">
            <w:pPr>
              <w:pStyle w:val="TableText"/>
              <w:jc w:val="right"/>
              <w:rPr>
                <w:rFonts w:ascii="Times New Roman"/>
              </w:rPr>
            </w:pPr>
          </w:p>
        </w:tc>
      </w:tr>
      <w:tr w:rsidR="00851B45" w14:paraId="3BD327D7" w14:textId="77777777" w:rsidTr="00DA1662">
        <w:trPr>
          <w:trHeight w:val="347"/>
        </w:trPr>
        <w:tc>
          <w:tcPr>
            <w:tcW w:w="1134" w:type="dxa"/>
          </w:tcPr>
          <w:p w14:paraId="05D4EC83" w14:textId="77777777" w:rsidR="00851B45" w:rsidRDefault="00851B45" w:rsidP="00DA1662">
            <w:pPr>
              <w:pStyle w:val="TableText"/>
              <w:jc w:val="right"/>
            </w:pPr>
            <w:r>
              <w:t>12,910</w:t>
            </w:r>
          </w:p>
        </w:tc>
        <w:tc>
          <w:tcPr>
            <w:tcW w:w="4796" w:type="dxa"/>
          </w:tcPr>
          <w:p w14:paraId="548200E1" w14:textId="77777777" w:rsidR="00851B45" w:rsidRDefault="00851B45" w:rsidP="00DA1662">
            <w:pPr>
              <w:pStyle w:val="TableText"/>
              <w:ind w:left="170"/>
            </w:pPr>
            <w:r>
              <w:t>Annual</w:t>
            </w:r>
            <w:r>
              <w:rPr>
                <w:spacing w:val="2"/>
              </w:rPr>
              <w:t xml:space="preserve"> </w:t>
            </w:r>
            <w:r>
              <w:t>leave</w:t>
            </w:r>
          </w:p>
        </w:tc>
        <w:tc>
          <w:tcPr>
            <w:tcW w:w="2008" w:type="dxa"/>
          </w:tcPr>
          <w:p w14:paraId="1A68A6C9" w14:textId="77777777" w:rsidR="00851B45" w:rsidRDefault="00851B45" w:rsidP="00DA1662">
            <w:pPr>
              <w:pStyle w:val="TableText"/>
              <w:jc w:val="right"/>
            </w:pPr>
            <w:r>
              <w:t>16,704</w:t>
            </w:r>
          </w:p>
        </w:tc>
      </w:tr>
      <w:tr w:rsidR="00851B45" w14:paraId="2AB7618B" w14:textId="77777777" w:rsidTr="00DA1662">
        <w:trPr>
          <w:trHeight w:val="349"/>
        </w:trPr>
        <w:tc>
          <w:tcPr>
            <w:tcW w:w="1134" w:type="dxa"/>
          </w:tcPr>
          <w:p w14:paraId="2EAC2D23" w14:textId="77777777" w:rsidR="00851B45" w:rsidRDefault="00851B45" w:rsidP="00DA1662">
            <w:pPr>
              <w:pStyle w:val="TableText"/>
              <w:jc w:val="right"/>
            </w:pPr>
            <w:r>
              <w:rPr>
                <w:w w:val="115"/>
              </w:rPr>
              <w:t>865</w:t>
            </w:r>
          </w:p>
        </w:tc>
        <w:tc>
          <w:tcPr>
            <w:tcW w:w="4796" w:type="dxa"/>
          </w:tcPr>
          <w:p w14:paraId="1E4C5CE0" w14:textId="77777777" w:rsidR="00851B45" w:rsidRDefault="00851B45" w:rsidP="00DA1662">
            <w:pPr>
              <w:pStyle w:val="TableText"/>
              <w:ind w:left="170"/>
            </w:pPr>
            <w:r>
              <w:t>Retirement</w:t>
            </w:r>
            <w:r>
              <w:rPr>
                <w:spacing w:val="12"/>
              </w:rPr>
              <w:t xml:space="preserve"> </w:t>
            </w:r>
            <w:r>
              <w:t>and</w:t>
            </w:r>
            <w:r>
              <w:rPr>
                <w:spacing w:val="13"/>
              </w:rPr>
              <w:t xml:space="preserve"> </w:t>
            </w:r>
            <w:r>
              <w:t>long</w:t>
            </w:r>
            <w:r>
              <w:rPr>
                <w:spacing w:val="12"/>
              </w:rPr>
              <w:t xml:space="preserve"> </w:t>
            </w:r>
            <w:r>
              <w:t>service</w:t>
            </w:r>
            <w:r>
              <w:rPr>
                <w:spacing w:val="13"/>
              </w:rPr>
              <w:t xml:space="preserve"> </w:t>
            </w:r>
            <w:r>
              <w:t>leave</w:t>
            </w:r>
          </w:p>
        </w:tc>
        <w:tc>
          <w:tcPr>
            <w:tcW w:w="2008" w:type="dxa"/>
          </w:tcPr>
          <w:p w14:paraId="7293C9F3" w14:textId="77777777" w:rsidR="00851B45" w:rsidRDefault="00851B45" w:rsidP="00DA1662">
            <w:pPr>
              <w:pStyle w:val="TableText"/>
              <w:jc w:val="right"/>
            </w:pPr>
            <w:r>
              <w:rPr>
                <w:w w:val="90"/>
              </w:rPr>
              <w:t>1,135</w:t>
            </w:r>
          </w:p>
        </w:tc>
      </w:tr>
      <w:tr w:rsidR="00851B45" w14:paraId="3540A4B0" w14:textId="77777777" w:rsidTr="00DA1662">
        <w:trPr>
          <w:trHeight w:val="346"/>
        </w:trPr>
        <w:tc>
          <w:tcPr>
            <w:tcW w:w="1134" w:type="dxa"/>
          </w:tcPr>
          <w:p w14:paraId="5825EB7C" w14:textId="77777777" w:rsidR="00851B45" w:rsidRDefault="00851B45" w:rsidP="00DA1662">
            <w:pPr>
              <w:pStyle w:val="TableText"/>
              <w:jc w:val="right"/>
            </w:pPr>
            <w:r>
              <w:rPr>
                <w:w w:val="105"/>
              </w:rPr>
              <w:t>3,553</w:t>
            </w:r>
          </w:p>
        </w:tc>
        <w:tc>
          <w:tcPr>
            <w:tcW w:w="4796" w:type="dxa"/>
          </w:tcPr>
          <w:p w14:paraId="41C7D3A8" w14:textId="77777777" w:rsidR="00851B45" w:rsidRDefault="00851B45" w:rsidP="00DA1662">
            <w:pPr>
              <w:pStyle w:val="TableText"/>
              <w:ind w:left="170"/>
            </w:pPr>
            <w:r>
              <w:rPr>
                <w:w w:val="105"/>
              </w:rPr>
              <w:t>Accrued</w:t>
            </w:r>
            <w:r>
              <w:rPr>
                <w:spacing w:val="-11"/>
                <w:w w:val="105"/>
              </w:rPr>
              <w:t xml:space="preserve"> </w:t>
            </w:r>
            <w:r>
              <w:rPr>
                <w:w w:val="105"/>
              </w:rPr>
              <w:t>salaries</w:t>
            </w:r>
          </w:p>
        </w:tc>
        <w:tc>
          <w:tcPr>
            <w:tcW w:w="2008" w:type="dxa"/>
          </w:tcPr>
          <w:p w14:paraId="2A0FA52E" w14:textId="77777777" w:rsidR="00851B45" w:rsidRDefault="00851B45" w:rsidP="00DA1662">
            <w:pPr>
              <w:pStyle w:val="TableText"/>
              <w:jc w:val="right"/>
            </w:pPr>
            <w:r>
              <w:t>5,921</w:t>
            </w:r>
          </w:p>
        </w:tc>
      </w:tr>
      <w:tr w:rsidR="00851B45" w:rsidRPr="00DA1662" w14:paraId="4FCB5F4E" w14:textId="77777777" w:rsidTr="00DA1662">
        <w:trPr>
          <w:trHeight w:val="322"/>
        </w:trPr>
        <w:tc>
          <w:tcPr>
            <w:tcW w:w="1134" w:type="dxa"/>
            <w:tcBorders>
              <w:bottom w:val="single" w:sz="4" w:space="0" w:color="A6A6A6" w:themeColor="background1" w:themeShade="A6"/>
            </w:tcBorders>
          </w:tcPr>
          <w:p w14:paraId="0BFAB8A6" w14:textId="77777777" w:rsidR="00851B45" w:rsidRPr="00DA1662" w:rsidRDefault="00851B45" w:rsidP="00DA1662">
            <w:pPr>
              <w:pStyle w:val="TableText"/>
              <w:jc w:val="right"/>
              <w:rPr>
                <w:b/>
                <w:bCs/>
              </w:rPr>
            </w:pPr>
            <w:r w:rsidRPr="00DA1662">
              <w:rPr>
                <w:b/>
                <w:bCs/>
              </w:rPr>
              <w:t>17,328</w:t>
            </w:r>
          </w:p>
        </w:tc>
        <w:tc>
          <w:tcPr>
            <w:tcW w:w="4796" w:type="dxa"/>
            <w:tcBorders>
              <w:bottom w:val="single" w:sz="4" w:space="0" w:color="A6A6A6" w:themeColor="background1" w:themeShade="A6"/>
            </w:tcBorders>
          </w:tcPr>
          <w:p w14:paraId="2C8A8170" w14:textId="77777777" w:rsidR="00851B45" w:rsidRPr="00DA1662" w:rsidRDefault="00851B45" w:rsidP="00DA1662">
            <w:pPr>
              <w:pStyle w:val="TableText"/>
              <w:ind w:left="170"/>
              <w:rPr>
                <w:b/>
                <w:bCs/>
              </w:rPr>
            </w:pPr>
            <w:r w:rsidRPr="00DA1662">
              <w:rPr>
                <w:b/>
                <w:bCs/>
                <w:w w:val="110"/>
              </w:rPr>
              <w:t>Total</w:t>
            </w:r>
            <w:r w:rsidRPr="00DA1662">
              <w:rPr>
                <w:b/>
                <w:bCs/>
                <w:spacing w:val="-14"/>
                <w:w w:val="110"/>
              </w:rPr>
              <w:t xml:space="preserve"> </w:t>
            </w:r>
            <w:r w:rsidRPr="00DA1662">
              <w:rPr>
                <w:b/>
                <w:bCs/>
                <w:w w:val="110"/>
              </w:rPr>
              <w:t>current</w:t>
            </w:r>
            <w:r w:rsidRPr="00DA1662">
              <w:rPr>
                <w:b/>
                <w:bCs/>
                <w:spacing w:val="-13"/>
                <w:w w:val="110"/>
              </w:rPr>
              <w:t xml:space="preserve"> </w:t>
            </w:r>
            <w:r w:rsidRPr="00DA1662">
              <w:rPr>
                <w:b/>
                <w:bCs/>
                <w:w w:val="110"/>
              </w:rPr>
              <w:t>portion</w:t>
            </w:r>
          </w:p>
        </w:tc>
        <w:tc>
          <w:tcPr>
            <w:tcW w:w="2008" w:type="dxa"/>
            <w:tcBorders>
              <w:bottom w:val="single" w:sz="4" w:space="0" w:color="A6A6A6" w:themeColor="background1" w:themeShade="A6"/>
            </w:tcBorders>
          </w:tcPr>
          <w:p w14:paraId="589463F4" w14:textId="77777777" w:rsidR="00851B45" w:rsidRPr="00DA1662" w:rsidRDefault="00851B45" w:rsidP="00DA1662">
            <w:pPr>
              <w:pStyle w:val="TableText"/>
              <w:jc w:val="right"/>
              <w:rPr>
                <w:b/>
                <w:bCs/>
              </w:rPr>
            </w:pPr>
            <w:r w:rsidRPr="00DA1662">
              <w:rPr>
                <w:b/>
                <w:bCs/>
                <w:w w:val="105"/>
              </w:rPr>
              <w:t>23,760</w:t>
            </w:r>
          </w:p>
        </w:tc>
      </w:tr>
      <w:tr w:rsidR="00851B45" w14:paraId="4E3EFB6A" w14:textId="77777777" w:rsidTr="00DA1662">
        <w:trPr>
          <w:trHeight w:val="369"/>
        </w:trPr>
        <w:tc>
          <w:tcPr>
            <w:tcW w:w="1134" w:type="dxa"/>
            <w:tcBorders>
              <w:top w:val="single" w:sz="4" w:space="0" w:color="A6A6A6" w:themeColor="background1" w:themeShade="A6"/>
            </w:tcBorders>
          </w:tcPr>
          <w:p w14:paraId="4814211B" w14:textId="77777777" w:rsidR="00851B45" w:rsidRDefault="00851B45" w:rsidP="00DA1662">
            <w:pPr>
              <w:pStyle w:val="TableText"/>
              <w:jc w:val="right"/>
              <w:rPr>
                <w:rFonts w:ascii="Times New Roman"/>
              </w:rPr>
            </w:pPr>
          </w:p>
        </w:tc>
        <w:tc>
          <w:tcPr>
            <w:tcW w:w="4796" w:type="dxa"/>
            <w:tcBorders>
              <w:top w:val="single" w:sz="4" w:space="0" w:color="A6A6A6" w:themeColor="background1" w:themeShade="A6"/>
            </w:tcBorders>
          </w:tcPr>
          <w:p w14:paraId="4746E69E" w14:textId="544DC274" w:rsidR="00851B45" w:rsidRDefault="00851B45" w:rsidP="00DA1662">
            <w:pPr>
              <w:pStyle w:val="TableText"/>
              <w:tabs>
                <w:tab w:val="center" w:pos="2454"/>
              </w:tabs>
              <w:ind w:left="170"/>
            </w:pPr>
            <w:r>
              <w:rPr>
                <w:w w:val="105"/>
              </w:rPr>
              <w:t>Non-current</w:t>
            </w:r>
            <w:r>
              <w:rPr>
                <w:spacing w:val="16"/>
                <w:w w:val="105"/>
              </w:rPr>
              <w:t xml:space="preserve"> </w:t>
            </w:r>
            <w:r>
              <w:rPr>
                <w:w w:val="105"/>
              </w:rPr>
              <w:t>portion</w:t>
            </w:r>
            <w:r w:rsidR="00DA1662">
              <w:rPr>
                <w:w w:val="105"/>
              </w:rPr>
              <w:tab/>
            </w:r>
          </w:p>
        </w:tc>
        <w:tc>
          <w:tcPr>
            <w:tcW w:w="2008" w:type="dxa"/>
            <w:tcBorders>
              <w:top w:val="single" w:sz="4" w:space="0" w:color="A6A6A6" w:themeColor="background1" w:themeShade="A6"/>
            </w:tcBorders>
          </w:tcPr>
          <w:p w14:paraId="060A2520" w14:textId="77777777" w:rsidR="00851B45" w:rsidRDefault="00851B45" w:rsidP="00DA1662">
            <w:pPr>
              <w:pStyle w:val="TableText"/>
              <w:jc w:val="right"/>
              <w:rPr>
                <w:rFonts w:ascii="Times New Roman"/>
              </w:rPr>
            </w:pPr>
          </w:p>
        </w:tc>
      </w:tr>
      <w:tr w:rsidR="00851B45" w14:paraId="3D6FD2B8" w14:textId="77777777" w:rsidTr="00DA1662">
        <w:trPr>
          <w:trHeight w:val="344"/>
        </w:trPr>
        <w:tc>
          <w:tcPr>
            <w:tcW w:w="1134" w:type="dxa"/>
          </w:tcPr>
          <w:p w14:paraId="613FF396" w14:textId="77777777" w:rsidR="00851B45" w:rsidRDefault="00851B45" w:rsidP="00DA1662">
            <w:pPr>
              <w:pStyle w:val="TableText"/>
              <w:jc w:val="right"/>
            </w:pPr>
            <w:r>
              <w:t>1,842</w:t>
            </w:r>
          </w:p>
        </w:tc>
        <w:tc>
          <w:tcPr>
            <w:tcW w:w="4796" w:type="dxa"/>
          </w:tcPr>
          <w:p w14:paraId="6D70B8C7" w14:textId="77777777" w:rsidR="00851B45" w:rsidRDefault="00851B45" w:rsidP="00DA1662">
            <w:pPr>
              <w:pStyle w:val="TableText"/>
              <w:ind w:left="170"/>
            </w:pPr>
            <w:r>
              <w:t>Retirement</w:t>
            </w:r>
            <w:r>
              <w:rPr>
                <w:spacing w:val="12"/>
              </w:rPr>
              <w:t xml:space="preserve"> </w:t>
            </w:r>
            <w:r>
              <w:t>and</w:t>
            </w:r>
            <w:r>
              <w:rPr>
                <w:spacing w:val="13"/>
              </w:rPr>
              <w:t xml:space="preserve"> </w:t>
            </w:r>
            <w:r>
              <w:t>long</w:t>
            </w:r>
            <w:r>
              <w:rPr>
                <w:spacing w:val="12"/>
              </w:rPr>
              <w:t xml:space="preserve"> </w:t>
            </w:r>
            <w:r>
              <w:t>service</w:t>
            </w:r>
            <w:r>
              <w:rPr>
                <w:spacing w:val="13"/>
              </w:rPr>
              <w:t xml:space="preserve"> </w:t>
            </w:r>
            <w:r>
              <w:t>leave</w:t>
            </w:r>
          </w:p>
        </w:tc>
        <w:tc>
          <w:tcPr>
            <w:tcW w:w="2008" w:type="dxa"/>
          </w:tcPr>
          <w:p w14:paraId="186D8ABA" w14:textId="77777777" w:rsidR="00851B45" w:rsidRDefault="00851B45" w:rsidP="00DA1662">
            <w:pPr>
              <w:pStyle w:val="TableText"/>
              <w:jc w:val="right"/>
            </w:pPr>
            <w:r>
              <w:t>1,722</w:t>
            </w:r>
          </w:p>
        </w:tc>
      </w:tr>
      <w:tr w:rsidR="00851B45" w14:paraId="42AC179E" w14:textId="77777777" w:rsidTr="00DA1662">
        <w:trPr>
          <w:trHeight w:val="350"/>
        </w:trPr>
        <w:tc>
          <w:tcPr>
            <w:tcW w:w="1134" w:type="dxa"/>
          </w:tcPr>
          <w:p w14:paraId="05F3ABD2" w14:textId="77777777" w:rsidR="00851B45" w:rsidRDefault="00851B45" w:rsidP="00DA1662">
            <w:pPr>
              <w:pStyle w:val="TableText"/>
              <w:jc w:val="right"/>
            </w:pPr>
            <w:r>
              <w:t>1,842</w:t>
            </w:r>
          </w:p>
        </w:tc>
        <w:tc>
          <w:tcPr>
            <w:tcW w:w="4796" w:type="dxa"/>
          </w:tcPr>
          <w:p w14:paraId="70135BFF" w14:textId="77777777" w:rsidR="00851B45" w:rsidRDefault="00851B45" w:rsidP="00DA1662">
            <w:pPr>
              <w:pStyle w:val="TableText"/>
              <w:ind w:left="170"/>
            </w:pPr>
            <w:r>
              <w:rPr>
                <w:w w:val="110"/>
              </w:rPr>
              <w:t>Total</w:t>
            </w:r>
            <w:r>
              <w:rPr>
                <w:spacing w:val="-11"/>
                <w:w w:val="110"/>
              </w:rPr>
              <w:t xml:space="preserve"> </w:t>
            </w:r>
            <w:r>
              <w:rPr>
                <w:w w:val="110"/>
              </w:rPr>
              <w:t>non-current</w:t>
            </w:r>
            <w:r>
              <w:rPr>
                <w:spacing w:val="-10"/>
                <w:w w:val="110"/>
              </w:rPr>
              <w:t xml:space="preserve"> </w:t>
            </w:r>
            <w:r>
              <w:rPr>
                <w:w w:val="110"/>
              </w:rPr>
              <w:t>portion</w:t>
            </w:r>
          </w:p>
        </w:tc>
        <w:tc>
          <w:tcPr>
            <w:tcW w:w="2008" w:type="dxa"/>
          </w:tcPr>
          <w:p w14:paraId="31BD3522" w14:textId="77777777" w:rsidR="00851B45" w:rsidRDefault="00851B45" w:rsidP="00DA1662">
            <w:pPr>
              <w:pStyle w:val="TableText"/>
              <w:jc w:val="right"/>
            </w:pPr>
            <w:r>
              <w:t>1,722</w:t>
            </w:r>
          </w:p>
        </w:tc>
      </w:tr>
      <w:tr w:rsidR="00851B45" w:rsidRPr="00DA1662" w14:paraId="66ED38E9" w14:textId="77777777" w:rsidTr="00DA1662">
        <w:trPr>
          <w:trHeight w:val="289"/>
        </w:trPr>
        <w:tc>
          <w:tcPr>
            <w:tcW w:w="1134" w:type="dxa"/>
            <w:tcBorders>
              <w:bottom w:val="single" w:sz="4" w:space="0" w:color="A6A6A6" w:themeColor="background1" w:themeShade="A6"/>
            </w:tcBorders>
          </w:tcPr>
          <w:p w14:paraId="5F12E010" w14:textId="77777777" w:rsidR="00851B45" w:rsidRPr="00DA1662" w:rsidRDefault="00851B45" w:rsidP="00DA1662">
            <w:pPr>
              <w:pStyle w:val="TableText"/>
              <w:jc w:val="right"/>
              <w:rPr>
                <w:b/>
                <w:bCs/>
              </w:rPr>
            </w:pPr>
            <w:r w:rsidRPr="00DA1662">
              <w:rPr>
                <w:b/>
                <w:bCs/>
              </w:rPr>
              <w:t>19,170</w:t>
            </w:r>
          </w:p>
        </w:tc>
        <w:tc>
          <w:tcPr>
            <w:tcW w:w="4796" w:type="dxa"/>
            <w:tcBorders>
              <w:bottom w:val="single" w:sz="4" w:space="0" w:color="A6A6A6" w:themeColor="background1" w:themeShade="A6"/>
            </w:tcBorders>
          </w:tcPr>
          <w:p w14:paraId="722AB394" w14:textId="77777777" w:rsidR="00851B45" w:rsidRPr="00DA1662" w:rsidRDefault="00851B45" w:rsidP="00DA1662">
            <w:pPr>
              <w:pStyle w:val="TableText"/>
              <w:ind w:left="170"/>
              <w:rPr>
                <w:b/>
                <w:bCs/>
              </w:rPr>
            </w:pPr>
            <w:r w:rsidRPr="00DA1662">
              <w:rPr>
                <w:b/>
                <w:bCs/>
                <w:w w:val="105"/>
              </w:rPr>
              <w:t>Total</w:t>
            </w:r>
            <w:r w:rsidRPr="00DA1662">
              <w:rPr>
                <w:b/>
                <w:bCs/>
                <w:spacing w:val="8"/>
                <w:w w:val="105"/>
              </w:rPr>
              <w:t xml:space="preserve"> </w:t>
            </w:r>
            <w:r w:rsidRPr="00DA1662">
              <w:rPr>
                <w:b/>
                <w:bCs/>
                <w:w w:val="105"/>
              </w:rPr>
              <w:t>employee</w:t>
            </w:r>
            <w:r w:rsidRPr="00DA1662">
              <w:rPr>
                <w:b/>
                <w:bCs/>
                <w:spacing w:val="9"/>
                <w:w w:val="105"/>
              </w:rPr>
              <w:t xml:space="preserve"> </w:t>
            </w:r>
            <w:r w:rsidRPr="00DA1662">
              <w:rPr>
                <w:b/>
                <w:bCs/>
                <w:w w:val="105"/>
              </w:rPr>
              <w:t>entitlements</w:t>
            </w:r>
          </w:p>
        </w:tc>
        <w:tc>
          <w:tcPr>
            <w:tcW w:w="2008" w:type="dxa"/>
            <w:tcBorders>
              <w:bottom w:val="single" w:sz="4" w:space="0" w:color="A6A6A6" w:themeColor="background1" w:themeShade="A6"/>
            </w:tcBorders>
          </w:tcPr>
          <w:p w14:paraId="6B3838F0" w14:textId="77777777" w:rsidR="00851B45" w:rsidRPr="00DA1662" w:rsidRDefault="00851B45" w:rsidP="00DA1662">
            <w:pPr>
              <w:pStyle w:val="TableText"/>
              <w:jc w:val="right"/>
              <w:rPr>
                <w:b/>
                <w:bCs/>
              </w:rPr>
            </w:pPr>
            <w:r w:rsidRPr="00DA1662">
              <w:rPr>
                <w:b/>
                <w:bCs/>
                <w:w w:val="110"/>
              </w:rPr>
              <w:t>25,482</w:t>
            </w:r>
          </w:p>
        </w:tc>
      </w:tr>
    </w:tbl>
    <w:p w14:paraId="1FDEC546" w14:textId="77777777" w:rsidR="00851B45" w:rsidRPr="00851B45" w:rsidRDefault="00851B45" w:rsidP="00DA1662">
      <w:pPr>
        <w:pStyle w:val="Heading5"/>
      </w:pPr>
      <w:r w:rsidRPr="00851B45">
        <w:t>Critical accounting estimates and assumptions: long service leave and retirement gratuities</w:t>
      </w:r>
    </w:p>
    <w:p w14:paraId="4042CB92" w14:textId="56CB559A" w:rsidR="00851B45" w:rsidRDefault="00851B45" w:rsidP="00851B45">
      <w:pPr>
        <w:rPr>
          <w:rFonts w:eastAsia="Arial Unicode MS"/>
        </w:rPr>
      </w:pPr>
      <w:r w:rsidRPr="00851B45">
        <w:rPr>
          <w:rFonts w:eastAsia="Arial Unicode MS"/>
        </w:rPr>
        <w:t>The measurement of the long service leave and retirement gratuities obligations depends on a number of factors that are determined on an actuarial basis using a number of assumptions. Two key assumptions used in calculating this liability include the discount rate and the salary inflation factor. Any changes in these assumptions will affect the carrying amount of the liability.</w:t>
      </w:r>
    </w:p>
    <w:p w14:paraId="519FCEC9" w14:textId="77777777" w:rsidR="00DA1662" w:rsidRPr="00851B45" w:rsidRDefault="00DA1662" w:rsidP="00851B45">
      <w:pPr>
        <w:rPr>
          <w:rFonts w:eastAsia="Arial Unicode MS"/>
        </w:rPr>
      </w:pPr>
    </w:p>
    <w:p w14:paraId="5D888245" w14:textId="7ACCC6B0" w:rsidR="00851B45" w:rsidRDefault="00851B45" w:rsidP="00851B45">
      <w:pPr>
        <w:rPr>
          <w:rFonts w:eastAsia="Arial Unicode MS"/>
        </w:rPr>
      </w:pPr>
      <w:r w:rsidRPr="00851B45">
        <w:rPr>
          <w:rFonts w:eastAsia="Arial Unicode MS"/>
        </w:rPr>
        <w:t>Expected future payments are discounted using discount rates derived from the yield curve of New Zealand government bonds. The discount rates used have maturities that match, as closely as possible, the estimated future cash flows. A weighted average discount rate of 3.34% (2021: 0.38%) was used. The discount rates and salary inflation factor used are those advised by the Treasury.</w:t>
      </w:r>
    </w:p>
    <w:p w14:paraId="1CEF4DB1" w14:textId="77777777" w:rsidR="00DA1662" w:rsidRPr="00851B45" w:rsidRDefault="00DA1662" w:rsidP="00851B45">
      <w:pPr>
        <w:rPr>
          <w:rFonts w:eastAsia="Arial Unicode MS"/>
        </w:rPr>
      </w:pPr>
    </w:p>
    <w:p w14:paraId="273C5288" w14:textId="77777777" w:rsidR="00851B45" w:rsidRDefault="00851B45" w:rsidP="00851B45">
      <w:pPr>
        <w:rPr>
          <w:rFonts w:eastAsia="Arial Unicode MS"/>
        </w:rPr>
      </w:pPr>
      <w:r w:rsidRPr="00851B45">
        <w:rPr>
          <w:rFonts w:eastAsia="Arial Unicode MS"/>
        </w:rPr>
        <w:t>If the discount rates were to differ by 1% from the Ministry’s estimates, with all other factors held constant, the carrying amount of the liability and the surplus or deficit would be an estimated $19,450 higher/lower (2021: $13,840 higher/lower).</w:t>
      </w:r>
    </w:p>
    <w:p w14:paraId="6810A7BB" w14:textId="77777777" w:rsidR="00447157" w:rsidRDefault="00447157" w:rsidP="00851B45">
      <w:pPr>
        <w:rPr>
          <w:rFonts w:eastAsia="Arial Unicode MS"/>
        </w:rPr>
      </w:pPr>
    </w:p>
    <w:p w14:paraId="1769CB52" w14:textId="77777777" w:rsidR="00447157" w:rsidRDefault="00447157" w:rsidP="00851B45">
      <w:pPr>
        <w:rPr>
          <w:rFonts w:eastAsia="Arial Unicode MS"/>
        </w:rPr>
      </w:pPr>
      <w:r w:rsidRPr="00447157">
        <w:rPr>
          <w:rFonts w:eastAsia="Arial Unicode MS"/>
        </w:rPr>
        <w:t>If the salary inflation rates were to differ by below percentages from the Ministry’s estimates, with all other factors held constant, the carrying amount of the total liability and the surplus or deficit would increase/(decrease) by:</w:t>
      </w:r>
    </w:p>
    <w:p w14:paraId="1E3D451F" w14:textId="77777777" w:rsidR="00447157" w:rsidRDefault="00447157" w:rsidP="00851B45">
      <w:pPr>
        <w:rPr>
          <w:rFonts w:eastAsia="Arial Unicode MS"/>
        </w:rPr>
      </w:pPr>
    </w:p>
    <w:tbl>
      <w:tblPr>
        <w:tblW w:w="8080" w:type="dxa"/>
        <w:tblLayout w:type="fixed"/>
        <w:tblCellMar>
          <w:left w:w="0" w:type="dxa"/>
          <w:right w:w="0" w:type="dxa"/>
        </w:tblCellMar>
        <w:tblLook w:val="01E0" w:firstRow="1" w:lastRow="1" w:firstColumn="1" w:lastColumn="1" w:noHBand="0" w:noVBand="0"/>
      </w:tblPr>
      <w:tblGrid>
        <w:gridCol w:w="2268"/>
        <w:gridCol w:w="426"/>
        <w:gridCol w:w="1795"/>
        <w:gridCol w:w="1795"/>
        <w:gridCol w:w="1796"/>
      </w:tblGrid>
      <w:tr w:rsidR="00447157" w:rsidRPr="00DA1662" w14:paraId="0E418E81" w14:textId="77777777" w:rsidTr="00447157">
        <w:trPr>
          <w:trHeight w:val="649"/>
        </w:trPr>
        <w:tc>
          <w:tcPr>
            <w:tcW w:w="2268" w:type="dxa"/>
            <w:shd w:val="clear" w:color="auto" w:fill="D9D9D9" w:themeFill="background1" w:themeFillShade="D9"/>
          </w:tcPr>
          <w:p w14:paraId="79C7662B" w14:textId="0BBB9823" w:rsidR="00447157" w:rsidRPr="00DA1662" w:rsidRDefault="00447157" w:rsidP="008D03E5">
            <w:pPr>
              <w:pStyle w:val="TableText"/>
              <w:jc w:val="right"/>
              <w:rPr>
                <w:b/>
                <w:bCs/>
              </w:rPr>
            </w:pPr>
          </w:p>
        </w:tc>
        <w:tc>
          <w:tcPr>
            <w:tcW w:w="426" w:type="dxa"/>
            <w:shd w:val="clear" w:color="auto" w:fill="D9D9D9" w:themeFill="background1" w:themeFillShade="D9"/>
          </w:tcPr>
          <w:p w14:paraId="231FE54A" w14:textId="77777777" w:rsidR="00447157" w:rsidRPr="00DA1662" w:rsidRDefault="00447157" w:rsidP="008D03E5">
            <w:pPr>
              <w:pStyle w:val="TableText"/>
              <w:rPr>
                <w:rFonts w:ascii="Times New Roman"/>
                <w:b/>
                <w:bCs/>
              </w:rPr>
            </w:pPr>
          </w:p>
        </w:tc>
        <w:tc>
          <w:tcPr>
            <w:tcW w:w="1795" w:type="dxa"/>
            <w:shd w:val="clear" w:color="auto" w:fill="D9D9D9" w:themeFill="background1" w:themeFillShade="D9"/>
          </w:tcPr>
          <w:p w14:paraId="35B2A0F6" w14:textId="77777777" w:rsidR="00447157" w:rsidRPr="00447157" w:rsidRDefault="00447157" w:rsidP="00447157">
            <w:pPr>
              <w:pStyle w:val="TableText"/>
              <w:jc w:val="right"/>
              <w:rPr>
                <w:b/>
                <w:bCs/>
              </w:rPr>
            </w:pPr>
            <w:r w:rsidRPr="00447157">
              <w:rPr>
                <w:b/>
                <w:bCs/>
              </w:rPr>
              <w:t>+/-1%</w:t>
            </w:r>
          </w:p>
          <w:p w14:paraId="6CB54523" w14:textId="20D5C2FA" w:rsidR="00447157" w:rsidRPr="00447157" w:rsidRDefault="00447157" w:rsidP="00447157">
            <w:pPr>
              <w:pStyle w:val="TableText"/>
              <w:jc w:val="right"/>
              <w:rPr>
                <w:b/>
                <w:bCs/>
              </w:rPr>
            </w:pPr>
            <w:r w:rsidRPr="00447157">
              <w:rPr>
                <w:b/>
                <w:bCs/>
              </w:rPr>
              <w:t>$000</w:t>
            </w:r>
          </w:p>
        </w:tc>
        <w:tc>
          <w:tcPr>
            <w:tcW w:w="1795" w:type="dxa"/>
            <w:shd w:val="clear" w:color="auto" w:fill="D9D9D9" w:themeFill="background1" w:themeFillShade="D9"/>
          </w:tcPr>
          <w:p w14:paraId="64251846" w14:textId="77777777" w:rsidR="00447157" w:rsidRPr="00447157" w:rsidRDefault="00447157" w:rsidP="00447157">
            <w:pPr>
              <w:pStyle w:val="TableText"/>
              <w:jc w:val="right"/>
              <w:rPr>
                <w:b/>
                <w:bCs/>
              </w:rPr>
            </w:pPr>
            <w:r w:rsidRPr="00447157">
              <w:rPr>
                <w:b/>
                <w:bCs/>
              </w:rPr>
              <w:t>+/-3%</w:t>
            </w:r>
          </w:p>
          <w:p w14:paraId="71A788BD" w14:textId="3F50712A" w:rsidR="00447157" w:rsidRPr="00447157" w:rsidRDefault="00447157" w:rsidP="00447157">
            <w:pPr>
              <w:pStyle w:val="TableText"/>
              <w:jc w:val="right"/>
              <w:rPr>
                <w:b/>
                <w:bCs/>
              </w:rPr>
            </w:pPr>
            <w:r w:rsidRPr="00447157">
              <w:rPr>
                <w:b/>
                <w:bCs/>
              </w:rPr>
              <w:tab/>
              <w:t>$000</w:t>
            </w:r>
          </w:p>
        </w:tc>
        <w:tc>
          <w:tcPr>
            <w:tcW w:w="1796" w:type="dxa"/>
            <w:shd w:val="clear" w:color="auto" w:fill="D9D9D9" w:themeFill="background1" w:themeFillShade="D9"/>
          </w:tcPr>
          <w:p w14:paraId="7E92FEAF" w14:textId="77777777" w:rsidR="00447157" w:rsidRPr="00447157" w:rsidRDefault="00447157" w:rsidP="00447157">
            <w:pPr>
              <w:pStyle w:val="TableText"/>
              <w:jc w:val="right"/>
              <w:rPr>
                <w:b/>
                <w:bCs/>
              </w:rPr>
            </w:pPr>
            <w:r w:rsidRPr="00447157">
              <w:rPr>
                <w:b/>
                <w:bCs/>
              </w:rPr>
              <w:t>+5%</w:t>
            </w:r>
          </w:p>
          <w:p w14:paraId="7BE4A958" w14:textId="2F2D30DF" w:rsidR="00447157" w:rsidRPr="00447157" w:rsidRDefault="00447157" w:rsidP="00447157">
            <w:pPr>
              <w:pStyle w:val="TableText"/>
              <w:jc w:val="right"/>
              <w:rPr>
                <w:b/>
                <w:bCs/>
              </w:rPr>
            </w:pPr>
            <w:r w:rsidRPr="00447157">
              <w:rPr>
                <w:b/>
                <w:bCs/>
              </w:rPr>
              <w:t>$000</w:t>
            </w:r>
          </w:p>
        </w:tc>
      </w:tr>
      <w:tr w:rsidR="00447157" w14:paraId="3B118C2F" w14:textId="77777777" w:rsidTr="00447157">
        <w:trPr>
          <w:trHeight w:val="400"/>
        </w:trPr>
        <w:tc>
          <w:tcPr>
            <w:tcW w:w="2268" w:type="dxa"/>
            <w:tcBorders>
              <w:bottom w:val="single" w:sz="4" w:space="0" w:color="A6A6A6" w:themeColor="background1" w:themeShade="A6"/>
            </w:tcBorders>
          </w:tcPr>
          <w:p w14:paraId="0404B652" w14:textId="0BE86571" w:rsidR="00447157" w:rsidRPr="00447157" w:rsidRDefault="00447157" w:rsidP="00447157">
            <w:pPr>
              <w:pStyle w:val="TableText"/>
            </w:pPr>
            <w:r w:rsidRPr="00447157">
              <w:t>Movement</w:t>
            </w:r>
          </w:p>
        </w:tc>
        <w:tc>
          <w:tcPr>
            <w:tcW w:w="426" w:type="dxa"/>
            <w:tcBorders>
              <w:bottom w:val="single" w:sz="4" w:space="0" w:color="A6A6A6" w:themeColor="background1" w:themeShade="A6"/>
            </w:tcBorders>
          </w:tcPr>
          <w:p w14:paraId="79746073" w14:textId="77777777" w:rsidR="00447157" w:rsidRDefault="00447157" w:rsidP="008D03E5">
            <w:pPr>
              <w:pStyle w:val="TableText"/>
              <w:ind w:left="170"/>
              <w:rPr>
                <w:w w:val="105"/>
              </w:rPr>
            </w:pPr>
          </w:p>
        </w:tc>
        <w:tc>
          <w:tcPr>
            <w:tcW w:w="1795" w:type="dxa"/>
            <w:tcBorders>
              <w:bottom w:val="single" w:sz="4" w:space="0" w:color="A6A6A6" w:themeColor="background1" w:themeShade="A6"/>
            </w:tcBorders>
          </w:tcPr>
          <w:p w14:paraId="4EBEC253" w14:textId="70B0E104" w:rsidR="00447157" w:rsidRPr="00447157" w:rsidRDefault="00447157" w:rsidP="00447157">
            <w:pPr>
              <w:pStyle w:val="TableText"/>
              <w:jc w:val="right"/>
            </w:pPr>
            <w:r w:rsidRPr="00447157">
              <w:t>+/-28</w:t>
            </w:r>
          </w:p>
        </w:tc>
        <w:tc>
          <w:tcPr>
            <w:tcW w:w="1795" w:type="dxa"/>
            <w:tcBorders>
              <w:bottom w:val="single" w:sz="4" w:space="0" w:color="A6A6A6" w:themeColor="background1" w:themeShade="A6"/>
            </w:tcBorders>
          </w:tcPr>
          <w:p w14:paraId="43D317E5" w14:textId="120895F6" w:rsidR="00447157" w:rsidRPr="00447157" w:rsidRDefault="00447157" w:rsidP="00447157">
            <w:pPr>
              <w:pStyle w:val="TableText"/>
              <w:jc w:val="right"/>
            </w:pPr>
            <w:r w:rsidRPr="00447157">
              <w:t>+/-83</w:t>
            </w:r>
          </w:p>
        </w:tc>
        <w:tc>
          <w:tcPr>
            <w:tcW w:w="1796" w:type="dxa"/>
            <w:tcBorders>
              <w:bottom w:val="single" w:sz="4" w:space="0" w:color="A6A6A6" w:themeColor="background1" w:themeShade="A6"/>
            </w:tcBorders>
          </w:tcPr>
          <w:p w14:paraId="14487733" w14:textId="09C4CF02" w:rsidR="00447157" w:rsidRPr="00447157" w:rsidRDefault="00447157" w:rsidP="00447157">
            <w:pPr>
              <w:pStyle w:val="TableText"/>
              <w:jc w:val="right"/>
            </w:pPr>
            <w:r w:rsidRPr="00447157">
              <w:t>+139</w:t>
            </w:r>
          </w:p>
        </w:tc>
      </w:tr>
    </w:tbl>
    <w:p w14:paraId="1BD46605" w14:textId="77777777" w:rsidR="00447157" w:rsidRPr="00447157" w:rsidRDefault="00447157" w:rsidP="00447157">
      <w:pPr>
        <w:pStyle w:val="Heading5"/>
      </w:pPr>
      <w:r w:rsidRPr="00447157">
        <w:t>Explanation of major variances against budget</w:t>
      </w:r>
    </w:p>
    <w:p w14:paraId="3E5A960C" w14:textId="77777777" w:rsidR="00447157" w:rsidRPr="00447157" w:rsidRDefault="00447157" w:rsidP="00447157">
      <w:pPr>
        <w:rPr>
          <w:rFonts w:eastAsia="Arial Unicode MS"/>
        </w:rPr>
      </w:pPr>
      <w:r w:rsidRPr="00447157">
        <w:rPr>
          <w:rFonts w:eastAsia="Arial Unicode MS"/>
        </w:rPr>
        <w:t xml:space="preserve">Employee entitlements were $12.176 million higher than budget due to additional </w:t>
      </w:r>
    </w:p>
    <w:p w14:paraId="343B2819" w14:textId="77777777" w:rsidR="00447157" w:rsidRPr="00447157" w:rsidRDefault="00447157" w:rsidP="00447157">
      <w:pPr>
        <w:rPr>
          <w:rFonts w:eastAsia="Arial Unicode MS"/>
        </w:rPr>
      </w:pPr>
      <w:r w:rsidRPr="00447157">
        <w:rPr>
          <w:rFonts w:eastAsia="Arial Unicode MS"/>
        </w:rPr>
        <w:t xml:space="preserve">employees required for the health and disability system reform and higher than </w:t>
      </w:r>
    </w:p>
    <w:p w14:paraId="5C7E0379" w14:textId="77777777" w:rsidR="00447157" w:rsidRPr="00447157" w:rsidRDefault="00447157" w:rsidP="00447157">
      <w:pPr>
        <w:rPr>
          <w:rFonts w:eastAsia="Arial Unicode MS"/>
        </w:rPr>
      </w:pPr>
      <w:r w:rsidRPr="00447157">
        <w:rPr>
          <w:rFonts w:eastAsia="Arial Unicode MS"/>
        </w:rPr>
        <w:t xml:space="preserve">anticipated annual leave expenses and lower leave taken due to COVID-19, resulting </w:t>
      </w:r>
    </w:p>
    <w:p w14:paraId="6958223B" w14:textId="77777777" w:rsidR="00447157" w:rsidRPr="00447157" w:rsidRDefault="00447157" w:rsidP="00447157">
      <w:pPr>
        <w:rPr>
          <w:rFonts w:eastAsia="Arial Unicode MS"/>
        </w:rPr>
      </w:pPr>
      <w:r w:rsidRPr="00447157">
        <w:rPr>
          <w:rFonts w:eastAsia="Arial Unicode MS"/>
        </w:rPr>
        <w:t xml:space="preserve">in increased annual leave, Holidays Act and long service leave liabilities, and accrued </w:t>
      </w:r>
    </w:p>
    <w:p w14:paraId="75261323" w14:textId="77777777" w:rsidR="00447157" w:rsidRPr="00447157" w:rsidRDefault="00447157" w:rsidP="00447157">
      <w:pPr>
        <w:rPr>
          <w:rFonts w:eastAsia="Arial Unicode MS"/>
        </w:rPr>
      </w:pPr>
      <w:r w:rsidRPr="00447157">
        <w:rPr>
          <w:rFonts w:eastAsia="Arial Unicode MS"/>
        </w:rPr>
        <w:t>salaries.</w:t>
      </w:r>
    </w:p>
    <w:p w14:paraId="50B92086" w14:textId="77777777" w:rsidR="00447157" w:rsidRPr="00447157" w:rsidRDefault="00447157" w:rsidP="00447157">
      <w:pPr>
        <w:pStyle w:val="Heading4"/>
      </w:pPr>
      <w:r w:rsidRPr="00447157">
        <w:lastRenderedPageBreak/>
        <w:t>11 Equity</w:t>
      </w:r>
    </w:p>
    <w:p w14:paraId="6921836D" w14:textId="77777777" w:rsidR="00447157" w:rsidRPr="00447157" w:rsidRDefault="00447157" w:rsidP="00447157">
      <w:pPr>
        <w:pStyle w:val="Heading5"/>
      </w:pPr>
      <w:r w:rsidRPr="00447157">
        <w:t>Accounting policy</w:t>
      </w:r>
    </w:p>
    <w:p w14:paraId="54EB6C7B" w14:textId="5DBAE1E4" w:rsidR="00447157" w:rsidRPr="00447157" w:rsidRDefault="00447157" w:rsidP="00447157">
      <w:pPr>
        <w:rPr>
          <w:rFonts w:eastAsia="Arial Unicode MS"/>
        </w:rPr>
      </w:pPr>
      <w:r w:rsidRPr="00447157">
        <w:rPr>
          <w:rFonts w:eastAsia="Arial Unicode MS"/>
        </w:rPr>
        <w:t>Equity is the Crown’s investment in the Ministry and is measured as the difference between total assets and total liabilities (net assets).</w:t>
      </w:r>
    </w:p>
    <w:p w14:paraId="66AD8E30" w14:textId="77777777" w:rsidR="00447157" w:rsidRPr="00447157" w:rsidRDefault="00447157" w:rsidP="00447157">
      <w:pPr>
        <w:pStyle w:val="Heading5"/>
      </w:pPr>
      <w:r w:rsidRPr="00447157">
        <w:t>Capital management</w:t>
      </w:r>
    </w:p>
    <w:p w14:paraId="2B34A9AC" w14:textId="77777777" w:rsidR="00447157" w:rsidRPr="00447157" w:rsidRDefault="00447157" w:rsidP="00447157">
      <w:pPr>
        <w:rPr>
          <w:rFonts w:eastAsia="Arial Unicode MS"/>
        </w:rPr>
      </w:pPr>
      <w:r w:rsidRPr="00447157">
        <w:rPr>
          <w:rFonts w:eastAsia="Arial Unicode MS"/>
        </w:rPr>
        <w:t xml:space="preserve">The Ministry’s capital is its equity, which comprise taxpayers’ funds, memorandum </w:t>
      </w:r>
    </w:p>
    <w:p w14:paraId="1E5DE3FC" w14:textId="6578C27D" w:rsidR="00447157" w:rsidRDefault="00447157" w:rsidP="00447157">
      <w:pPr>
        <w:rPr>
          <w:rFonts w:eastAsia="Arial Unicode MS"/>
        </w:rPr>
      </w:pPr>
      <w:r w:rsidRPr="00447157">
        <w:rPr>
          <w:rFonts w:eastAsia="Arial Unicode MS"/>
        </w:rPr>
        <w:t xml:space="preserve">accounts, and property revaluation reserve. </w:t>
      </w:r>
    </w:p>
    <w:p w14:paraId="64CA2D5E" w14:textId="77777777" w:rsidR="00447157" w:rsidRPr="00447157" w:rsidRDefault="00447157" w:rsidP="00447157">
      <w:pPr>
        <w:rPr>
          <w:rFonts w:eastAsia="Arial Unicode MS"/>
        </w:rPr>
      </w:pPr>
    </w:p>
    <w:p w14:paraId="12FFEC61" w14:textId="77777777" w:rsidR="00447157" w:rsidRPr="00447157" w:rsidRDefault="00447157" w:rsidP="00447157">
      <w:pPr>
        <w:rPr>
          <w:rFonts w:eastAsia="Arial Unicode MS"/>
        </w:rPr>
      </w:pPr>
      <w:r w:rsidRPr="00447157">
        <w:rPr>
          <w:rFonts w:eastAsia="Arial Unicode MS"/>
        </w:rPr>
        <w:t xml:space="preserve">The Ministry manages its revenues, expenses, assets, liabilities, and general financial </w:t>
      </w:r>
    </w:p>
    <w:p w14:paraId="5584AD55" w14:textId="5DB9E362" w:rsidR="00447157" w:rsidRPr="00447157" w:rsidRDefault="00447157" w:rsidP="00447157">
      <w:pPr>
        <w:rPr>
          <w:rFonts w:eastAsia="Arial Unicode MS"/>
        </w:rPr>
      </w:pPr>
      <w:r w:rsidRPr="00447157">
        <w:rPr>
          <w:rFonts w:eastAsia="Arial Unicode MS"/>
        </w:rPr>
        <w:t xml:space="preserve">dealings prudently. The Ministry’s equity is largely managed as a by-product of managing </w:t>
      </w:r>
      <w:r>
        <w:rPr>
          <w:rFonts w:eastAsia="Arial Unicode MS"/>
        </w:rPr>
        <w:t xml:space="preserve"> </w:t>
      </w:r>
      <w:r w:rsidRPr="00447157">
        <w:rPr>
          <w:rFonts w:eastAsia="Arial Unicode MS"/>
        </w:rPr>
        <w:t>revenue, expenses, assets, liabilities, compliance with the government budget processes, Treasury instructions, and the PFA.</w:t>
      </w:r>
    </w:p>
    <w:p w14:paraId="3E6E5926" w14:textId="77777777" w:rsidR="00447157" w:rsidRDefault="00447157" w:rsidP="00447157">
      <w:pPr>
        <w:rPr>
          <w:rFonts w:eastAsia="Arial Unicode MS"/>
        </w:rPr>
      </w:pPr>
    </w:p>
    <w:p w14:paraId="471E5D87" w14:textId="5148C838" w:rsidR="00447157" w:rsidRPr="00447157" w:rsidRDefault="00447157" w:rsidP="00447157">
      <w:pPr>
        <w:rPr>
          <w:rFonts w:eastAsia="Arial Unicode MS"/>
        </w:rPr>
      </w:pPr>
      <w:r w:rsidRPr="00447157">
        <w:rPr>
          <w:rFonts w:eastAsia="Arial Unicode MS"/>
        </w:rPr>
        <w:t>The objective of managing the Ministry’s equity is to ensure that the Ministry effectively achieves its goals and objectives, for which it has been established, while remaining a going concern.</w:t>
      </w:r>
    </w:p>
    <w:p w14:paraId="72F6D929" w14:textId="77777777" w:rsidR="00447157" w:rsidRPr="00447157" w:rsidRDefault="00447157" w:rsidP="00447157">
      <w:pPr>
        <w:pStyle w:val="Heading5"/>
      </w:pPr>
      <w:r w:rsidRPr="00447157">
        <w:t>Memorandum accounts</w:t>
      </w:r>
    </w:p>
    <w:p w14:paraId="02F5E0ED" w14:textId="77777777" w:rsidR="00447157" w:rsidRPr="00447157" w:rsidRDefault="00447157" w:rsidP="00447157">
      <w:pPr>
        <w:rPr>
          <w:rFonts w:eastAsia="Arial Unicode MS"/>
        </w:rPr>
      </w:pPr>
      <w:r w:rsidRPr="00447157">
        <w:rPr>
          <w:rFonts w:eastAsia="Arial Unicode MS"/>
        </w:rPr>
        <w:t xml:space="preserve">Memorandum accounts reflect the cumulative surplus or deficit on those departmental </w:t>
      </w:r>
    </w:p>
    <w:p w14:paraId="48F653DE" w14:textId="6EDC5997" w:rsidR="00447157" w:rsidRDefault="00447157" w:rsidP="00447157">
      <w:pPr>
        <w:rPr>
          <w:rFonts w:eastAsia="Arial Unicode MS"/>
        </w:rPr>
      </w:pPr>
      <w:r w:rsidRPr="00447157">
        <w:rPr>
          <w:rFonts w:eastAsia="Arial Unicode MS"/>
        </w:rPr>
        <w:t>services provided that are intended to be fully cost recovered from third parties through fees, levies or charges. The balance of each memorandum account is expected to trend toward zero over time.</w:t>
      </w:r>
    </w:p>
    <w:p w14:paraId="42C0BB46" w14:textId="77777777" w:rsidR="009651E8" w:rsidRDefault="009651E8" w:rsidP="009651E8">
      <w:pPr>
        <w:pStyle w:val="Heading5"/>
        <w:sectPr w:rsidR="009651E8" w:rsidSect="00C26282">
          <w:pgSz w:w="11907" w:h="16840" w:code="9"/>
          <w:pgMar w:top="1418" w:right="1701" w:bottom="1134" w:left="1843" w:header="284" w:footer="425" w:gutter="284"/>
          <w:cols w:space="720"/>
        </w:sectPr>
      </w:pPr>
    </w:p>
    <w:p w14:paraId="0849A7A3" w14:textId="3E04370D" w:rsidR="009651E8" w:rsidRPr="009651E8" w:rsidRDefault="009651E8" w:rsidP="009651E8">
      <w:pPr>
        <w:pStyle w:val="Heading5"/>
      </w:pPr>
      <w:r w:rsidRPr="009651E8">
        <w:lastRenderedPageBreak/>
        <w:t>Property revaluation reserve</w:t>
      </w:r>
    </w:p>
    <w:p w14:paraId="314275CD" w14:textId="77777777" w:rsidR="00447157" w:rsidRDefault="009651E8" w:rsidP="009651E8">
      <w:pPr>
        <w:rPr>
          <w:rFonts w:eastAsia="Arial Unicode MS"/>
        </w:rPr>
      </w:pPr>
      <w:r w:rsidRPr="009651E8">
        <w:rPr>
          <w:rFonts w:eastAsia="Arial Unicode MS"/>
        </w:rPr>
        <w:t>Property revaluation reserve is the result of land revaluation to fair value.</w:t>
      </w:r>
    </w:p>
    <w:p w14:paraId="3E2422BA" w14:textId="77777777" w:rsidR="009651E8" w:rsidRDefault="009651E8" w:rsidP="009651E8">
      <w:pPr>
        <w:rPr>
          <w:rFonts w:eastAsia="Arial Unicode MS"/>
        </w:rPr>
      </w:pPr>
    </w:p>
    <w:tbl>
      <w:tblPr>
        <w:tblW w:w="0" w:type="auto"/>
        <w:tblInd w:w="7" w:type="dxa"/>
        <w:tblLayout w:type="fixed"/>
        <w:tblCellMar>
          <w:left w:w="0" w:type="dxa"/>
          <w:right w:w="0" w:type="dxa"/>
        </w:tblCellMar>
        <w:tblLook w:val="01E0" w:firstRow="1" w:lastRow="1" w:firstColumn="1" w:lastColumn="1" w:noHBand="0" w:noVBand="0"/>
      </w:tblPr>
      <w:tblGrid>
        <w:gridCol w:w="1113"/>
        <w:gridCol w:w="5401"/>
        <w:gridCol w:w="1401"/>
      </w:tblGrid>
      <w:tr w:rsidR="009651E8" w:rsidRPr="009651E8" w14:paraId="58677534" w14:textId="77777777" w:rsidTr="008C677C">
        <w:trPr>
          <w:trHeight w:val="875"/>
        </w:trPr>
        <w:tc>
          <w:tcPr>
            <w:tcW w:w="1113" w:type="dxa"/>
            <w:shd w:val="clear" w:color="auto" w:fill="D9D9D9" w:themeFill="background1" w:themeFillShade="D9"/>
          </w:tcPr>
          <w:p w14:paraId="3BB34455" w14:textId="77777777" w:rsidR="009651E8" w:rsidRPr="009651E8" w:rsidRDefault="009651E8" w:rsidP="009651E8">
            <w:pPr>
              <w:pStyle w:val="TableText"/>
              <w:jc w:val="right"/>
              <w:rPr>
                <w:b/>
                <w:bCs/>
              </w:rPr>
            </w:pPr>
            <w:r w:rsidRPr="009651E8">
              <w:rPr>
                <w:b/>
                <w:bCs/>
                <w:w w:val="110"/>
              </w:rPr>
              <w:t>Restated</w:t>
            </w:r>
          </w:p>
          <w:p w14:paraId="35643E3D" w14:textId="77777777" w:rsidR="009651E8" w:rsidRPr="009651E8" w:rsidRDefault="009651E8" w:rsidP="009651E8">
            <w:pPr>
              <w:pStyle w:val="TableText"/>
              <w:jc w:val="right"/>
              <w:rPr>
                <w:b/>
                <w:bCs/>
              </w:rPr>
            </w:pPr>
            <w:r w:rsidRPr="009651E8">
              <w:rPr>
                <w:b/>
                <w:bCs/>
              </w:rPr>
              <w:t>2021</w:t>
            </w:r>
          </w:p>
          <w:p w14:paraId="61B48858" w14:textId="77777777" w:rsidR="009651E8" w:rsidRPr="009651E8" w:rsidRDefault="009651E8" w:rsidP="009651E8">
            <w:pPr>
              <w:pStyle w:val="TableText"/>
              <w:jc w:val="right"/>
              <w:rPr>
                <w:b/>
                <w:bCs/>
              </w:rPr>
            </w:pPr>
            <w:r w:rsidRPr="009651E8">
              <w:rPr>
                <w:b/>
                <w:bCs/>
                <w:w w:val="120"/>
              </w:rPr>
              <w:t>$000</w:t>
            </w:r>
          </w:p>
        </w:tc>
        <w:tc>
          <w:tcPr>
            <w:tcW w:w="5401" w:type="dxa"/>
            <w:shd w:val="clear" w:color="auto" w:fill="D9D9D9" w:themeFill="background1" w:themeFillShade="D9"/>
          </w:tcPr>
          <w:p w14:paraId="65DF7E2B" w14:textId="77777777" w:rsidR="009651E8" w:rsidRPr="009651E8" w:rsidRDefault="009651E8" w:rsidP="009651E8">
            <w:pPr>
              <w:pStyle w:val="TableText"/>
              <w:rPr>
                <w:rFonts w:ascii="Times New Roman"/>
                <w:b/>
                <w:bCs/>
              </w:rPr>
            </w:pPr>
          </w:p>
        </w:tc>
        <w:tc>
          <w:tcPr>
            <w:tcW w:w="1401" w:type="dxa"/>
            <w:shd w:val="clear" w:color="auto" w:fill="D9D9D9" w:themeFill="background1" w:themeFillShade="D9"/>
          </w:tcPr>
          <w:p w14:paraId="49F82E88" w14:textId="77777777" w:rsidR="009651E8" w:rsidRPr="009651E8" w:rsidRDefault="009651E8" w:rsidP="009651E8">
            <w:pPr>
              <w:pStyle w:val="TableText"/>
              <w:jc w:val="right"/>
              <w:rPr>
                <w:b/>
                <w:bCs/>
              </w:rPr>
            </w:pPr>
            <w:r w:rsidRPr="009651E8">
              <w:rPr>
                <w:b/>
                <w:bCs/>
                <w:w w:val="110"/>
              </w:rPr>
              <w:t>Actual</w:t>
            </w:r>
          </w:p>
          <w:p w14:paraId="0640DE1A" w14:textId="77777777" w:rsidR="009651E8" w:rsidRPr="009651E8" w:rsidRDefault="009651E8" w:rsidP="009651E8">
            <w:pPr>
              <w:pStyle w:val="TableText"/>
              <w:jc w:val="right"/>
              <w:rPr>
                <w:b/>
                <w:bCs/>
              </w:rPr>
            </w:pPr>
            <w:r w:rsidRPr="009651E8">
              <w:rPr>
                <w:b/>
                <w:bCs/>
                <w:w w:val="105"/>
              </w:rPr>
              <w:t>2022</w:t>
            </w:r>
          </w:p>
          <w:p w14:paraId="01955195" w14:textId="77777777" w:rsidR="009651E8" w:rsidRPr="009651E8" w:rsidRDefault="009651E8" w:rsidP="009651E8">
            <w:pPr>
              <w:pStyle w:val="TableText"/>
              <w:jc w:val="right"/>
              <w:rPr>
                <w:b/>
                <w:bCs/>
              </w:rPr>
            </w:pPr>
            <w:r w:rsidRPr="009651E8">
              <w:rPr>
                <w:b/>
                <w:bCs/>
                <w:w w:val="120"/>
              </w:rPr>
              <w:t>$000</w:t>
            </w:r>
          </w:p>
        </w:tc>
      </w:tr>
      <w:tr w:rsidR="009651E8" w:rsidRPr="009651E8" w14:paraId="72B0E276" w14:textId="77777777" w:rsidTr="009651E8">
        <w:trPr>
          <w:trHeight w:val="400"/>
        </w:trPr>
        <w:tc>
          <w:tcPr>
            <w:tcW w:w="1113" w:type="dxa"/>
          </w:tcPr>
          <w:p w14:paraId="14082EF3" w14:textId="77777777" w:rsidR="009651E8" w:rsidRPr="009651E8" w:rsidRDefault="009651E8" w:rsidP="009651E8">
            <w:pPr>
              <w:pStyle w:val="TableText"/>
              <w:jc w:val="right"/>
              <w:rPr>
                <w:rFonts w:ascii="Times New Roman"/>
                <w:b/>
                <w:bCs/>
              </w:rPr>
            </w:pPr>
          </w:p>
        </w:tc>
        <w:tc>
          <w:tcPr>
            <w:tcW w:w="5401" w:type="dxa"/>
          </w:tcPr>
          <w:p w14:paraId="18FDE42A" w14:textId="77777777" w:rsidR="009651E8" w:rsidRPr="009651E8" w:rsidRDefault="009651E8" w:rsidP="009651E8">
            <w:pPr>
              <w:pStyle w:val="TableText"/>
              <w:rPr>
                <w:b/>
                <w:bCs/>
              </w:rPr>
            </w:pPr>
            <w:r w:rsidRPr="009651E8">
              <w:rPr>
                <w:b/>
                <w:bCs/>
                <w:w w:val="105"/>
              </w:rPr>
              <w:t>Taxpayers’</w:t>
            </w:r>
            <w:r w:rsidRPr="009651E8">
              <w:rPr>
                <w:b/>
                <w:bCs/>
                <w:spacing w:val="11"/>
                <w:w w:val="105"/>
              </w:rPr>
              <w:t xml:space="preserve"> </w:t>
            </w:r>
            <w:r w:rsidRPr="009651E8">
              <w:rPr>
                <w:b/>
                <w:bCs/>
                <w:w w:val="105"/>
              </w:rPr>
              <w:t>funds</w:t>
            </w:r>
          </w:p>
        </w:tc>
        <w:tc>
          <w:tcPr>
            <w:tcW w:w="1401" w:type="dxa"/>
          </w:tcPr>
          <w:p w14:paraId="5F26E876" w14:textId="77777777" w:rsidR="009651E8" w:rsidRPr="009651E8" w:rsidRDefault="009651E8" w:rsidP="009651E8">
            <w:pPr>
              <w:pStyle w:val="TableText"/>
              <w:jc w:val="right"/>
              <w:rPr>
                <w:rFonts w:ascii="Times New Roman"/>
                <w:b/>
                <w:bCs/>
              </w:rPr>
            </w:pPr>
          </w:p>
        </w:tc>
      </w:tr>
      <w:tr w:rsidR="009651E8" w14:paraId="60F551CF" w14:textId="77777777" w:rsidTr="009651E8">
        <w:trPr>
          <w:trHeight w:val="347"/>
        </w:trPr>
        <w:tc>
          <w:tcPr>
            <w:tcW w:w="1113" w:type="dxa"/>
          </w:tcPr>
          <w:p w14:paraId="06ECC2C8" w14:textId="77777777" w:rsidR="009651E8" w:rsidRDefault="009651E8" w:rsidP="009651E8">
            <w:pPr>
              <w:pStyle w:val="TableText"/>
              <w:jc w:val="right"/>
            </w:pPr>
            <w:r>
              <w:t>17,639</w:t>
            </w:r>
          </w:p>
        </w:tc>
        <w:tc>
          <w:tcPr>
            <w:tcW w:w="5401" w:type="dxa"/>
          </w:tcPr>
          <w:p w14:paraId="43F91426" w14:textId="77777777" w:rsidR="009651E8" w:rsidRDefault="009651E8" w:rsidP="009651E8">
            <w:pPr>
              <w:pStyle w:val="TableText"/>
            </w:pPr>
            <w:r>
              <w:t>Balance</w:t>
            </w:r>
            <w:r>
              <w:rPr>
                <w:spacing w:val="2"/>
              </w:rPr>
              <w:t xml:space="preserve"> </w:t>
            </w:r>
            <w:r>
              <w:t>as</w:t>
            </w:r>
            <w:r>
              <w:rPr>
                <w:spacing w:val="2"/>
              </w:rPr>
              <w:t xml:space="preserve"> </w:t>
            </w:r>
            <w:r>
              <w:t>at</w:t>
            </w:r>
            <w:r>
              <w:rPr>
                <w:spacing w:val="2"/>
              </w:rPr>
              <w:t xml:space="preserve"> </w:t>
            </w:r>
            <w:r>
              <w:rPr>
                <w:w w:val="95"/>
              </w:rPr>
              <w:t>1</w:t>
            </w:r>
            <w:r>
              <w:rPr>
                <w:spacing w:val="5"/>
                <w:w w:val="95"/>
              </w:rPr>
              <w:t xml:space="preserve"> </w:t>
            </w:r>
            <w:r>
              <w:t>July</w:t>
            </w:r>
          </w:p>
        </w:tc>
        <w:tc>
          <w:tcPr>
            <w:tcW w:w="1401" w:type="dxa"/>
          </w:tcPr>
          <w:p w14:paraId="4586D710" w14:textId="77777777" w:rsidR="009651E8" w:rsidRDefault="009651E8" w:rsidP="009651E8">
            <w:pPr>
              <w:pStyle w:val="TableText"/>
              <w:jc w:val="right"/>
            </w:pPr>
            <w:r>
              <w:rPr>
                <w:w w:val="105"/>
              </w:rPr>
              <w:t>28,338</w:t>
            </w:r>
          </w:p>
        </w:tc>
      </w:tr>
      <w:tr w:rsidR="009651E8" w14:paraId="42593C7F" w14:textId="77777777" w:rsidTr="009651E8">
        <w:trPr>
          <w:trHeight w:val="349"/>
        </w:trPr>
        <w:tc>
          <w:tcPr>
            <w:tcW w:w="1113" w:type="dxa"/>
          </w:tcPr>
          <w:p w14:paraId="3E50599A" w14:textId="77777777" w:rsidR="009651E8" w:rsidRDefault="009651E8" w:rsidP="009651E8">
            <w:pPr>
              <w:pStyle w:val="TableText"/>
              <w:jc w:val="right"/>
            </w:pPr>
            <w:r>
              <w:rPr>
                <w:w w:val="105"/>
              </w:rPr>
              <w:t>30,205</w:t>
            </w:r>
          </w:p>
        </w:tc>
        <w:tc>
          <w:tcPr>
            <w:tcW w:w="5401" w:type="dxa"/>
          </w:tcPr>
          <w:p w14:paraId="2B8A35E6" w14:textId="77777777" w:rsidR="009651E8" w:rsidRDefault="009651E8" w:rsidP="009651E8">
            <w:pPr>
              <w:pStyle w:val="TableText"/>
            </w:pPr>
            <w:r>
              <w:rPr>
                <w:w w:val="105"/>
              </w:rPr>
              <w:t>Net</w:t>
            </w:r>
            <w:r>
              <w:rPr>
                <w:spacing w:val="12"/>
                <w:w w:val="105"/>
              </w:rPr>
              <w:t xml:space="preserve"> </w:t>
            </w:r>
            <w:r>
              <w:rPr>
                <w:w w:val="105"/>
              </w:rPr>
              <w:t>surplus/(deficit)</w:t>
            </w:r>
          </w:p>
        </w:tc>
        <w:tc>
          <w:tcPr>
            <w:tcW w:w="1401" w:type="dxa"/>
          </w:tcPr>
          <w:p w14:paraId="704280EF" w14:textId="77777777" w:rsidR="009651E8" w:rsidRDefault="009651E8" w:rsidP="009651E8">
            <w:pPr>
              <w:pStyle w:val="TableText"/>
              <w:jc w:val="right"/>
            </w:pPr>
            <w:r>
              <w:t>141,252</w:t>
            </w:r>
          </w:p>
        </w:tc>
      </w:tr>
      <w:tr w:rsidR="009651E8" w14:paraId="725F1395" w14:textId="77777777" w:rsidTr="009651E8">
        <w:trPr>
          <w:trHeight w:val="349"/>
        </w:trPr>
        <w:tc>
          <w:tcPr>
            <w:tcW w:w="1113" w:type="dxa"/>
          </w:tcPr>
          <w:p w14:paraId="7472AEB9" w14:textId="77777777" w:rsidR="009651E8" w:rsidRDefault="009651E8" w:rsidP="009651E8">
            <w:pPr>
              <w:pStyle w:val="TableText"/>
              <w:jc w:val="right"/>
            </w:pPr>
            <w:r>
              <w:rPr>
                <w:w w:val="105"/>
              </w:rPr>
              <w:t>2,249</w:t>
            </w:r>
          </w:p>
        </w:tc>
        <w:tc>
          <w:tcPr>
            <w:tcW w:w="5401" w:type="dxa"/>
          </w:tcPr>
          <w:p w14:paraId="6EA5E032" w14:textId="77777777" w:rsidR="009651E8" w:rsidRDefault="009651E8" w:rsidP="009651E8">
            <w:pPr>
              <w:pStyle w:val="TableText"/>
            </w:pPr>
            <w:r>
              <w:rPr>
                <w:w w:val="105"/>
              </w:rPr>
              <w:t>Transfer</w:t>
            </w:r>
            <w:r>
              <w:rPr>
                <w:spacing w:val="-11"/>
                <w:w w:val="105"/>
              </w:rPr>
              <w:t xml:space="preserve"> </w:t>
            </w:r>
            <w:r>
              <w:rPr>
                <w:w w:val="105"/>
              </w:rPr>
              <w:t>of</w:t>
            </w:r>
            <w:r>
              <w:rPr>
                <w:spacing w:val="-10"/>
                <w:w w:val="105"/>
              </w:rPr>
              <w:t xml:space="preserve"> </w:t>
            </w:r>
            <w:r>
              <w:rPr>
                <w:w w:val="105"/>
              </w:rPr>
              <w:t>memorandum</w:t>
            </w:r>
            <w:r>
              <w:rPr>
                <w:spacing w:val="-10"/>
                <w:w w:val="105"/>
              </w:rPr>
              <w:t xml:space="preserve"> </w:t>
            </w:r>
            <w:r>
              <w:rPr>
                <w:w w:val="105"/>
              </w:rPr>
              <w:t>account</w:t>
            </w:r>
            <w:r>
              <w:rPr>
                <w:spacing w:val="-11"/>
                <w:w w:val="105"/>
              </w:rPr>
              <w:t xml:space="preserve"> </w:t>
            </w:r>
            <w:r>
              <w:rPr>
                <w:w w:val="105"/>
              </w:rPr>
              <w:t>net</w:t>
            </w:r>
            <w:r>
              <w:rPr>
                <w:spacing w:val="-10"/>
                <w:w w:val="105"/>
              </w:rPr>
              <w:t xml:space="preserve"> </w:t>
            </w:r>
            <w:r>
              <w:rPr>
                <w:w w:val="105"/>
              </w:rPr>
              <w:t>deficit</w:t>
            </w:r>
            <w:r>
              <w:rPr>
                <w:spacing w:val="-10"/>
                <w:w w:val="105"/>
              </w:rPr>
              <w:t xml:space="preserve"> </w:t>
            </w:r>
            <w:r>
              <w:rPr>
                <w:w w:val="105"/>
              </w:rPr>
              <w:t>for</w:t>
            </w:r>
            <w:r>
              <w:rPr>
                <w:spacing w:val="-11"/>
                <w:w w:val="105"/>
              </w:rPr>
              <w:t xml:space="preserve"> </w:t>
            </w:r>
            <w:r>
              <w:rPr>
                <w:w w:val="105"/>
              </w:rPr>
              <w:t>the</w:t>
            </w:r>
            <w:r>
              <w:rPr>
                <w:spacing w:val="-10"/>
                <w:w w:val="105"/>
              </w:rPr>
              <w:t xml:space="preserve"> </w:t>
            </w:r>
            <w:r>
              <w:rPr>
                <w:w w:val="105"/>
              </w:rPr>
              <w:t>year</w:t>
            </w:r>
          </w:p>
        </w:tc>
        <w:tc>
          <w:tcPr>
            <w:tcW w:w="1401" w:type="dxa"/>
          </w:tcPr>
          <w:p w14:paraId="6C96DB11" w14:textId="77777777" w:rsidR="009651E8" w:rsidRDefault="009651E8" w:rsidP="009651E8">
            <w:pPr>
              <w:pStyle w:val="TableText"/>
              <w:jc w:val="right"/>
            </w:pPr>
            <w:r>
              <w:t>1,337</w:t>
            </w:r>
          </w:p>
        </w:tc>
      </w:tr>
      <w:tr w:rsidR="009651E8" w14:paraId="38D8EB9C" w14:textId="77777777" w:rsidTr="009651E8">
        <w:trPr>
          <w:trHeight w:val="349"/>
        </w:trPr>
        <w:tc>
          <w:tcPr>
            <w:tcW w:w="1113" w:type="dxa"/>
          </w:tcPr>
          <w:p w14:paraId="447F376F" w14:textId="77777777" w:rsidR="009651E8" w:rsidRDefault="009651E8" w:rsidP="009651E8">
            <w:pPr>
              <w:pStyle w:val="TableText"/>
              <w:jc w:val="right"/>
            </w:pPr>
            <w:r>
              <w:rPr>
                <w:w w:val="110"/>
              </w:rPr>
              <w:t>(34,264)</w:t>
            </w:r>
          </w:p>
        </w:tc>
        <w:tc>
          <w:tcPr>
            <w:tcW w:w="5401" w:type="dxa"/>
          </w:tcPr>
          <w:p w14:paraId="5F7E8459" w14:textId="77777777" w:rsidR="009651E8" w:rsidRDefault="009651E8" w:rsidP="009651E8">
            <w:pPr>
              <w:pStyle w:val="TableText"/>
            </w:pPr>
            <w:r>
              <w:rPr>
                <w:w w:val="105"/>
              </w:rPr>
              <w:t>Return</w:t>
            </w:r>
            <w:r>
              <w:rPr>
                <w:spacing w:val="-8"/>
                <w:w w:val="105"/>
              </w:rPr>
              <w:t xml:space="preserve"> </w:t>
            </w:r>
            <w:r>
              <w:rPr>
                <w:w w:val="105"/>
              </w:rPr>
              <w:t>of</w:t>
            </w:r>
            <w:r>
              <w:rPr>
                <w:spacing w:val="-8"/>
                <w:w w:val="105"/>
              </w:rPr>
              <w:t xml:space="preserve"> </w:t>
            </w:r>
            <w:r>
              <w:rPr>
                <w:w w:val="105"/>
              </w:rPr>
              <w:t>operating</w:t>
            </w:r>
            <w:r>
              <w:rPr>
                <w:spacing w:val="-8"/>
                <w:w w:val="105"/>
              </w:rPr>
              <w:t xml:space="preserve"> </w:t>
            </w:r>
            <w:r>
              <w:rPr>
                <w:w w:val="105"/>
              </w:rPr>
              <w:t>surplus</w:t>
            </w:r>
            <w:r>
              <w:rPr>
                <w:spacing w:val="-7"/>
                <w:w w:val="105"/>
              </w:rPr>
              <w:t xml:space="preserve"> </w:t>
            </w:r>
            <w:r>
              <w:rPr>
                <w:w w:val="105"/>
              </w:rPr>
              <w:t>to</w:t>
            </w:r>
            <w:r>
              <w:rPr>
                <w:spacing w:val="-8"/>
                <w:w w:val="105"/>
              </w:rPr>
              <w:t xml:space="preserve"> </w:t>
            </w:r>
            <w:r>
              <w:rPr>
                <w:w w:val="105"/>
              </w:rPr>
              <w:t>the</w:t>
            </w:r>
            <w:r>
              <w:rPr>
                <w:spacing w:val="-8"/>
                <w:w w:val="105"/>
              </w:rPr>
              <w:t xml:space="preserve"> </w:t>
            </w:r>
            <w:r>
              <w:rPr>
                <w:w w:val="105"/>
              </w:rPr>
              <w:t>Crown</w:t>
            </w:r>
          </w:p>
        </w:tc>
        <w:tc>
          <w:tcPr>
            <w:tcW w:w="1401" w:type="dxa"/>
          </w:tcPr>
          <w:p w14:paraId="13A8412C" w14:textId="77777777" w:rsidR="009651E8" w:rsidRDefault="009651E8" w:rsidP="009651E8">
            <w:pPr>
              <w:pStyle w:val="TableText"/>
              <w:jc w:val="right"/>
            </w:pPr>
            <w:r>
              <w:rPr>
                <w:w w:val="105"/>
              </w:rPr>
              <w:t>(142,589)</w:t>
            </w:r>
          </w:p>
        </w:tc>
      </w:tr>
      <w:tr w:rsidR="009651E8" w14:paraId="3F17C67A" w14:textId="77777777" w:rsidTr="009651E8">
        <w:trPr>
          <w:trHeight w:val="349"/>
        </w:trPr>
        <w:tc>
          <w:tcPr>
            <w:tcW w:w="1113" w:type="dxa"/>
          </w:tcPr>
          <w:p w14:paraId="74D3831B" w14:textId="77777777" w:rsidR="009651E8" w:rsidRDefault="009651E8" w:rsidP="009651E8">
            <w:pPr>
              <w:pStyle w:val="TableText"/>
              <w:jc w:val="right"/>
            </w:pPr>
            <w:r>
              <w:t>12,509</w:t>
            </w:r>
          </w:p>
        </w:tc>
        <w:tc>
          <w:tcPr>
            <w:tcW w:w="5401" w:type="dxa"/>
          </w:tcPr>
          <w:p w14:paraId="71598EED" w14:textId="77777777" w:rsidR="009651E8" w:rsidRDefault="009651E8" w:rsidP="009651E8">
            <w:pPr>
              <w:pStyle w:val="TableText"/>
            </w:pPr>
            <w:r>
              <w:t>Capital</w:t>
            </w:r>
            <w:r>
              <w:rPr>
                <w:spacing w:val="13"/>
              </w:rPr>
              <w:t xml:space="preserve"> </w:t>
            </w:r>
            <w:r>
              <w:t>injection</w:t>
            </w:r>
          </w:p>
        </w:tc>
        <w:tc>
          <w:tcPr>
            <w:tcW w:w="1401" w:type="dxa"/>
          </w:tcPr>
          <w:p w14:paraId="13CD1E80" w14:textId="77777777" w:rsidR="009651E8" w:rsidRDefault="009651E8" w:rsidP="009651E8">
            <w:pPr>
              <w:pStyle w:val="TableText"/>
              <w:jc w:val="right"/>
            </w:pPr>
            <w:r>
              <w:rPr>
                <w:w w:val="105"/>
              </w:rPr>
              <w:t>4,349</w:t>
            </w:r>
          </w:p>
        </w:tc>
      </w:tr>
      <w:tr w:rsidR="009651E8" w14:paraId="1BE3546C" w14:textId="77777777" w:rsidTr="009651E8">
        <w:trPr>
          <w:trHeight w:val="346"/>
        </w:trPr>
        <w:tc>
          <w:tcPr>
            <w:tcW w:w="1113" w:type="dxa"/>
          </w:tcPr>
          <w:p w14:paraId="0E261615" w14:textId="77777777" w:rsidR="009651E8" w:rsidRDefault="009651E8" w:rsidP="009651E8">
            <w:pPr>
              <w:pStyle w:val="TableText"/>
              <w:jc w:val="right"/>
            </w:pPr>
            <w:r>
              <w:rPr>
                <w:w w:val="135"/>
              </w:rPr>
              <w:t>–</w:t>
            </w:r>
          </w:p>
        </w:tc>
        <w:tc>
          <w:tcPr>
            <w:tcW w:w="5401" w:type="dxa"/>
          </w:tcPr>
          <w:p w14:paraId="6629DC59" w14:textId="77777777" w:rsidR="009651E8" w:rsidRDefault="009651E8" w:rsidP="009651E8">
            <w:pPr>
              <w:pStyle w:val="TableText"/>
            </w:pPr>
            <w:r>
              <w:t>Capital</w:t>
            </w:r>
            <w:r>
              <w:rPr>
                <w:spacing w:val="16"/>
              </w:rPr>
              <w:t xml:space="preserve"> </w:t>
            </w:r>
            <w:r>
              <w:t>withdrawal</w:t>
            </w:r>
          </w:p>
        </w:tc>
        <w:tc>
          <w:tcPr>
            <w:tcW w:w="1401" w:type="dxa"/>
          </w:tcPr>
          <w:p w14:paraId="6EF72F6D" w14:textId="77777777" w:rsidR="009651E8" w:rsidRDefault="009651E8" w:rsidP="009651E8">
            <w:pPr>
              <w:pStyle w:val="TableText"/>
              <w:jc w:val="right"/>
            </w:pPr>
            <w:r>
              <w:rPr>
                <w:w w:val="110"/>
              </w:rPr>
              <w:t>(6,726)</w:t>
            </w:r>
          </w:p>
        </w:tc>
      </w:tr>
      <w:tr w:rsidR="009651E8" w:rsidRPr="009651E8" w14:paraId="14B494A4" w14:textId="77777777" w:rsidTr="009651E8">
        <w:trPr>
          <w:trHeight w:val="322"/>
        </w:trPr>
        <w:tc>
          <w:tcPr>
            <w:tcW w:w="1113" w:type="dxa"/>
            <w:tcBorders>
              <w:bottom w:val="single" w:sz="4" w:space="0" w:color="A6A6A6" w:themeColor="background1" w:themeShade="A6"/>
            </w:tcBorders>
          </w:tcPr>
          <w:p w14:paraId="7B2A7565" w14:textId="77777777" w:rsidR="009651E8" w:rsidRPr="009651E8" w:rsidRDefault="009651E8" w:rsidP="009651E8">
            <w:pPr>
              <w:pStyle w:val="TableText"/>
              <w:jc w:val="right"/>
              <w:rPr>
                <w:b/>
                <w:bCs/>
              </w:rPr>
            </w:pPr>
            <w:r w:rsidRPr="009651E8">
              <w:rPr>
                <w:b/>
                <w:bCs/>
                <w:w w:val="110"/>
              </w:rPr>
              <w:t>28,338</w:t>
            </w:r>
          </w:p>
        </w:tc>
        <w:tc>
          <w:tcPr>
            <w:tcW w:w="5401" w:type="dxa"/>
            <w:tcBorders>
              <w:bottom w:val="single" w:sz="4" w:space="0" w:color="A6A6A6" w:themeColor="background1" w:themeShade="A6"/>
            </w:tcBorders>
          </w:tcPr>
          <w:p w14:paraId="26E68C71" w14:textId="77777777" w:rsidR="009651E8" w:rsidRPr="009651E8" w:rsidRDefault="009651E8" w:rsidP="009651E8">
            <w:pPr>
              <w:pStyle w:val="TableText"/>
              <w:rPr>
                <w:b/>
                <w:bCs/>
              </w:rPr>
            </w:pPr>
            <w:r w:rsidRPr="009651E8">
              <w:rPr>
                <w:b/>
                <w:bCs/>
                <w:w w:val="105"/>
              </w:rPr>
              <w:t>Balance</w:t>
            </w:r>
            <w:r w:rsidRPr="009651E8">
              <w:rPr>
                <w:b/>
                <w:bCs/>
                <w:spacing w:val="-4"/>
                <w:w w:val="105"/>
              </w:rPr>
              <w:t xml:space="preserve"> </w:t>
            </w:r>
            <w:r w:rsidRPr="009651E8">
              <w:rPr>
                <w:b/>
                <w:bCs/>
                <w:w w:val="105"/>
              </w:rPr>
              <w:t>as</w:t>
            </w:r>
            <w:r w:rsidRPr="009651E8">
              <w:rPr>
                <w:b/>
                <w:bCs/>
                <w:spacing w:val="-4"/>
                <w:w w:val="105"/>
              </w:rPr>
              <w:t xml:space="preserve"> </w:t>
            </w:r>
            <w:r w:rsidRPr="009651E8">
              <w:rPr>
                <w:b/>
                <w:bCs/>
                <w:w w:val="105"/>
              </w:rPr>
              <w:t>at</w:t>
            </w:r>
            <w:r w:rsidRPr="009651E8">
              <w:rPr>
                <w:b/>
                <w:bCs/>
                <w:spacing w:val="-4"/>
                <w:w w:val="105"/>
              </w:rPr>
              <w:t xml:space="preserve"> </w:t>
            </w:r>
            <w:r w:rsidRPr="009651E8">
              <w:rPr>
                <w:b/>
                <w:bCs/>
                <w:w w:val="105"/>
              </w:rPr>
              <w:t>30</w:t>
            </w:r>
            <w:r w:rsidRPr="009651E8">
              <w:rPr>
                <w:b/>
                <w:bCs/>
                <w:spacing w:val="-4"/>
                <w:w w:val="105"/>
              </w:rPr>
              <w:t xml:space="preserve"> </w:t>
            </w:r>
            <w:r w:rsidRPr="009651E8">
              <w:rPr>
                <w:b/>
                <w:bCs/>
                <w:w w:val="105"/>
              </w:rPr>
              <w:t>June</w:t>
            </w:r>
          </w:p>
        </w:tc>
        <w:tc>
          <w:tcPr>
            <w:tcW w:w="1401" w:type="dxa"/>
            <w:tcBorders>
              <w:bottom w:val="single" w:sz="4" w:space="0" w:color="A6A6A6" w:themeColor="background1" w:themeShade="A6"/>
            </w:tcBorders>
          </w:tcPr>
          <w:p w14:paraId="75A6A27D" w14:textId="77777777" w:rsidR="009651E8" w:rsidRPr="009651E8" w:rsidRDefault="009651E8" w:rsidP="009651E8">
            <w:pPr>
              <w:pStyle w:val="TableText"/>
              <w:jc w:val="right"/>
              <w:rPr>
                <w:b/>
                <w:bCs/>
              </w:rPr>
            </w:pPr>
            <w:r w:rsidRPr="009651E8">
              <w:rPr>
                <w:b/>
                <w:bCs/>
              </w:rPr>
              <w:t>25,961</w:t>
            </w:r>
          </w:p>
        </w:tc>
      </w:tr>
      <w:tr w:rsidR="009651E8" w:rsidRPr="009651E8" w14:paraId="1A880F3A" w14:textId="77777777" w:rsidTr="009651E8">
        <w:trPr>
          <w:trHeight w:val="369"/>
        </w:trPr>
        <w:tc>
          <w:tcPr>
            <w:tcW w:w="1113" w:type="dxa"/>
            <w:tcBorders>
              <w:top w:val="single" w:sz="4" w:space="0" w:color="A6A6A6" w:themeColor="background1" w:themeShade="A6"/>
            </w:tcBorders>
          </w:tcPr>
          <w:p w14:paraId="6EB71B89" w14:textId="77777777" w:rsidR="009651E8" w:rsidRPr="009651E8" w:rsidRDefault="009651E8" w:rsidP="009651E8">
            <w:pPr>
              <w:pStyle w:val="TableText"/>
              <w:jc w:val="right"/>
              <w:rPr>
                <w:rFonts w:ascii="Times New Roman"/>
                <w:b/>
                <w:bCs/>
              </w:rPr>
            </w:pPr>
          </w:p>
        </w:tc>
        <w:tc>
          <w:tcPr>
            <w:tcW w:w="5401" w:type="dxa"/>
            <w:tcBorders>
              <w:top w:val="single" w:sz="4" w:space="0" w:color="A6A6A6" w:themeColor="background1" w:themeShade="A6"/>
            </w:tcBorders>
          </w:tcPr>
          <w:p w14:paraId="01A84D4F" w14:textId="77777777" w:rsidR="009651E8" w:rsidRPr="009651E8" w:rsidRDefault="009651E8" w:rsidP="009651E8">
            <w:pPr>
              <w:pStyle w:val="TableText"/>
              <w:rPr>
                <w:b/>
                <w:bCs/>
              </w:rPr>
            </w:pPr>
            <w:r w:rsidRPr="009651E8">
              <w:rPr>
                <w:b/>
                <w:bCs/>
                <w:w w:val="105"/>
              </w:rPr>
              <w:t>Property</w:t>
            </w:r>
            <w:r w:rsidRPr="009651E8">
              <w:rPr>
                <w:b/>
                <w:bCs/>
                <w:spacing w:val="7"/>
                <w:w w:val="105"/>
              </w:rPr>
              <w:t xml:space="preserve"> </w:t>
            </w:r>
            <w:r w:rsidRPr="009651E8">
              <w:rPr>
                <w:b/>
                <w:bCs/>
                <w:w w:val="105"/>
              </w:rPr>
              <w:t>revaluation</w:t>
            </w:r>
            <w:r w:rsidRPr="009651E8">
              <w:rPr>
                <w:b/>
                <w:bCs/>
                <w:spacing w:val="7"/>
                <w:w w:val="105"/>
              </w:rPr>
              <w:t xml:space="preserve"> </w:t>
            </w:r>
            <w:r w:rsidRPr="009651E8">
              <w:rPr>
                <w:b/>
                <w:bCs/>
                <w:w w:val="105"/>
              </w:rPr>
              <w:t>reserve</w:t>
            </w:r>
          </w:p>
        </w:tc>
        <w:tc>
          <w:tcPr>
            <w:tcW w:w="1401" w:type="dxa"/>
            <w:tcBorders>
              <w:top w:val="single" w:sz="4" w:space="0" w:color="A6A6A6" w:themeColor="background1" w:themeShade="A6"/>
            </w:tcBorders>
          </w:tcPr>
          <w:p w14:paraId="30AA90F7" w14:textId="77777777" w:rsidR="009651E8" w:rsidRPr="009651E8" w:rsidRDefault="009651E8" w:rsidP="009651E8">
            <w:pPr>
              <w:pStyle w:val="TableText"/>
              <w:jc w:val="right"/>
              <w:rPr>
                <w:rFonts w:ascii="Times New Roman"/>
                <w:b/>
                <w:bCs/>
              </w:rPr>
            </w:pPr>
          </w:p>
        </w:tc>
      </w:tr>
      <w:tr w:rsidR="009651E8" w14:paraId="7CE60F82" w14:textId="77777777" w:rsidTr="009651E8">
        <w:trPr>
          <w:trHeight w:val="347"/>
        </w:trPr>
        <w:tc>
          <w:tcPr>
            <w:tcW w:w="1113" w:type="dxa"/>
          </w:tcPr>
          <w:p w14:paraId="70BCEB96" w14:textId="77777777" w:rsidR="009651E8" w:rsidRDefault="009651E8" w:rsidP="009651E8">
            <w:pPr>
              <w:pStyle w:val="TableText"/>
              <w:jc w:val="right"/>
            </w:pPr>
            <w:r>
              <w:rPr>
                <w:w w:val="105"/>
              </w:rPr>
              <w:t>2,590</w:t>
            </w:r>
          </w:p>
        </w:tc>
        <w:tc>
          <w:tcPr>
            <w:tcW w:w="5401" w:type="dxa"/>
          </w:tcPr>
          <w:p w14:paraId="1AA6D4F0" w14:textId="77777777" w:rsidR="009651E8" w:rsidRDefault="009651E8" w:rsidP="009651E8">
            <w:pPr>
              <w:pStyle w:val="TableText"/>
            </w:pPr>
            <w:r>
              <w:t>Balance</w:t>
            </w:r>
            <w:r>
              <w:rPr>
                <w:spacing w:val="2"/>
              </w:rPr>
              <w:t xml:space="preserve"> </w:t>
            </w:r>
            <w:r>
              <w:t>as</w:t>
            </w:r>
            <w:r>
              <w:rPr>
                <w:spacing w:val="2"/>
              </w:rPr>
              <w:t xml:space="preserve"> </w:t>
            </w:r>
            <w:r>
              <w:t>at</w:t>
            </w:r>
            <w:r>
              <w:rPr>
                <w:spacing w:val="2"/>
              </w:rPr>
              <w:t xml:space="preserve"> </w:t>
            </w:r>
            <w:r>
              <w:rPr>
                <w:w w:val="95"/>
              </w:rPr>
              <w:t>1</w:t>
            </w:r>
            <w:r>
              <w:rPr>
                <w:spacing w:val="5"/>
                <w:w w:val="95"/>
              </w:rPr>
              <w:t xml:space="preserve"> </w:t>
            </w:r>
            <w:r>
              <w:t>July</w:t>
            </w:r>
          </w:p>
        </w:tc>
        <w:tc>
          <w:tcPr>
            <w:tcW w:w="1401" w:type="dxa"/>
          </w:tcPr>
          <w:p w14:paraId="0D43CB97" w14:textId="77777777" w:rsidR="009651E8" w:rsidRDefault="009651E8" w:rsidP="009651E8">
            <w:pPr>
              <w:pStyle w:val="TableText"/>
              <w:jc w:val="right"/>
            </w:pPr>
            <w:r>
              <w:rPr>
                <w:w w:val="105"/>
              </w:rPr>
              <w:t>3,555</w:t>
            </w:r>
          </w:p>
        </w:tc>
      </w:tr>
      <w:tr w:rsidR="009651E8" w14:paraId="534CCC2A" w14:textId="77777777" w:rsidTr="009651E8">
        <w:trPr>
          <w:trHeight w:val="346"/>
        </w:trPr>
        <w:tc>
          <w:tcPr>
            <w:tcW w:w="1113" w:type="dxa"/>
          </w:tcPr>
          <w:p w14:paraId="20EDDC26" w14:textId="77777777" w:rsidR="009651E8" w:rsidRDefault="009651E8" w:rsidP="009651E8">
            <w:pPr>
              <w:pStyle w:val="TableText"/>
              <w:jc w:val="right"/>
            </w:pPr>
            <w:r>
              <w:rPr>
                <w:w w:val="115"/>
              </w:rPr>
              <w:t>965</w:t>
            </w:r>
          </w:p>
        </w:tc>
        <w:tc>
          <w:tcPr>
            <w:tcW w:w="5401" w:type="dxa"/>
          </w:tcPr>
          <w:p w14:paraId="60236343" w14:textId="77777777" w:rsidR="009651E8" w:rsidRDefault="009651E8" w:rsidP="009651E8">
            <w:pPr>
              <w:pStyle w:val="TableText"/>
            </w:pPr>
            <w:r>
              <w:rPr>
                <w:w w:val="105"/>
              </w:rPr>
              <w:t>Revaluation</w:t>
            </w:r>
            <w:r>
              <w:rPr>
                <w:spacing w:val="-13"/>
                <w:w w:val="105"/>
              </w:rPr>
              <w:t xml:space="preserve"> </w:t>
            </w:r>
            <w:r>
              <w:rPr>
                <w:w w:val="105"/>
              </w:rPr>
              <w:t>gains</w:t>
            </w:r>
            <w:r>
              <w:rPr>
                <w:spacing w:val="-12"/>
                <w:w w:val="105"/>
              </w:rPr>
              <w:t xml:space="preserve"> </w:t>
            </w:r>
            <w:r>
              <w:rPr>
                <w:w w:val="105"/>
              </w:rPr>
              <w:t>on</w:t>
            </w:r>
            <w:r>
              <w:rPr>
                <w:spacing w:val="-12"/>
                <w:w w:val="105"/>
              </w:rPr>
              <w:t xml:space="preserve"> </w:t>
            </w:r>
            <w:r>
              <w:rPr>
                <w:w w:val="105"/>
              </w:rPr>
              <w:t>land</w:t>
            </w:r>
          </w:p>
        </w:tc>
        <w:tc>
          <w:tcPr>
            <w:tcW w:w="1401" w:type="dxa"/>
          </w:tcPr>
          <w:p w14:paraId="48A3E9CA" w14:textId="77777777" w:rsidR="009651E8" w:rsidRDefault="009651E8" w:rsidP="009651E8">
            <w:pPr>
              <w:pStyle w:val="TableText"/>
              <w:jc w:val="right"/>
            </w:pPr>
            <w:r>
              <w:rPr>
                <w:w w:val="135"/>
              </w:rPr>
              <w:t>–</w:t>
            </w:r>
          </w:p>
        </w:tc>
      </w:tr>
      <w:tr w:rsidR="009651E8" w:rsidRPr="009651E8" w14:paraId="3F2C9D59" w14:textId="77777777" w:rsidTr="009651E8">
        <w:trPr>
          <w:trHeight w:val="322"/>
        </w:trPr>
        <w:tc>
          <w:tcPr>
            <w:tcW w:w="1113" w:type="dxa"/>
            <w:tcBorders>
              <w:bottom w:val="single" w:sz="4" w:space="0" w:color="A6A6A6" w:themeColor="background1" w:themeShade="A6"/>
            </w:tcBorders>
          </w:tcPr>
          <w:p w14:paraId="444142AC" w14:textId="77777777" w:rsidR="009651E8" w:rsidRPr="009651E8" w:rsidRDefault="009651E8" w:rsidP="009651E8">
            <w:pPr>
              <w:pStyle w:val="TableText"/>
              <w:jc w:val="right"/>
              <w:rPr>
                <w:b/>
                <w:bCs/>
              </w:rPr>
            </w:pPr>
            <w:r w:rsidRPr="009651E8">
              <w:rPr>
                <w:b/>
                <w:bCs/>
                <w:w w:val="110"/>
              </w:rPr>
              <w:t>3,555</w:t>
            </w:r>
          </w:p>
        </w:tc>
        <w:tc>
          <w:tcPr>
            <w:tcW w:w="5401" w:type="dxa"/>
            <w:tcBorders>
              <w:bottom w:val="single" w:sz="4" w:space="0" w:color="A6A6A6" w:themeColor="background1" w:themeShade="A6"/>
            </w:tcBorders>
          </w:tcPr>
          <w:p w14:paraId="16A78B0A" w14:textId="77777777" w:rsidR="009651E8" w:rsidRPr="009651E8" w:rsidRDefault="009651E8" w:rsidP="009651E8">
            <w:pPr>
              <w:pStyle w:val="TableText"/>
              <w:rPr>
                <w:b/>
                <w:bCs/>
              </w:rPr>
            </w:pPr>
            <w:r w:rsidRPr="009651E8">
              <w:rPr>
                <w:b/>
                <w:bCs/>
                <w:w w:val="105"/>
              </w:rPr>
              <w:t>Balance</w:t>
            </w:r>
            <w:r w:rsidRPr="009651E8">
              <w:rPr>
                <w:b/>
                <w:bCs/>
                <w:spacing w:val="-4"/>
                <w:w w:val="105"/>
              </w:rPr>
              <w:t xml:space="preserve"> </w:t>
            </w:r>
            <w:r w:rsidRPr="009651E8">
              <w:rPr>
                <w:b/>
                <w:bCs/>
                <w:w w:val="105"/>
              </w:rPr>
              <w:t>as</w:t>
            </w:r>
            <w:r w:rsidRPr="009651E8">
              <w:rPr>
                <w:b/>
                <w:bCs/>
                <w:spacing w:val="-4"/>
                <w:w w:val="105"/>
              </w:rPr>
              <w:t xml:space="preserve"> </w:t>
            </w:r>
            <w:r w:rsidRPr="009651E8">
              <w:rPr>
                <w:b/>
                <w:bCs/>
                <w:w w:val="105"/>
              </w:rPr>
              <w:t>at</w:t>
            </w:r>
            <w:r w:rsidRPr="009651E8">
              <w:rPr>
                <w:b/>
                <w:bCs/>
                <w:spacing w:val="-4"/>
                <w:w w:val="105"/>
              </w:rPr>
              <w:t xml:space="preserve"> </w:t>
            </w:r>
            <w:r w:rsidRPr="009651E8">
              <w:rPr>
                <w:b/>
                <w:bCs/>
                <w:w w:val="105"/>
              </w:rPr>
              <w:t>30</w:t>
            </w:r>
            <w:r w:rsidRPr="009651E8">
              <w:rPr>
                <w:b/>
                <w:bCs/>
                <w:spacing w:val="-4"/>
                <w:w w:val="105"/>
              </w:rPr>
              <w:t xml:space="preserve"> </w:t>
            </w:r>
            <w:r w:rsidRPr="009651E8">
              <w:rPr>
                <w:b/>
                <w:bCs/>
                <w:w w:val="105"/>
              </w:rPr>
              <w:t>June</w:t>
            </w:r>
          </w:p>
        </w:tc>
        <w:tc>
          <w:tcPr>
            <w:tcW w:w="1401" w:type="dxa"/>
            <w:tcBorders>
              <w:bottom w:val="single" w:sz="4" w:space="0" w:color="A6A6A6" w:themeColor="background1" w:themeShade="A6"/>
            </w:tcBorders>
          </w:tcPr>
          <w:p w14:paraId="348DCE35" w14:textId="77777777" w:rsidR="009651E8" w:rsidRPr="009651E8" w:rsidRDefault="009651E8" w:rsidP="009651E8">
            <w:pPr>
              <w:pStyle w:val="TableText"/>
              <w:jc w:val="right"/>
              <w:rPr>
                <w:b/>
                <w:bCs/>
              </w:rPr>
            </w:pPr>
            <w:r w:rsidRPr="009651E8">
              <w:rPr>
                <w:b/>
                <w:bCs/>
                <w:w w:val="110"/>
              </w:rPr>
              <w:t>3,555</w:t>
            </w:r>
          </w:p>
        </w:tc>
      </w:tr>
      <w:tr w:rsidR="009651E8" w:rsidRPr="009651E8" w14:paraId="4C2A6AD8" w14:textId="77777777" w:rsidTr="009651E8">
        <w:trPr>
          <w:trHeight w:val="369"/>
        </w:trPr>
        <w:tc>
          <w:tcPr>
            <w:tcW w:w="1113" w:type="dxa"/>
            <w:tcBorders>
              <w:top w:val="single" w:sz="4" w:space="0" w:color="A6A6A6" w:themeColor="background1" w:themeShade="A6"/>
            </w:tcBorders>
          </w:tcPr>
          <w:p w14:paraId="2D9D2DDC" w14:textId="77777777" w:rsidR="009651E8" w:rsidRPr="009651E8" w:rsidRDefault="009651E8" w:rsidP="009651E8">
            <w:pPr>
              <w:pStyle w:val="TableText"/>
              <w:jc w:val="right"/>
              <w:rPr>
                <w:rFonts w:ascii="Times New Roman"/>
                <w:b/>
                <w:bCs/>
              </w:rPr>
            </w:pPr>
          </w:p>
        </w:tc>
        <w:tc>
          <w:tcPr>
            <w:tcW w:w="5401" w:type="dxa"/>
            <w:tcBorders>
              <w:top w:val="single" w:sz="4" w:space="0" w:color="A6A6A6" w:themeColor="background1" w:themeShade="A6"/>
            </w:tcBorders>
          </w:tcPr>
          <w:p w14:paraId="01F51230" w14:textId="77777777" w:rsidR="009651E8" w:rsidRPr="009651E8" w:rsidRDefault="009651E8" w:rsidP="009651E8">
            <w:pPr>
              <w:pStyle w:val="TableText"/>
              <w:rPr>
                <w:b/>
                <w:bCs/>
              </w:rPr>
            </w:pPr>
            <w:r w:rsidRPr="009651E8">
              <w:rPr>
                <w:b/>
                <w:bCs/>
                <w:w w:val="105"/>
              </w:rPr>
              <w:t>Memorandum</w:t>
            </w:r>
            <w:r w:rsidRPr="009651E8">
              <w:rPr>
                <w:b/>
                <w:bCs/>
                <w:spacing w:val="-2"/>
                <w:w w:val="105"/>
              </w:rPr>
              <w:t xml:space="preserve"> </w:t>
            </w:r>
            <w:r w:rsidRPr="009651E8">
              <w:rPr>
                <w:b/>
                <w:bCs/>
                <w:w w:val="105"/>
              </w:rPr>
              <w:t>accounts</w:t>
            </w:r>
          </w:p>
        </w:tc>
        <w:tc>
          <w:tcPr>
            <w:tcW w:w="1401" w:type="dxa"/>
            <w:tcBorders>
              <w:top w:val="single" w:sz="4" w:space="0" w:color="A6A6A6" w:themeColor="background1" w:themeShade="A6"/>
            </w:tcBorders>
          </w:tcPr>
          <w:p w14:paraId="31C776EF" w14:textId="77777777" w:rsidR="009651E8" w:rsidRPr="009651E8" w:rsidRDefault="009651E8" w:rsidP="009651E8">
            <w:pPr>
              <w:pStyle w:val="TableText"/>
              <w:jc w:val="right"/>
              <w:rPr>
                <w:rFonts w:ascii="Times New Roman"/>
                <w:b/>
                <w:bCs/>
              </w:rPr>
            </w:pPr>
          </w:p>
        </w:tc>
      </w:tr>
      <w:tr w:rsidR="009651E8" w14:paraId="6CBFA0E0" w14:textId="77777777" w:rsidTr="009651E8">
        <w:trPr>
          <w:trHeight w:val="347"/>
        </w:trPr>
        <w:tc>
          <w:tcPr>
            <w:tcW w:w="1113" w:type="dxa"/>
          </w:tcPr>
          <w:p w14:paraId="1251BDE8" w14:textId="77777777" w:rsidR="009651E8" w:rsidRDefault="009651E8" w:rsidP="009651E8">
            <w:pPr>
              <w:pStyle w:val="TableText"/>
              <w:jc w:val="right"/>
            </w:pPr>
            <w:r>
              <w:rPr>
                <w:w w:val="105"/>
              </w:rPr>
              <w:t>(3,753)</w:t>
            </w:r>
          </w:p>
        </w:tc>
        <w:tc>
          <w:tcPr>
            <w:tcW w:w="5401" w:type="dxa"/>
          </w:tcPr>
          <w:p w14:paraId="64EF3429" w14:textId="77777777" w:rsidR="009651E8" w:rsidRDefault="009651E8" w:rsidP="009651E8">
            <w:pPr>
              <w:pStyle w:val="TableText"/>
            </w:pPr>
            <w:r>
              <w:t>Balance</w:t>
            </w:r>
            <w:r>
              <w:rPr>
                <w:spacing w:val="2"/>
              </w:rPr>
              <w:t xml:space="preserve"> </w:t>
            </w:r>
            <w:r>
              <w:t>as</w:t>
            </w:r>
            <w:r>
              <w:rPr>
                <w:spacing w:val="2"/>
              </w:rPr>
              <w:t xml:space="preserve"> </w:t>
            </w:r>
            <w:r>
              <w:t>at</w:t>
            </w:r>
            <w:r>
              <w:rPr>
                <w:spacing w:val="2"/>
              </w:rPr>
              <w:t xml:space="preserve"> </w:t>
            </w:r>
            <w:r>
              <w:rPr>
                <w:w w:val="95"/>
              </w:rPr>
              <w:t>1</w:t>
            </w:r>
            <w:r>
              <w:rPr>
                <w:spacing w:val="5"/>
                <w:w w:val="95"/>
              </w:rPr>
              <w:t xml:space="preserve"> </w:t>
            </w:r>
            <w:r>
              <w:t>July</w:t>
            </w:r>
          </w:p>
        </w:tc>
        <w:tc>
          <w:tcPr>
            <w:tcW w:w="1401" w:type="dxa"/>
          </w:tcPr>
          <w:p w14:paraId="47B102A7" w14:textId="77777777" w:rsidR="009651E8" w:rsidRDefault="009651E8" w:rsidP="009651E8">
            <w:pPr>
              <w:pStyle w:val="TableText"/>
              <w:jc w:val="right"/>
            </w:pPr>
            <w:r>
              <w:rPr>
                <w:w w:val="110"/>
              </w:rPr>
              <w:t>(6,002)</w:t>
            </w:r>
          </w:p>
        </w:tc>
      </w:tr>
      <w:tr w:rsidR="009651E8" w14:paraId="62D9AD16" w14:textId="77777777" w:rsidTr="009651E8">
        <w:trPr>
          <w:trHeight w:val="346"/>
        </w:trPr>
        <w:tc>
          <w:tcPr>
            <w:tcW w:w="1113" w:type="dxa"/>
          </w:tcPr>
          <w:p w14:paraId="0E8B93E9" w14:textId="77777777" w:rsidR="009651E8" w:rsidRDefault="009651E8" w:rsidP="009651E8">
            <w:pPr>
              <w:pStyle w:val="TableText"/>
              <w:jc w:val="right"/>
            </w:pPr>
            <w:r>
              <w:rPr>
                <w:w w:val="110"/>
              </w:rPr>
              <w:t>(2,249)</w:t>
            </w:r>
          </w:p>
        </w:tc>
        <w:tc>
          <w:tcPr>
            <w:tcW w:w="5401" w:type="dxa"/>
          </w:tcPr>
          <w:p w14:paraId="1BB5FFBA" w14:textId="77777777" w:rsidR="009651E8" w:rsidRDefault="009651E8" w:rsidP="009651E8">
            <w:pPr>
              <w:pStyle w:val="TableText"/>
            </w:pPr>
            <w:r>
              <w:t>Net</w:t>
            </w:r>
            <w:r>
              <w:rPr>
                <w:spacing w:val="13"/>
              </w:rPr>
              <w:t xml:space="preserve"> </w:t>
            </w:r>
            <w:r>
              <w:t>memorandum</w:t>
            </w:r>
            <w:r>
              <w:rPr>
                <w:spacing w:val="14"/>
              </w:rPr>
              <w:t xml:space="preserve"> </w:t>
            </w:r>
            <w:r>
              <w:t>account</w:t>
            </w:r>
            <w:r>
              <w:rPr>
                <w:spacing w:val="14"/>
              </w:rPr>
              <w:t xml:space="preserve"> </w:t>
            </w:r>
            <w:r>
              <w:t>deficits</w:t>
            </w:r>
            <w:r>
              <w:rPr>
                <w:spacing w:val="14"/>
              </w:rPr>
              <w:t xml:space="preserve"> </w:t>
            </w:r>
            <w:r>
              <w:t>for</w:t>
            </w:r>
            <w:r>
              <w:rPr>
                <w:spacing w:val="14"/>
              </w:rPr>
              <w:t xml:space="preserve"> </w:t>
            </w:r>
            <w:r>
              <w:t>the</w:t>
            </w:r>
            <w:r>
              <w:rPr>
                <w:spacing w:val="14"/>
              </w:rPr>
              <w:t xml:space="preserve"> </w:t>
            </w:r>
            <w:r>
              <w:t>year</w:t>
            </w:r>
          </w:p>
        </w:tc>
        <w:tc>
          <w:tcPr>
            <w:tcW w:w="1401" w:type="dxa"/>
          </w:tcPr>
          <w:p w14:paraId="3020513F" w14:textId="77777777" w:rsidR="009651E8" w:rsidRDefault="009651E8" w:rsidP="009651E8">
            <w:pPr>
              <w:pStyle w:val="TableText"/>
              <w:jc w:val="right"/>
            </w:pPr>
            <w:r>
              <w:t>(1,337)</w:t>
            </w:r>
          </w:p>
        </w:tc>
      </w:tr>
      <w:tr w:rsidR="009651E8" w:rsidRPr="009651E8" w14:paraId="0407AD28" w14:textId="77777777" w:rsidTr="009651E8">
        <w:trPr>
          <w:trHeight w:val="322"/>
        </w:trPr>
        <w:tc>
          <w:tcPr>
            <w:tcW w:w="1113" w:type="dxa"/>
            <w:tcBorders>
              <w:bottom w:val="single" w:sz="4" w:space="0" w:color="A6A6A6" w:themeColor="background1" w:themeShade="A6"/>
            </w:tcBorders>
          </w:tcPr>
          <w:p w14:paraId="53D1FE9B" w14:textId="77777777" w:rsidR="009651E8" w:rsidRPr="009651E8" w:rsidRDefault="009651E8" w:rsidP="009651E8">
            <w:pPr>
              <w:pStyle w:val="TableText"/>
              <w:jc w:val="right"/>
              <w:rPr>
                <w:b/>
                <w:bCs/>
              </w:rPr>
            </w:pPr>
            <w:r w:rsidRPr="009651E8">
              <w:rPr>
                <w:b/>
                <w:bCs/>
                <w:w w:val="115"/>
              </w:rPr>
              <w:t>(6,002)</w:t>
            </w:r>
          </w:p>
        </w:tc>
        <w:tc>
          <w:tcPr>
            <w:tcW w:w="5401" w:type="dxa"/>
            <w:tcBorders>
              <w:bottom w:val="single" w:sz="4" w:space="0" w:color="A6A6A6" w:themeColor="background1" w:themeShade="A6"/>
            </w:tcBorders>
          </w:tcPr>
          <w:p w14:paraId="3A216370" w14:textId="77777777" w:rsidR="009651E8" w:rsidRPr="009651E8" w:rsidRDefault="009651E8" w:rsidP="009651E8">
            <w:pPr>
              <w:pStyle w:val="TableText"/>
              <w:rPr>
                <w:b/>
                <w:bCs/>
              </w:rPr>
            </w:pPr>
            <w:r w:rsidRPr="009651E8">
              <w:rPr>
                <w:b/>
                <w:bCs/>
                <w:w w:val="105"/>
              </w:rPr>
              <w:t>Balance</w:t>
            </w:r>
            <w:r w:rsidRPr="009651E8">
              <w:rPr>
                <w:b/>
                <w:bCs/>
                <w:spacing w:val="-4"/>
                <w:w w:val="105"/>
              </w:rPr>
              <w:t xml:space="preserve"> </w:t>
            </w:r>
            <w:r w:rsidRPr="009651E8">
              <w:rPr>
                <w:b/>
                <w:bCs/>
                <w:w w:val="105"/>
              </w:rPr>
              <w:t>as</w:t>
            </w:r>
            <w:r w:rsidRPr="009651E8">
              <w:rPr>
                <w:b/>
                <w:bCs/>
                <w:spacing w:val="-4"/>
                <w:w w:val="105"/>
              </w:rPr>
              <w:t xml:space="preserve"> </w:t>
            </w:r>
            <w:r w:rsidRPr="009651E8">
              <w:rPr>
                <w:b/>
                <w:bCs/>
                <w:w w:val="105"/>
              </w:rPr>
              <w:t>at</w:t>
            </w:r>
            <w:r w:rsidRPr="009651E8">
              <w:rPr>
                <w:b/>
                <w:bCs/>
                <w:spacing w:val="-4"/>
                <w:w w:val="105"/>
              </w:rPr>
              <w:t xml:space="preserve"> </w:t>
            </w:r>
            <w:r w:rsidRPr="009651E8">
              <w:rPr>
                <w:b/>
                <w:bCs/>
                <w:w w:val="105"/>
              </w:rPr>
              <w:t>30</w:t>
            </w:r>
            <w:r w:rsidRPr="009651E8">
              <w:rPr>
                <w:b/>
                <w:bCs/>
                <w:spacing w:val="-4"/>
                <w:w w:val="105"/>
              </w:rPr>
              <w:t xml:space="preserve"> </w:t>
            </w:r>
            <w:r w:rsidRPr="009651E8">
              <w:rPr>
                <w:b/>
                <w:bCs/>
                <w:w w:val="105"/>
              </w:rPr>
              <w:t>June</w:t>
            </w:r>
          </w:p>
        </w:tc>
        <w:tc>
          <w:tcPr>
            <w:tcW w:w="1401" w:type="dxa"/>
            <w:tcBorders>
              <w:bottom w:val="single" w:sz="4" w:space="0" w:color="A6A6A6" w:themeColor="background1" w:themeShade="A6"/>
            </w:tcBorders>
          </w:tcPr>
          <w:p w14:paraId="2DF0A571" w14:textId="77777777" w:rsidR="009651E8" w:rsidRPr="009651E8" w:rsidRDefault="009651E8" w:rsidP="009651E8">
            <w:pPr>
              <w:pStyle w:val="TableText"/>
              <w:jc w:val="right"/>
              <w:rPr>
                <w:b/>
                <w:bCs/>
              </w:rPr>
            </w:pPr>
            <w:r w:rsidRPr="009651E8">
              <w:rPr>
                <w:b/>
                <w:bCs/>
                <w:w w:val="110"/>
              </w:rPr>
              <w:t>(7,339)</w:t>
            </w:r>
          </w:p>
        </w:tc>
      </w:tr>
      <w:tr w:rsidR="009651E8" w:rsidRPr="009651E8" w14:paraId="2E1EC91C" w14:textId="77777777" w:rsidTr="009651E8">
        <w:trPr>
          <w:trHeight w:val="307"/>
        </w:trPr>
        <w:tc>
          <w:tcPr>
            <w:tcW w:w="1113" w:type="dxa"/>
            <w:tcBorders>
              <w:top w:val="single" w:sz="4" w:space="0" w:color="A6A6A6" w:themeColor="background1" w:themeShade="A6"/>
              <w:bottom w:val="single" w:sz="4" w:space="0" w:color="A6A6A6" w:themeColor="background1" w:themeShade="A6"/>
            </w:tcBorders>
          </w:tcPr>
          <w:p w14:paraId="358A877C" w14:textId="77777777" w:rsidR="009651E8" w:rsidRPr="009651E8" w:rsidRDefault="009651E8" w:rsidP="009651E8">
            <w:pPr>
              <w:pStyle w:val="TableText"/>
              <w:jc w:val="right"/>
              <w:rPr>
                <w:b/>
                <w:bCs/>
              </w:rPr>
            </w:pPr>
            <w:r w:rsidRPr="009651E8">
              <w:rPr>
                <w:b/>
                <w:bCs/>
              </w:rPr>
              <w:t>25,891</w:t>
            </w:r>
          </w:p>
        </w:tc>
        <w:tc>
          <w:tcPr>
            <w:tcW w:w="5401" w:type="dxa"/>
            <w:tcBorders>
              <w:top w:val="single" w:sz="4" w:space="0" w:color="A6A6A6" w:themeColor="background1" w:themeShade="A6"/>
              <w:bottom w:val="single" w:sz="4" w:space="0" w:color="A6A6A6" w:themeColor="background1" w:themeShade="A6"/>
            </w:tcBorders>
          </w:tcPr>
          <w:p w14:paraId="1E7C837B" w14:textId="77777777" w:rsidR="009651E8" w:rsidRPr="009651E8" w:rsidRDefault="009651E8" w:rsidP="009651E8">
            <w:pPr>
              <w:pStyle w:val="TableText"/>
              <w:rPr>
                <w:b/>
                <w:bCs/>
              </w:rPr>
            </w:pPr>
            <w:r w:rsidRPr="009651E8">
              <w:rPr>
                <w:b/>
                <w:bCs/>
                <w:w w:val="105"/>
              </w:rPr>
              <w:t>Total</w:t>
            </w:r>
            <w:r w:rsidRPr="009651E8">
              <w:rPr>
                <w:b/>
                <w:bCs/>
                <w:spacing w:val="7"/>
                <w:w w:val="105"/>
              </w:rPr>
              <w:t xml:space="preserve"> </w:t>
            </w:r>
            <w:r w:rsidRPr="009651E8">
              <w:rPr>
                <w:b/>
                <w:bCs/>
                <w:w w:val="105"/>
              </w:rPr>
              <w:t>equity</w:t>
            </w:r>
          </w:p>
        </w:tc>
        <w:tc>
          <w:tcPr>
            <w:tcW w:w="1401" w:type="dxa"/>
            <w:tcBorders>
              <w:top w:val="single" w:sz="4" w:space="0" w:color="A6A6A6" w:themeColor="background1" w:themeShade="A6"/>
              <w:bottom w:val="single" w:sz="4" w:space="0" w:color="A6A6A6" w:themeColor="background1" w:themeShade="A6"/>
            </w:tcBorders>
          </w:tcPr>
          <w:p w14:paraId="29CCBA96" w14:textId="77777777" w:rsidR="009651E8" w:rsidRPr="009651E8" w:rsidRDefault="009651E8" w:rsidP="009651E8">
            <w:pPr>
              <w:pStyle w:val="TableText"/>
              <w:jc w:val="right"/>
              <w:rPr>
                <w:b/>
                <w:bCs/>
              </w:rPr>
            </w:pPr>
            <w:r w:rsidRPr="009651E8">
              <w:rPr>
                <w:b/>
                <w:bCs/>
              </w:rPr>
              <w:t>22,177</w:t>
            </w:r>
          </w:p>
        </w:tc>
      </w:tr>
    </w:tbl>
    <w:p w14:paraId="20805DA0" w14:textId="77777777" w:rsidR="009651E8" w:rsidRPr="009651E8" w:rsidRDefault="009651E8" w:rsidP="009651E8">
      <w:pPr>
        <w:pStyle w:val="Heading4"/>
      </w:pPr>
      <w:r w:rsidRPr="009651E8">
        <w:t>12</w:t>
      </w:r>
      <w:r w:rsidRPr="009651E8">
        <w:tab/>
        <w:t>Memorandum accounts</w:t>
      </w:r>
    </w:p>
    <w:p w14:paraId="779475C6" w14:textId="16D4D112" w:rsidR="009651E8" w:rsidRDefault="009651E8" w:rsidP="009651E8">
      <w:pPr>
        <w:rPr>
          <w:rFonts w:eastAsia="Arial Unicode MS"/>
        </w:rPr>
      </w:pPr>
      <w:r w:rsidRPr="009651E8">
        <w:rPr>
          <w:rFonts w:eastAsia="Arial Unicode MS"/>
        </w:rPr>
        <w:t>The memorandum accounts summarise financial information relating to the accumulated surpluses and deficits incurred in the provision of statutory information and performance of accountability reviews by the Ministry to third parties in a full cost recovery basis.</w:t>
      </w:r>
    </w:p>
    <w:p w14:paraId="7D654A3F" w14:textId="77777777" w:rsidR="009651E8" w:rsidRPr="009651E8" w:rsidRDefault="009651E8" w:rsidP="009651E8">
      <w:pPr>
        <w:rPr>
          <w:rFonts w:eastAsia="Arial Unicode MS"/>
        </w:rPr>
      </w:pPr>
    </w:p>
    <w:p w14:paraId="1EB8BE59" w14:textId="6E1C992E" w:rsidR="009651E8" w:rsidRDefault="009651E8" w:rsidP="009651E8">
      <w:pPr>
        <w:rPr>
          <w:rFonts w:eastAsia="Arial Unicode MS"/>
        </w:rPr>
      </w:pPr>
      <w:r w:rsidRPr="009651E8">
        <w:rPr>
          <w:rFonts w:eastAsia="Arial Unicode MS"/>
        </w:rPr>
        <w:t>The balance of each memorandum account is expected to trend toward zero over a reasonable period of time, with interim deficits being met either from cash from the Ministry’s statement of financial position or by seeking approval for a capital injection from the Crown. Capital injections will be repaid to the Crown by way of cash payments throughout the memorandum account cycle.</w:t>
      </w:r>
    </w:p>
    <w:p w14:paraId="58C65A2B" w14:textId="77777777" w:rsidR="008F690E" w:rsidRPr="008F690E" w:rsidRDefault="008F690E" w:rsidP="008F690E">
      <w:pPr>
        <w:pStyle w:val="Heading5"/>
      </w:pPr>
      <w:r w:rsidRPr="008F690E">
        <w:t>Action taken to address surpluses and deficits</w:t>
      </w:r>
    </w:p>
    <w:p w14:paraId="46DA5D8F" w14:textId="4C7E161C" w:rsidR="008F690E" w:rsidRDefault="008F690E" w:rsidP="008F690E">
      <w:pPr>
        <w:rPr>
          <w:rFonts w:eastAsia="Arial Unicode MS"/>
        </w:rPr>
      </w:pPr>
      <w:r w:rsidRPr="008F690E">
        <w:rPr>
          <w:rFonts w:eastAsia="Arial Unicode MS"/>
        </w:rPr>
        <w:t>To recover the deficit memorandum account balance from fees revenue in future years, the Ministry has undertaken fees reviews, and is completing consultation on proposed fees changes. It is expected new fee schedules will be introduced in 2022/23.</w:t>
      </w:r>
    </w:p>
    <w:p w14:paraId="367A49E2" w14:textId="1C231EFE" w:rsidR="009651E8" w:rsidRDefault="009651E8" w:rsidP="009651E8">
      <w:pPr>
        <w:rPr>
          <w:rFonts w:eastAsia="Arial Unicode MS"/>
        </w:rPr>
      </w:pPr>
    </w:p>
    <w:p w14:paraId="0A68C28E" w14:textId="6FFC719D" w:rsidR="008F690E" w:rsidRDefault="008F690E" w:rsidP="009651E8">
      <w:pPr>
        <w:rPr>
          <w:rFonts w:eastAsia="Arial Unicode MS"/>
        </w:rPr>
      </w:pPr>
    </w:p>
    <w:tbl>
      <w:tblPr>
        <w:tblW w:w="8364" w:type="dxa"/>
        <w:tblLayout w:type="fixed"/>
        <w:tblCellMar>
          <w:left w:w="0" w:type="dxa"/>
          <w:right w:w="0" w:type="dxa"/>
        </w:tblCellMar>
        <w:tblLook w:val="01E0" w:firstRow="1" w:lastRow="1" w:firstColumn="1" w:lastColumn="1" w:noHBand="0" w:noVBand="0"/>
      </w:tblPr>
      <w:tblGrid>
        <w:gridCol w:w="2552"/>
        <w:gridCol w:w="1134"/>
        <w:gridCol w:w="992"/>
        <w:gridCol w:w="875"/>
        <w:gridCol w:w="968"/>
        <w:gridCol w:w="850"/>
        <w:gridCol w:w="993"/>
      </w:tblGrid>
      <w:tr w:rsidR="008F690E" w:rsidRPr="008F690E" w14:paraId="3865F912" w14:textId="77777777" w:rsidTr="008F690E">
        <w:trPr>
          <w:trHeight w:val="394"/>
        </w:trPr>
        <w:tc>
          <w:tcPr>
            <w:tcW w:w="2552" w:type="dxa"/>
            <w:vMerge w:val="restart"/>
            <w:shd w:val="clear" w:color="auto" w:fill="D9D9D9" w:themeFill="background1" w:themeFillShade="D9"/>
          </w:tcPr>
          <w:p w14:paraId="136FCB4D" w14:textId="77777777" w:rsidR="008F690E" w:rsidRPr="008F690E" w:rsidRDefault="008F690E" w:rsidP="008F690E">
            <w:pPr>
              <w:pStyle w:val="TableText"/>
              <w:rPr>
                <w:b/>
                <w:bCs/>
              </w:rPr>
            </w:pPr>
          </w:p>
        </w:tc>
        <w:tc>
          <w:tcPr>
            <w:tcW w:w="1134" w:type="dxa"/>
            <w:shd w:val="clear" w:color="auto" w:fill="D9D9D9" w:themeFill="background1" w:themeFillShade="D9"/>
          </w:tcPr>
          <w:p w14:paraId="42D701C5" w14:textId="513F26A5" w:rsidR="008F690E" w:rsidRPr="008F690E" w:rsidRDefault="008F690E" w:rsidP="008F690E">
            <w:pPr>
              <w:pStyle w:val="TableText"/>
              <w:jc w:val="right"/>
              <w:rPr>
                <w:b/>
                <w:bCs/>
              </w:rPr>
            </w:pPr>
            <w:r>
              <w:rPr>
                <w:b/>
                <w:bCs/>
              </w:rPr>
              <w:t>Problem</w:t>
            </w:r>
            <w:r>
              <w:rPr>
                <w:b/>
                <w:bCs/>
              </w:rPr>
              <w:br/>
            </w:r>
            <w:r w:rsidRPr="008F690E">
              <w:rPr>
                <w:b/>
                <w:bCs/>
              </w:rPr>
              <w:t>Gambling*</w:t>
            </w:r>
          </w:p>
        </w:tc>
        <w:tc>
          <w:tcPr>
            <w:tcW w:w="992" w:type="dxa"/>
            <w:shd w:val="clear" w:color="auto" w:fill="D9D9D9" w:themeFill="background1" w:themeFillShade="D9"/>
          </w:tcPr>
          <w:p w14:paraId="4D6BBBC5" w14:textId="6D7442FE" w:rsidR="008F690E" w:rsidRPr="008F690E" w:rsidRDefault="008F690E" w:rsidP="008F690E">
            <w:pPr>
              <w:pStyle w:val="TableText"/>
              <w:jc w:val="right"/>
              <w:rPr>
                <w:b/>
                <w:bCs/>
              </w:rPr>
            </w:pPr>
            <w:r>
              <w:rPr>
                <w:b/>
                <w:bCs/>
              </w:rPr>
              <w:t>Office of</w:t>
            </w:r>
            <w:r>
              <w:rPr>
                <w:b/>
                <w:bCs/>
              </w:rPr>
              <w:br/>
            </w:r>
            <w:r w:rsidRPr="008F690E">
              <w:rPr>
                <w:b/>
                <w:bCs/>
              </w:rPr>
              <w:t>Radiation</w:t>
            </w:r>
          </w:p>
        </w:tc>
        <w:tc>
          <w:tcPr>
            <w:tcW w:w="875" w:type="dxa"/>
            <w:shd w:val="clear" w:color="auto" w:fill="D9D9D9" w:themeFill="background1" w:themeFillShade="D9"/>
          </w:tcPr>
          <w:p w14:paraId="390F4497" w14:textId="7208D5FF" w:rsidR="008F690E" w:rsidRPr="008F690E" w:rsidRDefault="008F690E" w:rsidP="008F690E">
            <w:pPr>
              <w:pStyle w:val="TableText"/>
              <w:jc w:val="right"/>
              <w:rPr>
                <w:b/>
                <w:bCs/>
              </w:rPr>
            </w:pPr>
            <w:r w:rsidRPr="008F690E">
              <w:rPr>
                <w:b/>
                <w:bCs/>
              </w:rPr>
              <w:t xml:space="preserve">Medsafe  </w:t>
            </w:r>
          </w:p>
        </w:tc>
        <w:tc>
          <w:tcPr>
            <w:tcW w:w="968" w:type="dxa"/>
            <w:shd w:val="clear" w:color="auto" w:fill="D9D9D9" w:themeFill="background1" w:themeFillShade="D9"/>
          </w:tcPr>
          <w:p w14:paraId="4B28618D" w14:textId="14D7853B" w:rsidR="008F690E" w:rsidRPr="008F690E" w:rsidRDefault="008F690E" w:rsidP="008F690E">
            <w:pPr>
              <w:pStyle w:val="TableText"/>
              <w:jc w:val="right"/>
              <w:rPr>
                <w:b/>
                <w:bCs/>
              </w:rPr>
            </w:pPr>
            <w:r w:rsidRPr="008F690E">
              <w:rPr>
                <w:b/>
                <w:bCs/>
              </w:rPr>
              <w:t>Medicinal</w:t>
            </w:r>
            <w:r>
              <w:rPr>
                <w:b/>
                <w:bCs/>
              </w:rPr>
              <w:br/>
            </w:r>
            <w:r w:rsidRPr="008F690E">
              <w:rPr>
                <w:b/>
                <w:bCs/>
              </w:rPr>
              <w:t>Cannabis</w:t>
            </w:r>
          </w:p>
        </w:tc>
        <w:tc>
          <w:tcPr>
            <w:tcW w:w="850" w:type="dxa"/>
            <w:shd w:val="clear" w:color="auto" w:fill="D9D9D9" w:themeFill="background1" w:themeFillShade="D9"/>
          </w:tcPr>
          <w:p w14:paraId="2D1C51E2" w14:textId="060A33AE" w:rsidR="008F690E" w:rsidRPr="008F690E" w:rsidRDefault="008F690E" w:rsidP="008F690E">
            <w:pPr>
              <w:pStyle w:val="TableText"/>
              <w:jc w:val="right"/>
              <w:rPr>
                <w:b/>
                <w:bCs/>
              </w:rPr>
            </w:pPr>
            <w:r w:rsidRPr="008F690E">
              <w:rPr>
                <w:b/>
                <w:bCs/>
              </w:rPr>
              <w:t>Vaping</w:t>
            </w:r>
          </w:p>
        </w:tc>
        <w:tc>
          <w:tcPr>
            <w:tcW w:w="993" w:type="dxa"/>
            <w:shd w:val="clear" w:color="auto" w:fill="D9D9D9" w:themeFill="background1" w:themeFillShade="D9"/>
          </w:tcPr>
          <w:p w14:paraId="52EA8415" w14:textId="244593B1" w:rsidR="008F690E" w:rsidRPr="008F690E" w:rsidRDefault="008F690E" w:rsidP="008F690E">
            <w:pPr>
              <w:pStyle w:val="TableText"/>
              <w:jc w:val="right"/>
              <w:rPr>
                <w:b/>
                <w:bCs/>
              </w:rPr>
            </w:pPr>
            <w:r>
              <w:rPr>
                <w:b/>
                <w:bCs/>
              </w:rPr>
              <w:t xml:space="preserve">Total </w:t>
            </w:r>
          </w:p>
        </w:tc>
      </w:tr>
      <w:tr w:rsidR="008F690E" w:rsidRPr="008F690E" w14:paraId="5B8B03D2" w14:textId="77777777" w:rsidTr="008F690E">
        <w:trPr>
          <w:trHeight w:val="394"/>
        </w:trPr>
        <w:tc>
          <w:tcPr>
            <w:tcW w:w="2552" w:type="dxa"/>
            <w:vMerge/>
            <w:tcBorders>
              <w:top w:val="nil"/>
            </w:tcBorders>
            <w:shd w:val="clear" w:color="auto" w:fill="D9D9D9" w:themeFill="background1" w:themeFillShade="D9"/>
          </w:tcPr>
          <w:p w14:paraId="3B10F444" w14:textId="77777777" w:rsidR="008F690E" w:rsidRPr="008F690E" w:rsidRDefault="008F690E" w:rsidP="008F690E">
            <w:pPr>
              <w:pStyle w:val="TableText"/>
              <w:rPr>
                <w:b/>
                <w:bCs/>
              </w:rPr>
            </w:pPr>
          </w:p>
        </w:tc>
        <w:tc>
          <w:tcPr>
            <w:tcW w:w="1134" w:type="dxa"/>
            <w:shd w:val="clear" w:color="auto" w:fill="D9D9D9" w:themeFill="background1" w:themeFillShade="D9"/>
          </w:tcPr>
          <w:p w14:paraId="1477AE8C" w14:textId="77777777" w:rsidR="008F690E" w:rsidRPr="008F690E" w:rsidRDefault="008F690E" w:rsidP="008F690E">
            <w:pPr>
              <w:pStyle w:val="TableText"/>
              <w:spacing w:before="0"/>
              <w:jc w:val="right"/>
              <w:rPr>
                <w:b/>
                <w:bCs/>
              </w:rPr>
            </w:pPr>
            <w:r w:rsidRPr="008F690E">
              <w:rPr>
                <w:b/>
                <w:bCs/>
              </w:rPr>
              <w:t>$000</w:t>
            </w:r>
          </w:p>
        </w:tc>
        <w:tc>
          <w:tcPr>
            <w:tcW w:w="992" w:type="dxa"/>
            <w:shd w:val="clear" w:color="auto" w:fill="D9D9D9" w:themeFill="background1" w:themeFillShade="D9"/>
          </w:tcPr>
          <w:p w14:paraId="4E6FDC2B" w14:textId="77777777" w:rsidR="008F690E" w:rsidRPr="008F690E" w:rsidRDefault="008F690E" w:rsidP="008F690E">
            <w:pPr>
              <w:pStyle w:val="TableText"/>
              <w:spacing w:before="0"/>
              <w:jc w:val="right"/>
              <w:rPr>
                <w:b/>
                <w:bCs/>
              </w:rPr>
            </w:pPr>
            <w:r w:rsidRPr="008F690E">
              <w:rPr>
                <w:b/>
                <w:bCs/>
              </w:rPr>
              <w:t>$000</w:t>
            </w:r>
          </w:p>
        </w:tc>
        <w:tc>
          <w:tcPr>
            <w:tcW w:w="875" w:type="dxa"/>
            <w:shd w:val="clear" w:color="auto" w:fill="D9D9D9" w:themeFill="background1" w:themeFillShade="D9"/>
          </w:tcPr>
          <w:p w14:paraId="345E3703" w14:textId="77777777" w:rsidR="008F690E" w:rsidRPr="008F690E" w:rsidRDefault="008F690E" w:rsidP="008F690E">
            <w:pPr>
              <w:pStyle w:val="TableText"/>
              <w:spacing w:before="0"/>
              <w:jc w:val="right"/>
              <w:rPr>
                <w:b/>
                <w:bCs/>
              </w:rPr>
            </w:pPr>
            <w:r w:rsidRPr="008F690E">
              <w:rPr>
                <w:b/>
                <w:bCs/>
              </w:rPr>
              <w:t>$000</w:t>
            </w:r>
          </w:p>
        </w:tc>
        <w:tc>
          <w:tcPr>
            <w:tcW w:w="968" w:type="dxa"/>
            <w:shd w:val="clear" w:color="auto" w:fill="D9D9D9" w:themeFill="background1" w:themeFillShade="D9"/>
          </w:tcPr>
          <w:p w14:paraId="358CD1DF" w14:textId="634BAE32" w:rsidR="008F690E" w:rsidRPr="008F690E" w:rsidRDefault="008F690E" w:rsidP="008F690E">
            <w:pPr>
              <w:pStyle w:val="TableText"/>
              <w:spacing w:before="0"/>
              <w:jc w:val="right"/>
              <w:rPr>
                <w:b/>
                <w:bCs/>
              </w:rPr>
            </w:pPr>
            <w:r w:rsidRPr="008F690E">
              <w:rPr>
                <w:b/>
                <w:bCs/>
              </w:rPr>
              <w:t>$000</w:t>
            </w:r>
          </w:p>
        </w:tc>
        <w:tc>
          <w:tcPr>
            <w:tcW w:w="850" w:type="dxa"/>
            <w:shd w:val="clear" w:color="auto" w:fill="D9D9D9" w:themeFill="background1" w:themeFillShade="D9"/>
          </w:tcPr>
          <w:p w14:paraId="2962457F" w14:textId="283FE11E" w:rsidR="008F690E" w:rsidRPr="008F690E" w:rsidRDefault="008F690E" w:rsidP="008F690E">
            <w:pPr>
              <w:pStyle w:val="TableText"/>
              <w:spacing w:before="0"/>
              <w:jc w:val="right"/>
              <w:rPr>
                <w:b/>
                <w:bCs/>
              </w:rPr>
            </w:pPr>
            <w:r w:rsidRPr="008F690E">
              <w:rPr>
                <w:b/>
                <w:bCs/>
              </w:rPr>
              <w:t>$000</w:t>
            </w:r>
          </w:p>
        </w:tc>
        <w:tc>
          <w:tcPr>
            <w:tcW w:w="993" w:type="dxa"/>
            <w:shd w:val="clear" w:color="auto" w:fill="D9D9D9" w:themeFill="background1" w:themeFillShade="D9"/>
          </w:tcPr>
          <w:p w14:paraId="0AD0E396" w14:textId="07A000DA" w:rsidR="008F690E" w:rsidRPr="008F690E" w:rsidRDefault="008F690E" w:rsidP="008F690E">
            <w:pPr>
              <w:pStyle w:val="TableText"/>
              <w:spacing w:before="0"/>
              <w:jc w:val="right"/>
              <w:rPr>
                <w:b/>
                <w:bCs/>
              </w:rPr>
            </w:pPr>
            <w:r w:rsidRPr="008F690E">
              <w:rPr>
                <w:b/>
                <w:bCs/>
              </w:rPr>
              <w:t>$000</w:t>
            </w:r>
          </w:p>
        </w:tc>
      </w:tr>
      <w:tr w:rsidR="008F690E" w14:paraId="7A6D497A" w14:textId="77777777" w:rsidTr="008F690E">
        <w:trPr>
          <w:trHeight w:val="369"/>
        </w:trPr>
        <w:tc>
          <w:tcPr>
            <w:tcW w:w="2552" w:type="dxa"/>
          </w:tcPr>
          <w:p w14:paraId="7F1E63CE" w14:textId="77777777" w:rsidR="008F690E" w:rsidRDefault="008F690E" w:rsidP="008F690E">
            <w:pPr>
              <w:pStyle w:val="TableText"/>
            </w:pPr>
            <w:r>
              <w:t>Balance</w:t>
            </w:r>
            <w:r>
              <w:rPr>
                <w:spacing w:val="6"/>
              </w:rPr>
              <w:t xml:space="preserve"> </w:t>
            </w:r>
            <w:r>
              <w:t>as</w:t>
            </w:r>
            <w:r>
              <w:rPr>
                <w:spacing w:val="7"/>
              </w:rPr>
              <w:t xml:space="preserve"> </w:t>
            </w:r>
            <w:r>
              <w:t>at</w:t>
            </w:r>
            <w:r>
              <w:rPr>
                <w:spacing w:val="7"/>
              </w:rPr>
              <w:t xml:space="preserve"> </w:t>
            </w:r>
            <w:r>
              <w:rPr>
                <w:w w:val="95"/>
              </w:rPr>
              <w:t>1</w:t>
            </w:r>
            <w:r>
              <w:rPr>
                <w:spacing w:val="10"/>
                <w:w w:val="95"/>
              </w:rPr>
              <w:t xml:space="preserve"> </w:t>
            </w:r>
            <w:r>
              <w:t>July</w:t>
            </w:r>
            <w:r>
              <w:rPr>
                <w:spacing w:val="7"/>
              </w:rPr>
              <w:t xml:space="preserve"> </w:t>
            </w:r>
            <w:r>
              <w:t>2020</w:t>
            </w:r>
          </w:p>
        </w:tc>
        <w:tc>
          <w:tcPr>
            <w:tcW w:w="1134" w:type="dxa"/>
          </w:tcPr>
          <w:p w14:paraId="4BE7D1D8" w14:textId="77777777" w:rsidR="008F690E" w:rsidRDefault="008F690E" w:rsidP="008F690E">
            <w:pPr>
              <w:pStyle w:val="TableText"/>
              <w:jc w:val="right"/>
            </w:pPr>
            <w:r>
              <w:rPr>
                <w:w w:val="110"/>
              </w:rPr>
              <w:t>(707)</w:t>
            </w:r>
          </w:p>
        </w:tc>
        <w:tc>
          <w:tcPr>
            <w:tcW w:w="992" w:type="dxa"/>
          </w:tcPr>
          <w:p w14:paraId="176A16A0" w14:textId="77777777" w:rsidR="008F690E" w:rsidRDefault="008F690E" w:rsidP="008F690E">
            <w:pPr>
              <w:pStyle w:val="TableText"/>
              <w:jc w:val="right"/>
            </w:pPr>
            <w:r>
              <w:rPr>
                <w:w w:val="115"/>
              </w:rPr>
              <w:t>(675)</w:t>
            </w:r>
          </w:p>
        </w:tc>
        <w:tc>
          <w:tcPr>
            <w:tcW w:w="875" w:type="dxa"/>
          </w:tcPr>
          <w:p w14:paraId="5BF2B2B8" w14:textId="77777777" w:rsidR="008F690E" w:rsidRDefault="008F690E" w:rsidP="008F690E">
            <w:pPr>
              <w:pStyle w:val="TableText"/>
              <w:jc w:val="right"/>
            </w:pPr>
            <w:r>
              <w:rPr>
                <w:w w:val="110"/>
              </w:rPr>
              <w:t>(2,485)</w:t>
            </w:r>
          </w:p>
        </w:tc>
        <w:tc>
          <w:tcPr>
            <w:tcW w:w="968" w:type="dxa"/>
          </w:tcPr>
          <w:p w14:paraId="466D9259" w14:textId="6966939F" w:rsidR="008F690E" w:rsidRDefault="008F690E" w:rsidP="008F690E">
            <w:pPr>
              <w:pStyle w:val="TableText"/>
              <w:jc w:val="right"/>
              <w:rPr>
                <w:w w:val="85"/>
              </w:rPr>
            </w:pPr>
            <w:r>
              <w:rPr>
                <w:w w:val="85"/>
              </w:rPr>
              <w:t>114</w:t>
            </w:r>
          </w:p>
        </w:tc>
        <w:tc>
          <w:tcPr>
            <w:tcW w:w="850" w:type="dxa"/>
          </w:tcPr>
          <w:p w14:paraId="34243693" w14:textId="35ABFFEF" w:rsidR="008F690E" w:rsidRDefault="008F690E" w:rsidP="008F690E">
            <w:pPr>
              <w:pStyle w:val="TableText"/>
              <w:jc w:val="right"/>
              <w:rPr>
                <w:w w:val="85"/>
              </w:rPr>
            </w:pPr>
            <w:r>
              <w:rPr>
                <w:w w:val="135"/>
              </w:rPr>
              <w:t>–</w:t>
            </w:r>
          </w:p>
        </w:tc>
        <w:tc>
          <w:tcPr>
            <w:tcW w:w="993" w:type="dxa"/>
          </w:tcPr>
          <w:p w14:paraId="4301271A" w14:textId="3F7F88FA" w:rsidR="008F690E" w:rsidRDefault="008F690E" w:rsidP="008F690E">
            <w:pPr>
              <w:pStyle w:val="TableText"/>
              <w:jc w:val="right"/>
            </w:pPr>
            <w:r w:rsidRPr="008F690E">
              <w:t>(3,753</w:t>
            </w:r>
            <w:r>
              <w:t>)</w:t>
            </w:r>
          </w:p>
        </w:tc>
      </w:tr>
      <w:tr w:rsidR="008F690E" w14:paraId="762A64C6" w14:textId="77777777" w:rsidTr="008F690E">
        <w:trPr>
          <w:trHeight w:val="349"/>
        </w:trPr>
        <w:tc>
          <w:tcPr>
            <w:tcW w:w="2552" w:type="dxa"/>
          </w:tcPr>
          <w:p w14:paraId="4DA8BEB0" w14:textId="77777777" w:rsidR="008F690E" w:rsidRDefault="008F690E" w:rsidP="008F690E">
            <w:pPr>
              <w:pStyle w:val="TableText"/>
            </w:pPr>
            <w:r>
              <w:t>Revenue</w:t>
            </w:r>
          </w:p>
        </w:tc>
        <w:tc>
          <w:tcPr>
            <w:tcW w:w="1134" w:type="dxa"/>
          </w:tcPr>
          <w:p w14:paraId="5DA83908" w14:textId="77777777" w:rsidR="008F690E" w:rsidRDefault="008F690E" w:rsidP="008F690E">
            <w:pPr>
              <w:pStyle w:val="TableText"/>
              <w:jc w:val="right"/>
            </w:pPr>
            <w:r>
              <w:rPr>
                <w:w w:val="135"/>
              </w:rPr>
              <w:t>–</w:t>
            </w:r>
          </w:p>
        </w:tc>
        <w:tc>
          <w:tcPr>
            <w:tcW w:w="992" w:type="dxa"/>
          </w:tcPr>
          <w:p w14:paraId="19A0D29B" w14:textId="77777777" w:rsidR="008F690E" w:rsidRDefault="008F690E" w:rsidP="008F690E">
            <w:pPr>
              <w:pStyle w:val="TableText"/>
              <w:jc w:val="right"/>
            </w:pPr>
            <w:r>
              <w:rPr>
                <w:w w:val="110"/>
              </w:rPr>
              <w:t>928</w:t>
            </w:r>
          </w:p>
        </w:tc>
        <w:tc>
          <w:tcPr>
            <w:tcW w:w="875" w:type="dxa"/>
          </w:tcPr>
          <w:p w14:paraId="49BC50F6" w14:textId="77777777" w:rsidR="008F690E" w:rsidRDefault="008F690E" w:rsidP="008F690E">
            <w:pPr>
              <w:pStyle w:val="TableText"/>
              <w:jc w:val="right"/>
            </w:pPr>
            <w:r>
              <w:t>9,577</w:t>
            </w:r>
          </w:p>
        </w:tc>
        <w:tc>
          <w:tcPr>
            <w:tcW w:w="968" w:type="dxa"/>
          </w:tcPr>
          <w:p w14:paraId="734F5543" w14:textId="1F3A2457" w:rsidR="008F690E" w:rsidRDefault="008F690E" w:rsidP="008F690E">
            <w:pPr>
              <w:pStyle w:val="TableText"/>
              <w:jc w:val="right"/>
              <w:rPr>
                <w:w w:val="110"/>
              </w:rPr>
            </w:pPr>
            <w:r>
              <w:rPr>
                <w:w w:val="110"/>
              </w:rPr>
              <w:t>570</w:t>
            </w:r>
          </w:p>
        </w:tc>
        <w:tc>
          <w:tcPr>
            <w:tcW w:w="850" w:type="dxa"/>
          </w:tcPr>
          <w:p w14:paraId="1A37E1EA" w14:textId="22864AF8" w:rsidR="008F690E" w:rsidRDefault="008F690E" w:rsidP="008F690E">
            <w:pPr>
              <w:pStyle w:val="TableText"/>
              <w:jc w:val="right"/>
              <w:rPr>
                <w:w w:val="110"/>
              </w:rPr>
            </w:pPr>
            <w:r>
              <w:rPr>
                <w:w w:val="135"/>
              </w:rPr>
              <w:t>–</w:t>
            </w:r>
          </w:p>
        </w:tc>
        <w:tc>
          <w:tcPr>
            <w:tcW w:w="993" w:type="dxa"/>
          </w:tcPr>
          <w:p w14:paraId="7A063207" w14:textId="55E77AC3" w:rsidR="008F690E" w:rsidRDefault="008F690E" w:rsidP="008F690E">
            <w:pPr>
              <w:pStyle w:val="TableText"/>
              <w:jc w:val="right"/>
            </w:pPr>
            <w:r w:rsidRPr="008F690E">
              <w:t>11,075</w:t>
            </w:r>
          </w:p>
        </w:tc>
      </w:tr>
      <w:tr w:rsidR="008F690E" w14:paraId="2156A18E" w14:textId="77777777" w:rsidTr="008F690E">
        <w:trPr>
          <w:trHeight w:val="346"/>
        </w:trPr>
        <w:tc>
          <w:tcPr>
            <w:tcW w:w="2552" w:type="dxa"/>
          </w:tcPr>
          <w:p w14:paraId="536906A6" w14:textId="77777777" w:rsidR="008F690E" w:rsidRDefault="008F690E" w:rsidP="008F690E">
            <w:pPr>
              <w:pStyle w:val="TableText"/>
            </w:pPr>
            <w:r>
              <w:t>Expenditure</w:t>
            </w:r>
          </w:p>
        </w:tc>
        <w:tc>
          <w:tcPr>
            <w:tcW w:w="1134" w:type="dxa"/>
          </w:tcPr>
          <w:p w14:paraId="7F30FEEB" w14:textId="77777777" w:rsidR="008F690E" w:rsidRDefault="008F690E" w:rsidP="008F690E">
            <w:pPr>
              <w:pStyle w:val="TableText"/>
              <w:jc w:val="right"/>
            </w:pPr>
            <w:r>
              <w:rPr>
                <w:w w:val="135"/>
              </w:rPr>
              <w:t>–</w:t>
            </w:r>
          </w:p>
        </w:tc>
        <w:tc>
          <w:tcPr>
            <w:tcW w:w="992" w:type="dxa"/>
          </w:tcPr>
          <w:p w14:paraId="15B07DCD" w14:textId="77777777" w:rsidR="008F690E" w:rsidRDefault="008F690E" w:rsidP="008F690E">
            <w:pPr>
              <w:pStyle w:val="TableText"/>
              <w:jc w:val="right"/>
            </w:pPr>
            <w:r>
              <w:t>(1,670)</w:t>
            </w:r>
          </w:p>
        </w:tc>
        <w:tc>
          <w:tcPr>
            <w:tcW w:w="875" w:type="dxa"/>
          </w:tcPr>
          <w:p w14:paraId="2ED6E1D6" w14:textId="77777777" w:rsidR="008F690E" w:rsidRDefault="008F690E" w:rsidP="008F690E">
            <w:pPr>
              <w:pStyle w:val="TableText"/>
              <w:jc w:val="right"/>
            </w:pPr>
            <w:r>
              <w:rPr>
                <w:w w:val="110"/>
              </w:rPr>
              <w:t>(9,695)</w:t>
            </w:r>
          </w:p>
        </w:tc>
        <w:tc>
          <w:tcPr>
            <w:tcW w:w="968" w:type="dxa"/>
          </w:tcPr>
          <w:p w14:paraId="5FC2B663" w14:textId="1490CE76" w:rsidR="008F690E" w:rsidRDefault="008F690E" w:rsidP="008F690E">
            <w:pPr>
              <w:pStyle w:val="TableText"/>
              <w:jc w:val="right"/>
              <w:rPr>
                <w:w w:val="115"/>
              </w:rPr>
            </w:pPr>
            <w:r>
              <w:rPr>
                <w:w w:val="115"/>
              </w:rPr>
              <w:t>(806)</w:t>
            </w:r>
          </w:p>
        </w:tc>
        <w:tc>
          <w:tcPr>
            <w:tcW w:w="850" w:type="dxa"/>
          </w:tcPr>
          <w:p w14:paraId="49F8736C" w14:textId="14F6C917" w:rsidR="008F690E" w:rsidRDefault="008F690E" w:rsidP="008F690E">
            <w:pPr>
              <w:pStyle w:val="TableText"/>
              <w:jc w:val="right"/>
              <w:rPr>
                <w:w w:val="115"/>
              </w:rPr>
            </w:pPr>
            <w:r>
              <w:t>(1,153)</w:t>
            </w:r>
          </w:p>
        </w:tc>
        <w:tc>
          <w:tcPr>
            <w:tcW w:w="993" w:type="dxa"/>
          </w:tcPr>
          <w:p w14:paraId="31D9517B" w14:textId="5CCD7EDE" w:rsidR="008F690E" w:rsidRDefault="008F690E" w:rsidP="008F690E">
            <w:pPr>
              <w:pStyle w:val="TableText"/>
              <w:jc w:val="right"/>
            </w:pPr>
            <w:r w:rsidRPr="008F690E">
              <w:t>(13,324)</w:t>
            </w:r>
          </w:p>
        </w:tc>
      </w:tr>
      <w:tr w:rsidR="008F690E" w14:paraId="76194793" w14:textId="77777777" w:rsidTr="008F690E">
        <w:trPr>
          <w:trHeight w:val="322"/>
        </w:trPr>
        <w:tc>
          <w:tcPr>
            <w:tcW w:w="2552" w:type="dxa"/>
            <w:tcBorders>
              <w:bottom w:val="single" w:sz="4" w:space="0" w:color="A6A6A6" w:themeColor="background1" w:themeShade="A6"/>
            </w:tcBorders>
          </w:tcPr>
          <w:p w14:paraId="138081E1" w14:textId="77777777" w:rsidR="008F690E" w:rsidRDefault="008F690E" w:rsidP="008F690E">
            <w:pPr>
              <w:pStyle w:val="TableText"/>
              <w:rPr>
                <w:b/>
              </w:rPr>
            </w:pPr>
            <w:r>
              <w:rPr>
                <w:b/>
                <w:w w:val="105"/>
              </w:rPr>
              <w:t>Balance</w:t>
            </w:r>
            <w:r>
              <w:rPr>
                <w:b/>
                <w:spacing w:val="-11"/>
                <w:w w:val="105"/>
              </w:rPr>
              <w:t xml:space="preserve"> </w:t>
            </w:r>
            <w:r>
              <w:rPr>
                <w:b/>
                <w:w w:val="105"/>
              </w:rPr>
              <w:t>as</w:t>
            </w:r>
            <w:r>
              <w:rPr>
                <w:b/>
                <w:spacing w:val="-10"/>
                <w:w w:val="105"/>
              </w:rPr>
              <w:t xml:space="preserve"> </w:t>
            </w:r>
            <w:r>
              <w:rPr>
                <w:b/>
                <w:w w:val="105"/>
              </w:rPr>
              <w:t>at</w:t>
            </w:r>
            <w:r>
              <w:rPr>
                <w:b/>
                <w:spacing w:val="-10"/>
                <w:w w:val="105"/>
              </w:rPr>
              <w:t xml:space="preserve"> </w:t>
            </w:r>
            <w:r>
              <w:rPr>
                <w:b/>
                <w:w w:val="105"/>
              </w:rPr>
              <w:t>30</w:t>
            </w:r>
            <w:r>
              <w:rPr>
                <w:b/>
                <w:spacing w:val="-11"/>
                <w:w w:val="105"/>
              </w:rPr>
              <w:t xml:space="preserve"> </w:t>
            </w:r>
            <w:r>
              <w:rPr>
                <w:b/>
                <w:w w:val="105"/>
              </w:rPr>
              <w:t>June</w:t>
            </w:r>
            <w:r>
              <w:rPr>
                <w:b/>
                <w:spacing w:val="-10"/>
                <w:w w:val="105"/>
              </w:rPr>
              <w:t xml:space="preserve"> </w:t>
            </w:r>
            <w:r>
              <w:rPr>
                <w:b/>
                <w:w w:val="105"/>
              </w:rPr>
              <w:t>2021</w:t>
            </w:r>
          </w:p>
        </w:tc>
        <w:tc>
          <w:tcPr>
            <w:tcW w:w="1134" w:type="dxa"/>
            <w:tcBorders>
              <w:bottom w:val="single" w:sz="4" w:space="0" w:color="A6A6A6" w:themeColor="background1" w:themeShade="A6"/>
            </w:tcBorders>
          </w:tcPr>
          <w:p w14:paraId="44035E8B" w14:textId="77777777" w:rsidR="008F690E" w:rsidRDefault="008F690E" w:rsidP="008F690E">
            <w:pPr>
              <w:pStyle w:val="TableText"/>
              <w:jc w:val="right"/>
              <w:rPr>
                <w:b/>
              </w:rPr>
            </w:pPr>
            <w:r>
              <w:rPr>
                <w:b/>
                <w:w w:val="110"/>
              </w:rPr>
              <w:t>(707)</w:t>
            </w:r>
          </w:p>
        </w:tc>
        <w:tc>
          <w:tcPr>
            <w:tcW w:w="992" w:type="dxa"/>
            <w:tcBorders>
              <w:bottom w:val="single" w:sz="4" w:space="0" w:color="A6A6A6" w:themeColor="background1" w:themeShade="A6"/>
            </w:tcBorders>
          </w:tcPr>
          <w:p w14:paraId="504ED11D" w14:textId="77777777" w:rsidR="008F690E" w:rsidRDefault="008F690E" w:rsidP="008F690E">
            <w:pPr>
              <w:pStyle w:val="TableText"/>
              <w:jc w:val="right"/>
              <w:rPr>
                <w:b/>
              </w:rPr>
            </w:pPr>
            <w:r>
              <w:rPr>
                <w:b/>
              </w:rPr>
              <w:t>(1,417)</w:t>
            </w:r>
          </w:p>
        </w:tc>
        <w:tc>
          <w:tcPr>
            <w:tcW w:w="875" w:type="dxa"/>
            <w:tcBorders>
              <w:bottom w:val="single" w:sz="4" w:space="0" w:color="A6A6A6" w:themeColor="background1" w:themeShade="A6"/>
            </w:tcBorders>
          </w:tcPr>
          <w:p w14:paraId="7AB91E79" w14:textId="77777777" w:rsidR="008F690E" w:rsidRDefault="008F690E" w:rsidP="008F690E">
            <w:pPr>
              <w:pStyle w:val="TableText"/>
              <w:jc w:val="right"/>
              <w:rPr>
                <w:b/>
              </w:rPr>
            </w:pPr>
            <w:r>
              <w:rPr>
                <w:b/>
                <w:w w:val="110"/>
              </w:rPr>
              <w:t>(2,603)</w:t>
            </w:r>
          </w:p>
        </w:tc>
        <w:tc>
          <w:tcPr>
            <w:tcW w:w="968" w:type="dxa"/>
            <w:tcBorders>
              <w:bottom w:val="single" w:sz="4" w:space="0" w:color="A6A6A6" w:themeColor="background1" w:themeShade="A6"/>
            </w:tcBorders>
          </w:tcPr>
          <w:p w14:paraId="4A64CA27" w14:textId="124D48D5" w:rsidR="008F690E" w:rsidRDefault="008F690E" w:rsidP="008F690E">
            <w:pPr>
              <w:pStyle w:val="TableText"/>
              <w:jc w:val="right"/>
              <w:rPr>
                <w:b/>
              </w:rPr>
            </w:pPr>
            <w:r>
              <w:rPr>
                <w:b/>
              </w:rPr>
              <w:t>(122)</w:t>
            </w:r>
          </w:p>
        </w:tc>
        <w:tc>
          <w:tcPr>
            <w:tcW w:w="850" w:type="dxa"/>
            <w:tcBorders>
              <w:bottom w:val="single" w:sz="4" w:space="0" w:color="A6A6A6" w:themeColor="background1" w:themeShade="A6"/>
            </w:tcBorders>
          </w:tcPr>
          <w:p w14:paraId="14861C93" w14:textId="5A8D2549" w:rsidR="008F690E" w:rsidRDefault="008F690E" w:rsidP="008F690E">
            <w:pPr>
              <w:pStyle w:val="TableText"/>
              <w:jc w:val="right"/>
              <w:rPr>
                <w:b/>
              </w:rPr>
            </w:pPr>
            <w:r>
              <w:rPr>
                <w:b/>
              </w:rPr>
              <w:t>(1,153)</w:t>
            </w:r>
          </w:p>
        </w:tc>
        <w:tc>
          <w:tcPr>
            <w:tcW w:w="993" w:type="dxa"/>
            <w:tcBorders>
              <w:bottom w:val="single" w:sz="4" w:space="0" w:color="A6A6A6" w:themeColor="background1" w:themeShade="A6"/>
            </w:tcBorders>
          </w:tcPr>
          <w:p w14:paraId="1C905362" w14:textId="50180807" w:rsidR="008F690E" w:rsidRDefault="008F690E" w:rsidP="008F690E">
            <w:pPr>
              <w:pStyle w:val="TableText"/>
              <w:jc w:val="right"/>
              <w:rPr>
                <w:b/>
              </w:rPr>
            </w:pPr>
            <w:r w:rsidRPr="008F690E">
              <w:rPr>
                <w:b/>
              </w:rPr>
              <w:t>(6,002)</w:t>
            </w:r>
          </w:p>
        </w:tc>
      </w:tr>
      <w:tr w:rsidR="008F690E" w14:paraId="2B6C8FAC" w14:textId="77777777" w:rsidTr="008F690E">
        <w:trPr>
          <w:trHeight w:val="367"/>
        </w:trPr>
        <w:tc>
          <w:tcPr>
            <w:tcW w:w="2552" w:type="dxa"/>
            <w:tcBorders>
              <w:top w:val="single" w:sz="4" w:space="0" w:color="A6A6A6" w:themeColor="background1" w:themeShade="A6"/>
            </w:tcBorders>
          </w:tcPr>
          <w:p w14:paraId="42DBBE26" w14:textId="77777777" w:rsidR="008F690E" w:rsidRDefault="008F690E" w:rsidP="008F690E">
            <w:pPr>
              <w:pStyle w:val="TableText"/>
            </w:pPr>
            <w:r>
              <w:t>Balance</w:t>
            </w:r>
            <w:r>
              <w:rPr>
                <w:spacing w:val="-2"/>
              </w:rPr>
              <w:t xml:space="preserve"> </w:t>
            </w:r>
            <w:r>
              <w:t>as</w:t>
            </w:r>
            <w:r>
              <w:rPr>
                <w:spacing w:val="-2"/>
              </w:rPr>
              <w:t xml:space="preserve"> </w:t>
            </w:r>
            <w:r>
              <w:t>at</w:t>
            </w:r>
            <w:r>
              <w:rPr>
                <w:spacing w:val="-2"/>
              </w:rPr>
              <w:t xml:space="preserve"> </w:t>
            </w:r>
            <w:r>
              <w:rPr>
                <w:w w:val="95"/>
              </w:rPr>
              <w:t xml:space="preserve">1 </w:t>
            </w:r>
            <w:r>
              <w:t>July</w:t>
            </w:r>
            <w:r>
              <w:rPr>
                <w:spacing w:val="-2"/>
              </w:rPr>
              <w:t xml:space="preserve"> </w:t>
            </w:r>
            <w:r>
              <w:t>2021</w:t>
            </w:r>
          </w:p>
        </w:tc>
        <w:tc>
          <w:tcPr>
            <w:tcW w:w="1134" w:type="dxa"/>
            <w:tcBorders>
              <w:top w:val="single" w:sz="4" w:space="0" w:color="A6A6A6" w:themeColor="background1" w:themeShade="A6"/>
            </w:tcBorders>
          </w:tcPr>
          <w:p w14:paraId="031A9971" w14:textId="77777777" w:rsidR="008F690E" w:rsidRDefault="008F690E" w:rsidP="008F690E">
            <w:pPr>
              <w:pStyle w:val="TableText"/>
              <w:jc w:val="right"/>
            </w:pPr>
            <w:r>
              <w:rPr>
                <w:w w:val="110"/>
              </w:rPr>
              <w:t>(707)</w:t>
            </w:r>
          </w:p>
        </w:tc>
        <w:tc>
          <w:tcPr>
            <w:tcW w:w="992" w:type="dxa"/>
            <w:tcBorders>
              <w:top w:val="single" w:sz="4" w:space="0" w:color="A6A6A6" w:themeColor="background1" w:themeShade="A6"/>
            </w:tcBorders>
          </w:tcPr>
          <w:p w14:paraId="2E7D2B2A" w14:textId="77777777" w:rsidR="008F690E" w:rsidRDefault="008F690E" w:rsidP="008F690E">
            <w:pPr>
              <w:pStyle w:val="TableText"/>
              <w:jc w:val="right"/>
            </w:pPr>
            <w:r>
              <w:t>(1,417)</w:t>
            </w:r>
          </w:p>
        </w:tc>
        <w:tc>
          <w:tcPr>
            <w:tcW w:w="875" w:type="dxa"/>
            <w:tcBorders>
              <w:top w:val="single" w:sz="4" w:space="0" w:color="A6A6A6" w:themeColor="background1" w:themeShade="A6"/>
            </w:tcBorders>
          </w:tcPr>
          <w:p w14:paraId="12EDBD0F" w14:textId="77777777" w:rsidR="008F690E" w:rsidRDefault="008F690E" w:rsidP="008F690E">
            <w:pPr>
              <w:pStyle w:val="TableText"/>
              <w:jc w:val="right"/>
            </w:pPr>
            <w:r>
              <w:rPr>
                <w:w w:val="110"/>
              </w:rPr>
              <w:t>(2,603)</w:t>
            </w:r>
          </w:p>
        </w:tc>
        <w:tc>
          <w:tcPr>
            <w:tcW w:w="968" w:type="dxa"/>
            <w:tcBorders>
              <w:top w:val="single" w:sz="4" w:space="0" w:color="A6A6A6" w:themeColor="background1" w:themeShade="A6"/>
            </w:tcBorders>
          </w:tcPr>
          <w:p w14:paraId="428D9F9C" w14:textId="39EFBD31" w:rsidR="008F690E" w:rsidRDefault="008F690E" w:rsidP="008F690E">
            <w:pPr>
              <w:pStyle w:val="TableText"/>
              <w:jc w:val="right"/>
            </w:pPr>
            <w:r>
              <w:t>(122)</w:t>
            </w:r>
          </w:p>
        </w:tc>
        <w:tc>
          <w:tcPr>
            <w:tcW w:w="850" w:type="dxa"/>
            <w:tcBorders>
              <w:top w:val="single" w:sz="4" w:space="0" w:color="A6A6A6" w:themeColor="background1" w:themeShade="A6"/>
            </w:tcBorders>
          </w:tcPr>
          <w:p w14:paraId="22C1D304" w14:textId="73DC489E" w:rsidR="008F690E" w:rsidRDefault="008F690E" w:rsidP="008F690E">
            <w:pPr>
              <w:pStyle w:val="TableText"/>
              <w:jc w:val="right"/>
            </w:pPr>
            <w:r>
              <w:t>(1,153)</w:t>
            </w:r>
          </w:p>
        </w:tc>
        <w:tc>
          <w:tcPr>
            <w:tcW w:w="993" w:type="dxa"/>
            <w:tcBorders>
              <w:top w:val="single" w:sz="4" w:space="0" w:color="A6A6A6" w:themeColor="background1" w:themeShade="A6"/>
            </w:tcBorders>
          </w:tcPr>
          <w:p w14:paraId="6C30343A" w14:textId="7E079AE3" w:rsidR="008F690E" w:rsidRDefault="008F690E" w:rsidP="008F690E">
            <w:pPr>
              <w:pStyle w:val="TableText"/>
              <w:jc w:val="right"/>
            </w:pPr>
            <w:r w:rsidRPr="008F690E">
              <w:t>(6,002)</w:t>
            </w:r>
          </w:p>
        </w:tc>
      </w:tr>
      <w:tr w:rsidR="008F690E" w14:paraId="6E187C2E" w14:textId="77777777" w:rsidTr="008F690E">
        <w:trPr>
          <w:trHeight w:val="349"/>
        </w:trPr>
        <w:tc>
          <w:tcPr>
            <w:tcW w:w="2552" w:type="dxa"/>
          </w:tcPr>
          <w:p w14:paraId="7ED09139" w14:textId="77777777" w:rsidR="008F690E" w:rsidRDefault="008F690E" w:rsidP="008F690E">
            <w:pPr>
              <w:pStyle w:val="TableText"/>
            </w:pPr>
            <w:r>
              <w:t>Revenue</w:t>
            </w:r>
          </w:p>
        </w:tc>
        <w:tc>
          <w:tcPr>
            <w:tcW w:w="1134" w:type="dxa"/>
          </w:tcPr>
          <w:p w14:paraId="22602C73" w14:textId="77777777" w:rsidR="008F690E" w:rsidRDefault="008F690E" w:rsidP="008F690E">
            <w:pPr>
              <w:pStyle w:val="TableText"/>
              <w:jc w:val="right"/>
            </w:pPr>
            <w:r>
              <w:rPr>
                <w:w w:val="135"/>
              </w:rPr>
              <w:t>–</w:t>
            </w:r>
          </w:p>
        </w:tc>
        <w:tc>
          <w:tcPr>
            <w:tcW w:w="992" w:type="dxa"/>
          </w:tcPr>
          <w:p w14:paraId="5E95EB40" w14:textId="77777777" w:rsidR="008F690E" w:rsidRDefault="008F690E" w:rsidP="008F690E">
            <w:pPr>
              <w:pStyle w:val="TableText"/>
              <w:jc w:val="right"/>
            </w:pPr>
            <w:r>
              <w:rPr>
                <w:w w:val="95"/>
              </w:rPr>
              <w:t>1,016</w:t>
            </w:r>
          </w:p>
        </w:tc>
        <w:tc>
          <w:tcPr>
            <w:tcW w:w="875" w:type="dxa"/>
          </w:tcPr>
          <w:p w14:paraId="386EEE49" w14:textId="77777777" w:rsidR="008F690E" w:rsidRDefault="008F690E" w:rsidP="008F690E">
            <w:pPr>
              <w:pStyle w:val="TableText"/>
              <w:jc w:val="right"/>
            </w:pPr>
            <w:r>
              <w:t>9,772</w:t>
            </w:r>
          </w:p>
        </w:tc>
        <w:tc>
          <w:tcPr>
            <w:tcW w:w="968" w:type="dxa"/>
          </w:tcPr>
          <w:p w14:paraId="4901762F" w14:textId="3D39C1EA" w:rsidR="008F690E" w:rsidRDefault="008F690E" w:rsidP="008F690E">
            <w:pPr>
              <w:pStyle w:val="TableText"/>
              <w:jc w:val="right"/>
              <w:rPr>
                <w:w w:val="105"/>
              </w:rPr>
            </w:pPr>
            <w:r>
              <w:rPr>
                <w:w w:val="105"/>
              </w:rPr>
              <w:t>477</w:t>
            </w:r>
          </w:p>
        </w:tc>
        <w:tc>
          <w:tcPr>
            <w:tcW w:w="850" w:type="dxa"/>
          </w:tcPr>
          <w:p w14:paraId="3A312CE4" w14:textId="64DAD333" w:rsidR="008F690E" w:rsidRDefault="008F690E" w:rsidP="008F690E">
            <w:pPr>
              <w:pStyle w:val="TableText"/>
              <w:jc w:val="right"/>
              <w:rPr>
                <w:w w:val="105"/>
              </w:rPr>
            </w:pPr>
            <w:r>
              <w:t>1,774</w:t>
            </w:r>
          </w:p>
        </w:tc>
        <w:tc>
          <w:tcPr>
            <w:tcW w:w="993" w:type="dxa"/>
          </w:tcPr>
          <w:p w14:paraId="7ED76C09" w14:textId="7DBCCC81" w:rsidR="008F690E" w:rsidRDefault="008F690E" w:rsidP="008F690E">
            <w:pPr>
              <w:pStyle w:val="TableText"/>
              <w:jc w:val="right"/>
            </w:pPr>
            <w:r w:rsidRPr="008F690E">
              <w:t>13,039</w:t>
            </w:r>
          </w:p>
        </w:tc>
      </w:tr>
      <w:tr w:rsidR="008F690E" w14:paraId="12B88CE7" w14:textId="77777777" w:rsidTr="008F690E">
        <w:trPr>
          <w:trHeight w:val="346"/>
        </w:trPr>
        <w:tc>
          <w:tcPr>
            <w:tcW w:w="2552" w:type="dxa"/>
          </w:tcPr>
          <w:p w14:paraId="3C60D198" w14:textId="77777777" w:rsidR="008F690E" w:rsidRDefault="008F690E" w:rsidP="008F690E">
            <w:pPr>
              <w:pStyle w:val="TableText"/>
            </w:pPr>
            <w:r>
              <w:t>Expenditure</w:t>
            </w:r>
          </w:p>
        </w:tc>
        <w:tc>
          <w:tcPr>
            <w:tcW w:w="1134" w:type="dxa"/>
          </w:tcPr>
          <w:p w14:paraId="695588D0" w14:textId="77777777" w:rsidR="008F690E" w:rsidRDefault="008F690E" w:rsidP="008F690E">
            <w:pPr>
              <w:pStyle w:val="TableText"/>
              <w:jc w:val="right"/>
            </w:pPr>
            <w:r>
              <w:rPr>
                <w:w w:val="135"/>
              </w:rPr>
              <w:t>–</w:t>
            </w:r>
          </w:p>
        </w:tc>
        <w:tc>
          <w:tcPr>
            <w:tcW w:w="992" w:type="dxa"/>
          </w:tcPr>
          <w:p w14:paraId="116E702D" w14:textId="77777777" w:rsidR="008F690E" w:rsidRDefault="008F690E" w:rsidP="008F690E">
            <w:pPr>
              <w:pStyle w:val="TableText"/>
              <w:jc w:val="right"/>
            </w:pPr>
            <w:r>
              <w:t>(1,750)</w:t>
            </w:r>
          </w:p>
        </w:tc>
        <w:tc>
          <w:tcPr>
            <w:tcW w:w="875" w:type="dxa"/>
          </w:tcPr>
          <w:p w14:paraId="54D2354E" w14:textId="77777777" w:rsidR="008F690E" w:rsidRDefault="008F690E" w:rsidP="008F690E">
            <w:pPr>
              <w:pStyle w:val="TableText"/>
              <w:jc w:val="right"/>
            </w:pPr>
            <w:r>
              <w:t>(10,198)</w:t>
            </w:r>
          </w:p>
        </w:tc>
        <w:tc>
          <w:tcPr>
            <w:tcW w:w="968" w:type="dxa"/>
          </w:tcPr>
          <w:p w14:paraId="552C40B0" w14:textId="6BD101ED" w:rsidR="008F690E" w:rsidRDefault="008F690E" w:rsidP="008F690E">
            <w:pPr>
              <w:pStyle w:val="TableText"/>
              <w:jc w:val="right"/>
            </w:pPr>
            <w:r>
              <w:t>(1,059)</w:t>
            </w:r>
          </w:p>
        </w:tc>
        <w:tc>
          <w:tcPr>
            <w:tcW w:w="850" w:type="dxa"/>
          </w:tcPr>
          <w:p w14:paraId="451BDD97" w14:textId="39E54AD5" w:rsidR="008F690E" w:rsidRDefault="008F690E" w:rsidP="008F690E">
            <w:pPr>
              <w:pStyle w:val="TableText"/>
              <w:jc w:val="right"/>
            </w:pPr>
            <w:r>
              <w:t>(1,369)</w:t>
            </w:r>
          </w:p>
        </w:tc>
        <w:tc>
          <w:tcPr>
            <w:tcW w:w="993" w:type="dxa"/>
          </w:tcPr>
          <w:p w14:paraId="44E1467F" w14:textId="0AB41602" w:rsidR="008F690E" w:rsidRDefault="008F690E" w:rsidP="008F690E">
            <w:pPr>
              <w:pStyle w:val="TableText"/>
              <w:jc w:val="right"/>
            </w:pPr>
            <w:r w:rsidRPr="008F690E">
              <w:t>(14,376</w:t>
            </w:r>
            <w:r>
              <w:t>)</w:t>
            </w:r>
          </w:p>
        </w:tc>
      </w:tr>
      <w:tr w:rsidR="008F690E" w14:paraId="3F51B113" w14:textId="77777777" w:rsidTr="008F690E">
        <w:trPr>
          <w:trHeight w:val="292"/>
        </w:trPr>
        <w:tc>
          <w:tcPr>
            <w:tcW w:w="2552" w:type="dxa"/>
            <w:tcBorders>
              <w:bottom w:val="single" w:sz="4" w:space="0" w:color="A6A6A6" w:themeColor="background1" w:themeShade="A6"/>
            </w:tcBorders>
          </w:tcPr>
          <w:p w14:paraId="4D022D05" w14:textId="77777777" w:rsidR="008F690E" w:rsidRDefault="008F690E" w:rsidP="008F690E">
            <w:pPr>
              <w:pStyle w:val="TableText"/>
              <w:rPr>
                <w:b/>
              </w:rPr>
            </w:pPr>
            <w:r>
              <w:rPr>
                <w:b/>
                <w:w w:val="105"/>
              </w:rPr>
              <w:t>Balance</w:t>
            </w:r>
            <w:r>
              <w:rPr>
                <w:b/>
                <w:spacing w:val="-5"/>
                <w:w w:val="105"/>
              </w:rPr>
              <w:t xml:space="preserve"> </w:t>
            </w:r>
            <w:r>
              <w:rPr>
                <w:b/>
                <w:w w:val="105"/>
              </w:rPr>
              <w:t>as</w:t>
            </w:r>
            <w:r>
              <w:rPr>
                <w:b/>
                <w:spacing w:val="-4"/>
                <w:w w:val="105"/>
              </w:rPr>
              <w:t xml:space="preserve"> </w:t>
            </w:r>
            <w:r>
              <w:rPr>
                <w:b/>
                <w:w w:val="105"/>
              </w:rPr>
              <w:t>at</w:t>
            </w:r>
            <w:r>
              <w:rPr>
                <w:b/>
                <w:spacing w:val="-5"/>
                <w:w w:val="105"/>
              </w:rPr>
              <w:t xml:space="preserve"> </w:t>
            </w:r>
            <w:r>
              <w:rPr>
                <w:b/>
                <w:w w:val="105"/>
              </w:rPr>
              <w:t>30</w:t>
            </w:r>
            <w:r>
              <w:rPr>
                <w:b/>
                <w:spacing w:val="-4"/>
                <w:w w:val="105"/>
              </w:rPr>
              <w:t xml:space="preserve"> </w:t>
            </w:r>
            <w:r>
              <w:rPr>
                <w:b/>
                <w:w w:val="105"/>
              </w:rPr>
              <w:t>June</w:t>
            </w:r>
            <w:r>
              <w:rPr>
                <w:b/>
                <w:spacing w:val="-4"/>
                <w:w w:val="105"/>
              </w:rPr>
              <w:t xml:space="preserve"> </w:t>
            </w:r>
            <w:r>
              <w:rPr>
                <w:b/>
                <w:w w:val="105"/>
              </w:rPr>
              <w:t>2022</w:t>
            </w:r>
          </w:p>
        </w:tc>
        <w:tc>
          <w:tcPr>
            <w:tcW w:w="1134" w:type="dxa"/>
            <w:tcBorders>
              <w:bottom w:val="single" w:sz="4" w:space="0" w:color="A6A6A6" w:themeColor="background1" w:themeShade="A6"/>
            </w:tcBorders>
          </w:tcPr>
          <w:p w14:paraId="6785EE02" w14:textId="77777777" w:rsidR="008F690E" w:rsidRDefault="008F690E" w:rsidP="008F690E">
            <w:pPr>
              <w:pStyle w:val="TableText"/>
              <w:jc w:val="right"/>
              <w:rPr>
                <w:b/>
              </w:rPr>
            </w:pPr>
            <w:r>
              <w:rPr>
                <w:b/>
                <w:w w:val="110"/>
              </w:rPr>
              <w:t>(707)</w:t>
            </w:r>
          </w:p>
        </w:tc>
        <w:tc>
          <w:tcPr>
            <w:tcW w:w="992" w:type="dxa"/>
            <w:tcBorders>
              <w:bottom w:val="single" w:sz="4" w:space="0" w:color="A6A6A6" w:themeColor="background1" w:themeShade="A6"/>
            </w:tcBorders>
          </w:tcPr>
          <w:p w14:paraId="1808B0B9" w14:textId="77777777" w:rsidR="008F690E" w:rsidRDefault="008F690E" w:rsidP="008F690E">
            <w:pPr>
              <w:pStyle w:val="TableText"/>
              <w:jc w:val="right"/>
              <w:rPr>
                <w:b/>
              </w:rPr>
            </w:pPr>
            <w:r>
              <w:rPr>
                <w:b/>
              </w:rPr>
              <w:t>(2,151)</w:t>
            </w:r>
          </w:p>
        </w:tc>
        <w:tc>
          <w:tcPr>
            <w:tcW w:w="875" w:type="dxa"/>
            <w:tcBorders>
              <w:bottom w:val="single" w:sz="4" w:space="0" w:color="A6A6A6" w:themeColor="background1" w:themeShade="A6"/>
            </w:tcBorders>
          </w:tcPr>
          <w:p w14:paraId="20707590" w14:textId="77777777" w:rsidR="008F690E" w:rsidRDefault="008F690E" w:rsidP="008F690E">
            <w:pPr>
              <w:pStyle w:val="TableText"/>
              <w:jc w:val="right"/>
              <w:rPr>
                <w:b/>
              </w:rPr>
            </w:pPr>
            <w:r>
              <w:rPr>
                <w:b/>
                <w:w w:val="110"/>
              </w:rPr>
              <w:t>(3,029)</w:t>
            </w:r>
          </w:p>
        </w:tc>
        <w:tc>
          <w:tcPr>
            <w:tcW w:w="968" w:type="dxa"/>
            <w:tcBorders>
              <w:bottom w:val="single" w:sz="4" w:space="0" w:color="A6A6A6" w:themeColor="background1" w:themeShade="A6"/>
            </w:tcBorders>
          </w:tcPr>
          <w:p w14:paraId="17B323E3" w14:textId="4C43CBB8" w:rsidR="008F690E" w:rsidRDefault="008F690E" w:rsidP="008F690E">
            <w:pPr>
              <w:pStyle w:val="TableText"/>
              <w:jc w:val="right"/>
              <w:rPr>
                <w:b/>
                <w:w w:val="115"/>
              </w:rPr>
            </w:pPr>
            <w:r>
              <w:rPr>
                <w:b/>
                <w:w w:val="115"/>
              </w:rPr>
              <w:t>(704)</w:t>
            </w:r>
          </w:p>
        </w:tc>
        <w:tc>
          <w:tcPr>
            <w:tcW w:w="850" w:type="dxa"/>
            <w:tcBorders>
              <w:bottom w:val="single" w:sz="4" w:space="0" w:color="A6A6A6" w:themeColor="background1" w:themeShade="A6"/>
            </w:tcBorders>
          </w:tcPr>
          <w:p w14:paraId="7116CD84" w14:textId="2C749829" w:rsidR="008F690E" w:rsidRDefault="008F690E" w:rsidP="008F690E">
            <w:pPr>
              <w:pStyle w:val="TableText"/>
              <w:jc w:val="right"/>
              <w:rPr>
                <w:b/>
                <w:w w:val="115"/>
              </w:rPr>
            </w:pPr>
            <w:r>
              <w:rPr>
                <w:b/>
                <w:w w:val="115"/>
              </w:rPr>
              <w:t>(748)</w:t>
            </w:r>
          </w:p>
        </w:tc>
        <w:tc>
          <w:tcPr>
            <w:tcW w:w="993" w:type="dxa"/>
            <w:tcBorders>
              <w:bottom w:val="single" w:sz="4" w:space="0" w:color="A6A6A6" w:themeColor="background1" w:themeShade="A6"/>
            </w:tcBorders>
          </w:tcPr>
          <w:p w14:paraId="511F96F7" w14:textId="67A1A68E" w:rsidR="008F690E" w:rsidRDefault="008F690E" w:rsidP="008F690E">
            <w:pPr>
              <w:pStyle w:val="TableText"/>
              <w:jc w:val="right"/>
              <w:rPr>
                <w:b/>
              </w:rPr>
            </w:pPr>
            <w:r w:rsidRPr="008F690E">
              <w:rPr>
                <w:b/>
              </w:rPr>
              <w:t>(7,339)</w:t>
            </w:r>
          </w:p>
        </w:tc>
      </w:tr>
    </w:tbl>
    <w:p w14:paraId="26725EF5" w14:textId="5EDA63B5" w:rsidR="008F690E" w:rsidRPr="008F690E" w:rsidRDefault="004C507E" w:rsidP="008F690E">
      <w:pPr>
        <w:pStyle w:val="Note"/>
        <w:rPr>
          <w:rFonts w:eastAsia="Arial Unicode MS"/>
        </w:rPr>
      </w:pPr>
      <w:r>
        <w:rPr>
          <w:rFonts w:eastAsia="Arial Unicode MS"/>
        </w:rPr>
        <w:t xml:space="preserve">* </w:t>
      </w:r>
      <w:r w:rsidR="008F690E" w:rsidRPr="008F690E">
        <w:rPr>
          <w:rFonts w:eastAsia="Arial Unicode MS"/>
        </w:rPr>
        <w:t>The Problem Gambling memorandum account was disestablished in 19/20. The Ministry is in the process to seek approval from the Crown to close the deficit balance of the account. Revenue collected and expenditure incurred in relation to problem gambling services are disclosed in the</w:t>
      </w:r>
      <w:r w:rsidR="008F690E">
        <w:rPr>
          <w:rFonts w:eastAsia="Arial Unicode MS"/>
        </w:rPr>
        <w:t xml:space="preserve"> </w:t>
      </w:r>
      <w:r w:rsidR="008F690E" w:rsidRPr="008F690E">
        <w:rPr>
          <w:rFonts w:eastAsia="Arial Unicode MS"/>
        </w:rPr>
        <w:t>‘Problem Gambling Revenue Report’ on page 146.</w:t>
      </w:r>
    </w:p>
    <w:p w14:paraId="154DD5D9" w14:textId="77777777" w:rsidR="008F690E" w:rsidRPr="008F690E" w:rsidRDefault="008F690E" w:rsidP="008F690E">
      <w:pPr>
        <w:pStyle w:val="Heading4"/>
      </w:pPr>
      <w:r w:rsidRPr="008F690E">
        <w:t>13</w:t>
      </w:r>
      <w:r w:rsidRPr="008F690E">
        <w:tab/>
        <w:t>Related party transactions</w:t>
      </w:r>
    </w:p>
    <w:p w14:paraId="66119808" w14:textId="5DCB2E13" w:rsidR="008F690E" w:rsidRDefault="008F690E" w:rsidP="008F690E">
      <w:pPr>
        <w:rPr>
          <w:rFonts w:eastAsia="Arial Unicode MS"/>
        </w:rPr>
      </w:pPr>
      <w:r w:rsidRPr="008F690E">
        <w:rPr>
          <w:rFonts w:eastAsia="Arial Unicode MS"/>
        </w:rPr>
        <w:t>The Ministry is a wholly owned entity of the Crown.</w:t>
      </w:r>
    </w:p>
    <w:p w14:paraId="56B379F9" w14:textId="77777777" w:rsidR="008F690E" w:rsidRPr="008F690E" w:rsidRDefault="008F690E" w:rsidP="008F690E">
      <w:pPr>
        <w:rPr>
          <w:rFonts w:eastAsia="Arial Unicode MS"/>
        </w:rPr>
      </w:pPr>
    </w:p>
    <w:p w14:paraId="4C025F92" w14:textId="3E5B34F3" w:rsidR="008F690E" w:rsidRDefault="008F690E" w:rsidP="008F690E">
      <w:pPr>
        <w:rPr>
          <w:rFonts w:eastAsia="Arial Unicode MS"/>
        </w:rPr>
      </w:pPr>
      <w:r w:rsidRPr="008F690E">
        <w:rPr>
          <w:rFonts w:eastAsia="Arial Unicode MS"/>
        </w:rPr>
        <w:t>Related party disclosures have not been made for transactions with related parties that are within a normal supplier or client/recipient relationship on terms and conditions no more or less favourable than those that it is reasonable to expect the Ministry would have adopted in dealing with the party at arm’s length in the same circumstances.</w:t>
      </w:r>
    </w:p>
    <w:p w14:paraId="4C0B32E8" w14:textId="77777777" w:rsidR="008F690E" w:rsidRPr="008F690E" w:rsidRDefault="008F690E" w:rsidP="008F690E">
      <w:pPr>
        <w:rPr>
          <w:rFonts w:eastAsia="Arial Unicode MS"/>
        </w:rPr>
      </w:pPr>
    </w:p>
    <w:p w14:paraId="121936C3" w14:textId="77777777" w:rsidR="008F690E" w:rsidRPr="008F690E" w:rsidRDefault="008F690E" w:rsidP="008F690E">
      <w:pPr>
        <w:rPr>
          <w:rFonts w:eastAsia="Arial Unicode MS"/>
        </w:rPr>
      </w:pPr>
      <w:r w:rsidRPr="008F690E">
        <w:rPr>
          <w:rFonts w:eastAsia="Arial Unicode MS"/>
        </w:rPr>
        <w:t>Further, transactions with other government agencies are not disclosed as related party transactions when they are consistent with the normal operating arrangements between government agencies and undertaken on the normal terms and conditions for such transactions.</w:t>
      </w:r>
    </w:p>
    <w:p w14:paraId="5C188A86" w14:textId="64ACC5F2" w:rsidR="008F690E" w:rsidRDefault="008F690E" w:rsidP="008F690E">
      <w:pPr>
        <w:pStyle w:val="Heading5"/>
      </w:pPr>
      <w:r w:rsidRPr="008F690E">
        <w:t>Key management personnel compensation</w:t>
      </w:r>
    </w:p>
    <w:tbl>
      <w:tblPr>
        <w:tblW w:w="0" w:type="auto"/>
        <w:tblLayout w:type="fixed"/>
        <w:tblCellMar>
          <w:left w:w="0" w:type="dxa"/>
          <w:right w:w="0" w:type="dxa"/>
        </w:tblCellMar>
        <w:tblLook w:val="01E0" w:firstRow="1" w:lastRow="1" w:firstColumn="1" w:lastColumn="1" w:noHBand="0" w:noVBand="0"/>
      </w:tblPr>
      <w:tblGrid>
        <w:gridCol w:w="940"/>
        <w:gridCol w:w="4388"/>
        <w:gridCol w:w="2751"/>
      </w:tblGrid>
      <w:tr w:rsidR="008F690E" w:rsidRPr="008F690E" w14:paraId="2CDE4BB2" w14:textId="77777777" w:rsidTr="008F690E">
        <w:trPr>
          <w:trHeight w:val="828"/>
        </w:trPr>
        <w:tc>
          <w:tcPr>
            <w:tcW w:w="940" w:type="dxa"/>
            <w:shd w:val="clear" w:color="auto" w:fill="D9D9D9" w:themeFill="background1" w:themeFillShade="D9"/>
          </w:tcPr>
          <w:p w14:paraId="2C9B20F0" w14:textId="77777777" w:rsidR="008F690E" w:rsidRPr="008F690E" w:rsidRDefault="008F690E" w:rsidP="008F690E">
            <w:pPr>
              <w:pStyle w:val="TableText"/>
              <w:jc w:val="right"/>
              <w:rPr>
                <w:b/>
                <w:bCs/>
              </w:rPr>
            </w:pPr>
            <w:r w:rsidRPr="008F690E">
              <w:rPr>
                <w:b/>
                <w:bCs/>
              </w:rPr>
              <w:t>Actual</w:t>
            </w:r>
          </w:p>
          <w:p w14:paraId="564B6290" w14:textId="77777777" w:rsidR="008F690E" w:rsidRPr="008F690E" w:rsidRDefault="008F690E" w:rsidP="008F690E">
            <w:pPr>
              <w:pStyle w:val="TableText"/>
              <w:jc w:val="right"/>
              <w:rPr>
                <w:b/>
                <w:bCs/>
              </w:rPr>
            </w:pPr>
            <w:r w:rsidRPr="008F690E">
              <w:rPr>
                <w:b/>
                <w:bCs/>
              </w:rPr>
              <w:t>2021</w:t>
            </w:r>
          </w:p>
          <w:p w14:paraId="2511242D" w14:textId="77777777" w:rsidR="008F690E" w:rsidRPr="008F690E" w:rsidRDefault="008F690E" w:rsidP="008F690E">
            <w:pPr>
              <w:pStyle w:val="TableText"/>
              <w:jc w:val="right"/>
              <w:rPr>
                <w:b/>
                <w:bCs/>
              </w:rPr>
            </w:pPr>
            <w:r w:rsidRPr="008F690E">
              <w:rPr>
                <w:b/>
                <w:bCs/>
              </w:rPr>
              <w:t>$000</w:t>
            </w:r>
          </w:p>
        </w:tc>
        <w:tc>
          <w:tcPr>
            <w:tcW w:w="4388" w:type="dxa"/>
            <w:shd w:val="clear" w:color="auto" w:fill="D9D9D9" w:themeFill="background1" w:themeFillShade="D9"/>
          </w:tcPr>
          <w:p w14:paraId="1DA5A179" w14:textId="77777777" w:rsidR="008F690E" w:rsidRPr="008F690E" w:rsidRDefault="008F690E" w:rsidP="008F690E">
            <w:pPr>
              <w:pStyle w:val="TableText"/>
              <w:rPr>
                <w:b/>
                <w:bCs/>
              </w:rPr>
            </w:pPr>
          </w:p>
        </w:tc>
        <w:tc>
          <w:tcPr>
            <w:tcW w:w="2751" w:type="dxa"/>
            <w:shd w:val="clear" w:color="auto" w:fill="D9D9D9" w:themeFill="background1" w:themeFillShade="D9"/>
          </w:tcPr>
          <w:p w14:paraId="7630719A" w14:textId="480ABF3B" w:rsidR="008F690E" w:rsidRPr="008F690E" w:rsidRDefault="008F690E" w:rsidP="008F690E">
            <w:pPr>
              <w:pStyle w:val="TableText"/>
              <w:jc w:val="right"/>
              <w:rPr>
                <w:b/>
                <w:bCs/>
              </w:rPr>
            </w:pPr>
            <w:r w:rsidRPr="008F690E">
              <w:rPr>
                <w:b/>
                <w:bCs/>
              </w:rPr>
              <w:t xml:space="preserve">Actual </w:t>
            </w:r>
            <w:r>
              <w:rPr>
                <w:b/>
                <w:bCs/>
              </w:rPr>
              <w:br/>
            </w:r>
            <w:r w:rsidRPr="008F690E">
              <w:rPr>
                <w:b/>
                <w:bCs/>
              </w:rPr>
              <w:t>2022</w:t>
            </w:r>
          </w:p>
          <w:p w14:paraId="3B830832" w14:textId="77777777" w:rsidR="008F690E" w:rsidRPr="008F690E" w:rsidRDefault="008F690E" w:rsidP="008F690E">
            <w:pPr>
              <w:pStyle w:val="TableText"/>
              <w:jc w:val="right"/>
              <w:rPr>
                <w:b/>
                <w:bCs/>
              </w:rPr>
            </w:pPr>
            <w:r w:rsidRPr="008F690E">
              <w:rPr>
                <w:b/>
                <w:bCs/>
              </w:rPr>
              <w:t>$000</w:t>
            </w:r>
          </w:p>
        </w:tc>
      </w:tr>
      <w:tr w:rsidR="008F690E" w:rsidRPr="008F690E" w14:paraId="3F8DE4B9" w14:textId="77777777" w:rsidTr="008F690E">
        <w:trPr>
          <w:trHeight w:val="289"/>
        </w:trPr>
        <w:tc>
          <w:tcPr>
            <w:tcW w:w="940" w:type="dxa"/>
          </w:tcPr>
          <w:p w14:paraId="096ACADB" w14:textId="77777777" w:rsidR="008F690E" w:rsidRPr="008F690E" w:rsidRDefault="008F690E" w:rsidP="008F690E">
            <w:pPr>
              <w:pStyle w:val="TableText"/>
              <w:jc w:val="right"/>
            </w:pPr>
          </w:p>
        </w:tc>
        <w:tc>
          <w:tcPr>
            <w:tcW w:w="4388" w:type="dxa"/>
          </w:tcPr>
          <w:p w14:paraId="60F4EBFA" w14:textId="3B06CFA4" w:rsidR="008F690E" w:rsidRPr="008F690E" w:rsidRDefault="008F690E" w:rsidP="008F690E">
            <w:pPr>
              <w:pStyle w:val="TableText"/>
              <w:rPr>
                <w:b/>
                <w:bCs/>
              </w:rPr>
            </w:pPr>
            <w:r w:rsidRPr="008F690E">
              <w:rPr>
                <w:b/>
                <w:bCs/>
              </w:rPr>
              <w:t>Leadership team</w:t>
            </w:r>
          </w:p>
        </w:tc>
        <w:tc>
          <w:tcPr>
            <w:tcW w:w="2751" w:type="dxa"/>
          </w:tcPr>
          <w:p w14:paraId="2F0DCD68" w14:textId="77777777" w:rsidR="008F690E" w:rsidRPr="008F690E" w:rsidRDefault="008F690E" w:rsidP="008F690E">
            <w:pPr>
              <w:pStyle w:val="TableText"/>
              <w:jc w:val="right"/>
            </w:pPr>
          </w:p>
        </w:tc>
      </w:tr>
      <w:tr w:rsidR="008F690E" w:rsidRPr="008F690E" w14:paraId="10D5319D" w14:textId="77777777" w:rsidTr="008F690E">
        <w:trPr>
          <w:trHeight w:val="289"/>
        </w:trPr>
        <w:tc>
          <w:tcPr>
            <w:tcW w:w="940" w:type="dxa"/>
          </w:tcPr>
          <w:p w14:paraId="7647D43F" w14:textId="5848A971" w:rsidR="008F690E" w:rsidRPr="008F690E" w:rsidRDefault="008F690E" w:rsidP="008F690E">
            <w:pPr>
              <w:pStyle w:val="TableText"/>
              <w:jc w:val="right"/>
            </w:pPr>
            <w:r w:rsidRPr="008F690E">
              <w:t>6,795</w:t>
            </w:r>
          </w:p>
        </w:tc>
        <w:tc>
          <w:tcPr>
            <w:tcW w:w="4388" w:type="dxa"/>
          </w:tcPr>
          <w:p w14:paraId="3CA66834" w14:textId="100122C3" w:rsidR="008F690E" w:rsidRPr="008F690E" w:rsidRDefault="008F690E" w:rsidP="008F690E">
            <w:pPr>
              <w:pStyle w:val="TableText"/>
            </w:pPr>
            <w:r w:rsidRPr="008F690E">
              <w:t>Remuneration</w:t>
            </w:r>
          </w:p>
        </w:tc>
        <w:tc>
          <w:tcPr>
            <w:tcW w:w="2751" w:type="dxa"/>
          </w:tcPr>
          <w:p w14:paraId="56F85B58" w14:textId="3218004B" w:rsidR="008F690E" w:rsidRPr="008F690E" w:rsidRDefault="008F690E" w:rsidP="008F690E">
            <w:pPr>
              <w:pStyle w:val="TableText"/>
              <w:jc w:val="right"/>
            </w:pPr>
            <w:r w:rsidRPr="008F690E">
              <w:t>7,579</w:t>
            </w:r>
          </w:p>
        </w:tc>
      </w:tr>
      <w:tr w:rsidR="008F690E" w:rsidRPr="008F690E" w14:paraId="1AB17B5C" w14:textId="77777777" w:rsidTr="008F690E">
        <w:trPr>
          <w:trHeight w:val="289"/>
        </w:trPr>
        <w:tc>
          <w:tcPr>
            <w:tcW w:w="940" w:type="dxa"/>
            <w:tcBorders>
              <w:bottom w:val="single" w:sz="4" w:space="0" w:color="A6A6A6" w:themeColor="background1" w:themeShade="A6"/>
            </w:tcBorders>
          </w:tcPr>
          <w:p w14:paraId="63C9C562" w14:textId="77777777" w:rsidR="008F690E" w:rsidRPr="008F690E" w:rsidRDefault="008F690E" w:rsidP="008F690E">
            <w:pPr>
              <w:pStyle w:val="TableText"/>
              <w:jc w:val="right"/>
            </w:pPr>
            <w:r w:rsidRPr="008F690E">
              <w:t>19</w:t>
            </w:r>
          </w:p>
        </w:tc>
        <w:tc>
          <w:tcPr>
            <w:tcW w:w="4388" w:type="dxa"/>
            <w:tcBorders>
              <w:bottom w:val="single" w:sz="4" w:space="0" w:color="A6A6A6" w:themeColor="background1" w:themeShade="A6"/>
            </w:tcBorders>
          </w:tcPr>
          <w:p w14:paraId="4EA63138" w14:textId="77777777" w:rsidR="008F690E" w:rsidRPr="008F690E" w:rsidRDefault="008F690E" w:rsidP="008F690E">
            <w:pPr>
              <w:pStyle w:val="TableText"/>
            </w:pPr>
            <w:r w:rsidRPr="008F690E">
              <w:t>Full-time equivalent staff</w:t>
            </w:r>
          </w:p>
        </w:tc>
        <w:tc>
          <w:tcPr>
            <w:tcW w:w="2751" w:type="dxa"/>
            <w:tcBorders>
              <w:bottom w:val="single" w:sz="4" w:space="0" w:color="A6A6A6" w:themeColor="background1" w:themeShade="A6"/>
            </w:tcBorders>
          </w:tcPr>
          <w:p w14:paraId="58BB0B68" w14:textId="77777777" w:rsidR="008F690E" w:rsidRPr="008F690E" w:rsidRDefault="008F690E" w:rsidP="008F690E">
            <w:pPr>
              <w:pStyle w:val="TableText"/>
              <w:jc w:val="right"/>
            </w:pPr>
            <w:r w:rsidRPr="008F690E">
              <w:t>20</w:t>
            </w:r>
          </w:p>
        </w:tc>
      </w:tr>
    </w:tbl>
    <w:p w14:paraId="5332C2AF" w14:textId="77777777" w:rsidR="008F690E" w:rsidRPr="008F690E" w:rsidRDefault="008F690E" w:rsidP="008F690E">
      <w:pPr>
        <w:rPr>
          <w:rFonts w:eastAsia="Arial Unicode MS"/>
        </w:rPr>
      </w:pPr>
    </w:p>
    <w:p w14:paraId="2B339B68" w14:textId="77777777" w:rsidR="00571CF7" w:rsidRPr="00571CF7" w:rsidRDefault="00571CF7" w:rsidP="00571CF7">
      <w:pPr>
        <w:rPr>
          <w:rFonts w:eastAsia="Arial Unicode MS"/>
        </w:rPr>
      </w:pPr>
      <w:r w:rsidRPr="00571CF7">
        <w:rPr>
          <w:rFonts w:eastAsia="Arial Unicode MS"/>
        </w:rPr>
        <w:t>The leadership team also includes the Director General.</w:t>
      </w:r>
    </w:p>
    <w:p w14:paraId="75DDBACC" w14:textId="77777777" w:rsidR="00571CF7" w:rsidRPr="00571CF7" w:rsidRDefault="00571CF7" w:rsidP="00571CF7">
      <w:pPr>
        <w:rPr>
          <w:rFonts w:eastAsia="Arial Unicode MS"/>
        </w:rPr>
      </w:pPr>
      <w:r w:rsidRPr="00571CF7">
        <w:rPr>
          <w:rFonts w:eastAsia="Arial Unicode MS"/>
        </w:rPr>
        <w:t xml:space="preserve"> </w:t>
      </w:r>
    </w:p>
    <w:p w14:paraId="56541207" w14:textId="145351AF" w:rsidR="00571CF7" w:rsidRDefault="00571CF7" w:rsidP="00571CF7">
      <w:pPr>
        <w:rPr>
          <w:rFonts w:eastAsia="Arial Unicode MS"/>
        </w:rPr>
      </w:pPr>
      <w:r w:rsidRPr="00571CF7">
        <w:rPr>
          <w:rFonts w:eastAsia="Arial Unicode MS"/>
        </w:rPr>
        <w:t>The above key management personnel disclosure excludes the Minister of Health and Minister for COVID-19 Response. The Minister’s remuneration and other benefits are not received only for his role as a member of key personnel of the Ministry. The Minister’s remuneration and other benefits are set by the Remuneration Authority under the Members of Parliament (Remuneration and Services) Act 2013 and are paid under Permanent Legislative Authority, not by the Ministry.</w:t>
      </w:r>
    </w:p>
    <w:p w14:paraId="7244825D" w14:textId="77777777" w:rsidR="00571CF7" w:rsidRPr="00571CF7" w:rsidRDefault="00571CF7" w:rsidP="00571CF7">
      <w:pPr>
        <w:rPr>
          <w:rFonts w:eastAsia="Arial Unicode MS"/>
        </w:rPr>
      </w:pPr>
      <w:r w:rsidRPr="00571CF7">
        <w:rPr>
          <w:rFonts w:eastAsia="Arial Unicode MS"/>
        </w:rPr>
        <w:lastRenderedPageBreak/>
        <w:t>The remuneration of the leadership team includes contributions to defined contribution plans and non-monetary benefit provided (car parks). The non-monetary benefit has been measured using the recovery rate that is applicable for other employees who avail car parks in the Wellington office.</w:t>
      </w:r>
    </w:p>
    <w:p w14:paraId="39AA69BB" w14:textId="77777777" w:rsidR="00571CF7" w:rsidRPr="00571CF7" w:rsidRDefault="00571CF7" w:rsidP="00571CF7">
      <w:pPr>
        <w:pStyle w:val="Heading4"/>
      </w:pPr>
      <w:r w:rsidRPr="00571CF7">
        <w:t>14</w:t>
      </w:r>
      <w:r w:rsidRPr="00571CF7">
        <w:tab/>
        <w:t>Financial instruments</w:t>
      </w:r>
    </w:p>
    <w:p w14:paraId="59A6EDEB" w14:textId="77777777" w:rsidR="00571CF7" w:rsidRPr="00571CF7" w:rsidRDefault="00571CF7" w:rsidP="00571CF7">
      <w:pPr>
        <w:pStyle w:val="Heading5"/>
      </w:pPr>
      <w:r w:rsidRPr="00571CF7">
        <w:t>Categories of financial instruments</w:t>
      </w:r>
    </w:p>
    <w:p w14:paraId="6DB7ACAE" w14:textId="2ABA46CE" w:rsidR="009651E8" w:rsidRDefault="00571CF7" w:rsidP="00571CF7">
      <w:pPr>
        <w:rPr>
          <w:rFonts w:eastAsia="Arial Unicode MS"/>
        </w:rPr>
      </w:pPr>
      <w:r w:rsidRPr="00571CF7">
        <w:rPr>
          <w:rFonts w:eastAsia="Arial Unicode MS"/>
        </w:rPr>
        <w:t>The carrying amounts of financial assets and financial liabilities in each of the financial instrument categories are as follows:</w:t>
      </w:r>
    </w:p>
    <w:p w14:paraId="473B11D8" w14:textId="40287079" w:rsidR="00571CF7" w:rsidRDefault="00571CF7" w:rsidP="00571CF7">
      <w:pPr>
        <w:rPr>
          <w:rFonts w:eastAsia="Arial Unicode MS"/>
        </w:rPr>
      </w:pPr>
    </w:p>
    <w:tbl>
      <w:tblPr>
        <w:tblW w:w="8222" w:type="dxa"/>
        <w:tblLayout w:type="fixed"/>
        <w:tblCellMar>
          <w:left w:w="0" w:type="dxa"/>
          <w:right w:w="0" w:type="dxa"/>
        </w:tblCellMar>
        <w:tblLook w:val="01E0" w:firstRow="1" w:lastRow="1" w:firstColumn="1" w:lastColumn="1" w:noHBand="0" w:noVBand="0"/>
      </w:tblPr>
      <w:tblGrid>
        <w:gridCol w:w="940"/>
        <w:gridCol w:w="6140"/>
        <w:gridCol w:w="1142"/>
      </w:tblGrid>
      <w:tr w:rsidR="00571CF7" w:rsidRPr="00571CF7" w14:paraId="5CD3825B" w14:textId="77777777" w:rsidTr="00571CF7">
        <w:trPr>
          <w:trHeight w:val="829"/>
        </w:trPr>
        <w:tc>
          <w:tcPr>
            <w:tcW w:w="940" w:type="dxa"/>
            <w:shd w:val="clear" w:color="auto" w:fill="D9D9D9" w:themeFill="background1" w:themeFillShade="D9"/>
          </w:tcPr>
          <w:p w14:paraId="4B253B21" w14:textId="74147519" w:rsidR="00571CF7" w:rsidRPr="00571CF7" w:rsidRDefault="00571CF7" w:rsidP="00571CF7">
            <w:pPr>
              <w:pStyle w:val="TableText"/>
              <w:jc w:val="right"/>
              <w:rPr>
                <w:b/>
                <w:bCs/>
              </w:rPr>
            </w:pPr>
            <w:r w:rsidRPr="00571CF7">
              <w:rPr>
                <w:b/>
                <w:bCs/>
              </w:rPr>
              <w:t>Actual</w:t>
            </w:r>
            <w:r>
              <w:rPr>
                <w:b/>
                <w:bCs/>
              </w:rPr>
              <w:br/>
            </w:r>
            <w:r w:rsidRPr="00571CF7">
              <w:rPr>
                <w:b/>
                <w:bCs/>
              </w:rPr>
              <w:t>2021</w:t>
            </w:r>
          </w:p>
          <w:p w14:paraId="6E5A4FA8" w14:textId="77777777" w:rsidR="00571CF7" w:rsidRPr="00571CF7" w:rsidRDefault="00571CF7" w:rsidP="00571CF7">
            <w:pPr>
              <w:pStyle w:val="TableText"/>
              <w:jc w:val="right"/>
              <w:rPr>
                <w:b/>
                <w:bCs/>
              </w:rPr>
            </w:pPr>
            <w:r w:rsidRPr="00571CF7">
              <w:rPr>
                <w:b/>
                <w:bCs/>
              </w:rPr>
              <w:t>$000</w:t>
            </w:r>
          </w:p>
        </w:tc>
        <w:tc>
          <w:tcPr>
            <w:tcW w:w="6140" w:type="dxa"/>
            <w:shd w:val="clear" w:color="auto" w:fill="D9D9D9" w:themeFill="background1" w:themeFillShade="D9"/>
          </w:tcPr>
          <w:p w14:paraId="19AEC4BD" w14:textId="77777777" w:rsidR="00571CF7" w:rsidRPr="00571CF7" w:rsidRDefault="00571CF7" w:rsidP="00571CF7">
            <w:pPr>
              <w:pStyle w:val="TableText"/>
              <w:ind w:left="0"/>
              <w:rPr>
                <w:b/>
                <w:bCs/>
              </w:rPr>
            </w:pPr>
          </w:p>
        </w:tc>
        <w:tc>
          <w:tcPr>
            <w:tcW w:w="1142" w:type="dxa"/>
            <w:shd w:val="clear" w:color="auto" w:fill="D9D9D9" w:themeFill="background1" w:themeFillShade="D9"/>
          </w:tcPr>
          <w:p w14:paraId="60BE3EEE" w14:textId="0D11B459" w:rsidR="00571CF7" w:rsidRPr="00571CF7" w:rsidRDefault="00571CF7" w:rsidP="00571CF7">
            <w:pPr>
              <w:pStyle w:val="TableText"/>
              <w:jc w:val="right"/>
              <w:rPr>
                <w:b/>
                <w:bCs/>
              </w:rPr>
            </w:pPr>
            <w:r w:rsidRPr="00571CF7">
              <w:rPr>
                <w:b/>
                <w:bCs/>
              </w:rPr>
              <w:t>Actual</w:t>
            </w:r>
            <w:r>
              <w:rPr>
                <w:b/>
                <w:bCs/>
              </w:rPr>
              <w:br/>
            </w:r>
            <w:r w:rsidRPr="00571CF7">
              <w:rPr>
                <w:b/>
                <w:bCs/>
              </w:rPr>
              <w:t>2022</w:t>
            </w:r>
          </w:p>
          <w:p w14:paraId="7D811A1B" w14:textId="77777777" w:rsidR="00571CF7" w:rsidRPr="00571CF7" w:rsidRDefault="00571CF7" w:rsidP="00571CF7">
            <w:pPr>
              <w:pStyle w:val="TableText"/>
              <w:jc w:val="right"/>
              <w:rPr>
                <w:b/>
                <w:bCs/>
              </w:rPr>
            </w:pPr>
            <w:r w:rsidRPr="00571CF7">
              <w:rPr>
                <w:b/>
                <w:bCs/>
              </w:rPr>
              <w:t>$000</w:t>
            </w:r>
          </w:p>
        </w:tc>
      </w:tr>
      <w:tr w:rsidR="00571CF7" w:rsidRPr="00571CF7" w14:paraId="0E4E7FD4" w14:textId="77777777" w:rsidTr="00571CF7">
        <w:trPr>
          <w:trHeight w:val="340"/>
        </w:trPr>
        <w:tc>
          <w:tcPr>
            <w:tcW w:w="940" w:type="dxa"/>
          </w:tcPr>
          <w:p w14:paraId="393CC356" w14:textId="77777777" w:rsidR="00571CF7" w:rsidRPr="00571CF7" w:rsidRDefault="00571CF7" w:rsidP="00571CF7">
            <w:pPr>
              <w:pStyle w:val="TableText"/>
              <w:jc w:val="right"/>
              <w:rPr>
                <w:b/>
                <w:bCs/>
              </w:rPr>
            </w:pPr>
          </w:p>
        </w:tc>
        <w:tc>
          <w:tcPr>
            <w:tcW w:w="6140" w:type="dxa"/>
          </w:tcPr>
          <w:p w14:paraId="6B1E91C2" w14:textId="77777777" w:rsidR="00571CF7" w:rsidRPr="00571CF7" w:rsidRDefault="00571CF7" w:rsidP="00571CF7">
            <w:pPr>
              <w:pStyle w:val="TableText"/>
              <w:ind w:left="170"/>
              <w:rPr>
                <w:b/>
                <w:bCs/>
              </w:rPr>
            </w:pPr>
            <w:r w:rsidRPr="00571CF7">
              <w:rPr>
                <w:b/>
                <w:bCs/>
              </w:rPr>
              <w:t>Financial assets measured at amortised cost</w:t>
            </w:r>
          </w:p>
        </w:tc>
        <w:tc>
          <w:tcPr>
            <w:tcW w:w="1142" w:type="dxa"/>
          </w:tcPr>
          <w:p w14:paraId="0ECA9F50" w14:textId="77777777" w:rsidR="00571CF7" w:rsidRPr="00571CF7" w:rsidRDefault="00571CF7" w:rsidP="00571CF7">
            <w:pPr>
              <w:pStyle w:val="TableText"/>
              <w:jc w:val="right"/>
              <w:rPr>
                <w:b/>
                <w:bCs/>
              </w:rPr>
            </w:pPr>
          </w:p>
        </w:tc>
      </w:tr>
      <w:tr w:rsidR="00571CF7" w:rsidRPr="00571CF7" w14:paraId="442A00BF" w14:textId="77777777" w:rsidTr="00571CF7">
        <w:trPr>
          <w:trHeight w:val="340"/>
        </w:trPr>
        <w:tc>
          <w:tcPr>
            <w:tcW w:w="940" w:type="dxa"/>
          </w:tcPr>
          <w:p w14:paraId="748AB198" w14:textId="77777777" w:rsidR="00571CF7" w:rsidRPr="00571CF7" w:rsidRDefault="00571CF7" w:rsidP="00571CF7">
            <w:pPr>
              <w:pStyle w:val="TableText"/>
              <w:jc w:val="right"/>
            </w:pPr>
            <w:r w:rsidRPr="00571CF7">
              <w:t>2,639</w:t>
            </w:r>
          </w:p>
        </w:tc>
        <w:tc>
          <w:tcPr>
            <w:tcW w:w="6140" w:type="dxa"/>
          </w:tcPr>
          <w:p w14:paraId="07CBFC4C" w14:textId="77777777" w:rsidR="00571CF7" w:rsidRPr="00571CF7" w:rsidRDefault="00571CF7" w:rsidP="00571CF7">
            <w:pPr>
              <w:pStyle w:val="TableText"/>
              <w:ind w:left="170"/>
            </w:pPr>
            <w:r w:rsidRPr="00571CF7">
              <w:t>Cash and cash equivalents</w:t>
            </w:r>
          </w:p>
        </w:tc>
        <w:tc>
          <w:tcPr>
            <w:tcW w:w="1142" w:type="dxa"/>
          </w:tcPr>
          <w:p w14:paraId="379AAEA0" w14:textId="77777777" w:rsidR="00571CF7" w:rsidRPr="00571CF7" w:rsidRDefault="00571CF7" w:rsidP="00571CF7">
            <w:pPr>
              <w:pStyle w:val="TableText"/>
              <w:jc w:val="right"/>
            </w:pPr>
            <w:r w:rsidRPr="00571CF7">
              <w:t>13,733</w:t>
            </w:r>
          </w:p>
        </w:tc>
      </w:tr>
      <w:tr w:rsidR="00571CF7" w:rsidRPr="00571CF7" w14:paraId="63C157F6" w14:textId="77777777" w:rsidTr="00571CF7">
        <w:trPr>
          <w:trHeight w:val="340"/>
        </w:trPr>
        <w:tc>
          <w:tcPr>
            <w:tcW w:w="940" w:type="dxa"/>
          </w:tcPr>
          <w:p w14:paraId="1A6B8A50" w14:textId="77777777" w:rsidR="00571CF7" w:rsidRPr="00571CF7" w:rsidRDefault="00571CF7" w:rsidP="00571CF7">
            <w:pPr>
              <w:pStyle w:val="TableText"/>
              <w:jc w:val="right"/>
            </w:pPr>
            <w:r w:rsidRPr="00571CF7">
              <w:t>16,847</w:t>
            </w:r>
          </w:p>
        </w:tc>
        <w:tc>
          <w:tcPr>
            <w:tcW w:w="6140" w:type="dxa"/>
          </w:tcPr>
          <w:p w14:paraId="2AA5DA42" w14:textId="77777777" w:rsidR="00571CF7" w:rsidRPr="00571CF7" w:rsidRDefault="00571CF7" w:rsidP="00571CF7">
            <w:pPr>
              <w:pStyle w:val="TableText"/>
              <w:ind w:left="170"/>
            </w:pPr>
            <w:r w:rsidRPr="00571CF7">
              <w:t>Receivables</w:t>
            </w:r>
          </w:p>
        </w:tc>
        <w:tc>
          <w:tcPr>
            <w:tcW w:w="1142" w:type="dxa"/>
          </w:tcPr>
          <w:p w14:paraId="37B2DC7C" w14:textId="77777777" w:rsidR="00571CF7" w:rsidRPr="00571CF7" w:rsidRDefault="00571CF7" w:rsidP="00571CF7">
            <w:pPr>
              <w:pStyle w:val="TableText"/>
              <w:jc w:val="right"/>
            </w:pPr>
            <w:r w:rsidRPr="00571CF7">
              <w:t>13,470</w:t>
            </w:r>
          </w:p>
        </w:tc>
      </w:tr>
      <w:tr w:rsidR="00571CF7" w:rsidRPr="00571CF7" w14:paraId="702007A1" w14:textId="77777777" w:rsidTr="00571CF7">
        <w:trPr>
          <w:trHeight w:val="340"/>
        </w:trPr>
        <w:tc>
          <w:tcPr>
            <w:tcW w:w="940" w:type="dxa"/>
          </w:tcPr>
          <w:p w14:paraId="0B586D2F" w14:textId="77777777" w:rsidR="00571CF7" w:rsidRPr="00571CF7" w:rsidRDefault="00571CF7" w:rsidP="00571CF7">
            <w:pPr>
              <w:pStyle w:val="TableText"/>
              <w:jc w:val="right"/>
            </w:pPr>
            <w:r w:rsidRPr="00571CF7">
              <w:t>84,334</w:t>
            </w:r>
          </w:p>
        </w:tc>
        <w:tc>
          <w:tcPr>
            <w:tcW w:w="6140" w:type="dxa"/>
          </w:tcPr>
          <w:p w14:paraId="5A615E5E" w14:textId="77777777" w:rsidR="00571CF7" w:rsidRPr="00571CF7" w:rsidRDefault="00571CF7" w:rsidP="00571CF7">
            <w:pPr>
              <w:pStyle w:val="TableText"/>
              <w:ind w:left="170"/>
            </w:pPr>
            <w:r w:rsidRPr="00571CF7">
              <w:t>Debtor Crown</w:t>
            </w:r>
          </w:p>
        </w:tc>
        <w:tc>
          <w:tcPr>
            <w:tcW w:w="1142" w:type="dxa"/>
          </w:tcPr>
          <w:p w14:paraId="646E2220" w14:textId="77777777" w:rsidR="00571CF7" w:rsidRPr="00571CF7" w:rsidRDefault="00571CF7" w:rsidP="00571CF7">
            <w:pPr>
              <w:pStyle w:val="TableText"/>
              <w:jc w:val="right"/>
            </w:pPr>
            <w:r w:rsidRPr="00571CF7">
              <w:t>236,912</w:t>
            </w:r>
          </w:p>
        </w:tc>
      </w:tr>
      <w:tr w:rsidR="00571CF7" w:rsidRPr="00571CF7" w14:paraId="1D5EDCF7" w14:textId="77777777" w:rsidTr="00571CF7">
        <w:trPr>
          <w:trHeight w:val="340"/>
        </w:trPr>
        <w:tc>
          <w:tcPr>
            <w:tcW w:w="940" w:type="dxa"/>
            <w:tcBorders>
              <w:bottom w:val="single" w:sz="4" w:space="0" w:color="A6A6A6" w:themeColor="background1" w:themeShade="A6"/>
            </w:tcBorders>
          </w:tcPr>
          <w:p w14:paraId="17D19BCF" w14:textId="77777777" w:rsidR="00571CF7" w:rsidRPr="00571CF7" w:rsidRDefault="00571CF7" w:rsidP="00571CF7">
            <w:pPr>
              <w:pStyle w:val="TableText"/>
              <w:jc w:val="right"/>
              <w:rPr>
                <w:b/>
                <w:bCs/>
              </w:rPr>
            </w:pPr>
            <w:r w:rsidRPr="00571CF7">
              <w:rPr>
                <w:b/>
                <w:bCs/>
              </w:rPr>
              <w:t>103,820</w:t>
            </w:r>
          </w:p>
        </w:tc>
        <w:tc>
          <w:tcPr>
            <w:tcW w:w="6140" w:type="dxa"/>
            <w:tcBorders>
              <w:bottom w:val="single" w:sz="4" w:space="0" w:color="A6A6A6" w:themeColor="background1" w:themeShade="A6"/>
            </w:tcBorders>
          </w:tcPr>
          <w:p w14:paraId="5F531277" w14:textId="77777777" w:rsidR="00571CF7" w:rsidRPr="00571CF7" w:rsidRDefault="00571CF7" w:rsidP="00571CF7">
            <w:pPr>
              <w:pStyle w:val="TableText"/>
              <w:ind w:left="170"/>
              <w:rPr>
                <w:b/>
                <w:bCs/>
              </w:rPr>
            </w:pPr>
            <w:r w:rsidRPr="00571CF7">
              <w:rPr>
                <w:b/>
                <w:bCs/>
              </w:rPr>
              <w:t>Total financial assets measured at amortised cost</w:t>
            </w:r>
          </w:p>
        </w:tc>
        <w:tc>
          <w:tcPr>
            <w:tcW w:w="1142" w:type="dxa"/>
            <w:tcBorders>
              <w:bottom w:val="single" w:sz="4" w:space="0" w:color="A6A6A6" w:themeColor="background1" w:themeShade="A6"/>
            </w:tcBorders>
          </w:tcPr>
          <w:p w14:paraId="10F836E6" w14:textId="77777777" w:rsidR="00571CF7" w:rsidRPr="00571CF7" w:rsidRDefault="00571CF7" w:rsidP="00571CF7">
            <w:pPr>
              <w:pStyle w:val="TableText"/>
              <w:jc w:val="right"/>
              <w:rPr>
                <w:b/>
                <w:bCs/>
              </w:rPr>
            </w:pPr>
            <w:r w:rsidRPr="00571CF7">
              <w:rPr>
                <w:b/>
                <w:bCs/>
              </w:rPr>
              <w:t>264,115</w:t>
            </w:r>
          </w:p>
        </w:tc>
      </w:tr>
      <w:tr w:rsidR="00571CF7" w:rsidRPr="00571CF7" w14:paraId="05B86E63" w14:textId="77777777" w:rsidTr="00571CF7">
        <w:trPr>
          <w:trHeight w:val="340"/>
        </w:trPr>
        <w:tc>
          <w:tcPr>
            <w:tcW w:w="940" w:type="dxa"/>
            <w:tcBorders>
              <w:top w:val="single" w:sz="4" w:space="0" w:color="A6A6A6" w:themeColor="background1" w:themeShade="A6"/>
            </w:tcBorders>
          </w:tcPr>
          <w:p w14:paraId="5B4FA72D" w14:textId="77777777" w:rsidR="00571CF7" w:rsidRPr="00571CF7" w:rsidRDefault="00571CF7" w:rsidP="00571CF7">
            <w:pPr>
              <w:pStyle w:val="TableText"/>
              <w:jc w:val="right"/>
            </w:pPr>
          </w:p>
        </w:tc>
        <w:tc>
          <w:tcPr>
            <w:tcW w:w="6140" w:type="dxa"/>
            <w:tcBorders>
              <w:top w:val="single" w:sz="4" w:space="0" w:color="A6A6A6" w:themeColor="background1" w:themeShade="A6"/>
            </w:tcBorders>
          </w:tcPr>
          <w:p w14:paraId="19CD5313" w14:textId="77777777" w:rsidR="00571CF7" w:rsidRPr="00571CF7" w:rsidRDefault="00571CF7" w:rsidP="00571CF7">
            <w:pPr>
              <w:pStyle w:val="TableText"/>
              <w:ind w:left="170"/>
            </w:pPr>
            <w:r w:rsidRPr="00571CF7">
              <w:t>Financial liabilities measured at amortised cost</w:t>
            </w:r>
          </w:p>
        </w:tc>
        <w:tc>
          <w:tcPr>
            <w:tcW w:w="1142" w:type="dxa"/>
            <w:tcBorders>
              <w:top w:val="single" w:sz="4" w:space="0" w:color="A6A6A6" w:themeColor="background1" w:themeShade="A6"/>
            </w:tcBorders>
          </w:tcPr>
          <w:p w14:paraId="74F8BEB0" w14:textId="77777777" w:rsidR="00571CF7" w:rsidRPr="00571CF7" w:rsidRDefault="00571CF7" w:rsidP="00571CF7">
            <w:pPr>
              <w:pStyle w:val="TableText"/>
              <w:jc w:val="right"/>
            </w:pPr>
          </w:p>
        </w:tc>
      </w:tr>
      <w:tr w:rsidR="00571CF7" w:rsidRPr="00571CF7" w14:paraId="0FE108E2" w14:textId="77777777" w:rsidTr="00571CF7">
        <w:trPr>
          <w:trHeight w:val="340"/>
        </w:trPr>
        <w:tc>
          <w:tcPr>
            <w:tcW w:w="940" w:type="dxa"/>
          </w:tcPr>
          <w:p w14:paraId="0F6F769A" w14:textId="77777777" w:rsidR="00571CF7" w:rsidRPr="00571CF7" w:rsidRDefault="00571CF7" w:rsidP="00571CF7">
            <w:pPr>
              <w:pStyle w:val="TableText"/>
              <w:jc w:val="right"/>
            </w:pPr>
            <w:r w:rsidRPr="00571CF7">
              <w:t>46,292</w:t>
            </w:r>
          </w:p>
        </w:tc>
        <w:tc>
          <w:tcPr>
            <w:tcW w:w="6140" w:type="dxa"/>
          </w:tcPr>
          <w:p w14:paraId="4225B2FC" w14:textId="77777777" w:rsidR="00571CF7" w:rsidRPr="00571CF7" w:rsidRDefault="00571CF7" w:rsidP="00571CF7">
            <w:pPr>
              <w:pStyle w:val="TableText"/>
              <w:ind w:left="170"/>
            </w:pPr>
            <w:r w:rsidRPr="00571CF7">
              <w:t>Payables</w:t>
            </w:r>
          </w:p>
        </w:tc>
        <w:tc>
          <w:tcPr>
            <w:tcW w:w="1142" w:type="dxa"/>
          </w:tcPr>
          <w:p w14:paraId="3B503A80" w14:textId="77777777" w:rsidR="00571CF7" w:rsidRPr="00571CF7" w:rsidRDefault="00571CF7" w:rsidP="00571CF7">
            <w:pPr>
              <w:pStyle w:val="TableText"/>
              <w:jc w:val="right"/>
            </w:pPr>
            <w:r w:rsidRPr="00571CF7">
              <w:t>76,313</w:t>
            </w:r>
          </w:p>
        </w:tc>
      </w:tr>
      <w:tr w:rsidR="00571CF7" w:rsidRPr="00571CF7" w14:paraId="3EAFCBD3" w14:textId="77777777" w:rsidTr="00571CF7">
        <w:trPr>
          <w:trHeight w:val="340"/>
        </w:trPr>
        <w:tc>
          <w:tcPr>
            <w:tcW w:w="940" w:type="dxa"/>
          </w:tcPr>
          <w:p w14:paraId="471E8B69" w14:textId="77777777" w:rsidR="00571CF7" w:rsidRPr="00571CF7" w:rsidRDefault="00571CF7" w:rsidP="00571CF7">
            <w:pPr>
              <w:pStyle w:val="TableText"/>
              <w:jc w:val="right"/>
            </w:pPr>
            <w:r w:rsidRPr="00571CF7">
              <w:t>34,264</w:t>
            </w:r>
          </w:p>
        </w:tc>
        <w:tc>
          <w:tcPr>
            <w:tcW w:w="6140" w:type="dxa"/>
          </w:tcPr>
          <w:p w14:paraId="79D715A8" w14:textId="77777777" w:rsidR="00571CF7" w:rsidRPr="00571CF7" w:rsidRDefault="00571CF7" w:rsidP="00571CF7">
            <w:pPr>
              <w:pStyle w:val="TableText"/>
              <w:ind w:left="170"/>
            </w:pPr>
            <w:r w:rsidRPr="00571CF7">
              <w:t>Return of operating surplus</w:t>
            </w:r>
          </w:p>
        </w:tc>
        <w:tc>
          <w:tcPr>
            <w:tcW w:w="1142" w:type="dxa"/>
          </w:tcPr>
          <w:p w14:paraId="4B66B80E" w14:textId="77777777" w:rsidR="00571CF7" w:rsidRPr="00571CF7" w:rsidRDefault="00571CF7" w:rsidP="00571CF7">
            <w:pPr>
              <w:pStyle w:val="TableText"/>
              <w:jc w:val="right"/>
            </w:pPr>
            <w:r w:rsidRPr="00571CF7">
              <w:t>142,589</w:t>
            </w:r>
          </w:p>
        </w:tc>
      </w:tr>
      <w:tr w:rsidR="00571CF7" w:rsidRPr="00571CF7" w14:paraId="642B4D7C" w14:textId="77777777" w:rsidTr="00571CF7">
        <w:trPr>
          <w:trHeight w:val="340"/>
        </w:trPr>
        <w:tc>
          <w:tcPr>
            <w:tcW w:w="940" w:type="dxa"/>
            <w:tcBorders>
              <w:bottom w:val="single" w:sz="4" w:space="0" w:color="A6A6A6" w:themeColor="background1" w:themeShade="A6"/>
            </w:tcBorders>
          </w:tcPr>
          <w:p w14:paraId="792B3637" w14:textId="77777777" w:rsidR="00571CF7" w:rsidRPr="00571CF7" w:rsidRDefault="00571CF7" w:rsidP="00571CF7">
            <w:pPr>
              <w:pStyle w:val="TableText"/>
              <w:jc w:val="right"/>
              <w:rPr>
                <w:b/>
                <w:bCs/>
              </w:rPr>
            </w:pPr>
            <w:r w:rsidRPr="00571CF7">
              <w:rPr>
                <w:b/>
                <w:bCs/>
              </w:rPr>
              <w:t>80,556</w:t>
            </w:r>
          </w:p>
        </w:tc>
        <w:tc>
          <w:tcPr>
            <w:tcW w:w="6140" w:type="dxa"/>
            <w:tcBorders>
              <w:bottom w:val="single" w:sz="4" w:space="0" w:color="A6A6A6" w:themeColor="background1" w:themeShade="A6"/>
            </w:tcBorders>
          </w:tcPr>
          <w:p w14:paraId="09CBD0A6" w14:textId="77777777" w:rsidR="00571CF7" w:rsidRPr="00571CF7" w:rsidRDefault="00571CF7" w:rsidP="00571CF7">
            <w:pPr>
              <w:pStyle w:val="TableText"/>
              <w:ind w:left="170"/>
              <w:rPr>
                <w:b/>
                <w:bCs/>
              </w:rPr>
            </w:pPr>
            <w:r w:rsidRPr="00571CF7">
              <w:rPr>
                <w:b/>
                <w:bCs/>
              </w:rPr>
              <w:t>Total financial liabilities measured at amortised cost</w:t>
            </w:r>
          </w:p>
        </w:tc>
        <w:tc>
          <w:tcPr>
            <w:tcW w:w="1142" w:type="dxa"/>
            <w:tcBorders>
              <w:bottom w:val="single" w:sz="4" w:space="0" w:color="A6A6A6" w:themeColor="background1" w:themeShade="A6"/>
            </w:tcBorders>
          </w:tcPr>
          <w:p w14:paraId="6B101CBC" w14:textId="77777777" w:rsidR="00571CF7" w:rsidRPr="00571CF7" w:rsidRDefault="00571CF7" w:rsidP="00571CF7">
            <w:pPr>
              <w:pStyle w:val="TableText"/>
              <w:jc w:val="right"/>
              <w:rPr>
                <w:b/>
                <w:bCs/>
              </w:rPr>
            </w:pPr>
            <w:r w:rsidRPr="00571CF7">
              <w:rPr>
                <w:b/>
                <w:bCs/>
              </w:rPr>
              <w:t>218,902</w:t>
            </w:r>
          </w:p>
        </w:tc>
      </w:tr>
    </w:tbl>
    <w:p w14:paraId="7221CF51" w14:textId="77777777" w:rsidR="00571CF7" w:rsidRPr="00571CF7" w:rsidRDefault="00571CF7" w:rsidP="00571CF7">
      <w:pPr>
        <w:pStyle w:val="Heading5"/>
      </w:pPr>
      <w:r w:rsidRPr="00571CF7">
        <w:t>Financial instruments risks</w:t>
      </w:r>
    </w:p>
    <w:p w14:paraId="161B5595" w14:textId="77777777" w:rsidR="00571CF7" w:rsidRPr="00571CF7" w:rsidRDefault="00571CF7" w:rsidP="00571CF7">
      <w:pPr>
        <w:rPr>
          <w:rFonts w:eastAsia="Arial Unicode MS"/>
        </w:rPr>
      </w:pPr>
      <w:r w:rsidRPr="00571CF7">
        <w:rPr>
          <w:rFonts w:eastAsia="Arial Unicode MS"/>
        </w:rPr>
        <w:t>The Ministry’s activities expose it to a variety of financial instrument risk, credit risk and liquidity risk. The Ministry has policies to manage the risks associated with financial instruments and seeks to minimise exposure from financial instruments. These policies do not allow the Ministry to enter into transactions that are speculative in nature.</w:t>
      </w:r>
    </w:p>
    <w:p w14:paraId="31AEF20C" w14:textId="77777777" w:rsidR="00571CF7" w:rsidRPr="00571CF7" w:rsidRDefault="00571CF7" w:rsidP="00571CF7">
      <w:pPr>
        <w:pStyle w:val="Heading5"/>
      </w:pPr>
      <w:r w:rsidRPr="00571CF7">
        <w:t>Market risk</w:t>
      </w:r>
    </w:p>
    <w:p w14:paraId="1F8883B0" w14:textId="77777777" w:rsidR="00571CF7" w:rsidRPr="00571CF7" w:rsidRDefault="00571CF7" w:rsidP="004C2BFC">
      <w:pPr>
        <w:pStyle w:val="Heading6"/>
      </w:pPr>
      <w:r w:rsidRPr="00571CF7">
        <w:t>Currency risk</w:t>
      </w:r>
    </w:p>
    <w:p w14:paraId="5330BBCC" w14:textId="6806C294" w:rsidR="00571CF7" w:rsidRDefault="00571CF7" w:rsidP="00571CF7">
      <w:pPr>
        <w:rPr>
          <w:rFonts w:eastAsia="Arial Unicode MS"/>
        </w:rPr>
      </w:pPr>
      <w:r w:rsidRPr="00571CF7">
        <w:rPr>
          <w:rFonts w:eastAsia="Arial Unicode MS"/>
        </w:rPr>
        <w:t>Currency risk is the risk that the fair value or future cash flows of a financial instrument will fluctuate because of changes in foreign currency exchange rates.</w:t>
      </w:r>
    </w:p>
    <w:p w14:paraId="66639AEE" w14:textId="77777777" w:rsidR="00571CF7" w:rsidRPr="00571CF7" w:rsidRDefault="00571CF7" w:rsidP="00571CF7">
      <w:pPr>
        <w:rPr>
          <w:rFonts w:eastAsia="Arial Unicode MS"/>
        </w:rPr>
      </w:pPr>
    </w:p>
    <w:p w14:paraId="0FA1582E" w14:textId="77777777" w:rsidR="00571CF7" w:rsidRPr="00571CF7" w:rsidRDefault="00571CF7" w:rsidP="00571CF7">
      <w:pPr>
        <w:rPr>
          <w:rFonts w:eastAsia="Arial Unicode MS"/>
        </w:rPr>
      </w:pPr>
      <w:r w:rsidRPr="00571CF7">
        <w:rPr>
          <w:rFonts w:eastAsia="Arial Unicode MS"/>
        </w:rPr>
        <w:t>Foreign currency denominated transactions are not material. Therefore, the impact of the Ministry’s exposure to currency risk is minimal.</w:t>
      </w:r>
    </w:p>
    <w:p w14:paraId="65CA0EB6" w14:textId="03418D9F" w:rsidR="00571CF7" w:rsidRPr="00571CF7" w:rsidRDefault="00571CF7" w:rsidP="004C2BFC">
      <w:pPr>
        <w:pStyle w:val="Heading6"/>
      </w:pPr>
      <w:r w:rsidRPr="00571CF7">
        <w:t>Credit risk</w:t>
      </w:r>
    </w:p>
    <w:p w14:paraId="13A342D9" w14:textId="0C5FC41A" w:rsidR="00571CF7" w:rsidRDefault="00571CF7" w:rsidP="00571CF7">
      <w:pPr>
        <w:rPr>
          <w:rFonts w:eastAsia="Arial Unicode MS"/>
        </w:rPr>
      </w:pPr>
      <w:r w:rsidRPr="00571CF7">
        <w:rPr>
          <w:rFonts w:eastAsia="Arial Unicode MS"/>
        </w:rPr>
        <w:t>Credit risk is the risk that a third party will default on its obligations to the Ministry, causing a loss to be incurred.</w:t>
      </w:r>
    </w:p>
    <w:p w14:paraId="50F2DE87" w14:textId="77777777" w:rsidR="008C677C" w:rsidRPr="00571CF7" w:rsidRDefault="008C677C" w:rsidP="00571CF7">
      <w:pPr>
        <w:rPr>
          <w:rFonts w:eastAsia="Arial Unicode MS"/>
        </w:rPr>
      </w:pPr>
    </w:p>
    <w:p w14:paraId="7948336E" w14:textId="04E2C02B" w:rsidR="00571CF7" w:rsidRDefault="00571CF7" w:rsidP="00571CF7">
      <w:pPr>
        <w:rPr>
          <w:rFonts w:eastAsia="Arial Unicode MS"/>
        </w:rPr>
      </w:pPr>
      <w:r w:rsidRPr="00571CF7">
        <w:rPr>
          <w:rFonts w:eastAsia="Arial Unicode MS"/>
        </w:rPr>
        <w:t>In the Ministry’s normal course of its business, credit risk arises from Debtor Crown, receivables and cash and cash equivalents.</w:t>
      </w:r>
    </w:p>
    <w:p w14:paraId="09F2D5F8" w14:textId="77777777" w:rsidR="00571CF7" w:rsidRPr="00571CF7" w:rsidRDefault="00571CF7" w:rsidP="00571CF7">
      <w:pPr>
        <w:rPr>
          <w:rFonts w:eastAsia="Arial Unicode MS"/>
        </w:rPr>
      </w:pPr>
    </w:p>
    <w:p w14:paraId="61E9F06E" w14:textId="77777777" w:rsidR="00571CF7" w:rsidRPr="00571CF7" w:rsidRDefault="00571CF7" w:rsidP="00571CF7">
      <w:pPr>
        <w:rPr>
          <w:rFonts w:eastAsia="Arial Unicode MS"/>
        </w:rPr>
      </w:pPr>
      <w:r w:rsidRPr="00571CF7">
        <w:rPr>
          <w:rFonts w:eastAsia="Arial Unicode MS"/>
        </w:rPr>
        <w:lastRenderedPageBreak/>
        <w:t>The Ministry’s credit risk is concentrated with the Crown and other government agencies but not with any individual agencies. The carrying amount of financial assets best represents the Ministry’s maximum exposure to credit risk at balance date.</w:t>
      </w:r>
    </w:p>
    <w:p w14:paraId="66B99456" w14:textId="440732DF" w:rsidR="00571CF7" w:rsidRPr="00571CF7" w:rsidRDefault="00571CF7" w:rsidP="004C2BFC">
      <w:pPr>
        <w:pStyle w:val="Heading6"/>
      </w:pPr>
      <w:r w:rsidRPr="00571CF7">
        <w:t>Interest rate risk</w:t>
      </w:r>
      <w:r>
        <w:t xml:space="preserve"> </w:t>
      </w:r>
    </w:p>
    <w:p w14:paraId="787C820D" w14:textId="6A9F76C7" w:rsidR="00571CF7" w:rsidRDefault="00571CF7" w:rsidP="00571CF7">
      <w:pPr>
        <w:rPr>
          <w:rFonts w:eastAsia="Arial Unicode MS"/>
        </w:rPr>
      </w:pPr>
      <w:r w:rsidRPr="00571CF7">
        <w:rPr>
          <w:rFonts w:eastAsia="Arial Unicode MS"/>
        </w:rPr>
        <w:t>Interest rate risk is the risk that the fair value of a financial instrument will fluctuate, or the cash flows from a financial instrument will fluctuate, due to changes in market interest rates.</w:t>
      </w:r>
    </w:p>
    <w:p w14:paraId="029C96A6" w14:textId="77777777" w:rsidR="00571CF7" w:rsidRPr="00571CF7" w:rsidRDefault="00571CF7" w:rsidP="00571CF7">
      <w:pPr>
        <w:rPr>
          <w:rFonts w:eastAsia="Arial Unicode MS"/>
        </w:rPr>
      </w:pPr>
    </w:p>
    <w:p w14:paraId="5B96329E" w14:textId="77777777" w:rsidR="00571CF7" w:rsidRPr="00571CF7" w:rsidRDefault="00571CF7" w:rsidP="00571CF7">
      <w:pPr>
        <w:rPr>
          <w:rFonts w:eastAsia="Arial Unicode MS"/>
        </w:rPr>
      </w:pPr>
      <w:r w:rsidRPr="00571CF7">
        <w:rPr>
          <w:rFonts w:eastAsia="Arial Unicode MS"/>
        </w:rPr>
        <w:t>The Ministry has no interest-bearing financial instruments, therefore, it has no exposure to interest rate risk.</w:t>
      </w:r>
    </w:p>
    <w:p w14:paraId="2C20C804" w14:textId="77777777" w:rsidR="00571CF7" w:rsidRPr="00571CF7" w:rsidRDefault="00571CF7" w:rsidP="00571CF7">
      <w:pPr>
        <w:pStyle w:val="Heading5"/>
      </w:pPr>
      <w:r w:rsidRPr="00571CF7">
        <w:t>Liquidity risk</w:t>
      </w:r>
    </w:p>
    <w:p w14:paraId="00A61B85" w14:textId="633770E6" w:rsidR="00571CF7" w:rsidRDefault="00571CF7" w:rsidP="00571CF7">
      <w:pPr>
        <w:rPr>
          <w:rFonts w:eastAsia="Arial Unicode MS"/>
        </w:rPr>
      </w:pPr>
      <w:r w:rsidRPr="00571CF7">
        <w:rPr>
          <w:rFonts w:eastAsia="Arial Unicode MS"/>
        </w:rPr>
        <w:t>Liquidity risk is the risk that the Ministry will encounter difficulty raising liquid funds as they fall due.</w:t>
      </w:r>
    </w:p>
    <w:p w14:paraId="60F32356" w14:textId="77777777" w:rsidR="00571CF7" w:rsidRPr="00571CF7" w:rsidRDefault="00571CF7" w:rsidP="00571CF7">
      <w:pPr>
        <w:rPr>
          <w:rFonts w:eastAsia="Arial Unicode MS"/>
        </w:rPr>
      </w:pPr>
    </w:p>
    <w:p w14:paraId="7F7A7D87" w14:textId="77777777" w:rsidR="00571CF7" w:rsidRPr="00571CF7" w:rsidRDefault="00571CF7" w:rsidP="00571CF7">
      <w:pPr>
        <w:rPr>
          <w:rFonts w:eastAsia="Arial Unicode MS"/>
        </w:rPr>
      </w:pPr>
      <w:r w:rsidRPr="00571CF7">
        <w:rPr>
          <w:rFonts w:eastAsia="Arial Unicode MS"/>
        </w:rPr>
        <w:t>As part of meeting its liquidity requirements, the Ministry closely monitors its forecast cash requirements with expected cash drawdowns from the Treasury Capital Markets. The Ministry maintains a target level of available cash to meet liquidity requirements.</w:t>
      </w:r>
    </w:p>
    <w:p w14:paraId="192E9770" w14:textId="77777777" w:rsidR="00571CF7" w:rsidRPr="00571CF7" w:rsidRDefault="00571CF7" w:rsidP="004C2BFC">
      <w:pPr>
        <w:pStyle w:val="Heading6"/>
      </w:pPr>
      <w:r w:rsidRPr="00571CF7">
        <w:t>Contractual maturity analysis of financial liabilities</w:t>
      </w:r>
    </w:p>
    <w:p w14:paraId="510B21CB" w14:textId="77777777" w:rsidR="009651E8" w:rsidRDefault="00571CF7" w:rsidP="00571CF7">
      <w:pPr>
        <w:rPr>
          <w:rFonts w:eastAsia="Arial Unicode MS"/>
        </w:rPr>
      </w:pPr>
      <w:r w:rsidRPr="00571CF7">
        <w:rPr>
          <w:rFonts w:eastAsia="Arial Unicode MS"/>
        </w:rPr>
        <w:t>The table below analyses the Ministry’s financial liabilities into relevant maturity groupings based on the remaining period at balance date to the contractual maturity date. The amounts disclosed are the contractual undiscounted cash flows.</w:t>
      </w:r>
    </w:p>
    <w:p w14:paraId="4A1CFFD4" w14:textId="77777777" w:rsidR="00830218" w:rsidRDefault="00830218" w:rsidP="00571CF7">
      <w:pPr>
        <w:rPr>
          <w:rFonts w:eastAsia="Arial Unicode MS"/>
        </w:rPr>
      </w:pPr>
    </w:p>
    <w:tbl>
      <w:tblPr>
        <w:tblW w:w="8364" w:type="dxa"/>
        <w:tblLayout w:type="fixed"/>
        <w:tblCellMar>
          <w:left w:w="0" w:type="dxa"/>
          <w:right w:w="0" w:type="dxa"/>
        </w:tblCellMar>
        <w:tblLook w:val="01E0" w:firstRow="1" w:lastRow="1" w:firstColumn="1" w:lastColumn="1" w:noHBand="0" w:noVBand="0"/>
      </w:tblPr>
      <w:tblGrid>
        <w:gridCol w:w="2552"/>
        <w:gridCol w:w="1100"/>
        <w:gridCol w:w="1464"/>
        <w:gridCol w:w="1189"/>
        <w:gridCol w:w="1278"/>
        <w:gridCol w:w="781"/>
      </w:tblGrid>
      <w:tr w:rsidR="00830218" w14:paraId="7C8B8F08" w14:textId="77777777" w:rsidTr="00830218">
        <w:trPr>
          <w:trHeight w:val="394"/>
        </w:trPr>
        <w:tc>
          <w:tcPr>
            <w:tcW w:w="2552" w:type="dxa"/>
            <w:vMerge w:val="restart"/>
            <w:shd w:val="clear" w:color="auto" w:fill="D9D9D9" w:themeFill="background1" w:themeFillShade="D9"/>
          </w:tcPr>
          <w:p w14:paraId="25E761B7" w14:textId="77777777" w:rsidR="00830218" w:rsidRDefault="00830218" w:rsidP="00830218">
            <w:pPr>
              <w:pStyle w:val="TableText"/>
            </w:pPr>
          </w:p>
        </w:tc>
        <w:tc>
          <w:tcPr>
            <w:tcW w:w="1100" w:type="dxa"/>
            <w:shd w:val="clear" w:color="auto" w:fill="D9D9D9" w:themeFill="background1" w:themeFillShade="D9"/>
          </w:tcPr>
          <w:p w14:paraId="389C7336" w14:textId="35F00F77" w:rsidR="00830218" w:rsidRPr="00830218" w:rsidRDefault="00830218" w:rsidP="00830218">
            <w:pPr>
              <w:pStyle w:val="TableText"/>
              <w:jc w:val="right"/>
              <w:rPr>
                <w:b/>
                <w:bCs/>
                <w:w w:val="105"/>
              </w:rPr>
            </w:pPr>
            <w:r w:rsidRPr="00830218">
              <w:rPr>
                <w:b/>
                <w:bCs/>
                <w:w w:val="105"/>
              </w:rPr>
              <w:t>Carrying</w:t>
            </w:r>
            <w:r w:rsidRPr="00830218">
              <w:rPr>
                <w:b/>
                <w:bCs/>
                <w:w w:val="105"/>
              </w:rPr>
              <w:br/>
              <w:t>amount</w:t>
            </w:r>
          </w:p>
        </w:tc>
        <w:tc>
          <w:tcPr>
            <w:tcW w:w="1464" w:type="dxa"/>
            <w:shd w:val="clear" w:color="auto" w:fill="D9D9D9" w:themeFill="background1" w:themeFillShade="D9"/>
          </w:tcPr>
          <w:p w14:paraId="64FCAE44" w14:textId="6A805ED8" w:rsidR="00830218" w:rsidRPr="00830218" w:rsidRDefault="00830218" w:rsidP="00830218">
            <w:pPr>
              <w:pStyle w:val="TableText"/>
              <w:jc w:val="right"/>
              <w:rPr>
                <w:b/>
                <w:bCs/>
                <w:w w:val="105"/>
              </w:rPr>
            </w:pPr>
            <w:r w:rsidRPr="00830218">
              <w:rPr>
                <w:b/>
                <w:bCs/>
                <w:w w:val="105"/>
              </w:rPr>
              <w:t>Total</w:t>
            </w:r>
            <w:r w:rsidRPr="00830218">
              <w:rPr>
                <w:b/>
                <w:bCs/>
                <w:w w:val="105"/>
              </w:rPr>
              <w:br/>
              <w:t>contractual</w:t>
            </w:r>
            <w:r w:rsidR="008C677C">
              <w:rPr>
                <w:b/>
                <w:bCs/>
                <w:w w:val="105"/>
              </w:rPr>
              <w:t xml:space="preserve"> cash flows</w:t>
            </w:r>
          </w:p>
        </w:tc>
        <w:tc>
          <w:tcPr>
            <w:tcW w:w="1189" w:type="dxa"/>
            <w:shd w:val="clear" w:color="auto" w:fill="D9D9D9" w:themeFill="background1" w:themeFillShade="D9"/>
          </w:tcPr>
          <w:p w14:paraId="4CB643C3" w14:textId="4156A281" w:rsidR="00830218" w:rsidRPr="00830218" w:rsidRDefault="00830218" w:rsidP="00830218">
            <w:pPr>
              <w:pStyle w:val="TableText"/>
              <w:jc w:val="right"/>
              <w:rPr>
                <w:b/>
                <w:bCs/>
                <w:w w:val="105"/>
              </w:rPr>
            </w:pPr>
            <w:r w:rsidRPr="00830218">
              <w:rPr>
                <w:b/>
                <w:bCs/>
                <w:w w:val="105"/>
              </w:rPr>
              <w:t>Less than 6</w:t>
            </w:r>
            <w:r w:rsidRPr="00830218">
              <w:rPr>
                <w:b/>
                <w:bCs/>
                <w:w w:val="105"/>
              </w:rPr>
              <w:br/>
              <w:t>months</w:t>
            </w:r>
          </w:p>
        </w:tc>
        <w:tc>
          <w:tcPr>
            <w:tcW w:w="1278" w:type="dxa"/>
            <w:shd w:val="clear" w:color="auto" w:fill="D9D9D9" w:themeFill="background1" w:themeFillShade="D9"/>
          </w:tcPr>
          <w:p w14:paraId="0752809C" w14:textId="732C1FAA" w:rsidR="00830218" w:rsidRPr="00830218" w:rsidRDefault="00830218" w:rsidP="00830218">
            <w:pPr>
              <w:pStyle w:val="TableText"/>
              <w:jc w:val="right"/>
              <w:rPr>
                <w:b/>
                <w:bCs/>
                <w:w w:val="105"/>
              </w:rPr>
            </w:pPr>
            <w:r w:rsidRPr="00830218">
              <w:rPr>
                <w:b/>
                <w:bCs/>
                <w:w w:val="105"/>
              </w:rPr>
              <w:t xml:space="preserve">6 months </w:t>
            </w:r>
            <w:r w:rsidRPr="00830218">
              <w:rPr>
                <w:b/>
                <w:bCs/>
                <w:w w:val="105"/>
              </w:rPr>
              <w:br/>
              <w:t>to 1 year</w:t>
            </w:r>
          </w:p>
        </w:tc>
        <w:tc>
          <w:tcPr>
            <w:tcW w:w="781" w:type="dxa"/>
            <w:shd w:val="clear" w:color="auto" w:fill="D9D9D9" w:themeFill="background1" w:themeFillShade="D9"/>
          </w:tcPr>
          <w:p w14:paraId="031CA250" w14:textId="48B9D219" w:rsidR="00830218" w:rsidRPr="00830218" w:rsidRDefault="00830218" w:rsidP="00830218">
            <w:pPr>
              <w:pStyle w:val="TableText"/>
              <w:jc w:val="right"/>
              <w:rPr>
                <w:b/>
                <w:bCs/>
                <w:w w:val="105"/>
              </w:rPr>
            </w:pPr>
            <w:r w:rsidRPr="00830218">
              <w:rPr>
                <w:b/>
                <w:bCs/>
                <w:w w:val="105"/>
              </w:rPr>
              <w:t>1-5 years</w:t>
            </w:r>
          </w:p>
        </w:tc>
      </w:tr>
      <w:tr w:rsidR="00830218" w14:paraId="32D8274C" w14:textId="77777777" w:rsidTr="00830218">
        <w:trPr>
          <w:trHeight w:val="394"/>
        </w:trPr>
        <w:tc>
          <w:tcPr>
            <w:tcW w:w="2552" w:type="dxa"/>
            <w:vMerge/>
            <w:tcBorders>
              <w:top w:val="nil"/>
            </w:tcBorders>
            <w:shd w:val="clear" w:color="auto" w:fill="D9D9D9" w:themeFill="background1" w:themeFillShade="D9"/>
          </w:tcPr>
          <w:p w14:paraId="10FB1A0D" w14:textId="77777777" w:rsidR="00830218" w:rsidRDefault="00830218" w:rsidP="00830218">
            <w:pPr>
              <w:pStyle w:val="TableText"/>
              <w:rPr>
                <w:sz w:val="2"/>
                <w:szCs w:val="2"/>
              </w:rPr>
            </w:pPr>
          </w:p>
        </w:tc>
        <w:tc>
          <w:tcPr>
            <w:tcW w:w="1100" w:type="dxa"/>
            <w:shd w:val="clear" w:color="auto" w:fill="D9D9D9" w:themeFill="background1" w:themeFillShade="D9"/>
          </w:tcPr>
          <w:p w14:paraId="0C231DBF" w14:textId="77777777" w:rsidR="00830218" w:rsidRPr="00830218" w:rsidRDefault="00830218" w:rsidP="00830218">
            <w:pPr>
              <w:pStyle w:val="TableText"/>
              <w:jc w:val="right"/>
              <w:rPr>
                <w:b/>
                <w:bCs/>
                <w:w w:val="105"/>
              </w:rPr>
            </w:pPr>
            <w:r w:rsidRPr="00830218">
              <w:rPr>
                <w:b/>
                <w:bCs/>
                <w:w w:val="105"/>
              </w:rPr>
              <w:t>$000</w:t>
            </w:r>
          </w:p>
        </w:tc>
        <w:tc>
          <w:tcPr>
            <w:tcW w:w="1464" w:type="dxa"/>
            <w:shd w:val="clear" w:color="auto" w:fill="D9D9D9" w:themeFill="background1" w:themeFillShade="D9"/>
          </w:tcPr>
          <w:p w14:paraId="3A38E4A1" w14:textId="77777777" w:rsidR="00830218" w:rsidRPr="00830218" w:rsidRDefault="00830218" w:rsidP="00830218">
            <w:pPr>
              <w:pStyle w:val="TableText"/>
              <w:jc w:val="right"/>
              <w:rPr>
                <w:b/>
                <w:bCs/>
                <w:w w:val="105"/>
              </w:rPr>
            </w:pPr>
            <w:r w:rsidRPr="00830218">
              <w:rPr>
                <w:b/>
                <w:bCs/>
                <w:w w:val="105"/>
              </w:rPr>
              <w:t>$000</w:t>
            </w:r>
          </w:p>
        </w:tc>
        <w:tc>
          <w:tcPr>
            <w:tcW w:w="1189" w:type="dxa"/>
            <w:shd w:val="clear" w:color="auto" w:fill="D9D9D9" w:themeFill="background1" w:themeFillShade="D9"/>
          </w:tcPr>
          <w:p w14:paraId="33A7CFD4" w14:textId="77777777" w:rsidR="00830218" w:rsidRPr="00830218" w:rsidRDefault="00830218" w:rsidP="00830218">
            <w:pPr>
              <w:pStyle w:val="TableText"/>
              <w:jc w:val="right"/>
              <w:rPr>
                <w:b/>
                <w:bCs/>
                <w:w w:val="105"/>
              </w:rPr>
            </w:pPr>
            <w:r w:rsidRPr="00830218">
              <w:rPr>
                <w:b/>
                <w:bCs/>
                <w:w w:val="105"/>
              </w:rPr>
              <w:t>$000</w:t>
            </w:r>
          </w:p>
        </w:tc>
        <w:tc>
          <w:tcPr>
            <w:tcW w:w="1278" w:type="dxa"/>
            <w:shd w:val="clear" w:color="auto" w:fill="D9D9D9" w:themeFill="background1" w:themeFillShade="D9"/>
          </w:tcPr>
          <w:p w14:paraId="47DCBB9A" w14:textId="77777777" w:rsidR="00830218" w:rsidRPr="00830218" w:rsidRDefault="00830218" w:rsidP="00830218">
            <w:pPr>
              <w:pStyle w:val="TableText"/>
              <w:jc w:val="right"/>
              <w:rPr>
                <w:b/>
                <w:bCs/>
                <w:w w:val="105"/>
              </w:rPr>
            </w:pPr>
            <w:r w:rsidRPr="00830218">
              <w:rPr>
                <w:b/>
                <w:bCs/>
                <w:w w:val="105"/>
              </w:rPr>
              <w:t>$000</w:t>
            </w:r>
          </w:p>
        </w:tc>
        <w:tc>
          <w:tcPr>
            <w:tcW w:w="781" w:type="dxa"/>
            <w:shd w:val="clear" w:color="auto" w:fill="D9D9D9" w:themeFill="background1" w:themeFillShade="D9"/>
          </w:tcPr>
          <w:p w14:paraId="7A15D6A3" w14:textId="77777777" w:rsidR="00830218" w:rsidRPr="00830218" w:rsidRDefault="00830218" w:rsidP="00830218">
            <w:pPr>
              <w:pStyle w:val="TableText"/>
              <w:jc w:val="right"/>
              <w:rPr>
                <w:b/>
                <w:bCs/>
                <w:w w:val="105"/>
              </w:rPr>
            </w:pPr>
            <w:r w:rsidRPr="00830218">
              <w:rPr>
                <w:b/>
                <w:bCs/>
                <w:w w:val="105"/>
              </w:rPr>
              <w:t>$000</w:t>
            </w:r>
          </w:p>
        </w:tc>
      </w:tr>
      <w:tr w:rsidR="00830218" w14:paraId="73339B69" w14:textId="77777777" w:rsidTr="00830218">
        <w:trPr>
          <w:trHeight w:val="369"/>
        </w:trPr>
        <w:tc>
          <w:tcPr>
            <w:tcW w:w="2552" w:type="dxa"/>
          </w:tcPr>
          <w:p w14:paraId="296860A8" w14:textId="77777777" w:rsidR="00830218" w:rsidRDefault="00830218" w:rsidP="00830218">
            <w:pPr>
              <w:pStyle w:val="TableText"/>
            </w:pPr>
            <w:r>
              <w:rPr>
                <w:w w:val="105"/>
              </w:rPr>
              <w:t>Payables</w:t>
            </w:r>
          </w:p>
        </w:tc>
        <w:tc>
          <w:tcPr>
            <w:tcW w:w="1100" w:type="dxa"/>
          </w:tcPr>
          <w:p w14:paraId="2450E2E7" w14:textId="77777777" w:rsidR="00830218" w:rsidRDefault="00830218" w:rsidP="00830218">
            <w:pPr>
              <w:pStyle w:val="TableText"/>
              <w:jc w:val="right"/>
            </w:pPr>
            <w:r>
              <w:t>76,313</w:t>
            </w:r>
          </w:p>
        </w:tc>
        <w:tc>
          <w:tcPr>
            <w:tcW w:w="1464" w:type="dxa"/>
          </w:tcPr>
          <w:p w14:paraId="4E1D718A" w14:textId="77777777" w:rsidR="00830218" w:rsidRDefault="00830218" w:rsidP="00830218">
            <w:pPr>
              <w:pStyle w:val="TableText"/>
              <w:jc w:val="right"/>
            </w:pPr>
            <w:r>
              <w:t>76,313</w:t>
            </w:r>
          </w:p>
        </w:tc>
        <w:tc>
          <w:tcPr>
            <w:tcW w:w="1189" w:type="dxa"/>
          </w:tcPr>
          <w:p w14:paraId="5A9988C2" w14:textId="77777777" w:rsidR="00830218" w:rsidRDefault="00830218" w:rsidP="00830218">
            <w:pPr>
              <w:pStyle w:val="TableText"/>
              <w:jc w:val="right"/>
            </w:pPr>
            <w:r>
              <w:t>76,313</w:t>
            </w:r>
          </w:p>
        </w:tc>
        <w:tc>
          <w:tcPr>
            <w:tcW w:w="1278" w:type="dxa"/>
          </w:tcPr>
          <w:p w14:paraId="4F205B35" w14:textId="77777777" w:rsidR="00830218" w:rsidRDefault="00830218" w:rsidP="00830218">
            <w:pPr>
              <w:pStyle w:val="TableText"/>
              <w:jc w:val="right"/>
            </w:pPr>
            <w:r>
              <w:rPr>
                <w:w w:val="135"/>
              </w:rPr>
              <w:t>–</w:t>
            </w:r>
          </w:p>
        </w:tc>
        <w:tc>
          <w:tcPr>
            <w:tcW w:w="781" w:type="dxa"/>
          </w:tcPr>
          <w:p w14:paraId="2757ED34" w14:textId="77777777" w:rsidR="00830218" w:rsidRDefault="00830218" w:rsidP="00830218">
            <w:pPr>
              <w:pStyle w:val="TableText"/>
              <w:jc w:val="right"/>
            </w:pPr>
            <w:r>
              <w:rPr>
                <w:w w:val="135"/>
              </w:rPr>
              <w:t>–</w:t>
            </w:r>
          </w:p>
        </w:tc>
      </w:tr>
      <w:tr w:rsidR="00830218" w14:paraId="4B30140A" w14:textId="77777777" w:rsidTr="00830218">
        <w:trPr>
          <w:trHeight w:val="346"/>
        </w:trPr>
        <w:tc>
          <w:tcPr>
            <w:tcW w:w="2552" w:type="dxa"/>
          </w:tcPr>
          <w:p w14:paraId="1DDDFBD7" w14:textId="77777777" w:rsidR="00830218" w:rsidRDefault="00830218" w:rsidP="00830218">
            <w:pPr>
              <w:pStyle w:val="TableText"/>
            </w:pPr>
            <w:r>
              <w:rPr>
                <w:w w:val="105"/>
              </w:rPr>
              <w:t>Return</w:t>
            </w:r>
            <w:r>
              <w:rPr>
                <w:spacing w:val="-1"/>
                <w:w w:val="105"/>
              </w:rPr>
              <w:t xml:space="preserve"> </w:t>
            </w:r>
            <w:r>
              <w:rPr>
                <w:w w:val="105"/>
              </w:rPr>
              <w:t>of</w:t>
            </w:r>
            <w:r>
              <w:rPr>
                <w:spacing w:val="-1"/>
                <w:w w:val="105"/>
              </w:rPr>
              <w:t xml:space="preserve"> </w:t>
            </w:r>
            <w:r>
              <w:rPr>
                <w:w w:val="105"/>
              </w:rPr>
              <w:t>operating surplus</w:t>
            </w:r>
          </w:p>
        </w:tc>
        <w:tc>
          <w:tcPr>
            <w:tcW w:w="1100" w:type="dxa"/>
          </w:tcPr>
          <w:p w14:paraId="681321C6" w14:textId="77777777" w:rsidR="00830218" w:rsidRDefault="00830218" w:rsidP="00830218">
            <w:pPr>
              <w:pStyle w:val="TableText"/>
              <w:jc w:val="right"/>
            </w:pPr>
            <w:r>
              <w:t>142,589</w:t>
            </w:r>
          </w:p>
        </w:tc>
        <w:tc>
          <w:tcPr>
            <w:tcW w:w="1464" w:type="dxa"/>
          </w:tcPr>
          <w:p w14:paraId="41038B63" w14:textId="77777777" w:rsidR="00830218" w:rsidRDefault="00830218" w:rsidP="00830218">
            <w:pPr>
              <w:pStyle w:val="TableText"/>
              <w:jc w:val="right"/>
            </w:pPr>
            <w:r>
              <w:t>142,589</w:t>
            </w:r>
          </w:p>
        </w:tc>
        <w:tc>
          <w:tcPr>
            <w:tcW w:w="1189" w:type="dxa"/>
          </w:tcPr>
          <w:p w14:paraId="4007225E" w14:textId="77777777" w:rsidR="00830218" w:rsidRDefault="00830218" w:rsidP="00830218">
            <w:pPr>
              <w:pStyle w:val="TableText"/>
              <w:jc w:val="right"/>
            </w:pPr>
            <w:r>
              <w:t>142,589</w:t>
            </w:r>
          </w:p>
        </w:tc>
        <w:tc>
          <w:tcPr>
            <w:tcW w:w="1278" w:type="dxa"/>
          </w:tcPr>
          <w:p w14:paraId="6CBE3BF9" w14:textId="77777777" w:rsidR="00830218" w:rsidRDefault="00830218" w:rsidP="00830218">
            <w:pPr>
              <w:pStyle w:val="TableText"/>
              <w:jc w:val="right"/>
            </w:pPr>
            <w:r>
              <w:rPr>
                <w:w w:val="135"/>
              </w:rPr>
              <w:t>–</w:t>
            </w:r>
          </w:p>
        </w:tc>
        <w:tc>
          <w:tcPr>
            <w:tcW w:w="781" w:type="dxa"/>
          </w:tcPr>
          <w:p w14:paraId="590FB8C4" w14:textId="77777777" w:rsidR="00830218" w:rsidRDefault="00830218" w:rsidP="00830218">
            <w:pPr>
              <w:pStyle w:val="TableText"/>
              <w:jc w:val="right"/>
            </w:pPr>
            <w:r>
              <w:rPr>
                <w:w w:val="135"/>
              </w:rPr>
              <w:t>–</w:t>
            </w:r>
          </w:p>
        </w:tc>
      </w:tr>
      <w:tr w:rsidR="00830218" w14:paraId="4B5D6746" w14:textId="77777777" w:rsidTr="00830218">
        <w:trPr>
          <w:trHeight w:val="322"/>
        </w:trPr>
        <w:tc>
          <w:tcPr>
            <w:tcW w:w="2552" w:type="dxa"/>
            <w:tcBorders>
              <w:bottom w:val="single" w:sz="4" w:space="0" w:color="A6A6A6" w:themeColor="background1" w:themeShade="A6"/>
            </w:tcBorders>
          </w:tcPr>
          <w:p w14:paraId="0E7D9F80" w14:textId="77777777" w:rsidR="00830218" w:rsidRDefault="00830218" w:rsidP="00830218">
            <w:pPr>
              <w:pStyle w:val="TableText"/>
              <w:rPr>
                <w:b/>
              </w:rPr>
            </w:pPr>
            <w:r>
              <w:rPr>
                <w:b/>
                <w:w w:val="105"/>
              </w:rPr>
              <w:t>Balance</w:t>
            </w:r>
            <w:r>
              <w:rPr>
                <w:b/>
                <w:spacing w:val="-5"/>
                <w:w w:val="105"/>
              </w:rPr>
              <w:t xml:space="preserve"> </w:t>
            </w:r>
            <w:r>
              <w:rPr>
                <w:b/>
                <w:w w:val="105"/>
              </w:rPr>
              <w:t>as</w:t>
            </w:r>
            <w:r>
              <w:rPr>
                <w:b/>
                <w:spacing w:val="-4"/>
                <w:w w:val="105"/>
              </w:rPr>
              <w:t xml:space="preserve"> </w:t>
            </w:r>
            <w:r>
              <w:rPr>
                <w:b/>
                <w:w w:val="105"/>
              </w:rPr>
              <w:t>at</w:t>
            </w:r>
            <w:r>
              <w:rPr>
                <w:b/>
                <w:spacing w:val="-5"/>
                <w:w w:val="105"/>
              </w:rPr>
              <w:t xml:space="preserve"> </w:t>
            </w:r>
            <w:r>
              <w:rPr>
                <w:b/>
                <w:w w:val="105"/>
              </w:rPr>
              <w:t>30</w:t>
            </w:r>
            <w:r>
              <w:rPr>
                <w:b/>
                <w:spacing w:val="-4"/>
                <w:w w:val="105"/>
              </w:rPr>
              <w:t xml:space="preserve"> </w:t>
            </w:r>
            <w:r>
              <w:rPr>
                <w:b/>
                <w:w w:val="105"/>
              </w:rPr>
              <w:t>June</w:t>
            </w:r>
            <w:r>
              <w:rPr>
                <w:b/>
                <w:spacing w:val="-4"/>
                <w:w w:val="105"/>
              </w:rPr>
              <w:t xml:space="preserve"> </w:t>
            </w:r>
            <w:r>
              <w:rPr>
                <w:b/>
                <w:w w:val="105"/>
              </w:rPr>
              <w:t>2022</w:t>
            </w:r>
          </w:p>
        </w:tc>
        <w:tc>
          <w:tcPr>
            <w:tcW w:w="1100" w:type="dxa"/>
            <w:tcBorders>
              <w:bottom w:val="single" w:sz="4" w:space="0" w:color="A6A6A6" w:themeColor="background1" w:themeShade="A6"/>
            </w:tcBorders>
          </w:tcPr>
          <w:p w14:paraId="045C9924" w14:textId="77777777" w:rsidR="00830218" w:rsidRDefault="00830218" w:rsidP="00830218">
            <w:pPr>
              <w:pStyle w:val="TableText"/>
              <w:jc w:val="right"/>
              <w:rPr>
                <w:b/>
              </w:rPr>
            </w:pPr>
            <w:r>
              <w:rPr>
                <w:b/>
              </w:rPr>
              <w:t>218,902</w:t>
            </w:r>
          </w:p>
        </w:tc>
        <w:tc>
          <w:tcPr>
            <w:tcW w:w="1464" w:type="dxa"/>
            <w:tcBorders>
              <w:bottom w:val="single" w:sz="4" w:space="0" w:color="A6A6A6" w:themeColor="background1" w:themeShade="A6"/>
            </w:tcBorders>
          </w:tcPr>
          <w:p w14:paraId="6F6BB0EC" w14:textId="77777777" w:rsidR="00830218" w:rsidRDefault="00830218" w:rsidP="00830218">
            <w:pPr>
              <w:pStyle w:val="TableText"/>
              <w:jc w:val="right"/>
              <w:rPr>
                <w:b/>
              </w:rPr>
            </w:pPr>
            <w:r>
              <w:rPr>
                <w:b/>
              </w:rPr>
              <w:t>218,902</w:t>
            </w:r>
          </w:p>
        </w:tc>
        <w:tc>
          <w:tcPr>
            <w:tcW w:w="1189" w:type="dxa"/>
            <w:tcBorders>
              <w:bottom w:val="single" w:sz="4" w:space="0" w:color="A6A6A6" w:themeColor="background1" w:themeShade="A6"/>
            </w:tcBorders>
          </w:tcPr>
          <w:p w14:paraId="116F4C71" w14:textId="77777777" w:rsidR="00830218" w:rsidRDefault="00830218" w:rsidP="00830218">
            <w:pPr>
              <w:pStyle w:val="TableText"/>
              <w:jc w:val="right"/>
              <w:rPr>
                <w:b/>
              </w:rPr>
            </w:pPr>
            <w:r>
              <w:rPr>
                <w:b/>
              </w:rPr>
              <w:t>218,902</w:t>
            </w:r>
          </w:p>
        </w:tc>
        <w:tc>
          <w:tcPr>
            <w:tcW w:w="1278" w:type="dxa"/>
            <w:tcBorders>
              <w:bottom w:val="single" w:sz="4" w:space="0" w:color="A6A6A6" w:themeColor="background1" w:themeShade="A6"/>
            </w:tcBorders>
          </w:tcPr>
          <w:p w14:paraId="75D44485" w14:textId="77777777" w:rsidR="00830218" w:rsidRDefault="00830218" w:rsidP="00830218">
            <w:pPr>
              <w:pStyle w:val="TableText"/>
              <w:jc w:val="right"/>
              <w:rPr>
                <w:b/>
              </w:rPr>
            </w:pPr>
            <w:r>
              <w:rPr>
                <w:b/>
                <w:w w:val="140"/>
              </w:rPr>
              <w:t>–</w:t>
            </w:r>
          </w:p>
        </w:tc>
        <w:tc>
          <w:tcPr>
            <w:tcW w:w="781" w:type="dxa"/>
            <w:tcBorders>
              <w:bottom w:val="single" w:sz="4" w:space="0" w:color="A6A6A6" w:themeColor="background1" w:themeShade="A6"/>
            </w:tcBorders>
          </w:tcPr>
          <w:p w14:paraId="6B55885E" w14:textId="77777777" w:rsidR="00830218" w:rsidRDefault="00830218" w:rsidP="00830218">
            <w:pPr>
              <w:pStyle w:val="TableText"/>
              <w:jc w:val="right"/>
              <w:rPr>
                <w:b/>
              </w:rPr>
            </w:pPr>
            <w:r>
              <w:rPr>
                <w:b/>
                <w:w w:val="140"/>
              </w:rPr>
              <w:t>–</w:t>
            </w:r>
          </w:p>
        </w:tc>
      </w:tr>
      <w:tr w:rsidR="00830218" w14:paraId="25D204C7" w14:textId="77777777" w:rsidTr="00830218">
        <w:trPr>
          <w:trHeight w:val="367"/>
        </w:trPr>
        <w:tc>
          <w:tcPr>
            <w:tcW w:w="2552" w:type="dxa"/>
            <w:tcBorders>
              <w:top w:val="single" w:sz="4" w:space="0" w:color="A6A6A6" w:themeColor="background1" w:themeShade="A6"/>
            </w:tcBorders>
          </w:tcPr>
          <w:p w14:paraId="594FBC46" w14:textId="77777777" w:rsidR="00830218" w:rsidRDefault="00830218" w:rsidP="00830218">
            <w:pPr>
              <w:pStyle w:val="TableText"/>
            </w:pPr>
            <w:r>
              <w:rPr>
                <w:w w:val="105"/>
              </w:rPr>
              <w:t>Payables</w:t>
            </w:r>
          </w:p>
        </w:tc>
        <w:tc>
          <w:tcPr>
            <w:tcW w:w="1100" w:type="dxa"/>
            <w:tcBorders>
              <w:top w:val="single" w:sz="4" w:space="0" w:color="A6A6A6" w:themeColor="background1" w:themeShade="A6"/>
            </w:tcBorders>
          </w:tcPr>
          <w:p w14:paraId="62F6AD15" w14:textId="77777777" w:rsidR="00830218" w:rsidRDefault="00830218" w:rsidP="00830218">
            <w:pPr>
              <w:pStyle w:val="TableText"/>
              <w:jc w:val="right"/>
            </w:pPr>
            <w:r>
              <w:rPr>
                <w:w w:val="105"/>
              </w:rPr>
              <w:t>46,292</w:t>
            </w:r>
          </w:p>
        </w:tc>
        <w:tc>
          <w:tcPr>
            <w:tcW w:w="1464" w:type="dxa"/>
            <w:tcBorders>
              <w:top w:val="single" w:sz="4" w:space="0" w:color="A6A6A6" w:themeColor="background1" w:themeShade="A6"/>
            </w:tcBorders>
          </w:tcPr>
          <w:p w14:paraId="2C5AEECC" w14:textId="77777777" w:rsidR="00830218" w:rsidRDefault="00830218" w:rsidP="00830218">
            <w:pPr>
              <w:pStyle w:val="TableText"/>
              <w:jc w:val="right"/>
            </w:pPr>
            <w:r>
              <w:rPr>
                <w:w w:val="105"/>
              </w:rPr>
              <w:t>46,292</w:t>
            </w:r>
          </w:p>
        </w:tc>
        <w:tc>
          <w:tcPr>
            <w:tcW w:w="1189" w:type="dxa"/>
            <w:tcBorders>
              <w:top w:val="single" w:sz="4" w:space="0" w:color="A6A6A6" w:themeColor="background1" w:themeShade="A6"/>
            </w:tcBorders>
          </w:tcPr>
          <w:p w14:paraId="3787DEBA" w14:textId="77777777" w:rsidR="00830218" w:rsidRDefault="00830218" w:rsidP="00830218">
            <w:pPr>
              <w:pStyle w:val="TableText"/>
              <w:jc w:val="right"/>
            </w:pPr>
            <w:r>
              <w:rPr>
                <w:w w:val="105"/>
              </w:rPr>
              <w:t>46,292</w:t>
            </w:r>
          </w:p>
        </w:tc>
        <w:tc>
          <w:tcPr>
            <w:tcW w:w="1278" w:type="dxa"/>
            <w:tcBorders>
              <w:top w:val="single" w:sz="4" w:space="0" w:color="A6A6A6" w:themeColor="background1" w:themeShade="A6"/>
            </w:tcBorders>
          </w:tcPr>
          <w:p w14:paraId="72785E82" w14:textId="77777777" w:rsidR="00830218" w:rsidRDefault="00830218" w:rsidP="00830218">
            <w:pPr>
              <w:pStyle w:val="TableText"/>
              <w:jc w:val="right"/>
            </w:pPr>
            <w:r>
              <w:rPr>
                <w:w w:val="135"/>
              </w:rPr>
              <w:t>–</w:t>
            </w:r>
          </w:p>
        </w:tc>
        <w:tc>
          <w:tcPr>
            <w:tcW w:w="781" w:type="dxa"/>
            <w:tcBorders>
              <w:top w:val="single" w:sz="4" w:space="0" w:color="A6A6A6" w:themeColor="background1" w:themeShade="A6"/>
            </w:tcBorders>
          </w:tcPr>
          <w:p w14:paraId="0ECE925F" w14:textId="77777777" w:rsidR="00830218" w:rsidRDefault="00830218" w:rsidP="00830218">
            <w:pPr>
              <w:pStyle w:val="TableText"/>
              <w:jc w:val="right"/>
            </w:pPr>
            <w:r>
              <w:rPr>
                <w:w w:val="135"/>
              </w:rPr>
              <w:t>–</w:t>
            </w:r>
          </w:p>
        </w:tc>
      </w:tr>
      <w:tr w:rsidR="00830218" w14:paraId="7CA00728" w14:textId="77777777" w:rsidTr="00830218">
        <w:trPr>
          <w:trHeight w:val="346"/>
        </w:trPr>
        <w:tc>
          <w:tcPr>
            <w:tcW w:w="2552" w:type="dxa"/>
          </w:tcPr>
          <w:p w14:paraId="050E1DF7" w14:textId="77777777" w:rsidR="00830218" w:rsidRDefault="00830218" w:rsidP="00830218">
            <w:pPr>
              <w:pStyle w:val="TableText"/>
            </w:pPr>
            <w:r>
              <w:rPr>
                <w:w w:val="105"/>
              </w:rPr>
              <w:t>Return</w:t>
            </w:r>
            <w:r>
              <w:rPr>
                <w:spacing w:val="-1"/>
                <w:w w:val="105"/>
              </w:rPr>
              <w:t xml:space="preserve"> </w:t>
            </w:r>
            <w:r>
              <w:rPr>
                <w:w w:val="105"/>
              </w:rPr>
              <w:t>of</w:t>
            </w:r>
            <w:r>
              <w:rPr>
                <w:spacing w:val="-1"/>
                <w:w w:val="105"/>
              </w:rPr>
              <w:t xml:space="preserve"> </w:t>
            </w:r>
            <w:r>
              <w:rPr>
                <w:w w:val="105"/>
              </w:rPr>
              <w:t>operating surplus</w:t>
            </w:r>
          </w:p>
        </w:tc>
        <w:tc>
          <w:tcPr>
            <w:tcW w:w="1100" w:type="dxa"/>
          </w:tcPr>
          <w:p w14:paraId="09A02DC7" w14:textId="77777777" w:rsidR="00830218" w:rsidRDefault="00830218" w:rsidP="00830218">
            <w:pPr>
              <w:pStyle w:val="TableText"/>
              <w:jc w:val="right"/>
            </w:pPr>
            <w:r>
              <w:rPr>
                <w:w w:val="105"/>
              </w:rPr>
              <w:t>34,264</w:t>
            </w:r>
          </w:p>
        </w:tc>
        <w:tc>
          <w:tcPr>
            <w:tcW w:w="1464" w:type="dxa"/>
          </w:tcPr>
          <w:p w14:paraId="6108E2BD" w14:textId="77777777" w:rsidR="00830218" w:rsidRDefault="00830218" w:rsidP="00830218">
            <w:pPr>
              <w:pStyle w:val="TableText"/>
              <w:jc w:val="right"/>
            </w:pPr>
            <w:r>
              <w:rPr>
                <w:w w:val="105"/>
              </w:rPr>
              <w:t>34,264</w:t>
            </w:r>
          </w:p>
        </w:tc>
        <w:tc>
          <w:tcPr>
            <w:tcW w:w="1189" w:type="dxa"/>
          </w:tcPr>
          <w:p w14:paraId="2CEF5663" w14:textId="77777777" w:rsidR="00830218" w:rsidRDefault="00830218" w:rsidP="00830218">
            <w:pPr>
              <w:pStyle w:val="TableText"/>
              <w:jc w:val="right"/>
            </w:pPr>
            <w:r>
              <w:rPr>
                <w:w w:val="105"/>
              </w:rPr>
              <w:t>34,264</w:t>
            </w:r>
          </w:p>
        </w:tc>
        <w:tc>
          <w:tcPr>
            <w:tcW w:w="1278" w:type="dxa"/>
          </w:tcPr>
          <w:p w14:paraId="74D1D2C0" w14:textId="77777777" w:rsidR="00830218" w:rsidRDefault="00830218" w:rsidP="00830218">
            <w:pPr>
              <w:pStyle w:val="TableText"/>
              <w:jc w:val="right"/>
            </w:pPr>
            <w:r>
              <w:rPr>
                <w:w w:val="135"/>
              </w:rPr>
              <w:t>–</w:t>
            </w:r>
          </w:p>
        </w:tc>
        <w:tc>
          <w:tcPr>
            <w:tcW w:w="781" w:type="dxa"/>
          </w:tcPr>
          <w:p w14:paraId="308F1832" w14:textId="77777777" w:rsidR="00830218" w:rsidRDefault="00830218" w:rsidP="00830218">
            <w:pPr>
              <w:pStyle w:val="TableText"/>
              <w:jc w:val="right"/>
            </w:pPr>
            <w:r>
              <w:rPr>
                <w:w w:val="135"/>
              </w:rPr>
              <w:t>–</w:t>
            </w:r>
          </w:p>
        </w:tc>
      </w:tr>
      <w:tr w:rsidR="00830218" w14:paraId="0EE0B7F8" w14:textId="77777777" w:rsidTr="00830218">
        <w:trPr>
          <w:trHeight w:val="291"/>
        </w:trPr>
        <w:tc>
          <w:tcPr>
            <w:tcW w:w="2552" w:type="dxa"/>
            <w:tcBorders>
              <w:bottom w:val="single" w:sz="4" w:space="0" w:color="A6A6A6" w:themeColor="background1" w:themeShade="A6"/>
            </w:tcBorders>
          </w:tcPr>
          <w:p w14:paraId="223F974C" w14:textId="77777777" w:rsidR="00830218" w:rsidRDefault="00830218" w:rsidP="00830218">
            <w:pPr>
              <w:pStyle w:val="TableText"/>
              <w:rPr>
                <w:b/>
              </w:rPr>
            </w:pPr>
            <w:r>
              <w:rPr>
                <w:b/>
                <w:w w:val="105"/>
              </w:rPr>
              <w:t>Balance</w:t>
            </w:r>
            <w:r>
              <w:rPr>
                <w:b/>
                <w:spacing w:val="-11"/>
                <w:w w:val="105"/>
              </w:rPr>
              <w:t xml:space="preserve"> </w:t>
            </w:r>
            <w:r>
              <w:rPr>
                <w:b/>
                <w:w w:val="105"/>
              </w:rPr>
              <w:t>as</w:t>
            </w:r>
            <w:r>
              <w:rPr>
                <w:b/>
                <w:spacing w:val="-10"/>
                <w:w w:val="105"/>
              </w:rPr>
              <w:t xml:space="preserve"> </w:t>
            </w:r>
            <w:r>
              <w:rPr>
                <w:b/>
                <w:w w:val="105"/>
              </w:rPr>
              <w:t>at</w:t>
            </w:r>
            <w:r>
              <w:rPr>
                <w:b/>
                <w:spacing w:val="-10"/>
                <w:w w:val="105"/>
              </w:rPr>
              <w:t xml:space="preserve"> </w:t>
            </w:r>
            <w:r>
              <w:rPr>
                <w:b/>
                <w:w w:val="105"/>
              </w:rPr>
              <w:t>30</w:t>
            </w:r>
            <w:r>
              <w:rPr>
                <w:b/>
                <w:spacing w:val="-11"/>
                <w:w w:val="105"/>
              </w:rPr>
              <w:t xml:space="preserve"> </w:t>
            </w:r>
            <w:r>
              <w:rPr>
                <w:b/>
                <w:w w:val="105"/>
              </w:rPr>
              <w:t>June</w:t>
            </w:r>
            <w:r>
              <w:rPr>
                <w:b/>
                <w:spacing w:val="-10"/>
                <w:w w:val="105"/>
              </w:rPr>
              <w:t xml:space="preserve"> </w:t>
            </w:r>
            <w:r>
              <w:rPr>
                <w:b/>
                <w:w w:val="105"/>
              </w:rPr>
              <w:t>2021</w:t>
            </w:r>
          </w:p>
        </w:tc>
        <w:tc>
          <w:tcPr>
            <w:tcW w:w="1100" w:type="dxa"/>
            <w:tcBorders>
              <w:bottom w:val="single" w:sz="4" w:space="0" w:color="A6A6A6" w:themeColor="background1" w:themeShade="A6"/>
            </w:tcBorders>
          </w:tcPr>
          <w:p w14:paraId="7C9C0B8F" w14:textId="77777777" w:rsidR="00830218" w:rsidRPr="00830218" w:rsidRDefault="00830218" w:rsidP="00830218">
            <w:pPr>
              <w:pStyle w:val="TableText"/>
              <w:jc w:val="right"/>
              <w:rPr>
                <w:b/>
                <w:bCs/>
              </w:rPr>
            </w:pPr>
            <w:r w:rsidRPr="00830218">
              <w:rPr>
                <w:b/>
                <w:bCs/>
              </w:rPr>
              <w:t>80,556</w:t>
            </w:r>
          </w:p>
        </w:tc>
        <w:tc>
          <w:tcPr>
            <w:tcW w:w="1464" w:type="dxa"/>
            <w:tcBorders>
              <w:bottom w:val="single" w:sz="4" w:space="0" w:color="A6A6A6" w:themeColor="background1" w:themeShade="A6"/>
            </w:tcBorders>
          </w:tcPr>
          <w:p w14:paraId="09745BB2" w14:textId="77777777" w:rsidR="00830218" w:rsidRPr="00830218" w:rsidRDefault="00830218" w:rsidP="00830218">
            <w:pPr>
              <w:pStyle w:val="TableText"/>
              <w:jc w:val="right"/>
              <w:rPr>
                <w:b/>
                <w:bCs/>
              </w:rPr>
            </w:pPr>
            <w:r w:rsidRPr="00830218">
              <w:rPr>
                <w:b/>
                <w:bCs/>
              </w:rPr>
              <w:t>80,556</w:t>
            </w:r>
          </w:p>
        </w:tc>
        <w:tc>
          <w:tcPr>
            <w:tcW w:w="1189" w:type="dxa"/>
            <w:tcBorders>
              <w:bottom w:val="single" w:sz="4" w:space="0" w:color="A6A6A6" w:themeColor="background1" w:themeShade="A6"/>
            </w:tcBorders>
          </w:tcPr>
          <w:p w14:paraId="4FEE811F" w14:textId="77777777" w:rsidR="00830218" w:rsidRPr="00830218" w:rsidRDefault="00830218" w:rsidP="00830218">
            <w:pPr>
              <w:pStyle w:val="TableText"/>
              <w:jc w:val="right"/>
              <w:rPr>
                <w:b/>
                <w:bCs/>
              </w:rPr>
            </w:pPr>
            <w:r w:rsidRPr="00830218">
              <w:rPr>
                <w:b/>
                <w:bCs/>
              </w:rPr>
              <w:t>80,556</w:t>
            </w:r>
          </w:p>
        </w:tc>
        <w:tc>
          <w:tcPr>
            <w:tcW w:w="1278" w:type="dxa"/>
            <w:tcBorders>
              <w:bottom w:val="single" w:sz="4" w:space="0" w:color="A6A6A6" w:themeColor="background1" w:themeShade="A6"/>
            </w:tcBorders>
          </w:tcPr>
          <w:p w14:paraId="0BDC6AB7" w14:textId="77777777" w:rsidR="00830218" w:rsidRDefault="00830218" w:rsidP="00830218">
            <w:pPr>
              <w:pStyle w:val="TableText"/>
              <w:jc w:val="right"/>
              <w:rPr>
                <w:b/>
              </w:rPr>
            </w:pPr>
            <w:r>
              <w:rPr>
                <w:b/>
                <w:w w:val="140"/>
              </w:rPr>
              <w:t>–</w:t>
            </w:r>
          </w:p>
        </w:tc>
        <w:tc>
          <w:tcPr>
            <w:tcW w:w="781" w:type="dxa"/>
            <w:tcBorders>
              <w:bottom w:val="single" w:sz="4" w:space="0" w:color="A6A6A6" w:themeColor="background1" w:themeShade="A6"/>
            </w:tcBorders>
          </w:tcPr>
          <w:p w14:paraId="21F6A9E7" w14:textId="77777777" w:rsidR="00830218" w:rsidRDefault="00830218" w:rsidP="00830218">
            <w:pPr>
              <w:pStyle w:val="TableText"/>
              <w:jc w:val="right"/>
              <w:rPr>
                <w:b/>
              </w:rPr>
            </w:pPr>
            <w:r>
              <w:rPr>
                <w:b/>
                <w:w w:val="140"/>
              </w:rPr>
              <w:t>–</w:t>
            </w:r>
          </w:p>
        </w:tc>
      </w:tr>
    </w:tbl>
    <w:p w14:paraId="0970D438" w14:textId="77777777" w:rsidR="008D03E5" w:rsidRPr="008D03E5" w:rsidRDefault="008D03E5" w:rsidP="008D03E5">
      <w:pPr>
        <w:pStyle w:val="Heading4"/>
      </w:pPr>
      <w:r w:rsidRPr="008D03E5">
        <w:t>15</w:t>
      </w:r>
      <w:r w:rsidRPr="008D03E5">
        <w:tab/>
        <w:t>Departmental agency results</w:t>
      </w:r>
    </w:p>
    <w:p w14:paraId="488A0C16" w14:textId="1FE1AD30" w:rsidR="008D03E5" w:rsidRPr="008D03E5" w:rsidRDefault="008D03E5" w:rsidP="008D03E5">
      <w:pPr>
        <w:pStyle w:val="Heading5"/>
      </w:pPr>
      <w:r>
        <w:t xml:space="preserve">15.1   </w:t>
      </w:r>
      <w:r w:rsidRPr="008D03E5">
        <w:t>Te Aho o Te Kahu | Cancer Control Agency</w:t>
      </w:r>
    </w:p>
    <w:p w14:paraId="72FE741E" w14:textId="59C36413" w:rsidR="008D03E5" w:rsidRDefault="008D03E5" w:rsidP="008D03E5">
      <w:pPr>
        <w:rPr>
          <w:rFonts w:eastAsia="Arial Unicode MS"/>
        </w:rPr>
      </w:pPr>
      <w:r w:rsidRPr="008D03E5">
        <w:rPr>
          <w:rFonts w:eastAsia="Arial Unicode MS"/>
        </w:rPr>
        <w:t>On 28 August 2019, Cabinet approved the establishment of Te Aho o Te Kahu | Cancer Control Agency as a departmental agency, hosted by the Ministry.</w:t>
      </w:r>
    </w:p>
    <w:p w14:paraId="37E3246A" w14:textId="77777777" w:rsidR="008C677C" w:rsidRPr="008D03E5" w:rsidRDefault="008C677C" w:rsidP="008D03E5">
      <w:pPr>
        <w:rPr>
          <w:rFonts w:eastAsia="Arial Unicode MS"/>
        </w:rPr>
      </w:pPr>
    </w:p>
    <w:p w14:paraId="26B991B8" w14:textId="6A9F4126" w:rsidR="008D03E5" w:rsidRDefault="008D03E5" w:rsidP="008D03E5">
      <w:pPr>
        <w:rPr>
          <w:rFonts w:eastAsia="Arial Unicode MS"/>
        </w:rPr>
      </w:pPr>
      <w:r w:rsidRPr="008D03E5">
        <w:rPr>
          <w:rFonts w:eastAsia="Arial Unicode MS"/>
        </w:rPr>
        <w:t>The Order in Council also named the Cancer Control Agency as a department agency within the Ministry under Schedule 1A of the then State Sector Act 1988 with effect from 1 December 2019.</w:t>
      </w:r>
    </w:p>
    <w:p w14:paraId="7A9334DB" w14:textId="77777777" w:rsidR="008D03E5" w:rsidRPr="008D03E5" w:rsidRDefault="008D03E5" w:rsidP="008D03E5">
      <w:pPr>
        <w:rPr>
          <w:rFonts w:eastAsia="Arial Unicode MS"/>
        </w:rPr>
      </w:pPr>
    </w:p>
    <w:p w14:paraId="38180C32" w14:textId="7C5F9E88" w:rsidR="008D03E5" w:rsidRDefault="008D03E5" w:rsidP="008D03E5">
      <w:pPr>
        <w:rPr>
          <w:rFonts w:eastAsia="Arial Unicode MS"/>
        </w:rPr>
      </w:pPr>
      <w:r w:rsidRPr="008D03E5">
        <w:rPr>
          <w:rFonts w:eastAsia="Arial Unicode MS"/>
        </w:rPr>
        <w:lastRenderedPageBreak/>
        <w:t>The nature of this arrangement means while the agency is a separate departmental operating unit within the Ministry, it is functionally independent, with separate ministerial reporting lines and Chief Executive. The Ministry’s financial statements include the operations of the Cancer Control Agency, and 2020/21 is the first full year of operation for the agency.</w:t>
      </w:r>
    </w:p>
    <w:p w14:paraId="7B51B3AD" w14:textId="77777777" w:rsidR="008D03E5" w:rsidRPr="008D03E5" w:rsidRDefault="008D03E5" w:rsidP="008D03E5">
      <w:pPr>
        <w:rPr>
          <w:rFonts w:eastAsia="Arial Unicode MS"/>
        </w:rPr>
      </w:pPr>
    </w:p>
    <w:p w14:paraId="0D98B787" w14:textId="0866DFD3" w:rsidR="008D03E5" w:rsidRDefault="008D03E5" w:rsidP="008D03E5">
      <w:pPr>
        <w:rPr>
          <w:rFonts w:eastAsia="Arial Unicode MS"/>
        </w:rPr>
      </w:pPr>
      <w:r w:rsidRPr="008D03E5">
        <w:rPr>
          <w:rFonts w:eastAsia="Arial Unicode MS"/>
        </w:rPr>
        <w:t>The Cancer Control Agency is funded within Vote Health baselines.</w:t>
      </w:r>
    </w:p>
    <w:p w14:paraId="6DA54B63" w14:textId="77777777" w:rsidR="008D03E5" w:rsidRPr="008D03E5" w:rsidRDefault="008D03E5" w:rsidP="008D03E5">
      <w:pPr>
        <w:rPr>
          <w:rFonts w:eastAsia="Arial Unicode MS"/>
        </w:rPr>
      </w:pPr>
    </w:p>
    <w:p w14:paraId="2B32BC9A" w14:textId="7949F578" w:rsidR="008D03E5" w:rsidRDefault="008D03E5" w:rsidP="008D03E5">
      <w:pPr>
        <w:rPr>
          <w:rFonts w:eastAsia="Arial Unicode MS"/>
        </w:rPr>
      </w:pPr>
      <w:r w:rsidRPr="008D03E5">
        <w:rPr>
          <w:rFonts w:eastAsia="Arial Unicode MS"/>
        </w:rPr>
        <w:t>In summary its financial performance for the year ended 30 June 2022 was as follows:</w:t>
      </w:r>
    </w:p>
    <w:p w14:paraId="255AFB00" w14:textId="71F5A39D" w:rsidR="008D03E5" w:rsidRDefault="008D03E5" w:rsidP="008D03E5">
      <w:pPr>
        <w:rPr>
          <w:rFonts w:eastAsia="Arial Unicode MS"/>
        </w:rPr>
      </w:pPr>
    </w:p>
    <w:tbl>
      <w:tblPr>
        <w:tblW w:w="0" w:type="auto"/>
        <w:tblLayout w:type="fixed"/>
        <w:tblCellMar>
          <w:left w:w="0" w:type="dxa"/>
          <w:right w:w="0" w:type="dxa"/>
        </w:tblCellMar>
        <w:tblLook w:val="01E0" w:firstRow="1" w:lastRow="1" w:firstColumn="1" w:lastColumn="1" w:noHBand="0" w:noVBand="0"/>
      </w:tblPr>
      <w:tblGrid>
        <w:gridCol w:w="940"/>
        <w:gridCol w:w="5426"/>
        <w:gridCol w:w="1713"/>
      </w:tblGrid>
      <w:tr w:rsidR="008D03E5" w14:paraId="2AAC4170" w14:textId="77777777" w:rsidTr="008D03E5">
        <w:trPr>
          <w:trHeight w:val="829"/>
        </w:trPr>
        <w:tc>
          <w:tcPr>
            <w:tcW w:w="940" w:type="dxa"/>
            <w:shd w:val="clear" w:color="auto" w:fill="D9D9D9" w:themeFill="background1" w:themeFillShade="D9"/>
          </w:tcPr>
          <w:p w14:paraId="642EB62B" w14:textId="00541C85" w:rsidR="008D03E5" w:rsidRPr="008D03E5" w:rsidRDefault="008D03E5" w:rsidP="008D03E5">
            <w:pPr>
              <w:pStyle w:val="TableText"/>
              <w:jc w:val="right"/>
              <w:rPr>
                <w:b/>
                <w:bCs/>
              </w:rPr>
            </w:pPr>
            <w:r w:rsidRPr="008D03E5">
              <w:rPr>
                <w:b/>
                <w:bCs/>
                <w:w w:val="110"/>
              </w:rPr>
              <w:t>Actual</w:t>
            </w:r>
            <w:r>
              <w:rPr>
                <w:b/>
                <w:bCs/>
                <w:w w:val="110"/>
              </w:rPr>
              <w:br/>
            </w:r>
            <w:r w:rsidRPr="008D03E5">
              <w:rPr>
                <w:b/>
                <w:bCs/>
              </w:rPr>
              <w:t>2021</w:t>
            </w:r>
          </w:p>
          <w:p w14:paraId="6F0F8A0D" w14:textId="77777777" w:rsidR="008D03E5" w:rsidRPr="008D03E5" w:rsidRDefault="008D03E5" w:rsidP="008D03E5">
            <w:pPr>
              <w:pStyle w:val="TableText"/>
              <w:jc w:val="right"/>
              <w:rPr>
                <w:b/>
                <w:bCs/>
              </w:rPr>
            </w:pPr>
            <w:r w:rsidRPr="008D03E5">
              <w:rPr>
                <w:b/>
                <w:bCs/>
                <w:w w:val="120"/>
              </w:rPr>
              <w:t>$000</w:t>
            </w:r>
          </w:p>
        </w:tc>
        <w:tc>
          <w:tcPr>
            <w:tcW w:w="5426" w:type="dxa"/>
            <w:shd w:val="clear" w:color="auto" w:fill="D9D9D9" w:themeFill="background1" w:themeFillShade="D9"/>
          </w:tcPr>
          <w:p w14:paraId="42300D48" w14:textId="77777777" w:rsidR="008D03E5" w:rsidRPr="008D03E5" w:rsidRDefault="008D03E5" w:rsidP="008D03E5">
            <w:pPr>
              <w:pStyle w:val="TableText"/>
              <w:rPr>
                <w:rFonts w:ascii="Times New Roman"/>
                <w:b/>
                <w:bCs/>
              </w:rPr>
            </w:pPr>
          </w:p>
        </w:tc>
        <w:tc>
          <w:tcPr>
            <w:tcW w:w="1713" w:type="dxa"/>
            <w:shd w:val="clear" w:color="auto" w:fill="D9D9D9" w:themeFill="background1" w:themeFillShade="D9"/>
          </w:tcPr>
          <w:p w14:paraId="487A6709" w14:textId="3441FAF1" w:rsidR="008D03E5" w:rsidRPr="008D03E5" w:rsidRDefault="008D03E5" w:rsidP="008D03E5">
            <w:pPr>
              <w:pStyle w:val="TableText"/>
              <w:jc w:val="right"/>
              <w:rPr>
                <w:b/>
                <w:bCs/>
              </w:rPr>
            </w:pPr>
            <w:r w:rsidRPr="008D03E5">
              <w:rPr>
                <w:b/>
                <w:bCs/>
                <w:w w:val="110"/>
              </w:rPr>
              <w:t>Actual</w:t>
            </w:r>
            <w:r w:rsidRPr="008D03E5">
              <w:rPr>
                <w:b/>
                <w:bCs/>
                <w:spacing w:val="-53"/>
                <w:w w:val="110"/>
              </w:rPr>
              <w:t xml:space="preserve"> </w:t>
            </w:r>
            <w:r>
              <w:rPr>
                <w:b/>
                <w:bCs/>
                <w:spacing w:val="-53"/>
                <w:w w:val="110"/>
              </w:rPr>
              <w:br/>
            </w:r>
            <w:r w:rsidRPr="008D03E5">
              <w:rPr>
                <w:b/>
                <w:bCs/>
                <w:w w:val="105"/>
              </w:rPr>
              <w:t>2022</w:t>
            </w:r>
          </w:p>
          <w:p w14:paraId="1ACFA2FB" w14:textId="77777777" w:rsidR="008D03E5" w:rsidRPr="008D03E5" w:rsidRDefault="008D03E5" w:rsidP="008D03E5">
            <w:pPr>
              <w:pStyle w:val="TableText"/>
              <w:jc w:val="right"/>
              <w:rPr>
                <w:b/>
                <w:bCs/>
              </w:rPr>
            </w:pPr>
            <w:r w:rsidRPr="008D03E5">
              <w:rPr>
                <w:b/>
                <w:bCs/>
                <w:w w:val="120"/>
              </w:rPr>
              <w:t>$000</w:t>
            </w:r>
          </w:p>
        </w:tc>
      </w:tr>
      <w:tr w:rsidR="008D03E5" w:rsidRPr="008D03E5" w14:paraId="50603AA5" w14:textId="77777777" w:rsidTr="008D03E5">
        <w:trPr>
          <w:trHeight w:val="340"/>
        </w:trPr>
        <w:tc>
          <w:tcPr>
            <w:tcW w:w="940" w:type="dxa"/>
          </w:tcPr>
          <w:p w14:paraId="53E1D808" w14:textId="77777777" w:rsidR="008D03E5" w:rsidRPr="008D03E5" w:rsidRDefault="008D03E5" w:rsidP="008D03E5">
            <w:pPr>
              <w:pStyle w:val="TableText"/>
              <w:jc w:val="right"/>
              <w:rPr>
                <w:b/>
                <w:bCs/>
                <w:w w:val="90"/>
              </w:rPr>
            </w:pPr>
          </w:p>
        </w:tc>
        <w:tc>
          <w:tcPr>
            <w:tcW w:w="5426" w:type="dxa"/>
          </w:tcPr>
          <w:p w14:paraId="1A2998C1" w14:textId="4E541293" w:rsidR="008D03E5" w:rsidRPr="008D03E5" w:rsidRDefault="008D03E5" w:rsidP="008D03E5">
            <w:pPr>
              <w:pStyle w:val="TableText"/>
              <w:ind w:left="170"/>
              <w:rPr>
                <w:b/>
                <w:bCs/>
              </w:rPr>
            </w:pPr>
            <w:r w:rsidRPr="008D03E5">
              <w:rPr>
                <w:b/>
                <w:bCs/>
              </w:rPr>
              <w:t>Departmental activities</w:t>
            </w:r>
          </w:p>
        </w:tc>
        <w:tc>
          <w:tcPr>
            <w:tcW w:w="1713" w:type="dxa"/>
          </w:tcPr>
          <w:p w14:paraId="48D5E287" w14:textId="77777777" w:rsidR="008D03E5" w:rsidRPr="008D03E5" w:rsidRDefault="008D03E5" w:rsidP="008D03E5">
            <w:pPr>
              <w:pStyle w:val="TableText"/>
              <w:jc w:val="right"/>
              <w:rPr>
                <w:b/>
                <w:bCs/>
              </w:rPr>
            </w:pPr>
          </w:p>
        </w:tc>
      </w:tr>
      <w:tr w:rsidR="008D03E5" w14:paraId="42621340" w14:textId="77777777" w:rsidTr="008D03E5">
        <w:trPr>
          <w:trHeight w:val="340"/>
        </w:trPr>
        <w:tc>
          <w:tcPr>
            <w:tcW w:w="940" w:type="dxa"/>
          </w:tcPr>
          <w:p w14:paraId="2F610305" w14:textId="77777777" w:rsidR="008D03E5" w:rsidRPr="008C677C" w:rsidRDefault="008D03E5" w:rsidP="008C677C">
            <w:pPr>
              <w:pStyle w:val="TableText"/>
              <w:jc w:val="right"/>
            </w:pPr>
            <w:r w:rsidRPr="008C677C">
              <w:t>11,031</w:t>
            </w:r>
          </w:p>
        </w:tc>
        <w:tc>
          <w:tcPr>
            <w:tcW w:w="5426" w:type="dxa"/>
          </w:tcPr>
          <w:p w14:paraId="37BDB1B5" w14:textId="77777777" w:rsidR="008D03E5" w:rsidRDefault="008D03E5" w:rsidP="008D03E5">
            <w:pPr>
              <w:pStyle w:val="TableText"/>
              <w:ind w:left="170"/>
            </w:pPr>
            <w:r>
              <w:t>Revenue</w:t>
            </w:r>
          </w:p>
        </w:tc>
        <w:tc>
          <w:tcPr>
            <w:tcW w:w="1713" w:type="dxa"/>
          </w:tcPr>
          <w:p w14:paraId="03572CE6" w14:textId="77777777" w:rsidR="008D03E5" w:rsidRDefault="008D03E5" w:rsidP="008D03E5">
            <w:pPr>
              <w:pStyle w:val="TableText"/>
              <w:jc w:val="right"/>
            </w:pPr>
            <w:r>
              <w:t>10,512</w:t>
            </w:r>
          </w:p>
        </w:tc>
      </w:tr>
      <w:tr w:rsidR="008D03E5" w:rsidRPr="008D03E5" w14:paraId="1F4C4AD1" w14:textId="77777777" w:rsidTr="008D03E5">
        <w:trPr>
          <w:trHeight w:val="340"/>
        </w:trPr>
        <w:tc>
          <w:tcPr>
            <w:tcW w:w="940" w:type="dxa"/>
            <w:tcBorders>
              <w:bottom w:val="single" w:sz="4" w:space="0" w:color="A6A6A6" w:themeColor="background1" w:themeShade="A6"/>
            </w:tcBorders>
          </w:tcPr>
          <w:p w14:paraId="478951B8" w14:textId="77777777" w:rsidR="008D03E5" w:rsidRPr="008C677C" w:rsidRDefault="008D03E5" w:rsidP="008C677C">
            <w:pPr>
              <w:pStyle w:val="TableText"/>
              <w:jc w:val="right"/>
              <w:rPr>
                <w:b/>
                <w:bCs/>
              </w:rPr>
            </w:pPr>
            <w:r w:rsidRPr="008C677C">
              <w:rPr>
                <w:b/>
                <w:bCs/>
              </w:rPr>
              <w:t>11,031</w:t>
            </w:r>
          </w:p>
        </w:tc>
        <w:tc>
          <w:tcPr>
            <w:tcW w:w="5426" w:type="dxa"/>
            <w:tcBorders>
              <w:bottom w:val="single" w:sz="4" w:space="0" w:color="A6A6A6" w:themeColor="background1" w:themeShade="A6"/>
            </w:tcBorders>
          </w:tcPr>
          <w:p w14:paraId="7A10E704" w14:textId="77777777" w:rsidR="008D03E5" w:rsidRPr="008D03E5" w:rsidRDefault="008D03E5" w:rsidP="008D03E5">
            <w:pPr>
              <w:pStyle w:val="TableText"/>
              <w:ind w:left="170"/>
              <w:rPr>
                <w:b/>
                <w:bCs/>
              </w:rPr>
            </w:pPr>
            <w:r w:rsidRPr="008D03E5">
              <w:rPr>
                <w:b/>
                <w:bCs/>
              </w:rPr>
              <w:t>Revenue</w:t>
            </w:r>
            <w:r w:rsidRPr="008D03E5">
              <w:rPr>
                <w:b/>
                <w:bCs/>
                <w:spacing w:val="16"/>
              </w:rPr>
              <w:t xml:space="preserve"> </w:t>
            </w:r>
            <w:r w:rsidRPr="008D03E5">
              <w:rPr>
                <w:b/>
                <w:bCs/>
              </w:rPr>
              <w:t>Crown</w:t>
            </w:r>
          </w:p>
        </w:tc>
        <w:tc>
          <w:tcPr>
            <w:tcW w:w="1713" w:type="dxa"/>
            <w:tcBorders>
              <w:bottom w:val="single" w:sz="4" w:space="0" w:color="A6A6A6" w:themeColor="background1" w:themeShade="A6"/>
            </w:tcBorders>
          </w:tcPr>
          <w:p w14:paraId="757B8939" w14:textId="77777777" w:rsidR="008D03E5" w:rsidRPr="008D03E5" w:rsidRDefault="008D03E5" w:rsidP="008D03E5">
            <w:pPr>
              <w:pStyle w:val="TableText"/>
              <w:jc w:val="right"/>
              <w:rPr>
                <w:b/>
                <w:bCs/>
              </w:rPr>
            </w:pPr>
            <w:r w:rsidRPr="008D03E5">
              <w:rPr>
                <w:b/>
                <w:bCs/>
              </w:rPr>
              <w:t>10,512</w:t>
            </w:r>
          </w:p>
        </w:tc>
      </w:tr>
      <w:tr w:rsidR="008D03E5" w:rsidRPr="008D03E5" w14:paraId="6BFB6607" w14:textId="77777777" w:rsidTr="008D03E5">
        <w:trPr>
          <w:trHeight w:val="340"/>
        </w:trPr>
        <w:tc>
          <w:tcPr>
            <w:tcW w:w="940" w:type="dxa"/>
            <w:tcBorders>
              <w:top w:val="single" w:sz="4" w:space="0" w:color="A6A6A6" w:themeColor="background1" w:themeShade="A6"/>
            </w:tcBorders>
          </w:tcPr>
          <w:p w14:paraId="4CDEF82F" w14:textId="77777777" w:rsidR="008D03E5" w:rsidRPr="008C677C" w:rsidRDefault="008D03E5" w:rsidP="008C677C">
            <w:pPr>
              <w:pStyle w:val="TableText"/>
              <w:jc w:val="right"/>
            </w:pPr>
          </w:p>
        </w:tc>
        <w:tc>
          <w:tcPr>
            <w:tcW w:w="5426" w:type="dxa"/>
            <w:tcBorders>
              <w:top w:val="single" w:sz="4" w:space="0" w:color="A6A6A6" w:themeColor="background1" w:themeShade="A6"/>
            </w:tcBorders>
          </w:tcPr>
          <w:p w14:paraId="20E40F1F" w14:textId="77777777" w:rsidR="008D03E5" w:rsidRPr="008D03E5" w:rsidRDefault="008D03E5" w:rsidP="008D03E5">
            <w:pPr>
              <w:pStyle w:val="TableText"/>
              <w:ind w:left="170"/>
              <w:rPr>
                <w:b/>
                <w:bCs/>
              </w:rPr>
            </w:pPr>
            <w:r w:rsidRPr="008D03E5">
              <w:rPr>
                <w:b/>
                <w:bCs/>
                <w:w w:val="105"/>
              </w:rPr>
              <w:t>Expenses</w:t>
            </w:r>
          </w:p>
        </w:tc>
        <w:tc>
          <w:tcPr>
            <w:tcW w:w="1713" w:type="dxa"/>
            <w:tcBorders>
              <w:top w:val="single" w:sz="4" w:space="0" w:color="A6A6A6" w:themeColor="background1" w:themeShade="A6"/>
            </w:tcBorders>
          </w:tcPr>
          <w:p w14:paraId="6824EF40" w14:textId="77777777" w:rsidR="008D03E5" w:rsidRPr="008D03E5" w:rsidRDefault="008D03E5" w:rsidP="008D03E5">
            <w:pPr>
              <w:pStyle w:val="TableText"/>
              <w:jc w:val="right"/>
              <w:rPr>
                <w:rFonts w:ascii="Times New Roman"/>
                <w:b/>
                <w:bCs/>
              </w:rPr>
            </w:pPr>
          </w:p>
        </w:tc>
      </w:tr>
      <w:tr w:rsidR="008D03E5" w14:paraId="401FAA86" w14:textId="77777777" w:rsidTr="008D03E5">
        <w:trPr>
          <w:trHeight w:val="340"/>
        </w:trPr>
        <w:tc>
          <w:tcPr>
            <w:tcW w:w="940" w:type="dxa"/>
          </w:tcPr>
          <w:p w14:paraId="26861D72" w14:textId="77777777" w:rsidR="008D03E5" w:rsidRPr="008C677C" w:rsidRDefault="008D03E5" w:rsidP="008C677C">
            <w:pPr>
              <w:pStyle w:val="TableText"/>
              <w:jc w:val="right"/>
            </w:pPr>
            <w:r w:rsidRPr="008C677C">
              <w:t>5,225</w:t>
            </w:r>
          </w:p>
        </w:tc>
        <w:tc>
          <w:tcPr>
            <w:tcW w:w="5426" w:type="dxa"/>
          </w:tcPr>
          <w:p w14:paraId="02245E7B" w14:textId="77777777" w:rsidR="008D03E5" w:rsidRDefault="008D03E5" w:rsidP="008D03E5">
            <w:pPr>
              <w:pStyle w:val="TableText"/>
              <w:ind w:left="170"/>
            </w:pPr>
            <w:r>
              <w:rPr>
                <w:w w:val="105"/>
              </w:rPr>
              <w:t>Personnel</w:t>
            </w:r>
            <w:r>
              <w:rPr>
                <w:spacing w:val="4"/>
                <w:w w:val="105"/>
              </w:rPr>
              <w:t xml:space="preserve"> </w:t>
            </w:r>
            <w:r>
              <w:rPr>
                <w:w w:val="105"/>
              </w:rPr>
              <w:t>costs</w:t>
            </w:r>
          </w:p>
        </w:tc>
        <w:tc>
          <w:tcPr>
            <w:tcW w:w="1713" w:type="dxa"/>
          </w:tcPr>
          <w:p w14:paraId="484953C6" w14:textId="77777777" w:rsidR="008D03E5" w:rsidRDefault="008D03E5" w:rsidP="008D03E5">
            <w:pPr>
              <w:pStyle w:val="TableText"/>
              <w:jc w:val="right"/>
            </w:pPr>
            <w:r>
              <w:t>7,325</w:t>
            </w:r>
          </w:p>
        </w:tc>
      </w:tr>
      <w:tr w:rsidR="008D03E5" w14:paraId="597E8FB5" w14:textId="77777777" w:rsidTr="008D03E5">
        <w:trPr>
          <w:trHeight w:val="340"/>
        </w:trPr>
        <w:tc>
          <w:tcPr>
            <w:tcW w:w="940" w:type="dxa"/>
          </w:tcPr>
          <w:p w14:paraId="19DDAE20" w14:textId="77777777" w:rsidR="008D03E5" w:rsidRPr="008C677C" w:rsidRDefault="008D03E5" w:rsidP="008C677C">
            <w:pPr>
              <w:pStyle w:val="TableText"/>
              <w:jc w:val="right"/>
            </w:pPr>
            <w:r w:rsidRPr="008C677C">
              <w:t>1,810</w:t>
            </w:r>
          </w:p>
        </w:tc>
        <w:tc>
          <w:tcPr>
            <w:tcW w:w="5426" w:type="dxa"/>
          </w:tcPr>
          <w:p w14:paraId="686DB420" w14:textId="77777777" w:rsidR="008D03E5" w:rsidRDefault="008D03E5" w:rsidP="008D03E5">
            <w:pPr>
              <w:pStyle w:val="TableText"/>
              <w:ind w:left="170"/>
            </w:pPr>
            <w:r>
              <w:t>Other</w:t>
            </w:r>
            <w:r>
              <w:rPr>
                <w:spacing w:val="15"/>
              </w:rPr>
              <w:t xml:space="preserve"> </w:t>
            </w:r>
            <w:r>
              <w:t>expenses</w:t>
            </w:r>
          </w:p>
        </w:tc>
        <w:tc>
          <w:tcPr>
            <w:tcW w:w="1713" w:type="dxa"/>
          </w:tcPr>
          <w:p w14:paraId="53A419CC" w14:textId="77777777" w:rsidR="008D03E5" w:rsidRDefault="008D03E5" w:rsidP="008D03E5">
            <w:pPr>
              <w:pStyle w:val="TableText"/>
              <w:jc w:val="right"/>
            </w:pPr>
            <w:r>
              <w:rPr>
                <w:w w:val="105"/>
              </w:rPr>
              <w:t>972</w:t>
            </w:r>
          </w:p>
        </w:tc>
      </w:tr>
      <w:tr w:rsidR="008D03E5" w:rsidRPr="008D03E5" w14:paraId="102315C8" w14:textId="77777777" w:rsidTr="008D03E5">
        <w:trPr>
          <w:trHeight w:val="340"/>
        </w:trPr>
        <w:tc>
          <w:tcPr>
            <w:tcW w:w="940" w:type="dxa"/>
            <w:tcBorders>
              <w:bottom w:val="single" w:sz="4" w:space="0" w:color="A6A6A6" w:themeColor="background1" w:themeShade="A6"/>
            </w:tcBorders>
          </w:tcPr>
          <w:p w14:paraId="675C0278" w14:textId="77777777" w:rsidR="008D03E5" w:rsidRPr="008C677C" w:rsidRDefault="008D03E5" w:rsidP="008C677C">
            <w:pPr>
              <w:pStyle w:val="TableText"/>
              <w:jc w:val="right"/>
              <w:rPr>
                <w:b/>
                <w:bCs/>
              </w:rPr>
            </w:pPr>
            <w:r w:rsidRPr="008C677C">
              <w:rPr>
                <w:b/>
                <w:bCs/>
              </w:rPr>
              <w:t>7,035</w:t>
            </w:r>
          </w:p>
        </w:tc>
        <w:tc>
          <w:tcPr>
            <w:tcW w:w="5426" w:type="dxa"/>
            <w:tcBorders>
              <w:bottom w:val="single" w:sz="4" w:space="0" w:color="A6A6A6" w:themeColor="background1" w:themeShade="A6"/>
            </w:tcBorders>
          </w:tcPr>
          <w:p w14:paraId="4FD7AF20" w14:textId="77777777" w:rsidR="008D03E5" w:rsidRPr="008D03E5" w:rsidRDefault="008D03E5" w:rsidP="008D03E5">
            <w:pPr>
              <w:pStyle w:val="TableText"/>
              <w:ind w:left="170"/>
              <w:rPr>
                <w:b/>
                <w:bCs/>
              </w:rPr>
            </w:pPr>
            <w:r w:rsidRPr="008D03E5">
              <w:rPr>
                <w:b/>
                <w:bCs/>
                <w:w w:val="105"/>
              </w:rPr>
              <w:t>Total</w:t>
            </w:r>
            <w:r w:rsidRPr="008D03E5">
              <w:rPr>
                <w:b/>
                <w:bCs/>
                <w:spacing w:val="1"/>
                <w:w w:val="105"/>
              </w:rPr>
              <w:t xml:space="preserve"> </w:t>
            </w:r>
            <w:r w:rsidRPr="008D03E5">
              <w:rPr>
                <w:b/>
                <w:bCs/>
                <w:w w:val="105"/>
              </w:rPr>
              <w:t>expenses</w:t>
            </w:r>
          </w:p>
        </w:tc>
        <w:tc>
          <w:tcPr>
            <w:tcW w:w="1713" w:type="dxa"/>
            <w:tcBorders>
              <w:bottom w:val="single" w:sz="4" w:space="0" w:color="A6A6A6" w:themeColor="background1" w:themeShade="A6"/>
            </w:tcBorders>
          </w:tcPr>
          <w:p w14:paraId="2066504B" w14:textId="77777777" w:rsidR="008D03E5" w:rsidRPr="008D03E5" w:rsidRDefault="008D03E5" w:rsidP="008D03E5">
            <w:pPr>
              <w:pStyle w:val="TableText"/>
              <w:jc w:val="right"/>
              <w:rPr>
                <w:b/>
                <w:bCs/>
              </w:rPr>
            </w:pPr>
            <w:r w:rsidRPr="008D03E5">
              <w:rPr>
                <w:b/>
                <w:bCs/>
                <w:w w:val="105"/>
              </w:rPr>
              <w:t>8,297</w:t>
            </w:r>
          </w:p>
        </w:tc>
      </w:tr>
      <w:tr w:rsidR="008D03E5" w:rsidRPr="008D03E5" w14:paraId="745EBB6B" w14:textId="77777777" w:rsidTr="008D03E5">
        <w:trPr>
          <w:trHeight w:val="340"/>
        </w:trPr>
        <w:tc>
          <w:tcPr>
            <w:tcW w:w="940" w:type="dxa"/>
            <w:tcBorders>
              <w:top w:val="single" w:sz="4" w:space="0" w:color="A6A6A6" w:themeColor="background1" w:themeShade="A6"/>
              <w:bottom w:val="single" w:sz="4" w:space="0" w:color="A6A6A6" w:themeColor="background1" w:themeShade="A6"/>
            </w:tcBorders>
          </w:tcPr>
          <w:p w14:paraId="2D07468A" w14:textId="77777777" w:rsidR="008D03E5" w:rsidRPr="008C677C" w:rsidRDefault="008D03E5" w:rsidP="008C677C">
            <w:pPr>
              <w:pStyle w:val="TableText"/>
              <w:jc w:val="right"/>
              <w:rPr>
                <w:b/>
                <w:bCs/>
              </w:rPr>
            </w:pPr>
            <w:r w:rsidRPr="008C677C">
              <w:rPr>
                <w:b/>
                <w:bCs/>
              </w:rPr>
              <w:t>3,996</w:t>
            </w:r>
          </w:p>
        </w:tc>
        <w:tc>
          <w:tcPr>
            <w:tcW w:w="5426" w:type="dxa"/>
            <w:tcBorders>
              <w:top w:val="single" w:sz="4" w:space="0" w:color="A6A6A6" w:themeColor="background1" w:themeShade="A6"/>
              <w:bottom w:val="single" w:sz="4" w:space="0" w:color="A6A6A6" w:themeColor="background1" w:themeShade="A6"/>
            </w:tcBorders>
          </w:tcPr>
          <w:p w14:paraId="0B29EE68" w14:textId="77777777" w:rsidR="008D03E5" w:rsidRPr="008D03E5" w:rsidRDefault="008D03E5" w:rsidP="008D03E5">
            <w:pPr>
              <w:pStyle w:val="TableText"/>
              <w:ind w:left="170"/>
              <w:rPr>
                <w:b/>
                <w:bCs/>
              </w:rPr>
            </w:pPr>
            <w:r w:rsidRPr="008D03E5">
              <w:rPr>
                <w:b/>
                <w:bCs/>
                <w:w w:val="110"/>
              </w:rPr>
              <w:t>Net</w:t>
            </w:r>
            <w:r w:rsidRPr="008D03E5">
              <w:rPr>
                <w:b/>
                <w:bCs/>
                <w:spacing w:val="-11"/>
                <w:w w:val="110"/>
              </w:rPr>
              <w:t xml:space="preserve"> </w:t>
            </w:r>
            <w:r w:rsidRPr="008D03E5">
              <w:rPr>
                <w:b/>
                <w:bCs/>
                <w:w w:val="110"/>
              </w:rPr>
              <w:t>surplus/(deficit)</w:t>
            </w:r>
          </w:p>
        </w:tc>
        <w:tc>
          <w:tcPr>
            <w:tcW w:w="1713" w:type="dxa"/>
            <w:tcBorders>
              <w:top w:val="single" w:sz="4" w:space="0" w:color="A6A6A6" w:themeColor="background1" w:themeShade="A6"/>
              <w:bottom w:val="single" w:sz="4" w:space="0" w:color="A6A6A6" w:themeColor="background1" w:themeShade="A6"/>
            </w:tcBorders>
          </w:tcPr>
          <w:p w14:paraId="62ABD030" w14:textId="77777777" w:rsidR="008D03E5" w:rsidRPr="008D03E5" w:rsidRDefault="008D03E5" w:rsidP="008D03E5">
            <w:pPr>
              <w:pStyle w:val="TableText"/>
              <w:jc w:val="right"/>
              <w:rPr>
                <w:b/>
                <w:bCs/>
              </w:rPr>
            </w:pPr>
            <w:r w:rsidRPr="008D03E5">
              <w:rPr>
                <w:b/>
                <w:bCs/>
              </w:rPr>
              <w:t>2,215</w:t>
            </w:r>
          </w:p>
        </w:tc>
      </w:tr>
      <w:tr w:rsidR="008D03E5" w:rsidRPr="008D03E5" w14:paraId="703CD7B8" w14:textId="77777777" w:rsidTr="008D03E5">
        <w:trPr>
          <w:trHeight w:val="340"/>
        </w:trPr>
        <w:tc>
          <w:tcPr>
            <w:tcW w:w="940" w:type="dxa"/>
            <w:tcBorders>
              <w:top w:val="single" w:sz="4" w:space="0" w:color="A6A6A6" w:themeColor="background1" w:themeShade="A6"/>
            </w:tcBorders>
          </w:tcPr>
          <w:p w14:paraId="7148ECFB" w14:textId="77777777" w:rsidR="008D03E5" w:rsidRPr="008C677C" w:rsidRDefault="008D03E5" w:rsidP="008C677C">
            <w:pPr>
              <w:pStyle w:val="TableText"/>
              <w:jc w:val="right"/>
            </w:pPr>
          </w:p>
        </w:tc>
        <w:tc>
          <w:tcPr>
            <w:tcW w:w="5426" w:type="dxa"/>
            <w:tcBorders>
              <w:top w:val="single" w:sz="4" w:space="0" w:color="A6A6A6" w:themeColor="background1" w:themeShade="A6"/>
            </w:tcBorders>
          </w:tcPr>
          <w:p w14:paraId="15B855CB" w14:textId="77777777" w:rsidR="008D03E5" w:rsidRPr="008D03E5" w:rsidRDefault="008D03E5" w:rsidP="008D03E5">
            <w:pPr>
              <w:pStyle w:val="TableText"/>
              <w:ind w:left="170"/>
              <w:rPr>
                <w:b/>
                <w:bCs/>
              </w:rPr>
            </w:pPr>
            <w:r w:rsidRPr="008D03E5">
              <w:rPr>
                <w:b/>
                <w:bCs/>
                <w:w w:val="105"/>
              </w:rPr>
              <w:t>Non-departmental</w:t>
            </w:r>
            <w:r w:rsidRPr="008D03E5">
              <w:rPr>
                <w:b/>
                <w:bCs/>
                <w:spacing w:val="22"/>
                <w:w w:val="105"/>
              </w:rPr>
              <w:t xml:space="preserve"> </w:t>
            </w:r>
            <w:r w:rsidRPr="008D03E5">
              <w:rPr>
                <w:b/>
                <w:bCs/>
                <w:w w:val="105"/>
              </w:rPr>
              <w:t>activities</w:t>
            </w:r>
          </w:p>
        </w:tc>
        <w:tc>
          <w:tcPr>
            <w:tcW w:w="1713" w:type="dxa"/>
            <w:tcBorders>
              <w:top w:val="single" w:sz="4" w:space="0" w:color="A6A6A6" w:themeColor="background1" w:themeShade="A6"/>
            </w:tcBorders>
          </w:tcPr>
          <w:p w14:paraId="5BC002EB" w14:textId="77777777" w:rsidR="008D03E5" w:rsidRPr="008D03E5" w:rsidRDefault="008D03E5" w:rsidP="008D03E5">
            <w:pPr>
              <w:pStyle w:val="TableText"/>
              <w:jc w:val="right"/>
              <w:rPr>
                <w:rFonts w:ascii="Times New Roman"/>
                <w:b/>
                <w:bCs/>
              </w:rPr>
            </w:pPr>
          </w:p>
        </w:tc>
      </w:tr>
      <w:tr w:rsidR="008D03E5" w14:paraId="0AABD84D" w14:textId="77777777" w:rsidTr="008D03E5">
        <w:trPr>
          <w:trHeight w:val="340"/>
        </w:trPr>
        <w:tc>
          <w:tcPr>
            <w:tcW w:w="940" w:type="dxa"/>
          </w:tcPr>
          <w:p w14:paraId="692CB2B0" w14:textId="77777777" w:rsidR="008D03E5" w:rsidRPr="008C677C" w:rsidRDefault="008D03E5" w:rsidP="008C677C">
            <w:pPr>
              <w:pStyle w:val="TableText"/>
              <w:jc w:val="right"/>
            </w:pPr>
            <w:r w:rsidRPr="008C677C">
              <w:t>1,795</w:t>
            </w:r>
          </w:p>
        </w:tc>
        <w:tc>
          <w:tcPr>
            <w:tcW w:w="5426" w:type="dxa"/>
          </w:tcPr>
          <w:p w14:paraId="72D00C16" w14:textId="77777777" w:rsidR="008D03E5" w:rsidRDefault="008D03E5" w:rsidP="008D03E5">
            <w:pPr>
              <w:pStyle w:val="TableText"/>
              <w:ind w:left="170"/>
            </w:pPr>
            <w:r>
              <w:t>Appropriation:</w:t>
            </w:r>
            <w:r>
              <w:rPr>
                <w:spacing w:val="25"/>
              </w:rPr>
              <w:t xml:space="preserve"> </w:t>
            </w:r>
            <w:r>
              <w:t>National</w:t>
            </w:r>
            <w:r>
              <w:rPr>
                <w:spacing w:val="25"/>
              </w:rPr>
              <w:t xml:space="preserve"> </w:t>
            </w:r>
            <w:r>
              <w:t>personal</w:t>
            </w:r>
            <w:r>
              <w:rPr>
                <w:spacing w:val="26"/>
              </w:rPr>
              <w:t xml:space="preserve"> </w:t>
            </w:r>
            <w:r>
              <w:t>health</w:t>
            </w:r>
            <w:r>
              <w:rPr>
                <w:spacing w:val="25"/>
              </w:rPr>
              <w:t xml:space="preserve"> </w:t>
            </w:r>
            <w:r>
              <w:t>services</w:t>
            </w:r>
          </w:p>
        </w:tc>
        <w:tc>
          <w:tcPr>
            <w:tcW w:w="1713" w:type="dxa"/>
          </w:tcPr>
          <w:p w14:paraId="326C9563" w14:textId="77777777" w:rsidR="008D03E5" w:rsidRDefault="008D03E5" w:rsidP="008D03E5">
            <w:pPr>
              <w:pStyle w:val="TableText"/>
              <w:jc w:val="right"/>
            </w:pPr>
            <w:r>
              <w:t>2,272</w:t>
            </w:r>
          </w:p>
        </w:tc>
      </w:tr>
      <w:tr w:rsidR="008D03E5" w:rsidRPr="008D03E5" w14:paraId="5F33A9B9" w14:textId="77777777" w:rsidTr="008D03E5">
        <w:trPr>
          <w:trHeight w:val="340"/>
        </w:trPr>
        <w:tc>
          <w:tcPr>
            <w:tcW w:w="940" w:type="dxa"/>
            <w:tcBorders>
              <w:bottom w:val="single" w:sz="4" w:space="0" w:color="A6A6A6" w:themeColor="background1" w:themeShade="A6"/>
            </w:tcBorders>
          </w:tcPr>
          <w:p w14:paraId="7D95B392" w14:textId="77777777" w:rsidR="008D03E5" w:rsidRPr="008C677C" w:rsidRDefault="008D03E5" w:rsidP="008C677C">
            <w:pPr>
              <w:pStyle w:val="TableText"/>
              <w:jc w:val="right"/>
              <w:rPr>
                <w:b/>
                <w:bCs/>
              </w:rPr>
            </w:pPr>
            <w:r w:rsidRPr="008C677C">
              <w:rPr>
                <w:b/>
                <w:bCs/>
              </w:rPr>
              <w:t>1,795</w:t>
            </w:r>
          </w:p>
        </w:tc>
        <w:tc>
          <w:tcPr>
            <w:tcW w:w="5426" w:type="dxa"/>
            <w:tcBorders>
              <w:bottom w:val="single" w:sz="4" w:space="0" w:color="A6A6A6" w:themeColor="background1" w:themeShade="A6"/>
            </w:tcBorders>
          </w:tcPr>
          <w:p w14:paraId="7316F1AE" w14:textId="77777777" w:rsidR="008D03E5" w:rsidRPr="008D03E5" w:rsidRDefault="008D03E5" w:rsidP="008D03E5">
            <w:pPr>
              <w:pStyle w:val="TableText"/>
              <w:ind w:left="170"/>
              <w:rPr>
                <w:b/>
                <w:bCs/>
              </w:rPr>
            </w:pPr>
            <w:r w:rsidRPr="008D03E5">
              <w:rPr>
                <w:b/>
                <w:bCs/>
                <w:w w:val="105"/>
              </w:rPr>
              <w:t>Total</w:t>
            </w:r>
            <w:r w:rsidRPr="008D03E5">
              <w:rPr>
                <w:b/>
                <w:bCs/>
                <w:spacing w:val="16"/>
                <w:w w:val="105"/>
              </w:rPr>
              <w:t xml:space="preserve"> </w:t>
            </w:r>
            <w:r w:rsidRPr="008D03E5">
              <w:rPr>
                <w:b/>
                <w:bCs/>
                <w:w w:val="105"/>
              </w:rPr>
              <w:t>non-departmental</w:t>
            </w:r>
            <w:r w:rsidRPr="008D03E5">
              <w:rPr>
                <w:b/>
                <w:bCs/>
                <w:spacing w:val="16"/>
                <w:w w:val="105"/>
              </w:rPr>
              <w:t xml:space="preserve"> </w:t>
            </w:r>
            <w:r w:rsidRPr="008D03E5">
              <w:rPr>
                <w:b/>
                <w:bCs/>
                <w:w w:val="105"/>
              </w:rPr>
              <w:t>expenditure</w:t>
            </w:r>
          </w:p>
        </w:tc>
        <w:tc>
          <w:tcPr>
            <w:tcW w:w="1713" w:type="dxa"/>
            <w:tcBorders>
              <w:bottom w:val="single" w:sz="4" w:space="0" w:color="A6A6A6" w:themeColor="background1" w:themeShade="A6"/>
            </w:tcBorders>
          </w:tcPr>
          <w:p w14:paraId="524293F9" w14:textId="77777777" w:rsidR="008D03E5" w:rsidRPr="008D03E5" w:rsidRDefault="008D03E5" w:rsidP="008D03E5">
            <w:pPr>
              <w:pStyle w:val="TableText"/>
              <w:jc w:val="right"/>
              <w:rPr>
                <w:b/>
                <w:bCs/>
              </w:rPr>
            </w:pPr>
            <w:r w:rsidRPr="008D03E5">
              <w:rPr>
                <w:b/>
                <w:bCs/>
              </w:rPr>
              <w:t>2,272</w:t>
            </w:r>
          </w:p>
        </w:tc>
      </w:tr>
    </w:tbl>
    <w:p w14:paraId="6FCFC60D" w14:textId="63BC50F1" w:rsidR="008D03E5" w:rsidRPr="008D03E5" w:rsidRDefault="008D03E5" w:rsidP="00BE61EB">
      <w:pPr>
        <w:pStyle w:val="Heading5"/>
      </w:pPr>
      <w:r>
        <w:t xml:space="preserve">15.2   </w:t>
      </w:r>
      <w:r w:rsidRPr="008D03E5">
        <w:t>Interim Te Whatu Ora | Health New Zealand</w:t>
      </w:r>
    </w:p>
    <w:p w14:paraId="10EDCA00" w14:textId="19A7EB55" w:rsidR="008D03E5" w:rsidRDefault="008D03E5" w:rsidP="008D03E5">
      <w:pPr>
        <w:rPr>
          <w:rFonts w:eastAsia="Arial Unicode MS"/>
        </w:rPr>
      </w:pPr>
      <w:r w:rsidRPr="008D03E5">
        <w:rPr>
          <w:rFonts w:eastAsia="Arial Unicode MS"/>
        </w:rPr>
        <w:t>On 1 September 2021, Cabinet approved the establishment of Te Whatu Ora | Health New Zealand as a departmental agency, hosted by the Ministry.</w:t>
      </w:r>
    </w:p>
    <w:p w14:paraId="59FBDB58" w14:textId="77777777" w:rsidR="008D03E5" w:rsidRPr="008D03E5" w:rsidRDefault="008D03E5" w:rsidP="008D03E5">
      <w:pPr>
        <w:rPr>
          <w:rFonts w:eastAsia="Arial Unicode MS"/>
        </w:rPr>
      </w:pPr>
    </w:p>
    <w:p w14:paraId="0D6B1D6C" w14:textId="77777777" w:rsidR="008D03E5" w:rsidRPr="008D03E5" w:rsidRDefault="008D03E5" w:rsidP="008D03E5">
      <w:pPr>
        <w:rPr>
          <w:rFonts w:eastAsia="Arial Unicode MS"/>
        </w:rPr>
      </w:pPr>
      <w:r w:rsidRPr="008D03E5">
        <w:rPr>
          <w:rFonts w:eastAsia="Arial Unicode MS"/>
        </w:rPr>
        <w:t>The Order in Council titled the Public Service (Health New Zealand and Māori Health Authority) Order 2021 named Te Whatu Ora | Health New Zealand as a department agency within the Ministry under Schedule 2, Part 2 of the Public Service Act 2020. Interim Te Whatu Ora | Health New Zealand has been established to undertake detailed planning, organisational work, and consultation in relation to the implementation of the health and disability system reforms.</w:t>
      </w:r>
    </w:p>
    <w:p w14:paraId="61546D48" w14:textId="77777777" w:rsidR="008D03E5" w:rsidRPr="008D03E5" w:rsidRDefault="008D03E5" w:rsidP="008D03E5">
      <w:pPr>
        <w:rPr>
          <w:rFonts w:eastAsia="Arial Unicode MS"/>
        </w:rPr>
      </w:pPr>
      <w:r w:rsidRPr="008D03E5">
        <w:rPr>
          <w:rFonts w:eastAsia="Arial Unicode MS"/>
        </w:rPr>
        <w:t xml:space="preserve"> </w:t>
      </w:r>
    </w:p>
    <w:p w14:paraId="7EF15412" w14:textId="77777777" w:rsidR="008D03E5" w:rsidRPr="008D03E5" w:rsidRDefault="008D03E5" w:rsidP="008D03E5">
      <w:pPr>
        <w:rPr>
          <w:rFonts w:eastAsia="Arial Unicode MS"/>
        </w:rPr>
      </w:pPr>
      <w:r w:rsidRPr="008D03E5">
        <w:rPr>
          <w:rFonts w:eastAsia="Arial Unicode MS"/>
        </w:rPr>
        <w:t>Te Whatu Ora | Health New Zealand has been established as interim departmental agency within the Ministry until the permanent entity comes into effect from 1 July 2022. The purpose of the interim agency is to help drive the development of the permanent entity and its role within a newly transformed system.</w:t>
      </w:r>
    </w:p>
    <w:p w14:paraId="0B332C7B" w14:textId="2D310B39" w:rsidR="008D03E5" w:rsidRDefault="008D03E5" w:rsidP="008D03E5">
      <w:pPr>
        <w:rPr>
          <w:rFonts w:eastAsia="Arial Unicode MS"/>
        </w:rPr>
      </w:pPr>
      <w:r w:rsidRPr="008D03E5">
        <w:rPr>
          <w:rFonts w:eastAsia="Arial Unicode MS"/>
        </w:rPr>
        <w:t>The nature of this arrangement means while the agency is a separate departmental operating unit within the Ministry, it is functionally independent, with separate ministerial reporting lines and Chief Executive.</w:t>
      </w:r>
    </w:p>
    <w:p w14:paraId="4D88542F" w14:textId="77777777" w:rsidR="008D03E5" w:rsidRPr="008D03E5" w:rsidRDefault="008D03E5" w:rsidP="008D03E5">
      <w:pPr>
        <w:rPr>
          <w:rFonts w:eastAsia="Arial Unicode MS"/>
        </w:rPr>
      </w:pPr>
    </w:p>
    <w:p w14:paraId="453E1A90" w14:textId="02127E0C" w:rsidR="008D03E5" w:rsidRDefault="008D03E5" w:rsidP="008D03E5">
      <w:pPr>
        <w:rPr>
          <w:rFonts w:eastAsia="Arial Unicode MS"/>
        </w:rPr>
      </w:pPr>
      <w:r w:rsidRPr="008D03E5">
        <w:rPr>
          <w:rFonts w:eastAsia="Arial Unicode MS"/>
        </w:rPr>
        <w:t>The Ministry’s financial statements include the operations of interim Te Whatu Ora | Health New Zealand.</w:t>
      </w:r>
    </w:p>
    <w:p w14:paraId="1A7A4636" w14:textId="77777777" w:rsidR="008D03E5" w:rsidRPr="008D03E5" w:rsidRDefault="008D03E5" w:rsidP="008D03E5">
      <w:pPr>
        <w:rPr>
          <w:rFonts w:eastAsia="Arial Unicode MS"/>
        </w:rPr>
      </w:pPr>
    </w:p>
    <w:p w14:paraId="7A8DE2C5" w14:textId="5FE453C5" w:rsidR="008D03E5" w:rsidRDefault="008D03E5" w:rsidP="008D03E5">
      <w:pPr>
        <w:rPr>
          <w:rFonts w:eastAsia="Arial Unicode MS"/>
        </w:rPr>
      </w:pPr>
      <w:r w:rsidRPr="008D03E5">
        <w:rPr>
          <w:rFonts w:eastAsia="Arial Unicode MS"/>
        </w:rPr>
        <w:lastRenderedPageBreak/>
        <w:t>Interim Te Whatu Ora | Health New Zealand is funded within Vote Health baselines. The appropriation Minister directed under section 7C(2)(c)(i) of the Public Finance Act 1989 for the interim Te Whatu Ora | Health New Zealand to use the relevant categories of the Health and Disability System Reform Multi Category Appropriation (MCA) from 1 September 2021 to 30 June 2022.</w:t>
      </w:r>
    </w:p>
    <w:p w14:paraId="556E885A" w14:textId="77777777" w:rsidR="008D03E5" w:rsidRPr="008D03E5" w:rsidRDefault="008D03E5" w:rsidP="008D03E5">
      <w:pPr>
        <w:rPr>
          <w:rFonts w:eastAsia="Arial Unicode MS"/>
        </w:rPr>
      </w:pPr>
    </w:p>
    <w:p w14:paraId="05959DB1" w14:textId="77777777" w:rsidR="008D03E5" w:rsidRDefault="008D03E5" w:rsidP="008D03E5">
      <w:pPr>
        <w:rPr>
          <w:rFonts w:eastAsia="Arial Unicode MS"/>
        </w:rPr>
      </w:pPr>
      <w:r w:rsidRPr="008D03E5">
        <w:rPr>
          <w:rFonts w:eastAsia="Arial Unicode MS"/>
        </w:rPr>
        <w:t>In summary its financial performance for the year ended 30 June 2022 was as follows:</w:t>
      </w:r>
    </w:p>
    <w:p w14:paraId="3FA3E108" w14:textId="77777777" w:rsidR="008D03E5" w:rsidRDefault="008D03E5" w:rsidP="00BE61EB">
      <w:pPr>
        <w:pStyle w:val="Heading5"/>
      </w:pPr>
      <w:r w:rsidRPr="008D03E5">
        <w:t>Statement of financial performance for the year ended 30 June 2022</w:t>
      </w:r>
    </w:p>
    <w:tbl>
      <w:tblPr>
        <w:tblpPr w:leftFromText="180" w:rightFromText="180" w:vertAnchor="text" w:horzAnchor="margin" w:tblpY="-74"/>
        <w:tblW w:w="8508" w:type="dxa"/>
        <w:tblLayout w:type="fixed"/>
        <w:tblCellMar>
          <w:left w:w="0" w:type="dxa"/>
          <w:right w:w="0" w:type="dxa"/>
        </w:tblCellMar>
        <w:tblLook w:val="01E0" w:firstRow="1" w:lastRow="1" w:firstColumn="1" w:lastColumn="1" w:noHBand="0" w:noVBand="0"/>
      </w:tblPr>
      <w:tblGrid>
        <w:gridCol w:w="4942"/>
        <w:gridCol w:w="2299"/>
        <w:gridCol w:w="1267"/>
      </w:tblGrid>
      <w:tr w:rsidR="008D03E5" w14:paraId="4A88D100" w14:textId="77777777" w:rsidTr="008D03E5">
        <w:trPr>
          <w:trHeight w:val="1069"/>
        </w:trPr>
        <w:tc>
          <w:tcPr>
            <w:tcW w:w="4942" w:type="dxa"/>
            <w:shd w:val="clear" w:color="auto" w:fill="D9D9D9" w:themeFill="background1" w:themeFillShade="D9"/>
          </w:tcPr>
          <w:p w14:paraId="1AE6BDBA" w14:textId="77777777" w:rsidR="008D03E5" w:rsidRDefault="008D03E5" w:rsidP="008D03E5">
            <w:pPr>
              <w:pStyle w:val="TableText"/>
            </w:pPr>
          </w:p>
        </w:tc>
        <w:tc>
          <w:tcPr>
            <w:tcW w:w="2299" w:type="dxa"/>
            <w:shd w:val="clear" w:color="auto" w:fill="D9D9D9" w:themeFill="background1" w:themeFillShade="D9"/>
          </w:tcPr>
          <w:p w14:paraId="210945A4" w14:textId="77777777" w:rsidR="008D03E5" w:rsidRPr="008D03E5" w:rsidRDefault="008D03E5" w:rsidP="008D03E5">
            <w:pPr>
              <w:pStyle w:val="TableText"/>
              <w:jc w:val="right"/>
              <w:rPr>
                <w:b/>
                <w:bCs/>
              </w:rPr>
            </w:pPr>
            <w:r w:rsidRPr="008D03E5">
              <w:rPr>
                <w:b/>
                <w:bCs/>
              </w:rPr>
              <w:t>Actual</w:t>
            </w:r>
          </w:p>
          <w:p w14:paraId="7BC15979" w14:textId="77777777" w:rsidR="008D03E5" w:rsidRPr="008D03E5" w:rsidRDefault="008D03E5" w:rsidP="008D03E5">
            <w:pPr>
              <w:pStyle w:val="TableText"/>
              <w:jc w:val="right"/>
              <w:rPr>
                <w:b/>
                <w:bCs/>
              </w:rPr>
            </w:pPr>
          </w:p>
          <w:p w14:paraId="4392804D" w14:textId="77777777" w:rsidR="008D03E5" w:rsidRPr="008D03E5" w:rsidRDefault="008D03E5" w:rsidP="008D03E5">
            <w:pPr>
              <w:pStyle w:val="TableText"/>
              <w:jc w:val="right"/>
              <w:rPr>
                <w:b/>
                <w:bCs/>
              </w:rPr>
            </w:pPr>
            <w:r w:rsidRPr="008D03E5">
              <w:rPr>
                <w:b/>
                <w:bCs/>
              </w:rPr>
              <w:t>2022</w:t>
            </w:r>
          </w:p>
          <w:p w14:paraId="6650E1DD" w14:textId="77777777" w:rsidR="008D03E5" w:rsidRPr="008D03E5" w:rsidRDefault="008D03E5" w:rsidP="008D03E5">
            <w:pPr>
              <w:pStyle w:val="TableText"/>
              <w:jc w:val="right"/>
              <w:rPr>
                <w:b/>
                <w:bCs/>
              </w:rPr>
            </w:pPr>
            <w:r w:rsidRPr="008D03E5">
              <w:rPr>
                <w:b/>
                <w:bCs/>
              </w:rPr>
              <w:t>$000</w:t>
            </w:r>
          </w:p>
        </w:tc>
        <w:tc>
          <w:tcPr>
            <w:tcW w:w="1267" w:type="dxa"/>
            <w:shd w:val="clear" w:color="auto" w:fill="D9D9D9" w:themeFill="background1" w:themeFillShade="D9"/>
          </w:tcPr>
          <w:p w14:paraId="47F5B799" w14:textId="77777777" w:rsidR="008D03E5" w:rsidRPr="008D03E5" w:rsidRDefault="008D03E5" w:rsidP="008D03E5">
            <w:pPr>
              <w:pStyle w:val="TableText"/>
              <w:jc w:val="right"/>
              <w:rPr>
                <w:b/>
                <w:bCs/>
              </w:rPr>
            </w:pPr>
            <w:r w:rsidRPr="008D03E5">
              <w:rPr>
                <w:b/>
                <w:bCs/>
              </w:rPr>
              <w:t>Unaudited</w:t>
            </w:r>
          </w:p>
          <w:p w14:paraId="38913A08" w14:textId="77777777" w:rsidR="008D03E5" w:rsidRPr="008D03E5" w:rsidRDefault="008D03E5" w:rsidP="008D03E5">
            <w:pPr>
              <w:pStyle w:val="TableText"/>
              <w:jc w:val="right"/>
              <w:rPr>
                <w:b/>
                <w:bCs/>
              </w:rPr>
            </w:pPr>
            <w:r w:rsidRPr="008D03E5">
              <w:rPr>
                <w:b/>
                <w:bCs/>
              </w:rPr>
              <w:t>budget</w:t>
            </w:r>
          </w:p>
          <w:p w14:paraId="366C0964" w14:textId="77777777" w:rsidR="008D03E5" w:rsidRPr="008D03E5" w:rsidRDefault="008D03E5" w:rsidP="008D03E5">
            <w:pPr>
              <w:pStyle w:val="TableText"/>
              <w:jc w:val="right"/>
              <w:rPr>
                <w:b/>
                <w:bCs/>
              </w:rPr>
            </w:pPr>
            <w:r w:rsidRPr="008D03E5">
              <w:rPr>
                <w:b/>
                <w:bCs/>
              </w:rPr>
              <w:t>2022</w:t>
            </w:r>
          </w:p>
          <w:p w14:paraId="69B11BEA" w14:textId="77777777" w:rsidR="008D03E5" w:rsidRPr="008D03E5" w:rsidRDefault="008D03E5" w:rsidP="008D03E5">
            <w:pPr>
              <w:pStyle w:val="TableText"/>
              <w:jc w:val="right"/>
              <w:rPr>
                <w:b/>
                <w:bCs/>
              </w:rPr>
            </w:pPr>
            <w:r w:rsidRPr="008D03E5">
              <w:rPr>
                <w:b/>
                <w:bCs/>
              </w:rPr>
              <w:t>$000</w:t>
            </w:r>
          </w:p>
        </w:tc>
      </w:tr>
      <w:tr w:rsidR="008D03E5" w14:paraId="7C840C9E" w14:textId="77777777" w:rsidTr="008C677C">
        <w:trPr>
          <w:trHeight w:val="340"/>
        </w:trPr>
        <w:tc>
          <w:tcPr>
            <w:tcW w:w="4942" w:type="dxa"/>
          </w:tcPr>
          <w:p w14:paraId="7DC6C38A" w14:textId="77777777" w:rsidR="008D03E5" w:rsidRDefault="008D03E5" w:rsidP="008D03E5">
            <w:pPr>
              <w:pStyle w:val="TableText"/>
              <w:rPr>
                <w:b/>
              </w:rPr>
            </w:pPr>
            <w:r>
              <w:rPr>
                <w:b/>
                <w:w w:val="105"/>
              </w:rPr>
              <w:t>Departmental</w:t>
            </w:r>
            <w:r>
              <w:rPr>
                <w:b/>
                <w:spacing w:val="14"/>
                <w:w w:val="105"/>
              </w:rPr>
              <w:t xml:space="preserve"> </w:t>
            </w:r>
            <w:r>
              <w:rPr>
                <w:b/>
                <w:w w:val="105"/>
              </w:rPr>
              <w:t>activities</w:t>
            </w:r>
          </w:p>
        </w:tc>
        <w:tc>
          <w:tcPr>
            <w:tcW w:w="2299" w:type="dxa"/>
          </w:tcPr>
          <w:p w14:paraId="4D487D78" w14:textId="77777777" w:rsidR="008D03E5" w:rsidRDefault="008D03E5" w:rsidP="008D03E5">
            <w:pPr>
              <w:pStyle w:val="TableText"/>
              <w:jc w:val="right"/>
            </w:pPr>
          </w:p>
        </w:tc>
        <w:tc>
          <w:tcPr>
            <w:tcW w:w="1267" w:type="dxa"/>
          </w:tcPr>
          <w:p w14:paraId="710233A4" w14:textId="77777777" w:rsidR="008D03E5" w:rsidRDefault="008D03E5" w:rsidP="008D03E5">
            <w:pPr>
              <w:pStyle w:val="TableText"/>
              <w:jc w:val="right"/>
            </w:pPr>
          </w:p>
        </w:tc>
      </w:tr>
      <w:tr w:rsidR="008D03E5" w14:paraId="7C178D67" w14:textId="77777777" w:rsidTr="008C677C">
        <w:trPr>
          <w:trHeight w:val="340"/>
        </w:trPr>
        <w:tc>
          <w:tcPr>
            <w:tcW w:w="4942" w:type="dxa"/>
          </w:tcPr>
          <w:p w14:paraId="70E4F4EB" w14:textId="77777777" w:rsidR="008D03E5" w:rsidRDefault="008D03E5" w:rsidP="008D03E5">
            <w:pPr>
              <w:pStyle w:val="TableText"/>
            </w:pPr>
            <w:r>
              <w:t>Revenue</w:t>
            </w:r>
          </w:p>
        </w:tc>
        <w:tc>
          <w:tcPr>
            <w:tcW w:w="2299" w:type="dxa"/>
          </w:tcPr>
          <w:p w14:paraId="1A94CE63" w14:textId="77777777" w:rsidR="008D03E5" w:rsidRDefault="008D03E5" w:rsidP="008D03E5">
            <w:pPr>
              <w:pStyle w:val="TableText"/>
              <w:jc w:val="right"/>
            </w:pPr>
            <w:r>
              <w:rPr>
                <w:w w:val="110"/>
              </w:rPr>
              <w:t>25,495</w:t>
            </w:r>
          </w:p>
        </w:tc>
        <w:tc>
          <w:tcPr>
            <w:tcW w:w="1267" w:type="dxa"/>
          </w:tcPr>
          <w:p w14:paraId="59BE7EE9" w14:textId="77777777" w:rsidR="008D03E5" w:rsidRDefault="008D03E5" w:rsidP="008D03E5">
            <w:pPr>
              <w:pStyle w:val="TableText"/>
              <w:jc w:val="right"/>
            </w:pPr>
            <w:r>
              <w:t>21,495</w:t>
            </w:r>
          </w:p>
        </w:tc>
      </w:tr>
      <w:tr w:rsidR="008D03E5" w14:paraId="068B7B38" w14:textId="77777777" w:rsidTr="008C677C">
        <w:trPr>
          <w:trHeight w:val="340"/>
        </w:trPr>
        <w:tc>
          <w:tcPr>
            <w:tcW w:w="4942" w:type="dxa"/>
            <w:tcBorders>
              <w:bottom w:val="single" w:sz="4" w:space="0" w:color="A6A6A6" w:themeColor="background1" w:themeShade="A6"/>
            </w:tcBorders>
          </w:tcPr>
          <w:p w14:paraId="2E98A3AD" w14:textId="77777777" w:rsidR="008D03E5" w:rsidRDefault="008D03E5" w:rsidP="008D03E5">
            <w:pPr>
              <w:pStyle w:val="TableText"/>
              <w:rPr>
                <w:b/>
              </w:rPr>
            </w:pPr>
            <w:r>
              <w:rPr>
                <w:b/>
              </w:rPr>
              <w:t>Revenue</w:t>
            </w:r>
            <w:r>
              <w:rPr>
                <w:b/>
                <w:spacing w:val="16"/>
              </w:rPr>
              <w:t xml:space="preserve"> </w:t>
            </w:r>
            <w:r>
              <w:rPr>
                <w:b/>
              </w:rPr>
              <w:t>Crown</w:t>
            </w:r>
          </w:p>
        </w:tc>
        <w:tc>
          <w:tcPr>
            <w:tcW w:w="2299" w:type="dxa"/>
            <w:tcBorders>
              <w:bottom w:val="single" w:sz="4" w:space="0" w:color="A6A6A6" w:themeColor="background1" w:themeShade="A6"/>
            </w:tcBorders>
          </w:tcPr>
          <w:p w14:paraId="30CBF60C" w14:textId="77777777" w:rsidR="008D03E5" w:rsidRDefault="008D03E5" w:rsidP="008D03E5">
            <w:pPr>
              <w:pStyle w:val="TableText"/>
              <w:jc w:val="right"/>
              <w:rPr>
                <w:b/>
              </w:rPr>
            </w:pPr>
            <w:r>
              <w:rPr>
                <w:b/>
                <w:w w:val="110"/>
              </w:rPr>
              <w:t>25,495</w:t>
            </w:r>
          </w:p>
        </w:tc>
        <w:tc>
          <w:tcPr>
            <w:tcW w:w="1267" w:type="dxa"/>
            <w:tcBorders>
              <w:bottom w:val="single" w:sz="4" w:space="0" w:color="A6A6A6" w:themeColor="background1" w:themeShade="A6"/>
            </w:tcBorders>
          </w:tcPr>
          <w:p w14:paraId="1BAAE7CE" w14:textId="77777777" w:rsidR="008D03E5" w:rsidRDefault="008D03E5" w:rsidP="008D03E5">
            <w:pPr>
              <w:pStyle w:val="TableText"/>
              <w:jc w:val="right"/>
              <w:rPr>
                <w:b/>
              </w:rPr>
            </w:pPr>
            <w:r>
              <w:rPr>
                <w:b/>
              </w:rPr>
              <w:t>21,495</w:t>
            </w:r>
          </w:p>
        </w:tc>
      </w:tr>
      <w:tr w:rsidR="008D03E5" w14:paraId="30093EAE" w14:textId="77777777" w:rsidTr="008C677C">
        <w:trPr>
          <w:trHeight w:val="340"/>
        </w:trPr>
        <w:tc>
          <w:tcPr>
            <w:tcW w:w="4942" w:type="dxa"/>
            <w:tcBorders>
              <w:top w:val="single" w:sz="4" w:space="0" w:color="A6A6A6" w:themeColor="background1" w:themeShade="A6"/>
            </w:tcBorders>
          </w:tcPr>
          <w:p w14:paraId="3002BB5B" w14:textId="77777777" w:rsidR="008D03E5" w:rsidRDefault="008D03E5" w:rsidP="008D03E5">
            <w:pPr>
              <w:pStyle w:val="TableText"/>
              <w:rPr>
                <w:b/>
              </w:rPr>
            </w:pPr>
            <w:r>
              <w:rPr>
                <w:b/>
                <w:w w:val="105"/>
              </w:rPr>
              <w:t>Expenses</w:t>
            </w:r>
          </w:p>
        </w:tc>
        <w:tc>
          <w:tcPr>
            <w:tcW w:w="2299" w:type="dxa"/>
            <w:tcBorders>
              <w:top w:val="single" w:sz="4" w:space="0" w:color="A6A6A6" w:themeColor="background1" w:themeShade="A6"/>
            </w:tcBorders>
          </w:tcPr>
          <w:p w14:paraId="73DA6BBF" w14:textId="77777777" w:rsidR="008D03E5" w:rsidRDefault="008D03E5" w:rsidP="008D03E5">
            <w:pPr>
              <w:pStyle w:val="TableText"/>
              <w:jc w:val="right"/>
            </w:pPr>
          </w:p>
        </w:tc>
        <w:tc>
          <w:tcPr>
            <w:tcW w:w="1267" w:type="dxa"/>
            <w:tcBorders>
              <w:top w:val="single" w:sz="4" w:space="0" w:color="A6A6A6" w:themeColor="background1" w:themeShade="A6"/>
            </w:tcBorders>
          </w:tcPr>
          <w:p w14:paraId="1D64687D" w14:textId="77777777" w:rsidR="008D03E5" w:rsidRDefault="008D03E5" w:rsidP="008D03E5">
            <w:pPr>
              <w:pStyle w:val="TableText"/>
              <w:jc w:val="right"/>
            </w:pPr>
          </w:p>
        </w:tc>
      </w:tr>
      <w:tr w:rsidR="008D03E5" w14:paraId="5429D144" w14:textId="77777777" w:rsidTr="008C677C">
        <w:trPr>
          <w:trHeight w:val="340"/>
        </w:trPr>
        <w:tc>
          <w:tcPr>
            <w:tcW w:w="4942" w:type="dxa"/>
          </w:tcPr>
          <w:p w14:paraId="6DB666AF" w14:textId="77777777" w:rsidR="008D03E5" w:rsidRDefault="008D03E5" w:rsidP="008D03E5">
            <w:pPr>
              <w:pStyle w:val="TableText"/>
            </w:pPr>
            <w:r>
              <w:rPr>
                <w:w w:val="105"/>
              </w:rPr>
              <w:t>Personnel</w:t>
            </w:r>
            <w:r>
              <w:rPr>
                <w:spacing w:val="4"/>
                <w:w w:val="105"/>
              </w:rPr>
              <w:t xml:space="preserve"> </w:t>
            </w:r>
            <w:r>
              <w:rPr>
                <w:w w:val="105"/>
              </w:rPr>
              <w:t>costs</w:t>
            </w:r>
          </w:p>
        </w:tc>
        <w:tc>
          <w:tcPr>
            <w:tcW w:w="2299" w:type="dxa"/>
          </w:tcPr>
          <w:p w14:paraId="098E40BD" w14:textId="77777777" w:rsidR="008D03E5" w:rsidRDefault="008D03E5" w:rsidP="008D03E5">
            <w:pPr>
              <w:pStyle w:val="TableText"/>
              <w:jc w:val="right"/>
            </w:pPr>
            <w:r>
              <w:rPr>
                <w:w w:val="110"/>
              </w:rPr>
              <w:t>3,656</w:t>
            </w:r>
          </w:p>
        </w:tc>
        <w:tc>
          <w:tcPr>
            <w:tcW w:w="1267" w:type="dxa"/>
          </w:tcPr>
          <w:p w14:paraId="31563B33" w14:textId="77777777" w:rsidR="008D03E5" w:rsidRDefault="008D03E5" w:rsidP="008D03E5">
            <w:pPr>
              <w:pStyle w:val="TableText"/>
              <w:jc w:val="right"/>
            </w:pPr>
            <w:r>
              <w:rPr>
                <w:w w:val="110"/>
              </w:rPr>
              <w:t>4,855</w:t>
            </w:r>
          </w:p>
        </w:tc>
      </w:tr>
      <w:tr w:rsidR="008D03E5" w14:paraId="2A346F11" w14:textId="77777777" w:rsidTr="008C677C">
        <w:trPr>
          <w:trHeight w:val="340"/>
        </w:trPr>
        <w:tc>
          <w:tcPr>
            <w:tcW w:w="4942" w:type="dxa"/>
          </w:tcPr>
          <w:p w14:paraId="634E1151" w14:textId="77777777" w:rsidR="008D03E5" w:rsidRDefault="008D03E5" w:rsidP="008D03E5">
            <w:pPr>
              <w:pStyle w:val="TableText"/>
            </w:pPr>
            <w:r>
              <w:t>Other</w:t>
            </w:r>
            <w:r>
              <w:rPr>
                <w:spacing w:val="15"/>
              </w:rPr>
              <w:t xml:space="preserve"> </w:t>
            </w:r>
            <w:r>
              <w:t>expenses</w:t>
            </w:r>
          </w:p>
        </w:tc>
        <w:tc>
          <w:tcPr>
            <w:tcW w:w="2299" w:type="dxa"/>
          </w:tcPr>
          <w:p w14:paraId="44FB34AE" w14:textId="77777777" w:rsidR="008D03E5" w:rsidRDefault="008D03E5" w:rsidP="008D03E5">
            <w:pPr>
              <w:pStyle w:val="TableText"/>
              <w:jc w:val="right"/>
            </w:pPr>
            <w:r>
              <w:t>18,425</w:t>
            </w:r>
          </w:p>
        </w:tc>
        <w:tc>
          <w:tcPr>
            <w:tcW w:w="1267" w:type="dxa"/>
          </w:tcPr>
          <w:p w14:paraId="7420D265" w14:textId="77777777" w:rsidR="008D03E5" w:rsidRDefault="008D03E5" w:rsidP="008D03E5">
            <w:pPr>
              <w:pStyle w:val="TableText"/>
              <w:jc w:val="right"/>
            </w:pPr>
            <w:r>
              <w:t>16,640</w:t>
            </w:r>
          </w:p>
        </w:tc>
      </w:tr>
      <w:tr w:rsidR="008D03E5" w14:paraId="7449BE5A" w14:textId="77777777" w:rsidTr="008C677C">
        <w:trPr>
          <w:trHeight w:val="340"/>
        </w:trPr>
        <w:tc>
          <w:tcPr>
            <w:tcW w:w="4942" w:type="dxa"/>
            <w:tcBorders>
              <w:bottom w:val="single" w:sz="4" w:space="0" w:color="A6A6A6" w:themeColor="background1" w:themeShade="A6"/>
            </w:tcBorders>
          </w:tcPr>
          <w:p w14:paraId="3895BB1D" w14:textId="77777777" w:rsidR="008D03E5" w:rsidRDefault="008D03E5" w:rsidP="008D03E5">
            <w:pPr>
              <w:pStyle w:val="TableText"/>
              <w:rPr>
                <w:b/>
              </w:rPr>
            </w:pPr>
            <w:r>
              <w:rPr>
                <w:b/>
                <w:w w:val="105"/>
              </w:rPr>
              <w:t>Total</w:t>
            </w:r>
            <w:r>
              <w:rPr>
                <w:b/>
                <w:spacing w:val="1"/>
                <w:w w:val="105"/>
              </w:rPr>
              <w:t xml:space="preserve"> </w:t>
            </w:r>
            <w:r>
              <w:rPr>
                <w:b/>
                <w:w w:val="105"/>
              </w:rPr>
              <w:t>expenses</w:t>
            </w:r>
          </w:p>
        </w:tc>
        <w:tc>
          <w:tcPr>
            <w:tcW w:w="2299" w:type="dxa"/>
            <w:tcBorders>
              <w:bottom w:val="single" w:sz="4" w:space="0" w:color="A6A6A6" w:themeColor="background1" w:themeShade="A6"/>
            </w:tcBorders>
          </w:tcPr>
          <w:p w14:paraId="63381C81" w14:textId="77777777" w:rsidR="008D03E5" w:rsidRDefault="008D03E5" w:rsidP="008D03E5">
            <w:pPr>
              <w:pStyle w:val="TableText"/>
              <w:jc w:val="right"/>
              <w:rPr>
                <w:b/>
              </w:rPr>
            </w:pPr>
            <w:r>
              <w:rPr>
                <w:b/>
              </w:rPr>
              <w:t>22,081</w:t>
            </w:r>
          </w:p>
        </w:tc>
        <w:tc>
          <w:tcPr>
            <w:tcW w:w="1267" w:type="dxa"/>
            <w:tcBorders>
              <w:bottom w:val="single" w:sz="4" w:space="0" w:color="A6A6A6" w:themeColor="background1" w:themeShade="A6"/>
            </w:tcBorders>
          </w:tcPr>
          <w:p w14:paraId="7AAA59F3" w14:textId="77777777" w:rsidR="008D03E5" w:rsidRDefault="008D03E5" w:rsidP="008D03E5">
            <w:pPr>
              <w:pStyle w:val="TableText"/>
              <w:jc w:val="right"/>
              <w:rPr>
                <w:b/>
              </w:rPr>
            </w:pPr>
            <w:r>
              <w:rPr>
                <w:b/>
              </w:rPr>
              <w:t>21,495</w:t>
            </w:r>
          </w:p>
        </w:tc>
      </w:tr>
      <w:tr w:rsidR="008D03E5" w14:paraId="7C4DEA78" w14:textId="77777777" w:rsidTr="008C677C">
        <w:trPr>
          <w:trHeight w:val="340"/>
        </w:trPr>
        <w:tc>
          <w:tcPr>
            <w:tcW w:w="4942" w:type="dxa"/>
            <w:tcBorders>
              <w:top w:val="single" w:sz="4" w:space="0" w:color="A6A6A6" w:themeColor="background1" w:themeShade="A6"/>
              <w:bottom w:val="single" w:sz="4" w:space="0" w:color="A6A6A6" w:themeColor="background1" w:themeShade="A6"/>
            </w:tcBorders>
          </w:tcPr>
          <w:p w14:paraId="4C18854B" w14:textId="77777777" w:rsidR="008D03E5" w:rsidRDefault="008D03E5" w:rsidP="008D03E5">
            <w:pPr>
              <w:pStyle w:val="TableText"/>
              <w:rPr>
                <w:b/>
              </w:rPr>
            </w:pPr>
            <w:r>
              <w:rPr>
                <w:b/>
                <w:w w:val="110"/>
              </w:rPr>
              <w:t>Net</w:t>
            </w:r>
            <w:r>
              <w:rPr>
                <w:b/>
                <w:spacing w:val="-11"/>
                <w:w w:val="110"/>
              </w:rPr>
              <w:t xml:space="preserve"> </w:t>
            </w:r>
            <w:r>
              <w:rPr>
                <w:b/>
                <w:w w:val="110"/>
              </w:rPr>
              <w:t>surplus/(deficit)</w:t>
            </w:r>
          </w:p>
        </w:tc>
        <w:tc>
          <w:tcPr>
            <w:tcW w:w="2299" w:type="dxa"/>
            <w:tcBorders>
              <w:top w:val="single" w:sz="4" w:space="0" w:color="A6A6A6" w:themeColor="background1" w:themeShade="A6"/>
              <w:bottom w:val="single" w:sz="4" w:space="0" w:color="A6A6A6" w:themeColor="background1" w:themeShade="A6"/>
            </w:tcBorders>
          </w:tcPr>
          <w:p w14:paraId="63BE7F29" w14:textId="77777777" w:rsidR="008D03E5" w:rsidRDefault="008D03E5" w:rsidP="008D03E5">
            <w:pPr>
              <w:pStyle w:val="TableText"/>
              <w:jc w:val="right"/>
              <w:rPr>
                <w:b/>
              </w:rPr>
            </w:pPr>
            <w:r>
              <w:rPr>
                <w:b/>
              </w:rPr>
              <w:t>3,414</w:t>
            </w:r>
          </w:p>
        </w:tc>
        <w:tc>
          <w:tcPr>
            <w:tcW w:w="1267" w:type="dxa"/>
            <w:tcBorders>
              <w:top w:val="single" w:sz="4" w:space="0" w:color="A6A6A6" w:themeColor="background1" w:themeShade="A6"/>
              <w:bottom w:val="single" w:sz="4" w:space="0" w:color="A6A6A6" w:themeColor="background1" w:themeShade="A6"/>
            </w:tcBorders>
          </w:tcPr>
          <w:p w14:paraId="1E213DD6" w14:textId="77777777" w:rsidR="008D03E5" w:rsidRDefault="008D03E5" w:rsidP="008D03E5">
            <w:pPr>
              <w:pStyle w:val="TableText"/>
              <w:jc w:val="right"/>
              <w:rPr>
                <w:b/>
              </w:rPr>
            </w:pPr>
            <w:r>
              <w:rPr>
                <w:b/>
                <w:w w:val="140"/>
              </w:rPr>
              <w:t>–</w:t>
            </w:r>
          </w:p>
        </w:tc>
      </w:tr>
      <w:tr w:rsidR="008D03E5" w14:paraId="4E6241F7" w14:textId="77777777" w:rsidTr="008C677C">
        <w:trPr>
          <w:trHeight w:val="340"/>
        </w:trPr>
        <w:tc>
          <w:tcPr>
            <w:tcW w:w="4942" w:type="dxa"/>
            <w:tcBorders>
              <w:top w:val="single" w:sz="4" w:space="0" w:color="A6A6A6" w:themeColor="background1" w:themeShade="A6"/>
            </w:tcBorders>
          </w:tcPr>
          <w:p w14:paraId="5428F27B" w14:textId="77777777" w:rsidR="008D03E5" w:rsidRDefault="008D03E5" w:rsidP="008D03E5">
            <w:pPr>
              <w:pStyle w:val="TableText"/>
              <w:rPr>
                <w:b/>
              </w:rPr>
            </w:pPr>
            <w:r>
              <w:rPr>
                <w:b/>
                <w:w w:val="105"/>
              </w:rPr>
              <w:t>Non-departmental</w:t>
            </w:r>
            <w:r>
              <w:rPr>
                <w:b/>
                <w:spacing w:val="22"/>
                <w:w w:val="105"/>
              </w:rPr>
              <w:t xml:space="preserve"> </w:t>
            </w:r>
            <w:r>
              <w:rPr>
                <w:b/>
                <w:w w:val="105"/>
              </w:rPr>
              <w:t>activities</w:t>
            </w:r>
          </w:p>
        </w:tc>
        <w:tc>
          <w:tcPr>
            <w:tcW w:w="2299" w:type="dxa"/>
            <w:tcBorders>
              <w:top w:val="single" w:sz="4" w:space="0" w:color="A6A6A6" w:themeColor="background1" w:themeShade="A6"/>
            </w:tcBorders>
          </w:tcPr>
          <w:p w14:paraId="41EB404F" w14:textId="77777777" w:rsidR="008D03E5" w:rsidRDefault="008D03E5" w:rsidP="008D03E5">
            <w:pPr>
              <w:pStyle w:val="TableText"/>
              <w:jc w:val="right"/>
            </w:pPr>
          </w:p>
        </w:tc>
        <w:tc>
          <w:tcPr>
            <w:tcW w:w="1267" w:type="dxa"/>
            <w:tcBorders>
              <w:top w:val="single" w:sz="4" w:space="0" w:color="A6A6A6" w:themeColor="background1" w:themeShade="A6"/>
            </w:tcBorders>
          </w:tcPr>
          <w:p w14:paraId="790EF88D" w14:textId="77777777" w:rsidR="008D03E5" w:rsidRDefault="008D03E5" w:rsidP="008D03E5">
            <w:pPr>
              <w:pStyle w:val="TableText"/>
              <w:jc w:val="right"/>
            </w:pPr>
          </w:p>
        </w:tc>
      </w:tr>
      <w:tr w:rsidR="008D03E5" w14:paraId="36AC4408" w14:textId="77777777" w:rsidTr="008C677C">
        <w:trPr>
          <w:trHeight w:val="340"/>
        </w:trPr>
        <w:tc>
          <w:tcPr>
            <w:tcW w:w="4942" w:type="dxa"/>
          </w:tcPr>
          <w:p w14:paraId="2A898D9A" w14:textId="77777777" w:rsidR="008D03E5" w:rsidRDefault="008D03E5" w:rsidP="008D03E5">
            <w:pPr>
              <w:pStyle w:val="TableText"/>
            </w:pPr>
            <w:r>
              <w:t>Locality</w:t>
            </w:r>
            <w:r>
              <w:rPr>
                <w:spacing w:val="19"/>
              </w:rPr>
              <w:t xml:space="preserve"> </w:t>
            </w:r>
            <w:r>
              <w:t>networks</w:t>
            </w:r>
          </w:p>
        </w:tc>
        <w:tc>
          <w:tcPr>
            <w:tcW w:w="2299" w:type="dxa"/>
          </w:tcPr>
          <w:p w14:paraId="7A0A23DC" w14:textId="77777777" w:rsidR="008D03E5" w:rsidRDefault="008D03E5" w:rsidP="008D03E5">
            <w:pPr>
              <w:pStyle w:val="TableText"/>
              <w:jc w:val="right"/>
            </w:pPr>
            <w:r>
              <w:rPr>
                <w:w w:val="135"/>
              </w:rPr>
              <w:t>–</w:t>
            </w:r>
          </w:p>
        </w:tc>
        <w:tc>
          <w:tcPr>
            <w:tcW w:w="1267" w:type="dxa"/>
          </w:tcPr>
          <w:p w14:paraId="720EA3BB" w14:textId="77777777" w:rsidR="008D03E5" w:rsidRDefault="008D03E5" w:rsidP="008D03E5">
            <w:pPr>
              <w:pStyle w:val="TableText"/>
              <w:jc w:val="right"/>
            </w:pPr>
            <w:r>
              <w:rPr>
                <w:w w:val="105"/>
              </w:rPr>
              <w:t>9,642</w:t>
            </w:r>
          </w:p>
        </w:tc>
      </w:tr>
      <w:tr w:rsidR="008D03E5" w14:paraId="7285036B" w14:textId="77777777" w:rsidTr="008C677C">
        <w:trPr>
          <w:trHeight w:val="340"/>
        </w:trPr>
        <w:tc>
          <w:tcPr>
            <w:tcW w:w="4942" w:type="dxa"/>
            <w:tcBorders>
              <w:bottom w:val="single" w:sz="4" w:space="0" w:color="A6A6A6" w:themeColor="background1" w:themeShade="A6"/>
            </w:tcBorders>
          </w:tcPr>
          <w:p w14:paraId="09BAAD91" w14:textId="77777777" w:rsidR="008D03E5" w:rsidRDefault="008D03E5" w:rsidP="008D03E5">
            <w:pPr>
              <w:pStyle w:val="TableText"/>
              <w:rPr>
                <w:b/>
              </w:rPr>
            </w:pPr>
            <w:r>
              <w:rPr>
                <w:b/>
                <w:w w:val="105"/>
              </w:rPr>
              <w:t>Total</w:t>
            </w:r>
            <w:r>
              <w:rPr>
                <w:b/>
                <w:spacing w:val="16"/>
                <w:w w:val="105"/>
              </w:rPr>
              <w:t xml:space="preserve"> </w:t>
            </w:r>
            <w:r>
              <w:rPr>
                <w:b/>
                <w:w w:val="105"/>
              </w:rPr>
              <w:t>non-departmental</w:t>
            </w:r>
            <w:r>
              <w:rPr>
                <w:b/>
                <w:spacing w:val="16"/>
                <w:w w:val="105"/>
              </w:rPr>
              <w:t xml:space="preserve"> </w:t>
            </w:r>
            <w:r>
              <w:rPr>
                <w:b/>
                <w:w w:val="105"/>
              </w:rPr>
              <w:t>expenditure</w:t>
            </w:r>
          </w:p>
        </w:tc>
        <w:tc>
          <w:tcPr>
            <w:tcW w:w="2299" w:type="dxa"/>
            <w:tcBorders>
              <w:bottom w:val="single" w:sz="4" w:space="0" w:color="A6A6A6" w:themeColor="background1" w:themeShade="A6"/>
            </w:tcBorders>
          </w:tcPr>
          <w:p w14:paraId="59A1522A" w14:textId="77777777" w:rsidR="008D03E5" w:rsidRDefault="008D03E5" w:rsidP="008D03E5">
            <w:pPr>
              <w:pStyle w:val="TableText"/>
              <w:jc w:val="right"/>
              <w:rPr>
                <w:b/>
              </w:rPr>
            </w:pPr>
            <w:r>
              <w:rPr>
                <w:b/>
                <w:w w:val="140"/>
              </w:rPr>
              <w:t>–</w:t>
            </w:r>
          </w:p>
        </w:tc>
        <w:tc>
          <w:tcPr>
            <w:tcW w:w="1267" w:type="dxa"/>
            <w:tcBorders>
              <w:bottom w:val="single" w:sz="4" w:space="0" w:color="A6A6A6" w:themeColor="background1" w:themeShade="A6"/>
            </w:tcBorders>
          </w:tcPr>
          <w:p w14:paraId="1CDA01D5" w14:textId="77777777" w:rsidR="008D03E5" w:rsidRDefault="008D03E5" w:rsidP="008D03E5">
            <w:pPr>
              <w:pStyle w:val="TableText"/>
              <w:jc w:val="right"/>
              <w:rPr>
                <w:b/>
              </w:rPr>
            </w:pPr>
            <w:r>
              <w:rPr>
                <w:b/>
                <w:w w:val="110"/>
              </w:rPr>
              <w:t>9,642</w:t>
            </w:r>
          </w:p>
        </w:tc>
      </w:tr>
    </w:tbl>
    <w:p w14:paraId="0067BC32" w14:textId="77777777" w:rsidR="00BE61EB" w:rsidRPr="00BE61EB" w:rsidRDefault="00BE61EB" w:rsidP="00BE61EB">
      <w:pPr>
        <w:pStyle w:val="Heading5"/>
      </w:pPr>
      <w:r w:rsidRPr="00BE61EB">
        <w:t>15.3</w:t>
      </w:r>
      <w:r w:rsidRPr="00BE61EB">
        <w:tab/>
        <w:t>Interim Te Aka Whai Ora | Māori Health Authority</w:t>
      </w:r>
    </w:p>
    <w:p w14:paraId="26AB6A89" w14:textId="77DDE58A" w:rsidR="00BE61EB" w:rsidRDefault="00BE61EB" w:rsidP="00BE61EB">
      <w:pPr>
        <w:rPr>
          <w:rFonts w:eastAsia="Arial Unicode MS"/>
        </w:rPr>
      </w:pPr>
      <w:r w:rsidRPr="00BE61EB">
        <w:rPr>
          <w:rFonts w:eastAsia="Arial Unicode MS"/>
        </w:rPr>
        <w:t>On 1 September 2021, Cabinet approved the establishment of Te Aka Whai Ora | Māori Health Authority as a departmental agency, hosted by the Ministry.</w:t>
      </w:r>
    </w:p>
    <w:p w14:paraId="16BBD021" w14:textId="77777777" w:rsidR="00BE61EB" w:rsidRPr="00BE61EB" w:rsidRDefault="00BE61EB" w:rsidP="00BE61EB">
      <w:pPr>
        <w:rPr>
          <w:rFonts w:eastAsia="Arial Unicode MS"/>
        </w:rPr>
      </w:pPr>
    </w:p>
    <w:p w14:paraId="1922CF3B" w14:textId="77777777" w:rsidR="00BE61EB" w:rsidRPr="00BE61EB" w:rsidRDefault="00BE61EB" w:rsidP="00BE61EB">
      <w:pPr>
        <w:rPr>
          <w:rFonts w:eastAsia="Arial Unicode MS"/>
        </w:rPr>
      </w:pPr>
      <w:r w:rsidRPr="00BE61EB">
        <w:rPr>
          <w:rFonts w:eastAsia="Arial Unicode MS"/>
        </w:rPr>
        <w:t>The Order in Council titled the Public Service (Health New Zealand and Māori Health Authority) Order 2021 named Te Aka Whai Ora | Māori Health Authority as a department agency within the Ministry under Schedule 2, Part 2 of the Public Service Act 2020. Interim Te Aka Whai Ora | Māori Health Authority has been established to undertake detailed planning, organisational work, and consultation in relation to the implementation of health and disability system reforms.</w:t>
      </w:r>
    </w:p>
    <w:p w14:paraId="6774DAE8" w14:textId="77777777" w:rsidR="00BE61EB" w:rsidRPr="00BE61EB" w:rsidRDefault="00BE61EB" w:rsidP="00BE61EB">
      <w:pPr>
        <w:rPr>
          <w:rFonts w:eastAsia="Arial Unicode MS"/>
        </w:rPr>
      </w:pPr>
      <w:r w:rsidRPr="00BE61EB">
        <w:rPr>
          <w:rFonts w:eastAsia="Arial Unicode MS"/>
        </w:rPr>
        <w:t xml:space="preserve"> </w:t>
      </w:r>
    </w:p>
    <w:p w14:paraId="08FED345" w14:textId="3E2C322B" w:rsidR="00BE61EB" w:rsidRDefault="00BE61EB" w:rsidP="00BE61EB">
      <w:pPr>
        <w:rPr>
          <w:rFonts w:eastAsia="Arial Unicode MS"/>
        </w:rPr>
      </w:pPr>
      <w:r w:rsidRPr="00BE61EB">
        <w:rPr>
          <w:rFonts w:eastAsia="Arial Unicode MS"/>
        </w:rPr>
        <w:t>Interim Te Aka Whai Ora | Māori Health Authority has been established as an interim departmental agency within the Ministry until the permanent entity comes into effect from 1 July 2022. The purpose of the interim agency is to help drive the development of permanent entity and its role within a newly transformed system.</w:t>
      </w:r>
    </w:p>
    <w:p w14:paraId="408D6D98" w14:textId="77777777" w:rsidR="00BE61EB" w:rsidRPr="00BE61EB" w:rsidRDefault="00BE61EB" w:rsidP="00BE61EB">
      <w:pPr>
        <w:rPr>
          <w:rFonts w:eastAsia="Arial Unicode MS"/>
        </w:rPr>
      </w:pPr>
    </w:p>
    <w:p w14:paraId="32FBC181" w14:textId="0CB22F1F" w:rsidR="00BE61EB" w:rsidRDefault="00BE61EB" w:rsidP="00BE61EB">
      <w:pPr>
        <w:rPr>
          <w:rFonts w:eastAsia="Arial Unicode MS"/>
        </w:rPr>
      </w:pPr>
      <w:r w:rsidRPr="00BE61EB">
        <w:rPr>
          <w:rFonts w:eastAsia="Arial Unicode MS"/>
        </w:rPr>
        <w:t>The nature of this arrangement means while the agency is a separate departmental operating unit within the Ministry, it is functionally independent, with separate ministerial reporting lines and Chief Executive.</w:t>
      </w:r>
    </w:p>
    <w:p w14:paraId="2AC67601" w14:textId="77777777" w:rsidR="00BE61EB" w:rsidRPr="00BE61EB" w:rsidRDefault="00BE61EB" w:rsidP="00BE61EB">
      <w:pPr>
        <w:rPr>
          <w:rFonts w:eastAsia="Arial Unicode MS"/>
        </w:rPr>
      </w:pPr>
    </w:p>
    <w:p w14:paraId="7F3B379E" w14:textId="1AA9D19E" w:rsidR="00BE61EB" w:rsidRDefault="00BE61EB" w:rsidP="00BE61EB">
      <w:pPr>
        <w:rPr>
          <w:rFonts w:eastAsia="Arial Unicode MS"/>
        </w:rPr>
      </w:pPr>
      <w:r w:rsidRPr="00BE61EB">
        <w:rPr>
          <w:rFonts w:eastAsia="Arial Unicode MS"/>
        </w:rPr>
        <w:lastRenderedPageBreak/>
        <w:t>The Ministry’s financial statements include the financial operations of interim Te Aka Whai Ora | Māori Health Authority.</w:t>
      </w:r>
    </w:p>
    <w:p w14:paraId="7FDB5849" w14:textId="77777777" w:rsidR="00BE61EB" w:rsidRPr="00BE61EB" w:rsidRDefault="00BE61EB" w:rsidP="00BE61EB">
      <w:pPr>
        <w:rPr>
          <w:rFonts w:eastAsia="Arial Unicode MS"/>
        </w:rPr>
      </w:pPr>
    </w:p>
    <w:p w14:paraId="1DD1ACB9" w14:textId="1CD6EA13" w:rsidR="00BE61EB" w:rsidRDefault="00BE61EB" w:rsidP="00BE61EB">
      <w:pPr>
        <w:rPr>
          <w:rFonts w:eastAsia="Arial Unicode MS"/>
        </w:rPr>
      </w:pPr>
      <w:r w:rsidRPr="00BE61EB">
        <w:rPr>
          <w:rFonts w:eastAsia="Arial Unicode MS"/>
        </w:rPr>
        <w:t>Interim Te Aka Whai Ora | Māori Health Authority is funded within Vote Health baselines. The appropriation Minister directed under section 7C(2)(c)(i) of the Public Finance Act 1989 for the Interim Te Aka Whai Ora | Māori Health Authority to use the relevant categories of the Health and Disability System Reform Multi Category Appropriation (MCA) from 1 September 2021 to 30 June 2022.</w:t>
      </w:r>
    </w:p>
    <w:p w14:paraId="7BDE909F" w14:textId="77777777" w:rsidR="00BE61EB" w:rsidRPr="00BE61EB" w:rsidRDefault="00BE61EB" w:rsidP="00BE61EB">
      <w:pPr>
        <w:rPr>
          <w:rFonts w:eastAsia="Arial Unicode MS"/>
        </w:rPr>
      </w:pPr>
    </w:p>
    <w:p w14:paraId="0FDC06A8" w14:textId="77777777" w:rsidR="00BE61EB" w:rsidRPr="00BE61EB" w:rsidRDefault="00BE61EB" w:rsidP="00BE61EB">
      <w:pPr>
        <w:rPr>
          <w:rFonts w:eastAsia="Arial Unicode MS"/>
        </w:rPr>
      </w:pPr>
      <w:r w:rsidRPr="00BE61EB">
        <w:rPr>
          <w:rFonts w:eastAsia="Arial Unicode MS"/>
        </w:rPr>
        <w:t>In summary its financial performance for the year ended 30 June 2022 was as follows:</w:t>
      </w:r>
    </w:p>
    <w:p w14:paraId="724F5CC0" w14:textId="77777777" w:rsidR="00BE61EB" w:rsidRDefault="00BE61EB" w:rsidP="00BE61EB">
      <w:pPr>
        <w:pStyle w:val="Heading5"/>
      </w:pPr>
      <w:r w:rsidRPr="00BE61EB">
        <w:t>Statement of financial performance for the year ended 30 June 2022</w:t>
      </w:r>
    </w:p>
    <w:tbl>
      <w:tblPr>
        <w:tblpPr w:leftFromText="180" w:rightFromText="180" w:vertAnchor="text" w:horzAnchor="margin" w:tblpY="88"/>
        <w:tblW w:w="7930" w:type="dxa"/>
        <w:tblLayout w:type="fixed"/>
        <w:tblCellMar>
          <w:left w:w="0" w:type="dxa"/>
          <w:right w:w="0" w:type="dxa"/>
        </w:tblCellMar>
        <w:tblLook w:val="01E0" w:firstRow="1" w:lastRow="1" w:firstColumn="1" w:lastColumn="1" w:noHBand="0" w:noVBand="0"/>
      </w:tblPr>
      <w:tblGrid>
        <w:gridCol w:w="4890"/>
        <w:gridCol w:w="1773"/>
        <w:gridCol w:w="1267"/>
      </w:tblGrid>
      <w:tr w:rsidR="00BE61EB" w14:paraId="095F4536" w14:textId="77777777" w:rsidTr="00545936">
        <w:trPr>
          <w:trHeight w:val="1069"/>
        </w:trPr>
        <w:tc>
          <w:tcPr>
            <w:tcW w:w="4890" w:type="dxa"/>
            <w:shd w:val="clear" w:color="auto" w:fill="D9D9D9" w:themeFill="background1" w:themeFillShade="D9"/>
          </w:tcPr>
          <w:p w14:paraId="2A1E9C82" w14:textId="77777777" w:rsidR="00BE61EB" w:rsidRDefault="00BE61EB" w:rsidP="00BE61EB">
            <w:pPr>
              <w:pStyle w:val="TableText"/>
            </w:pPr>
          </w:p>
        </w:tc>
        <w:tc>
          <w:tcPr>
            <w:tcW w:w="1773" w:type="dxa"/>
            <w:shd w:val="clear" w:color="auto" w:fill="D9D9D9" w:themeFill="background1" w:themeFillShade="D9"/>
          </w:tcPr>
          <w:p w14:paraId="7366ECC2" w14:textId="77777777" w:rsidR="00BE61EB" w:rsidRPr="00BE61EB" w:rsidRDefault="00BE61EB" w:rsidP="00BE61EB">
            <w:pPr>
              <w:pStyle w:val="TableText"/>
              <w:jc w:val="right"/>
              <w:rPr>
                <w:b/>
                <w:bCs/>
              </w:rPr>
            </w:pPr>
            <w:r w:rsidRPr="00BE61EB">
              <w:rPr>
                <w:b/>
                <w:bCs/>
              </w:rPr>
              <w:t>Actual</w:t>
            </w:r>
          </w:p>
          <w:p w14:paraId="4E95BDE5" w14:textId="77777777" w:rsidR="00BE61EB" w:rsidRPr="00BE61EB" w:rsidRDefault="00BE61EB" w:rsidP="00BE61EB">
            <w:pPr>
              <w:pStyle w:val="TableText"/>
              <w:jc w:val="right"/>
              <w:rPr>
                <w:b/>
                <w:bCs/>
              </w:rPr>
            </w:pPr>
          </w:p>
          <w:p w14:paraId="61A2D7ED" w14:textId="77777777" w:rsidR="00BE61EB" w:rsidRPr="00BE61EB" w:rsidRDefault="00BE61EB" w:rsidP="00BE61EB">
            <w:pPr>
              <w:pStyle w:val="TableText"/>
              <w:jc w:val="right"/>
              <w:rPr>
                <w:b/>
                <w:bCs/>
              </w:rPr>
            </w:pPr>
            <w:r w:rsidRPr="00BE61EB">
              <w:rPr>
                <w:b/>
                <w:bCs/>
              </w:rPr>
              <w:t>2022</w:t>
            </w:r>
          </w:p>
          <w:p w14:paraId="3F4281DA" w14:textId="77777777" w:rsidR="00BE61EB" w:rsidRPr="00BE61EB" w:rsidRDefault="00BE61EB" w:rsidP="00BE61EB">
            <w:pPr>
              <w:pStyle w:val="TableText"/>
              <w:jc w:val="right"/>
              <w:rPr>
                <w:b/>
                <w:bCs/>
              </w:rPr>
            </w:pPr>
            <w:r w:rsidRPr="00BE61EB">
              <w:rPr>
                <w:b/>
                <w:bCs/>
              </w:rPr>
              <w:t>$000</w:t>
            </w:r>
          </w:p>
        </w:tc>
        <w:tc>
          <w:tcPr>
            <w:tcW w:w="1267" w:type="dxa"/>
            <w:shd w:val="clear" w:color="auto" w:fill="D9D9D9" w:themeFill="background1" w:themeFillShade="D9"/>
          </w:tcPr>
          <w:p w14:paraId="757C7177" w14:textId="77777777" w:rsidR="00BE61EB" w:rsidRPr="00BE61EB" w:rsidRDefault="00BE61EB" w:rsidP="00BE61EB">
            <w:pPr>
              <w:pStyle w:val="TableText"/>
              <w:jc w:val="right"/>
              <w:rPr>
                <w:b/>
                <w:bCs/>
              </w:rPr>
            </w:pPr>
            <w:r w:rsidRPr="00BE61EB">
              <w:rPr>
                <w:b/>
                <w:bCs/>
              </w:rPr>
              <w:t>Unaudited</w:t>
            </w:r>
          </w:p>
          <w:p w14:paraId="4219EA4D" w14:textId="77777777" w:rsidR="00BE61EB" w:rsidRPr="00BE61EB" w:rsidRDefault="00BE61EB" w:rsidP="00BE61EB">
            <w:pPr>
              <w:pStyle w:val="TableText"/>
              <w:jc w:val="right"/>
              <w:rPr>
                <w:b/>
                <w:bCs/>
              </w:rPr>
            </w:pPr>
            <w:r w:rsidRPr="00BE61EB">
              <w:rPr>
                <w:b/>
                <w:bCs/>
              </w:rPr>
              <w:t>budget</w:t>
            </w:r>
          </w:p>
          <w:p w14:paraId="773E606A" w14:textId="77777777" w:rsidR="00BE61EB" w:rsidRPr="00BE61EB" w:rsidRDefault="00BE61EB" w:rsidP="00BE61EB">
            <w:pPr>
              <w:pStyle w:val="TableText"/>
              <w:jc w:val="right"/>
              <w:rPr>
                <w:b/>
                <w:bCs/>
              </w:rPr>
            </w:pPr>
            <w:r w:rsidRPr="00BE61EB">
              <w:rPr>
                <w:b/>
                <w:bCs/>
              </w:rPr>
              <w:t>2022</w:t>
            </w:r>
          </w:p>
          <w:p w14:paraId="2F05B78C" w14:textId="77777777" w:rsidR="00BE61EB" w:rsidRPr="00BE61EB" w:rsidRDefault="00BE61EB" w:rsidP="00BE61EB">
            <w:pPr>
              <w:pStyle w:val="TableText"/>
              <w:jc w:val="right"/>
              <w:rPr>
                <w:b/>
                <w:bCs/>
              </w:rPr>
            </w:pPr>
            <w:r w:rsidRPr="00BE61EB">
              <w:rPr>
                <w:b/>
                <w:bCs/>
              </w:rPr>
              <w:t>$000</w:t>
            </w:r>
          </w:p>
        </w:tc>
      </w:tr>
      <w:tr w:rsidR="00BE61EB" w14:paraId="181F9D2E" w14:textId="77777777" w:rsidTr="00545936">
        <w:trPr>
          <w:trHeight w:val="340"/>
        </w:trPr>
        <w:tc>
          <w:tcPr>
            <w:tcW w:w="4890" w:type="dxa"/>
          </w:tcPr>
          <w:p w14:paraId="26EEE9CF" w14:textId="77777777" w:rsidR="00BE61EB" w:rsidRDefault="00BE61EB" w:rsidP="00BE61EB">
            <w:pPr>
              <w:pStyle w:val="TableText"/>
              <w:rPr>
                <w:b/>
              </w:rPr>
            </w:pPr>
            <w:r>
              <w:rPr>
                <w:b/>
                <w:w w:val="105"/>
              </w:rPr>
              <w:t>Departmental</w:t>
            </w:r>
            <w:r>
              <w:rPr>
                <w:b/>
                <w:spacing w:val="14"/>
                <w:w w:val="105"/>
              </w:rPr>
              <w:t xml:space="preserve"> </w:t>
            </w:r>
            <w:r>
              <w:rPr>
                <w:b/>
                <w:w w:val="105"/>
              </w:rPr>
              <w:t>activities</w:t>
            </w:r>
          </w:p>
        </w:tc>
        <w:tc>
          <w:tcPr>
            <w:tcW w:w="1773" w:type="dxa"/>
          </w:tcPr>
          <w:p w14:paraId="368C5EBA" w14:textId="77777777" w:rsidR="00BE61EB" w:rsidRDefault="00BE61EB" w:rsidP="00BE61EB">
            <w:pPr>
              <w:pStyle w:val="TableText"/>
              <w:jc w:val="right"/>
            </w:pPr>
          </w:p>
        </w:tc>
        <w:tc>
          <w:tcPr>
            <w:tcW w:w="1267" w:type="dxa"/>
          </w:tcPr>
          <w:p w14:paraId="421AC5B6" w14:textId="77777777" w:rsidR="00BE61EB" w:rsidRDefault="00BE61EB" w:rsidP="00BE61EB">
            <w:pPr>
              <w:pStyle w:val="TableText"/>
              <w:jc w:val="right"/>
            </w:pPr>
          </w:p>
        </w:tc>
      </w:tr>
      <w:tr w:rsidR="00BE61EB" w14:paraId="4DA8404D" w14:textId="77777777" w:rsidTr="00545936">
        <w:trPr>
          <w:trHeight w:val="340"/>
        </w:trPr>
        <w:tc>
          <w:tcPr>
            <w:tcW w:w="4890" w:type="dxa"/>
          </w:tcPr>
          <w:p w14:paraId="0FDD9AD2" w14:textId="77777777" w:rsidR="00BE61EB" w:rsidRDefault="00BE61EB" w:rsidP="00BE61EB">
            <w:pPr>
              <w:pStyle w:val="TableText"/>
            </w:pPr>
            <w:r>
              <w:t>Revenue</w:t>
            </w:r>
          </w:p>
        </w:tc>
        <w:tc>
          <w:tcPr>
            <w:tcW w:w="1773" w:type="dxa"/>
          </w:tcPr>
          <w:p w14:paraId="43892B1A" w14:textId="77777777" w:rsidR="00BE61EB" w:rsidRDefault="00BE61EB" w:rsidP="00BE61EB">
            <w:pPr>
              <w:pStyle w:val="TableText"/>
              <w:jc w:val="right"/>
            </w:pPr>
            <w:r>
              <w:t>24,139</w:t>
            </w:r>
          </w:p>
        </w:tc>
        <w:tc>
          <w:tcPr>
            <w:tcW w:w="1267" w:type="dxa"/>
          </w:tcPr>
          <w:p w14:paraId="004762DC" w14:textId="77777777" w:rsidR="00BE61EB" w:rsidRDefault="00BE61EB" w:rsidP="00BE61EB">
            <w:pPr>
              <w:pStyle w:val="TableText"/>
              <w:jc w:val="right"/>
            </w:pPr>
            <w:r>
              <w:rPr>
                <w:w w:val="95"/>
              </w:rPr>
              <w:t>23,119</w:t>
            </w:r>
          </w:p>
        </w:tc>
      </w:tr>
      <w:tr w:rsidR="00BE61EB" w14:paraId="1C7736E4" w14:textId="77777777" w:rsidTr="00545936">
        <w:trPr>
          <w:trHeight w:val="340"/>
        </w:trPr>
        <w:tc>
          <w:tcPr>
            <w:tcW w:w="4890" w:type="dxa"/>
            <w:tcBorders>
              <w:bottom w:val="single" w:sz="4" w:space="0" w:color="A6A6A6" w:themeColor="background1" w:themeShade="A6"/>
            </w:tcBorders>
          </w:tcPr>
          <w:p w14:paraId="4AB7B486" w14:textId="77777777" w:rsidR="00BE61EB" w:rsidRDefault="00BE61EB" w:rsidP="00BE61EB">
            <w:pPr>
              <w:pStyle w:val="TableText"/>
              <w:rPr>
                <w:b/>
              </w:rPr>
            </w:pPr>
            <w:r>
              <w:rPr>
                <w:b/>
              </w:rPr>
              <w:t>Revenue</w:t>
            </w:r>
            <w:r>
              <w:rPr>
                <w:b/>
                <w:spacing w:val="16"/>
              </w:rPr>
              <w:t xml:space="preserve"> </w:t>
            </w:r>
            <w:r>
              <w:rPr>
                <w:b/>
              </w:rPr>
              <w:t>Crown</w:t>
            </w:r>
          </w:p>
        </w:tc>
        <w:tc>
          <w:tcPr>
            <w:tcW w:w="1773" w:type="dxa"/>
            <w:tcBorders>
              <w:bottom w:val="single" w:sz="4" w:space="0" w:color="A6A6A6" w:themeColor="background1" w:themeShade="A6"/>
            </w:tcBorders>
          </w:tcPr>
          <w:p w14:paraId="049545C9" w14:textId="77777777" w:rsidR="00BE61EB" w:rsidRDefault="00BE61EB" w:rsidP="00BE61EB">
            <w:pPr>
              <w:pStyle w:val="TableText"/>
              <w:jc w:val="right"/>
              <w:rPr>
                <w:b/>
              </w:rPr>
            </w:pPr>
            <w:r>
              <w:rPr>
                <w:b/>
              </w:rPr>
              <w:t>24,139</w:t>
            </w:r>
          </w:p>
        </w:tc>
        <w:tc>
          <w:tcPr>
            <w:tcW w:w="1267" w:type="dxa"/>
            <w:tcBorders>
              <w:bottom w:val="single" w:sz="4" w:space="0" w:color="A6A6A6" w:themeColor="background1" w:themeShade="A6"/>
            </w:tcBorders>
          </w:tcPr>
          <w:p w14:paraId="6DA2DFF9" w14:textId="77777777" w:rsidR="00BE61EB" w:rsidRDefault="00BE61EB" w:rsidP="00BE61EB">
            <w:pPr>
              <w:pStyle w:val="TableText"/>
              <w:jc w:val="right"/>
              <w:rPr>
                <w:b/>
              </w:rPr>
            </w:pPr>
            <w:r>
              <w:rPr>
                <w:b/>
              </w:rPr>
              <w:t>23,119</w:t>
            </w:r>
          </w:p>
        </w:tc>
      </w:tr>
      <w:tr w:rsidR="00BE61EB" w14:paraId="1411DD2F" w14:textId="77777777" w:rsidTr="00545936">
        <w:trPr>
          <w:trHeight w:val="340"/>
        </w:trPr>
        <w:tc>
          <w:tcPr>
            <w:tcW w:w="4890" w:type="dxa"/>
            <w:tcBorders>
              <w:top w:val="single" w:sz="4" w:space="0" w:color="A6A6A6" w:themeColor="background1" w:themeShade="A6"/>
            </w:tcBorders>
          </w:tcPr>
          <w:p w14:paraId="24817DCE" w14:textId="77777777" w:rsidR="00BE61EB" w:rsidRDefault="00BE61EB" w:rsidP="00BE61EB">
            <w:pPr>
              <w:pStyle w:val="TableText"/>
              <w:rPr>
                <w:b/>
              </w:rPr>
            </w:pPr>
            <w:r>
              <w:rPr>
                <w:b/>
                <w:w w:val="105"/>
              </w:rPr>
              <w:t>Expenses</w:t>
            </w:r>
          </w:p>
        </w:tc>
        <w:tc>
          <w:tcPr>
            <w:tcW w:w="1773" w:type="dxa"/>
            <w:tcBorders>
              <w:top w:val="single" w:sz="4" w:space="0" w:color="A6A6A6" w:themeColor="background1" w:themeShade="A6"/>
            </w:tcBorders>
          </w:tcPr>
          <w:p w14:paraId="16C40B6D" w14:textId="77777777" w:rsidR="00BE61EB" w:rsidRDefault="00BE61EB" w:rsidP="00BE61EB">
            <w:pPr>
              <w:pStyle w:val="TableText"/>
              <w:jc w:val="right"/>
            </w:pPr>
          </w:p>
        </w:tc>
        <w:tc>
          <w:tcPr>
            <w:tcW w:w="1267" w:type="dxa"/>
            <w:tcBorders>
              <w:top w:val="single" w:sz="4" w:space="0" w:color="A6A6A6" w:themeColor="background1" w:themeShade="A6"/>
            </w:tcBorders>
          </w:tcPr>
          <w:p w14:paraId="79F701ED" w14:textId="77777777" w:rsidR="00BE61EB" w:rsidRDefault="00BE61EB" w:rsidP="00BE61EB">
            <w:pPr>
              <w:pStyle w:val="TableText"/>
              <w:jc w:val="right"/>
            </w:pPr>
          </w:p>
        </w:tc>
      </w:tr>
      <w:tr w:rsidR="00BE61EB" w14:paraId="5024F444" w14:textId="77777777" w:rsidTr="00545936">
        <w:trPr>
          <w:trHeight w:val="340"/>
        </w:trPr>
        <w:tc>
          <w:tcPr>
            <w:tcW w:w="4890" w:type="dxa"/>
          </w:tcPr>
          <w:p w14:paraId="0C5EFFC3" w14:textId="77777777" w:rsidR="00BE61EB" w:rsidRDefault="00BE61EB" w:rsidP="00BE61EB">
            <w:pPr>
              <w:pStyle w:val="TableText"/>
            </w:pPr>
            <w:r>
              <w:rPr>
                <w:w w:val="105"/>
              </w:rPr>
              <w:t>Personnel</w:t>
            </w:r>
            <w:r>
              <w:rPr>
                <w:spacing w:val="4"/>
                <w:w w:val="105"/>
              </w:rPr>
              <w:t xml:space="preserve"> </w:t>
            </w:r>
            <w:r>
              <w:rPr>
                <w:w w:val="105"/>
              </w:rPr>
              <w:t>costs</w:t>
            </w:r>
          </w:p>
        </w:tc>
        <w:tc>
          <w:tcPr>
            <w:tcW w:w="1773" w:type="dxa"/>
          </w:tcPr>
          <w:p w14:paraId="33868B58" w14:textId="77777777" w:rsidR="00BE61EB" w:rsidRDefault="00BE61EB" w:rsidP="00BE61EB">
            <w:pPr>
              <w:pStyle w:val="TableText"/>
              <w:jc w:val="right"/>
            </w:pPr>
            <w:r>
              <w:rPr>
                <w:w w:val="105"/>
              </w:rPr>
              <w:t>2,894</w:t>
            </w:r>
          </w:p>
        </w:tc>
        <w:tc>
          <w:tcPr>
            <w:tcW w:w="1267" w:type="dxa"/>
          </w:tcPr>
          <w:p w14:paraId="4B9C8EF4" w14:textId="77777777" w:rsidR="00BE61EB" w:rsidRDefault="00BE61EB" w:rsidP="00BE61EB">
            <w:pPr>
              <w:pStyle w:val="TableText"/>
              <w:jc w:val="right"/>
            </w:pPr>
            <w:r>
              <w:rPr>
                <w:w w:val="105"/>
              </w:rPr>
              <w:t>3,532</w:t>
            </w:r>
          </w:p>
        </w:tc>
      </w:tr>
      <w:tr w:rsidR="00BE61EB" w14:paraId="0E320EF9" w14:textId="77777777" w:rsidTr="00545936">
        <w:trPr>
          <w:trHeight w:val="340"/>
        </w:trPr>
        <w:tc>
          <w:tcPr>
            <w:tcW w:w="4890" w:type="dxa"/>
          </w:tcPr>
          <w:p w14:paraId="34BBB570" w14:textId="77777777" w:rsidR="00BE61EB" w:rsidRDefault="00BE61EB" w:rsidP="00BE61EB">
            <w:pPr>
              <w:pStyle w:val="TableText"/>
            </w:pPr>
            <w:r>
              <w:t>Other</w:t>
            </w:r>
            <w:r>
              <w:rPr>
                <w:spacing w:val="15"/>
              </w:rPr>
              <w:t xml:space="preserve"> </w:t>
            </w:r>
            <w:r>
              <w:t>expenses</w:t>
            </w:r>
          </w:p>
        </w:tc>
        <w:tc>
          <w:tcPr>
            <w:tcW w:w="1773" w:type="dxa"/>
          </w:tcPr>
          <w:p w14:paraId="202C5046" w14:textId="77777777" w:rsidR="00BE61EB" w:rsidRDefault="00BE61EB" w:rsidP="00BE61EB">
            <w:pPr>
              <w:pStyle w:val="TableText"/>
              <w:jc w:val="right"/>
            </w:pPr>
            <w:r>
              <w:rPr>
                <w:w w:val="105"/>
              </w:rPr>
              <w:t>4,766</w:t>
            </w:r>
          </w:p>
        </w:tc>
        <w:tc>
          <w:tcPr>
            <w:tcW w:w="1267" w:type="dxa"/>
          </w:tcPr>
          <w:p w14:paraId="5F1044F3" w14:textId="77777777" w:rsidR="00BE61EB" w:rsidRDefault="00BE61EB" w:rsidP="00BE61EB">
            <w:pPr>
              <w:pStyle w:val="TableText"/>
              <w:jc w:val="right"/>
            </w:pPr>
            <w:r>
              <w:t>19,587</w:t>
            </w:r>
          </w:p>
        </w:tc>
      </w:tr>
      <w:tr w:rsidR="00BE61EB" w14:paraId="1A5488D0" w14:textId="77777777" w:rsidTr="00545936">
        <w:trPr>
          <w:trHeight w:val="340"/>
        </w:trPr>
        <w:tc>
          <w:tcPr>
            <w:tcW w:w="4890" w:type="dxa"/>
            <w:tcBorders>
              <w:bottom w:val="single" w:sz="4" w:space="0" w:color="A6A6A6" w:themeColor="background1" w:themeShade="A6"/>
            </w:tcBorders>
          </w:tcPr>
          <w:p w14:paraId="31752121" w14:textId="77777777" w:rsidR="00BE61EB" w:rsidRDefault="00BE61EB" w:rsidP="00BE61EB">
            <w:pPr>
              <w:pStyle w:val="TableText"/>
              <w:rPr>
                <w:b/>
              </w:rPr>
            </w:pPr>
            <w:r>
              <w:rPr>
                <w:b/>
                <w:w w:val="105"/>
              </w:rPr>
              <w:t>Total</w:t>
            </w:r>
            <w:r>
              <w:rPr>
                <w:b/>
                <w:spacing w:val="1"/>
                <w:w w:val="105"/>
              </w:rPr>
              <w:t xml:space="preserve"> </w:t>
            </w:r>
            <w:r>
              <w:rPr>
                <w:b/>
                <w:w w:val="105"/>
              </w:rPr>
              <w:t>expenses</w:t>
            </w:r>
          </w:p>
        </w:tc>
        <w:tc>
          <w:tcPr>
            <w:tcW w:w="1773" w:type="dxa"/>
            <w:tcBorders>
              <w:bottom w:val="single" w:sz="4" w:space="0" w:color="A6A6A6" w:themeColor="background1" w:themeShade="A6"/>
            </w:tcBorders>
          </w:tcPr>
          <w:p w14:paraId="7584AB14" w14:textId="77777777" w:rsidR="00BE61EB" w:rsidRDefault="00BE61EB" w:rsidP="00BE61EB">
            <w:pPr>
              <w:pStyle w:val="TableText"/>
              <w:jc w:val="right"/>
              <w:rPr>
                <w:b/>
              </w:rPr>
            </w:pPr>
            <w:r>
              <w:rPr>
                <w:b/>
                <w:w w:val="110"/>
              </w:rPr>
              <w:t>7,660</w:t>
            </w:r>
          </w:p>
        </w:tc>
        <w:tc>
          <w:tcPr>
            <w:tcW w:w="1267" w:type="dxa"/>
            <w:tcBorders>
              <w:bottom w:val="single" w:sz="4" w:space="0" w:color="A6A6A6" w:themeColor="background1" w:themeShade="A6"/>
            </w:tcBorders>
          </w:tcPr>
          <w:p w14:paraId="7DA41207" w14:textId="77777777" w:rsidR="00BE61EB" w:rsidRDefault="00BE61EB" w:rsidP="00BE61EB">
            <w:pPr>
              <w:pStyle w:val="TableText"/>
              <w:jc w:val="right"/>
              <w:rPr>
                <w:b/>
              </w:rPr>
            </w:pPr>
            <w:r>
              <w:rPr>
                <w:b/>
              </w:rPr>
              <w:t>23,119</w:t>
            </w:r>
          </w:p>
        </w:tc>
      </w:tr>
      <w:tr w:rsidR="00BE61EB" w14:paraId="79DA0F33" w14:textId="77777777" w:rsidTr="00545936">
        <w:trPr>
          <w:trHeight w:val="340"/>
        </w:trPr>
        <w:tc>
          <w:tcPr>
            <w:tcW w:w="4890" w:type="dxa"/>
            <w:tcBorders>
              <w:top w:val="single" w:sz="4" w:space="0" w:color="A6A6A6" w:themeColor="background1" w:themeShade="A6"/>
              <w:bottom w:val="single" w:sz="4" w:space="0" w:color="A6A6A6" w:themeColor="background1" w:themeShade="A6"/>
            </w:tcBorders>
          </w:tcPr>
          <w:p w14:paraId="38114730" w14:textId="77777777" w:rsidR="00BE61EB" w:rsidRDefault="00BE61EB" w:rsidP="00BE61EB">
            <w:pPr>
              <w:pStyle w:val="TableText"/>
              <w:rPr>
                <w:b/>
              </w:rPr>
            </w:pPr>
            <w:r>
              <w:rPr>
                <w:b/>
                <w:w w:val="110"/>
              </w:rPr>
              <w:t>Net</w:t>
            </w:r>
            <w:r>
              <w:rPr>
                <w:b/>
                <w:spacing w:val="-11"/>
                <w:w w:val="110"/>
              </w:rPr>
              <w:t xml:space="preserve"> </w:t>
            </w:r>
            <w:r>
              <w:rPr>
                <w:b/>
                <w:w w:val="110"/>
              </w:rPr>
              <w:t>surplus/(deficit)</w:t>
            </w:r>
          </w:p>
        </w:tc>
        <w:tc>
          <w:tcPr>
            <w:tcW w:w="1773" w:type="dxa"/>
            <w:tcBorders>
              <w:top w:val="single" w:sz="4" w:space="0" w:color="A6A6A6" w:themeColor="background1" w:themeShade="A6"/>
              <w:bottom w:val="single" w:sz="4" w:space="0" w:color="A6A6A6" w:themeColor="background1" w:themeShade="A6"/>
            </w:tcBorders>
          </w:tcPr>
          <w:p w14:paraId="09E4DC0D" w14:textId="77777777" w:rsidR="00BE61EB" w:rsidRDefault="00BE61EB" w:rsidP="00BE61EB">
            <w:pPr>
              <w:pStyle w:val="TableText"/>
              <w:jc w:val="right"/>
              <w:rPr>
                <w:b/>
              </w:rPr>
            </w:pPr>
            <w:r>
              <w:rPr>
                <w:b/>
              </w:rPr>
              <w:t>16,479</w:t>
            </w:r>
          </w:p>
        </w:tc>
        <w:tc>
          <w:tcPr>
            <w:tcW w:w="1267" w:type="dxa"/>
            <w:tcBorders>
              <w:top w:val="single" w:sz="4" w:space="0" w:color="A6A6A6" w:themeColor="background1" w:themeShade="A6"/>
              <w:bottom w:val="single" w:sz="4" w:space="0" w:color="A6A6A6" w:themeColor="background1" w:themeShade="A6"/>
            </w:tcBorders>
          </w:tcPr>
          <w:p w14:paraId="2BDA8982" w14:textId="77777777" w:rsidR="00BE61EB" w:rsidRDefault="00BE61EB" w:rsidP="00BE61EB">
            <w:pPr>
              <w:pStyle w:val="TableText"/>
              <w:jc w:val="right"/>
              <w:rPr>
                <w:b/>
              </w:rPr>
            </w:pPr>
            <w:r>
              <w:rPr>
                <w:b/>
                <w:w w:val="140"/>
              </w:rPr>
              <w:t>–</w:t>
            </w:r>
          </w:p>
        </w:tc>
      </w:tr>
      <w:tr w:rsidR="00BE61EB" w14:paraId="6BACDAF6" w14:textId="77777777" w:rsidTr="00545936">
        <w:trPr>
          <w:trHeight w:val="340"/>
        </w:trPr>
        <w:tc>
          <w:tcPr>
            <w:tcW w:w="4890" w:type="dxa"/>
            <w:tcBorders>
              <w:top w:val="single" w:sz="4" w:space="0" w:color="A6A6A6" w:themeColor="background1" w:themeShade="A6"/>
            </w:tcBorders>
          </w:tcPr>
          <w:p w14:paraId="3D86029A" w14:textId="77777777" w:rsidR="00BE61EB" w:rsidRDefault="00BE61EB" w:rsidP="00BE61EB">
            <w:pPr>
              <w:pStyle w:val="TableText"/>
              <w:rPr>
                <w:b/>
              </w:rPr>
            </w:pPr>
            <w:r>
              <w:rPr>
                <w:b/>
                <w:w w:val="105"/>
              </w:rPr>
              <w:t>Non-departmental</w:t>
            </w:r>
            <w:r>
              <w:rPr>
                <w:b/>
                <w:spacing w:val="22"/>
                <w:w w:val="105"/>
              </w:rPr>
              <w:t xml:space="preserve"> </w:t>
            </w:r>
            <w:r>
              <w:rPr>
                <w:b/>
                <w:w w:val="105"/>
              </w:rPr>
              <w:t>activities</w:t>
            </w:r>
          </w:p>
        </w:tc>
        <w:tc>
          <w:tcPr>
            <w:tcW w:w="1773" w:type="dxa"/>
            <w:tcBorders>
              <w:top w:val="single" w:sz="4" w:space="0" w:color="A6A6A6" w:themeColor="background1" w:themeShade="A6"/>
            </w:tcBorders>
          </w:tcPr>
          <w:p w14:paraId="591E9726" w14:textId="77777777" w:rsidR="00BE61EB" w:rsidRDefault="00BE61EB" w:rsidP="00BE61EB">
            <w:pPr>
              <w:pStyle w:val="TableText"/>
              <w:jc w:val="right"/>
            </w:pPr>
          </w:p>
        </w:tc>
        <w:tc>
          <w:tcPr>
            <w:tcW w:w="1267" w:type="dxa"/>
            <w:tcBorders>
              <w:top w:val="single" w:sz="4" w:space="0" w:color="A6A6A6" w:themeColor="background1" w:themeShade="A6"/>
            </w:tcBorders>
          </w:tcPr>
          <w:p w14:paraId="05997868" w14:textId="77777777" w:rsidR="00BE61EB" w:rsidRDefault="00BE61EB" w:rsidP="00BE61EB">
            <w:pPr>
              <w:pStyle w:val="TableText"/>
              <w:jc w:val="right"/>
            </w:pPr>
          </w:p>
        </w:tc>
      </w:tr>
      <w:tr w:rsidR="00BE61EB" w14:paraId="401FEC5E" w14:textId="77777777" w:rsidTr="00545936">
        <w:trPr>
          <w:trHeight w:val="340"/>
        </w:trPr>
        <w:tc>
          <w:tcPr>
            <w:tcW w:w="4890" w:type="dxa"/>
          </w:tcPr>
          <w:p w14:paraId="6158FD83" w14:textId="77777777" w:rsidR="00BE61EB" w:rsidRDefault="00BE61EB" w:rsidP="00BE61EB">
            <w:pPr>
              <w:pStyle w:val="TableText"/>
            </w:pPr>
            <w:r>
              <w:t>Hauora</w:t>
            </w:r>
            <w:r>
              <w:rPr>
                <w:spacing w:val="7"/>
              </w:rPr>
              <w:t xml:space="preserve"> </w:t>
            </w:r>
            <w:r>
              <w:t>Māori</w:t>
            </w:r>
          </w:p>
        </w:tc>
        <w:tc>
          <w:tcPr>
            <w:tcW w:w="1773" w:type="dxa"/>
          </w:tcPr>
          <w:p w14:paraId="2E026508" w14:textId="77777777" w:rsidR="00BE61EB" w:rsidRDefault="00BE61EB" w:rsidP="00BE61EB">
            <w:pPr>
              <w:pStyle w:val="TableText"/>
              <w:jc w:val="right"/>
            </w:pPr>
            <w:r>
              <w:rPr>
                <w:w w:val="105"/>
              </w:rPr>
              <w:t>8,760</w:t>
            </w:r>
          </w:p>
        </w:tc>
        <w:tc>
          <w:tcPr>
            <w:tcW w:w="1267" w:type="dxa"/>
          </w:tcPr>
          <w:p w14:paraId="2CEAA09A" w14:textId="77777777" w:rsidR="00BE61EB" w:rsidRDefault="00BE61EB" w:rsidP="00BE61EB">
            <w:pPr>
              <w:pStyle w:val="TableText"/>
              <w:jc w:val="right"/>
            </w:pPr>
            <w:r>
              <w:t>17,396</w:t>
            </w:r>
          </w:p>
        </w:tc>
      </w:tr>
      <w:tr w:rsidR="00BE61EB" w14:paraId="4974385F" w14:textId="77777777" w:rsidTr="00545936">
        <w:trPr>
          <w:trHeight w:val="340"/>
        </w:trPr>
        <w:tc>
          <w:tcPr>
            <w:tcW w:w="4890" w:type="dxa"/>
            <w:tcBorders>
              <w:bottom w:val="single" w:sz="4" w:space="0" w:color="A6A6A6" w:themeColor="background1" w:themeShade="A6"/>
            </w:tcBorders>
          </w:tcPr>
          <w:p w14:paraId="23BBA35F" w14:textId="77777777" w:rsidR="00BE61EB" w:rsidRDefault="00BE61EB" w:rsidP="00BE61EB">
            <w:pPr>
              <w:pStyle w:val="TableText"/>
              <w:rPr>
                <w:rFonts w:ascii="Arial"/>
                <w:b/>
              </w:rPr>
            </w:pPr>
            <w:r>
              <w:rPr>
                <w:rFonts w:ascii="Arial"/>
                <w:b/>
                <w:w w:val="110"/>
              </w:rPr>
              <w:t>Total</w:t>
            </w:r>
            <w:r>
              <w:rPr>
                <w:rFonts w:ascii="Arial"/>
                <w:b/>
                <w:spacing w:val="8"/>
                <w:w w:val="110"/>
              </w:rPr>
              <w:t xml:space="preserve"> </w:t>
            </w:r>
            <w:r>
              <w:rPr>
                <w:rFonts w:ascii="Arial"/>
                <w:b/>
                <w:w w:val="110"/>
              </w:rPr>
              <w:t>non-departmental</w:t>
            </w:r>
            <w:r>
              <w:rPr>
                <w:rFonts w:ascii="Arial"/>
                <w:b/>
                <w:spacing w:val="9"/>
                <w:w w:val="110"/>
              </w:rPr>
              <w:t xml:space="preserve"> </w:t>
            </w:r>
            <w:r>
              <w:rPr>
                <w:rFonts w:ascii="Arial"/>
                <w:b/>
                <w:w w:val="110"/>
              </w:rPr>
              <w:t>expenditure</w:t>
            </w:r>
          </w:p>
        </w:tc>
        <w:tc>
          <w:tcPr>
            <w:tcW w:w="1773" w:type="dxa"/>
            <w:tcBorders>
              <w:bottom w:val="single" w:sz="4" w:space="0" w:color="A6A6A6" w:themeColor="background1" w:themeShade="A6"/>
            </w:tcBorders>
          </w:tcPr>
          <w:p w14:paraId="70774974" w14:textId="77777777" w:rsidR="00BE61EB" w:rsidRDefault="00BE61EB" w:rsidP="00BE61EB">
            <w:pPr>
              <w:pStyle w:val="TableText"/>
              <w:jc w:val="right"/>
              <w:rPr>
                <w:rFonts w:ascii="Arial"/>
                <w:b/>
              </w:rPr>
            </w:pPr>
            <w:r>
              <w:rPr>
                <w:rFonts w:ascii="Arial"/>
                <w:b/>
                <w:w w:val="110"/>
              </w:rPr>
              <w:t>8,760</w:t>
            </w:r>
          </w:p>
        </w:tc>
        <w:tc>
          <w:tcPr>
            <w:tcW w:w="1267" w:type="dxa"/>
            <w:tcBorders>
              <w:bottom w:val="single" w:sz="4" w:space="0" w:color="A6A6A6" w:themeColor="background1" w:themeShade="A6"/>
            </w:tcBorders>
          </w:tcPr>
          <w:p w14:paraId="2B49CE18" w14:textId="77777777" w:rsidR="00BE61EB" w:rsidRDefault="00BE61EB" w:rsidP="00BE61EB">
            <w:pPr>
              <w:pStyle w:val="TableText"/>
              <w:jc w:val="right"/>
              <w:rPr>
                <w:rFonts w:ascii="Arial"/>
                <w:b/>
              </w:rPr>
            </w:pPr>
            <w:r>
              <w:rPr>
                <w:rFonts w:ascii="Arial"/>
                <w:b/>
              </w:rPr>
              <w:t>17,396</w:t>
            </w:r>
          </w:p>
        </w:tc>
      </w:tr>
    </w:tbl>
    <w:p w14:paraId="704CFE16" w14:textId="77777777" w:rsidR="00545936" w:rsidRPr="00545936" w:rsidRDefault="00545936" w:rsidP="00545936">
      <w:pPr>
        <w:pStyle w:val="Heading5"/>
      </w:pPr>
      <w:r w:rsidRPr="00545936">
        <w:t>16</w:t>
      </w:r>
      <w:r w:rsidRPr="00545936">
        <w:tab/>
        <w:t>Events after balance date</w:t>
      </w:r>
    </w:p>
    <w:p w14:paraId="54BC8C59" w14:textId="5AA76557" w:rsidR="00545936" w:rsidRDefault="00545936" w:rsidP="00545936">
      <w:pPr>
        <w:ind w:right="-1"/>
        <w:rPr>
          <w:rFonts w:eastAsia="Arial Unicode MS"/>
        </w:rPr>
      </w:pPr>
      <w:r w:rsidRPr="00545936">
        <w:rPr>
          <w:rFonts w:eastAsia="Arial Unicode MS"/>
        </w:rPr>
        <w:t>As a result of the health and disability system reform, some functions of the Ministry were transferred to Te Whatu Ora | Health New Zealand, Te Aka Whai Ora | Māori Health Authority and Whaikaha | Ministry for Disabled People from 1 July 2022.</w:t>
      </w:r>
    </w:p>
    <w:p w14:paraId="62E79CD6" w14:textId="77777777" w:rsidR="00545936" w:rsidRPr="00545936" w:rsidRDefault="00545936" w:rsidP="00545936">
      <w:pPr>
        <w:ind w:right="-1"/>
        <w:rPr>
          <w:rFonts w:eastAsia="Arial Unicode MS"/>
        </w:rPr>
      </w:pPr>
    </w:p>
    <w:p w14:paraId="606123FF" w14:textId="6A789C99" w:rsidR="00545936" w:rsidRDefault="00545936" w:rsidP="00545936">
      <w:pPr>
        <w:ind w:right="-1"/>
        <w:rPr>
          <w:rFonts w:eastAsia="Arial Unicode MS"/>
        </w:rPr>
      </w:pPr>
      <w:r w:rsidRPr="00545936">
        <w:rPr>
          <w:rFonts w:eastAsia="Arial Unicode MS"/>
        </w:rPr>
        <w:t>The changes to the health system are considered the most significant and the biggest in 21 years. The Government’s intention is to build a stronger health and disability system that delivers for all New Zealanders. Its aim is to strengthen New Zealand’s health system into a single nationwide health service which provides consistent, high-quality services for everyone, particularly groups who have been traditionally underserved.</w:t>
      </w:r>
    </w:p>
    <w:p w14:paraId="301C9823" w14:textId="77777777" w:rsidR="00545936" w:rsidRPr="00545936" w:rsidRDefault="00545936" w:rsidP="00545936">
      <w:pPr>
        <w:ind w:right="-1"/>
        <w:rPr>
          <w:rFonts w:eastAsia="Arial Unicode MS"/>
        </w:rPr>
      </w:pPr>
    </w:p>
    <w:p w14:paraId="09AEDC89" w14:textId="54054889" w:rsidR="00545936" w:rsidRDefault="00545936" w:rsidP="00545936">
      <w:pPr>
        <w:ind w:right="-1"/>
        <w:rPr>
          <w:rFonts w:eastAsia="Arial Unicode MS"/>
        </w:rPr>
      </w:pPr>
      <w:r w:rsidRPr="00545936">
        <w:rPr>
          <w:rFonts w:eastAsia="Arial Unicode MS"/>
        </w:rPr>
        <w:t>The new health system is intended to provide a better balance of national consistency for hospital and specialist services and local tailoring of primary and community care. It is expected that this will improve care quality and equity, while ensuring the services received by people close to home reflect the needs of the community.</w:t>
      </w:r>
    </w:p>
    <w:p w14:paraId="69BC9718" w14:textId="77777777" w:rsidR="00545936" w:rsidRPr="00545936" w:rsidRDefault="00545936" w:rsidP="00545936">
      <w:pPr>
        <w:ind w:right="-1"/>
        <w:rPr>
          <w:rFonts w:eastAsia="Arial Unicode MS"/>
        </w:rPr>
      </w:pPr>
    </w:p>
    <w:p w14:paraId="2B43C9DC" w14:textId="77777777" w:rsidR="008C677C" w:rsidRDefault="008C677C" w:rsidP="00545936">
      <w:pPr>
        <w:ind w:right="-1"/>
        <w:rPr>
          <w:rFonts w:eastAsia="Arial Unicode MS"/>
        </w:rPr>
        <w:sectPr w:rsidR="008C677C" w:rsidSect="00C26282">
          <w:pgSz w:w="11907" w:h="16840" w:code="9"/>
          <w:pgMar w:top="1418" w:right="1701" w:bottom="1134" w:left="1843" w:header="284" w:footer="425" w:gutter="284"/>
          <w:cols w:space="720"/>
        </w:sectPr>
      </w:pPr>
    </w:p>
    <w:p w14:paraId="144F20A8" w14:textId="67E3DA8A" w:rsidR="00545936" w:rsidRPr="00545936" w:rsidRDefault="00545936" w:rsidP="00545936">
      <w:pPr>
        <w:ind w:right="-1"/>
        <w:rPr>
          <w:rFonts w:eastAsia="Arial Unicode MS"/>
        </w:rPr>
      </w:pPr>
      <w:r w:rsidRPr="00545936">
        <w:rPr>
          <w:rFonts w:eastAsia="Arial Unicode MS"/>
        </w:rPr>
        <w:lastRenderedPageBreak/>
        <w:t>The following changes in the health system were made from 1 July 2022:</w:t>
      </w:r>
    </w:p>
    <w:p w14:paraId="3AA478F1" w14:textId="4D5B38AD" w:rsidR="00545936" w:rsidRPr="00545936" w:rsidRDefault="00545936" w:rsidP="00545936">
      <w:pPr>
        <w:pStyle w:val="Bullet"/>
        <w:rPr>
          <w:rFonts w:eastAsia="Arial Unicode MS"/>
        </w:rPr>
      </w:pPr>
      <w:r w:rsidRPr="00545936">
        <w:rPr>
          <w:rFonts w:eastAsia="Arial Unicode MS"/>
        </w:rPr>
        <w:t>Refocus the role of the Ministry as the chief steward of the health system and the lead advisor to the Government on matters relating to health</w:t>
      </w:r>
    </w:p>
    <w:p w14:paraId="52C079F6" w14:textId="1935F07B" w:rsidR="00545936" w:rsidRPr="00545936" w:rsidRDefault="00545936" w:rsidP="00545936">
      <w:pPr>
        <w:pStyle w:val="Bullet"/>
        <w:rPr>
          <w:rFonts w:eastAsia="Arial Unicode MS"/>
        </w:rPr>
      </w:pPr>
      <w:r w:rsidRPr="00545936">
        <w:rPr>
          <w:rFonts w:eastAsia="Arial Unicode MS"/>
        </w:rPr>
        <w:t>The new organisation, Te Whatu Ora, will take responsibility for day-to-day running of the health system – into which all District Health Boards (DHBs) will be consolidated</w:t>
      </w:r>
    </w:p>
    <w:p w14:paraId="3D13A5FD" w14:textId="461F50B7" w:rsidR="00545936" w:rsidRPr="00545936" w:rsidRDefault="00545936" w:rsidP="00545936">
      <w:pPr>
        <w:pStyle w:val="Bullet"/>
        <w:rPr>
          <w:rFonts w:eastAsia="Arial Unicode MS"/>
        </w:rPr>
      </w:pPr>
      <w:r w:rsidRPr="00545936">
        <w:rPr>
          <w:rFonts w:eastAsia="Arial Unicode MS"/>
        </w:rPr>
        <w:t>The new entity, Te Aka Whai Ora, intends to ensure that the health system delivers improved outcomes for Māori, and to directly commission tailored health services for Māori</w:t>
      </w:r>
    </w:p>
    <w:p w14:paraId="35D3A9A9" w14:textId="5128C96C" w:rsidR="00545936" w:rsidRPr="00545936" w:rsidRDefault="00545936" w:rsidP="00545936">
      <w:pPr>
        <w:pStyle w:val="Bullet"/>
        <w:rPr>
          <w:rFonts w:eastAsia="Arial Unicode MS"/>
        </w:rPr>
      </w:pPr>
      <w:r w:rsidRPr="00545936">
        <w:rPr>
          <w:rFonts w:eastAsia="Arial Unicode MS"/>
        </w:rPr>
        <w:t>The Public Health Agency which has been established within the Ministry and a new strengthened, national public health service within Te Whatu Ora | Health New Zealand, is expected to make sure New Zealand is always ready to respond to threats to public health, for example, pandemics</w:t>
      </w:r>
    </w:p>
    <w:p w14:paraId="14208E91" w14:textId="1433D459" w:rsidR="00545936" w:rsidRPr="00545936" w:rsidRDefault="00545936" w:rsidP="00545936">
      <w:pPr>
        <w:pStyle w:val="Bullet"/>
        <w:rPr>
          <w:rFonts w:eastAsia="Arial Unicode MS"/>
        </w:rPr>
      </w:pPr>
      <w:r w:rsidRPr="00545936">
        <w:rPr>
          <w:rFonts w:eastAsia="Arial Unicode MS"/>
        </w:rPr>
        <w:t>Whaikaha | Ministry of Disabled People has been be established within the Ministry for Social Development to lead the partnership between the disability community and government, and to help drive ongoing transformation of the disability system in line with the Enabling Good Lives approach.</w:t>
      </w:r>
    </w:p>
    <w:p w14:paraId="1E9C7F52" w14:textId="77777777" w:rsidR="00545936" w:rsidRDefault="00545936" w:rsidP="00545936">
      <w:pPr>
        <w:ind w:right="-1"/>
        <w:rPr>
          <w:rFonts w:eastAsia="Arial Unicode MS"/>
        </w:rPr>
      </w:pPr>
    </w:p>
    <w:p w14:paraId="08AA3A7F" w14:textId="77777777" w:rsidR="00545936" w:rsidRDefault="00545936" w:rsidP="00545936">
      <w:pPr>
        <w:ind w:right="-1"/>
        <w:rPr>
          <w:rFonts w:eastAsia="Arial Unicode MS"/>
        </w:rPr>
      </w:pPr>
      <w:r w:rsidRPr="00545936">
        <w:rPr>
          <w:rFonts w:eastAsia="Arial Unicode MS"/>
        </w:rPr>
        <w:t>As a result of these changes, in addition to the total operational budget transferring from the Ministry (as outlined in the 2022/23 Vote Health Estimates of Appropriation), the Ministry’s assets and liabilities will reduce from 1 July 2022. Below are the expected reduction from the Ministry’s net assets.</w:t>
      </w:r>
    </w:p>
    <w:p w14:paraId="5451256F" w14:textId="5F86D775" w:rsidR="00DC111E" w:rsidRDefault="00DC111E" w:rsidP="00DC111E">
      <w:pPr>
        <w:pStyle w:val="Heading5"/>
      </w:pPr>
      <w:r w:rsidRPr="00DC111E">
        <w:t>Departmental assets and liabilities</w:t>
      </w:r>
    </w:p>
    <w:tbl>
      <w:tblPr>
        <w:tblpPr w:leftFromText="180" w:rightFromText="180" w:vertAnchor="text" w:horzAnchor="margin" w:tblpY="88"/>
        <w:tblW w:w="8080" w:type="dxa"/>
        <w:tblLayout w:type="fixed"/>
        <w:tblCellMar>
          <w:left w:w="0" w:type="dxa"/>
          <w:right w:w="0" w:type="dxa"/>
        </w:tblCellMar>
        <w:tblLook w:val="01E0" w:firstRow="1" w:lastRow="1" w:firstColumn="1" w:lastColumn="1" w:noHBand="0" w:noVBand="0"/>
      </w:tblPr>
      <w:tblGrid>
        <w:gridCol w:w="4890"/>
        <w:gridCol w:w="3190"/>
      </w:tblGrid>
      <w:tr w:rsidR="00DC111E" w14:paraId="4E48EC6A" w14:textId="77777777" w:rsidTr="00DC111E">
        <w:trPr>
          <w:trHeight w:val="1069"/>
        </w:trPr>
        <w:tc>
          <w:tcPr>
            <w:tcW w:w="4890" w:type="dxa"/>
            <w:shd w:val="clear" w:color="auto" w:fill="D9D9D9" w:themeFill="background1" w:themeFillShade="D9"/>
          </w:tcPr>
          <w:p w14:paraId="64B92CE7" w14:textId="77777777" w:rsidR="00DC111E" w:rsidRDefault="00DC111E" w:rsidP="00F848C6">
            <w:pPr>
              <w:pStyle w:val="TableText"/>
            </w:pPr>
          </w:p>
        </w:tc>
        <w:tc>
          <w:tcPr>
            <w:tcW w:w="3190" w:type="dxa"/>
            <w:shd w:val="clear" w:color="auto" w:fill="D9D9D9" w:themeFill="background1" w:themeFillShade="D9"/>
          </w:tcPr>
          <w:p w14:paraId="2EFC825F" w14:textId="77777777" w:rsidR="00DC111E" w:rsidRPr="00BE61EB" w:rsidRDefault="00DC111E" w:rsidP="00F848C6">
            <w:pPr>
              <w:pStyle w:val="TableText"/>
              <w:jc w:val="right"/>
              <w:rPr>
                <w:b/>
                <w:bCs/>
              </w:rPr>
            </w:pPr>
            <w:r w:rsidRPr="00BE61EB">
              <w:rPr>
                <w:b/>
                <w:bCs/>
              </w:rPr>
              <w:t>Actual</w:t>
            </w:r>
          </w:p>
          <w:p w14:paraId="42E252E0" w14:textId="77777777" w:rsidR="00DC111E" w:rsidRPr="00BE61EB" w:rsidRDefault="00DC111E" w:rsidP="00F848C6">
            <w:pPr>
              <w:pStyle w:val="TableText"/>
              <w:jc w:val="right"/>
              <w:rPr>
                <w:b/>
                <w:bCs/>
              </w:rPr>
            </w:pPr>
            <w:r w:rsidRPr="00BE61EB">
              <w:rPr>
                <w:b/>
                <w:bCs/>
              </w:rPr>
              <w:t>2022</w:t>
            </w:r>
          </w:p>
          <w:p w14:paraId="7F9225ED" w14:textId="77777777" w:rsidR="00DC111E" w:rsidRPr="00BE61EB" w:rsidRDefault="00DC111E" w:rsidP="00F848C6">
            <w:pPr>
              <w:pStyle w:val="TableText"/>
              <w:jc w:val="right"/>
              <w:rPr>
                <w:b/>
                <w:bCs/>
              </w:rPr>
            </w:pPr>
            <w:r w:rsidRPr="00BE61EB">
              <w:rPr>
                <w:b/>
                <w:bCs/>
              </w:rPr>
              <w:t>$000</w:t>
            </w:r>
          </w:p>
        </w:tc>
      </w:tr>
      <w:tr w:rsidR="00DC111E" w14:paraId="3CB06165" w14:textId="77777777" w:rsidTr="00DC111E">
        <w:trPr>
          <w:trHeight w:val="340"/>
        </w:trPr>
        <w:tc>
          <w:tcPr>
            <w:tcW w:w="4890" w:type="dxa"/>
          </w:tcPr>
          <w:p w14:paraId="5EA279D8" w14:textId="5103B893" w:rsidR="00DC111E" w:rsidRDefault="00DC111E" w:rsidP="00F848C6">
            <w:pPr>
              <w:pStyle w:val="TableText"/>
              <w:rPr>
                <w:b/>
              </w:rPr>
            </w:pPr>
            <w:r w:rsidRPr="00DC111E">
              <w:rPr>
                <w:b/>
              </w:rPr>
              <w:t>Assets</w:t>
            </w:r>
          </w:p>
        </w:tc>
        <w:tc>
          <w:tcPr>
            <w:tcW w:w="3190" w:type="dxa"/>
          </w:tcPr>
          <w:p w14:paraId="1A293D6C" w14:textId="77777777" w:rsidR="00DC111E" w:rsidRDefault="00DC111E" w:rsidP="00F848C6">
            <w:pPr>
              <w:pStyle w:val="TableText"/>
              <w:jc w:val="right"/>
            </w:pPr>
          </w:p>
        </w:tc>
      </w:tr>
      <w:tr w:rsidR="00DC111E" w14:paraId="0B21062C" w14:textId="77777777" w:rsidTr="00DC111E">
        <w:trPr>
          <w:trHeight w:val="340"/>
        </w:trPr>
        <w:tc>
          <w:tcPr>
            <w:tcW w:w="4890" w:type="dxa"/>
          </w:tcPr>
          <w:p w14:paraId="559531BD" w14:textId="45264B08" w:rsidR="00DC111E" w:rsidRDefault="00DC111E" w:rsidP="00DC111E">
            <w:pPr>
              <w:pStyle w:val="TableText"/>
            </w:pPr>
            <w:r w:rsidRPr="008052C9">
              <w:t>Receivables and prepayments</w:t>
            </w:r>
          </w:p>
        </w:tc>
        <w:tc>
          <w:tcPr>
            <w:tcW w:w="3190" w:type="dxa"/>
          </w:tcPr>
          <w:p w14:paraId="57A1F587" w14:textId="4A6F9C3E" w:rsidR="00DC111E" w:rsidRDefault="00DC111E" w:rsidP="00DC111E">
            <w:pPr>
              <w:pStyle w:val="TableText"/>
              <w:jc w:val="right"/>
            </w:pPr>
            <w:r w:rsidRPr="00631F2A">
              <w:t>1,686</w:t>
            </w:r>
          </w:p>
        </w:tc>
      </w:tr>
      <w:tr w:rsidR="00DC111E" w14:paraId="79909D8E" w14:textId="77777777" w:rsidTr="00DC111E">
        <w:trPr>
          <w:trHeight w:val="340"/>
        </w:trPr>
        <w:tc>
          <w:tcPr>
            <w:tcW w:w="4890" w:type="dxa"/>
          </w:tcPr>
          <w:p w14:paraId="0CF6805B" w14:textId="691958EE" w:rsidR="00DC111E" w:rsidRDefault="00DC111E" w:rsidP="00DC111E">
            <w:pPr>
              <w:pStyle w:val="TableText"/>
              <w:rPr>
                <w:b/>
              </w:rPr>
            </w:pPr>
            <w:r w:rsidRPr="008052C9">
              <w:t>Property, plant and equipment</w:t>
            </w:r>
          </w:p>
        </w:tc>
        <w:tc>
          <w:tcPr>
            <w:tcW w:w="3190" w:type="dxa"/>
          </w:tcPr>
          <w:p w14:paraId="67A6E9A4" w14:textId="79B840FC" w:rsidR="00DC111E" w:rsidRDefault="00DC111E" w:rsidP="00DC111E">
            <w:pPr>
              <w:pStyle w:val="TableText"/>
              <w:jc w:val="right"/>
              <w:rPr>
                <w:b/>
              </w:rPr>
            </w:pPr>
            <w:r w:rsidRPr="00631F2A">
              <w:t>579</w:t>
            </w:r>
          </w:p>
        </w:tc>
      </w:tr>
      <w:tr w:rsidR="00DC111E" w14:paraId="028C1CE8" w14:textId="77777777" w:rsidTr="00DC111E">
        <w:trPr>
          <w:trHeight w:val="340"/>
        </w:trPr>
        <w:tc>
          <w:tcPr>
            <w:tcW w:w="4890" w:type="dxa"/>
          </w:tcPr>
          <w:p w14:paraId="3BF957FB" w14:textId="0C75994D" w:rsidR="00DC111E" w:rsidRDefault="00DC111E" w:rsidP="00DC111E">
            <w:pPr>
              <w:pStyle w:val="TableText"/>
              <w:rPr>
                <w:b/>
              </w:rPr>
            </w:pPr>
            <w:r w:rsidRPr="008052C9">
              <w:t>Intangible assets</w:t>
            </w:r>
          </w:p>
        </w:tc>
        <w:tc>
          <w:tcPr>
            <w:tcW w:w="3190" w:type="dxa"/>
          </w:tcPr>
          <w:p w14:paraId="67B11AB6" w14:textId="5C06EAA2" w:rsidR="00DC111E" w:rsidRDefault="00DC111E" w:rsidP="00DC111E">
            <w:pPr>
              <w:pStyle w:val="TableText"/>
              <w:jc w:val="right"/>
            </w:pPr>
            <w:r w:rsidRPr="00631F2A">
              <w:t>11,776</w:t>
            </w:r>
          </w:p>
        </w:tc>
      </w:tr>
      <w:tr w:rsidR="00DC111E" w14:paraId="18BA350C" w14:textId="77777777" w:rsidTr="00DC111E">
        <w:trPr>
          <w:trHeight w:val="340"/>
        </w:trPr>
        <w:tc>
          <w:tcPr>
            <w:tcW w:w="4890" w:type="dxa"/>
            <w:tcBorders>
              <w:bottom w:val="single" w:sz="4" w:space="0" w:color="A6A6A6" w:themeColor="background1" w:themeShade="A6"/>
            </w:tcBorders>
          </w:tcPr>
          <w:p w14:paraId="543D9D3D" w14:textId="1686D599" w:rsidR="00DC111E" w:rsidRPr="00DC111E" w:rsidRDefault="00DC111E" w:rsidP="00DC111E">
            <w:pPr>
              <w:pStyle w:val="TableText"/>
              <w:rPr>
                <w:b/>
                <w:bCs/>
              </w:rPr>
            </w:pPr>
            <w:r w:rsidRPr="00DC111E">
              <w:rPr>
                <w:b/>
                <w:bCs/>
              </w:rPr>
              <w:t>Total assets</w:t>
            </w:r>
          </w:p>
        </w:tc>
        <w:tc>
          <w:tcPr>
            <w:tcW w:w="3190" w:type="dxa"/>
            <w:tcBorders>
              <w:bottom w:val="single" w:sz="4" w:space="0" w:color="A6A6A6" w:themeColor="background1" w:themeShade="A6"/>
            </w:tcBorders>
          </w:tcPr>
          <w:p w14:paraId="5AC60667" w14:textId="70622621" w:rsidR="00DC111E" w:rsidRDefault="00DC111E" w:rsidP="00DC111E">
            <w:pPr>
              <w:pStyle w:val="TableText"/>
              <w:jc w:val="right"/>
            </w:pPr>
            <w:r w:rsidRPr="00631F2A">
              <w:t>14,041</w:t>
            </w:r>
          </w:p>
        </w:tc>
      </w:tr>
      <w:tr w:rsidR="00DC111E" w14:paraId="0BD5F24A" w14:textId="77777777" w:rsidTr="00DC111E">
        <w:trPr>
          <w:trHeight w:val="340"/>
        </w:trPr>
        <w:tc>
          <w:tcPr>
            <w:tcW w:w="4890" w:type="dxa"/>
            <w:tcBorders>
              <w:top w:val="single" w:sz="4" w:space="0" w:color="A6A6A6" w:themeColor="background1" w:themeShade="A6"/>
            </w:tcBorders>
          </w:tcPr>
          <w:p w14:paraId="3A91D96A" w14:textId="4DBD1204" w:rsidR="00DC111E" w:rsidRPr="00DC111E" w:rsidRDefault="00DC111E" w:rsidP="00DC111E">
            <w:pPr>
              <w:pStyle w:val="TableText"/>
              <w:rPr>
                <w:b/>
                <w:bCs/>
              </w:rPr>
            </w:pPr>
            <w:r w:rsidRPr="00DC111E">
              <w:rPr>
                <w:b/>
                <w:bCs/>
              </w:rPr>
              <w:t>Liabilities</w:t>
            </w:r>
          </w:p>
        </w:tc>
        <w:tc>
          <w:tcPr>
            <w:tcW w:w="3190" w:type="dxa"/>
            <w:tcBorders>
              <w:top w:val="single" w:sz="4" w:space="0" w:color="A6A6A6" w:themeColor="background1" w:themeShade="A6"/>
            </w:tcBorders>
          </w:tcPr>
          <w:p w14:paraId="084E7900" w14:textId="53FAD82A" w:rsidR="00DC111E" w:rsidRDefault="00DC111E" w:rsidP="00DC111E">
            <w:pPr>
              <w:pStyle w:val="TableText"/>
              <w:jc w:val="right"/>
            </w:pPr>
          </w:p>
        </w:tc>
      </w:tr>
      <w:tr w:rsidR="00DC111E" w14:paraId="7F7C97BC" w14:textId="77777777" w:rsidTr="00DC111E">
        <w:trPr>
          <w:trHeight w:val="340"/>
        </w:trPr>
        <w:tc>
          <w:tcPr>
            <w:tcW w:w="4890" w:type="dxa"/>
          </w:tcPr>
          <w:p w14:paraId="29BCC871" w14:textId="69690F93" w:rsidR="00DC111E" w:rsidRDefault="00DC111E" w:rsidP="00DC111E">
            <w:pPr>
              <w:pStyle w:val="TableText"/>
              <w:rPr>
                <w:b/>
              </w:rPr>
            </w:pPr>
            <w:r w:rsidRPr="008052C9">
              <w:t>Employee entitlements</w:t>
            </w:r>
          </w:p>
        </w:tc>
        <w:tc>
          <w:tcPr>
            <w:tcW w:w="3190" w:type="dxa"/>
          </w:tcPr>
          <w:p w14:paraId="4A625C6F" w14:textId="73F27FDB" w:rsidR="00DC111E" w:rsidRDefault="00DC111E" w:rsidP="00DC111E">
            <w:pPr>
              <w:pStyle w:val="TableText"/>
              <w:jc w:val="right"/>
              <w:rPr>
                <w:b/>
              </w:rPr>
            </w:pPr>
            <w:r w:rsidRPr="00657C75">
              <w:t>9,558</w:t>
            </w:r>
          </w:p>
        </w:tc>
      </w:tr>
      <w:tr w:rsidR="00DC111E" w14:paraId="6EC2CE3C" w14:textId="77777777" w:rsidTr="00DC111E">
        <w:trPr>
          <w:trHeight w:val="340"/>
        </w:trPr>
        <w:tc>
          <w:tcPr>
            <w:tcW w:w="4890" w:type="dxa"/>
            <w:tcBorders>
              <w:bottom w:val="single" w:sz="4" w:space="0" w:color="A6A6A6" w:themeColor="background1" w:themeShade="A6"/>
            </w:tcBorders>
          </w:tcPr>
          <w:p w14:paraId="69D608B2" w14:textId="7E87585C" w:rsidR="00DC111E" w:rsidRPr="00DC111E" w:rsidRDefault="00DC111E" w:rsidP="00DC111E">
            <w:pPr>
              <w:pStyle w:val="TableText"/>
              <w:rPr>
                <w:b/>
                <w:bCs/>
              </w:rPr>
            </w:pPr>
            <w:r w:rsidRPr="00DC111E">
              <w:rPr>
                <w:b/>
                <w:bCs/>
              </w:rPr>
              <w:t>Total liabilities</w:t>
            </w:r>
          </w:p>
        </w:tc>
        <w:tc>
          <w:tcPr>
            <w:tcW w:w="3190" w:type="dxa"/>
            <w:tcBorders>
              <w:bottom w:val="single" w:sz="4" w:space="0" w:color="A6A6A6" w:themeColor="background1" w:themeShade="A6"/>
            </w:tcBorders>
          </w:tcPr>
          <w:p w14:paraId="5318892D" w14:textId="391FEA0C" w:rsidR="00DC111E" w:rsidRPr="00DC111E" w:rsidRDefault="00DC111E" w:rsidP="00DC111E">
            <w:pPr>
              <w:pStyle w:val="TableText"/>
              <w:jc w:val="right"/>
              <w:rPr>
                <w:b/>
                <w:bCs/>
              </w:rPr>
            </w:pPr>
            <w:r w:rsidRPr="00DC111E">
              <w:rPr>
                <w:b/>
                <w:bCs/>
              </w:rPr>
              <w:t>9,558</w:t>
            </w:r>
          </w:p>
        </w:tc>
      </w:tr>
      <w:tr w:rsidR="00DC111E" w14:paraId="73EB2A75" w14:textId="77777777" w:rsidTr="00DC111E">
        <w:trPr>
          <w:trHeight w:val="340"/>
        </w:trPr>
        <w:tc>
          <w:tcPr>
            <w:tcW w:w="4890" w:type="dxa"/>
            <w:tcBorders>
              <w:top w:val="single" w:sz="4" w:space="0" w:color="A6A6A6" w:themeColor="background1" w:themeShade="A6"/>
              <w:bottom w:val="single" w:sz="4" w:space="0" w:color="A6A6A6" w:themeColor="background1" w:themeShade="A6"/>
            </w:tcBorders>
          </w:tcPr>
          <w:p w14:paraId="15246BD6" w14:textId="1052D048" w:rsidR="00DC111E" w:rsidRPr="00DC111E" w:rsidRDefault="00DC111E" w:rsidP="00DC111E">
            <w:pPr>
              <w:pStyle w:val="TableText"/>
              <w:rPr>
                <w:b/>
                <w:bCs/>
              </w:rPr>
            </w:pPr>
            <w:r w:rsidRPr="00DC111E">
              <w:rPr>
                <w:b/>
                <w:bCs/>
              </w:rPr>
              <w:t>Net assets</w:t>
            </w:r>
          </w:p>
        </w:tc>
        <w:tc>
          <w:tcPr>
            <w:tcW w:w="3190" w:type="dxa"/>
            <w:tcBorders>
              <w:top w:val="single" w:sz="4" w:space="0" w:color="A6A6A6" w:themeColor="background1" w:themeShade="A6"/>
              <w:bottom w:val="single" w:sz="4" w:space="0" w:color="A6A6A6" w:themeColor="background1" w:themeShade="A6"/>
            </w:tcBorders>
          </w:tcPr>
          <w:p w14:paraId="3149B680" w14:textId="1862A102" w:rsidR="00DC111E" w:rsidRPr="00DC111E" w:rsidRDefault="00DC111E" w:rsidP="00DC111E">
            <w:pPr>
              <w:pStyle w:val="TableText"/>
              <w:jc w:val="right"/>
              <w:rPr>
                <w:b/>
                <w:bCs/>
              </w:rPr>
            </w:pPr>
            <w:r w:rsidRPr="00DC111E">
              <w:rPr>
                <w:b/>
                <w:bCs/>
              </w:rPr>
              <w:t>4,483</w:t>
            </w:r>
          </w:p>
        </w:tc>
      </w:tr>
    </w:tbl>
    <w:p w14:paraId="70D787EA" w14:textId="77777777" w:rsidR="00B70733" w:rsidRDefault="00B70733" w:rsidP="00DC111E">
      <w:pPr>
        <w:pStyle w:val="Heading5"/>
        <w:sectPr w:rsidR="00B70733" w:rsidSect="00C26282">
          <w:pgSz w:w="11907" w:h="16840" w:code="9"/>
          <w:pgMar w:top="1418" w:right="1701" w:bottom="1134" w:left="1843" w:header="284" w:footer="425" w:gutter="284"/>
          <w:cols w:space="720"/>
        </w:sectPr>
      </w:pPr>
    </w:p>
    <w:p w14:paraId="4706EB37" w14:textId="6C1EB375" w:rsidR="00DC111E" w:rsidRDefault="00DC111E" w:rsidP="00DC111E">
      <w:pPr>
        <w:pStyle w:val="Heading5"/>
      </w:pPr>
      <w:r w:rsidRPr="00DC111E">
        <w:lastRenderedPageBreak/>
        <w:t>Non-departmental (NDE) assets and liabilities</w:t>
      </w:r>
    </w:p>
    <w:tbl>
      <w:tblPr>
        <w:tblpPr w:leftFromText="180" w:rightFromText="180" w:vertAnchor="text" w:horzAnchor="margin" w:tblpY="88"/>
        <w:tblW w:w="8080" w:type="dxa"/>
        <w:tblLayout w:type="fixed"/>
        <w:tblCellMar>
          <w:left w:w="0" w:type="dxa"/>
          <w:right w:w="0" w:type="dxa"/>
        </w:tblCellMar>
        <w:tblLook w:val="01E0" w:firstRow="1" w:lastRow="1" w:firstColumn="1" w:lastColumn="1" w:noHBand="0" w:noVBand="0"/>
      </w:tblPr>
      <w:tblGrid>
        <w:gridCol w:w="4890"/>
        <w:gridCol w:w="3190"/>
      </w:tblGrid>
      <w:tr w:rsidR="00DC111E" w14:paraId="38DD9059" w14:textId="77777777" w:rsidTr="008C677C">
        <w:trPr>
          <w:trHeight w:val="988"/>
        </w:trPr>
        <w:tc>
          <w:tcPr>
            <w:tcW w:w="4890" w:type="dxa"/>
            <w:shd w:val="clear" w:color="auto" w:fill="D9D9D9" w:themeFill="background1" w:themeFillShade="D9"/>
          </w:tcPr>
          <w:p w14:paraId="1768A7A5" w14:textId="77777777" w:rsidR="00DC111E" w:rsidRDefault="00DC111E" w:rsidP="00F848C6">
            <w:pPr>
              <w:pStyle w:val="TableText"/>
            </w:pPr>
          </w:p>
        </w:tc>
        <w:tc>
          <w:tcPr>
            <w:tcW w:w="3190" w:type="dxa"/>
            <w:shd w:val="clear" w:color="auto" w:fill="D9D9D9" w:themeFill="background1" w:themeFillShade="D9"/>
          </w:tcPr>
          <w:p w14:paraId="24F41C8A" w14:textId="77777777" w:rsidR="00DC111E" w:rsidRPr="00BE61EB" w:rsidRDefault="00DC111E" w:rsidP="00F848C6">
            <w:pPr>
              <w:pStyle w:val="TableText"/>
              <w:jc w:val="right"/>
              <w:rPr>
                <w:b/>
                <w:bCs/>
              </w:rPr>
            </w:pPr>
            <w:r w:rsidRPr="00BE61EB">
              <w:rPr>
                <w:b/>
                <w:bCs/>
              </w:rPr>
              <w:t>Actual</w:t>
            </w:r>
          </w:p>
          <w:p w14:paraId="0F7877E0" w14:textId="77777777" w:rsidR="00DC111E" w:rsidRPr="00BE61EB" w:rsidRDefault="00DC111E" w:rsidP="00F848C6">
            <w:pPr>
              <w:pStyle w:val="TableText"/>
              <w:jc w:val="right"/>
              <w:rPr>
                <w:b/>
                <w:bCs/>
              </w:rPr>
            </w:pPr>
            <w:r w:rsidRPr="00BE61EB">
              <w:rPr>
                <w:b/>
                <w:bCs/>
              </w:rPr>
              <w:t>2022</w:t>
            </w:r>
          </w:p>
          <w:p w14:paraId="1B9B88D8" w14:textId="77777777" w:rsidR="00DC111E" w:rsidRPr="00BE61EB" w:rsidRDefault="00DC111E" w:rsidP="00F848C6">
            <w:pPr>
              <w:pStyle w:val="TableText"/>
              <w:jc w:val="right"/>
              <w:rPr>
                <w:b/>
                <w:bCs/>
              </w:rPr>
            </w:pPr>
            <w:r w:rsidRPr="00BE61EB">
              <w:rPr>
                <w:b/>
                <w:bCs/>
              </w:rPr>
              <w:t>$000</w:t>
            </w:r>
          </w:p>
        </w:tc>
      </w:tr>
      <w:tr w:rsidR="00DC111E" w14:paraId="2E5D59F5" w14:textId="77777777" w:rsidTr="00F848C6">
        <w:trPr>
          <w:trHeight w:val="340"/>
        </w:trPr>
        <w:tc>
          <w:tcPr>
            <w:tcW w:w="4890" w:type="dxa"/>
          </w:tcPr>
          <w:p w14:paraId="26F783EB" w14:textId="77777777" w:rsidR="00DC111E" w:rsidRDefault="00DC111E" w:rsidP="00F848C6">
            <w:pPr>
              <w:pStyle w:val="TableText"/>
              <w:rPr>
                <w:b/>
              </w:rPr>
            </w:pPr>
            <w:r w:rsidRPr="00DC111E">
              <w:rPr>
                <w:b/>
              </w:rPr>
              <w:t>Assets</w:t>
            </w:r>
          </w:p>
        </w:tc>
        <w:tc>
          <w:tcPr>
            <w:tcW w:w="3190" w:type="dxa"/>
          </w:tcPr>
          <w:p w14:paraId="008CA332" w14:textId="77777777" w:rsidR="00DC111E" w:rsidRDefault="00DC111E" w:rsidP="00F848C6">
            <w:pPr>
              <w:pStyle w:val="TableText"/>
              <w:jc w:val="right"/>
            </w:pPr>
          </w:p>
        </w:tc>
      </w:tr>
      <w:tr w:rsidR="00DC111E" w14:paraId="22383B40" w14:textId="77777777" w:rsidTr="00F848C6">
        <w:trPr>
          <w:trHeight w:val="340"/>
        </w:trPr>
        <w:tc>
          <w:tcPr>
            <w:tcW w:w="4890" w:type="dxa"/>
          </w:tcPr>
          <w:p w14:paraId="4E50C699" w14:textId="66851DB4" w:rsidR="00DC111E" w:rsidRDefault="00DC111E" w:rsidP="00DC111E">
            <w:pPr>
              <w:pStyle w:val="TableText"/>
            </w:pPr>
            <w:r w:rsidRPr="0000074E">
              <w:t>Prepayments</w:t>
            </w:r>
          </w:p>
        </w:tc>
        <w:tc>
          <w:tcPr>
            <w:tcW w:w="3190" w:type="dxa"/>
          </w:tcPr>
          <w:p w14:paraId="0BDFC293" w14:textId="7810F699" w:rsidR="00DC111E" w:rsidRDefault="008C677C" w:rsidP="00DC111E">
            <w:pPr>
              <w:pStyle w:val="TableText"/>
              <w:jc w:val="right"/>
            </w:pPr>
            <w:r w:rsidRPr="008C677C">
              <w:t>97,144</w:t>
            </w:r>
          </w:p>
        </w:tc>
      </w:tr>
      <w:tr w:rsidR="00DC111E" w14:paraId="245FAD3B" w14:textId="77777777" w:rsidTr="00F848C6">
        <w:trPr>
          <w:trHeight w:val="340"/>
        </w:trPr>
        <w:tc>
          <w:tcPr>
            <w:tcW w:w="4890" w:type="dxa"/>
          </w:tcPr>
          <w:p w14:paraId="6245C26A" w14:textId="4DEB05A4" w:rsidR="00DC111E" w:rsidRDefault="00DC111E" w:rsidP="00DC111E">
            <w:pPr>
              <w:pStyle w:val="TableText"/>
              <w:rPr>
                <w:b/>
              </w:rPr>
            </w:pPr>
            <w:r w:rsidRPr="0000074E">
              <w:t>Inventory</w:t>
            </w:r>
          </w:p>
        </w:tc>
        <w:tc>
          <w:tcPr>
            <w:tcW w:w="3190" w:type="dxa"/>
          </w:tcPr>
          <w:p w14:paraId="2940573E" w14:textId="1044A00C" w:rsidR="00DC111E" w:rsidRDefault="008C677C" w:rsidP="00DC111E">
            <w:pPr>
              <w:pStyle w:val="TableText"/>
              <w:jc w:val="right"/>
              <w:rPr>
                <w:b/>
              </w:rPr>
            </w:pPr>
            <w:r w:rsidRPr="008C677C">
              <w:t>550,231</w:t>
            </w:r>
          </w:p>
        </w:tc>
      </w:tr>
      <w:tr w:rsidR="00DC111E" w14:paraId="42994B10" w14:textId="77777777" w:rsidTr="00F848C6">
        <w:trPr>
          <w:trHeight w:val="340"/>
        </w:trPr>
        <w:tc>
          <w:tcPr>
            <w:tcW w:w="4890" w:type="dxa"/>
          </w:tcPr>
          <w:p w14:paraId="404DEC25" w14:textId="4C445412" w:rsidR="00DC111E" w:rsidRPr="008052C9" w:rsidRDefault="00DC111E" w:rsidP="00DC111E">
            <w:pPr>
              <w:pStyle w:val="TableText"/>
            </w:pPr>
            <w:r w:rsidRPr="0000074E">
              <w:t>Residential care loans</w:t>
            </w:r>
          </w:p>
        </w:tc>
        <w:tc>
          <w:tcPr>
            <w:tcW w:w="3190" w:type="dxa"/>
          </w:tcPr>
          <w:p w14:paraId="086916B8" w14:textId="5A59D62A" w:rsidR="00DC111E" w:rsidRPr="00631F2A" w:rsidRDefault="008C677C" w:rsidP="00DC111E">
            <w:pPr>
              <w:pStyle w:val="TableText"/>
              <w:jc w:val="right"/>
            </w:pPr>
            <w:r w:rsidRPr="008C677C">
              <w:t>48,629</w:t>
            </w:r>
          </w:p>
        </w:tc>
      </w:tr>
      <w:tr w:rsidR="00DC111E" w14:paraId="510FCF59" w14:textId="77777777" w:rsidTr="00F848C6">
        <w:trPr>
          <w:trHeight w:val="340"/>
        </w:trPr>
        <w:tc>
          <w:tcPr>
            <w:tcW w:w="4890" w:type="dxa"/>
          </w:tcPr>
          <w:p w14:paraId="058583C2" w14:textId="3FD1184A" w:rsidR="00DC111E" w:rsidRDefault="00DC111E" w:rsidP="00DC111E">
            <w:pPr>
              <w:pStyle w:val="TableText"/>
              <w:rPr>
                <w:b/>
              </w:rPr>
            </w:pPr>
            <w:r w:rsidRPr="0000074E">
              <w:t>Hospital rebuild projects</w:t>
            </w:r>
          </w:p>
        </w:tc>
        <w:tc>
          <w:tcPr>
            <w:tcW w:w="3190" w:type="dxa"/>
          </w:tcPr>
          <w:p w14:paraId="6E1C5C5A" w14:textId="76A7C6CA" w:rsidR="00DC111E" w:rsidRDefault="008C677C" w:rsidP="00DC111E">
            <w:pPr>
              <w:pStyle w:val="TableText"/>
              <w:jc w:val="right"/>
            </w:pPr>
            <w:r w:rsidRPr="008C677C">
              <w:t>298,365</w:t>
            </w:r>
          </w:p>
        </w:tc>
      </w:tr>
      <w:tr w:rsidR="00DC111E" w14:paraId="0EE876BC" w14:textId="77777777" w:rsidTr="00F848C6">
        <w:trPr>
          <w:trHeight w:val="340"/>
        </w:trPr>
        <w:tc>
          <w:tcPr>
            <w:tcW w:w="4890" w:type="dxa"/>
            <w:tcBorders>
              <w:bottom w:val="single" w:sz="4" w:space="0" w:color="A6A6A6" w:themeColor="background1" w:themeShade="A6"/>
            </w:tcBorders>
          </w:tcPr>
          <w:p w14:paraId="66925D79" w14:textId="77777777" w:rsidR="00DC111E" w:rsidRPr="00DC111E" w:rsidRDefault="00DC111E" w:rsidP="00F848C6">
            <w:pPr>
              <w:pStyle w:val="TableText"/>
              <w:rPr>
                <w:b/>
                <w:bCs/>
              </w:rPr>
            </w:pPr>
            <w:r w:rsidRPr="00DC111E">
              <w:rPr>
                <w:b/>
                <w:bCs/>
              </w:rPr>
              <w:t>Total assets</w:t>
            </w:r>
          </w:p>
        </w:tc>
        <w:tc>
          <w:tcPr>
            <w:tcW w:w="3190" w:type="dxa"/>
            <w:tcBorders>
              <w:bottom w:val="single" w:sz="4" w:space="0" w:color="A6A6A6" w:themeColor="background1" w:themeShade="A6"/>
            </w:tcBorders>
          </w:tcPr>
          <w:p w14:paraId="1818EA7D" w14:textId="29B9C368" w:rsidR="00DC111E" w:rsidRPr="008C677C" w:rsidRDefault="008C677C" w:rsidP="00F848C6">
            <w:pPr>
              <w:pStyle w:val="TableText"/>
              <w:jc w:val="right"/>
              <w:rPr>
                <w:b/>
                <w:bCs/>
              </w:rPr>
            </w:pPr>
            <w:r w:rsidRPr="008C677C">
              <w:rPr>
                <w:b/>
                <w:bCs/>
              </w:rPr>
              <w:t>994,369</w:t>
            </w:r>
          </w:p>
        </w:tc>
      </w:tr>
      <w:tr w:rsidR="00DC111E" w14:paraId="694237D9" w14:textId="77777777" w:rsidTr="00F848C6">
        <w:trPr>
          <w:trHeight w:val="340"/>
        </w:trPr>
        <w:tc>
          <w:tcPr>
            <w:tcW w:w="4890" w:type="dxa"/>
            <w:tcBorders>
              <w:top w:val="single" w:sz="4" w:space="0" w:color="A6A6A6" w:themeColor="background1" w:themeShade="A6"/>
            </w:tcBorders>
          </w:tcPr>
          <w:p w14:paraId="071FBC0E" w14:textId="77777777" w:rsidR="00DC111E" w:rsidRPr="00DC111E" w:rsidRDefault="00DC111E" w:rsidP="00F848C6">
            <w:pPr>
              <w:pStyle w:val="TableText"/>
              <w:rPr>
                <w:b/>
                <w:bCs/>
              </w:rPr>
            </w:pPr>
            <w:r w:rsidRPr="00DC111E">
              <w:rPr>
                <w:b/>
                <w:bCs/>
              </w:rPr>
              <w:t>Liabilities</w:t>
            </w:r>
          </w:p>
        </w:tc>
        <w:tc>
          <w:tcPr>
            <w:tcW w:w="3190" w:type="dxa"/>
            <w:tcBorders>
              <w:top w:val="single" w:sz="4" w:space="0" w:color="A6A6A6" w:themeColor="background1" w:themeShade="A6"/>
            </w:tcBorders>
          </w:tcPr>
          <w:p w14:paraId="677E0993" w14:textId="77777777" w:rsidR="00DC111E" w:rsidRDefault="00DC111E" w:rsidP="00F848C6">
            <w:pPr>
              <w:pStyle w:val="TableText"/>
              <w:jc w:val="right"/>
            </w:pPr>
          </w:p>
        </w:tc>
      </w:tr>
      <w:tr w:rsidR="00DC111E" w14:paraId="06800A77" w14:textId="77777777" w:rsidTr="00F848C6">
        <w:trPr>
          <w:trHeight w:val="340"/>
        </w:trPr>
        <w:tc>
          <w:tcPr>
            <w:tcW w:w="4890" w:type="dxa"/>
          </w:tcPr>
          <w:p w14:paraId="2C656BCE" w14:textId="6C7BAB01" w:rsidR="00DC111E" w:rsidRDefault="00DC111E" w:rsidP="00F848C6">
            <w:pPr>
              <w:pStyle w:val="TableText"/>
              <w:rPr>
                <w:b/>
              </w:rPr>
            </w:pPr>
            <w:r w:rsidRPr="00DC111E">
              <w:t>Payables and accruals*</w:t>
            </w:r>
          </w:p>
        </w:tc>
        <w:tc>
          <w:tcPr>
            <w:tcW w:w="3190" w:type="dxa"/>
          </w:tcPr>
          <w:p w14:paraId="49E58DDC" w14:textId="18A72A81" w:rsidR="00DC111E" w:rsidRDefault="008C677C" w:rsidP="00F848C6">
            <w:pPr>
              <w:pStyle w:val="TableText"/>
              <w:jc w:val="right"/>
              <w:rPr>
                <w:b/>
              </w:rPr>
            </w:pPr>
            <w:r w:rsidRPr="008C677C">
              <w:t>994,369</w:t>
            </w:r>
          </w:p>
        </w:tc>
      </w:tr>
      <w:tr w:rsidR="00DC111E" w14:paraId="749D88AB" w14:textId="77777777" w:rsidTr="00F848C6">
        <w:trPr>
          <w:trHeight w:val="340"/>
        </w:trPr>
        <w:tc>
          <w:tcPr>
            <w:tcW w:w="4890" w:type="dxa"/>
            <w:tcBorders>
              <w:bottom w:val="single" w:sz="4" w:space="0" w:color="A6A6A6" w:themeColor="background1" w:themeShade="A6"/>
            </w:tcBorders>
          </w:tcPr>
          <w:p w14:paraId="791E2D07" w14:textId="77777777" w:rsidR="00DC111E" w:rsidRPr="00DC111E" w:rsidRDefault="00DC111E" w:rsidP="00F848C6">
            <w:pPr>
              <w:pStyle w:val="TableText"/>
              <w:rPr>
                <w:b/>
                <w:bCs/>
              </w:rPr>
            </w:pPr>
            <w:r w:rsidRPr="00DC111E">
              <w:rPr>
                <w:b/>
                <w:bCs/>
              </w:rPr>
              <w:t>Total liabilities</w:t>
            </w:r>
          </w:p>
        </w:tc>
        <w:tc>
          <w:tcPr>
            <w:tcW w:w="3190" w:type="dxa"/>
            <w:tcBorders>
              <w:bottom w:val="single" w:sz="4" w:space="0" w:color="A6A6A6" w:themeColor="background1" w:themeShade="A6"/>
            </w:tcBorders>
          </w:tcPr>
          <w:p w14:paraId="15B24F6B" w14:textId="7EA29375" w:rsidR="00DC111E" w:rsidRPr="00DC111E" w:rsidRDefault="008C677C" w:rsidP="00F848C6">
            <w:pPr>
              <w:pStyle w:val="TableText"/>
              <w:jc w:val="right"/>
              <w:rPr>
                <w:b/>
                <w:bCs/>
              </w:rPr>
            </w:pPr>
            <w:r w:rsidRPr="008C677C">
              <w:rPr>
                <w:b/>
                <w:bCs/>
              </w:rPr>
              <w:t>1,095,154</w:t>
            </w:r>
          </w:p>
        </w:tc>
      </w:tr>
      <w:tr w:rsidR="00DC111E" w14:paraId="695AD4DF" w14:textId="77777777" w:rsidTr="00F848C6">
        <w:trPr>
          <w:trHeight w:val="340"/>
        </w:trPr>
        <w:tc>
          <w:tcPr>
            <w:tcW w:w="4890" w:type="dxa"/>
            <w:tcBorders>
              <w:top w:val="single" w:sz="4" w:space="0" w:color="A6A6A6" w:themeColor="background1" w:themeShade="A6"/>
              <w:bottom w:val="single" w:sz="4" w:space="0" w:color="A6A6A6" w:themeColor="background1" w:themeShade="A6"/>
            </w:tcBorders>
          </w:tcPr>
          <w:p w14:paraId="5A910F4A" w14:textId="66DC00AC" w:rsidR="00DC111E" w:rsidRPr="00DC111E" w:rsidRDefault="00DC111E" w:rsidP="00F848C6">
            <w:pPr>
              <w:pStyle w:val="TableText"/>
              <w:rPr>
                <w:b/>
                <w:bCs/>
              </w:rPr>
            </w:pPr>
            <w:r w:rsidRPr="00DC111E">
              <w:rPr>
                <w:b/>
                <w:bCs/>
              </w:rPr>
              <w:t>Net assets/(liabilities)</w:t>
            </w:r>
          </w:p>
        </w:tc>
        <w:tc>
          <w:tcPr>
            <w:tcW w:w="3190" w:type="dxa"/>
            <w:tcBorders>
              <w:top w:val="single" w:sz="4" w:space="0" w:color="A6A6A6" w:themeColor="background1" w:themeShade="A6"/>
              <w:bottom w:val="single" w:sz="4" w:space="0" w:color="A6A6A6" w:themeColor="background1" w:themeShade="A6"/>
            </w:tcBorders>
          </w:tcPr>
          <w:p w14:paraId="0A047DCD" w14:textId="4B63976D" w:rsidR="00DC111E" w:rsidRPr="00DC111E" w:rsidRDefault="008C677C" w:rsidP="00F848C6">
            <w:pPr>
              <w:pStyle w:val="TableText"/>
              <w:jc w:val="right"/>
              <w:rPr>
                <w:b/>
                <w:bCs/>
              </w:rPr>
            </w:pPr>
            <w:r w:rsidRPr="008C677C">
              <w:rPr>
                <w:b/>
                <w:bCs/>
              </w:rPr>
              <w:t>(100,785)</w:t>
            </w:r>
          </w:p>
        </w:tc>
      </w:tr>
    </w:tbl>
    <w:p w14:paraId="2E613EB5" w14:textId="5AA58B18" w:rsidR="00DC111E" w:rsidRDefault="00DC111E" w:rsidP="00DC111E">
      <w:pPr>
        <w:pStyle w:val="Note"/>
        <w:rPr>
          <w:rFonts w:eastAsia="Arial Unicode MS"/>
        </w:rPr>
      </w:pPr>
      <w:r w:rsidRPr="00DC111E">
        <w:rPr>
          <w:rFonts w:eastAsia="Arial Unicode MS"/>
        </w:rPr>
        <w:t>* NDE payables and accruals include the Ministry’s payables to DHBs of $857.539 million which will either eliminate against Te Whatu Ora’s | Health New Zealand’s receivables or paid by the Crown subsequent to 30 June 2022.</w:t>
      </w:r>
    </w:p>
    <w:p w14:paraId="1BD5F921" w14:textId="77777777" w:rsidR="00DC111E" w:rsidRPr="00DC111E" w:rsidRDefault="00DC111E" w:rsidP="00DC111E">
      <w:pPr>
        <w:ind w:right="-1"/>
        <w:rPr>
          <w:rFonts w:eastAsia="Arial Unicode MS"/>
        </w:rPr>
      </w:pPr>
    </w:p>
    <w:p w14:paraId="4A74ADB5" w14:textId="7AC31F8E" w:rsidR="00DC111E" w:rsidRDefault="00DC111E" w:rsidP="00DC111E">
      <w:pPr>
        <w:ind w:right="-1"/>
        <w:rPr>
          <w:rFonts w:eastAsia="Arial Unicode MS"/>
        </w:rPr>
      </w:pPr>
      <w:r w:rsidRPr="00DC111E">
        <w:rPr>
          <w:rFonts w:eastAsia="Arial Unicode MS"/>
        </w:rPr>
        <w:t>The transfer is expected to be finalised in December 2022. The actual net assets/(liabilities) to be transferred may vary from above depending on the Ministry’s final agreement with Te Whatu Ora, Te Aka Whai Ora, and Whaikaha.</w:t>
      </w:r>
    </w:p>
    <w:p w14:paraId="5AD8F0A4" w14:textId="77777777" w:rsidR="00DC111E" w:rsidRDefault="00DC111E" w:rsidP="00DC111E">
      <w:pPr>
        <w:ind w:right="-1"/>
        <w:rPr>
          <w:rFonts w:eastAsia="Arial Unicode MS"/>
        </w:rPr>
        <w:sectPr w:rsidR="00DC111E" w:rsidSect="00C26282">
          <w:pgSz w:w="11907" w:h="16840" w:code="9"/>
          <w:pgMar w:top="1418" w:right="1701" w:bottom="1134" w:left="1843" w:header="284" w:footer="425" w:gutter="284"/>
          <w:cols w:space="720"/>
        </w:sectPr>
      </w:pPr>
    </w:p>
    <w:p w14:paraId="3C383B96" w14:textId="77777777" w:rsidR="00DC111E" w:rsidRPr="00DC111E" w:rsidRDefault="00DC111E" w:rsidP="00DC111E">
      <w:pPr>
        <w:pStyle w:val="Heading2"/>
        <w:spacing w:before="0"/>
        <w:rPr>
          <w:rFonts w:eastAsia="Arial Unicode MS"/>
        </w:rPr>
      </w:pPr>
      <w:bookmarkStart w:id="64" w:name="_Toc117264970"/>
      <w:r w:rsidRPr="00DC111E">
        <w:rPr>
          <w:rFonts w:eastAsia="Arial Unicode MS"/>
        </w:rPr>
        <w:lastRenderedPageBreak/>
        <w:t>Non-departmental statements and schedules for the year ended 30 June 2022</w:t>
      </w:r>
      <w:bookmarkEnd w:id="64"/>
    </w:p>
    <w:p w14:paraId="6D09C574" w14:textId="5452BDEF" w:rsidR="00DC111E" w:rsidRDefault="00DC111E" w:rsidP="00DC111E">
      <w:pPr>
        <w:ind w:right="-1"/>
        <w:rPr>
          <w:rFonts w:eastAsia="Arial Unicode MS"/>
        </w:rPr>
      </w:pPr>
      <w:r w:rsidRPr="00DC111E">
        <w:rPr>
          <w:rFonts w:eastAsia="Arial Unicode MS"/>
        </w:rPr>
        <w:t>The following non-departmental statements and schedules record the revenue, expenses, assets, liabilities, commitments, contingent liabilities, contingent assets, capital receipts and trust accounts that the Ministry manages on behalf of the Crown.</w:t>
      </w:r>
    </w:p>
    <w:p w14:paraId="150216BD" w14:textId="77777777" w:rsidR="00DC111E" w:rsidRDefault="00DC111E" w:rsidP="00545936">
      <w:pPr>
        <w:ind w:right="-1"/>
        <w:rPr>
          <w:rFonts w:eastAsia="Arial Unicode MS"/>
        </w:rPr>
      </w:pPr>
    </w:p>
    <w:p w14:paraId="5972D549" w14:textId="77777777" w:rsidR="004C507E" w:rsidRDefault="004C507E" w:rsidP="00DC111E">
      <w:pPr>
        <w:pStyle w:val="Note"/>
        <w:rPr>
          <w:rFonts w:eastAsia="Arial Unicode MS"/>
        </w:rPr>
      </w:pPr>
    </w:p>
    <w:p w14:paraId="69C60757" w14:textId="77777777" w:rsidR="004C507E" w:rsidRDefault="004C507E" w:rsidP="00DC111E">
      <w:pPr>
        <w:pStyle w:val="Note"/>
        <w:rPr>
          <w:rFonts w:eastAsia="Arial Unicode MS"/>
        </w:rPr>
      </w:pPr>
    </w:p>
    <w:p w14:paraId="463C61CC" w14:textId="77777777" w:rsidR="004C507E" w:rsidRDefault="004C507E" w:rsidP="00DC111E">
      <w:pPr>
        <w:pStyle w:val="Note"/>
        <w:rPr>
          <w:rFonts w:eastAsia="Arial Unicode MS"/>
        </w:rPr>
      </w:pPr>
    </w:p>
    <w:p w14:paraId="05BB6E7C" w14:textId="77777777" w:rsidR="004C507E" w:rsidRDefault="004C507E" w:rsidP="00DC111E">
      <w:pPr>
        <w:pStyle w:val="Note"/>
        <w:rPr>
          <w:rFonts w:eastAsia="Arial Unicode MS"/>
        </w:rPr>
      </w:pPr>
    </w:p>
    <w:p w14:paraId="0D736202" w14:textId="77777777" w:rsidR="004C507E" w:rsidRDefault="004C507E" w:rsidP="00DC111E">
      <w:pPr>
        <w:pStyle w:val="Note"/>
        <w:rPr>
          <w:rFonts w:eastAsia="Arial Unicode MS"/>
        </w:rPr>
      </w:pPr>
    </w:p>
    <w:p w14:paraId="3C044B71" w14:textId="77777777" w:rsidR="004C507E" w:rsidRDefault="004C507E" w:rsidP="00DC111E">
      <w:pPr>
        <w:pStyle w:val="Note"/>
        <w:rPr>
          <w:rFonts w:eastAsia="Arial Unicode MS"/>
        </w:rPr>
      </w:pPr>
    </w:p>
    <w:p w14:paraId="20BC2403" w14:textId="77777777" w:rsidR="004C507E" w:rsidRDefault="004C507E" w:rsidP="00DC111E">
      <w:pPr>
        <w:pStyle w:val="Note"/>
        <w:rPr>
          <w:rFonts w:eastAsia="Arial Unicode MS"/>
        </w:rPr>
      </w:pPr>
    </w:p>
    <w:p w14:paraId="595AF887" w14:textId="77777777" w:rsidR="004C507E" w:rsidRDefault="004C507E" w:rsidP="00DC111E">
      <w:pPr>
        <w:pStyle w:val="Note"/>
        <w:rPr>
          <w:rFonts w:eastAsia="Arial Unicode MS"/>
        </w:rPr>
      </w:pPr>
    </w:p>
    <w:p w14:paraId="3995A16E" w14:textId="77777777" w:rsidR="004C507E" w:rsidRDefault="004C507E" w:rsidP="00DC111E">
      <w:pPr>
        <w:pStyle w:val="Note"/>
        <w:rPr>
          <w:rFonts w:eastAsia="Arial Unicode MS"/>
        </w:rPr>
      </w:pPr>
    </w:p>
    <w:p w14:paraId="194EBC3D" w14:textId="77777777" w:rsidR="004C507E" w:rsidRDefault="004C507E" w:rsidP="00DC111E">
      <w:pPr>
        <w:pStyle w:val="Note"/>
        <w:rPr>
          <w:rFonts w:eastAsia="Arial Unicode MS"/>
        </w:rPr>
      </w:pPr>
    </w:p>
    <w:p w14:paraId="754562BE" w14:textId="77777777" w:rsidR="004C507E" w:rsidRDefault="004C507E" w:rsidP="00DC111E">
      <w:pPr>
        <w:pStyle w:val="Note"/>
        <w:rPr>
          <w:rFonts w:eastAsia="Arial Unicode MS"/>
        </w:rPr>
      </w:pPr>
    </w:p>
    <w:p w14:paraId="0C7A639D" w14:textId="77777777" w:rsidR="004C507E" w:rsidRDefault="004C507E" w:rsidP="00DC111E">
      <w:pPr>
        <w:pStyle w:val="Note"/>
        <w:rPr>
          <w:rFonts w:eastAsia="Arial Unicode MS"/>
        </w:rPr>
      </w:pPr>
    </w:p>
    <w:p w14:paraId="5C287659" w14:textId="77777777" w:rsidR="004C507E" w:rsidRDefault="004C507E" w:rsidP="00DC111E">
      <w:pPr>
        <w:pStyle w:val="Note"/>
        <w:rPr>
          <w:rFonts w:eastAsia="Arial Unicode MS"/>
        </w:rPr>
      </w:pPr>
    </w:p>
    <w:p w14:paraId="1F0ED7D4" w14:textId="77777777" w:rsidR="004C507E" w:rsidRDefault="004C507E" w:rsidP="00DC111E">
      <w:pPr>
        <w:pStyle w:val="Note"/>
        <w:rPr>
          <w:rFonts w:eastAsia="Arial Unicode MS"/>
        </w:rPr>
      </w:pPr>
    </w:p>
    <w:p w14:paraId="53E960E9" w14:textId="77777777" w:rsidR="004C507E" w:rsidRDefault="004C507E" w:rsidP="00DC111E">
      <w:pPr>
        <w:pStyle w:val="Note"/>
        <w:rPr>
          <w:rFonts w:eastAsia="Arial Unicode MS"/>
        </w:rPr>
      </w:pPr>
    </w:p>
    <w:p w14:paraId="62BEE2EC" w14:textId="77777777" w:rsidR="004C507E" w:rsidRDefault="004C507E" w:rsidP="00DC111E">
      <w:pPr>
        <w:pStyle w:val="Note"/>
        <w:rPr>
          <w:rFonts w:eastAsia="Arial Unicode MS"/>
        </w:rPr>
      </w:pPr>
    </w:p>
    <w:p w14:paraId="37D1F755" w14:textId="77777777" w:rsidR="004C507E" w:rsidRDefault="004C507E" w:rsidP="00DC111E">
      <w:pPr>
        <w:pStyle w:val="Note"/>
        <w:rPr>
          <w:rFonts w:eastAsia="Arial Unicode MS"/>
        </w:rPr>
      </w:pPr>
    </w:p>
    <w:p w14:paraId="5E726296" w14:textId="77777777" w:rsidR="004C507E" w:rsidRDefault="004C507E" w:rsidP="00DC111E">
      <w:pPr>
        <w:pStyle w:val="Note"/>
        <w:rPr>
          <w:rFonts w:eastAsia="Arial Unicode MS"/>
        </w:rPr>
      </w:pPr>
    </w:p>
    <w:p w14:paraId="6E87396D" w14:textId="77777777" w:rsidR="004C507E" w:rsidRDefault="004C507E" w:rsidP="00DC111E">
      <w:pPr>
        <w:pStyle w:val="Note"/>
        <w:rPr>
          <w:rFonts w:eastAsia="Arial Unicode MS"/>
        </w:rPr>
      </w:pPr>
    </w:p>
    <w:p w14:paraId="72423CC5" w14:textId="77777777" w:rsidR="004C507E" w:rsidRDefault="004C507E" w:rsidP="00DC111E">
      <w:pPr>
        <w:pStyle w:val="Note"/>
        <w:rPr>
          <w:rFonts w:eastAsia="Arial Unicode MS"/>
        </w:rPr>
      </w:pPr>
    </w:p>
    <w:p w14:paraId="2931E9B1" w14:textId="77777777" w:rsidR="004C507E" w:rsidRDefault="004C507E" w:rsidP="00DC111E">
      <w:pPr>
        <w:pStyle w:val="Note"/>
        <w:rPr>
          <w:rFonts w:eastAsia="Arial Unicode MS"/>
        </w:rPr>
      </w:pPr>
    </w:p>
    <w:p w14:paraId="577097C9" w14:textId="77777777" w:rsidR="004C507E" w:rsidRDefault="004C507E" w:rsidP="00DC111E">
      <w:pPr>
        <w:pStyle w:val="Note"/>
        <w:rPr>
          <w:rFonts w:eastAsia="Arial Unicode MS"/>
        </w:rPr>
      </w:pPr>
    </w:p>
    <w:p w14:paraId="4C475BE7" w14:textId="77777777" w:rsidR="004C507E" w:rsidRDefault="004C507E" w:rsidP="00DC111E">
      <w:pPr>
        <w:pStyle w:val="Note"/>
        <w:rPr>
          <w:rFonts w:eastAsia="Arial Unicode MS"/>
        </w:rPr>
      </w:pPr>
    </w:p>
    <w:p w14:paraId="7D225F56" w14:textId="77777777" w:rsidR="004C507E" w:rsidRDefault="004C507E" w:rsidP="00DC111E">
      <w:pPr>
        <w:pStyle w:val="Note"/>
        <w:rPr>
          <w:rFonts w:eastAsia="Arial Unicode MS"/>
        </w:rPr>
      </w:pPr>
    </w:p>
    <w:p w14:paraId="4C0678C8" w14:textId="77777777" w:rsidR="004C507E" w:rsidRDefault="004C507E" w:rsidP="00DC111E">
      <w:pPr>
        <w:pStyle w:val="Note"/>
        <w:rPr>
          <w:rFonts w:eastAsia="Arial Unicode MS"/>
        </w:rPr>
      </w:pPr>
    </w:p>
    <w:p w14:paraId="558BF00A" w14:textId="77777777" w:rsidR="004C507E" w:rsidRDefault="004C507E" w:rsidP="00DC111E">
      <w:pPr>
        <w:pStyle w:val="Note"/>
        <w:rPr>
          <w:rFonts w:eastAsia="Arial Unicode MS"/>
        </w:rPr>
      </w:pPr>
    </w:p>
    <w:p w14:paraId="1CD40A89" w14:textId="77777777" w:rsidR="004C507E" w:rsidRDefault="004C507E" w:rsidP="00DC111E">
      <w:pPr>
        <w:pStyle w:val="Note"/>
        <w:rPr>
          <w:rFonts w:eastAsia="Arial Unicode MS"/>
        </w:rPr>
      </w:pPr>
    </w:p>
    <w:p w14:paraId="0A6678F0" w14:textId="77777777" w:rsidR="004C507E" w:rsidRDefault="004C507E" w:rsidP="00DC111E">
      <w:pPr>
        <w:pStyle w:val="Note"/>
        <w:rPr>
          <w:rFonts w:eastAsia="Arial Unicode MS"/>
        </w:rPr>
      </w:pPr>
    </w:p>
    <w:p w14:paraId="1118E308" w14:textId="77777777" w:rsidR="004C507E" w:rsidRDefault="004C507E" w:rsidP="00DC111E">
      <w:pPr>
        <w:pStyle w:val="Note"/>
        <w:rPr>
          <w:rFonts w:eastAsia="Arial Unicode MS"/>
        </w:rPr>
      </w:pPr>
    </w:p>
    <w:p w14:paraId="2ACEAEDC" w14:textId="77777777" w:rsidR="004C507E" w:rsidRDefault="004C507E" w:rsidP="00DC111E">
      <w:pPr>
        <w:pStyle w:val="Note"/>
        <w:rPr>
          <w:rFonts w:eastAsia="Arial Unicode MS"/>
        </w:rPr>
      </w:pPr>
    </w:p>
    <w:p w14:paraId="480E2081" w14:textId="77777777" w:rsidR="004C507E" w:rsidRDefault="004C507E" w:rsidP="00DC111E">
      <w:pPr>
        <w:pStyle w:val="Note"/>
        <w:rPr>
          <w:rFonts w:eastAsia="Arial Unicode MS"/>
        </w:rPr>
      </w:pPr>
    </w:p>
    <w:p w14:paraId="1D04C555" w14:textId="77777777" w:rsidR="004C507E" w:rsidRDefault="004C507E" w:rsidP="00DC111E">
      <w:pPr>
        <w:pStyle w:val="Note"/>
        <w:rPr>
          <w:rFonts w:eastAsia="Arial Unicode MS"/>
        </w:rPr>
      </w:pPr>
    </w:p>
    <w:p w14:paraId="06388E6E" w14:textId="77777777" w:rsidR="004C507E" w:rsidRDefault="004C507E" w:rsidP="00DC111E">
      <w:pPr>
        <w:pStyle w:val="Note"/>
        <w:rPr>
          <w:rFonts w:eastAsia="Arial Unicode MS"/>
        </w:rPr>
      </w:pPr>
    </w:p>
    <w:p w14:paraId="3D3193D1" w14:textId="42BCB879" w:rsidR="00DC111E" w:rsidRPr="00DC111E" w:rsidRDefault="00DC111E" w:rsidP="00DC111E">
      <w:pPr>
        <w:pStyle w:val="Note"/>
        <w:rPr>
          <w:rFonts w:eastAsia="Arial Unicode MS"/>
        </w:rPr>
      </w:pPr>
      <w:r w:rsidRPr="00DC111E">
        <w:rPr>
          <w:rFonts w:eastAsia="Arial Unicode MS"/>
        </w:rPr>
        <w:t>The accompanying notes form part of these financial statements.</w:t>
      </w:r>
    </w:p>
    <w:p w14:paraId="70226267" w14:textId="77777777" w:rsidR="00DC111E" w:rsidRDefault="00DC111E" w:rsidP="00DC111E">
      <w:pPr>
        <w:pStyle w:val="Note"/>
        <w:rPr>
          <w:rFonts w:eastAsia="Arial Unicode MS"/>
        </w:rPr>
        <w:sectPr w:rsidR="00DC111E" w:rsidSect="00C26282">
          <w:pgSz w:w="11907" w:h="16840" w:code="9"/>
          <w:pgMar w:top="1418" w:right="1701" w:bottom="1134" w:left="1843" w:header="284" w:footer="425" w:gutter="284"/>
          <w:cols w:space="720"/>
        </w:sectPr>
      </w:pPr>
      <w:r w:rsidRPr="00DC111E">
        <w:rPr>
          <w:rFonts w:eastAsia="Arial Unicode MS"/>
        </w:rPr>
        <w:t>For a full understanding of the Crown’s financial position and the results of its operations for the year, refer to the consolidated Financial Statement of the Government for the year ended 30 June 2022.</w:t>
      </w:r>
    </w:p>
    <w:p w14:paraId="6E6D44B8" w14:textId="77777777" w:rsidR="00DC111E" w:rsidRDefault="00DC111E" w:rsidP="00DC111E">
      <w:pPr>
        <w:pStyle w:val="Heading3"/>
        <w:spacing w:before="0"/>
      </w:pPr>
      <w:bookmarkStart w:id="65" w:name="_Toc117264971"/>
      <w:r w:rsidRPr="00DC111E">
        <w:lastRenderedPageBreak/>
        <w:t>Statement of non-departmental expenses for the year ended 30 June 2022</w:t>
      </w:r>
      <w:bookmarkEnd w:id="65"/>
    </w:p>
    <w:tbl>
      <w:tblPr>
        <w:tblW w:w="8779" w:type="dxa"/>
        <w:tblInd w:w="7" w:type="dxa"/>
        <w:tblLayout w:type="fixed"/>
        <w:tblCellMar>
          <w:left w:w="0" w:type="dxa"/>
          <w:right w:w="0" w:type="dxa"/>
        </w:tblCellMar>
        <w:tblLook w:val="01E0" w:firstRow="1" w:lastRow="1" w:firstColumn="1" w:lastColumn="1" w:noHBand="0" w:noVBand="0"/>
      </w:tblPr>
      <w:tblGrid>
        <w:gridCol w:w="1127"/>
        <w:gridCol w:w="3261"/>
        <w:gridCol w:w="859"/>
        <w:gridCol w:w="1191"/>
        <w:gridCol w:w="1178"/>
        <w:gridCol w:w="1163"/>
      </w:tblGrid>
      <w:tr w:rsidR="006A4A70" w14:paraId="5DBD09EC" w14:textId="77777777" w:rsidTr="006F12E6">
        <w:trPr>
          <w:trHeight w:val="1069"/>
        </w:trPr>
        <w:tc>
          <w:tcPr>
            <w:tcW w:w="1127" w:type="dxa"/>
            <w:shd w:val="clear" w:color="auto" w:fill="D9D9D9" w:themeFill="background1" w:themeFillShade="D9"/>
          </w:tcPr>
          <w:p w14:paraId="79B77136" w14:textId="77777777" w:rsidR="006A4A70" w:rsidRPr="006A4A70" w:rsidRDefault="006A4A70" w:rsidP="006F12E6">
            <w:pPr>
              <w:pStyle w:val="TableText"/>
              <w:jc w:val="right"/>
              <w:rPr>
                <w:rFonts w:ascii="Trebuchet MS"/>
                <w:b/>
                <w:bCs/>
                <w:sz w:val="23"/>
              </w:rPr>
            </w:pPr>
            <w:r w:rsidRPr="006A4A70">
              <w:rPr>
                <w:b/>
                <w:bCs/>
                <w:w w:val="110"/>
              </w:rPr>
              <w:t>Actual</w:t>
            </w:r>
            <w:r w:rsidRPr="006A4A70">
              <w:rPr>
                <w:b/>
                <w:bCs/>
                <w:w w:val="110"/>
              </w:rPr>
              <w:br/>
            </w:r>
          </w:p>
          <w:p w14:paraId="0D7F0D25" w14:textId="77777777" w:rsidR="006A4A70" w:rsidRPr="006A4A70" w:rsidRDefault="006A4A70" w:rsidP="006F12E6">
            <w:pPr>
              <w:pStyle w:val="TableText"/>
              <w:jc w:val="right"/>
              <w:rPr>
                <w:b/>
                <w:bCs/>
              </w:rPr>
            </w:pPr>
            <w:r w:rsidRPr="006A4A70">
              <w:rPr>
                <w:b/>
                <w:bCs/>
              </w:rPr>
              <w:t>2021</w:t>
            </w:r>
          </w:p>
          <w:p w14:paraId="471610DD" w14:textId="5E2806E7" w:rsidR="006A4A70" w:rsidRPr="006A4A70" w:rsidRDefault="006A4A70" w:rsidP="006F12E6">
            <w:pPr>
              <w:pStyle w:val="TableText"/>
              <w:jc w:val="right"/>
              <w:rPr>
                <w:b/>
                <w:bCs/>
                <w:w w:val="110"/>
              </w:rPr>
            </w:pPr>
            <w:r w:rsidRPr="006A4A70">
              <w:rPr>
                <w:b/>
                <w:bCs/>
                <w:w w:val="120"/>
              </w:rPr>
              <w:t>$000</w:t>
            </w:r>
          </w:p>
        </w:tc>
        <w:tc>
          <w:tcPr>
            <w:tcW w:w="3261" w:type="dxa"/>
            <w:shd w:val="clear" w:color="auto" w:fill="D9D9D9" w:themeFill="background1" w:themeFillShade="D9"/>
          </w:tcPr>
          <w:p w14:paraId="2C4F96B3" w14:textId="1A66EDA4" w:rsidR="006A4A70" w:rsidRPr="006A4A70" w:rsidRDefault="006A4A70" w:rsidP="006A4A70">
            <w:pPr>
              <w:pStyle w:val="TableText"/>
              <w:rPr>
                <w:b/>
                <w:bCs/>
              </w:rPr>
            </w:pPr>
          </w:p>
        </w:tc>
        <w:tc>
          <w:tcPr>
            <w:tcW w:w="859" w:type="dxa"/>
            <w:shd w:val="clear" w:color="auto" w:fill="D9D9D9" w:themeFill="background1" w:themeFillShade="D9"/>
          </w:tcPr>
          <w:p w14:paraId="04551477" w14:textId="77777777" w:rsidR="006A4A70" w:rsidRPr="006A4A70" w:rsidRDefault="006A4A70" w:rsidP="00DC111E">
            <w:pPr>
              <w:pStyle w:val="TableText"/>
              <w:rPr>
                <w:b/>
                <w:bCs/>
              </w:rPr>
            </w:pPr>
            <w:r w:rsidRPr="006A4A70">
              <w:rPr>
                <w:b/>
                <w:bCs/>
                <w:w w:val="110"/>
              </w:rPr>
              <w:t>Note</w:t>
            </w:r>
          </w:p>
        </w:tc>
        <w:tc>
          <w:tcPr>
            <w:tcW w:w="1191" w:type="dxa"/>
            <w:shd w:val="clear" w:color="auto" w:fill="D9D9D9" w:themeFill="background1" w:themeFillShade="D9"/>
          </w:tcPr>
          <w:p w14:paraId="582CD54F" w14:textId="13AD56A3" w:rsidR="006A4A70" w:rsidRPr="006A4A70" w:rsidRDefault="006A4A70" w:rsidP="006F12E6">
            <w:pPr>
              <w:pStyle w:val="TableText"/>
              <w:jc w:val="right"/>
              <w:rPr>
                <w:b/>
                <w:bCs/>
              </w:rPr>
            </w:pPr>
            <w:r w:rsidRPr="006A4A70">
              <w:rPr>
                <w:b/>
                <w:bCs/>
                <w:w w:val="110"/>
              </w:rPr>
              <w:t>Actual</w:t>
            </w:r>
            <w:r w:rsidRPr="006A4A70">
              <w:rPr>
                <w:b/>
                <w:bCs/>
                <w:w w:val="110"/>
              </w:rPr>
              <w:br/>
            </w:r>
            <w:r w:rsidRPr="006A4A70">
              <w:rPr>
                <w:b/>
                <w:bCs/>
                <w:w w:val="105"/>
              </w:rPr>
              <w:br/>
              <w:t>2022</w:t>
            </w:r>
          </w:p>
          <w:p w14:paraId="4B00149C" w14:textId="77777777" w:rsidR="006A4A70" w:rsidRPr="006A4A70" w:rsidRDefault="006A4A70" w:rsidP="006F12E6">
            <w:pPr>
              <w:pStyle w:val="TableText"/>
              <w:jc w:val="right"/>
              <w:rPr>
                <w:b/>
                <w:bCs/>
              </w:rPr>
            </w:pPr>
            <w:r w:rsidRPr="006A4A70">
              <w:rPr>
                <w:b/>
                <w:bCs/>
                <w:w w:val="120"/>
              </w:rPr>
              <w:t>$000</w:t>
            </w:r>
          </w:p>
        </w:tc>
        <w:tc>
          <w:tcPr>
            <w:tcW w:w="1178" w:type="dxa"/>
            <w:shd w:val="clear" w:color="auto" w:fill="D9D9D9" w:themeFill="background1" w:themeFillShade="D9"/>
          </w:tcPr>
          <w:p w14:paraId="4ED83B9C" w14:textId="1095B6FE" w:rsidR="006A4A70" w:rsidRPr="006A4A70" w:rsidRDefault="006A4A70" w:rsidP="006F12E6">
            <w:pPr>
              <w:pStyle w:val="TableText"/>
              <w:jc w:val="right"/>
              <w:rPr>
                <w:b/>
                <w:bCs/>
              </w:rPr>
            </w:pPr>
            <w:r w:rsidRPr="006A4A70">
              <w:rPr>
                <w:b/>
                <w:bCs/>
                <w:w w:val="110"/>
              </w:rPr>
              <w:t>Unaudited</w:t>
            </w:r>
            <w:r w:rsidRPr="006A4A70">
              <w:rPr>
                <w:b/>
                <w:bCs/>
                <w:w w:val="110"/>
              </w:rPr>
              <w:br/>
              <w:t>budget</w:t>
            </w:r>
            <w:r w:rsidRPr="006A4A70">
              <w:rPr>
                <w:b/>
                <w:bCs/>
                <w:w w:val="110"/>
              </w:rPr>
              <w:br/>
            </w:r>
            <w:r w:rsidRPr="006A4A70">
              <w:rPr>
                <w:b/>
                <w:bCs/>
                <w:w w:val="105"/>
              </w:rPr>
              <w:t>2022</w:t>
            </w:r>
          </w:p>
          <w:p w14:paraId="5873A47D" w14:textId="77777777" w:rsidR="006A4A70" w:rsidRPr="006A4A70" w:rsidRDefault="006A4A70" w:rsidP="006F12E6">
            <w:pPr>
              <w:pStyle w:val="TableText"/>
              <w:jc w:val="right"/>
              <w:rPr>
                <w:b/>
                <w:bCs/>
              </w:rPr>
            </w:pPr>
            <w:r w:rsidRPr="006A4A70">
              <w:rPr>
                <w:b/>
                <w:bCs/>
                <w:w w:val="120"/>
              </w:rPr>
              <w:t>$000</w:t>
            </w:r>
          </w:p>
        </w:tc>
        <w:tc>
          <w:tcPr>
            <w:tcW w:w="1163" w:type="dxa"/>
            <w:shd w:val="clear" w:color="auto" w:fill="D9D9D9" w:themeFill="background1" w:themeFillShade="D9"/>
          </w:tcPr>
          <w:p w14:paraId="5819A50E" w14:textId="5D8A4801" w:rsidR="006A4A70" w:rsidRPr="006A4A70" w:rsidRDefault="006A4A70" w:rsidP="006F12E6">
            <w:pPr>
              <w:pStyle w:val="TableText"/>
              <w:jc w:val="right"/>
              <w:rPr>
                <w:b/>
                <w:bCs/>
              </w:rPr>
            </w:pPr>
            <w:r w:rsidRPr="006A4A70">
              <w:rPr>
                <w:b/>
                <w:bCs/>
                <w:w w:val="105"/>
              </w:rPr>
              <w:t>Revised</w:t>
            </w:r>
            <w:r w:rsidRPr="006A4A70">
              <w:rPr>
                <w:b/>
                <w:bCs/>
                <w:spacing w:val="-50"/>
                <w:w w:val="105"/>
              </w:rPr>
              <w:t xml:space="preserve"> </w:t>
            </w:r>
            <w:r w:rsidRPr="006A4A70">
              <w:rPr>
                <w:b/>
                <w:bCs/>
                <w:w w:val="110"/>
              </w:rPr>
              <w:t>budget</w:t>
            </w:r>
            <w:r w:rsidRPr="006A4A70">
              <w:rPr>
                <w:b/>
                <w:bCs/>
                <w:w w:val="110"/>
              </w:rPr>
              <w:br/>
            </w:r>
            <w:r w:rsidRPr="006A4A70">
              <w:rPr>
                <w:b/>
                <w:bCs/>
                <w:w w:val="105"/>
              </w:rPr>
              <w:t>2022</w:t>
            </w:r>
          </w:p>
          <w:p w14:paraId="6ADDE592" w14:textId="77777777" w:rsidR="006A4A70" w:rsidRPr="006A4A70" w:rsidRDefault="006A4A70" w:rsidP="006F12E6">
            <w:pPr>
              <w:pStyle w:val="TableText"/>
              <w:jc w:val="right"/>
              <w:rPr>
                <w:b/>
                <w:bCs/>
              </w:rPr>
            </w:pPr>
            <w:r w:rsidRPr="006A4A70">
              <w:rPr>
                <w:b/>
                <w:bCs/>
                <w:w w:val="120"/>
              </w:rPr>
              <w:t>$000</w:t>
            </w:r>
          </w:p>
        </w:tc>
      </w:tr>
      <w:tr w:rsidR="006A4A70" w14:paraId="7652DF27" w14:textId="77777777" w:rsidTr="006F12E6">
        <w:trPr>
          <w:trHeight w:val="638"/>
        </w:trPr>
        <w:tc>
          <w:tcPr>
            <w:tcW w:w="1127" w:type="dxa"/>
          </w:tcPr>
          <w:p w14:paraId="5A12EA23" w14:textId="54F453BE" w:rsidR="006A4A70" w:rsidRDefault="006A4A70" w:rsidP="006F12E6">
            <w:pPr>
              <w:pStyle w:val="TableText"/>
              <w:spacing w:before="50" w:after="50"/>
              <w:jc w:val="right"/>
            </w:pPr>
            <w:r>
              <w:t xml:space="preserve">17,467,320  </w:t>
            </w:r>
            <w:r>
              <w:rPr>
                <w:spacing w:val="36"/>
              </w:rPr>
              <w:t xml:space="preserve"> </w:t>
            </w:r>
          </w:p>
        </w:tc>
        <w:tc>
          <w:tcPr>
            <w:tcW w:w="3261" w:type="dxa"/>
          </w:tcPr>
          <w:p w14:paraId="3832948D" w14:textId="136BA159" w:rsidR="006A4A70" w:rsidRDefault="006A4A70" w:rsidP="006F12E6">
            <w:pPr>
              <w:pStyle w:val="TableText"/>
              <w:spacing w:before="50" w:after="50"/>
              <w:ind w:left="113"/>
            </w:pPr>
            <w:r>
              <w:t>Contracted</w:t>
            </w:r>
            <w:r>
              <w:rPr>
                <w:spacing w:val="6"/>
              </w:rPr>
              <w:t xml:space="preserve"> </w:t>
            </w:r>
            <w:r>
              <w:t>services</w:t>
            </w:r>
            <w:r>
              <w:rPr>
                <w:spacing w:val="6"/>
              </w:rPr>
              <w:t xml:space="preserve"> </w:t>
            </w:r>
            <w:r>
              <w:t>funding</w:t>
            </w:r>
            <w:r>
              <w:rPr>
                <w:spacing w:val="6"/>
              </w:rPr>
              <w:t xml:space="preserve"> </w:t>
            </w:r>
            <w:r>
              <w:t>to DHB’s (devolved and non-devolved funding,</w:t>
            </w:r>
            <w:r>
              <w:rPr>
                <w:spacing w:val="17"/>
              </w:rPr>
              <w:t xml:space="preserve"> </w:t>
            </w:r>
            <w:r>
              <w:t>including</w:t>
            </w:r>
            <w:r>
              <w:rPr>
                <w:spacing w:val="18"/>
              </w:rPr>
              <w:t xml:space="preserve"> </w:t>
            </w:r>
            <w:r>
              <w:t>COVID-19</w:t>
            </w:r>
            <w:r>
              <w:rPr>
                <w:spacing w:val="18"/>
              </w:rPr>
              <w:t xml:space="preserve"> </w:t>
            </w:r>
            <w:r>
              <w:t>costs)</w:t>
            </w:r>
          </w:p>
        </w:tc>
        <w:tc>
          <w:tcPr>
            <w:tcW w:w="859" w:type="dxa"/>
          </w:tcPr>
          <w:p w14:paraId="0779BBB2" w14:textId="77777777" w:rsidR="006A4A70" w:rsidRPr="008C677C" w:rsidRDefault="006A4A70" w:rsidP="008C677C">
            <w:pPr>
              <w:pStyle w:val="TableText"/>
            </w:pPr>
            <w:r w:rsidRPr="008C677C">
              <w:t>2.6, 2.10</w:t>
            </w:r>
          </w:p>
        </w:tc>
        <w:tc>
          <w:tcPr>
            <w:tcW w:w="1191" w:type="dxa"/>
          </w:tcPr>
          <w:p w14:paraId="6422404D" w14:textId="77777777" w:rsidR="006A4A70" w:rsidRPr="006F12E6" w:rsidRDefault="006A4A70" w:rsidP="006F12E6">
            <w:pPr>
              <w:pStyle w:val="TableText"/>
              <w:spacing w:before="50" w:after="50"/>
              <w:jc w:val="right"/>
            </w:pPr>
            <w:r w:rsidRPr="006F12E6">
              <w:t>20,261,597</w:t>
            </w:r>
          </w:p>
        </w:tc>
        <w:tc>
          <w:tcPr>
            <w:tcW w:w="1178" w:type="dxa"/>
          </w:tcPr>
          <w:p w14:paraId="1109C35C" w14:textId="77777777" w:rsidR="006A4A70" w:rsidRPr="006F12E6" w:rsidRDefault="006A4A70" w:rsidP="006F12E6">
            <w:pPr>
              <w:pStyle w:val="TableText"/>
              <w:spacing w:before="50" w:after="50"/>
              <w:jc w:val="right"/>
            </w:pPr>
            <w:r w:rsidRPr="006F12E6">
              <w:t>18,755,243</w:t>
            </w:r>
          </w:p>
        </w:tc>
        <w:tc>
          <w:tcPr>
            <w:tcW w:w="1163" w:type="dxa"/>
          </w:tcPr>
          <w:p w14:paraId="3E985DCA" w14:textId="77777777" w:rsidR="006A4A70" w:rsidRPr="006F12E6" w:rsidRDefault="006A4A70" w:rsidP="006F12E6">
            <w:pPr>
              <w:pStyle w:val="TableText"/>
              <w:spacing w:before="50" w:after="50"/>
              <w:jc w:val="right"/>
            </w:pPr>
            <w:r w:rsidRPr="006F12E6">
              <w:t>19,738,711</w:t>
            </w:r>
          </w:p>
        </w:tc>
      </w:tr>
      <w:tr w:rsidR="006A4A70" w14:paraId="3878E844" w14:textId="77777777" w:rsidTr="006F12E6">
        <w:trPr>
          <w:trHeight w:val="451"/>
        </w:trPr>
        <w:tc>
          <w:tcPr>
            <w:tcW w:w="1127" w:type="dxa"/>
          </w:tcPr>
          <w:p w14:paraId="6858EECE" w14:textId="3EC97FD1" w:rsidR="006A4A70" w:rsidRDefault="006A4A70" w:rsidP="006F12E6">
            <w:pPr>
              <w:pStyle w:val="TableText"/>
              <w:spacing w:before="50" w:after="50"/>
              <w:jc w:val="right"/>
            </w:pPr>
            <w:r>
              <w:t xml:space="preserve">34,921   </w:t>
            </w:r>
            <w:r>
              <w:rPr>
                <w:spacing w:val="6"/>
              </w:rPr>
              <w:t xml:space="preserve"> </w:t>
            </w:r>
          </w:p>
        </w:tc>
        <w:tc>
          <w:tcPr>
            <w:tcW w:w="3261" w:type="dxa"/>
          </w:tcPr>
          <w:p w14:paraId="329DE9EF" w14:textId="5969F99F" w:rsidR="006A4A70" w:rsidRDefault="006A4A70" w:rsidP="006F12E6">
            <w:pPr>
              <w:pStyle w:val="TableText"/>
              <w:spacing w:before="50" w:after="50"/>
              <w:ind w:left="113"/>
            </w:pPr>
            <w:r>
              <w:t>Services</w:t>
            </w:r>
            <w:r>
              <w:rPr>
                <w:spacing w:val="11"/>
              </w:rPr>
              <w:t xml:space="preserve"> </w:t>
            </w:r>
            <w:r>
              <w:t>from</w:t>
            </w:r>
            <w:r>
              <w:rPr>
                <w:spacing w:val="12"/>
              </w:rPr>
              <w:t xml:space="preserve"> </w:t>
            </w:r>
            <w:r>
              <w:t>Pharmaceutical Management Agency Limited</w:t>
            </w:r>
          </w:p>
        </w:tc>
        <w:tc>
          <w:tcPr>
            <w:tcW w:w="859" w:type="dxa"/>
          </w:tcPr>
          <w:p w14:paraId="5D537279" w14:textId="77777777" w:rsidR="006A4A70" w:rsidRPr="008C677C" w:rsidRDefault="006A4A70" w:rsidP="008C677C">
            <w:pPr>
              <w:pStyle w:val="TableText"/>
            </w:pPr>
            <w:r w:rsidRPr="008C677C">
              <w:t>2.9</w:t>
            </w:r>
          </w:p>
        </w:tc>
        <w:tc>
          <w:tcPr>
            <w:tcW w:w="1191" w:type="dxa"/>
          </w:tcPr>
          <w:p w14:paraId="020BEA5E" w14:textId="77777777" w:rsidR="006A4A70" w:rsidRPr="006F12E6" w:rsidRDefault="006A4A70" w:rsidP="006F12E6">
            <w:pPr>
              <w:pStyle w:val="TableText"/>
              <w:spacing w:before="50" w:after="50"/>
              <w:jc w:val="right"/>
            </w:pPr>
            <w:r w:rsidRPr="006F12E6">
              <w:t>164,512</w:t>
            </w:r>
          </w:p>
        </w:tc>
        <w:tc>
          <w:tcPr>
            <w:tcW w:w="1178" w:type="dxa"/>
          </w:tcPr>
          <w:p w14:paraId="69685B18" w14:textId="77777777" w:rsidR="006A4A70" w:rsidRPr="006F12E6" w:rsidRDefault="006A4A70" w:rsidP="006F12E6">
            <w:pPr>
              <w:pStyle w:val="TableText"/>
              <w:spacing w:before="50" w:after="50"/>
              <w:jc w:val="right"/>
            </w:pPr>
            <w:r w:rsidRPr="006F12E6">
              <w:t>48,122</w:t>
            </w:r>
          </w:p>
        </w:tc>
        <w:tc>
          <w:tcPr>
            <w:tcW w:w="1163" w:type="dxa"/>
          </w:tcPr>
          <w:p w14:paraId="14DB347A" w14:textId="77777777" w:rsidR="006A4A70" w:rsidRPr="006F12E6" w:rsidRDefault="006A4A70" w:rsidP="006F12E6">
            <w:pPr>
              <w:pStyle w:val="TableText"/>
              <w:spacing w:before="50" w:after="50"/>
              <w:jc w:val="right"/>
            </w:pPr>
            <w:r w:rsidRPr="006F12E6">
              <w:t>163,805</w:t>
            </w:r>
          </w:p>
        </w:tc>
      </w:tr>
      <w:tr w:rsidR="006A4A70" w14:paraId="0E9B74A0" w14:textId="77777777" w:rsidTr="006F12E6">
        <w:trPr>
          <w:trHeight w:val="709"/>
        </w:trPr>
        <w:tc>
          <w:tcPr>
            <w:tcW w:w="1127" w:type="dxa"/>
          </w:tcPr>
          <w:p w14:paraId="20EC9CFC" w14:textId="3FAA7C1A" w:rsidR="006A4A70" w:rsidRDefault="006A4A70" w:rsidP="006F12E6">
            <w:pPr>
              <w:pStyle w:val="TableText"/>
              <w:spacing w:before="50" w:after="50"/>
              <w:jc w:val="right"/>
              <w:rPr>
                <w:w w:val="105"/>
              </w:rPr>
            </w:pPr>
            <w:r>
              <w:rPr>
                <w:w w:val="105"/>
              </w:rPr>
              <w:t xml:space="preserve">26,987 </w:t>
            </w:r>
            <w:r>
              <w:rPr>
                <w:spacing w:val="19"/>
                <w:w w:val="105"/>
              </w:rPr>
              <w:t xml:space="preserve"> </w:t>
            </w:r>
          </w:p>
        </w:tc>
        <w:tc>
          <w:tcPr>
            <w:tcW w:w="3261" w:type="dxa"/>
          </w:tcPr>
          <w:p w14:paraId="1173382C" w14:textId="15605BD0" w:rsidR="006A4A70" w:rsidRDefault="006A4A70" w:rsidP="006F12E6">
            <w:pPr>
              <w:pStyle w:val="TableText"/>
              <w:spacing w:before="50" w:after="50"/>
              <w:ind w:left="113"/>
            </w:pPr>
            <w:r>
              <w:rPr>
                <w:w w:val="105"/>
              </w:rPr>
              <w:t xml:space="preserve">Services from Institute of Environmental Science and Research Limited </w:t>
            </w:r>
          </w:p>
        </w:tc>
        <w:tc>
          <w:tcPr>
            <w:tcW w:w="859" w:type="dxa"/>
          </w:tcPr>
          <w:p w14:paraId="0C3E9DB2" w14:textId="77777777" w:rsidR="006A4A70" w:rsidRPr="008C677C" w:rsidRDefault="006A4A70" w:rsidP="008C677C">
            <w:pPr>
              <w:pStyle w:val="TableText"/>
            </w:pPr>
          </w:p>
        </w:tc>
        <w:tc>
          <w:tcPr>
            <w:tcW w:w="1191" w:type="dxa"/>
          </w:tcPr>
          <w:p w14:paraId="5934617F" w14:textId="77777777" w:rsidR="006A4A70" w:rsidRPr="006F12E6" w:rsidRDefault="006A4A70" w:rsidP="006F12E6">
            <w:pPr>
              <w:pStyle w:val="TableText"/>
              <w:spacing w:before="50" w:after="50"/>
              <w:jc w:val="right"/>
            </w:pPr>
            <w:r w:rsidRPr="006F12E6">
              <w:t>44,923</w:t>
            </w:r>
          </w:p>
        </w:tc>
        <w:tc>
          <w:tcPr>
            <w:tcW w:w="1178" w:type="dxa"/>
          </w:tcPr>
          <w:p w14:paraId="498D28F1" w14:textId="77777777" w:rsidR="006A4A70" w:rsidRPr="006F12E6" w:rsidRDefault="006A4A70" w:rsidP="006F12E6">
            <w:pPr>
              <w:pStyle w:val="TableText"/>
              <w:spacing w:before="50" w:after="50"/>
              <w:jc w:val="right"/>
            </w:pPr>
            <w:r w:rsidRPr="006F12E6">
              <w:t>22,812</w:t>
            </w:r>
          </w:p>
        </w:tc>
        <w:tc>
          <w:tcPr>
            <w:tcW w:w="1163" w:type="dxa"/>
          </w:tcPr>
          <w:p w14:paraId="47687D4B" w14:textId="77777777" w:rsidR="006A4A70" w:rsidRPr="006F12E6" w:rsidRDefault="006A4A70" w:rsidP="006F12E6">
            <w:pPr>
              <w:pStyle w:val="TableText"/>
              <w:spacing w:before="50" w:after="50"/>
              <w:jc w:val="right"/>
            </w:pPr>
            <w:r w:rsidRPr="006F12E6">
              <w:t>39,000</w:t>
            </w:r>
          </w:p>
        </w:tc>
      </w:tr>
      <w:tr w:rsidR="006A4A70" w14:paraId="3CA5EDF6" w14:textId="77777777" w:rsidTr="006F12E6">
        <w:trPr>
          <w:trHeight w:val="598"/>
        </w:trPr>
        <w:tc>
          <w:tcPr>
            <w:tcW w:w="1127" w:type="dxa"/>
          </w:tcPr>
          <w:p w14:paraId="698351E1" w14:textId="0AE2E8F4" w:rsidR="006A4A70" w:rsidRDefault="006A4A70" w:rsidP="006F12E6">
            <w:pPr>
              <w:pStyle w:val="TableText"/>
              <w:spacing w:before="50" w:after="50"/>
              <w:jc w:val="right"/>
              <w:rPr>
                <w:w w:val="105"/>
              </w:rPr>
            </w:pPr>
            <w:r>
              <w:rPr>
                <w:w w:val="105"/>
              </w:rPr>
              <w:t>24,276</w:t>
            </w:r>
          </w:p>
        </w:tc>
        <w:tc>
          <w:tcPr>
            <w:tcW w:w="3261" w:type="dxa"/>
          </w:tcPr>
          <w:p w14:paraId="31D112E1" w14:textId="197A899E" w:rsidR="006A4A70" w:rsidRDefault="006A4A70" w:rsidP="006F12E6">
            <w:pPr>
              <w:pStyle w:val="TableText"/>
              <w:spacing w:before="50" w:after="50"/>
              <w:ind w:left="113"/>
            </w:pPr>
            <w:r>
              <w:rPr>
                <w:w w:val="105"/>
              </w:rPr>
              <w:t>Services</w:t>
            </w:r>
            <w:r>
              <w:rPr>
                <w:spacing w:val="-6"/>
                <w:w w:val="105"/>
              </w:rPr>
              <w:t xml:space="preserve"> </w:t>
            </w:r>
            <w:r>
              <w:rPr>
                <w:w w:val="105"/>
              </w:rPr>
              <w:t>from</w:t>
            </w:r>
            <w:r>
              <w:rPr>
                <w:spacing w:val="-6"/>
                <w:w w:val="105"/>
              </w:rPr>
              <w:t xml:space="preserve"> </w:t>
            </w:r>
            <w:r>
              <w:rPr>
                <w:w w:val="105"/>
              </w:rPr>
              <w:t>Health</w:t>
            </w:r>
            <w:r>
              <w:rPr>
                <w:spacing w:val="-6"/>
                <w:w w:val="105"/>
              </w:rPr>
              <w:t xml:space="preserve"> </w:t>
            </w:r>
            <w:r>
              <w:rPr>
                <w:w w:val="105"/>
              </w:rPr>
              <w:t>Promotion</w:t>
            </w:r>
            <w:r w:rsidR="006F12E6">
              <w:rPr>
                <w:w w:val="105"/>
              </w:rPr>
              <w:t xml:space="preserve"> Agency</w:t>
            </w:r>
          </w:p>
        </w:tc>
        <w:tc>
          <w:tcPr>
            <w:tcW w:w="859" w:type="dxa"/>
          </w:tcPr>
          <w:p w14:paraId="3CCDFD02" w14:textId="77777777" w:rsidR="006A4A70" w:rsidRPr="008C677C" w:rsidRDefault="006A4A70" w:rsidP="008C677C">
            <w:pPr>
              <w:pStyle w:val="TableText"/>
            </w:pPr>
          </w:p>
        </w:tc>
        <w:tc>
          <w:tcPr>
            <w:tcW w:w="1191" w:type="dxa"/>
          </w:tcPr>
          <w:p w14:paraId="7537B4AF" w14:textId="77777777" w:rsidR="006A4A70" w:rsidRDefault="006A4A70" w:rsidP="006F12E6">
            <w:pPr>
              <w:pStyle w:val="TableText"/>
              <w:spacing w:before="50" w:after="50"/>
              <w:jc w:val="right"/>
            </w:pPr>
            <w:r>
              <w:t>19,726</w:t>
            </w:r>
          </w:p>
        </w:tc>
        <w:tc>
          <w:tcPr>
            <w:tcW w:w="1178" w:type="dxa"/>
          </w:tcPr>
          <w:p w14:paraId="3DDA1FFA" w14:textId="77777777" w:rsidR="006A4A70" w:rsidRDefault="006A4A70" w:rsidP="006F12E6">
            <w:pPr>
              <w:pStyle w:val="TableText"/>
              <w:spacing w:before="50" w:after="50"/>
              <w:jc w:val="right"/>
            </w:pPr>
            <w:r>
              <w:t>16,048</w:t>
            </w:r>
          </w:p>
        </w:tc>
        <w:tc>
          <w:tcPr>
            <w:tcW w:w="1163" w:type="dxa"/>
          </w:tcPr>
          <w:p w14:paraId="2D309A8D" w14:textId="77777777" w:rsidR="006A4A70" w:rsidRDefault="006A4A70" w:rsidP="006F12E6">
            <w:pPr>
              <w:pStyle w:val="TableText"/>
              <w:spacing w:before="50" w:after="50"/>
              <w:jc w:val="right"/>
            </w:pPr>
            <w:r>
              <w:t>16,048</w:t>
            </w:r>
          </w:p>
        </w:tc>
      </w:tr>
      <w:tr w:rsidR="006A4A70" w14:paraId="16F01089" w14:textId="77777777" w:rsidTr="006F12E6">
        <w:trPr>
          <w:trHeight w:val="588"/>
        </w:trPr>
        <w:tc>
          <w:tcPr>
            <w:tcW w:w="1127" w:type="dxa"/>
          </w:tcPr>
          <w:p w14:paraId="23CDC824" w14:textId="5DE7C79E" w:rsidR="006A4A70" w:rsidRDefault="006F12E6" w:rsidP="006F12E6">
            <w:pPr>
              <w:pStyle w:val="TableText"/>
              <w:spacing w:before="50" w:after="50"/>
              <w:jc w:val="right"/>
              <w:rPr>
                <w:w w:val="105"/>
              </w:rPr>
            </w:pPr>
            <w:r>
              <w:rPr>
                <w:w w:val="105"/>
              </w:rPr>
              <w:t>14,453</w:t>
            </w:r>
          </w:p>
        </w:tc>
        <w:tc>
          <w:tcPr>
            <w:tcW w:w="3261" w:type="dxa"/>
          </w:tcPr>
          <w:p w14:paraId="44A6CEEF" w14:textId="55CC3A94" w:rsidR="006A4A70" w:rsidRDefault="006A4A70" w:rsidP="006F12E6">
            <w:pPr>
              <w:pStyle w:val="TableText"/>
              <w:spacing w:before="50" w:after="50"/>
              <w:ind w:left="113"/>
            </w:pPr>
            <w:r>
              <w:rPr>
                <w:w w:val="105"/>
              </w:rPr>
              <w:t>Services</w:t>
            </w:r>
            <w:r>
              <w:rPr>
                <w:spacing w:val="-12"/>
                <w:w w:val="105"/>
              </w:rPr>
              <w:t xml:space="preserve"> </w:t>
            </w:r>
            <w:r>
              <w:rPr>
                <w:w w:val="105"/>
              </w:rPr>
              <w:t>from</w:t>
            </w:r>
            <w:r>
              <w:rPr>
                <w:spacing w:val="-12"/>
                <w:w w:val="105"/>
              </w:rPr>
              <w:t xml:space="preserve"> </w:t>
            </w:r>
            <w:r>
              <w:rPr>
                <w:w w:val="105"/>
              </w:rPr>
              <w:t>Health</w:t>
            </w:r>
            <w:r>
              <w:rPr>
                <w:spacing w:val="-12"/>
                <w:w w:val="105"/>
              </w:rPr>
              <w:t xml:space="preserve"> </w:t>
            </w:r>
            <w:r>
              <w:rPr>
                <w:w w:val="105"/>
              </w:rPr>
              <w:t>Quality</w:t>
            </w:r>
            <w:r>
              <w:rPr>
                <w:spacing w:val="-12"/>
                <w:w w:val="105"/>
              </w:rPr>
              <w:t xml:space="preserve"> </w:t>
            </w:r>
            <w:r>
              <w:rPr>
                <w:w w:val="105"/>
              </w:rPr>
              <w:t>and</w:t>
            </w:r>
            <w:r w:rsidR="006F12E6">
              <w:rPr>
                <w:w w:val="105"/>
              </w:rPr>
              <w:t xml:space="preserve"> Safety Commission </w:t>
            </w:r>
          </w:p>
        </w:tc>
        <w:tc>
          <w:tcPr>
            <w:tcW w:w="859" w:type="dxa"/>
          </w:tcPr>
          <w:p w14:paraId="4E5D7520" w14:textId="77777777" w:rsidR="006A4A70" w:rsidRPr="008C677C" w:rsidRDefault="006A4A70" w:rsidP="008C677C">
            <w:pPr>
              <w:pStyle w:val="TableText"/>
            </w:pPr>
          </w:p>
        </w:tc>
        <w:tc>
          <w:tcPr>
            <w:tcW w:w="1191" w:type="dxa"/>
          </w:tcPr>
          <w:p w14:paraId="72631F58" w14:textId="77777777" w:rsidR="006A4A70" w:rsidRDefault="006A4A70" w:rsidP="006F12E6">
            <w:pPr>
              <w:pStyle w:val="TableText"/>
              <w:spacing w:before="50" w:after="50"/>
              <w:jc w:val="right"/>
            </w:pPr>
            <w:r>
              <w:t>14,688</w:t>
            </w:r>
          </w:p>
        </w:tc>
        <w:tc>
          <w:tcPr>
            <w:tcW w:w="1178" w:type="dxa"/>
          </w:tcPr>
          <w:p w14:paraId="5FB66130" w14:textId="77777777" w:rsidR="006A4A70" w:rsidRPr="008C677C" w:rsidRDefault="006A4A70" w:rsidP="008C677C">
            <w:pPr>
              <w:pStyle w:val="TableText"/>
              <w:jc w:val="right"/>
            </w:pPr>
            <w:r w:rsidRPr="008C677C">
              <w:t>16,111</w:t>
            </w:r>
          </w:p>
        </w:tc>
        <w:tc>
          <w:tcPr>
            <w:tcW w:w="1163" w:type="dxa"/>
          </w:tcPr>
          <w:p w14:paraId="72BB4FC4" w14:textId="77777777" w:rsidR="006A4A70" w:rsidRDefault="006A4A70" w:rsidP="006F12E6">
            <w:pPr>
              <w:pStyle w:val="TableText"/>
              <w:spacing w:before="50" w:after="50"/>
              <w:jc w:val="right"/>
            </w:pPr>
            <w:r>
              <w:t>16,084</w:t>
            </w:r>
          </w:p>
        </w:tc>
      </w:tr>
      <w:tr w:rsidR="006A4A70" w14:paraId="7407165A" w14:textId="77777777" w:rsidTr="006F12E6">
        <w:trPr>
          <w:trHeight w:val="588"/>
        </w:trPr>
        <w:tc>
          <w:tcPr>
            <w:tcW w:w="1127" w:type="dxa"/>
          </w:tcPr>
          <w:p w14:paraId="61E6549A" w14:textId="33F2F04E" w:rsidR="006A4A70" w:rsidRDefault="006F12E6" w:rsidP="006F12E6">
            <w:pPr>
              <w:pStyle w:val="TableText"/>
              <w:spacing w:before="50" w:after="50"/>
              <w:jc w:val="right"/>
            </w:pPr>
            <w:r>
              <w:t xml:space="preserve">14,370  </w:t>
            </w:r>
            <w:r>
              <w:rPr>
                <w:spacing w:val="36"/>
              </w:rPr>
              <w:t xml:space="preserve"> </w:t>
            </w:r>
          </w:p>
        </w:tc>
        <w:tc>
          <w:tcPr>
            <w:tcW w:w="3261" w:type="dxa"/>
          </w:tcPr>
          <w:p w14:paraId="12B714D7" w14:textId="74626CCE" w:rsidR="006A4A70" w:rsidRDefault="006A4A70" w:rsidP="006F12E6">
            <w:pPr>
              <w:pStyle w:val="TableText"/>
              <w:spacing w:before="50" w:after="50"/>
              <w:ind w:left="113"/>
            </w:pPr>
            <w:r>
              <w:t>Services</w:t>
            </w:r>
            <w:r>
              <w:rPr>
                <w:spacing w:val="7"/>
              </w:rPr>
              <w:t xml:space="preserve"> </w:t>
            </w:r>
            <w:r>
              <w:t>from</w:t>
            </w:r>
            <w:r>
              <w:rPr>
                <w:spacing w:val="6"/>
              </w:rPr>
              <w:t xml:space="preserve"> </w:t>
            </w:r>
            <w:r>
              <w:t>the</w:t>
            </w:r>
            <w:r>
              <w:rPr>
                <w:spacing w:val="6"/>
              </w:rPr>
              <w:t xml:space="preserve"> </w:t>
            </w:r>
            <w:r>
              <w:t>Health</w:t>
            </w:r>
            <w:r>
              <w:rPr>
                <w:spacing w:val="6"/>
              </w:rPr>
              <w:t xml:space="preserve"> </w:t>
            </w:r>
            <w:r>
              <w:t>and</w:t>
            </w:r>
            <w:r w:rsidR="006F12E6">
              <w:t xml:space="preserve"> Disabilities Commissioner</w:t>
            </w:r>
          </w:p>
        </w:tc>
        <w:tc>
          <w:tcPr>
            <w:tcW w:w="859" w:type="dxa"/>
          </w:tcPr>
          <w:p w14:paraId="14A73102" w14:textId="77777777" w:rsidR="006A4A70" w:rsidRPr="008C677C" w:rsidRDefault="006A4A70" w:rsidP="008C677C">
            <w:pPr>
              <w:pStyle w:val="TableText"/>
            </w:pPr>
          </w:p>
        </w:tc>
        <w:tc>
          <w:tcPr>
            <w:tcW w:w="1191" w:type="dxa"/>
          </w:tcPr>
          <w:p w14:paraId="6D0FD657" w14:textId="77777777" w:rsidR="006A4A70" w:rsidRDefault="006A4A70" w:rsidP="006F12E6">
            <w:pPr>
              <w:pStyle w:val="TableText"/>
              <w:spacing w:before="50" w:after="50"/>
              <w:jc w:val="right"/>
            </w:pPr>
            <w:r>
              <w:t>16,920</w:t>
            </w:r>
          </w:p>
        </w:tc>
        <w:tc>
          <w:tcPr>
            <w:tcW w:w="1178" w:type="dxa"/>
          </w:tcPr>
          <w:p w14:paraId="139EC5CA" w14:textId="77777777" w:rsidR="006A4A70" w:rsidRDefault="006A4A70" w:rsidP="006F12E6">
            <w:pPr>
              <w:pStyle w:val="TableText"/>
              <w:spacing w:before="50" w:after="50"/>
              <w:jc w:val="right"/>
            </w:pPr>
            <w:r>
              <w:t>17,828</w:t>
            </w:r>
          </w:p>
        </w:tc>
        <w:tc>
          <w:tcPr>
            <w:tcW w:w="1163" w:type="dxa"/>
          </w:tcPr>
          <w:p w14:paraId="4D16855D" w14:textId="77777777" w:rsidR="006A4A70" w:rsidRDefault="006A4A70" w:rsidP="006F12E6">
            <w:pPr>
              <w:pStyle w:val="TableText"/>
              <w:spacing w:before="50" w:after="50"/>
              <w:jc w:val="right"/>
            </w:pPr>
            <w:r>
              <w:t>16,270</w:t>
            </w:r>
          </w:p>
        </w:tc>
      </w:tr>
      <w:tr w:rsidR="006A4A70" w14:paraId="3A48B070" w14:textId="77777777" w:rsidTr="006F12E6">
        <w:trPr>
          <w:trHeight w:val="255"/>
        </w:trPr>
        <w:tc>
          <w:tcPr>
            <w:tcW w:w="1127" w:type="dxa"/>
          </w:tcPr>
          <w:p w14:paraId="62F435AC" w14:textId="6974CA7F" w:rsidR="006A4A70" w:rsidRDefault="006F12E6" w:rsidP="006F12E6">
            <w:pPr>
              <w:pStyle w:val="TableText"/>
              <w:spacing w:before="50" w:after="50"/>
              <w:jc w:val="right"/>
              <w:rPr>
                <w:w w:val="105"/>
              </w:rPr>
            </w:pPr>
            <w:r>
              <w:rPr>
                <w:w w:val="105"/>
              </w:rPr>
              <w:t>2,891</w:t>
            </w:r>
          </w:p>
        </w:tc>
        <w:tc>
          <w:tcPr>
            <w:tcW w:w="3261" w:type="dxa"/>
          </w:tcPr>
          <w:p w14:paraId="4EF1652B" w14:textId="5FF8DE4B" w:rsidR="006A4A70" w:rsidRDefault="006A4A70" w:rsidP="006F12E6">
            <w:pPr>
              <w:pStyle w:val="TableText"/>
              <w:spacing w:before="50" w:after="50"/>
              <w:ind w:left="113"/>
            </w:pPr>
            <w:r>
              <w:rPr>
                <w:w w:val="105"/>
              </w:rPr>
              <w:t>Services</w:t>
            </w:r>
            <w:r>
              <w:rPr>
                <w:spacing w:val="-10"/>
                <w:w w:val="105"/>
              </w:rPr>
              <w:t xml:space="preserve"> </w:t>
            </w:r>
            <w:r>
              <w:rPr>
                <w:w w:val="105"/>
              </w:rPr>
              <w:t>from</w:t>
            </w:r>
            <w:r>
              <w:rPr>
                <w:spacing w:val="-10"/>
                <w:w w:val="105"/>
              </w:rPr>
              <w:t xml:space="preserve"> </w:t>
            </w:r>
            <w:r>
              <w:rPr>
                <w:w w:val="105"/>
              </w:rPr>
              <w:t>other</w:t>
            </w:r>
            <w:r>
              <w:rPr>
                <w:spacing w:val="-10"/>
                <w:w w:val="105"/>
              </w:rPr>
              <w:t xml:space="preserve"> </w:t>
            </w:r>
            <w:r>
              <w:rPr>
                <w:w w:val="105"/>
              </w:rPr>
              <w:t>Crown</w:t>
            </w:r>
            <w:r>
              <w:rPr>
                <w:spacing w:val="-9"/>
                <w:w w:val="105"/>
              </w:rPr>
              <w:t xml:space="preserve"> </w:t>
            </w:r>
            <w:r>
              <w:rPr>
                <w:w w:val="105"/>
              </w:rPr>
              <w:t>entities</w:t>
            </w:r>
          </w:p>
        </w:tc>
        <w:tc>
          <w:tcPr>
            <w:tcW w:w="859" w:type="dxa"/>
          </w:tcPr>
          <w:p w14:paraId="1DC300CF" w14:textId="77777777" w:rsidR="006A4A70" w:rsidRPr="008C677C" w:rsidRDefault="006A4A70" w:rsidP="008C677C">
            <w:pPr>
              <w:pStyle w:val="TableText"/>
            </w:pPr>
          </w:p>
        </w:tc>
        <w:tc>
          <w:tcPr>
            <w:tcW w:w="1191" w:type="dxa"/>
          </w:tcPr>
          <w:p w14:paraId="5D02C509" w14:textId="77777777" w:rsidR="006A4A70" w:rsidRDefault="006A4A70" w:rsidP="006F12E6">
            <w:pPr>
              <w:pStyle w:val="TableText"/>
              <w:spacing w:before="50" w:after="50"/>
              <w:jc w:val="right"/>
            </w:pPr>
            <w:r>
              <w:rPr>
                <w:w w:val="105"/>
              </w:rPr>
              <w:t>8,022</w:t>
            </w:r>
          </w:p>
        </w:tc>
        <w:tc>
          <w:tcPr>
            <w:tcW w:w="1178" w:type="dxa"/>
          </w:tcPr>
          <w:p w14:paraId="4E4DE12E" w14:textId="77777777" w:rsidR="006A4A70" w:rsidRDefault="006A4A70" w:rsidP="006F12E6">
            <w:pPr>
              <w:pStyle w:val="TableText"/>
              <w:spacing w:before="50" w:after="50"/>
              <w:jc w:val="right"/>
            </w:pPr>
            <w:r>
              <w:t>15,456</w:t>
            </w:r>
          </w:p>
        </w:tc>
        <w:tc>
          <w:tcPr>
            <w:tcW w:w="1163" w:type="dxa"/>
          </w:tcPr>
          <w:p w14:paraId="1CC485AB" w14:textId="77777777" w:rsidR="006A4A70" w:rsidRDefault="006A4A70" w:rsidP="006F12E6">
            <w:pPr>
              <w:pStyle w:val="TableText"/>
              <w:spacing w:before="50" w:after="50"/>
              <w:jc w:val="right"/>
            </w:pPr>
            <w:r>
              <w:t>15,456</w:t>
            </w:r>
          </w:p>
        </w:tc>
      </w:tr>
      <w:tr w:rsidR="006A4A70" w:rsidRPr="006F12E6" w14:paraId="48F30397" w14:textId="77777777" w:rsidTr="006F12E6">
        <w:trPr>
          <w:trHeight w:val="322"/>
        </w:trPr>
        <w:tc>
          <w:tcPr>
            <w:tcW w:w="1127" w:type="dxa"/>
            <w:tcBorders>
              <w:bottom w:val="single" w:sz="4" w:space="0" w:color="A6A6A6" w:themeColor="background1" w:themeShade="A6"/>
            </w:tcBorders>
          </w:tcPr>
          <w:p w14:paraId="3DA2E919" w14:textId="10ED1EC9" w:rsidR="006A4A70" w:rsidRPr="006F12E6" w:rsidRDefault="006F12E6" w:rsidP="006F12E6">
            <w:pPr>
              <w:pStyle w:val="TableText"/>
              <w:spacing w:before="50" w:after="50"/>
              <w:jc w:val="right"/>
              <w:rPr>
                <w:b/>
                <w:bCs/>
                <w:w w:val="105"/>
              </w:rPr>
            </w:pPr>
            <w:r w:rsidRPr="006F12E6">
              <w:rPr>
                <w:b/>
                <w:bCs/>
                <w:w w:val="105"/>
              </w:rPr>
              <w:t xml:space="preserve">17,585,218  </w:t>
            </w:r>
            <w:r w:rsidRPr="006F12E6">
              <w:rPr>
                <w:b/>
                <w:bCs/>
                <w:spacing w:val="24"/>
                <w:w w:val="105"/>
              </w:rPr>
              <w:t xml:space="preserve"> </w:t>
            </w:r>
          </w:p>
        </w:tc>
        <w:tc>
          <w:tcPr>
            <w:tcW w:w="3261" w:type="dxa"/>
            <w:tcBorders>
              <w:bottom w:val="single" w:sz="4" w:space="0" w:color="A6A6A6" w:themeColor="background1" w:themeShade="A6"/>
            </w:tcBorders>
          </w:tcPr>
          <w:p w14:paraId="11A57ED3" w14:textId="48AC3153" w:rsidR="006A4A70" w:rsidRPr="006F12E6" w:rsidRDefault="006A4A70" w:rsidP="006F12E6">
            <w:pPr>
              <w:pStyle w:val="TableText"/>
              <w:spacing w:before="50" w:after="50"/>
              <w:ind w:left="113"/>
              <w:rPr>
                <w:b/>
                <w:bCs/>
              </w:rPr>
            </w:pPr>
            <w:r w:rsidRPr="006F12E6">
              <w:rPr>
                <w:b/>
                <w:bCs/>
                <w:w w:val="105"/>
              </w:rPr>
              <w:t>Total</w:t>
            </w:r>
            <w:r w:rsidRPr="006F12E6">
              <w:rPr>
                <w:b/>
                <w:bCs/>
                <w:spacing w:val="-4"/>
                <w:w w:val="105"/>
              </w:rPr>
              <w:t xml:space="preserve"> </w:t>
            </w:r>
            <w:r w:rsidRPr="006F12E6">
              <w:rPr>
                <w:b/>
                <w:bCs/>
                <w:w w:val="105"/>
              </w:rPr>
              <w:t>services</w:t>
            </w:r>
            <w:r w:rsidRPr="006F12E6">
              <w:rPr>
                <w:b/>
                <w:bCs/>
                <w:spacing w:val="-5"/>
                <w:w w:val="105"/>
              </w:rPr>
              <w:t xml:space="preserve"> </w:t>
            </w:r>
            <w:r w:rsidRPr="006F12E6">
              <w:rPr>
                <w:b/>
                <w:bCs/>
                <w:w w:val="105"/>
              </w:rPr>
              <w:t>from</w:t>
            </w:r>
            <w:r w:rsidRPr="006F12E6">
              <w:rPr>
                <w:b/>
                <w:bCs/>
                <w:spacing w:val="-4"/>
                <w:w w:val="105"/>
              </w:rPr>
              <w:t xml:space="preserve"> </w:t>
            </w:r>
            <w:r w:rsidRPr="006F12E6">
              <w:rPr>
                <w:b/>
                <w:bCs/>
                <w:w w:val="105"/>
              </w:rPr>
              <w:t>Crown</w:t>
            </w:r>
            <w:r w:rsidRPr="006F12E6">
              <w:rPr>
                <w:b/>
                <w:bCs/>
                <w:spacing w:val="-4"/>
                <w:w w:val="105"/>
              </w:rPr>
              <w:t xml:space="preserve"> </w:t>
            </w:r>
            <w:r w:rsidRPr="006F12E6">
              <w:rPr>
                <w:b/>
                <w:bCs/>
                <w:w w:val="105"/>
              </w:rPr>
              <w:t>Entities</w:t>
            </w:r>
          </w:p>
        </w:tc>
        <w:tc>
          <w:tcPr>
            <w:tcW w:w="859" w:type="dxa"/>
            <w:tcBorders>
              <w:bottom w:val="single" w:sz="4" w:space="0" w:color="A6A6A6" w:themeColor="background1" w:themeShade="A6"/>
            </w:tcBorders>
          </w:tcPr>
          <w:p w14:paraId="14FF18BB" w14:textId="77777777" w:rsidR="006A4A70" w:rsidRPr="008C677C" w:rsidRDefault="006A4A70" w:rsidP="008C677C">
            <w:pPr>
              <w:pStyle w:val="TableText"/>
            </w:pPr>
          </w:p>
        </w:tc>
        <w:tc>
          <w:tcPr>
            <w:tcW w:w="1191" w:type="dxa"/>
            <w:tcBorders>
              <w:bottom w:val="single" w:sz="4" w:space="0" w:color="A6A6A6" w:themeColor="background1" w:themeShade="A6"/>
            </w:tcBorders>
          </w:tcPr>
          <w:p w14:paraId="19647AA1" w14:textId="77777777" w:rsidR="006A4A70" w:rsidRPr="006F12E6" w:rsidRDefault="006A4A70" w:rsidP="006F12E6">
            <w:pPr>
              <w:pStyle w:val="TableText"/>
              <w:spacing w:before="50" w:after="50"/>
              <w:jc w:val="right"/>
              <w:rPr>
                <w:b/>
                <w:bCs/>
              </w:rPr>
            </w:pPr>
            <w:r w:rsidRPr="006F12E6">
              <w:rPr>
                <w:b/>
                <w:bCs/>
                <w:w w:val="110"/>
              </w:rPr>
              <w:t>20,530,388</w:t>
            </w:r>
          </w:p>
        </w:tc>
        <w:tc>
          <w:tcPr>
            <w:tcW w:w="1178" w:type="dxa"/>
            <w:tcBorders>
              <w:bottom w:val="single" w:sz="4" w:space="0" w:color="A6A6A6" w:themeColor="background1" w:themeShade="A6"/>
            </w:tcBorders>
          </w:tcPr>
          <w:p w14:paraId="3EC12AE9" w14:textId="77777777" w:rsidR="006A4A70" w:rsidRPr="006F12E6" w:rsidRDefault="006A4A70" w:rsidP="006F12E6">
            <w:pPr>
              <w:pStyle w:val="TableText"/>
              <w:spacing w:before="50" w:after="50"/>
              <w:jc w:val="right"/>
              <w:rPr>
                <w:b/>
                <w:bCs/>
              </w:rPr>
            </w:pPr>
            <w:r w:rsidRPr="006F12E6">
              <w:rPr>
                <w:b/>
                <w:bCs/>
              </w:rPr>
              <w:t>18,891,620</w:t>
            </w:r>
          </w:p>
        </w:tc>
        <w:tc>
          <w:tcPr>
            <w:tcW w:w="1163" w:type="dxa"/>
            <w:tcBorders>
              <w:bottom w:val="single" w:sz="4" w:space="0" w:color="A6A6A6" w:themeColor="background1" w:themeShade="A6"/>
            </w:tcBorders>
          </w:tcPr>
          <w:p w14:paraId="1397FDDF" w14:textId="77777777" w:rsidR="006A4A70" w:rsidRPr="006F12E6" w:rsidRDefault="006A4A70" w:rsidP="006F12E6">
            <w:pPr>
              <w:pStyle w:val="TableText"/>
              <w:spacing w:before="50" w:after="50"/>
              <w:jc w:val="right"/>
              <w:rPr>
                <w:b/>
                <w:bCs/>
              </w:rPr>
            </w:pPr>
            <w:r w:rsidRPr="006F12E6">
              <w:rPr>
                <w:b/>
                <w:bCs/>
                <w:w w:val="110"/>
              </w:rPr>
              <w:t>20,005,374</w:t>
            </w:r>
          </w:p>
        </w:tc>
      </w:tr>
      <w:tr w:rsidR="006A4A70" w14:paraId="41612B4B" w14:textId="77777777" w:rsidTr="006F12E6">
        <w:trPr>
          <w:trHeight w:val="487"/>
        </w:trPr>
        <w:tc>
          <w:tcPr>
            <w:tcW w:w="1127" w:type="dxa"/>
            <w:tcBorders>
              <w:top w:val="single" w:sz="4" w:space="0" w:color="A6A6A6" w:themeColor="background1" w:themeShade="A6"/>
            </w:tcBorders>
          </w:tcPr>
          <w:p w14:paraId="685F1C49" w14:textId="1753DF02" w:rsidR="006A4A70" w:rsidRDefault="006F12E6" w:rsidP="006F12E6">
            <w:pPr>
              <w:pStyle w:val="TableText"/>
              <w:spacing w:before="50" w:after="50"/>
              <w:jc w:val="right"/>
            </w:pPr>
            <w:r>
              <w:t xml:space="preserve">78,654   </w:t>
            </w:r>
            <w:r>
              <w:rPr>
                <w:spacing w:val="11"/>
              </w:rPr>
              <w:t xml:space="preserve"> </w:t>
            </w:r>
          </w:p>
        </w:tc>
        <w:tc>
          <w:tcPr>
            <w:tcW w:w="3261" w:type="dxa"/>
            <w:tcBorders>
              <w:top w:val="single" w:sz="4" w:space="0" w:color="A6A6A6" w:themeColor="background1" w:themeShade="A6"/>
            </w:tcBorders>
          </w:tcPr>
          <w:p w14:paraId="2DDD9ECF" w14:textId="73749B2F" w:rsidR="006A4A70" w:rsidRDefault="006A4A70" w:rsidP="006F12E6">
            <w:pPr>
              <w:pStyle w:val="TableText"/>
              <w:spacing w:before="50" w:after="50"/>
              <w:ind w:left="113"/>
            </w:pPr>
            <w:r>
              <w:t>Workforce</w:t>
            </w:r>
            <w:r>
              <w:rPr>
                <w:spacing w:val="13"/>
              </w:rPr>
              <w:t xml:space="preserve"> </w:t>
            </w:r>
            <w:r>
              <w:t>training</w:t>
            </w:r>
            <w:r>
              <w:rPr>
                <w:spacing w:val="14"/>
              </w:rPr>
              <w:t xml:space="preserve"> </w:t>
            </w:r>
            <w:r>
              <w:t>and</w:t>
            </w:r>
            <w:r>
              <w:rPr>
                <w:spacing w:val="13"/>
              </w:rPr>
              <w:t xml:space="preserve"> </w:t>
            </w:r>
            <w:r>
              <w:t>development</w:t>
            </w:r>
            <w:r w:rsidR="006F12E6">
              <w:t xml:space="preserve"> services</w:t>
            </w:r>
          </w:p>
        </w:tc>
        <w:tc>
          <w:tcPr>
            <w:tcW w:w="859" w:type="dxa"/>
            <w:tcBorders>
              <w:top w:val="single" w:sz="4" w:space="0" w:color="A6A6A6" w:themeColor="background1" w:themeShade="A6"/>
            </w:tcBorders>
          </w:tcPr>
          <w:p w14:paraId="2A2234B5" w14:textId="77777777" w:rsidR="006A4A70" w:rsidRPr="008C677C" w:rsidRDefault="006A4A70" w:rsidP="008C677C">
            <w:pPr>
              <w:pStyle w:val="TableText"/>
            </w:pPr>
          </w:p>
        </w:tc>
        <w:tc>
          <w:tcPr>
            <w:tcW w:w="1191" w:type="dxa"/>
            <w:tcBorders>
              <w:top w:val="single" w:sz="4" w:space="0" w:color="A6A6A6" w:themeColor="background1" w:themeShade="A6"/>
            </w:tcBorders>
          </w:tcPr>
          <w:p w14:paraId="7D4CBE7F" w14:textId="77777777" w:rsidR="006A4A70" w:rsidRDefault="006A4A70" w:rsidP="006F12E6">
            <w:pPr>
              <w:pStyle w:val="TableText"/>
              <w:spacing w:before="50" w:after="50"/>
              <w:jc w:val="right"/>
            </w:pPr>
            <w:r>
              <w:rPr>
                <w:w w:val="105"/>
              </w:rPr>
              <w:t>90,755</w:t>
            </w:r>
          </w:p>
        </w:tc>
        <w:tc>
          <w:tcPr>
            <w:tcW w:w="1178" w:type="dxa"/>
            <w:tcBorders>
              <w:top w:val="single" w:sz="4" w:space="0" w:color="A6A6A6" w:themeColor="background1" w:themeShade="A6"/>
            </w:tcBorders>
          </w:tcPr>
          <w:p w14:paraId="0434F791" w14:textId="77777777" w:rsidR="006A4A70" w:rsidRDefault="006A4A70" w:rsidP="006F12E6">
            <w:pPr>
              <w:pStyle w:val="TableText"/>
              <w:spacing w:before="50" w:after="50"/>
              <w:jc w:val="right"/>
            </w:pPr>
            <w:r>
              <w:t>117,235</w:t>
            </w:r>
          </w:p>
        </w:tc>
        <w:tc>
          <w:tcPr>
            <w:tcW w:w="1163" w:type="dxa"/>
            <w:tcBorders>
              <w:top w:val="single" w:sz="4" w:space="0" w:color="A6A6A6" w:themeColor="background1" w:themeShade="A6"/>
            </w:tcBorders>
          </w:tcPr>
          <w:p w14:paraId="7F0A18AA" w14:textId="77777777" w:rsidR="006A4A70" w:rsidRDefault="006A4A70" w:rsidP="006F12E6">
            <w:pPr>
              <w:pStyle w:val="TableText"/>
              <w:spacing w:before="50" w:after="50"/>
              <w:jc w:val="right"/>
            </w:pPr>
            <w:r>
              <w:t>106,560</w:t>
            </w:r>
          </w:p>
        </w:tc>
      </w:tr>
      <w:tr w:rsidR="006A4A70" w14:paraId="4A4C8156" w14:textId="77777777" w:rsidTr="006F12E6">
        <w:trPr>
          <w:trHeight w:val="340"/>
        </w:trPr>
        <w:tc>
          <w:tcPr>
            <w:tcW w:w="1127" w:type="dxa"/>
          </w:tcPr>
          <w:p w14:paraId="0A4A6B21" w14:textId="5489DC39" w:rsidR="006A4A70" w:rsidRDefault="006F12E6" w:rsidP="006F12E6">
            <w:pPr>
              <w:pStyle w:val="TableText"/>
              <w:spacing w:before="50" w:after="50"/>
              <w:jc w:val="right"/>
              <w:rPr>
                <w:w w:val="105"/>
              </w:rPr>
            </w:pPr>
            <w:r>
              <w:rPr>
                <w:w w:val="105"/>
              </w:rPr>
              <w:t xml:space="preserve">68,008 </w:t>
            </w:r>
            <w:r>
              <w:rPr>
                <w:spacing w:val="6"/>
                <w:w w:val="105"/>
              </w:rPr>
              <w:t xml:space="preserve"> </w:t>
            </w:r>
          </w:p>
        </w:tc>
        <w:tc>
          <w:tcPr>
            <w:tcW w:w="3261" w:type="dxa"/>
          </w:tcPr>
          <w:p w14:paraId="47C6A7B3" w14:textId="69AAB25F" w:rsidR="006A4A70" w:rsidRDefault="006A4A70" w:rsidP="006F12E6">
            <w:pPr>
              <w:pStyle w:val="TableText"/>
              <w:spacing w:before="50" w:after="50"/>
              <w:ind w:left="113"/>
            </w:pPr>
            <w:r>
              <w:rPr>
                <w:w w:val="105"/>
              </w:rPr>
              <w:t>Mental</w:t>
            </w:r>
            <w:r>
              <w:rPr>
                <w:spacing w:val="-4"/>
                <w:w w:val="105"/>
              </w:rPr>
              <w:t xml:space="preserve"> </w:t>
            </w:r>
            <w:r>
              <w:rPr>
                <w:w w:val="105"/>
              </w:rPr>
              <w:t>health</w:t>
            </w:r>
            <w:r>
              <w:rPr>
                <w:spacing w:val="-4"/>
                <w:w w:val="105"/>
              </w:rPr>
              <w:t xml:space="preserve"> </w:t>
            </w:r>
            <w:r>
              <w:rPr>
                <w:w w:val="105"/>
              </w:rPr>
              <w:t>services</w:t>
            </w:r>
          </w:p>
        </w:tc>
        <w:tc>
          <w:tcPr>
            <w:tcW w:w="859" w:type="dxa"/>
          </w:tcPr>
          <w:p w14:paraId="2B1C547F" w14:textId="77777777" w:rsidR="006A4A70" w:rsidRPr="008C677C" w:rsidRDefault="006A4A70" w:rsidP="008C677C">
            <w:pPr>
              <w:pStyle w:val="TableText"/>
            </w:pPr>
          </w:p>
        </w:tc>
        <w:tc>
          <w:tcPr>
            <w:tcW w:w="1191" w:type="dxa"/>
          </w:tcPr>
          <w:p w14:paraId="78E25723" w14:textId="77777777" w:rsidR="006A4A70" w:rsidRDefault="006A4A70" w:rsidP="006F12E6">
            <w:pPr>
              <w:pStyle w:val="TableText"/>
              <w:spacing w:before="50" w:after="50"/>
              <w:jc w:val="right"/>
            </w:pPr>
            <w:r>
              <w:t>103,593</w:t>
            </w:r>
          </w:p>
        </w:tc>
        <w:tc>
          <w:tcPr>
            <w:tcW w:w="1178" w:type="dxa"/>
          </w:tcPr>
          <w:p w14:paraId="1E35D31A" w14:textId="77777777" w:rsidR="006A4A70" w:rsidRDefault="006A4A70" w:rsidP="006F12E6">
            <w:pPr>
              <w:pStyle w:val="TableText"/>
              <w:spacing w:before="50" w:after="50"/>
              <w:jc w:val="right"/>
            </w:pPr>
            <w:r>
              <w:t>109,345</w:t>
            </w:r>
          </w:p>
        </w:tc>
        <w:tc>
          <w:tcPr>
            <w:tcW w:w="1163" w:type="dxa"/>
          </w:tcPr>
          <w:p w14:paraId="11F049D1" w14:textId="77777777" w:rsidR="006A4A70" w:rsidRPr="008C677C" w:rsidRDefault="006A4A70" w:rsidP="008C677C">
            <w:pPr>
              <w:pStyle w:val="TableText"/>
              <w:jc w:val="right"/>
            </w:pPr>
            <w:r w:rsidRPr="008C677C">
              <w:t>112,891</w:t>
            </w:r>
          </w:p>
        </w:tc>
      </w:tr>
      <w:tr w:rsidR="006A4A70" w14:paraId="6C7A295B" w14:textId="77777777" w:rsidTr="006F12E6">
        <w:trPr>
          <w:trHeight w:val="340"/>
        </w:trPr>
        <w:tc>
          <w:tcPr>
            <w:tcW w:w="1127" w:type="dxa"/>
          </w:tcPr>
          <w:p w14:paraId="6BABC14B" w14:textId="5B278370" w:rsidR="006A4A70" w:rsidRDefault="006F12E6" w:rsidP="006F12E6">
            <w:pPr>
              <w:pStyle w:val="TableText"/>
              <w:spacing w:before="50" w:after="50"/>
              <w:jc w:val="right"/>
            </w:pPr>
            <w:r>
              <w:t xml:space="preserve">1,396,173    </w:t>
            </w:r>
          </w:p>
        </w:tc>
        <w:tc>
          <w:tcPr>
            <w:tcW w:w="3261" w:type="dxa"/>
          </w:tcPr>
          <w:p w14:paraId="740A92BC" w14:textId="2836D8CA" w:rsidR="006A4A70" w:rsidRDefault="006A4A70" w:rsidP="006F12E6">
            <w:pPr>
              <w:pStyle w:val="TableText"/>
              <w:spacing w:before="50" w:after="50"/>
              <w:ind w:left="113"/>
            </w:pPr>
            <w:r>
              <w:t>Disability</w:t>
            </w:r>
            <w:r>
              <w:rPr>
                <w:spacing w:val="10"/>
              </w:rPr>
              <w:t xml:space="preserve"> </w:t>
            </w:r>
            <w:r>
              <w:t>support</w:t>
            </w:r>
            <w:r>
              <w:rPr>
                <w:spacing w:val="10"/>
              </w:rPr>
              <w:t xml:space="preserve"> </w:t>
            </w:r>
            <w:r>
              <w:t>services</w:t>
            </w:r>
          </w:p>
        </w:tc>
        <w:tc>
          <w:tcPr>
            <w:tcW w:w="859" w:type="dxa"/>
          </w:tcPr>
          <w:p w14:paraId="54AC35F9" w14:textId="77777777" w:rsidR="006A4A70" w:rsidRPr="008C677C" w:rsidRDefault="006A4A70" w:rsidP="008C677C">
            <w:pPr>
              <w:pStyle w:val="TableText"/>
            </w:pPr>
          </w:p>
        </w:tc>
        <w:tc>
          <w:tcPr>
            <w:tcW w:w="1191" w:type="dxa"/>
          </w:tcPr>
          <w:p w14:paraId="6D9F7F13" w14:textId="77777777" w:rsidR="006A4A70" w:rsidRDefault="006A4A70" w:rsidP="006F12E6">
            <w:pPr>
              <w:pStyle w:val="TableText"/>
              <w:spacing w:before="50" w:after="50"/>
              <w:jc w:val="right"/>
            </w:pPr>
            <w:r>
              <w:t>1,578,967</w:t>
            </w:r>
          </w:p>
        </w:tc>
        <w:tc>
          <w:tcPr>
            <w:tcW w:w="1178" w:type="dxa"/>
          </w:tcPr>
          <w:p w14:paraId="1ADAF224" w14:textId="77777777" w:rsidR="006A4A70" w:rsidRDefault="006A4A70" w:rsidP="006F12E6">
            <w:pPr>
              <w:pStyle w:val="TableText"/>
              <w:spacing w:before="50" w:after="50"/>
              <w:jc w:val="right"/>
            </w:pPr>
            <w:r>
              <w:t>1,523,804</w:t>
            </w:r>
          </w:p>
        </w:tc>
        <w:tc>
          <w:tcPr>
            <w:tcW w:w="1163" w:type="dxa"/>
          </w:tcPr>
          <w:p w14:paraId="5C881AD4" w14:textId="77777777" w:rsidR="006A4A70" w:rsidRDefault="006A4A70" w:rsidP="006F12E6">
            <w:pPr>
              <w:pStyle w:val="TableText"/>
              <w:spacing w:before="50" w:after="50"/>
              <w:jc w:val="right"/>
            </w:pPr>
            <w:r>
              <w:t>1,567,474</w:t>
            </w:r>
          </w:p>
        </w:tc>
      </w:tr>
      <w:tr w:rsidR="006A4A70" w14:paraId="7559E781" w14:textId="77777777" w:rsidTr="006F12E6">
        <w:trPr>
          <w:trHeight w:val="340"/>
        </w:trPr>
        <w:tc>
          <w:tcPr>
            <w:tcW w:w="1127" w:type="dxa"/>
          </w:tcPr>
          <w:p w14:paraId="60B3D225" w14:textId="7560022E" w:rsidR="006A4A70" w:rsidRDefault="006F12E6" w:rsidP="006F12E6">
            <w:pPr>
              <w:pStyle w:val="TableText"/>
              <w:spacing w:before="50" w:after="50"/>
              <w:jc w:val="right"/>
            </w:pPr>
            <w:r>
              <w:t>211,575</w:t>
            </w:r>
          </w:p>
        </w:tc>
        <w:tc>
          <w:tcPr>
            <w:tcW w:w="3261" w:type="dxa"/>
          </w:tcPr>
          <w:p w14:paraId="259168F1" w14:textId="7F4099D1" w:rsidR="006A4A70" w:rsidRDefault="006A4A70" w:rsidP="006F12E6">
            <w:pPr>
              <w:pStyle w:val="TableText"/>
              <w:spacing w:before="50" w:after="50"/>
              <w:ind w:left="113"/>
            </w:pPr>
            <w:r>
              <w:t>Maternity</w:t>
            </w:r>
            <w:r>
              <w:rPr>
                <w:spacing w:val="-1"/>
              </w:rPr>
              <w:t xml:space="preserve"> </w:t>
            </w:r>
            <w:r>
              <w:t>services</w:t>
            </w:r>
          </w:p>
        </w:tc>
        <w:tc>
          <w:tcPr>
            <w:tcW w:w="859" w:type="dxa"/>
          </w:tcPr>
          <w:p w14:paraId="5673BA25" w14:textId="77777777" w:rsidR="006A4A70" w:rsidRPr="008C677C" w:rsidRDefault="006A4A70" w:rsidP="008C677C">
            <w:pPr>
              <w:pStyle w:val="TableText"/>
            </w:pPr>
          </w:p>
        </w:tc>
        <w:tc>
          <w:tcPr>
            <w:tcW w:w="1191" w:type="dxa"/>
          </w:tcPr>
          <w:p w14:paraId="30B8FA0E" w14:textId="77777777" w:rsidR="006A4A70" w:rsidRDefault="006A4A70" w:rsidP="006F12E6">
            <w:pPr>
              <w:pStyle w:val="TableText"/>
              <w:spacing w:before="50" w:after="50"/>
              <w:jc w:val="right"/>
            </w:pPr>
            <w:r>
              <w:rPr>
                <w:w w:val="105"/>
              </w:rPr>
              <w:t>228,978</w:t>
            </w:r>
          </w:p>
        </w:tc>
        <w:tc>
          <w:tcPr>
            <w:tcW w:w="1178" w:type="dxa"/>
          </w:tcPr>
          <w:p w14:paraId="435DB20B" w14:textId="77777777" w:rsidR="006A4A70" w:rsidRDefault="006A4A70" w:rsidP="006F12E6">
            <w:pPr>
              <w:pStyle w:val="TableText"/>
              <w:spacing w:before="50" w:after="50"/>
              <w:jc w:val="right"/>
            </w:pPr>
            <w:r>
              <w:rPr>
                <w:w w:val="105"/>
              </w:rPr>
              <w:t>247,578</w:t>
            </w:r>
          </w:p>
        </w:tc>
        <w:tc>
          <w:tcPr>
            <w:tcW w:w="1163" w:type="dxa"/>
          </w:tcPr>
          <w:p w14:paraId="7C842A5B" w14:textId="77777777" w:rsidR="006A4A70" w:rsidRDefault="006A4A70" w:rsidP="006F12E6">
            <w:pPr>
              <w:pStyle w:val="TableText"/>
              <w:spacing w:before="50" w:after="50"/>
              <w:jc w:val="right"/>
            </w:pPr>
            <w:r>
              <w:rPr>
                <w:w w:val="110"/>
              </w:rPr>
              <w:t>245,903</w:t>
            </w:r>
          </w:p>
        </w:tc>
      </w:tr>
      <w:tr w:rsidR="006A4A70" w14:paraId="67257AB2" w14:textId="77777777" w:rsidTr="006F12E6">
        <w:trPr>
          <w:trHeight w:val="340"/>
        </w:trPr>
        <w:tc>
          <w:tcPr>
            <w:tcW w:w="1127" w:type="dxa"/>
          </w:tcPr>
          <w:p w14:paraId="0CAA248B" w14:textId="7522969B" w:rsidR="006A4A70" w:rsidRDefault="006F12E6" w:rsidP="006F12E6">
            <w:pPr>
              <w:pStyle w:val="TableText"/>
              <w:spacing w:before="50" w:after="50"/>
              <w:jc w:val="right"/>
            </w:pPr>
            <w:r>
              <w:t>167,643</w:t>
            </w:r>
          </w:p>
        </w:tc>
        <w:tc>
          <w:tcPr>
            <w:tcW w:w="3261" w:type="dxa"/>
          </w:tcPr>
          <w:p w14:paraId="15134936" w14:textId="4F792238" w:rsidR="006A4A70" w:rsidRDefault="006A4A70" w:rsidP="006F12E6">
            <w:pPr>
              <w:pStyle w:val="TableText"/>
              <w:spacing w:before="50" w:after="50"/>
              <w:ind w:left="113"/>
            </w:pPr>
            <w:r>
              <w:t>COVID-19</w:t>
            </w:r>
            <w:r>
              <w:rPr>
                <w:spacing w:val="1"/>
              </w:rPr>
              <w:t xml:space="preserve"> </w:t>
            </w:r>
            <w:r>
              <w:t>activities</w:t>
            </w:r>
          </w:p>
        </w:tc>
        <w:tc>
          <w:tcPr>
            <w:tcW w:w="859" w:type="dxa"/>
          </w:tcPr>
          <w:p w14:paraId="1FEC4E26" w14:textId="77777777" w:rsidR="006A4A70" w:rsidRPr="008C677C" w:rsidRDefault="006A4A70" w:rsidP="008C677C">
            <w:pPr>
              <w:pStyle w:val="TableText"/>
            </w:pPr>
            <w:r w:rsidRPr="008C677C">
              <w:t>2.9, 2.10</w:t>
            </w:r>
          </w:p>
        </w:tc>
        <w:tc>
          <w:tcPr>
            <w:tcW w:w="1191" w:type="dxa"/>
          </w:tcPr>
          <w:p w14:paraId="477EBDC1" w14:textId="77777777" w:rsidR="006A4A70" w:rsidRDefault="006A4A70" w:rsidP="006F12E6">
            <w:pPr>
              <w:pStyle w:val="TableText"/>
              <w:spacing w:before="50" w:after="50"/>
              <w:jc w:val="right"/>
            </w:pPr>
            <w:r>
              <w:t>1,818,027</w:t>
            </w:r>
          </w:p>
        </w:tc>
        <w:tc>
          <w:tcPr>
            <w:tcW w:w="1178" w:type="dxa"/>
          </w:tcPr>
          <w:p w14:paraId="6442668F" w14:textId="77777777" w:rsidR="006A4A70" w:rsidRDefault="006A4A70" w:rsidP="006F12E6">
            <w:pPr>
              <w:pStyle w:val="TableText"/>
              <w:spacing w:before="50" w:after="50"/>
              <w:jc w:val="right"/>
            </w:pPr>
            <w:r>
              <w:rPr>
                <w:w w:val="105"/>
              </w:rPr>
              <w:t>765,435</w:t>
            </w:r>
          </w:p>
        </w:tc>
        <w:tc>
          <w:tcPr>
            <w:tcW w:w="1163" w:type="dxa"/>
          </w:tcPr>
          <w:p w14:paraId="626566CC" w14:textId="77777777" w:rsidR="006A4A70" w:rsidRDefault="006A4A70" w:rsidP="006F12E6">
            <w:pPr>
              <w:pStyle w:val="TableText"/>
              <w:spacing w:before="50" w:after="50"/>
              <w:jc w:val="right"/>
            </w:pPr>
            <w:r>
              <w:rPr>
                <w:w w:val="105"/>
              </w:rPr>
              <w:t>4,503,589</w:t>
            </w:r>
          </w:p>
        </w:tc>
      </w:tr>
      <w:tr w:rsidR="006A4A70" w14:paraId="7F9FE284" w14:textId="77777777" w:rsidTr="006F12E6">
        <w:trPr>
          <w:trHeight w:val="340"/>
        </w:trPr>
        <w:tc>
          <w:tcPr>
            <w:tcW w:w="1127" w:type="dxa"/>
          </w:tcPr>
          <w:p w14:paraId="59CB3A2E" w14:textId="15423537" w:rsidR="006A4A70" w:rsidRDefault="006F12E6" w:rsidP="006F12E6">
            <w:pPr>
              <w:pStyle w:val="TableText"/>
              <w:spacing w:before="50" w:after="50"/>
              <w:jc w:val="right"/>
              <w:rPr>
                <w:w w:val="105"/>
              </w:rPr>
            </w:pPr>
            <w:r>
              <w:rPr>
                <w:w w:val="105"/>
              </w:rPr>
              <w:t xml:space="preserve">758,091 </w:t>
            </w:r>
            <w:r>
              <w:rPr>
                <w:spacing w:val="1"/>
                <w:w w:val="105"/>
              </w:rPr>
              <w:t xml:space="preserve"> </w:t>
            </w:r>
          </w:p>
        </w:tc>
        <w:tc>
          <w:tcPr>
            <w:tcW w:w="3261" w:type="dxa"/>
          </w:tcPr>
          <w:p w14:paraId="23E0EFA8" w14:textId="043C3822" w:rsidR="006A4A70" w:rsidRDefault="006A4A70" w:rsidP="006F12E6">
            <w:pPr>
              <w:pStyle w:val="TableText"/>
              <w:spacing w:before="50" w:after="50"/>
              <w:ind w:left="113"/>
            </w:pPr>
            <w:r>
              <w:rPr>
                <w:w w:val="105"/>
              </w:rPr>
              <w:t>Other</w:t>
            </w:r>
            <w:r>
              <w:rPr>
                <w:spacing w:val="-6"/>
                <w:w w:val="105"/>
              </w:rPr>
              <w:t xml:space="preserve"> </w:t>
            </w:r>
            <w:r>
              <w:rPr>
                <w:w w:val="105"/>
              </w:rPr>
              <w:t>services</w:t>
            </w:r>
            <w:r>
              <w:rPr>
                <w:spacing w:val="-5"/>
                <w:w w:val="105"/>
              </w:rPr>
              <w:t xml:space="preserve"> </w:t>
            </w:r>
            <w:r>
              <w:rPr>
                <w:w w:val="105"/>
              </w:rPr>
              <w:t>from</w:t>
            </w:r>
            <w:r>
              <w:rPr>
                <w:spacing w:val="-5"/>
                <w:w w:val="105"/>
              </w:rPr>
              <w:t xml:space="preserve"> </w:t>
            </w:r>
            <w:r>
              <w:rPr>
                <w:w w:val="105"/>
              </w:rPr>
              <w:t>third</w:t>
            </w:r>
            <w:r>
              <w:rPr>
                <w:spacing w:val="-6"/>
                <w:w w:val="105"/>
              </w:rPr>
              <w:t xml:space="preserve"> </w:t>
            </w:r>
            <w:r>
              <w:rPr>
                <w:w w:val="105"/>
              </w:rPr>
              <w:t>parties</w:t>
            </w:r>
          </w:p>
        </w:tc>
        <w:tc>
          <w:tcPr>
            <w:tcW w:w="859" w:type="dxa"/>
          </w:tcPr>
          <w:p w14:paraId="0756D694" w14:textId="77777777" w:rsidR="006A4A70" w:rsidRDefault="006A4A70" w:rsidP="006F12E6">
            <w:pPr>
              <w:pStyle w:val="TableText"/>
              <w:spacing w:before="50" w:after="50"/>
              <w:rPr>
                <w:rFonts w:ascii="Times New Roman"/>
              </w:rPr>
            </w:pPr>
          </w:p>
        </w:tc>
        <w:tc>
          <w:tcPr>
            <w:tcW w:w="1191" w:type="dxa"/>
          </w:tcPr>
          <w:p w14:paraId="29729760" w14:textId="77777777" w:rsidR="006A4A70" w:rsidRDefault="006A4A70" w:rsidP="006F12E6">
            <w:pPr>
              <w:pStyle w:val="TableText"/>
              <w:spacing w:before="50" w:after="50"/>
              <w:jc w:val="right"/>
            </w:pPr>
            <w:r>
              <w:rPr>
                <w:w w:val="105"/>
              </w:rPr>
              <w:t>576,343</w:t>
            </w:r>
          </w:p>
        </w:tc>
        <w:tc>
          <w:tcPr>
            <w:tcW w:w="1178" w:type="dxa"/>
          </w:tcPr>
          <w:p w14:paraId="2C260CC7" w14:textId="77777777" w:rsidR="006A4A70" w:rsidRDefault="006A4A70" w:rsidP="006F12E6">
            <w:pPr>
              <w:pStyle w:val="TableText"/>
              <w:spacing w:before="50" w:after="50"/>
              <w:jc w:val="right"/>
            </w:pPr>
            <w:r>
              <w:t>666,271</w:t>
            </w:r>
          </w:p>
        </w:tc>
        <w:tc>
          <w:tcPr>
            <w:tcW w:w="1163" w:type="dxa"/>
          </w:tcPr>
          <w:p w14:paraId="4AC4EC09" w14:textId="77777777" w:rsidR="006A4A70" w:rsidRDefault="006A4A70" w:rsidP="006F12E6">
            <w:pPr>
              <w:pStyle w:val="TableText"/>
              <w:spacing w:before="50" w:after="50"/>
              <w:jc w:val="right"/>
            </w:pPr>
            <w:r>
              <w:rPr>
                <w:w w:val="110"/>
              </w:rPr>
              <w:t>696,966</w:t>
            </w:r>
          </w:p>
        </w:tc>
      </w:tr>
      <w:tr w:rsidR="006A4A70" w14:paraId="65E7C23B" w14:textId="77777777" w:rsidTr="006F12E6">
        <w:trPr>
          <w:trHeight w:val="340"/>
        </w:trPr>
        <w:tc>
          <w:tcPr>
            <w:tcW w:w="1127" w:type="dxa"/>
          </w:tcPr>
          <w:p w14:paraId="32CFE145" w14:textId="5E010862" w:rsidR="006A4A70" w:rsidRDefault="006F12E6" w:rsidP="006F12E6">
            <w:pPr>
              <w:pStyle w:val="TableText"/>
              <w:spacing w:before="50" w:after="50"/>
              <w:jc w:val="right"/>
            </w:pPr>
            <w:r>
              <w:t>56,391</w:t>
            </w:r>
          </w:p>
        </w:tc>
        <w:tc>
          <w:tcPr>
            <w:tcW w:w="3261" w:type="dxa"/>
          </w:tcPr>
          <w:p w14:paraId="33C1EC92" w14:textId="615A3DC8" w:rsidR="006A4A70" w:rsidRDefault="006A4A70" w:rsidP="006F12E6">
            <w:pPr>
              <w:pStyle w:val="TableText"/>
              <w:spacing w:before="50" w:after="50"/>
              <w:ind w:left="113"/>
            </w:pPr>
            <w:r>
              <w:t>Impairment</w:t>
            </w:r>
            <w:r>
              <w:rPr>
                <w:spacing w:val="5"/>
              </w:rPr>
              <w:t xml:space="preserve"> </w:t>
            </w:r>
            <w:r>
              <w:t>of</w:t>
            </w:r>
            <w:r>
              <w:rPr>
                <w:spacing w:val="6"/>
              </w:rPr>
              <w:t xml:space="preserve"> </w:t>
            </w:r>
            <w:r>
              <w:t>inventory</w:t>
            </w:r>
            <w:r>
              <w:rPr>
                <w:spacing w:val="6"/>
              </w:rPr>
              <w:t xml:space="preserve"> </w:t>
            </w:r>
            <w:r>
              <w:t>(note</w:t>
            </w:r>
            <w:r>
              <w:rPr>
                <w:spacing w:val="6"/>
              </w:rPr>
              <w:t xml:space="preserve"> </w:t>
            </w:r>
            <w:r>
              <w:t>2.1)</w:t>
            </w:r>
          </w:p>
        </w:tc>
        <w:tc>
          <w:tcPr>
            <w:tcW w:w="859" w:type="dxa"/>
          </w:tcPr>
          <w:p w14:paraId="319D7861" w14:textId="77777777" w:rsidR="006A4A70" w:rsidRDefault="006A4A70" w:rsidP="006F12E6">
            <w:pPr>
              <w:pStyle w:val="TableText"/>
              <w:spacing w:before="50" w:after="50"/>
              <w:rPr>
                <w:rFonts w:ascii="Times New Roman"/>
              </w:rPr>
            </w:pPr>
          </w:p>
        </w:tc>
        <w:tc>
          <w:tcPr>
            <w:tcW w:w="1191" w:type="dxa"/>
          </w:tcPr>
          <w:p w14:paraId="011FE4D4" w14:textId="77777777" w:rsidR="006A4A70" w:rsidRDefault="006A4A70" w:rsidP="006F12E6">
            <w:pPr>
              <w:pStyle w:val="TableText"/>
              <w:spacing w:before="50" w:after="50"/>
              <w:jc w:val="right"/>
            </w:pPr>
            <w:r>
              <w:t>15,538</w:t>
            </w:r>
          </w:p>
        </w:tc>
        <w:tc>
          <w:tcPr>
            <w:tcW w:w="1178" w:type="dxa"/>
          </w:tcPr>
          <w:p w14:paraId="3F9A4659" w14:textId="77777777" w:rsidR="006A4A70" w:rsidRDefault="006A4A70" w:rsidP="006F12E6">
            <w:pPr>
              <w:pStyle w:val="TableText"/>
              <w:spacing w:before="50" w:after="50"/>
              <w:jc w:val="right"/>
            </w:pPr>
            <w:r>
              <w:rPr>
                <w:w w:val="135"/>
              </w:rPr>
              <w:t>–</w:t>
            </w:r>
          </w:p>
        </w:tc>
        <w:tc>
          <w:tcPr>
            <w:tcW w:w="1163" w:type="dxa"/>
          </w:tcPr>
          <w:p w14:paraId="1C899A0E" w14:textId="77777777" w:rsidR="006A4A70" w:rsidRDefault="006A4A70" w:rsidP="006F12E6">
            <w:pPr>
              <w:pStyle w:val="TableText"/>
              <w:spacing w:before="50" w:after="50"/>
              <w:jc w:val="right"/>
            </w:pPr>
            <w:r>
              <w:rPr>
                <w:w w:val="135"/>
              </w:rPr>
              <w:t>–</w:t>
            </w:r>
          </w:p>
        </w:tc>
      </w:tr>
      <w:tr w:rsidR="006A4A70" w:rsidRPr="006F12E6" w14:paraId="3A126BF4" w14:textId="77777777" w:rsidTr="006F12E6">
        <w:trPr>
          <w:trHeight w:val="340"/>
        </w:trPr>
        <w:tc>
          <w:tcPr>
            <w:tcW w:w="1127" w:type="dxa"/>
            <w:tcBorders>
              <w:bottom w:val="single" w:sz="4" w:space="0" w:color="A6A6A6" w:themeColor="background1" w:themeShade="A6"/>
            </w:tcBorders>
          </w:tcPr>
          <w:p w14:paraId="2166EB13" w14:textId="4FC26DD9" w:rsidR="006A4A70" w:rsidRPr="006F12E6" w:rsidRDefault="006F12E6" w:rsidP="006F12E6">
            <w:pPr>
              <w:pStyle w:val="TableText"/>
              <w:spacing w:before="50" w:after="50"/>
              <w:jc w:val="right"/>
              <w:rPr>
                <w:b/>
                <w:bCs/>
                <w:w w:val="105"/>
              </w:rPr>
            </w:pPr>
            <w:r w:rsidRPr="006F12E6">
              <w:rPr>
                <w:b/>
                <w:bCs/>
                <w:w w:val="105"/>
              </w:rPr>
              <w:t xml:space="preserve">2,736,535   </w:t>
            </w:r>
            <w:r w:rsidRPr="006F12E6">
              <w:rPr>
                <w:b/>
                <w:bCs/>
                <w:spacing w:val="8"/>
                <w:w w:val="105"/>
              </w:rPr>
              <w:t xml:space="preserve"> </w:t>
            </w:r>
          </w:p>
        </w:tc>
        <w:tc>
          <w:tcPr>
            <w:tcW w:w="3261" w:type="dxa"/>
            <w:tcBorders>
              <w:bottom w:val="single" w:sz="4" w:space="0" w:color="A6A6A6" w:themeColor="background1" w:themeShade="A6"/>
            </w:tcBorders>
          </w:tcPr>
          <w:p w14:paraId="071345A7" w14:textId="65A03FF4" w:rsidR="006A4A70" w:rsidRPr="006F12E6" w:rsidRDefault="006A4A70" w:rsidP="006F12E6">
            <w:pPr>
              <w:pStyle w:val="TableText"/>
              <w:spacing w:before="50" w:after="50"/>
              <w:ind w:left="113"/>
              <w:rPr>
                <w:b/>
                <w:bCs/>
              </w:rPr>
            </w:pPr>
            <w:r w:rsidRPr="006F12E6">
              <w:rPr>
                <w:b/>
                <w:bCs/>
                <w:w w:val="105"/>
              </w:rPr>
              <w:t>Total</w:t>
            </w:r>
            <w:r w:rsidRPr="006F12E6">
              <w:rPr>
                <w:b/>
                <w:bCs/>
                <w:spacing w:val="6"/>
                <w:w w:val="105"/>
              </w:rPr>
              <w:t xml:space="preserve"> </w:t>
            </w:r>
            <w:r w:rsidRPr="006F12E6">
              <w:rPr>
                <w:b/>
                <w:bCs/>
                <w:w w:val="105"/>
              </w:rPr>
              <w:t>services</w:t>
            </w:r>
            <w:r w:rsidRPr="006F12E6">
              <w:rPr>
                <w:b/>
                <w:bCs/>
                <w:spacing w:val="5"/>
                <w:w w:val="105"/>
              </w:rPr>
              <w:t xml:space="preserve"> </w:t>
            </w:r>
            <w:r w:rsidRPr="006F12E6">
              <w:rPr>
                <w:b/>
                <w:bCs/>
                <w:w w:val="105"/>
              </w:rPr>
              <w:t>from</w:t>
            </w:r>
            <w:r w:rsidRPr="006F12E6">
              <w:rPr>
                <w:b/>
                <w:bCs/>
                <w:spacing w:val="6"/>
                <w:w w:val="105"/>
              </w:rPr>
              <w:t xml:space="preserve"> </w:t>
            </w:r>
            <w:r w:rsidRPr="006F12E6">
              <w:rPr>
                <w:b/>
                <w:bCs/>
                <w:w w:val="105"/>
              </w:rPr>
              <w:t>third</w:t>
            </w:r>
            <w:r w:rsidRPr="006F12E6">
              <w:rPr>
                <w:b/>
                <w:bCs/>
                <w:spacing w:val="6"/>
                <w:w w:val="105"/>
              </w:rPr>
              <w:t xml:space="preserve"> </w:t>
            </w:r>
            <w:r w:rsidRPr="006F12E6">
              <w:rPr>
                <w:b/>
                <w:bCs/>
                <w:w w:val="105"/>
              </w:rPr>
              <w:t>parties</w:t>
            </w:r>
          </w:p>
        </w:tc>
        <w:tc>
          <w:tcPr>
            <w:tcW w:w="859" w:type="dxa"/>
            <w:tcBorders>
              <w:bottom w:val="single" w:sz="4" w:space="0" w:color="A6A6A6" w:themeColor="background1" w:themeShade="A6"/>
            </w:tcBorders>
          </w:tcPr>
          <w:p w14:paraId="0963C095" w14:textId="77777777" w:rsidR="006A4A70" w:rsidRPr="006F12E6" w:rsidRDefault="006A4A70" w:rsidP="006F12E6">
            <w:pPr>
              <w:pStyle w:val="TableText"/>
              <w:spacing w:before="50" w:after="50"/>
              <w:rPr>
                <w:rFonts w:ascii="Times New Roman"/>
                <w:b/>
                <w:bCs/>
              </w:rPr>
            </w:pPr>
          </w:p>
        </w:tc>
        <w:tc>
          <w:tcPr>
            <w:tcW w:w="1191" w:type="dxa"/>
            <w:tcBorders>
              <w:bottom w:val="single" w:sz="4" w:space="0" w:color="A6A6A6" w:themeColor="background1" w:themeShade="A6"/>
            </w:tcBorders>
          </w:tcPr>
          <w:p w14:paraId="52DFCE59" w14:textId="77777777" w:rsidR="006A4A70" w:rsidRPr="006F12E6" w:rsidRDefault="006A4A70" w:rsidP="006F12E6">
            <w:pPr>
              <w:pStyle w:val="TableText"/>
              <w:spacing w:before="50" w:after="50"/>
              <w:jc w:val="right"/>
              <w:rPr>
                <w:b/>
                <w:bCs/>
              </w:rPr>
            </w:pPr>
            <w:r w:rsidRPr="006F12E6">
              <w:rPr>
                <w:b/>
                <w:bCs/>
              </w:rPr>
              <w:t>4,412,201</w:t>
            </w:r>
          </w:p>
        </w:tc>
        <w:tc>
          <w:tcPr>
            <w:tcW w:w="1178" w:type="dxa"/>
            <w:tcBorders>
              <w:bottom w:val="single" w:sz="4" w:space="0" w:color="A6A6A6" w:themeColor="background1" w:themeShade="A6"/>
            </w:tcBorders>
          </w:tcPr>
          <w:p w14:paraId="6EFC0B57" w14:textId="77777777" w:rsidR="006A4A70" w:rsidRPr="006F12E6" w:rsidRDefault="006A4A70" w:rsidP="006F12E6">
            <w:pPr>
              <w:pStyle w:val="TableText"/>
              <w:spacing w:before="50" w:after="50"/>
              <w:jc w:val="right"/>
              <w:rPr>
                <w:b/>
                <w:bCs/>
              </w:rPr>
            </w:pPr>
            <w:r w:rsidRPr="006F12E6">
              <w:rPr>
                <w:b/>
                <w:bCs/>
                <w:w w:val="110"/>
              </w:rPr>
              <w:t>3,429,668</w:t>
            </w:r>
          </w:p>
        </w:tc>
        <w:tc>
          <w:tcPr>
            <w:tcW w:w="1163" w:type="dxa"/>
            <w:tcBorders>
              <w:bottom w:val="single" w:sz="4" w:space="0" w:color="A6A6A6" w:themeColor="background1" w:themeShade="A6"/>
            </w:tcBorders>
          </w:tcPr>
          <w:p w14:paraId="564BEEBB" w14:textId="77777777" w:rsidR="006A4A70" w:rsidRPr="006F12E6" w:rsidRDefault="006A4A70" w:rsidP="006F12E6">
            <w:pPr>
              <w:pStyle w:val="TableText"/>
              <w:spacing w:before="50" w:after="50"/>
              <w:jc w:val="right"/>
              <w:rPr>
                <w:b/>
                <w:bCs/>
              </w:rPr>
            </w:pPr>
            <w:r w:rsidRPr="006F12E6">
              <w:rPr>
                <w:b/>
                <w:bCs/>
                <w:w w:val="105"/>
              </w:rPr>
              <w:t>7,233,383</w:t>
            </w:r>
          </w:p>
        </w:tc>
      </w:tr>
      <w:tr w:rsidR="006A4A70" w14:paraId="6876C680" w14:textId="77777777" w:rsidTr="006F12E6">
        <w:trPr>
          <w:trHeight w:val="369"/>
        </w:trPr>
        <w:tc>
          <w:tcPr>
            <w:tcW w:w="1127" w:type="dxa"/>
            <w:tcBorders>
              <w:top w:val="single" w:sz="4" w:space="0" w:color="A6A6A6" w:themeColor="background1" w:themeShade="A6"/>
            </w:tcBorders>
          </w:tcPr>
          <w:p w14:paraId="4D3D8737" w14:textId="0F705C65" w:rsidR="006A4A70" w:rsidRPr="006F12E6" w:rsidRDefault="006F12E6" w:rsidP="006F12E6">
            <w:pPr>
              <w:pStyle w:val="TableText"/>
              <w:spacing w:before="50" w:after="50"/>
              <w:jc w:val="right"/>
              <w:rPr>
                <w:b/>
                <w:bCs/>
                <w:w w:val="105"/>
              </w:rPr>
            </w:pPr>
            <w:r w:rsidRPr="006F12E6">
              <w:rPr>
                <w:b/>
                <w:bCs/>
                <w:w w:val="105"/>
              </w:rPr>
              <w:t xml:space="preserve">20,321,753 </w:t>
            </w:r>
            <w:r w:rsidRPr="006F12E6">
              <w:rPr>
                <w:b/>
                <w:bCs/>
                <w:spacing w:val="6"/>
                <w:w w:val="105"/>
              </w:rPr>
              <w:t xml:space="preserve"> </w:t>
            </w:r>
          </w:p>
        </w:tc>
        <w:tc>
          <w:tcPr>
            <w:tcW w:w="3261" w:type="dxa"/>
            <w:tcBorders>
              <w:top w:val="single" w:sz="4" w:space="0" w:color="A6A6A6" w:themeColor="background1" w:themeShade="A6"/>
            </w:tcBorders>
          </w:tcPr>
          <w:p w14:paraId="6FC43852" w14:textId="62A92EAC" w:rsidR="006A4A70" w:rsidRPr="006F12E6" w:rsidRDefault="006A4A70" w:rsidP="006F12E6">
            <w:pPr>
              <w:pStyle w:val="TableText"/>
              <w:spacing w:before="50" w:after="50"/>
              <w:ind w:left="113"/>
              <w:rPr>
                <w:b/>
                <w:bCs/>
              </w:rPr>
            </w:pPr>
            <w:r w:rsidRPr="006F12E6">
              <w:rPr>
                <w:b/>
                <w:bCs/>
                <w:w w:val="105"/>
              </w:rPr>
              <w:t>Total</w:t>
            </w:r>
            <w:r w:rsidRPr="006F12E6">
              <w:rPr>
                <w:b/>
                <w:bCs/>
                <w:spacing w:val="-10"/>
                <w:w w:val="105"/>
              </w:rPr>
              <w:t xml:space="preserve"> </w:t>
            </w:r>
            <w:r w:rsidRPr="006F12E6">
              <w:rPr>
                <w:b/>
                <w:bCs/>
                <w:w w:val="105"/>
              </w:rPr>
              <w:t>services</w:t>
            </w:r>
          </w:p>
        </w:tc>
        <w:tc>
          <w:tcPr>
            <w:tcW w:w="859" w:type="dxa"/>
            <w:tcBorders>
              <w:top w:val="single" w:sz="4" w:space="0" w:color="A6A6A6" w:themeColor="background1" w:themeShade="A6"/>
            </w:tcBorders>
          </w:tcPr>
          <w:p w14:paraId="55B182F8" w14:textId="77777777" w:rsidR="006A4A70" w:rsidRPr="006F12E6" w:rsidRDefault="006A4A70" w:rsidP="006F12E6">
            <w:pPr>
              <w:pStyle w:val="TableText"/>
              <w:spacing w:before="50" w:after="50"/>
              <w:rPr>
                <w:rFonts w:ascii="Times New Roman"/>
                <w:b/>
                <w:bCs/>
              </w:rPr>
            </w:pPr>
          </w:p>
        </w:tc>
        <w:tc>
          <w:tcPr>
            <w:tcW w:w="1191" w:type="dxa"/>
            <w:tcBorders>
              <w:top w:val="single" w:sz="4" w:space="0" w:color="A6A6A6" w:themeColor="background1" w:themeShade="A6"/>
            </w:tcBorders>
          </w:tcPr>
          <w:p w14:paraId="15FA5490" w14:textId="77777777" w:rsidR="006A4A70" w:rsidRPr="006F12E6" w:rsidRDefault="006A4A70" w:rsidP="006F12E6">
            <w:pPr>
              <w:pStyle w:val="TableText"/>
              <w:spacing w:before="50" w:after="50"/>
              <w:jc w:val="right"/>
              <w:rPr>
                <w:b/>
                <w:bCs/>
              </w:rPr>
            </w:pPr>
            <w:r w:rsidRPr="006F12E6">
              <w:rPr>
                <w:b/>
                <w:bCs/>
                <w:w w:val="110"/>
              </w:rPr>
              <w:t>24,942,589</w:t>
            </w:r>
          </w:p>
        </w:tc>
        <w:tc>
          <w:tcPr>
            <w:tcW w:w="1178" w:type="dxa"/>
            <w:tcBorders>
              <w:top w:val="single" w:sz="4" w:space="0" w:color="A6A6A6" w:themeColor="background1" w:themeShade="A6"/>
            </w:tcBorders>
          </w:tcPr>
          <w:p w14:paraId="3F8AE471" w14:textId="77777777" w:rsidR="006A4A70" w:rsidRPr="006F12E6" w:rsidRDefault="006A4A70" w:rsidP="006F12E6">
            <w:pPr>
              <w:pStyle w:val="TableText"/>
              <w:spacing w:before="50" w:after="50"/>
              <w:jc w:val="right"/>
              <w:rPr>
                <w:b/>
                <w:bCs/>
              </w:rPr>
            </w:pPr>
            <w:r w:rsidRPr="006F12E6">
              <w:rPr>
                <w:b/>
                <w:bCs/>
              </w:rPr>
              <w:t>22,321,288</w:t>
            </w:r>
          </w:p>
        </w:tc>
        <w:tc>
          <w:tcPr>
            <w:tcW w:w="1163" w:type="dxa"/>
            <w:tcBorders>
              <w:top w:val="single" w:sz="4" w:space="0" w:color="A6A6A6" w:themeColor="background1" w:themeShade="A6"/>
            </w:tcBorders>
          </w:tcPr>
          <w:p w14:paraId="4E6A8B82" w14:textId="77777777" w:rsidR="006A4A70" w:rsidRPr="006F12E6" w:rsidRDefault="006A4A70" w:rsidP="006F12E6">
            <w:pPr>
              <w:pStyle w:val="TableText"/>
              <w:spacing w:before="50" w:after="50"/>
              <w:jc w:val="right"/>
              <w:rPr>
                <w:b/>
                <w:bCs/>
              </w:rPr>
            </w:pPr>
            <w:r w:rsidRPr="006F12E6">
              <w:rPr>
                <w:b/>
                <w:bCs/>
                <w:w w:val="105"/>
              </w:rPr>
              <w:t>27,238,757</w:t>
            </w:r>
          </w:p>
        </w:tc>
      </w:tr>
      <w:tr w:rsidR="006A4A70" w14:paraId="1EEA71B1" w14:textId="77777777" w:rsidTr="006F12E6">
        <w:trPr>
          <w:trHeight w:val="464"/>
        </w:trPr>
        <w:tc>
          <w:tcPr>
            <w:tcW w:w="1127" w:type="dxa"/>
          </w:tcPr>
          <w:p w14:paraId="5D876BFA" w14:textId="428A5259" w:rsidR="006A4A70" w:rsidRDefault="006F12E6" w:rsidP="006F12E6">
            <w:pPr>
              <w:pStyle w:val="TableText"/>
              <w:spacing w:before="50" w:after="50"/>
              <w:jc w:val="right"/>
              <w:rPr>
                <w:w w:val="105"/>
              </w:rPr>
            </w:pPr>
            <w:r>
              <w:rPr>
                <w:w w:val="105"/>
              </w:rPr>
              <w:t>(1,388)</w:t>
            </w:r>
          </w:p>
        </w:tc>
        <w:tc>
          <w:tcPr>
            <w:tcW w:w="3261" w:type="dxa"/>
          </w:tcPr>
          <w:p w14:paraId="2FAA1942" w14:textId="4099D323" w:rsidR="006A4A70" w:rsidRDefault="006A4A70" w:rsidP="006F12E6">
            <w:pPr>
              <w:pStyle w:val="TableText"/>
              <w:spacing w:before="50" w:after="50"/>
              <w:ind w:left="113"/>
            </w:pPr>
            <w:r>
              <w:rPr>
                <w:w w:val="105"/>
              </w:rPr>
              <w:t>Revaluation</w:t>
            </w:r>
            <w:r>
              <w:rPr>
                <w:spacing w:val="-10"/>
                <w:w w:val="105"/>
              </w:rPr>
              <w:t xml:space="preserve"> </w:t>
            </w:r>
            <w:r>
              <w:rPr>
                <w:w w:val="105"/>
              </w:rPr>
              <w:t>adjustment</w:t>
            </w:r>
            <w:r>
              <w:rPr>
                <w:spacing w:val="-10"/>
                <w:w w:val="105"/>
              </w:rPr>
              <w:t xml:space="preserve"> </w:t>
            </w:r>
            <w:r>
              <w:rPr>
                <w:w w:val="105"/>
              </w:rPr>
              <w:t>in</w:t>
            </w:r>
            <w:r>
              <w:rPr>
                <w:spacing w:val="-10"/>
                <w:w w:val="105"/>
              </w:rPr>
              <w:t xml:space="preserve"> </w:t>
            </w:r>
            <w:r>
              <w:rPr>
                <w:w w:val="105"/>
              </w:rPr>
              <w:t>residential</w:t>
            </w:r>
            <w:r w:rsidR="006F12E6">
              <w:rPr>
                <w:w w:val="105"/>
              </w:rPr>
              <w:t xml:space="preserve"> care loans</w:t>
            </w:r>
          </w:p>
        </w:tc>
        <w:tc>
          <w:tcPr>
            <w:tcW w:w="859" w:type="dxa"/>
          </w:tcPr>
          <w:p w14:paraId="2B97BD03" w14:textId="77777777" w:rsidR="006A4A70" w:rsidRDefault="006A4A70" w:rsidP="006F12E6">
            <w:pPr>
              <w:pStyle w:val="TableText"/>
              <w:spacing w:before="50" w:after="50"/>
              <w:rPr>
                <w:rFonts w:ascii="Times New Roman"/>
              </w:rPr>
            </w:pPr>
          </w:p>
        </w:tc>
        <w:tc>
          <w:tcPr>
            <w:tcW w:w="1191" w:type="dxa"/>
          </w:tcPr>
          <w:p w14:paraId="773AF33A" w14:textId="77777777" w:rsidR="006A4A70" w:rsidRDefault="006A4A70" w:rsidP="006F12E6">
            <w:pPr>
              <w:pStyle w:val="TableText"/>
              <w:spacing w:before="50" w:after="50"/>
              <w:jc w:val="right"/>
            </w:pPr>
            <w:r>
              <w:rPr>
                <w:w w:val="105"/>
              </w:rPr>
              <w:t>2,494</w:t>
            </w:r>
          </w:p>
        </w:tc>
        <w:tc>
          <w:tcPr>
            <w:tcW w:w="1178" w:type="dxa"/>
          </w:tcPr>
          <w:p w14:paraId="2B9201CA" w14:textId="77777777" w:rsidR="006A4A70" w:rsidRDefault="006A4A70" w:rsidP="006F12E6">
            <w:pPr>
              <w:pStyle w:val="TableText"/>
              <w:spacing w:before="50" w:after="50"/>
              <w:jc w:val="right"/>
            </w:pPr>
            <w:r>
              <w:rPr>
                <w:w w:val="135"/>
              </w:rPr>
              <w:t>–</w:t>
            </w:r>
          </w:p>
        </w:tc>
        <w:tc>
          <w:tcPr>
            <w:tcW w:w="1163" w:type="dxa"/>
          </w:tcPr>
          <w:p w14:paraId="1B5B76D4" w14:textId="77777777" w:rsidR="006A4A70" w:rsidRDefault="006A4A70" w:rsidP="006F12E6">
            <w:pPr>
              <w:pStyle w:val="TableText"/>
              <w:spacing w:before="50" w:after="50"/>
              <w:jc w:val="right"/>
            </w:pPr>
            <w:r>
              <w:rPr>
                <w:w w:val="135"/>
              </w:rPr>
              <w:t>–</w:t>
            </w:r>
          </w:p>
        </w:tc>
      </w:tr>
      <w:tr w:rsidR="006A4A70" w14:paraId="6324BCA8" w14:textId="77777777" w:rsidTr="006F12E6">
        <w:trPr>
          <w:trHeight w:val="657"/>
        </w:trPr>
        <w:tc>
          <w:tcPr>
            <w:tcW w:w="1127" w:type="dxa"/>
            <w:tcBorders>
              <w:bottom w:val="single" w:sz="4" w:space="0" w:color="1E83A1"/>
            </w:tcBorders>
          </w:tcPr>
          <w:p w14:paraId="36598D22" w14:textId="31C6CC40" w:rsidR="006A4A70" w:rsidRPr="006F12E6" w:rsidRDefault="006F12E6" w:rsidP="006F12E6">
            <w:pPr>
              <w:pStyle w:val="TableText"/>
              <w:spacing w:before="50" w:after="50"/>
              <w:jc w:val="right"/>
              <w:rPr>
                <w:b/>
                <w:bCs/>
                <w:w w:val="105"/>
              </w:rPr>
            </w:pPr>
            <w:r w:rsidRPr="006F12E6">
              <w:rPr>
                <w:b/>
                <w:bCs/>
                <w:w w:val="105"/>
              </w:rPr>
              <w:t xml:space="preserve">(1,388)  </w:t>
            </w:r>
            <w:r w:rsidRPr="006F12E6">
              <w:rPr>
                <w:b/>
                <w:bCs/>
                <w:spacing w:val="52"/>
                <w:w w:val="105"/>
              </w:rPr>
              <w:t xml:space="preserve"> </w:t>
            </w:r>
          </w:p>
        </w:tc>
        <w:tc>
          <w:tcPr>
            <w:tcW w:w="3261" w:type="dxa"/>
            <w:tcBorders>
              <w:bottom w:val="single" w:sz="4" w:space="0" w:color="1E83A1"/>
            </w:tcBorders>
          </w:tcPr>
          <w:p w14:paraId="23186281" w14:textId="27893DD8" w:rsidR="006A4A70" w:rsidRPr="006F12E6" w:rsidRDefault="006A4A70" w:rsidP="006F12E6">
            <w:pPr>
              <w:pStyle w:val="TableText"/>
              <w:spacing w:before="50" w:after="50"/>
              <w:ind w:left="113"/>
              <w:rPr>
                <w:b/>
                <w:bCs/>
              </w:rPr>
            </w:pPr>
            <w:r w:rsidRPr="006F12E6">
              <w:rPr>
                <w:b/>
                <w:bCs/>
                <w:w w:val="105"/>
              </w:rPr>
              <w:t>Total</w:t>
            </w:r>
            <w:r w:rsidRPr="006F12E6">
              <w:rPr>
                <w:b/>
                <w:bCs/>
                <w:spacing w:val="3"/>
                <w:w w:val="105"/>
              </w:rPr>
              <w:t xml:space="preserve"> </w:t>
            </w:r>
            <w:r w:rsidRPr="006F12E6">
              <w:rPr>
                <w:b/>
                <w:bCs/>
                <w:w w:val="105"/>
              </w:rPr>
              <w:t>revaluation</w:t>
            </w:r>
            <w:r w:rsidRPr="006F12E6">
              <w:rPr>
                <w:b/>
                <w:bCs/>
                <w:spacing w:val="3"/>
                <w:w w:val="105"/>
              </w:rPr>
              <w:t xml:space="preserve"> </w:t>
            </w:r>
            <w:r w:rsidRPr="006F12E6">
              <w:rPr>
                <w:b/>
                <w:bCs/>
                <w:w w:val="105"/>
              </w:rPr>
              <w:t>and</w:t>
            </w:r>
            <w:r w:rsidRPr="006F12E6">
              <w:rPr>
                <w:b/>
                <w:bCs/>
                <w:spacing w:val="3"/>
                <w:w w:val="105"/>
              </w:rPr>
              <w:t xml:space="preserve"> </w:t>
            </w:r>
            <w:r w:rsidRPr="006F12E6">
              <w:rPr>
                <w:b/>
                <w:bCs/>
                <w:w w:val="105"/>
              </w:rPr>
              <w:t>impairment</w:t>
            </w:r>
            <w:r w:rsidR="006F12E6" w:rsidRPr="006F12E6">
              <w:rPr>
                <w:b/>
                <w:bCs/>
                <w:w w:val="105"/>
              </w:rPr>
              <w:t xml:space="preserve"> adjustments </w:t>
            </w:r>
          </w:p>
        </w:tc>
        <w:tc>
          <w:tcPr>
            <w:tcW w:w="859" w:type="dxa"/>
            <w:tcBorders>
              <w:bottom w:val="single" w:sz="4" w:space="0" w:color="1E83A1"/>
            </w:tcBorders>
          </w:tcPr>
          <w:p w14:paraId="7987A21C" w14:textId="77777777" w:rsidR="006A4A70" w:rsidRPr="006F12E6" w:rsidRDefault="006A4A70" w:rsidP="006F12E6">
            <w:pPr>
              <w:pStyle w:val="TableText"/>
              <w:spacing w:before="50" w:after="50"/>
              <w:rPr>
                <w:rFonts w:ascii="Times New Roman"/>
                <w:b/>
                <w:bCs/>
              </w:rPr>
            </w:pPr>
          </w:p>
        </w:tc>
        <w:tc>
          <w:tcPr>
            <w:tcW w:w="1191" w:type="dxa"/>
            <w:tcBorders>
              <w:bottom w:val="single" w:sz="4" w:space="0" w:color="1E83A1"/>
            </w:tcBorders>
          </w:tcPr>
          <w:p w14:paraId="636315AA" w14:textId="77777777" w:rsidR="006A4A70" w:rsidRPr="006F12E6" w:rsidRDefault="006A4A70" w:rsidP="006F12E6">
            <w:pPr>
              <w:pStyle w:val="TableText"/>
              <w:spacing w:before="50" w:after="50"/>
              <w:jc w:val="right"/>
              <w:rPr>
                <w:b/>
                <w:bCs/>
              </w:rPr>
            </w:pPr>
            <w:r w:rsidRPr="006F12E6">
              <w:rPr>
                <w:b/>
                <w:bCs/>
                <w:w w:val="110"/>
              </w:rPr>
              <w:t>2,494</w:t>
            </w:r>
          </w:p>
        </w:tc>
        <w:tc>
          <w:tcPr>
            <w:tcW w:w="1178" w:type="dxa"/>
            <w:tcBorders>
              <w:bottom w:val="single" w:sz="4" w:space="0" w:color="1E83A1"/>
            </w:tcBorders>
          </w:tcPr>
          <w:p w14:paraId="6B430095" w14:textId="77777777" w:rsidR="006A4A70" w:rsidRPr="006F12E6" w:rsidRDefault="006A4A70" w:rsidP="006F12E6">
            <w:pPr>
              <w:pStyle w:val="TableText"/>
              <w:spacing w:before="50" w:after="50"/>
              <w:jc w:val="right"/>
              <w:rPr>
                <w:b/>
                <w:bCs/>
              </w:rPr>
            </w:pPr>
            <w:r w:rsidRPr="006F12E6">
              <w:rPr>
                <w:b/>
                <w:bCs/>
                <w:w w:val="140"/>
              </w:rPr>
              <w:t>–</w:t>
            </w:r>
          </w:p>
        </w:tc>
        <w:tc>
          <w:tcPr>
            <w:tcW w:w="1163" w:type="dxa"/>
            <w:tcBorders>
              <w:bottom w:val="single" w:sz="4" w:space="0" w:color="1E83A1"/>
            </w:tcBorders>
          </w:tcPr>
          <w:p w14:paraId="047A4E91" w14:textId="77777777" w:rsidR="006A4A70" w:rsidRPr="006F12E6" w:rsidRDefault="006A4A70" w:rsidP="006F12E6">
            <w:pPr>
              <w:pStyle w:val="TableText"/>
              <w:spacing w:before="50" w:after="50"/>
              <w:jc w:val="right"/>
              <w:rPr>
                <w:b/>
                <w:bCs/>
              </w:rPr>
            </w:pPr>
            <w:r w:rsidRPr="006F12E6">
              <w:rPr>
                <w:b/>
                <w:bCs/>
                <w:w w:val="140"/>
              </w:rPr>
              <w:t>–</w:t>
            </w:r>
          </w:p>
        </w:tc>
      </w:tr>
      <w:tr w:rsidR="006A4A70" w14:paraId="21F1D09C" w14:textId="77777777" w:rsidTr="006F12E6">
        <w:trPr>
          <w:trHeight w:val="395"/>
        </w:trPr>
        <w:tc>
          <w:tcPr>
            <w:tcW w:w="1127" w:type="dxa"/>
            <w:tcBorders>
              <w:top w:val="single" w:sz="4" w:space="0" w:color="1E83A1"/>
            </w:tcBorders>
          </w:tcPr>
          <w:p w14:paraId="130B3539" w14:textId="4A4B35C9" w:rsidR="006A4A70" w:rsidRPr="006F12E6" w:rsidRDefault="006F12E6" w:rsidP="006F12E6">
            <w:pPr>
              <w:pStyle w:val="TableText"/>
              <w:spacing w:before="50" w:after="50"/>
              <w:jc w:val="right"/>
              <w:rPr>
                <w:b/>
                <w:bCs/>
                <w:w w:val="105"/>
              </w:rPr>
            </w:pPr>
            <w:r w:rsidRPr="006F12E6">
              <w:rPr>
                <w:b/>
                <w:bCs/>
                <w:w w:val="105"/>
              </w:rPr>
              <w:t xml:space="preserve">20,320,365   </w:t>
            </w:r>
            <w:r w:rsidRPr="006F12E6">
              <w:rPr>
                <w:b/>
                <w:bCs/>
                <w:spacing w:val="6"/>
                <w:w w:val="105"/>
              </w:rPr>
              <w:t xml:space="preserve"> </w:t>
            </w:r>
          </w:p>
        </w:tc>
        <w:tc>
          <w:tcPr>
            <w:tcW w:w="3261" w:type="dxa"/>
            <w:tcBorders>
              <w:top w:val="single" w:sz="4" w:space="0" w:color="1E83A1"/>
            </w:tcBorders>
          </w:tcPr>
          <w:p w14:paraId="13666AC7" w14:textId="058B410D" w:rsidR="006A4A70" w:rsidRPr="006F12E6" w:rsidRDefault="006A4A70" w:rsidP="006F12E6">
            <w:pPr>
              <w:pStyle w:val="TableText"/>
              <w:spacing w:before="50" w:after="50"/>
              <w:ind w:left="113"/>
              <w:rPr>
                <w:b/>
                <w:bCs/>
              </w:rPr>
            </w:pPr>
            <w:r w:rsidRPr="006F12E6">
              <w:rPr>
                <w:b/>
                <w:bCs/>
                <w:w w:val="105"/>
              </w:rPr>
              <w:t>Total</w:t>
            </w:r>
            <w:r w:rsidRPr="006F12E6">
              <w:rPr>
                <w:b/>
                <w:bCs/>
                <w:spacing w:val="5"/>
                <w:w w:val="105"/>
              </w:rPr>
              <w:t xml:space="preserve"> </w:t>
            </w:r>
            <w:r w:rsidRPr="006F12E6">
              <w:rPr>
                <w:b/>
                <w:bCs/>
                <w:w w:val="105"/>
              </w:rPr>
              <w:t>non-departmental</w:t>
            </w:r>
            <w:r w:rsidRPr="006F12E6">
              <w:rPr>
                <w:b/>
                <w:bCs/>
                <w:spacing w:val="5"/>
                <w:w w:val="105"/>
              </w:rPr>
              <w:t xml:space="preserve"> </w:t>
            </w:r>
            <w:r w:rsidRPr="006F12E6">
              <w:rPr>
                <w:b/>
                <w:bCs/>
                <w:w w:val="105"/>
              </w:rPr>
              <w:t>expenses</w:t>
            </w:r>
          </w:p>
        </w:tc>
        <w:tc>
          <w:tcPr>
            <w:tcW w:w="859" w:type="dxa"/>
            <w:tcBorders>
              <w:top w:val="single" w:sz="4" w:space="0" w:color="1E83A1"/>
            </w:tcBorders>
          </w:tcPr>
          <w:p w14:paraId="5B1AFD6D" w14:textId="77777777" w:rsidR="006A4A70" w:rsidRPr="006F12E6" w:rsidRDefault="006A4A70" w:rsidP="006F12E6">
            <w:pPr>
              <w:pStyle w:val="TableText"/>
              <w:spacing w:before="50" w:after="50"/>
              <w:rPr>
                <w:rFonts w:ascii="Times New Roman"/>
                <w:b/>
                <w:bCs/>
              </w:rPr>
            </w:pPr>
          </w:p>
        </w:tc>
        <w:tc>
          <w:tcPr>
            <w:tcW w:w="1191" w:type="dxa"/>
            <w:tcBorders>
              <w:top w:val="single" w:sz="4" w:space="0" w:color="1E83A1"/>
            </w:tcBorders>
          </w:tcPr>
          <w:p w14:paraId="35793416" w14:textId="77777777" w:rsidR="006A4A70" w:rsidRPr="006F12E6" w:rsidRDefault="006A4A70" w:rsidP="006F12E6">
            <w:pPr>
              <w:pStyle w:val="TableText"/>
              <w:spacing w:before="50" w:after="50"/>
              <w:jc w:val="right"/>
              <w:rPr>
                <w:b/>
                <w:bCs/>
              </w:rPr>
            </w:pPr>
            <w:r w:rsidRPr="006F12E6">
              <w:rPr>
                <w:b/>
                <w:bCs/>
                <w:w w:val="110"/>
              </w:rPr>
              <w:t>24,945,083</w:t>
            </w:r>
          </w:p>
        </w:tc>
        <w:tc>
          <w:tcPr>
            <w:tcW w:w="1178" w:type="dxa"/>
            <w:tcBorders>
              <w:top w:val="single" w:sz="4" w:space="0" w:color="1E83A1"/>
            </w:tcBorders>
          </w:tcPr>
          <w:p w14:paraId="05D002A4" w14:textId="77777777" w:rsidR="006A4A70" w:rsidRPr="006F12E6" w:rsidRDefault="006A4A70" w:rsidP="006F12E6">
            <w:pPr>
              <w:pStyle w:val="TableText"/>
              <w:spacing w:before="50" w:after="50"/>
              <w:jc w:val="right"/>
              <w:rPr>
                <w:b/>
                <w:bCs/>
              </w:rPr>
            </w:pPr>
            <w:r w:rsidRPr="006F12E6">
              <w:rPr>
                <w:b/>
                <w:bCs/>
              </w:rPr>
              <w:t>22,321,288</w:t>
            </w:r>
          </w:p>
        </w:tc>
        <w:tc>
          <w:tcPr>
            <w:tcW w:w="1163" w:type="dxa"/>
            <w:tcBorders>
              <w:top w:val="single" w:sz="4" w:space="0" w:color="1E83A1"/>
            </w:tcBorders>
          </w:tcPr>
          <w:p w14:paraId="18020E78" w14:textId="77777777" w:rsidR="006A4A70" w:rsidRPr="006F12E6" w:rsidRDefault="006A4A70" w:rsidP="006F12E6">
            <w:pPr>
              <w:pStyle w:val="TableText"/>
              <w:spacing w:before="50" w:after="50"/>
              <w:jc w:val="right"/>
              <w:rPr>
                <w:b/>
                <w:bCs/>
              </w:rPr>
            </w:pPr>
            <w:r w:rsidRPr="006F12E6">
              <w:rPr>
                <w:b/>
                <w:bCs/>
                <w:w w:val="105"/>
              </w:rPr>
              <w:t>27,238,757</w:t>
            </w:r>
          </w:p>
        </w:tc>
      </w:tr>
      <w:tr w:rsidR="006A4A70" w14:paraId="31637ECA" w14:textId="77777777" w:rsidTr="006F12E6">
        <w:trPr>
          <w:trHeight w:val="344"/>
        </w:trPr>
        <w:tc>
          <w:tcPr>
            <w:tcW w:w="1127" w:type="dxa"/>
          </w:tcPr>
          <w:p w14:paraId="5ED2F566" w14:textId="35391949" w:rsidR="006A4A70" w:rsidRDefault="006F12E6" w:rsidP="006F12E6">
            <w:pPr>
              <w:pStyle w:val="TableText"/>
              <w:spacing w:before="50" w:after="50"/>
              <w:jc w:val="right"/>
              <w:rPr>
                <w:w w:val="105"/>
              </w:rPr>
            </w:pPr>
            <w:r>
              <w:rPr>
                <w:w w:val="105"/>
              </w:rPr>
              <w:t>3,042,575</w:t>
            </w:r>
          </w:p>
        </w:tc>
        <w:tc>
          <w:tcPr>
            <w:tcW w:w="3261" w:type="dxa"/>
          </w:tcPr>
          <w:p w14:paraId="54DCC14B" w14:textId="0ED24F4E" w:rsidR="006A4A70" w:rsidRDefault="006A4A70" w:rsidP="006F12E6">
            <w:pPr>
              <w:pStyle w:val="TableText"/>
              <w:spacing w:before="50" w:after="50"/>
              <w:ind w:left="113"/>
            </w:pPr>
            <w:r>
              <w:rPr>
                <w:w w:val="105"/>
              </w:rPr>
              <w:t>GST</w:t>
            </w:r>
            <w:r>
              <w:rPr>
                <w:spacing w:val="-9"/>
                <w:w w:val="105"/>
              </w:rPr>
              <w:t xml:space="preserve"> </w:t>
            </w:r>
            <w:r>
              <w:rPr>
                <w:w w:val="105"/>
              </w:rPr>
              <w:t>input</w:t>
            </w:r>
            <w:r>
              <w:rPr>
                <w:spacing w:val="-9"/>
                <w:w w:val="105"/>
              </w:rPr>
              <w:t xml:space="preserve"> </w:t>
            </w:r>
            <w:r>
              <w:rPr>
                <w:w w:val="105"/>
              </w:rPr>
              <w:t>expense</w:t>
            </w:r>
          </w:p>
        </w:tc>
        <w:tc>
          <w:tcPr>
            <w:tcW w:w="859" w:type="dxa"/>
          </w:tcPr>
          <w:p w14:paraId="33F0452B" w14:textId="77777777" w:rsidR="006A4A70" w:rsidRDefault="006A4A70" w:rsidP="006F12E6">
            <w:pPr>
              <w:pStyle w:val="TableText"/>
              <w:spacing w:before="50" w:after="50"/>
              <w:rPr>
                <w:rFonts w:ascii="Times New Roman"/>
              </w:rPr>
            </w:pPr>
          </w:p>
        </w:tc>
        <w:tc>
          <w:tcPr>
            <w:tcW w:w="1191" w:type="dxa"/>
          </w:tcPr>
          <w:p w14:paraId="239A642E" w14:textId="77777777" w:rsidR="006A4A70" w:rsidRDefault="006A4A70" w:rsidP="006F12E6">
            <w:pPr>
              <w:pStyle w:val="TableText"/>
              <w:spacing w:before="50" w:after="50"/>
              <w:jc w:val="right"/>
            </w:pPr>
            <w:r>
              <w:t>3,707,343</w:t>
            </w:r>
          </w:p>
        </w:tc>
        <w:tc>
          <w:tcPr>
            <w:tcW w:w="1178" w:type="dxa"/>
          </w:tcPr>
          <w:p w14:paraId="7501FF37" w14:textId="77777777" w:rsidR="006A4A70" w:rsidRDefault="006A4A70" w:rsidP="006F12E6">
            <w:pPr>
              <w:pStyle w:val="TableText"/>
              <w:spacing w:before="50" w:after="50"/>
              <w:jc w:val="right"/>
            </w:pPr>
            <w:r>
              <w:rPr>
                <w:w w:val="105"/>
              </w:rPr>
              <w:t>3,329,349</w:t>
            </w:r>
          </w:p>
        </w:tc>
        <w:tc>
          <w:tcPr>
            <w:tcW w:w="1163" w:type="dxa"/>
          </w:tcPr>
          <w:p w14:paraId="68A8DE42" w14:textId="77777777" w:rsidR="006A4A70" w:rsidRDefault="006A4A70" w:rsidP="006F12E6">
            <w:pPr>
              <w:pStyle w:val="TableText"/>
              <w:spacing w:before="50" w:after="50"/>
              <w:jc w:val="right"/>
            </w:pPr>
            <w:r>
              <w:rPr>
                <w:w w:val="110"/>
              </w:rPr>
              <w:t>4,066,662</w:t>
            </w:r>
          </w:p>
        </w:tc>
      </w:tr>
      <w:tr w:rsidR="006A4A70" w14:paraId="3C64CF43" w14:textId="77777777" w:rsidTr="006F12E6">
        <w:trPr>
          <w:trHeight w:val="327"/>
        </w:trPr>
        <w:tc>
          <w:tcPr>
            <w:tcW w:w="1127" w:type="dxa"/>
            <w:tcBorders>
              <w:bottom w:val="single" w:sz="4" w:space="0" w:color="A6A6A6" w:themeColor="background1" w:themeShade="A6"/>
            </w:tcBorders>
          </w:tcPr>
          <w:p w14:paraId="213B7FBE" w14:textId="28D961B0" w:rsidR="006A4A70" w:rsidRPr="006F12E6" w:rsidRDefault="006F12E6" w:rsidP="006F12E6">
            <w:pPr>
              <w:pStyle w:val="TableText"/>
              <w:spacing w:before="50" w:after="50"/>
              <w:jc w:val="right"/>
              <w:rPr>
                <w:b/>
                <w:bCs/>
                <w:w w:val="105"/>
              </w:rPr>
            </w:pPr>
            <w:r w:rsidRPr="006F12E6">
              <w:rPr>
                <w:b/>
                <w:bCs/>
                <w:w w:val="105"/>
              </w:rPr>
              <w:t xml:space="preserve">23,362,940   </w:t>
            </w:r>
            <w:r w:rsidRPr="006F12E6">
              <w:rPr>
                <w:b/>
                <w:bCs/>
                <w:spacing w:val="6"/>
                <w:w w:val="105"/>
              </w:rPr>
              <w:t xml:space="preserve"> </w:t>
            </w:r>
          </w:p>
        </w:tc>
        <w:tc>
          <w:tcPr>
            <w:tcW w:w="3261" w:type="dxa"/>
            <w:tcBorders>
              <w:bottom w:val="single" w:sz="4" w:space="0" w:color="A6A6A6" w:themeColor="background1" w:themeShade="A6"/>
            </w:tcBorders>
          </w:tcPr>
          <w:p w14:paraId="5103EC0A" w14:textId="26FACB97" w:rsidR="006A4A70" w:rsidRPr="006F12E6" w:rsidRDefault="006A4A70" w:rsidP="006F12E6">
            <w:pPr>
              <w:pStyle w:val="TableText"/>
              <w:spacing w:before="50" w:after="50"/>
              <w:ind w:left="113"/>
              <w:rPr>
                <w:b/>
                <w:bCs/>
              </w:rPr>
            </w:pPr>
            <w:r w:rsidRPr="006F12E6">
              <w:rPr>
                <w:b/>
                <w:bCs/>
                <w:w w:val="105"/>
              </w:rPr>
              <w:t>Total</w:t>
            </w:r>
            <w:r w:rsidRPr="006F12E6">
              <w:rPr>
                <w:b/>
                <w:bCs/>
                <w:spacing w:val="5"/>
                <w:w w:val="105"/>
              </w:rPr>
              <w:t xml:space="preserve"> </w:t>
            </w:r>
            <w:r w:rsidRPr="006F12E6">
              <w:rPr>
                <w:b/>
                <w:bCs/>
                <w:w w:val="105"/>
              </w:rPr>
              <w:t>non-departmental</w:t>
            </w:r>
            <w:r w:rsidRPr="006F12E6">
              <w:rPr>
                <w:b/>
                <w:bCs/>
                <w:spacing w:val="5"/>
                <w:w w:val="105"/>
              </w:rPr>
              <w:t xml:space="preserve"> </w:t>
            </w:r>
            <w:r w:rsidRPr="006F12E6">
              <w:rPr>
                <w:b/>
                <w:bCs/>
                <w:w w:val="105"/>
              </w:rPr>
              <w:t>expenses</w:t>
            </w:r>
            <w:r w:rsidR="006F12E6" w:rsidRPr="006F12E6">
              <w:rPr>
                <w:b/>
                <w:bCs/>
                <w:w w:val="105"/>
              </w:rPr>
              <w:t xml:space="preserve"> GST inclusive</w:t>
            </w:r>
          </w:p>
        </w:tc>
        <w:tc>
          <w:tcPr>
            <w:tcW w:w="859" w:type="dxa"/>
            <w:tcBorders>
              <w:bottom w:val="single" w:sz="4" w:space="0" w:color="A6A6A6" w:themeColor="background1" w:themeShade="A6"/>
            </w:tcBorders>
          </w:tcPr>
          <w:p w14:paraId="1E83219D" w14:textId="77777777" w:rsidR="006A4A70" w:rsidRPr="006F12E6" w:rsidRDefault="006A4A70" w:rsidP="006F12E6">
            <w:pPr>
              <w:pStyle w:val="TableText"/>
              <w:spacing w:before="50" w:after="50"/>
              <w:rPr>
                <w:rFonts w:ascii="Times New Roman"/>
                <w:b/>
                <w:bCs/>
              </w:rPr>
            </w:pPr>
          </w:p>
        </w:tc>
        <w:tc>
          <w:tcPr>
            <w:tcW w:w="1191" w:type="dxa"/>
            <w:tcBorders>
              <w:bottom w:val="single" w:sz="4" w:space="0" w:color="A6A6A6" w:themeColor="background1" w:themeShade="A6"/>
            </w:tcBorders>
          </w:tcPr>
          <w:p w14:paraId="27AD3FAE" w14:textId="77777777" w:rsidR="006A4A70" w:rsidRPr="006F12E6" w:rsidRDefault="006A4A70" w:rsidP="006F12E6">
            <w:pPr>
              <w:pStyle w:val="TableText"/>
              <w:spacing w:before="50" w:after="50"/>
              <w:jc w:val="right"/>
              <w:rPr>
                <w:b/>
                <w:bCs/>
              </w:rPr>
            </w:pPr>
            <w:r w:rsidRPr="006F12E6">
              <w:rPr>
                <w:b/>
                <w:bCs/>
                <w:w w:val="110"/>
              </w:rPr>
              <w:t>28,652,426</w:t>
            </w:r>
          </w:p>
        </w:tc>
        <w:tc>
          <w:tcPr>
            <w:tcW w:w="1178" w:type="dxa"/>
            <w:tcBorders>
              <w:bottom w:val="single" w:sz="4" w:space="0" w:color="A6A6A6" w:themeColor="background1" w:themeShade="A6"/>
            </w:tcBorders>
          </w:tcPr>
          <w:p w14:paraId="3C70C02A" w14:textId="77777777" w:rsidR="006A4A70" w:rsidRPr="006F12E6" w:rsidRDefault="006A4A70" w:rsidP="006F12E6">
            <w:pPr>
              <w:pStyle w:val="TableText"/>
              <w:spacing w:before="50" w:after="50"/>
              <w:jc w:val="right"/>
              <w:rPr>
                <w:b/>
                <w:bCs/>
              </w:rPr>
            </w:pPr>
            <w:r w:rsidRPr="006F12E6">
              <w:rPr>
                <w:b/>
                <w:bCs/>
                <w:w w:val="110"/>
              </w:rPr>
              <w:t>25,650,637</w:t>
            </w:r>
          </w:p>
        </w:tc>
        <w:tc>
          <w:tcPr>
            <w:tcW w:w="1163" w:type="dxa"/>
            <w:tcBorders>
              <w:bottom w:val="single" w:sz="4" w:space="0" w:color="A6A6A6" w:themeColor="background1" w:themeShade="A6"/>
            </w:tcBorders>
          </w:tcPr>
          <w:p w14:paraId="4C88EFD0" w14:textId="77777777" w:rsidR="006A4A70" w:rsidRPr="006F12E6" w:rsidRDefault="006A4A70" w:rsidP="006F12E6">
            <w:pPr>
              <w:pStyle w:val="TableText"/>
              <w:spacing w:before="50" w:after="50"/>
              <w:jc w:val="right"/>
              <w:rPr>
                <w:b/>
                <w:bCs/>
              </w:rPr>
            </w:pPr>
            <w:r w:rsidRPr="006F12E6">
              <w:rPr>
                <w:b/>
                <w:bCs/>
              </w:rPr>
              <w:t>31,305,419</w:t>
            </w:r>
          </w:p>
        </w:tc>
      </w:tr>
    </w:tbl>
    <w:p w14:paraId="7BAC6B1B" w14:textId="77777777" w:rsidR="004C507E" w:rsidRDefault="004C507E" w:rsidP="006F12E6">
      <w:pPr>
        <w:pStyle w:val="Note"/>
        <w:rPr>
          <w:rFonts w:eastAsia="Arial Unicode MS"/>
        </w:rPr>
      </w:pPr>
    </w:p>
    <w:p w14:paraId="6BE63904" w14:textId="2095D3A3" w:rsidR="006F12E6" w:rsidRPr="006F12E6" w:rsidRDefault="006F12E6" w:rsidP="006F12E6">
      <w:pPr>
        <w:pStyle w:val="Note"/>
        <w:rPr>
          <w:rFonts w:eastAsia="Arial Unicode MS"/>
        </w:rPr>
      </w:pPr>
      <w:r w:rsidRPr="006F12E6">
        <w:rPr>
          <w:rFonts w:eastAsia="Arial Unicode MS"/>
        </w:rPr>
        <w:t>The accompanying notes form part of these financial statements.</w:t>
      </w:r>
    </w:p>
    <w:p w14:paraId="422C7B85" w14:textId="77777777" w:rsidR="006F12E6" w:rsidRDefault="006F12E6" w:rsidP="006F12E6">
      <w:pPr>
        <w:pStyle w:val="Note"/>
        <w:rPr>
          <w:rFonts w:eastAsia="Arial Unicode MS"/>
        </w:rPr>
        <w:sectPr w:rsidR="006F12E6" w:rsidSect="00C26282">
          <w:pgSz w:w="11907" w:h="16840" w:code="9"/>
          <w:pgMar w:top="1418" w:right="1701" w:bottom="1134" w:left="1843" w:header="284" w:footer="425" w:gutter="284"/>
          <w:cols w:space="720"/>
        </w:sectPr>
      </w:pPr>
      <w:r w:rsidRPr="006F12E6">
        <w:rPr>
          <w:rFonts w:eastAsia="Arial Unicode MS"/>
        </w:rPr>
        <w:t>For a full understanding of the Crown’s financial position and the results of its operations for the year, refer to the consolidated Financial Statement of the Government for the year ended 30 June 2022.</w:t>
      </w:r>
    </w:p>
    <w:p w14:paraId="06B25A22" w14:textId="77777777" w:rsidR="004D6EC2" w:rsidRPr="004D6EC2" w:rsidRDefault="004D6EC2" w:rsidP="009E3BCA">
      <w:pPr>
        <w:pStyle w:val="Heading3"/>
        <w:spacing w:before="0"/>
      </w:pPr>
      <w:bookmarkStart w:id="66" w:name="_Toc117264972"/>
      <w:r w:rsidRPr="004D6EC2">
        <w:lastRenderedPageBreak/>
        <w:t>Schedule of non-departmental revenue and capital receipts for the year ended 30 June 2022</w:t>
      </w:r>
      <w:bookmarkEnd w:id="66"/>
    </w:p>
    <w:p w14:paraId="4087D1D9" w14:textId="77777777" w:rsidR="006F12E6" w:rsidRDefault="004D6EC2" w:rsidP="004D6EC2">
      <w:pPr>
        <w:rPr>
          <w:rFonts w:eastAsia="Arial Unicode MS"/>
        </w:rPr>
      </w:pPr>
      <w:r w:rsidRPr="004D6EC2">
        <w:rPr>
          <w:rFonts w:eastAsia="Arial Unicode MS"/>
        </w:rPr>
        <w:t>Non-departmental revenues and capital receipts are administered by the Ministry on behalf of the Crown. As these revenues are not established by the Ministry nor earned in the production of its outputs they are not reported in the financial statements.</w:t>
      </w:r>
    </w:p>
    <w:p w14:paraId="5C8E8688" w14:textId="77777777" w:rsidR="004D6EC2" w:rsidRDefault="004D6EC2" w:rsidP="004D6EC2">
      <w:pPr>
        <w:pStyle w:val="TableText"/>
        <w:rPr>
          <w:rFonts w:eastAsia="Arial Unicode MS"/>
        </w:rPr>
      </w:pPr>
    </w:p>
    <w:tbl>
      <w:tblPr>
        <w:tblW w:w="8791" w:type="dxa"/>
        <w:tblInd w:w="7" w:type="dxa"/>
        <w:tblLayout w:type="fixed"/>
        <w:tblCellMar>
          <w:left w:w="0" w:type="dxa"/>
          <w:right w:w="0" w:type="dxa"/>
        </w:tblCellMar>
        <w:tblLook w:val="01E0" w:firstRow="1" w:lastRow="1" w:firstColumn="1" w:lastColumn="1" w:noHBand="0" w:noVBand="0"/>
      </w:tblPr>
      <w:tblGrid>
        <w:gridCol w:w="1269"/>
        <w:gridCol w:w="4111"/>
        <w:gridCol w:w="1071"/>
        <w:gridCol w:w="1305"/>
        <w:gridCol w:w="1035"/>
      </w:tblGrid>
      <w:tr w:rsidR="004D6EC2" w14:paraId="3262E33B" w14:textId="77777777" w:rsidTr="004D6EC2">
        <w:trPr>
          <w:trHeight w:val="1069"/>
        </w:trPr>
        <w:tc>
          <w:tcPr>
            <w:tcW w:w="1269" w:type="dxa"/>
            <w:shd w:val="clear" w:color="auto" w:fill="D9D9D9" w:themeFill="background1" w:themeFillShade="D9"/>
          </w:tcPr>
          <w:p w14:paraId="636886F2" w14:textId="77777777" w:rsidR="004D6EC2" w:rsidRPr="004D6EC2" w:rsidRDefault="004D6EC2" w:rsidP="004D6EC2">
            <w:pPr>
              <w:pStyle w:val="TableText"/>
              <w:jc w:val="right"/>
              <w:rPr>
                <w:b/>
                <w:bCs/>
              </w:rPr>
            </w:pPr>
            <w:r w:rsidRPr="004D6EC2">
              <w:rPr>
                <w:b/>
                <w:bCs/>
                <w:w w:val="110"/>
              </w:rPr>
              <w:t>Actual</w:t>
            </w:r>
            <w:r w:rsidRPr="004D6EC2">
              <w:rPr>
                <w:b/>
                <w:bCs/>
                <w:w w:val="110"/>
              </w:rPr>
              <w:br/>
            </w:r>
          </w:p>
          <w:p w14:paraId="3C0DE142" w14:textId="77777777" w:rsidR="004D6EC2" w:rsidRPr="004D6EC2" w:rsidRDefault="004D6EC2" w:rsidP="004D6EC2">
            <w:pPr>
              <w:pStyle w:val="TableText"/>
              <w:jc w:val="right"/>
              <w:rPr>
                <w:b/>
                <w:bCs/>
              </w:rPr>
            </w:pPr>
            <w:r w:rsidRPr="004D6EC2">
              <w:rPr>
                <w:b/>
                <w:bCs/>
              </w:rPr>
              <w:t>2021</w:t>
            </w:r>
          </w:p>
          <w:p w14:paraId="5E4850B4" w14:textId="7B8777AA" w:rsidR="004D6EC2" w:rsidRPr="004D6EC2" w:rsidRDefault="004D6EC2" w:rsidP="004D6EC2">
            <w:pPr>
              <w:pStyle w:val="TableText"/>
              <w:jc w:val="right"/>
              <w:rPr>
                <w:b/>
                <w:bCs/>
                <w:w w:val="110"/>
              </w:rPr>
            </w:pPr>
            <w:r w:rsidRPr="004D6EC2">
              <w:rPr>
                <w:b/>
                <w:bCs/>
                <w:w w:val="120"/>
              </w:rPr>
              <w:t>$000</w:t>
            </w:r>
          </w:p>
        </w:tc>
        <w:tc>
          <w:tcPr>
            <w:tcW w:w="4111" w:type="dxa"/>
            <w:shd w:val="clear" w:color="auto" w:fill="D9D9D9" w:themeFill="background1" w:themeFillShade="D9"/>
          </w:tcPr>
          <w:p w14:paraId="1759D366" w14:textId="2EC8AB83" w:rsidR="004D6EC2" w:rsidRPr="004D6EC2" w:rsidRDefault="004D6EC2" w:rsidP="004D6EC2">
            <w:pPr>
              <w:pStyle w:val="TableText"/>
              <w:rPr>
                <w:b/>
                <w:bCs/>
              </w:rPr>
            </w:pPr>
          </w:p>
        </w:tc>
        <w:tc>
          <w:tcPr>
            <w:tcW w:w="1071" w:type="dxa"/>
            <w:shd w:val="clear" w:color="auto" w:fill="D9D9D9" w:themeFill="background1" w:themeFillShade="D9"/>
          </w:tcPr>
          <w:p w14:paraId="2DE1F703" w14:textId="2C668725" w:rsidR="004D6EC2" w:rsidRPr="004D6EC2" w:rsidRDefault="004D6EC2" w:rsidP="004D6EC2">
            <w:pPr>
              <w:pStyle w:val="TableText"/>
              <w:jc w:val="right"/>
              <w:rPr>
                <w:b/>
                <w:bCs/>
              </w:rPr>
            </w:pPr>
            <w:r w:rsidRPr="004D6EC2">
              <w:rPr>
                <w:b/>
                <w:bCs/>
                <w:w w:val="110"/>
              </w:rPr>
              <w:t>Actual</w:t>
            </w:r>
            <w:r w:rsidRPr="004D6EC2">
              <w:rPr>
                <w:b/>
                <w:bCs/>
                <w:w w:val="110"/>
              </w:rPr>
              <w:br/>
            </w:r>
          </w:p>
          <w:p w14:paraId="50CDFDBD" w14:textId="77777777" w:rsidR="004D6EC2" w:rsidRPr="004D6EC2" w:rsidRDefault="004D6EC2" w:rsidP="004D6EC2">
            <w:pPr>
              <w:pStyle w:val="TableText"/>
              <w:jc w:val="right"/>
              <w:rPr>
                <w:b/>
                <w:bCs/>
              </w:rPr>
            </w:pPr>
            <w:r w:rsidRPr="004D6EC2">
              <w:rPr>
                <w:b/>
                <w:bCs/>
                <w:w w:val="105"/>
              </w:rPr>
              <w:t>2022</w:t>
            </w:r>
          </w:p>
          <w:p w14:paraId="098C18BA" w14:textId="77777777" w:rsidR="004D6EC2" w:rsidRPr="004D6EC2" w:rsidRDefault="004D6EC2" w:rsidP="004D6EC2">
            <w:pPr>
              <w:pStyle w:val="TableText"/>
              <w:jc w:val="right"/>
              <w:rPr>
                <w:b/>
                <w:bCs/>
              </w:rPr>
            </w:pPr>
            <w:r w:rsidRPr="004D6EC2">
              <w:rPr>
                <w:b/>
                <w:bCs/>
                <w:w w:val="120"/>
              </w:rPr>
              <w:t>$000</w:t>
            </w:r>
          </w:p>
        </w:tc>
        <w:tc>
          <w:tcPr>
            <w:tcW w:w="1305" w:type="dxa"/>
            <w:shd w:val="clear" w:color="auto" w:fill="D9D9D9" w:themeFill="background1" w:themeFillShade="D9"/>
          </w:tcPr>
          <w:p w14:paraId="5104B7AC" w14:textId="73064ACA" w:rsidR="004D6EC2" w:rsidRPr="004D6EC2" w:rsidRDefault="004D6EC2" w:rsidP="004D6EC2">
            <w:pPr>
              <w:pStyle w:val="TableText"/>
              <w:jc w:val="right"/>
              <w:rPr>
                <w:b/>
                <w:bCs/>
              </w:rPr>
            </w:pPr>
            <w:r w:rsidRPr="004D6EC2">
              <w:rPr>
                <w:b/>
                <w:bCs/>
                <w:w w:val="110"/>
              </w:rPr>
              <w:t>Unaudited</w:t>
            </w:r>
            <w:r w:rsidRPr="004D6EC2">
              <w:rPr>
                <w:b/>
                <w:bCs/>
                <w:w w:val="110"/>
              </w:rPr>
              <w:br/>
              <w:t>budget</w:t>
            </w:r>
          </w:p>
          <w:p w14:paraId="3D071FD2" w14:textId="77777777" w:rsidR="004D6EC2" w:rsidRPr="004D6EC2" w:rsidRDefault="004D6EC2" w:rsidP="004D6EC2">
            <w:pPr>
              <w:pStyle w:val="TableText"/>
              <w:jc w:val="right"/>
              <w:rPr>
                <w:b/>
                <w:bCs/>
              </w:rPr>
            </w:pPr>
            <w:r w:rsidRPr="004D6EC2">
              <w:rPr>
                <w:b/>
                <w:bCs/>
                <w:w w:val="105"/>
              </w:rPr>
              <w:t>2022</w:t>
            </w:r>
          </w:p>
          <w:p w14:paraId="555C8910" w14:textId="77777777" w:rsidR="004D6EC2" w:rsidRPr="004D6EC2" w:rsidRDefault="004D6EC2" w:rsidP="004D6EC2">
            <w:pPr>
              <w:pStyle w:val="TableText"/>
              <w:jc w:val="right"/>
              <w:rPr>
                <w:b/>
                <w:bCs/>
              </w:rPr>
            </w:pPr>
            <w:r w:rsidRPr="004D6EC2">
              <w:rPr>
                <w:b/>
                <w:bCs/>
                <w:w w:val="120"/>
              </w:rPr>
              <w:t>$000</w:t>
            </w:r>
          </w:p>
        </w:tc>
        <w:tc>
          <w:tcPr>
            <w:tcW w:w="1035" w:type="dxa"/>
            <w:shd w:val="clear" w:color="auto" w:fill="D9D9D9" w:themeFill="background1" w:themeFillShade="D9"/>
          </w:tcPr>
          <w:p w14:paraId="5A03197B" w14:textId="46B51407" w:rsidR="004D6EC2" w:rsidRPr="004D6EC2" w:rsidRDefault="004D6EC2" w:rsidP="004D6EC2">
            <w:pPr>
              <w:pStyle w:val="TableText"/>
              <w:jc w:val="right"/>
              <w:rPr>
                <w:b/>
                <w:bCs/>
              </w:rPr>
            </w:pPr>
            <w:r w:rsidRPr="004D6EC2">
              <w:rPr>
                <w:b/>
                <w:bCs/>
                <w:w w:val="105"/>
              </w:rPr>
              <w:t>Revised</w:t>
            </w:r>
            <w:r w:rsidRPr="004D6EC2">
              <w:rPr>
                <w:b/>
                <w:bCs/>
                <w:spacing w:val="-50"/>
                <w:w w:val="105"/>
              </w:rPr>
              <w:t xml:space="preserve"> </w:t>
            </w:r>
            <w:r w:rsidRPr="004D6EC2">
              <w:rPr>
                <w:b/>
                <w:bCs/>
                <w:spacing w:val="-50"/>
                <w:w w:val="105"/>
              </w:rPr>
              <w:br/>
            </w:r>
            <w:r w:rsidR="008C677C">
              <w:rPr>
                <w:b/>
                <w:bCs/>
                <w:w w:val="110"/>
              </w:rPr>
              <w:t>b</w:t>
            </w:r>
            <w:r w:rsidRPr="004D6EC2">
              <w:rPr>
                <w:b/>
                <w:bCs/>
                <w:w w:val="110"/>
              </w:rPr>
              <w:t>udget</w:t>
            </w:r>
          </w:p>
          <w:p w14:paraId="43F56863" w14:textId="77777777" w:rsidR="004D6EC2" w:rsidRPr="004D6EC2" w:rsidRDefault="004D6EC2" w:rsidP="004D6EC2">
            <w:pPr>
              <w:pStyle w:val="TableText"/>
              <w:jc w:val="right"/>
              <w:rPr>
                <w:b/>
                <w:bCs/>
              </w:rPr>
            </w:pPr>
            <w:r w:rsidRPr="004D6EC2">
              <w:rPr>
                <w:b/>
                <w:bCs/>
                <w:w w:val="105"/>
              </w:rPr>
              <w:t>2022</w:t>
            </w:r>
          </w:p>
          <w:p w14:paraId="38B27C9A" w14:textId="77777777" w:rsidR="004D6EC2" w:rsidRPr="004D6EC2" w:rsidRDefault="004D6EC2" w:rsidP="004D6EC2">
            <w:pPr>
              <w:pStyle w:val="TableText"/>
              <w:jc w:val="right"/>
              <w:rPr>
                <w:b/>
                <w:bCs/>
              </w:rPr>
            </w:pPr>
            <w:r w:rsidRPr="004D6EC2">
              <w:rPr>
                <w:b/>
                <w:bCs/>
                <w:w w:val="120"/>
              </w:rPr>
              <w:t>$000</w:t>
            </w:r>
          </w:p>
        </w:tc>
      </w:tr>
      <w:tr w:rsidR="004D6EC2" w14:paraId="3C77CE62" w14:textId="77777777" w:rsidTr="004D6EC2">
        <w:trPr>
          <w:trHeight w:val="340"/>
        </w:trPr>
        <w:tc>
          <w:tcPr>
            <w:tcW w:w="1269" w:type="dxa"/>
          </w:tcPr>
          <w:p w14:paraId="7CC733D1" w14:textId="77777777" w:rsidR="004D6EC2" w:rsidRDefault="004D6EC2" w:rsidP="004D6EC2">
            <w:pPr>
              <w:pStyle w:val="TableText"/>
              <w:jc w:val="right"/>
              <w:rPr>
                <w:w w:val="105"/>
              </w:rPr>
            </w:pPr>
          </w:p>
        </w:tc>
        <w:tc>
          <w:tcPr>
            <w:tcW w:w="4111" w:type="dxa"/>
          </w:tcPr>
          <w:p w14:paraId="19208F9A" w14:textId="7B4797BE" w:rsidR="004D6EC2" w:rsidRPr="004D6EC2" w:rsidRDefault="004D6EC2" w:rsidP="004D6EC2">
            <w:pPr>
              <w:pStyle w:val="TableText"/>
              <w:rPr>
                <w:b/>
                <w:bCs/>
              </w:rPr>
            </w:pPr>
            <w:r w:rsidRPr="004D6EC2">
              <w:rPr>
                <w:b/>
                <w:bCs/>
                <w:w w:val="105"/>
              </w:rPr>
              <w:t>Revenue</w:t>
            </w:r>
          </w:p>
        </w:tc>
        <w:tc>
          <w:tcPr>
            <w:tcW w:w="1071" w:type="dxa"/>
          </w:tcPr>
          <w:p w14:paraId="1131D77F" w14:textId="77777777" w:rsidR="004D6EC2" w:rsidRDefault="004D6EC2" w:rsidP="004D6EC2">
            <w:pPr>
              <w:pStyle w:val="TableText"/>
              <w:jc w:val="right"/>
              <w:rPr>
                <w:rFonts w:ascii="Times New Roman"/>
              </w:rPr>
            </w:pPr>
          </w:p>
        </w:tc>
        <w:tc>
          <w:tcPr>
            <w:tcW w:w="1305" w:type="dxa"/>
          </w:tcPr>
          <w:p w14:paraId="4024E0BA" w14:textId="77777777" w:rsidR="004D6EC2" w:rsidRDefault="004D6EC2" w:rsidP="004D6EC2">
            <w:pPr>
              <w:pStyle w:val="TableText"/>
              <w:jc w:val="right"/>
              <w:rPr>
                <w:rFonts w:ascii="Times New Roman"/>
              </w:rPr>
            </w:pPr>
          </w:p>
        </w:tc>
        <w:tc>
          <w:tcPr>
            <w:tcW w:w="1035" w:type="dxa"/>
          </w:tcPr>
          <w:p w14:paraId="61CE253F" w14:textId="77777777" w:rsidR="004D6EC2" w:rsidRDefault="004D6EC2" w:rsidP="004D6EC2">
            <w:pPr>
              <w:pStyle w:val="TableText"/>
              <w:jc w:val="right"/>
              <w:rPr>
                <w:rFonts w:ascii="Times New Roman"/>
              </w:rPr>
            </w:pPr>
          </w:p>
        </w:tc>
      </w:tr>
      <w:tr w:rsidR="004D6EC2" w14:paraId="76DA5CB1" w14:textId="77777777" w:rsidTr="004D6EC2">
        <w:trPr>
          <w:trHeight w:val="340"/>
        </w:trPr>
        <w:tc>
          <w:tcPr>
            <w:tcW w:w="1269" w:type="dxa"/>
          </w:tcPr>
          <w:p w14:paraId="02E3D155" w14:textId="77777777" w:rsidR="004D6EC2" w:rsidRDefault="004D6EC2" w:rsidP="004D6EC2">
            <w:pPr>
              <w:pStyle w:val="TableText"/>
              <w:jc w:val="right"/>
              <w:rPr>
                <w:w w:val="105"/>
              </w:rPr>
            </w:pPr>
          </w:p>
        </w:tc>
        <w:tc>
          <w:tcPr>
            <w:tcW w:w="4111" w:type="dxa"/>
          </w:tcPr>
          <w:p w14:paraId="78E25EDA" w14:textId="0F6D9DB3" w:rsidR="004D6EC2" w:rsidRPr="004D6EC2" w:rsidRDefault="004D6EC2" w:rsidP="004D6EC2">
            <w:pPr>
              <w:pStyle w:val="TableText"/>
              <w:rPr>
                <w:b/>
                <w:bCs/>
                <w:w w:val="105"/>
              </w:rPr>
            </w:pPr>
            <w:r w:rsidRPr="004D6EC2">
              <w:rPr>
                <w:b/>
                <w:bCs/>
                <w:w w:val="105"/>
              </w:rPr>
              <w:t>Reimbursement</w:t>
            </w:r>
            <w:r w:rsidRPr="004D6EC2">
              <w:rPr>
                <w:b/>
                <w:bCs/>
                <w:spacing w:val="3"/>
                <w:w w:val="105"/>
              </w:rPr>
              <w:t xml:space="preserve"> </w:t>
            </w:r>
            <w:r w:rsidRPr="004D6EC2">
              <w:rPr>
                <w:b/>
                <w:bCs/>
                <w:w w:val="105"/>
              </w:rPr>
              <w:t>from</w:t>
            </w:r>
            <w:r w:rsidRPr="004D6EC2">
              <w:rPr>
                <w:b/>
                <w:bCs/>
                <w:spacing w:val="3"/>
                <w:w w:val="105"/>
              </w:rPr>
              <w:t xml:space="preserve"> </w:t>
            </w:r>
            <w:r w:rsidRPr="004D6EC2">
              <w:rPr>
                <w:b/>
                <w:bCs/>
                <w:w w:val="105"/>
              </w:rPr>
              <w:t>the</w:t>
            </w:r>
            <w:r w:rsidRPr="004D6EC2">
              <w:rPr>
                <w:b/>
                <w:bCs/>
                <w:spacing w:val="4"/>
                <w:w w:val="105"/>
              </w:rPr>
              <w:t xml:space="preserve"> </w:t>
            </w:r>
            <w:r w:rsidRPr="004D6EC2">
              <w:rPr>
                <w:b/>
                <w:bCs/>
                <w:w w:val="105"/>
              </w:rPr>
              <w:t>Accident Compensation Corporation (ACC)</w:t>
            </w:r>
          </w:p>
        </w:tc>
        <w:tc>
          <w:tcPr>
            <w:tcW w:w="1071" w:type="dxa"/>
          </w:tcPr>
          <w:p w14:paraId="1F5DBB26" w14:textId="77777777" w:rsidR="004D6EC2" w:rsidRDefault="004D6EC2" w:rsidP="004D6EC2">
            <w:pPr>
              <w:pStyle w:val="TableText"/>
              <w:jc w:val="right"/>
              <w:rPr>
                <w:rFonts w:ascii="Times New Roman"/>
              </w:rPr>
            </w:pPr>
          </w:p>
        </w:tc>
        <w:tc>
          <w:tcPr>
            <w:tcW w:w="1305" w:type="dxa"/>
          </w:tcPr>
          <w:p w14:paraId="69E16536" w14:textId="77777777" w:rsidR="004D6EC2" w:rsidRDefault="004D6EC2" w:rsidP="004D6EC2">
            <w:pPr>
              <w:pStyle w:val="TableText"/>
              <w:jc w:val="right"/>
              <w:rPr>
                <w:rFonts w:ascii="Times New Roman"/>
              </w:rPr>
            </w:pPr>
          </w:p>
        </w:tc>
        <w:tc>
          <w:tcPr>
            <w:tcW w:w="1035" w:type="dxa"/>
          </w:tcPr>
          <w:p w14:paraId="06F4C29B" w14:textId="77777777" w:rsidR="004D6EC2" w:rsidRDefault="004D6EC2" w:rsidP="004D6EC2">
            <w:pPr>
              <w:pStyle w:val="TableText"/>
              <w:jc w:val="right"/>
              <w:rPr>
                <w:rFonts w:ascii="Times New Roman"/>
              </w:rPr>
            </w:pPr>
          </w:p>
        </w:tc>
      </w:tr>
      <w:tr w:rsidR="004D6EC2" w14:paraId="03F46BE8" w14:textId="77777777" w:rsidTr="004D6EC2">
        <w:trPr>
          <w:trHeight w:val="340"/>
        </w:trPr>
        <w:tc>
          <w:tcPr>
            <w:tcW w:w="1269" w:type="dxa"/>
          </w:tcPr>
          <w:p w14:paraId="23268704" w14:textId="7D8FDDB0" w:rsidR="004D6EC2" w:rsidRDefault="004D6EC2" w:rsidP="004D6EC2">
            <w:pPr>
              <w:pStyle w:val="TableText"/>
              <w:jc w:val="right"/>
              <w:rPr>
                <w:w w:val="105"/>
              </w:rPr>
            </w:pPr>
            <w:r>
              <w:rPr>
                <w:w w:val="105"/>
              </w:rPr>
              <w:t>7,163</w:t>
            </w:r>
          </w:p>
        </w:tc>
        <w:tc>
          <w:tcPr>
            <w:tcW w:w="4111" w:type="dxa"/>
          </w:tcPr>
          <w:p w14:paraId="5B35600A" w14:textId="6875782A" w:rsidR="004D6EC2" w:rsidRDefault="004D6EC2" w:rsidP="004D6EC2">
            <w:pPr>
              <w:pStyle w:val="TableText"/>
            </w:pPr>
            <w:r>
              <w:rPr>
                <w:w w:val="105"/>
              </w:rPr>
              <w:t>Reimbursement</w:t>
            </w:r>
            <w:r>
              <w:rPr>
                <w:spacing w:val="-10"/>
                <w:w w:val="105"/>
              </w:rPr>
              <w:t xml:space="preserve"> </w:t>
            </w:r>
            <w:r>
              <w:rPr>
                <w:w w:val="105"/>
              </w:rPr>
              <w:t>of</w:t>
            </w:r>
            <w:r>
              <w:rPr>
                <w:spacing w:val="-10"/>
                <w:w w:val="105"/>
              </w:rPr>
              <w:t xml:space="preserve"> </w:t>
            </w:r>
            <w:r>
              <w:rPr>
                <w:w w:val="105"/>
              </w:rPr>
              <w:t>complex</w:t>
            </w:r>
            <w:r>
              <w:rPr>
                <w:spacing w:val="-9"/>
                <w:w w:val="105"/>
              </w:rPr>
              <w:t xml:space="preserve"> </w:t>
            </w:r>
            <w:r>
              <w:rPr>
                <w:w w:val="105"/>
              </w:rPr>
              <w:t>burns</w:t>
            </w:r>
            <w:r>
              <w:rPr>
                <w:spacing w:val="-10"/>
                <w:w w:val="105"/>
              </w:rPr>
              <w:t xml:space="preserve"> </w:t>
            </w:r>
            <w:r>
              <w:rPr>
                <w:w w:val="105"/>
              </w:rPr>
              <w:t>costs</w:t>
            </w:r>
          </w:p>
        </w:tc>
        <w:tc>
          <w:tcPr>
            <w:tcW w:w="1071" w:type="dxa"/>
          </w:tcPr>
          <w:p w14:paraId="29B242B1" w14:textId="77777777" w:rsidR="004D6EC2" w:rsidRDefault="004D6EC2" w:rsidP="004D6EC2">
            <w:pPr>
              <w:pStyle w:val="TableText"/>
              <w:jc w:val="right"/>
            </w:pPr>
            <w:r>
              <w:rPr>
                <w:w w:val="105"/>
              </w:rPr>
              <w:t>7,445</w:t>
            </w:r>
          </w:p>
        </w:tc>
        <w:tc>
          <w:tcPr>
            <w:tcW w:w="1305" w:type="dxa"/>
          </w:tcPr>
          <w:p w14:paraId="36B538B9" w14:textId="77777777" w:rsidR="004D6EC2" w:rsidRDefault="004D6EC2" w:rsidP="004D6EC2">
            <w:pPr>
              <w:pStyle w:val="TableText"/>
              <w:jc w:val="right"/>
            </w:pPr>
            <w:r>
              <w:rPr>
                <w:w w:val="105"/>
              </w:rPr>
              <w:t>7,094</w:t>
            </w:r>
          </w:p>
        </w:tc>
        <w:tc>
          <w:tcPr>
            <w:tcW w:w="1035" w:type="dxa"/>
          </w:tcPr>
          <w:p w14:paraId="614DE26D" w14:textId="77777777" w:rsidR="004D6EC2" w:rsidRDefault="004D6EC2" w:rsidP="004D6EC2">
            <w:pPr>
              <w:pStyle w:val="TableText"/>
              <w:jc w:val="right"/>
            </w:pPr>
            <w:r>
              <w:rPr>
                <w:w w:val="105"/>
              </w:rPr>
              <w:t>7,445</w:t>
            </w:r>
          </w:p>
        </w:tc>
      </w:tr>
      <w:tr w:rsidR="004D6EC2" w14:paraId="5E526ABA" w14:textId="77777777" w:rsidTr="004D6EC2">
        <w:trPr>
          <w:trHeight w:val="340"/>
        </w:trPr>
        <w:tc>
          <w:tcPr>
            <w:tcW w:w="1269" w:type="dxa"/>
          </w:tcPr>
          <w:p w14:paraId="3176863E" w14:textId="02CCB444" w:rsidR="004D6EC2" w:rsidRDefault="004D6EC2" w:rsidP="004D6EC2">
            <w:pPr>
              <w:pStyle w:val="TableText"/>
              <w:jc w:val="right"/>
              <w:rPr>
                <w:w w:val="105"/>
              </w:rPr>
            </w:pPr>
            <w:r>
              <w:rPr>
                <w:w w:val="105"/>
              </w:rPr>
              <w:t>31,672</w:t>
            </w:r>
          </w:p>
        </w:tc>
        <w:tc>
          <w:tcPr>
            <w:tcW w:w="4111" w:type="dxa"/>
          </w:tcPr>
          <w:p w14:paraId="52DC63DE" w14:textId="4244D895" w:rsidR="004D6EC2" w:rsidRDefault="004D6EC2" w:rsidP="004D6EC2">
            <w:pPr>
              <w:pStyle w:val="TableText"/>
            </w:pPr>
            <w:r>
              <w:rPr>
                <w:w w:val="105"/>
              </w:rPr>
              <w:t>Reimbursement</w:t>
            </w:r>
            <w:r>
              <w:rPr>
                <w:spacing w:val="-11"/>
                <w:w w:val="105"/>
              </w:rPr>
              <w:t xml:space="preserve"> </w:t>
            </w:r>
            <w:r>
              <w:rPr>
                <w:w w:val="105"/>
              </w:rPr>
              <w:t>of</w:t>
            </w:r>
            <w:r>
              <w:rPr>
                <w:spacing w:val="-11"/>
                <w:w w:val="105"/>
              </w:rPr>
              <w:t xml:space="preserve"> </w:t>
            </w:r>
            <w:r>
              <w:rPr>
                <w:w w:val="105"/>
              </w:rPr>
              <w:t>work-related</w:t>
            </w:r>
            <w:r>
              <w:rPr>
                <w:spacing w:val="-11"/>
                <w:w w:val="105"/>
              </w:rPr>
              <w:t xml:space="preserve"> </w:t>
            </w:r>
            <w:r>
              <w:rPr>
                <w:w w:val="105"/>
              </w:rPr>
              <w:t>public</w:t>
            </w:r>
            <w:r>
              <w:rPr>
                <w:spacing w:val="-11"/>
                <w:w w:val="105"/>
              </w:rPr>
              <w:t xml:space="preserve"> </w:t>
            </w:r>
            <w:r>
              <w:rPr>
                <w:w w:val="105"/>
              </w:rPr>
              <w:t>hospital costs</w:t>
            </w:r>
          </w:p>
        </w:tc>
        <w:tc>
          <w:tcPr>
            <w:tcW w:w="1071" w:type="dxa"/>
          </w:tcPr>
          <w:p w14:paraId="6BF02B84" w14:textId="77777777" w:rsidR="004D6EC2" w:rsidRDefault="004D6EC2" w:rsidP="004D6EC2">
            <w:pPr>
              <w:pStyle w:val="TableText"/>
              <w:jc w:val="right"/>
            </w:pPr>
            <w:r>
              <w:t>35,190</w:t>
            </w:r>
          </w:p>
        </w:tc>
        <w:tc>
          <w:tcPr>
            <w:tcW w:w="1305" w:type="dxa"/>
          </w:tcPr>
          <w:p w14:paraId="77C2480F" w14:textId="77777777" w:rsidR="004D6EC2" w:rsidRDefault="004D6EC2" w:rsidP="004D6EC2">
            <w:pPr>
              <w:pStyle w:val="TableText"/>
              <w:jc w:val="right"/>
            </w:pPr>
            <w:r>
              <w:rPr>
                <w:w w:val="105"/>
              </w:rPr>
              <w:t>34,497</w:t>
            </w:r>
          </w:p>
        </w:tc>
        <w:tc>
          <w:tcPr>
            <w:tcW w:w="1035" w:type="dxa"/>
          </w:tcPr>
          <w:p w14:paraId="735350DF" w14:textId="77777777" w:rsidR="004D6EC2" w:rsidRDefault="004D6EC2" w:rsidP="004D6EC2">
            <w:pPr>
              <w:pStyle w:val="TableText"/>
              <w:jc w:val="right"/>
            </w:pPr>
            <w:r>
              <w:t>35,190</w:t>
            </w:r>
          </w:p>
        </w:tc>
      </w:tr>
      <w:tr w:rsidR="004D6EC2" w14:paraId="4755C2E0" w14:textId="77777777" w:rsidTr="004D6EC2">
        <w:trPr>
          <w:trHeight w:val="340"/>
        </w:trPr>
        <w:tc>
          <w:tcPr>
            <w:tcW w:w="1269" w:type="dxa"/>
          </w:tcPr>
          <w:p w14:paraId="07E7B029" w14:textId="767F23BF" w:rsidR="004D6EC2" w:rsidRDefault="004D6EC2" w:rsidP="004D6EC2">
            <w:pPr>
              <w:pStyle w:val="TableText"/>
              <w:jc w:val="right"/>
              <w:rPr>
                <w:w w:val="105"/>
              </w:rPr>
            </w:pPr>
            <w:r>
              <w:rPr>
                <w:w w:val="105"/>
              </w:rPr>
              <w:t>367,323</w:t>
            </w:r>
          </w:p>
        </w:tc>
        <w:tc>
          <w:tcPr>
            <w:tcW w:w="4111" w:type="dxa"/>
          </w:tcPr>
          <w:p w14:paraId="1AD55B2E" w14:textId="5A89E0BA" w:rsidR="004D6EC2" w:rsidRDefault="004D6EC2" w:rsidP="004D6EC2">
            <w:pPr>
              <w:pStyle w:val="TableText"/>
            </w:pPr>
            <w:r>
              <w:rPr>
                <w:w w:val="105"/>
              </w:rPr>
              <w:t>Reimbursement</w:t>
            </w:r>
            <w:r>
              <w:rPr>
                <w:spacing w:val="-10"/>
                <w:w w:val="105"/>
              </w:rPr>
              <w:t xml:space="preserve"> </w:t>
            </w:r>
            <w:r>
              <w:rPr>
                <w:w w:val="105"/>
              </w:rPr>
              <w:t>of</w:t>
            </w:r>
            <w:r>
              <w:rPr>
                <w:spacing w:val="-10"/>
                <w:w w:val="105"/>
              </w:rPr>
              <w:t xml:space="preserve"> </w:t>
            </w:r>
            <w:r>
              <w:rPr>
                <w:w w:val="105"/>
              </w:rPr>
              <w:t>non-earners’</w:t>
            </w:r>
            <w:r>
              <w:rPr>
                <w:spacing w:val="-9"/>
                <w:w w:val="105"/>
              </w:rPr>
              <w:t xml:space="preserve"> </w:t>
            </w:r>
            <w:r>
              <w:rPr>
                <w:w w:val="105"/>
              </w:rPr>
              <w:t>account</w:t>
            </w:r>
          </w:p>
        </w:tc>
        <w:tc>
          <w:tcPr>
            <w:tcW w:w="1071" w:type="dxa"/>
          </w:tcPr>
          <w:p w14:paraId="0617C5FC" w14:textId="77777777" w:rsidR="004D6EC2" w:rsidRDefault="004D6EC2" w:rsidP="004D6EC2">
            <w:pPr>
              <w:pStyle w:val="TableText"/>
              <w:jc w:val="right"/>
            </w:pPr>
            <w:r>
              <w:t>416,082</w:t>
            </w:r>
          </w:p>
        </w:tc>
        <w:tc>
          <w:tcPr>
            <w:tcW w:w="1305" w:type="dxa"/>
          </w:tcPr>
          <w:p w14:paraId="591318F5" w14:textId="77777777" w:rsidR="004D6EC2" w:rsidRDefault="004D6EC2" w:rsidP="004D6EC2">
            <w:pPr>
              <w:pStyle w:val="TableText"/>
              <w:jc w:val="right"/>
            </w:pPr>
            <w:r>
              <w:rPr>
                <w:w w:val="110"/>
              </w:rPr>
              <w:t>407,885</w:t>
            </w:r>
          </w:p>
        </w:tc>
        <w:tc>
          <w:tcPr>
            <w:tcW w:w="1035" w:type="dxa"/>
          </w:tcPr>
          <w:p w14:paraId="4CB142A0" w14:textId="77777777" w:rsidR="004D6EC2" w:rsidRDefault="004D6EC2" w:rsidP="004D6EC2">
            <w:pPr>
              <w:pStyle w:val="TableText"/>
              <w:jc w:val="right"/>
            </w:pPr>
            <w:r>
              <w:t>416,082</w:t>
            </w:r>
          </w:p>
        </w:tc>
      </w:tr>
      <w:tr w:rsidR="004D6EC2" w14:paraId="44D05885" w14:textId="77777777" w:rsidTr="004D6EC2">
        <w:trPr>
          <w:trHeight w:val="340"/>
        </w:trPr>
        <w:tc>
          <w:tcPr>
            <w:tcW w:w="1269" w:type="dxa"/>
          </w:tcPr>
          <w:p w14:paraId="505F54CA" w14:textId="4DA56557" w:rsidR="004D6EC2" w:rsidRDefault="004D6EC2" w:rsidP="004D6EC2">
            <w:pPr>
              <w:pStyle w:val="TableText"/>
              <w:jc w:val="right"/>
            </w:pPr>
            <w:r>
              <w:t>121,311</w:t>
            </w:r>
          </w:p>
        </w:tc>
        <w:tc>
          <w:tcPr>
            <w:tcW w:w="4111" w:type="dxa"/>
          </w:tcPr>
          <w:p w14:paraId="4021E18B" w14:textId="40BCDF22" w:rsidR="004D6EC2" w:rsidRDefault="004D6EC2" w:rsidP="004D6EC2">
            <w:pPr>
              <w:pStyle w:val="TableText"/>
            </w:pPr>
            <w:r>
              <w:t>Reimbursement</w:t>
            </w:r>
            <w:r>
              <w:rPr>
                <w:spacing w:val="2"/>
              </w:rPr>
              <w:t xml:space="preserve"> </w:t>
            </w:r>
            <w:r>
              <w:t>of</w:t>
            </w:r>
            <w:r>
              <w:rPr>
                <w:spacing w:val="2"/>
              </w:rPr>
              <w:t xml:space="preserve"> </w:t>
            </w:r>
            <w:r>
              <w:t>earners’</w:t>
            </w:r>
            <w:r>
              <w:rPr>
                <w:spacing w:val="3"/>
              </w:rPr>
              <w:t xml:space="preserve"> </w:t>
            </w:r>
            <w:r>
              <w:t>non-work-related hospital costs</w:t>
            </w:r>
          </w:p>
        </w:tc>
        <w:tc>
          <w:tcPr>
            <w:tcW w:w="1071" w:type="dxa"/>
          </w:tcPr>
          <w:p w14:paraId="6ED666FD" w14:textId="77777777" w:rsidR="004D6EC2" w:rsidRDefault="004D6EC2" w:rsidP="004D6EC2">
            <w:pPr>
              <w:pStyle w:val="TableText"/>
              <w:jc w:val="right"/>
            </w:pPr>
            <w:r>
              <w:t>134,786</w:t>
            </w:r>
          </w:p>
        </w:tc>
        <w:tc>
          <w:tcPr>
            <w:tcW w:w="1305" w:type="dxa"/>
          </w:tcPr>
          <w:p w14:paraId="3239DB6B" w14:textId="77777777" w:rsidR="004D6EC2" w:rsidRDefault="004D6EC2" w:rsidP="004D6EC2">
            <w:pPr>
              <w:pStyle w:val="TableText"/>
              <w:jc w:val="right"/>
            </w:pPr>
            <w:r>
              <w:rPr>
                <w:w w:val="90"/>
              </w:rPr>
              <w:t>132,131</w:t>
            </w:r>
          </w:p>
        </w:tc>
        <w:tc>
          <w:tcPr>
            <w:tcW w:w="1035" w:type="dxa"/>
          </w:tcPr>
          <w:p w14:paraId="70A353BC" w14:textId="77777777" w:rsidR="004D6EC2" w:rsidRDefault="004D6EC2" w:rsidP="004D6EC2">
            <w:pPr>
              <w:pStyle w:val="TableText"/>
              <w:jc w:val="right"/>
            </w:pPr>
            <w:r>
              <w:t>134,786</w:t>
            </w:r>
          </w:p>
        </w:tc>
      </w:tr>
      <w:tr w:rsidR="004D6EC2" w14:paraId="509073F9" w14:textId="77777777" w:rsidTr="004D6EC2">
        <w:trPr>
          <w:trHeight w:val="340"/>
        </w:trPr>
        <w:tc>
          <w:tcPr>
            <w:tcW w:w="1269" w:type="dxa"/>
          </w:tcPr>
          <w:p w14:paraId="0872F0AB" w14:textId="5FFF378F" w:rsidR="004D6EC2" w:rsidRDefault="004D6EC2" w:rsidP="004D6EC2">
            <w:pPr>
              <w:pStyle w:val="TableText"/>
              <w:jc w:val="right"/>
              <w:rPr>
                <w:w w:val="105"/>
              </w:rPr>
            </w:pPr>
            <w:r>
              <w:rPr>
                <w:w w:val="105"/>
              </w:rPr>
              <w:t>58,746</w:t>
            </w:r>
          </w:p>
        </w:tc>
        <w:tc>
          <w:tcPr>
            <w:tcW w:w="4111" w:type="dxa"/>
          </w:tcPr>
          <w:p w14:paraId="07E0BEA9" w14:textId="4727E168" w:rsidR="004D6EC2" w:rsidRDefault="004D6EC2" w:rsidP="004D6EC2">
            <w:pPr>
              <w:pStyle w:val="TableText"/>
            </w:pPr>
            <w:r>
              <w:rPr>
                <w:w w:val="105"/>
              </w:rPr>
              <w:t>Reimbursement</w:t>
            </w:r>
            <w:r>
              <w:rPr>
                <w:spacing w:val="-6"/>
                <w:w w:val="105"/>
              </w:rPr>
              <w:t xml:space="preserve"> </w:t>
            </w:r>
            <w:r>
              <w:rPr>
                <w:w w:val="105"/>
              </w:rPr>
              <w:t>of</w:t>
            </w:r>
            <w:r>
              <w:rPr>
                <w:spacing w:val="-5"/>
                <w:w w:val="105"/>
              </w:rPr>
              <w:t xml:space="preserve"> </w:t>
            </w:r>
            <w:r>
              <w:rPr>
                <w:w w:val="105"/>
              </w:rPr>
              <w:t>motor</w:t>
            </w:r>
            <w:r>
              <w:rPr>
                <w:spacing w:val="-6"/>
                <w:w w:val="105"/>
              </w:rPr>
              <w:t xml:space="preserve"> </w:t>
            </w:r>
            <w:r>
              <w:rPr>
                <w:w w:val="105"/>
              </w:rPr>
              <w:t>vehicle-related</w:t>
            </w:r>
            <w:r>
              <w:rPr>
                <w:spacing w:val="-5"/>
                <w:w w:val="105"/>
              </w:rPr>
              <w:t xml:space="preserve"> </w:t>
            </w:r>
            <w:r>
              <w:rPr>
                <w:w w:val="105"/>
              </w:rPr>
              <w:t>public</w:t>
            </w:r>
          </w:p>
        </w:tc>
        <w:tc>
          <w:tcPr>
            <w:tcW w:w="1071" w:type="dxa"/>
          </w:tcPr>
          <w:p w14:paraId="53FF12CA" w14:textId="77777777" w:rsidR="004D6EC2" w:rsidRDefault="004D6EC2" w:rsidP="004D6EC2">
            <w:pPr>
              <w:pStyle w:val="TableText"/>
              <w:jc w:val="right"/>
            </w:pPr>
            <w:r>
              <w:rPr>
                <w:w w:val="105"/>
              </w:rPr>
              <w:t>65,270</w:t>
            </w:r>
          </w:p>
        </w:tc>
        <w:tc>
          <w:tcPr>
            <w:tcW w:w="1305" w:type="dxa"/>
          </w:tcPr>
          <w:p w14:paraId="7B80AE77" w14:textId="77777777" w:rsidR="004D6EC2" w:rsidRDefault="004D6EC2" w:rsidP="004D6EC2">
            <w:pPr>
              <w:pStyle w:val="TableText"/>
              <w:jc w:val="right"/>
            </w:pPr>
            <w:r>
              <w:rPr>
                <w:w w:val="110"/>
              </w:rPr>
              <w:t>63,985</w:t>
            </w:r>
          </w:p>
        </w:tc>
        <w:tc>
          <w:tcPr>
            <w:tcW w:w="1035" w:type="dxa"/>
          </w:tcPr>
          <w:p w14:paraId="12B1F854" w14:textId="77777777" w:rsidR="004D6EC2" w:rsidRDefault="004D6EC2" w:rsidP="004D6EC2">
            <w:pPr>
              <w:pStyle w:val="TableText"/>
              <w:jc w:val="right"/>
            </w:pPr>
            <w:r>
              <w:t>65,271</w:t>
            </w:r>
          </w:p>
        </w:tc>
      </w:tr>
      <w:tr w:rsidR="004D6EC2" w14:paraId="737FEEC5" w14:textId="77777777" w:rsidTr="004D6EC2">
        <w:trPr>
          <w:trHeight w:val="340"/>
        </w:trPr>
        <w:tc>
          <w:tcPr>
            <w:tcW w:w="1269" w:type="dxa"/>
          </w:tcPr>
          <w:p w14:paraId="344967D8" w14:textId="3DB68961" w:rsidR="004D6EC2" w:rsidRDefault="004D6EC2" w:rsidP="004D6EC2">
            <w:pPr>
              <w:pStyle w:val="TableText"/>
              <w:jc w:val="right"/>
              <w:rPr>
                <w:w w:val="105"/>
              </w:rPr>
            </w:pPr>
            <w:r>
              <w:rPr>
                <w:w w:val="105"/>
              </w:rPr>
              <w:t xml:space="preserve">3,549 </w:t>
            </w:r>
            <w:r>
              <w:rPr>
                <w:spacing w:val="11"/>
                <w:w w:val="105"/>
              </w:rPr>
              <w:t xml:space="preserve"> </w:t>
            </w:r>
          </w:p>
        </w:tc>
        <w:tc>
          <w:tcPr>
            <w:tcW w:w="4111" w:type="dxa"/>
          </w:tcPr>
          <w:p w14:paraId="50BDFFE8" w14:textId="2D981050" w:rsidR="004D6EC2" w:rsidRDefault="004D6EC2" w:rsidP="004D6EC2">
            <w:pPr>
              <w:pStyle w:val="TableText"/>
            </w:pPr>
            <w:r>
              <w:rPr>
                <w:w w:val="105"/>
              </w:rPr>
              <w:t>Reimbursement</w:t>
            </w:r>
            <w:r>
              <w:rPr>
                <w:spacing w:val="-3"/>
                <w:w w:val="105"/>
              </w:rPr>
              <w:t xml:space="preserve"> </w:t>
            </w:r>
            <w:r>
              <w:rPr>
                <w:w w:val="105"/>
              </w:rPr>
              <w:t>of</w:t>
            </w:r>
            <w:r>
              <w:rPr>
                <w:spacing w:val="-2"/>
                <w:w w:val="105"/>
              </w:rPr>
              <w:t xml:space="preserve"> </w:t>
            </w:r>
            <w:r>
              <w:rPr>
                <w:w w:val="105"/>
              </w:rPr>
              <w:t>medical</w:t>
            </w:r>
            <w:r>
              <w:rPr>
                <w:spacing w:val="-2"/>
                <w:w w:val="105"/>
              </w:rPr>
              <w:t xml:space="preserve"> </w:t>
            </w:r>
            <w:r>
              <w:rPr>
                <w:w w:val="105"/>
              </w:rPr>
              <w:t>misadventure</w:t>
            </w:r>
            <w:r>
              <w:rPr>
                <w:spacing w:val="-3"/>
                <w:w w:val="105"/>
              </w:rPr>
              <w:t xml:space="preserve"> </w:t>
            </w:r>
            <w:r>
              <w:rPr>
                <w:w w:val="105"/>
              </w:rPr>
              <w:t>costs</w:t>
            </w:r>
          </w:p>
        </w:tc>
        <w:tc>
          <w:tcPr>
            <w:tcW w:w="1071" w:type="dxa"/>
          </w:tcPr>
          <w:p w14:paraId="240F4911" w14:textId="77777777" w:rsidR="004D6EC2" w:rsidRDefault="004D6EC2" w:rsidP="004D6EC2">
            <w:pPr>
              <w:pStyle w:val="TableText"/>
              <w:jc w:val="right"/>
            </w:pPr>
            <w:r>
              <w:rPr>
                <w:w w:val="105"/>
              </w:rPr>
              <w:t>3,943</w:t>
            </w:r>
          </w:p>
        </w:tc>
        <w:tc>
          <w:tcPr>
            <w:tcW w:w="1305" w:type="dxa"/>
          </w:tcPr>
          <w:p w14:paraId="7972C639" w14:textId="77777777" w:rsidR="004D6EC2" w:rsidRDefault="004D6EC2" w:rsidP="004D6EC2">
            <w:pPr>
              <w:pStyle w:val="TableText"/>
              <w:jc w:val="right"/>
            </w:pPr>
            <w:r>
              <w:rPr>
                <w:w w:val="110"/>
              </w:rPr>
              <w:t>3,865</w:t>
            </w:r>
          </w:p>
        </w:tc>
        <w:tc>
          <w:tcPr>
            <w:tcW w:w="1035" w:type="dxa"/>
          </w:tcPr>
          <w:p w14:paraId="432B69A0" w14:textId="77777777" w:rsidR="004D6EC2" w:rsidRDefault="004D6EC2" w:rsidP="004D6EC2">
            <w:pPr>
              <w:pStyle w:val="TableText"/>
              <w:jc w:val="right"/>
            </w:pPr>
            <w:r>
              <w:rPr>
                <w:w w:val="105"/>
              </w:rPr>
              <w:t>3,943</w:t>
            </w:r>
          </w:p>
        </w:tc>
      </w:tr>
      <w:tr w:rsidR="004D6EC2" w14:paraId="44D7AA8B" w14:textId="77777777" w:rsidTr="004D6EC2">
        <w:trPr>
          <w:trHeight w:val="340"/>
        </w:trPr>
        <w:tc>
          <w:tcPr>
            <w:tcW w:w="1269" w:type="dxa"/>
          </w:tcPr>
          <w:p w14:paraId="4632BA03" w14:textId="446E0B0E" w:rsidR="004D6EC2" w:rsidRDefault="004D6EC2" w:rsidP="004D6EC2">
            <w:pPr>
              <w:pStyle w:val="TableText"/>
              <w:jc w:val="right"/>
              <w:rPr>
                <w:w w:val="105"/>
              </w:rPr>
            </w:pPr>
            <w:r>
              <w:rPr>
                <w:w w:val="105"/>
              </w:rPr>
              <w:t>7,376</w:t>
            </w:r>
          </w:p>
        </w:tc>
        <w:tc>
          <w:tcPr>
            <w:tcW w:w="4111" w:type="dxa"/>
          </w:tcPr>
          <w:p w14:paraId="0DF7FEFE" w14:textId="0E14863A" w:rsidR="004D6EC2" w:rsidRDefault="004D6EC2" w:rsidP="004D6EC2">
            <w:pPr>
              <w:pStyle w:val="TableText"/>
            </w:pPr>
            <w:r>
              <w:rPr>
                <w:w w:val="105"/>
              </w:rPr>
              <w:t>Reimbursement</w:t>
            </w:r>
            <w:r>
              <w:rPr>
                <w:spacing w:val="-7"/>
                <w:w w:val="105"/>
              </w:rPr>
              <w:t xml:space="preserve"> </w:t>
            </w:r>
            <w:r>
              <w:rPr>
                <w:w w:val="105"/>
              </w:rPr>
              <w:t>of</w:t>
            </w:r>
            <w:r>
              <w:rPr>
                <w:spacing w:val="-6"/>
                <w:w w:val="105"/>
              </w:rPr>
              <w:t xml:space="preserve"> </w:t>
            </w:r>
            <w:r>
              <w:rPr>
                <w:w w:val="105"/>
              </w:rPr>
              <w:t>self-employed</w:t>
            </w:r>
            <w:r>
              <w:rPr>
                <w:spacing w:val="-6"/>
                <w:w w:val="105"/>
              </w:rPr>
              <w:t xml:space="preserve"> </w:t>
            </w:r>
            <w:r>
              <w:rPr>
                <w:w w:val="105"/>
              </w:rPr>
              <w:t>public</w:t>
            </w:r>
          </w:p>
        </w:tc>
        <w:tc>
          <w:tcPr>
            <w:tcW w:w="1071" w:type="dxa"/>
          </w:tcPr>
          <w:p w14:paraId="7DFE20D3" w14:textId="77777777" w:rsidR="004D6EC2" w:rsidRDefault="004D6EC2" w:rsidP="004D6EC2">
            <w:pPr>
              <w:pStyle w:val="TableText"/>
              <w:jc w:val="right"/>
            </w:pPr>
            <w:r>
              <w:t>8,195</w:t>
            </w:r>
          </w:p>
        </w:tc>
        <w:tc>
          <w:tcPr>
            <w:tcW w:w="1305" w:type="dxa"/>
          </w:tcPr>
          <w:p w14:paraId="193E3498" w14:textId="77777777" w:rsidR="004D6EC2" w:rsidRDefault="004D6EC2" w:rsidP="004D6EC2">
            <w:pPr>
              <w:pStyle w:val="TableText"/>
              <w:jc w:val="right"/>
            </w:pPr>
            <w:r>
              <w:rPr>
                <w:w w:val="105"/>
              </w:rPr>
              <w:t>8,034</w:t>
            </w:r>
          </w:p>
        </w:tc>
        <w:tc>
          <w:tcPr>
            <w:tcW w:w="1035" w:type="dxa"/>
          </w:tcPr>
          <w:p w14:paraId="02745B1A" w14:textId="77777777" w:rsidR="004D6EC2" w:rsidRDefault="004D6EC2" w:rsidP="004D6EC2">
            <w:pPr>
              <w:pStyle w:val="TableText"/>
              <w:jc w:val="right"/>
            </w:pPr>
            <w:r>
              <w:t>8,195</w:t>
            </w:r>
          </w:p>
        </w:tc>
      </w:tr>
      <w:tr w:rsidR="004D6EC2" w:rsidRPr="004D6EC2" w14:paraId="613B0E76" w14:textId="77777777" w:rsidTr="004D6EC2">
        <w:trPr>
          <w:trHeight w:val="340"/>
        </w:trPr>
        <w:tc>
          <w:tcPr>
            <w:tcW w:w="1269" w:type="dxa"/>
            <w:tcBorders>
              <w:bottom w:val="single" w:sz="4" w:space="0" w:color="A6A6A6" w:themeColor="background1" w:themeShade="A6"/>
            </w:tcBorders>
          </w:tcPr>
          <w:p w14:paraId="401F9A60" w14:textId="6853A618" w:rsidR="004D6EC2" w:rsidRPr="004D6EC2" w:rsidRDefault="004D6EC2" w:rsidP="004D6EC2">
            <w:pPr>
              <w:pStyle w:val="TableText"/>
              <w:jc w:val="right"/>
              <w:rPr>
                <w:b/>
                <w:bCs/>
                <w:w w:val="105"/>
              </w:rPr>
            </w:pPr>
            <w:r w:rsidRPr="004D6EC2">
              <w:rPr>
                <w:b/>
                <w:bCs/>
                <w:w w:val="105"/>
              </w:rPr>
              <w:t xml:space="preserve">597,140  </w:t>
            </w:r>
            <w:r w:rsidRPr="004D6EC2">
              <w:rPr>
                <w:b/>
                <w:bCs/>
                <w:spacing w:val="33"/>
                <w:w w:val="105"/>
              </w:rPr>
              <w:t xml:space="preserve"> </w:t>
            </w:r>
          </w:p>
        </w:tc>
        <w:tc>
          <w:tcPr>
            <w:tcW w:w="4111" w:type="dxa"/>
            <w:tcBorders>
              <w:bottom w:val="single" w:sz="4" w:space="0" w:color="A6A6A6" w:themeColor="background1" w:themeShade="A6"/>
            </w:tcBorders>
          </w:tcPr>
          <w:p w14:paraId="20B675E2" w14:textId="3A65A40F" w:rsidR="004D6EC2" w:rsidRPr="004D6EC2" w:rsidRDefault="004D6EC2" w:rsidP="004D6EC2">
            <w:pPr>
              <w:pStyle w:val="TableText"/>
              <w:rPr>
                <w:b/>
                <w:bCs/>
              </w:rPr>
            </w:pPr>
            <w:r w:rsidRPr="004D6EC2">
              <w:rPr>
                <w:b/>
                <w:bCs/>
                <w:w w:val="105"/>
              </w:rPr>
              <w:t>Total</w:t>
            </w:r>
            <w:r w:rsidRPr="004D6EC2">
              <w:rPr>
                <w:b/>
                <w:bCs/>
                <w:spacing w:val="-2"/>
                <w:w w:val="105"/>
              </w:rPr>
              <w:t xml:space="preserve"> </w:t>
            </w:r>
            <w:r w:rsidRPr="004D6EC2">
              <w:rPr>
                <w:b/>
                <w:bCs/>
                <w:w w:val="105"/>
              </w:rPr>
              <w:t>ACC</w:t>
            </w:r>
            <w:r w:rsidRPr="004D6EC2">
              <w:rPr>
                <w:b/>
                <w:bCs/>
                <w:spacing w:val="-2"/>
                <w:w w:val="105"/>
              </w:rPr>
              <w:t xml:space="preserve"> </w:t>
            </w:r>
            <w:r w:rsidRPr="004D6EC2">
              <w:rPr>
                <w:b/>
                <w:bCs/>
                <w:w w:val="105"/>
              </w:rPr>
              <w:t>reimbursements</w:t>
            </w:r>
          </w:p>
        </w:tc>
        <w:tc>
          <w:tcPr>
            <w:tcW w:w="1071" w:type="dxa"/>
            <w:tcBorders>
              <w:bottom w:val="single" w:sz="4" w:space="0" w:color="A6A6A6" w:themeColor="background1" w:themeShade="A6"/>
            </w:tcBorders>
          </w:tcPr>
          <w:p w14:paraId="12D5325A" w14:textId="77777777" w:rsidR="004D6EC2" w:rsidRPr="004D6EC2" w:rsidRDefault="004D6EC2" w:rsidP="004D6EC2">
            <w:pPr>
              <w:pStyle w:val="TableText"/>
              <w:jc w:val="right"/>
              <w:rPr>
                <w:b/>
                <w:bCs/>
              </w:rPr>
            </w:pPr>
            <w:r w:rsidRPr="004D6EC2">
              <w:rPr>
                <w:b/>
                <w:bCs/>
              </w:rPr>
              <w:t>670,911</w:t>
            </w:r>
          </w:p>
        </w:tc>
        <w:tc>
          <w:tcPr>
            <w:tcW w:w="1305" w:type="dxa"/>
            <w:tcBorders>
              <w:bottom w:val="single" w:sz="4" w:space="0" w:color="A6A6A6" w:themeColor="background1" w:themeShade="A6"/>
            </w:tcBorders>
          </w:tcPr>
          <w:p w14:paraId="17F9529B" w14:textId="77777777" w:rsidR="004D6EC2" w:rsidRPr="004D6EC2" w:rsidRDefault="004D6EC2" w:rsidP="004D6EC2">
            <w:pPr>
              <w:pStyle w:val="TableText"/>
              <w:jc w:val="right"/>
              <w:rPr>
                <w:b/>
                <w:bCs/>
              </w:rPr>
            </w:pPr>
            <w:r w:rsidRPr="004D6EC2">
              <w:rPr>
                <w:b/>
                <w:bCs/>
                <w:w w:val="105"/>
              </w:rPr>
              <w:t>657,491</w:t>
            </w:r>
          </w:p>
        </w:tc>
        <w:tc>
          <w:tcPr>
            <w:tcW w:w="1035" w:type="dxa"/>
            <w:tcBorders>
              <w:bottom w:val="single" w:sz="4" w:space="0" w:color="A6A6A6" w:themeColor="background1" w:themeShade="A6"/>
            </w:tcBorders>
          </w:tcPr>
          <w:p w14:paraId="52E2C8B8" w14:textId="77777777" w:rsidR="004D6EC2" w:rsidRPr="004D6EC2" w:rsidRDefault="004D6EC2" w:rsidP="004D6EC2">
            <w:pPr>
              <w:pStyle w:val="TableText"/>
              <w:jc w:val="right"/>
              <w:rPr>
                <w:b/>
                <w:bCs/>
              </w:rPr>
            </w:pPr>
            <w:r w:rsidRPr="004D6EC2">
              <w:rPr>
                <w:b/>
                <w:bCs/>
              </w:rPr>
              <w:t>670,912</w:t>
            </w:r>
          </w:p>
        </w:tc>
      </w:tr>
      <w:tr w:rsidR="004D6EC2" w:rsidRPr="004D6EC2" w14:paraId="21E8A04D" w14:textId="77777777" w:rsidTr="004D6EC2">
        <w:trPr>
          <w:trHeight w:val="340"/>
        </w:trPr>
        <w:tc>
          <w:tcPr>
            <w:tcW w:w="1269" w:type="dxa"/>
            <w:tcBorders>
              <w:top w:val="single" w:sz="4" w:space="0" w:color="A6A6A6" w:themeColor="background1" w:themeShade="A6"/>
            </w:tcBorders>
          </w:tcPr>
          <w:p w14:paraId="7630E898" w14:textId="77777777" w:rsidR="004D6EC2" w:rsidRPr="004D6EC2" w:rsidRDefault="004D6EC2" w:rsidP="004D6EC2">
            <w:pPr>
              <w:pStyle w:val="TableText"/>
              <w:jc w:val="right"/>
              <w:rPr>
                <w:b/>
                <w:bCs/>
                <w:w w:val="105"/>
              </w:rPr>
            </w:pPr>
          </w:p>
        </w:tc>
        <w:tc>
          <w:tcPr>
            <w:tcW w:w="4111" w:type="dxa"/>
            <w:tcBorders>
              <w:top w:val="single" w:sz="4" w:space="0" w:color="A6A6A6" w:themeColor="background1" w:themeShade="A6"/>
            </w:tcBorders>
          </w:tcPr>
          <w:p w14:paraId="4D580442" w14:textId="2C903F70" w:rsidR="004D6EC2" w:rsidRPr="004D6EC2" w:rsidRDefault="004D6EC2" w:rsidP="004D6EC2">
            <w:pPr>
              <w:pStyle w:val="TableText"/>
              <w:rPr>
                <w:b/>
                <w:bCs/>
              </w:rPr>
            </w:pPr>
            <w:r w:rsidRPr="004D6EC2">
              <w:rPr>
                <w:b/>
                <w:bCs/>
                <w:w w:val="105"/>
              </w:rPr>
              <w:t>Other</w:t>
            </w:r>
            <w:r w:rsidRPr="004D6EC2">
              <w:rPr>
                <w:b/>
                <w:bCs/>
                <w:spacing w:val="6"/>
                <w:w w:val="105"/>
              </w:rPr>
              <w:t xml:space="preserve"> </w:t>
            </w:r>
            <w:r w:rsidRPr="004D6EC2">
              <w:rPr>
                <w:b/>
                <w:bCs/>
                <w:w w:val="105"/>
              </w:rPr>
              <w:t>non-departmental</w:t>
            </w:r>
            <w:r w:rsidRPr="004D6EC2">
              <w:rPr>
                <w:b/>
                <w:bCs/>
                <w:spacing w:val="7"/>
                <w:w w:val="105"/>
              </w:rPr>
              <w:t xml:space="preserve"> </w:t>
            </w:r>
            <w:r w:rsidRPr="004D6EC2">
              <w:rPr>
                <w:b/>
                <w:bCs/>
                <w:w w:val="105"/>
              </w:rPr>
              <w:t>revenue</w:t>
            </w:r>
          </w:p>
        </w:tc>
        <w:tc>
          <w:tcPr>
            <w:tcW w:w="1071" w:type="dxa"/>
            <w:tcBorders>
              <w:top w:val="single" w:sz="4" w:space="0" w:color="A6A6A6" w:themeColor="background1" w:themeShade="A6"/>
            </w:tcBorders>
          </w:tcPr>
          <w:p w14:paraId="44A82753" w14:textId="77777777" w:rsidR="004D6EC2" w:rsidRPr="004D6EC2" w:rsidRDefault="004D6EC2" w:rsidP="004D6EC2">
            <w:pPr>
              <w:pStyle w:val="TableText"/>
              <w:jc w:val="right"/>
              <w:rPr>
                <w:b/>
                <w:bCs/>
              </w:rPr>
            </w:pPr>
          </w:p>
        </w:tc>
        <w:tc>
          <w:tcPr>
            <w:tcW w:w="1305" w:type="dxa"/>
            <w:tcBorders>
              <w:top w:val="single" w:sz="4" w:space="0" w:color="A6A6A6" w:themeColor="background1" w:themeShade="A6"/>
            </w:tcBorders>
          </w:tcPr>
          <w:p w14:paraId="01F982B5" w14:textId="77777777" w:rsidR="004D6EC2" w:rsidRPr="004D6EC2" w:rsidRDefault="004D6EC2" w:rsidP="004D6EC2">
            <w:pPr>
              <w:pStyle w:val="TableText"/>
              <w:jc w:val="right"/>
              <w:rPr>
                <w:b/>
                <w:bCs/>
                <w:w w:val="105"/>
              </w:rPr>
            </w:pPr>
          </w:p>
        </w:tc>
        <w:tc>
          <w:tcPr>
            <w:tcW w:w="1035" w:type="dxa"/>
            <w:tcBorders>
              <w:top w:val="single" w:sz="4" w:space="0" w:color="A6A6A6" w:themeColor="background1" w:themeShade="A6"/>
            </w:tcBorders>
          </w:tcPr>
          <w:p w14:paraId="5C180E47" w14:textId="77777777" w:rsidR="004D6EC2" w:rsidRPr="004D6EC2" w:rsidRDefault="004D6EC2" w:rsidP="004D6EC2">
            <w:pPr>
              <w:pStyle w:val="TableText"/>
              <w:jc w:val="right"/>
              <w:rPr>
                <w:b/>
                <w:bCs/>
              </w:rPr>
            </w:pPr>
          </w:p>
        </w:tc>
      </w:tr>
      <w:tr w:rsidR="004D6EC2" w14:paraId="7D131A9B" w14:textId="77777777" w:rsidTr="004D6EC2">
        <w:trPr>
          <w:trHeight w:val="340"/>
        </w:trPr>
        <w:tc>
          <w:tcPr>
            <w:tcW w:w="1269" w:type="dxa"/>
          </w:tcPr>
          <w:p w14:paraId="0FD6526B" w14:textId="394FAA8F" w:rsidR="004D6EC2" w:rsidRDefault="004D6EC2" w:rsidP="004D6EC2">
            <w:pPr>
              <w:pStyle w:val="TableText"/>
              <w:jc w:val="right"/>
              <w:rPr>
                <w:w w:val="105"/>
              </w:rPr>
            </w:pPr>
            <w:r>
              <w:rPr>
                <w:w w:val="105"/>
              </w:rPr>
              <w:t>249,586</w:t>
            </w:r>
          </w:p>
        </w:tc>
        <w:tc>
          <w:tcPr>
            <w:tcW w:w="4111" w:type="dxa"/>
          </w:tcPr>
          <w:p w14:paraId="6439A859" w14:textId="4E915AA7" w:rsidR="004D6EC2" w:rsidRDefault="004D6EC2" w:rsidP="004D6EC2">
            <w:pPr>
              <w:pStyle w:val="TableText"/>
            </w:pPr>
            <w:r>
              <w:rPr>
                <w:w w:val="105"/>
              </w:rPr>
              <w:t>Payment</w:t>
            </w:r>
            <w:r>
              <w:rPr>
                <w:spacing w:val="-11"/>
                <w:w w:val="105"/>
              </w:rPr>
              <w:t xml:space="preserve"> </w:t>
            </w:r>
            <w:r>
              <w:rPr>
                <w:w w:val="105"/>
              </w:rPr>
              <w:t>of</w:t>
            </w:r>
            <w:r>
              <w:rPr>
                <w:spacing w:val="-11"/>
                <w:w w:val="105"/>
              </w:rPr>
              <w:t xml:space="preserve"> </w:t>
            </w:r>
            <w:r>
              <w:rPr>
                <w:w w:val="105"/>
              </w:rPr>
              <w:t>capital</w:t>
            </w:r>
            <w:r>
              <w:rPr>
                <w:spacing w:val="-11"/>
                <w:w w:val="105"/>
              </w:rPr>
              <w:t xml:space="preserve"> </w:t>
            </w:r>
            <w:r>
              <w:rPr>
                <w:w w:val="105"/>
              </w:rPr>
              <w:t>charge</w:t>
            </w:r>
            <w:r>
              <w:rPr>
                <w:spacing w:val="-10"/>
                <w:w w:val="105"/>
              </w:rPr>
              <w:t xml:space="preserve"> </w:t>
            </w:r>
            <w:r>
              <w:rPr>
                <w:w w:val="105"/>
              </w:rPr>
              <w:t>by</w:t>
            </w:r>
            <w:r>
              <w:rPr>
                <w:spacing w:val="-11"/>
                <w:w w:val="105"/>
              </w:rPr>
              <w:t xml:space="preserve"> </w:t>
            </w:r>
            <w:r>
              <w:rPr>
                <w:w w:val="105"/>
              </w:rPr>
              <w:t>DHBs</w:t>
            </w:r>
            <w:r>
              <w:rPr>
                <w:spacing w:val="-11"/>
                <w:w w:val="105"/>
              </w:rPr>
              <w:t xml:space="preserve"> </w:t>
            </w:r>
            <w:r>
              <w:rPr>
                <w:w w:val="105"/>
              </w:rPr>
              <w:t>and</w:t>
            </w:r>
            <w:r>
              <w:rPr>
                <w:spacing w:val="-10"/>
                <w:w w:val="105"/>
              </w:rPr>
              <w:t xml:space="preserve"> </w:t>
            </w:r>
            <w:r>
              <w:rPr>
                <w:w w:val="105"/>
              </w:rPr>
              <w:t>NZ</w:t>
            </w:r>
          </w:p>
        </w:tc>
        <w:tc>
          <w:tcPr>
            <w:tcW w:w="1071" w:type="dxa"/>
          </w:tcPr>
          <w:p w14:paraId="761CC6F0" w14:textId="77777777" w:rsidR="004D6EC2" w:rsidRDefault="004D6EC2" w:rsidP="004D6EC2">
            <w:pPr>
              <w:pStyle w:val="TableText"/>
              <w:jc w:val="right"/>
            </w:pPr>
            <w:r>
              <w:rPr>
                <w:w w:val="110"/>
              </w:rPr>
              <w:t>304,860</w:t>
            </w:r>
          </w:p>
        </w:tc>
        <w:tc>
          <w:tcPr>
            <w:tcW w:w="1305" w:type="dxa"/>
          </w:tcPr>
          <w:p w14:paraId="7696F096" w14:textId="77777777" w:rsidR="004D6EC2" w:rsidRDefault="004D6EC2" w:rsidP="004D6EC2">
            <w:pPr>
              <w:pStyle w:val="TableText"/>
              <w:jc w:val="right"/>
            </w:pPr>
            <w:r>
              <w:rPr>
                <w:w w:val="105"/>
              </w:rPr>
              <w:t>374,638</w:t>
            </w:r>
          </w:p>
        </w:tc>
        <w:tc>
          <w:tcPr>
            <w:tcW w:w="1035" w:type="dxa"/>
          </w:tcPr>
          <w:p w14:paraId="57A5574D" w14:textId="77777777" w:rsidR="004D6EC2" w:rsidRDefault="004D6EC2" w:rsidP="004D6EC2">
            <w:pPr>
              <w:pStyle w:val="TableText"/>
              <w:jc w:val="right"/>
            </w:pPr>
            <w:r>
              <w:rPr>
                <w:w w:val="110"/>
              </w:rPr>
              <w:t>426,964</w:t>
            </w:r>
          </w:p>
        </w:tc>
      </w:tr>
      <w:tr w:rsidR="004D6EC2" w14:paraId="0BF1E210" w14:textId="77777777" w:rsidTr="004D6EC2">
        <w:trPr>
          <w:trHeight w:val="340"/>
        </w:trPr>
        <w:tc>
          <w:tcPr>
            <w:tcW w:w="1269" w:type="dxa"/>
          </w:tcPr>
          <w:p w14:paraId="10FACDBB" w14:textId="3BACA111" w:rsidR="004D6EC2" w:rsidRDefault="004D6EC2" w:rsidP="004D6EC2">
            <w:pPr>
              <w:pStyle w:val="TableText"/>
              <w:jc w:val="right"/>
            </w:pPr>
            <w:r>
              <w:t>12</w:t>
            </w:r>
          </w:p>
        </w:tc>
        <w:tc>
          <w:tcPr>
            <w:tcW w:w="4111" w:type="dxa"/>
          </w:tcPr>
          <w:p w14:paraId="60F0B341" w14:textId="2BE64332" w:rsidR="004D6EC2" w:rsidRDefault="004D6EC2" w:rsidP="004D6EC2">
            <w:pPr>
              <w:pStyle w:val="TableText"/>
            </w:pPr>
            <w:r>
              <w:t>Fines</w:t>
            </w:r>
            <w:r>
              <w:rPr>
                <w:spacing w:val="3"/>
              </w:rPr>
              <w:t xml:space="preserve"> </w:t>
            </w:r>
            <w:r>
              <w:t>and</w:t>
            </w:r>
            <w:r>
              <w:rPr>
                <w:spacing w:val="4"/>
              </w:rPr>
              <w:t xml:space="preserve"> </w:t>
            </w:r>
            <w:r>
              <w:t>penalties</w:t>
            </w:r>
          </w:p>
        </w:tc>
        <w:tc>
          <w:tcPr>
            <w:tcW w:w="1071" w:type="dxa"/>
          </w:tcPr>
          <w:p w14:paraId="0D19A3B3" w14:textId="77777777" w:rsidR="004D6EC2" w:rsidRDefault="004D6EC2" w:rsidP="004D6EC2">
            <w:pPr>
              <w:pStyle w:val="TableText"/>
              <w:jc w:val="right"/>
            </w:pPr>
            <w:r>
              <w:rPr>
                <w:w w:val="115"/>
              </w:rPr>
              <w:t>64</w:t>
            </w:r>
          </w:p>
        </w:tc>
        <w:tc>
          <w:tcPr>
            <w:tcW w:w="1305" w:type="dxa"/>
          </w:tcPr>
          <w:p w14:paraId="2BA9D0C3" w14:textId="77777777" w:rsidR="004D6EC2" w:rsidRDefault="004D6EC2" w:rsidP="004D6EC2">
            <w:pPr>
              <w:pStyle w:val="TableText"/>
              <w:jc w:val="right"/>
            </w:pPr>
            <w:r>
              <w:rPr>
                <w:w w:val="135"/>
              </w:rPr>
              <w:t>–</w:t>
            </w:r>
          </w:p>
        </w:tc>
        <w:tc>
          <w:tcPr>
            <w:tcW w:w="1035" w:type="dxa"/>
          </w:tcPr>
          <w:p w14:paraId="2CBA8E4D" w14:textId="77777777" w:rsidR="004D6EC2" w:rsidRDefault="004D6EC2" w:rsidP="004D6EC2">
            <w:pPr>
              <w:pStyle w:val="TableText"/>
              <w:jc w:val="right"/>
            </w:pPr>
            <w:r>
              <w:rPr>
                <w:w w:val="135"/>
              </w:rPr>
              <w:t>–</w:t>
            </w:r>
          </w:p>
        </w:tc>
      </w:tr>
      <w:tr w:rsidR="004D6EC2" w14:paraId="1494213A" w14:textId="77777777" w:rsidTr="004D6EC2">
        <w:trPr>
          <w:trHeight w:val="340"/>
        </w:trPr>
        <w:tc>
          <w:tcPr>
            <w:tcW w:w="1269" w:type="dxa"/>
          </w:tcPr>
          <w:p w14:paraId="76487050" w14:textId="7A7C1AE1" w:rsidR="004D6EC2" w:rsidRDefault="004D6EC2" w:rsidP="004D6EC2">
            <w:pPr>
              <w:pStyle w:val="TableText"/>
              <w:jc w:val="right"/>
            </w:pPr>
            <w:r>
              <w:t>18,792</w:t>
            </w:r>
          </w:p>
        </w:tc>
        <w:tc>
          <w:tcPr>
            <w:tcW w:w="4111" w:type="dxa"/>
          </w:tcPr>
          <w:p w14:paraId="597A3B3B" w14:textId="4DA628E8" w:rsidR="004D6EC2" w:rsidRDefault="004D6EC2" w:rsidP="004D6EC2">
            <w:pPr>
              <w:pStyle w:val="TableText"/>
            </w:pPr>
            <w:r>
              <w:t>Miscellaneous</w:t>
            </w:r>
          </w:p>
        </w:tc>
        <w:tc>
          <w:tcPr>
            <w:tcW w:w="1071" w:type="dxa"/>
          </w:tcPr>
          <w:p w14:paraId="413F21D9" w14:textId="77777777" w:rsidR="004D6EC2" w:rsidRDefault="004D6EC2" w:rsidP="004D6EC2">
            <w:pPr>
              <w:pStyle w:val="TableText"/>
              <w:jc w:val="right"/>
            </w:pPr>
            <w:r>
              <w:rPr>
                <w:w w:val="105"/>
              </w:rPr>
              <w:t>22,500</w:t>
            </w:r>
          </w:p>
        </w:tc>
        <w:tc>
          <w:tcPr>
            <w:tcW w:w="1305" w:type="dxa"/>
          </w:tcPr>
          <w:p w14:paraId="2E024C63" w14:textId="77777777" w:rsidR="004D6EC2" w:rsidRDefault="004D6EC2" w:rsidP="004D6EC2">
            <w:pPr>
              <w:pStyle w:val="TableText"/>
              <w:jc w:val="right"/>
            </w:pPr>
            <w:r>
              <w:rPr>
                <w:w w:val="105"/>
              </w:rPr>
              <w:t>2,674</w:t>
            </w:r>
          </w:p>
        </w:tc>
        <w:tc>
          <w:tcPr>
            <w:tcW w:w="1035" w:type="dxa"/>
          </w:tcPr>
          <w:p w14:paraId="2939418A" w14:textId="77777777" w:rsidR="004D6EC2" w:rsidRDefault="004D6EC2" w:rsidP="004D6EC2">
            <w:pPr>
              <w:pStyle w:val="TableText"/>
              <w:jc w:val="right"/>
            </w:pPr>
            <w:r>
              <w:t>13,596</w:t>
            </w:r>
          </w:p>
        </w:tc>
      </w:tr>
      <w:tr w:rsidR="004D6EC2" w:rsidRPr="004D6EC2" w14:paraId="6BEDFA46" w14:textId="77777777" w:rsidTr="004D6EC2">
        <w:trPr>
          <w:trHeight w:val="340"/>
        </w:trPr>
        <w:tc>
          <w:tcPr>
            <w:tcW w:w="1269" w:type="dxa"/>
            <w:tcBorders>
              <w:bottom w:val="single" w:sz="4" w:space="0" w:color="A6A6A6" w:themeColor="background1" w:themeShade="A6"/>
            </w:tcBorders>
          </w:tcPr>
          <w:p w14:paraId="10E47707" w14:textId="6C27B5A8" w:rsidR="004D6EC2" w:rsidRPr="004D6EC2" w:rsidRDefault="004D6EC2" w:rsidP="004D6EC2">
            <w:pPr>
              <w:pStyle w:val="TableText"/>
              <w:jc w:val="right"/>
              <w:rPr>
                <w:b/>
                <w:bCs/>
                <w:w w:val="105"/>
              </w:rPr>
            </w:pPr>
            <w:r w:rsidRPr="004D6EC2">
              <w:rPr>
                <w:b/>
                <w:bCs/>
                <w:w w:val="105"/>
              </w:rPr>
              <w:t xml:space="preserve">865,530   </w:t>
            </w:r>
            <w:r w:rsidRPr="004D6EC2">
              <w:rPr>
                <w:b/>
                <w:bCs/>
                <w:spacing w:val="17"/>
                <w:w w:val="105"/>
              </w:rPr>
              <w:t xml:space="preserve"> </w:t>
            </w:r>
          </w:p>
        </w:tc>
        <w:tc>
          <w:tcPr>
            <w:tcW w:w="4111" w:type="dxa"/>
            <w:tcBorders>
              <w:bottom w:val="single" w:sz="4" w:space="0" w:color="A6A6A6" w:themeColor="background1" w:themeShade="A6"/>
            </w:tcBorders>
          </w:tcPr>
          <w:p w14:paraId="11CB7C99" w14:textId="293833CB" w:rsidR="004D6EC2" w:rsidRPr="004D6EC2" w:rsidRDefault="004D6EC2" w:rsidP="004D6EC2">
            <w:pPr>
              <w:pStyle w:val="TableText"/>
              <w:rPr>
                <w:b/>
                <w:bCs/>
              </w:rPr>
            </w:pPr>
            <w:r w:rsidRPr="004D6EC2">
              <w:rPr>
                <w:b/>
                <w:bCs/>
                <w:w w:val="105"/>
              </w:rPr>
              <w:t>Total</w:t>
            </w:r>
            <w:r w:rsidRPr="004D6EC2">
              <w:rPr>
                <w:b/>
                <w:bCs/>
                <w:spacing w:val="8"/>
                <w:w w:val="105"/>
              </w:rPr>
              <w:t xml:space="preserve"> </w:t>
            </w:r>
            <w:r w:rsidRPr="004D6EC2">
              <w:rPr>
                <w:b/>
                <w:bCs/>
                <w:w w:val="105"/>
              </w:rPr>
              <w:t>non-departmental</w:t>
            </w:r>
            <w:r w:rsidRPr="004D6EC2">
              <w:rPr>
                <w:b/>
                <w:bCs/>
                <w:spacing w:val="8"/>
                <w:w w:val="105"/>
              </w:rPr>
              <w:t xml:space="preserve"> </w:t>
            </w:r>
            <w:r w:rsidRPr="004D6EC2">
              <w:rPr>
                <w:b/>
                <w:bCs/>
                <w:w w:val="105"/>
              </w:rPr>
              <w:t>revenue</w:t>
            </w:r>
          </w:p>
        </w:tc>
        <w:tc>
          <w:tcPr>
            <w:tcW w:w="1071" w:type="dxa"/>
            <w:tcBorders>
              <w:bottom w:val="single" w:sz="4" w:space="0" w:color="A6A6A6" w:themeColor="background1" w:themeShade="A6"/>
            </w:tcBorders>
          </w:tcPr>
          <w:p w14:paraId="4677BAD8" w14:textId="77777777" w:rsidR="004D6EC2" w:rsidRPr="004D6EC2" w:rsidRDefault="004D6EC2" w:rsidP="004D6EC2">
            <w:pPr>
              <w:pStyle w:val="TableText"/>
              <w:jc w:val="right"/>
              <w:rPr>
                <w:b/>
                <w:bCs/>
              </w:rPr>
            </w:pPr>
            <w:r w:rsidRPr="004D6EC2">
              <w:rPr>
                <w:b/>
                <w:bCs/>
                <w:w w:val="110"/>
              </w:rPr>
              <w:t>998,335</w:t>
            </w:r>
          </w:p>
        </w:tc>
        <w:tc>
          <w:tcPr>
            <w:tcW w:w="1305" w:type="dxa"/>
            <w:tcBorders>
              <w:bottom w:val="single" w:sz="4" w:space="0" w:color="A6A6A6" w:themeColor="background1" w:themeShade="A6"/>
            </w:tcBorders>
          </w:tcPr>
          <w:p w14:paraId="7A47D252" w14:textId="77777777" w:rsidR="004D6EC2" w:rsidRPr="004D6EC2" w:rsidRDefault="004D6EC2" w:rsidP="004D6EC2">
            <w:pPr>
              <w:pStyle w:val="TableText"/>
              <w:jc w:val="right"/>
              <w:rPr>
                <w:b/>
                <w:bCs/>
              </w:rPr>
            </w:pPr>
            <w:r w:rsidRPr="004D6EC2">
              <w:rPr>
                <w:b/>
                <w:bCs/>
                <w:w w:val="105"/>
              </w:rPr>
              <w:t>1,034,803</w:t>
            </w:r>
          </w:p>
        </w:tc>
        <w:tc>
          <w:tcPr>
            <w:tcW w:w="1035" w:type="dxa"/>
            <w:tcBorders>
              <w:bottom w:val="single" w:sz="4" w:space="0" w:color="A6A6A6" w:themeColor="background1" w:themeShade="A6"/>
            </w:tcBorders>
          </w:tcPr>
          <w:p w14:paraId="305C9C89" w14:textId="77777777" w:rsidR="004D6EC2" w:rsidRPr="004D6EC2" w:rsidRDefault="004D6EC2" w:rsidP="004D6EC2">
            <w:pPr>
              <w:pStyle w:val="TableText"/>
              <w:jc w:val="right"/>
              <w:rPr>
                <w:b/>
                <w:bCs/>
              </w:rPr>
            </w:pPr>
            <w:r w:rsidRPr="004D6EC2">
              <w:rPr>
                <w:b/>
                <w:bCs/>
                <w:w w:val="95"/>
              </w:rPr>
              <w:t>1,111,472</w:t>
            </w:r>
          </w:p>
        </w:tc>
      </w:tr>
      <w:tr w:rsidR="004D6EC2" w14:paraId="1C1573F3" w14:textId="77777777" w:rsidTr="004D6EC2">
        <w:trPr>
          <w:trHeight w:val="340"/>
        </w:trPr>
        <w:tc>
          <w:tcPr>
            <w:tcW w:w="1269" w:type="dxa"/>
            <w:tcBorders>
              <w:top w:val="single" w:sz="4" w:space="0" w:color="A6A6A6" w:themeColor="background1" w:themeShade="A6"/>
            </w:tcBorders>
          </w:tcPr>
          <w:p w14:paraId="451033A1" w14:textId="77777777" w:rsidR="004D6EC2" w:rsidRDefault="004D6EC2" w:rsidP="004D6EC2">
            <w:pPr>
              <w:pStyle w:val="TableText"/>
              <w:jc w:val="right"/>
              <w:rPr>
                <w:w w:val="105"/>
              </w:rPr>
            </w:pPr>
          </w:p>
        </w:tc>
        <w:tc>
          <w:tcPr>
            <w:tcW w:w="4111" w:type="dxa"/>
            <w:tcBorders>
              <w:top w:val="single" w:sz="4" w:space="0" w:color="A6A6A6" w:themeColor="background1" w:themeShade="A6"/>
            </w:tcBorders>
          </w:tcPr>
          <w:p w14:paraId="19998D3E" w14:textId="509AB42E" w:rsidR="004D6EC2" w:rsidRPr="004D6EC2" w:rsidRDefault="004D6EC2" w:rsidP="004D6EC2">
            <w:pPr>
              <w:pStyle w:val="TableText"/>
              <w:rPr>
                <w:b/>
                <w:bCs/>
              </w:rPr>
            </w:pPr>
            <w:r w:rsidRPr="004D6EC2">
              <w:rPr>
                <w:b/>
                <w:bCs/>
                <w:w w:val="105"/>
              </w:rPr>
              <w:t>Non-departmental</w:t>
            </w:r>
            <w:r w:rsidRPr="004D6EC2">
              <w:rPr>
                <w:b/>
                <w:bCs/>
                <w:spacing w:val="18"/>
                <w:w w:val="105"/>
              </w:rPr>
              <w:t xml:space="preserve"> </w:t>
            </w:r>
            <w:r w:rsidRPr="004D6EC2">
              <w:rPr>
                <w:b/>
                <w:bCs/>
                <w:w w:val="105"/>
              </w:rPr>
              <w:t>capital</w:t>
            </w:r>
            <w:r w:rsidRPr="004D6EC2">
              <w:rPr>
                <w:b/>
                <w:bCs/>
                <w:spacing w:val="19"/>
                <w:w w:val="105"/>
              </w:rPr>
              <w:t xml:space="preserve"> </w:t>
            </w:r>
            <w:r w:rsidRPr="004D6EC2">
              <w:rPr>
                <w:b/>
                <w:bCs/>
                <w:w w:val="105"/>
              </w:rPr>
              <w:t>receipts</w:t>
            </w:r>
          </w:p>
        </w:tc>
        <w:tc>
          <w:tcPr>
            <w:tcW w:w="1071" w:type="dxa"/>
            <w:tcBorders>
              <w:top w:val="single" w:sz="4" w:space="0" w:color="A6A6A6" w:themeColor="background1" w:themeShade="A6"/>
            </w:tcBorders>
          </w:tcPr>
          <w:p w14:paraId="32CC50A0" w14:textId="77777777" w:rsidR="004D6EC2" w:rsidRDefault="004D6EC2" w:rsidP="004D6EC2">
            <w:pPr>
              <w:pStyle w:val="TableText"/>
              <w:jc w:val="right"/>
              <w:rPr>
                <w:w w:val="110"/>
              </w:rPr>
            </w:pPr>
          </w:p>
        </w:tc>
        <w:tc>
          <w:tcPr>
            <w:tcW w:w="1305" w:type="dxa"/>
            <w:tcBorders>
              <w:top w:val="single" w:sz="4" w:space="0" w:color="A6A6A6" w:themeColor="background1" w:themeShade="A6"/>
            </w:tcBorders>
          </w:tcPr>
          <w:p w14:paraId="633DE071" w14:textId="77777777" w:rsidR="004D6EC2" w:rsidRDefault="004D6EC2" w:rsidP="004D6EC2">
            <w:pPr>
              <w:pStyle w:val="TableText"/>
              <w:jc w:val="right"/>
              <w:rPr>
                <w:w w:val="105"/>
              </w:rPr>
            </w:pPr>
          </w:p>
        </w:tc>
        <w:tc>
          <w:tcPr>
            <w:tcW w:w="1035" w:type="dxa"/>
            <w:tcBorders>
              <w:top w:val="single" w:sz="4" w:space="0" w:color="A6A6A6" w:themeColor="background1" w:themeShade="A6"/>
            </w:tcBorders>
          </w:tcPr>
          <w:p w14:paraId="57D8327B" w14:textId="77777777" w:rsidR="004D6EC2" w:rsidRDefault="004D6EC2" w:rsidP="004D6EC2">
            <w:pPr>
              <w:pStyle w:val="TableText"/>
              <w:jc w:val="right"/>
              <w:rPr>
                <w:w w:val="95"/>
              </w:rPr>
            </w:pPr>
          </w:p>
        </w:tc>
      </w:tr>
      <w:tr w:rsidR="004D6EC2" w14:paraId="0AE8D0F5" w14:textId="77777777" w:rsidTr="004D6EC2">
        <w:trPr>
          <w:trHeight w:val="340"/>
        </w:trPr>
        <w:tc>
          <w:tcPr>
            <w:tcW w:w="1269" w:type="dxa"/>
          </w:tcPr>
          <w:p w14:paraId="347201D7" w14:textId="14801225" w:rsidR="004D6EC2" w:rsidRDefault="004D6EC2" w:rsidP="004D6EC2">
            <w:pPr>
              <w:pStyle w:val="TableText"/>
              <w:jc w:val="right"/>
              <w:rPr>
                <w:w w:val="105"/>
              </w:rPr>
            </w:pPr>
            <w:r>
              <w:t xml:space="preserve">16,931  </w:t>
            </w:r>
            <w:r>
              <w:rPr>
                <w:spacing w:val="30"/>
              </w:rPr>
              <w:t xml:space="preserve"> </w:t>
            </w:r>
          </w:p>
        </w:tc>
        <w:tc>
          <w:tcPr>
            <w:tcW w:w="4111" w:type="dxa"/>
          </w:tcPr>
          <w:p w14:paraId="6436B091" w14:textId="2F66C428" w:rsidR="004D6EC2" w:rsidRDefault="004D6EC2" w:rsidP="004D6EC2">
            <w:pPr>
              <w:pStyle w:val="TableText"/>
            </w:pPr>
            <w:r>
              <w:t>Repayment</w:t>
            </w:r>
            <w:r>
              <w:rPr>
                <w:spacing w:val="4"/>
              </w:rPr>
              <w:t xml:space="preserve"> </w:t>
            </w:r>
            <w:r>
              <w:t>of</w:t>
            </w:r>
            <w:r>
              <w:rPr>
                <w:spacing w:val="5"/>
              </w:rPr>
              <w:t xml:space="preserve"> </w:t>
            </w:r>
            <w:r>
              <w:t>residential</w:t>
            </w:r>
            <w:r>
              <w:rPr>
                <w:spacing w:val="4"/>
              </w:rPr>
              <w:t xml:space="preserve"> </w:t>
            </w:r>
            <w:r>
              <w:t>care</w:t>
            </w:r>
            <w:r>
              <w:rPr>
                <w:spacing w:val="4"/>
              </w:rPr>
              <w:t xml:space="preserve"> </w:t>
            </w:r>
            <w:r>
              <w:t>loans</w:t>
            </w:r>
          </w:p>
        </w:tc>
        <w:tc>
          <w:tcPr>
            <w:tcW w:w="1071" w:type="dxa"/>
          </w:tcPr>
          <w:p w14:paraId="788E21DA" w14:textId="77777777" w:rsidR="004D6EC2" w:rsidRDefault="004D6EC2" w:rsidP="004D6EC2">
            <w:pPr>
              <w:pStyle w:val="TableText"/>
              <w:jc w:val="right"/>
            </w:pPr>
            <w:r>
              <w:rPr>
                <w:w w:val="95"/>
              </w:rPr>
              <w:t>14,123</w:t>
            </w:r>
          </w:p>
        </w:tc>
        <w:tc>
          <w:tcPr>
            <w:tcW w:w="1305" w:type="dxa"/>
          </w:tcPr>
          <w:p w14:paraId="784374A0" w14:textId="77777777" w:rsidR="004D6EC2" w:rsidRDefault="004D6EC2" w:rsidP="004D6EC2">
            <w:pPr>
              <w:pStyle w:val="TableText"/>
              <w:jc w:val="right"/>
            </w:pPr>
            <w:r>
              <w:rPr>
                <w:w w:val="110"/>
              </w:rPr>
              <w:t>20,000</w:t>
            </w:r>
          </w:p>
        </w:tc>
        <w:tc>
          <w:tcPr>
            <w:tcW w:w="1035" w:type="dxa"/>
          </w:tcPr>
          <w:p w14:paraId="3BDC3BA4" w14:textId="77777777" w:rsidR="004D6EC2" w:rsidRDefault="004D6EC2" w:rsidP="004D6EC2">
            <w:pPr>
              <w:pStyle w:val="TableText"/>
              <w:jc w:val="right"/>
            </w:pPr>
            <w:r>
              <w:rPr>
                <w:w w:val="110"/>
              </w:rPr>
              <w:t>20,000</w:t>
            </w:r>
          </w:p>
        </w:tc>
      </w:tr>
      <w:tr w:rsidR="004D6EC2" w14:paraId="2F6D7B40" w14:textId="77777777" w:rsidTr="004D6EC2">
        <w:trPr>
          <w:trHeight w:val="340"/>
        </w:trPr>
        <w:tc>
          <w:tcPr>
            <w:tcW w:w="1269" w:type="dxa"/>
          </w:tcPr>
          <w:p w14:paraId="3FA14AC1" w14:textId="039968AC" w:rsidR="004D6EC2" w:rsidRDefault="004D6EC2" w:rsidP="004D6EC2">
            <w:pPr>
              <w:pStyle w:val="TableText"/>
              <w:jc w:val="right"/>
              <w:rPr>
                <w:w w:val="105"/>
              </w:rPr>
            </w:pPr>
            <w:r>
              <w:rPr>
                <w:w w:val="105"/>
              </w:rPr>
              <w:t>12,800</w:t>
            </w:r>
          </w:p>
        </w:tc>
        <w:tc>
          <w:tcPr>
            <w:tcW w:w="4111" w:type="dxa"/>
          </w:tcPr>
          <w:p w14:paraId="20A4FA55" w14:textId="6A98D111" w:rsidR="004D6EC2" w:rsidRDefault="004D6EC2" w:rsidP="004D6EC2">
            <w:pPr>
              <w:pStyle w:val="TableText"/>
            </w:pPr>
            <w:r>
              <w:rPr>
                <w:w w:val="105"/>
              </w:rPr>
              <w:t>Equity</w:t>
            </w:r>
            <w:r>
              <w:rPr>
                <w:spacing w:val="-11"/>
                <w:w w:val="105"/>
              </w:rPr>
              <w:t xml:space="preserve"> </w:t>
            </w:r>
            <w:r>
              <w:rPr>
                <w:w w:val="105"/>
              </w:rPr>
              <w:t>repayments</w:t>
            </w:r>
            <w:r>
              <w:rPr>
                <w:spacing w:val="-11"/>
                <w:w w:val="105"/>
              </w:rPr>
              <w:t xml:space="preserve"> </w:t>
            </w:r>
            <w:r>
              <w:rPr>
                <w:w w:val="105"/>
              </w:rPr>
              <w:t>by</w:t>
            </w:r>
            <w:r>
              <w:rPr>
                <w:spacing w:val="-11"/>
                <w:w w:val="105"/>
              </w:rPr>
              <w:t xml:space="preserve"> </w:t>
            </w:r>
            <w:r>
              <w:rPr>
                <w:w w:val="105"/>
              </w:rPr>
              <w:t>DHBs</w:t>
            </w:r>
          </w:p>
        </w:tc>
        <w:tc>
          <w:tcPr>
            <w:tcW w:w="1071" w:type="dxa"/>
          </w:tcPr>
          <w:p w14:paraId="7424529C" w14:textId="77777777" w:rsidR="004D6EC2" w:rsidRDefault="004D6EC2" w:rsidP="004D6EC2">
            <w:pPr>
              <w:pStyle w:val="TableText"/>
              <w:jc w:val="right"/>
            </w:pPr>
            <w:r>
              <w:t>12,474</w:t>
            </w:r>
          </w:p>
        </w:tc>
        <w:tc>
          <w:tcPr>
            <w:tcW w:w="1305" w:type="dxa"/>
          </w:tcPr>
          <w:p w14:paraId="308232AB" w14:textId="77777777" w:rsidR="004D6EC2" w:rsidRDefault="004D6EC2" w:rsidP="004D6EC2">
            <w:pPr>
              <w:pStyle w:val="TableText"/>
              <w:jc w:val="right"/>
            </w:pPr>
            <w:r>
              <w:t>12,499</w:t>
            </w:r>
          </w:p>
        </w:tc>
        <w:tc>
          <w:tcPr>
            <w:tcW w:w="1035" w:type="dxa"/>
          </w:tcPr>
          <w:p w14:paraId="0DDE97AD" w14:textId="77777777" w:rsidR="004D6EC2" w:rsidRDefault="004D6EC2" w:rsidP="004D6EC2">
            <w:pPr>
              <w:pStyle w:val="TableText"/>
              <w:jc w:val="right"/>
            </w:pPr>
            <w:r>
              <w:t>12,499</w:t>
            </w:r>
          </w:p>
        </w:tc>
      </w:tr>
      <w:tr w:rsidR="004D6EC2" w:rsidRPr="004D6EC2" w14:paraId="494BD1F0" w14:textId="77777777" w:rsidTr="004D6EC2">
        <w:trPr>
          <w:trHeight w:val="340"/>
        </w:trPr>
        <w:tc>
          <w:tcPr>
            <w:tcW w:w="1269" w:type="dxa"/>
            <w:tcBorders>
              <w:bottom w:val="single" w:sz="4" w:space="0" w:color="A6A6A6" w:themeColor="background1" w:themeShade="A6"/>
            </w:tcBorders>
          </w:tcPr>
          <w:p w14:paraId="6B2BF575" w14:textId="57100F46" w:rsidR="004D6EC2" w:rsidRPr="004D6EC2" w:rsidRDefault="004D6EC2" w:rsidP="004D6EC2">
            <w:pPr>
              <w:pStyle w:val="TableText"/>
              <w:jc w:val="right"/>
              <w:rPr>
                <w:b/>
                <w:bCs/>
                <w:w w:val="105"/>
              </w:rPr>
            </w:pPr>
            <w:r w:rsidRPr="004D6EC2">
              <w:rPr>
                <w:b/>
                <w:bCs/>
                <w:w w:val="105"/>
              </w:rPr>
              <w:t xml:space="preserve">29,731  </w:t>
            </w:r>
            <w:r w:rsidRPr="004D6EC2">
              <w:rPr>
                <w:b/>
                <w:bCs/>
                <w:spacing w:val="26"/>
                <w:w w:val="105"/>
              </w:rPr>
              <w:t xml:space="preserve"> </w:t>
            </w:r>
          </w:p>
        </w:tc>
        <w:tc>
          <w:tcPr>
            <w:tcW w:w="4111" w:type="dxa"/>
            <w:tcBorders>
              <w:bottom w:val="single" w:sz="4" w:space="0" w:color="A6A6A6" w:themeColor="background1" w:themeShade="A6"/>
            </w:tcBorders>
          </w:tcPr>
          <w:p w14:paraId="161E10F5" w14:textId="58D74F75" w:rsidR="004D6EC2" w:rsidRPr="004D6EC2" w:rsidRDefault="004D6EC2" w:rsidP="004D6EC2">
            <w:pPr>
              <w:pStyle w:val="TableText"/>
              <w:rPr>
                <w:b/>
                <w:bCs/>
              </w:rPr>
            </w:pPr>
            <w:r w:rsidRPr="004D6EC2">
              <w:rPr>
                <w:b/>
                <w:bCs/>
                <w:w w:val="105"/>
              </w:rPr>
              <w:t>Total</w:t>
            </w:r>
            <w:r w:rsidRPr="004D6EC2">
              <w:rPr>
                <w:b/>
                <w:bCs/>
                <w:spacing w:val="-4"/>
                <w:w w:val="105"/>
              </w:rPr>
              <w:t xml:space="preserve"> </w:t>
            </w:r>
            <w:r w:rsidRPr="004D6EC2">
              <w:rPr>
                <w:b/>
                <w:bCs/>
                <w:w w:val="105"/>
              </w:rPr>
              <w:t>non-departmental</w:t>
            </w:r>
            <w:r w:rsidRPr="004D6EC2">
              <w:rPr>
                <w:b/>
                <w:bCs/>
                <w:spacing w:val="-3"/>
                <w:w w:val="105"/>
              </w:rPr>
              <w:t xml:space="preserve"> </w:t>
            </w:r>
            <w:r w:rsidRPr="004D6EC2">
              <w:rPr>
                <w:b/>
                <w:bCs/>
                <w:w w:val="105"/>
              </w:rPr>
              <w:t>capital</w:t>
            </w:r>
            <w:r w:rsidRPr="004D6EC2">
              <w:rPr>
                <w:b/>
                <w:bCs/>
                <w:spacing w:val="-4"/>
                <w:w w:val="105"/>
              </w:rPr>
              <w:t xml:space="preserve"> </w:t>
            </w:r>
            <w:r w:rsidRPr="004D6EC2">
              <w:rPr>
                <w:b/>
                <w:bCs/>
                <w:w w:val="105"/>
              </w:rPr>
              <w:t>receipts</w:t>
            </w:r>
          </w:p>
        </w:tc>
        <w:tc>
          <w:tcPr>
            <w:tcW w:w="1071" w:type="dxa"/>
            <w:tcBorders>
              <w:bottom w:val="single" w:sz="4" w:space="0" w:color="A6A6A6" w:themeColor="background1" w:themeShade="A6"/>
            </w:tcBorders>
          </w:tcPr>
          <w:p w14:paraId="1A7D3E27" w14:textId="77777777" w:rsidR="004D6EC2" w:rsidRPr="004D6EC2" w:rsidRDefault="004D6EC2" w:rsidP="004D6EC2">
            <w:pPr>
              <w:pStyle w:val="TableText"/>
              <w:jc w:val="right"/>
              <w:rPr>
                <w:b/>
                <w:bCs/>
              </w:rPr>
            </w:pPr>
            <w:r w:rsidRPr="004D6EC2">
              <w:rPr>
                <w:b/>
                <w:bCs/>
                <w:w w:val="105"/>
              </w:rPr>
              <w:t>26,597</w:t>
            </w:r>
          </w:p>
        </w:tc>
        <w:tc>
          <w:tcPr>
            <w:tcW w:w="1305" w:type="dxa"/>
            <w:tcBorders>
              <w:bottom w:val="single" w:sz="4" w:space="0" w:color="A6A6A6" w:themeColor="background1" w:themeShade="A6"/>
            </w:tcBorders>
          </w:tcPr>
          <w:p w14:paraId="51C62C05" w14:textId="77777777" w:rsidR="004D6EC2" w:rsidRPr="004D6EC2" w:rsidRDefault="004D6EC2" w:rsidP="004D6EC2">
            <w:pPr>
              <w:pStyle w:val="TableText"/>
              <w:jc w:val="right"/>
              <w:rPr>
                <w:b/>
                <w:bCs/>
              </w:rPr>
            </w:pPr>
            <w:r w:rsidRPr="004D6EC2">
              <w:rPr>
                <w:b/>
                <w:bCs/>
                <w:w w:val="110"/>
              </w:rPr>
              <w:t>32,499</w:t>
            </w:r>
          </w:p>
        </w:tc>
        <w:tc>
          <w:tcPr>
            <w:tcW w:w="1035" w:type="dxa"/>
            <w:tcBorders>
              <w:bottom w:val="single" w:sz="4" w:space="0" w:color="A6A6A6" w:themeColor="background1" w:themeShade="A6"/>
            </w:tcBorders>
          </w:tcPr>
          <w:p w14:paraId="3A938B17" w14:textId="77777777" w:rsidR="004D6EC2" w:rsidRPr="004D6EC2" w:rsidRDefault="004D6EC2" w:rsidP="004D6EC2">
            <w:pPr>
              <w:pStyle w:val="TableText"/>
              <w:jc w:val="right"/>
              <w:rPr>
                <w:b/>
                <w:bCs/>
              </w:rPr>
            </w:pPr>
            <w:r w:rsidRPr="004D6EC2">
              <w:rPr>
                <w:b/>
                <w:bCs/>
                <w:w w:val="110"/>
              </w:rPr>
              <w:t>32,499</w:t>
            </w:r>
          </w:p>
        </w:tc>
      </w:tr>
      <w:tr w:rsidR="004D6EC2" w:rsidRPr="004D6EC2" w14:paraId="11F5B9EB" w14:textId="77777777" w:rsidTr="004D6EC2">
        <w:trPr>
          <w:trHeight w:val="344"/>
        </w:trPr>
        <w:tc>
          <w:tcPr>
            <w:tcW w:w="1269" w:type="dxa"/>
            <w:tcBorders>
              <w:top w:val="single" w:sz="4" w:space="0" w:color="A6A6A6" w:themeColor="background1" w:themeShade="A6"/>
              <w:bottom w:val="single" w:sz="4" w:space="0" w:color="A6A6A6" w:themeColor="background1" w:themeShade="A6"/>
            </w:tcBorders>
          </w:tcPr>
          <w:p w14:paraId="606C66BD" w14:textId="7EFAD29A" w:rsidR="004D6EC2" w:rsidRPr="004D6EC2" w:rsidRDefault="004D6EC2" w:rsidP="004D6EC2">
            <w:pPr>
              <w:pStyle w:val="TableText"/>
              <w:jc w:val="right"/>
              <w:rPr>
                <w:b/>
                <w:bCs/>
                <w:w w:val="105"/>
              </w:rPr>
            </w:pPr>
            <w:r w:rsidRPr="004D6EC2">
              <w:rPr>
                <w:b/>
                <w:bCs/>
                <w:w w:val="105"/>
              </w:rPr>
              <w:t xml:space="preserve">895,261  </w:t>
            </w:r>
            <w:r w:rsidRPr="004D6EC2">
              <w:rPr>
                <w:b/>
                <w:bCs/>
                <w:spacing w:val="31"/>
                <w:w w:val="105"/>
              </w:rPr>
              <w:t xml:space="preserve"> </w:t>
            </w:r>
          </w:p>
        </w:tc>
        <w:tc>
          <w:tcPr>
            <w:tcW w:w="4111" w:type="dxa"/>
            <w:tcBorders>
              <w:top w:val="single" w:sz="4" w:space="0" w:color="A6A6A6" w:themeColor="background1" w:themeShade="A6"/>
              <w:bottom w:val="single" w:sz="4" w:space="0" w:color="A6A6A6" w:themeColor="background1" w:themeShade="A6"/>
            </w:tcBorders>
          </w:tcPr>
          <w:p w14:paraId="7CC1C331" w14:textId="2DC5EE81" w:rsidR="004D6EC2" w:rsidRPr="004D6EC2" w:rsidRDefault="004D6EC2" w:rsidP="004D6EC2">
            <w:pPr>
              <w:pStyle w:val="TableText"/>
              <w:rPr>
                <w:b/>
                <w:bCs/>
              </w:rPr>
            </w:pPr>
            <w:r w:rsidRPr="004D6EC2">
              <w:rPr>
                <w:b/>
                <w:bCs/>
                <w:w w:val="105"/>
              </w:rPr>
              <w:t>Total</w:t>
            </w:r>
            <w:r w:rsidRPr="004D6EC2">
              <w:rPr>
                <w:b/>
                <w:bCs/>
                <w:spacing w:val="-2"/>
                <w:w w:val="105"/>
              </w:rPr>
              <w:t xml:space="preserve"> </w:t>
            </w:r>
            <w:r w:rsidRPr="004D6EC2">
              <w:rPr>
                <w:b/>
                <w:bCs/>
                <w:w w:val="105"/>
              </w:rPr>
              <w:t>non-departmental</w:t>
            </w:r>
            <w:r w:rsidRPr="004D6EC2">
              <w:rPr>
                <w:b/>
                <w:bCs/>
                <w:spacing w:val="-2"/>
                <w:w w:val="105"/>
              </w:rPr>
              <w:t xml:space="preserve"> </w:t>
            </w:r>
            <w:r w:rsidRPr="004D6EC2">
              <w:rPr>
                <w:b/>
                <w:bCs/>
                <w:w w:val="105"/>
              </w:rPr>
              <w:t>revenue</w:t>
            </w:r>
            <w:r w:rsidRPr="004D6EC2">
              <w:rPr>
                <w:b/>
                <w:bCs/>
                <w:spacing w:val="-2"/>
                <w:w w:val="105"/>
              </w:rPr>
              <w:t xml:space="preserve"> </w:t>
            </w:r>
            <w:r w:rsidRPr="004D6EC2">
              <w:rPr>
                <w:b/>
                <w:bCs/>
                <w:w w:val="105"/>
              </w:rPr>
              <w:t>and</w:t>
            </w:r>
            <w:r w:rsidRPr="004D6EC2">
              <w:rPr>
                <w:b/>
                <w:bCs/>
                <w:spacing w:val="-2"/>
                <w:w w:val="105"/>
              </w:rPr>
              <w:t xml:space="preserve"> </w:t>
            </w:r>
            <w:r w:rsidRPr="004D6EC2">
              <w:rPr>
                <w:b/>
                <w:bCs/>
                <w:w w:val="105"/>
              </w:rPr>
              <w:t>capital</w:t>
            </w:r>
            <w:r>
              <w:rPr>
                <w:b/>
                <w:bCs/>
                <w:w w:val="105"/>
              </w:rPr>
              <w:t xml:space="preserve"> receipts</w:t>
            </w:r>
          </w:p>
        </w:tc>
        <w:tc>
          <w:tcPr>
            <w:tcW w:w="1071" w:type="dxa"/>
            <w:tcBorders>
              <w:top w:val="single" w:sz="4" w:space="0" w:color="A6A6A6" w:themeColor="background1" w:themeShade="A6"/>
              <w:bottom w:val="single" w:sz="4" w:space="0" w:color="A6A6A6" w:themeColor="background1" w:themeShade="A6"/>
            </w:tcBorders>
          </w:tcPr>
          <w:p w14:paraId="306A3B4B" w14:textId="77777777" w:rsidR="004D6EC2" w:rsidRPr="004D6EC2" w:rsidRDefault="004D6EC2" w:rsidP="004D6EC2">
            <w:pPr>
              <w:pStyle w:val="TableText"/>
              <w:jc w:val="right"/>
              <w:rPr>
                <w:b/>
                <w:bCs/>
              </w:rPr>
            </w:pPr>
            <w:r w:rsidRPr="004D6EC2">
              <w:rPr>
                <w:b/>
                <w:bCs/>
              </w:rPr>
              <w:t>1,024,932</w:t>
            </w:r>
          </w:p>
        </w:tc>
        <w:tc>
          <w:tcPr>
            <w:tcW w:w="1305" w:type="dxa"/>
            <w:tcBorders>
              <w:top w:val="single" w:sz="4" w:space="0" w:color="A6A6A6" w:themeColor="background1" w:themeShade="A6"/>
              <w:bottom w:val="single" w:sz="4" w:space="0" w:color="A6A6A6" w:themeColor="background1" w:themeShade="A6"/>
            </w:tcBorders>
          </w:tcPr>
          <w:p w14:paraId="767175E6" w14:textId="77777777" w:rsidR="004D6EC2" w:rsidRPr="004D6EC2" w:rsidRDefault="004D6EC2" w:rsidP="004D6EC2">
            <w:pPr>
              <w:pStyle w:val="TableText"/>
              <w:jc w:val="right"/>
              <w:rPr>
                <w:b/>
                <w:bCs/>
              </w:rPr>
            </w:pPr>
            <w:r w:rsidRPr="004D6EC2">
              <w:rPr>
                <w:b/>
                <w:bCs/>
              </w:rPr>
              <w:t>1,067,302</w:t>
            </w:r>
          </w:p>
        </w:tc>
        <w:tc>
          <w:tcPr>
            <w:tcW w:w="1035" w:type="dxa"/>
            <w:tcBorders>
              <w:top w:val="single" w:sz="4" w:space="0" w:color="A6A6A6" w:themeColor="background1" w:themeShade="A6"/>
              <w:bottom w:val="single" w:sz="4" w:space="0" w:color="A6A6A6" w:themeColor="background1" w:themeShade="A6"/>
            </w:tcBorders>
          </w:tcPr>
          <w:p w14:paraId="79C4E798" w14:textId="77777777" w:rsidR="004D6EC2" w:rsidRPr="004D6EC2" w:rsidRDefault="004D6EC2" w:rsidP="004D6EC2">
            <w:pPr>
              <w:pStyle w:val="TableText"/>
              <w:jc w:val="right"/>
              <w:rPr>
                <w:b/>
                <w:bCs/>
              </w:rPr>
            </w:pPr>
            <w:r w:rsidRPr="004D6EC2">
              <w:rPr>
                <w:b/>
                <w:bCs/>
              </w:rPr>
              <w:t>1,143,971</w:t>
            </w:r>
          </w:p>
        </w:tc>
      </w:tr>
    </w:tbl>
    <w:p w14:paraId="4E1ABFC6" w14:textId="77777777" w:rsidR="004C507E" w:rsidRDefault="004C507E" w:rsidP="004D6EC2">
      <w:pPr>
        <w:pStyle w:val="Note"/>
        <w:rPr>
          <w:rFonts w:eastAsia="Arial Unicode MS"/>
        </w:rPr>
      </w:pPr>
    </w:p>
    <w:p w14:paraId="5EED01C0" w14:textId="77777777" w:rsidR="004C507E" w:rsidRDefault="004C507E" w:rsidP="004D6EC2">
      <w:pPr>
        <w:pStyle w:val="Note"/>
        <w:rPr>
          <w:rFonts w:eastAsia="Arial Unicode MS"/>
        </w:rPr>
      </w:pPr>
    </w:p>
    <w:p w14:paraId="6A8EDD6B" w14:textId="77777777" w:rsidR="004C507E" w:rsidRDefault="004C507E" w:rsidP="004D6EC2">
      <w:pPr>
        <w:pStyle w:val="Note"/>
        <w:rPr>
          <w:rFonts w:eastAsia="Arial Unicode MS"/>
        </w:rPr>
      </w:pPr>
    </w:p>
    <w:p w14:paraId="47555675" w14:textId="77777777" w:rsidR="004C507E" w:rsidRDefault="004C507E" w:rsidP="004D6EC2">
      <w:pPr>
        <w:pStyle w:val="Note"/>
        <w:rPr>
          <w:rFonts w:eastAsia="Arial Unicode MS"/>
        </w:rPr>
      </w:pPr>
    </w:p>
    <w:p w14:paraId="35E9BC2F" w14:textId="2FE2A570" w:rsidR="004D6EC2" w:rsidRPr="004D6EC2" w:rsidRDefault="004D6EC2" w:rsidP="004D6EC2">
      <w:pPr>
        <w:pStyle w:val="Note"/>
        <w:rPr>
          <w:rFonts w:eastAsia="Arial Unicode MS"/>
        </w:rPr>
      </w:pPr>
      <w:r w:rsidRPr="004D6EC2">
        <w:rPr>
          <w:rFonts w:eastAsia="Arial Unicode MS"/>
        </w:rPr>
        <w:t>The accompanying notes form part of these financial statements.</w:t>
      </w:r>
    </w:p>
    <w:p w14:paraId="5525BF1F" w14:textId="77777777" w:rsidR="004D6EC2" w:rsidRDefault="004D6EC2" w:rsidP="004D6EC2">
      <w:pPr>
        <w:pStyle w:val="Note"/>
        <w:rPr>
          <w:rFonts w:eastAsia="Arial Unicode MS"/>
        </w:rPr>
        <w:sectPr w:rsidR="004D6EC2" w:rsidSect="00C26282">
          <w:pgSz w:w="11907" w:h="16840" w:code="9"/>
          <w:pgMar w:top="1418" w:right="1701" w:bottom="1134" w:left="1843" w:header="284" w:footer="425" w:gutter="284"/>
          <w:cols w:space="720"/>
        </w:sectPr>
      </w:pPr>
      <w:r w:rsidRPr="004D6EC2">
        <w:rPr>
          <w:rFonts w:eastAsia="Arial Unicode MS"/>
        </w:rPr>
        <w:t>For a full understanding of the Crown’s financial position and the results of its operations for the year, refer to the consolidated Financial Statement of the Government for the year ended 30 June 2022.</w:t>
      </w:r>
    </w:p>
    <w:p w14:paraId="22092D17" w14:textId="246DC6E2" w:rsidR="004D6EC2" w:rsidRDefault="004D6EC2" w:rsidP="00F848C6">
      <w:pPr>
        <w:pStyle w:val="Heading3"/>
        <w:spacing w:before="0"/>
      </w:pPr>
      <w:bookmarkStart w:id="67" w:name="_Toc117264973"/>
      <w:r w:rsidRPr="004D6EC2">
        <w:lastRenderedPageBreak/>
        <w:t>Schedule of non-departmental assets and liabilities as at</w:t>
      </w:r>
      <w:r>
        <w:t xml:space="preserve"> 30 June 2022</w:t>
      </w:r>
      <w:bookmarkEnd w:id="67"/>
    </w:p>
    <w:tbl>
      <w:tblPr>
        <w:tblW w:w="8501" w:type="dxa"/>
        <w:tblInd w:w="7" w:type="dxa"/>
        <w:tblLayout w:type="fixed"/>
        <w:tblCellMar>
          <w:left w:w="0" w:type="dxa"/>
          <w:right w:w="0" w:type="dxa"/>
        </w:tblCellMar>
        <w:tblLook w:val="01E0" w:firstRow="1" w:lastRow="1" w:firstColumn="1" w:lastColumn="1" w:noHBand="0" w:noVBand="0"/>
      </w:tblPr>
      <w:tblGrid>
        <w:gridCol w:w="1127"/>
        <w:gridCol w:w="3119"/>
        <w:gridCol w:w="850"/>
        <w:gridCol w:w="1134"/>
        <w:gridCol w:w="1239"/>
        <w:gridCol w:w="1032"/>
      </w:tblGrid>
      <w:tr w:rsidR="004D6EC2" w14:paraId="41CA48A9" w14:textId="77777777" w:rsidTr="00400D5D">
        <w:trPr>
          <w:trHeight w:val="1069"/>
        </w:trPr>
        <w:tc>
          <w:tcPr>
            <w:tcW w:w="1127" w:type="dxa"/>
            <w:shd w:val="clear" w:color="auto" w:fill="D9D9D9" w:themeFill="background1" w:themeFillShade="D9"/>
          </w:tcPr>
          <w:p w14:paraId="530DEF1C" w14:textId="77777777" w:rsidR="004D6EC2" w:rsidRPr="004D6EC2" w:rsidRDefault="004D6EC2" w:rsidP="00400D5D">
            <w:pPr>
              <w:pStyle w:val="TableText"/>
              <w:jc w:val="right"/>
              <w:rPr>
                <w:rFonts w:ascii="Trebuchet MS"/>
                <w:b/>
                <w:bCs/>
                <w:sz w:val="23"/>
              </w:rPr>
            </w:pPr>
            <w:r w:rsidRPr="004D6EC2">
              <w:rPr>
                <w:b/>
                <w:bCs/>
                <w:w w:val="110"/>
              </w:rPr>
              <w:t>Actual</w:t>
            </w:r>
            <w:r>
              <w:rPr>
                <w:b/>
                <w:bCs/>
                <w:w w:val="110"/>
              </w:rPr>
              <w:br/>
            </w:r>
          </w:p>
          <w:p w14:paraId="589AF62A" w14:textId="77777777" w:rsidR="004D6EC2" w:rsidRPr="004D6EC2" w:rsidRDefault="004D6EC2" w:rsidP="00400D5D">
            <w:pPr>
              <w:pStyle w:val="TableText"/>
              <w:jc w:val="right"/>
              <w:rPr>
                <w:b/>
                <w:bCs/>
              </w:rPr>
            </w:pPr>
            <w:r w:rsidRPr="004D6EC2">
              <w:rPr>
                <w:b/>
                <w:bCs/>
              </w:rPr>
              <w:t>2021</w:t>
            </w:r>
          </w:p>
          <w:p w14:paraId="478CC0C1" w14:textId="4BE27FCD" w:rsidR="004D6EC2" w:rsidRPr="004D6EC2" w:rsidRDefault="004D6EC2" w:rsidP="00400D5D">
            <w:pPr>
              <w:pStyle w:val="TableText"/>
              <w:jc w:val="right"/>
              <w:rPr>
                <w:b/>
                <w:bCs/>
                <w:w w:val="110"/>
              </w:rPr>
            </w:pPr>
            <w:r w:rsidRPr="004D6EC2">
              <w:rPr>
                <w:b/>
                <w:bCs/>
                <w:w w:val="120"/>
              </w:rPr>
              <w:t>$000</w:t>
            </w:r>
          </w:p>
        </w:tc>
        <w:tc>
          <w:tcPr>
            <w:tcW w:w="3119" w:type="dxa"/>
            <w:shd w:val="clear" w:color="auto" w:fill="D9D9D9" w:themeFill="background1" w:themeFillShade="D9"/>
          </w:tcPr>
          <w:p w14:paraId="53B31F2C" w14:textId="0386523F" w:rsidR="004D6EC2" w:rsidRPr="004D6EC2" w:rsidRDefault="004D6EC2" w:rsidP="004D6EC2">
            <w:pPr>
              <w:pStyle w:val="TableText"/>
              <w:rPr>
                <w:b/>
                <w:bCs/>
              </w:rPr>
            </w:pPr>
          </w:p>
        </w:tc>
        <w:tc>
          <w:tcPr>
            <w:tcW w:w="850" w:type="dxa"/>
            <w:shd w:val="clear" w:color="auto" w:fill="D9D9D9" w:themeFill="background1" w:themeFillShade="D9"/>
          </w:tcPr>
          <w:p w14:paraId="19BFAF48" w14:textId="77777777" w:rsidR="004D6EC2" w:rsidRPr="004D6EC2" w:rsidRDefault="004D6EC2" w:rsidP="00400D5D">
            <w:pPr>
              <w:pStyle w:val="TableText"/>
              <w:jc w:val="right"/>
              <w:rPr>
                <w:b/>
                <w:bCs/>
              </w:rPr>
            </w:pPr>
            <w:r w:rsidRPr="004D6EC2">
              <w:rPr>
                <w:b/>
                <w:bCs/>
                <w:w w:val="110"/>
              </w:rPr>
              <w:t>Note</w:t>
            </w:r>
          </w:p>
        </w:tc>
        <w:tc>
          <w:tcPr>
            <w:tcW w:w="1134" w:type="dxa"/>
            <w:shd w:val="clear" w:color="auto" w:fill="D9D9D9" w:themeFill="background1" w:themeFillShade="D9"/>
          </w:tcPr>
          <w:p w14:paraId="3DEBB1A2" w14:textId="7704F666" w:rsidR="004D6EC2" w:rsidRPr="004D6EC2" w:rsidRDefault="004D6EC2" w:rsidP="00400D5D">
            <w:pPr>
              <w:pStyle w:val="TableText"/>
              <w:jc w:val="right"/>
              <w:rPr>
                <w:rFonts w:ascii="Trebuchet MS"/>
                <w:b/>
                <w:bCs/>
                <w:sz w:val="23"/>
              </w:rPr>
            </w:pPr>
            <w:r w:rsidRPr="004D6EC2">
              <w:rPr>
                <w:b/>
                <w:bCs/>
                <w:w w:val="110"/>
              </w:rPr>
              <w:t>Actual</w:t>
            </w:r>
            <w:r>
              <w:rPr>
                <w:b/>
                <w:bCs/>
                <w:w w:val="110"/>
              </w:rPr>
              <w:br/>
            </w:r>
          </w:p>
          <w:p w14:paraId="160A6CB8" w14:textId="77777777" w:rsidR="004D6EC2" w:rsidRPr="004D6EC2" w:rsidRDefault="004D6EC2" w:rsidP="00400D5D">
            <w:pPr>
              <w:pStyle w:val="TableText"/>
              <w:jc w:val="right"/>
              <w:rPr>
                <w:b/>
                <w:bCs/>
              </w:rPr>
            </w:pPr>
            <w:r w:rsidRPr="004D6EC2">
              <w:rPr>
                <w:b/>
                <w:bCs/>
                <w:w w:val="105"/>
              </w:rPr>
              <w:t>2022</w:t>
            </w:r>
          </w:p>
          <w:p w14:paraId="28F992A8" w14:textId="77777777" w:rsidR="004D6EC2" w:rsidRPr="004D6EC2" w:rsidRDefault="004D6EC2" w:rsidP="00400D5D">
            <w:pPr>
              <w:pStyle w:val="TableText"/>
              <w:jc w:val="right"/>
              <w:rPr>
                <w:b/>
                <w:bCs/>
              </w:rPr>
            </w:pPr>
            <w:r w:rsidRPr="004D6EC2">
              <w:rPr>
                <w:b/>
                <w:bCs/>
                <w:w w:val="120"/>
              </w:rPr>
              <w:t>$000</w:t>
            </w:r>
          </w:p>
        </w:tc>
        <w:tc>
          <w:tcPr>
            <w:tcW w:w="1239" w:type="dxa"/>
            <w:shd w:val="clear" w:color="auto" w:fill="D9D9D9" w:themeFill="background1" w:themeFillShade="D9"/>
          </w:tcPr>
          <w:p w14:paraId="7416956B" w14:textId="4A358913" w:rsidR="004D6EC2" w:rsidRPr="004D6EC2" w:rsidRDefault="004D6EC2" w:rsidP="00400D5D">
            <w:pPr>
              <w:pStyle w:val="TableText"/>
              <w:jc w:val="right"/>
              <w:rPr>
                <w:b/>
                <w:bCs/>
              </w:rPr>
            </w:pPr>
            <w:r w:rsidRPr="004D6EC2">
              <w:rPr>
                <w:b/>
                <w:bCs/>
                <w:w w:val="110"/>
              </w:rPr>
              <w:t>Unaudited</w:t>
            </w:r>
            <w:r>
              <w:rPr>
                <w:b/>
                <w:bCs/>
                <w:w w:val="110"/>
              </w:rPr>
              <w:br/>
            </w:r>
            <w:r w:rsidRPr="004D6EC2">
              <w:rPr>
                <w:b/>
                <w:bCs/>
                <w:w w:val="110"/>
              </w:rPr>
              <w:t>budget</w:t>
            </w:r>
          </w:p>
          <w:p w14:paraId="216F2368" w14:textId="77777777" w:rsidR="004D6EC2" w:rsidRPr="004D6EC2" w:rsidRDefault="004D6EC2" w:rsidP="00400D5D">
            <w:pPr>
              <w:pStyle w:val="TableText"/>
              <w:jc w:val="right"/>
              <w:rPr>
                <w:b/>
                <w:bCs/>
              </w:rPr>
            </w:pPr>
            <w:r w:rsidRPr="004D6EC2">
              <w:rPr>
                <w:b/>
                <w:bCs/>
                <w:w w:val="105"/>
              </w:rPr>
              <w:t>2022</w:t>
            </w:r>
          </w:p>
          <w:p w14:paraId="3FAE183C" w14:textId="77777777" w:rsidR="004D6EC2" w:rsidRPr="004D6EC2" w:rsidRDefault="004D6EC2" w:rsidP="00400D5D">
            <w:pPr>
              <w:pStyle w:val="TableText"/>
              <w:jc w:val="right"/>
              <w:rPr>
                <w:b/>
                <w:bCs/>
              </w:rPr>
            </w:pPr>
            <w:r w:rsidRPr="004D6EC2">
              <w:rPr>
                <w:b/>
                <w:bCs/>
                <w:w w:val="120"/>
              </w:rPr>
              <w:t>$000</w:t>
            </w:r>
          </w:p>
        </w:tc>
        <w:tc>
          <w:tcPr>
            <w:tcW w:w="1032" w:type="dxa"/>
            <w:shd w:val="clear" w:color="auto" w:fill="D9D9D9" w:themeFill="background1" w:themeFillShade="D9"/>
          </w:tcPr>
          <w:p w14:paraId="14E48C44" w14:textId="14D7A041" w:rsidR="004D6EC2" w:rsidRPr="004D6EC2" w:rsidRDefault="004D6EC2" w:rsidP="00400D5D">
            <w:pPr>
              <w:pStyle w:val="TableText"/>
              <w:jc w:val="right"/>
              <w:rPr>
                <w:b/>
                <w:bCs/>
              </w:rPr>
            </w:pPr>
            <w:r w:rsidRPr="004D6EC2">
              <w:rPr>
                <w:b/>
                <w:bCs/>
                <w:w w:val="105"/>
              </w:rPr>
              <w:t>Revised</w:t>
            </w:r>
            <w:r>
              <w:rPr>
                <w:b/>
                <w:bCs/>
                <w:w w:val="105"/>
              </w:rPr>
              <w:br/>
              <w:t>budget</w:t>
            </w:r>
            <w:r w:rsidRPr="004D6EC2">
              <w:rPr>
                <w:b/>
                <w:bCs/>
                <w:spacing w:val="-50"/>
                <w:w w:val="105"/>
              </w:rPr>
              <w:t xml:space="preserve"> </w:t>
            </w:r>
          </w:p>
          <w:p w14:paraId="1EE5D7B5" w14:textId="77777777" w:rsidR="004D6EC2" w:rsidRPr="004D6EC2" w:rsidRDefault="004D6EC2" w:rsidP="00400D5D">
            <w:pPr>
              <w:pStyle w:val="TableText"/>
              <w:jc w:val="right"/>
              <w:rPr>
                <w:b/>
                <w:bCs/>
              </w:rPr>
            </w:pPr>
            <w:r w:rsidRPr="004D6EC2">
              <w:rPr>
                <w:b/>
                <w:bCs/>
                <w:w w:val="105"/>
              </w:rPr>
              <w:t>2022</w:t>
            </w:r>
          </w:p>
          <w:p w14:paraId="72910DC6" w14:textId="77777777" w:rsidR="004D6EC2" w:rsidRPr="004D6EC2" w:rsidRDefault="004D6EC2" w:rsidP="00400D5D">
            <w:pPr>
              <w:pStyle w:val="TableText"/>
              <w:jc w:val="right"/>
              <w:rPr>
                <w:b/>
                <w:bCs/>
              </w:rPr>
            </w:pPr>
            <w:r w:rsidRPr="004D6EC2">
              <w:rPr>
                <w:b/>
                <w:bCs/>
                <w:w w:val="120"/>
              </w:rPr>
              <w:t>$000</w:t>
            </w:r>
          </w:p>
        </w:tc>
      </w:tr>
      <w:tr w:rsidR="004D6EC2" w:rsidRPr="00400D5D" w14:paraId="0E293169" w14:textId="77777777" w:rsidTr="00400D5D">
        <w:trPr>
          <w:trHeight w:val="340"/>
        </w:trPr>
        <w:tc>
          <w:tcPr>
            <w:tcW w:w="1127" w:type="dxa"/>
          </w:tcPr>
          <w:p w14:paraId="060F3A19" w14:textId="76DBB02B" w:rsidR="004D6EC2" w:rsidRPr="00400D5D" w:rsidRDefault="004D6EC2" w:rsidP="00400D5D">
            <w:pPr>
              <w:pStyle w:val="TableText"/>
              <w:jc w:val="right"/>
              <w:rPr>
                <w:b/>
                <w:bCs/>
              </w:rPr>
            </w:pPr>
          </w:p>
        </w:tc>
        <w:tc>
          <w:tcPr>
            <w:tcW w:w="3119" w:type="dxa"/>
          </w:tcPr>
          <w:p w14:paraId="23733B3D" w14:textId="77777777" w:rsidR="004D6EC2" w:rsidRPr="00400D5D" w:rsidRDefault="004D6EC2" w:rsidP="00400D5D">
            <w:pPr>
              <w:pStyle w:val="TableText"/>
              <w:ind w:left="170"/>
              <w:rPr>
                <w:b/>
                <w:bCs/>
              </w:rPr>
            </w:pPr>
            <w:r w:rsidRPr="00400D5D">
              <w:rPr>
                <w:b/>
                <w:bCs/>
              </w:rPr>
              <w:t xml:space="preserve">Assets </w:t>
            </w:r>
          </w:p>
          <w:p w14:paraId="5843BFFD" w14:textId="65024739" w:rsidR="004D6EC2" w:rsidRPr="00400D5D" w:rsidRDefault="004D6EC2" w:rsidP="00400D5D">
            <w:pPr>
              <w:pStyle w:val="TableText"/>
              <w:ind w:left="170"/>
              <w:rPr>
                <w:b/>
                <w:bCs/>
              </w:rPr>
            </w:pPr>
            <w:r w:rsidRPr="00400D5D">
              <w:rPr>
                <w:b/>
                <w:bCs/>
              </w:rPr>
              <w:t>Current assets</w:t>
            </w:r>
          </w:p>
        </w:tc>
        <w:tc>
          <w:tcPr>
            <w:tcW w:w="850" w:type="dxa"/>
          </w:tcPr>
          <w:p w14:paraId="3A29221B" w14:textId="77777777" w:rsidR="004D6EC2" w:rsidRPr="00400D5D" w:rsidRDefault="004D6EC2" w:rsidP="00400D5D">
            <w:pPr>
              <w:pStyle w:val="TableText"/>
              <w:jc w:val="right"/>
              <w:rPr>
                <w:b/>
                <w:bCs/>
              </w:rPr>
            </w:pPr>
          </w:p>
        </w:tc>
        <w:tc>
          <w:tcPr>
            <w:tcW w:w="1134" w:type="dxa"/>
          </w:tcPr>
          <w:p w14:paraId="430590C7" w14:textId="32A77283" w:rsidR="004D6EC2" w:rsidRPr="00400D5D" w:rsidRDefault="004D6EC2" w:rsidP="00400D5D">
            <w:pPr>
              <w:pStyle w:val="TableText"/>
              <w:jc w:val="right"/>
              <w:rPr>
                <w:b/>
                <w:bCs/>
              </w:rPr>
            </w:pPr>
          </w:p>
        </w:tc>
        <w:tc>
          <w:tcPr>
            <w:tcW w:w="1239" w:type="dxa"/>
          </w:tcPr>
          <w:p w14:paraId="1C0D476C" w14:textId="5CE0C941" w:rsidR="004D6EC2" w:rsidRPr="00400D5D" w:rsidRDefault="004D6EC2" w:rsidP="00400D5D">
            <w:pPr>
              <w:pStyle w:val="TableText"/>
              <w:jc w:val="right"/>
              <w:rPr>
                <w:b/>
                <w:bCs/>
              </w:rPr>
            </w:pPr>
          </w:p>
        </w:tc>
        <w:tc>
          <w:tcPr>
            <w:tcW w:w="1032" w:type="dxa"/>
          </w:tcPr>
          <w:p w14:paraId="3C8324D7" w14:textId="3695AF43" w:rsidR="004D6EC2" w:rsidRPr="00400D5D" w:rsidRDefault="004D6EC2" w:rsidP="00400D5D">
            <w:pPr>
              <w:pStyle w:val="TableText"/>
              <w:jc w:val="right"/>
              <w:rPr>
                <w:b/>
                <w:bCs/>
              </w:rPr>
            </w:pPr>
          </w:p>
        </w:tc>
      </w:tr>
      <w:tr w:rsidR="004D6EC2" w:rsidRPr="00400D5D" w14:paraId="20E8EEEF" w14:textId="77777777" w:rsidTr="00400D5D">
        <w:trPr>
          <w:trHeight w:val="349"/>
        </w:trPr>
        <w:tc>
          <w:tcPr>
            <w:tcW w:w="1127" w:type="dxa"/>
          </w:tcPr>
          <w:p w14:paraId="3545CC06" w14:textId="16B44B5C" w:rsidR="004D6EC2" w:rsidRPr="00400D5D" w:rsidRDefault="004D6EC2" w:rsidP="00400D5D">
            <w:pPr>
              <w:pStyle w:val="TableText"/>
              <w:jc w:val="right"/>
            </w:pPr>
            <w:r w:rsidRPr="00400D5D">
              <w:t>258,941</w:t>
            </w:r>
          </w:p>
        </w:tc>
        <w:tc>
          <w:tcPr>
            <w:tcW w:w="3119" w:type="dxa"/>
          </w:tcPr>
          <w:p w14:paraId="51B0D62C" w14:textId="5A2EE465" w:rsidR="004D6EC2" w:rsidRPr="00400D5D" w:rsidRDefault="004D6EC2" w:rsidP="00400D5D">
            <w:pPr>
              <w:pStyle w:val="TableText"/>
              <w:ind w:left="170"/>
            </w:pPr>
            <w:r w:rsidRPr="00400D5D">
              <w:t>Cash and cash equivalents</w:t>
            </w:r>
          </w:p>
        </w:tc>
        <w:tc>
          <w:tcPr>
            <w:tcW w:w="850" w:type="dxa"/>
          </w:tcPr>
          <w:p w14:paraId="08154794" w14:textId="77777777" w:rsidR="004D6EC2" w:rsidRPr="00400D5D" w:rsidRDefault="004D6EC2" w:rsidP="00400D5D">
            <w:pPr>
              <w:pStyle w:val="TableText"/>
              <w:jc w:val="right"/>
            </w:pPr>
          </w:p>
        </w:tc>
        <w:tc>
          <w:tcPr>
            <w:tcW w:w="1134" w:type="dxa"/>
          </w:tcPr>
          <w:p w14:paraId="3367BA54" w14:textId="28601967" w:rsidR="004D6EC2" w:rsidRPr="00400D5D" w:rsidRDefault="004D6EC2" w:rsidP="00400D5D">
            <w:pPr>
              <w:pStyle w:val="TableText"/>
              <w:jc w:val="right"/>
            </w:pPr>
            <w:r w:rsidRPr="00400D5D">
              <w:t>312,394</w:t>
            </w:r>
          </w:p>
        </w:tc>
        <w:tc>
          <w:tcPr>
            <w:tcW w:w="1239" w:type="dxa"/>
          </w:tcPr>
          <w:p w14:paraId="2D63FFE2" w14:textId="17CDEE07" w:rsidR="004D6EC2" w:rsidRPr="00400D5D" w:rsidRDefault="004D6EC2" w:rsidP="00400D5D">
            <w:pPr>
              <w:pStyle w:val="TableText"/>
              <w:jc w:val="right"/>
            </w:pPr>
            <w:r w:rsidRPr="00400D5D">
              <w:t>343,822</w:t>
            </w:r>
          </w:p>
        </w:tc>
        <w:tc>
          <w:tcPr>
            <w:tcW w:w="1032" w:type="dxa"/>
          </w:tcPr>
          <w:p w14:paraId="705C52FF" w14:textId="532E4F5D" w:rsidR="004D6EC2" w:rsidRPr="00400D5D" w:rsidRDefault="004D6EC2" w:rsidP="00400D5D">
            <w:pPr>
              <w:pStyle w:val="TableText"/>
              <w:jc w:val="right"/>
            </w:pPr>
            <w:r w:rsidRPr="00400D5D">
              <w:t>258,941</w:t>
            </w:r>
          </w:p>
        </w:tc>
      </w:tr>
      <w:tr w:rsidR="004D6EC2" w:rsidRPr="00400D5D" w14:paraId="1ACD3483" w14:textId="77777777" w:rsidTr="00400D5D">
        <w:trPr>
          <w:trHeight w:val="349"/>
        </w:trPr>
        <w:tc>
          <w:tcPr>
            <w:tcW w:w="1127" w:type="dxa"/>
          </w:tcPr>
          <w:p w14:paraId="270D70C7" w14:textId="41628F05" w:rsidR="004D6EC2" w:rsidRPr="00400D5D" w:rsidRDefault="004D6EC2" w:rsidP="00400D5D">
            <w:pPr>
              <w:pStyle w:val="TableText"/>
              <w:jc w:val="right"/>
            </w:pPr>
            <w:r w:rsidRPr="00400D5D">
              <w:t>219,050</w:t>
            </w:r>
          </w:p>
        </w:tc>
        <w:tc>
          <w:tcPr>
            <w:tcW w:w="3119" w:type="dxa"/>
          </w:tcPr>
          <w:p w14:paraId="5D5952CC" w14:textId="4B02B18F" w:rsidR="004D6EC2" w:rsidRPr="00400D5D" w:rsidRDefault="004D6EC2" w:rsidP="00400D5D">
            <w:pPr>
              <w:pStyle w:val="TableText"/>
              <w:ind w:left="170"/>
            </w:pPr>
            <w:r w:rsidRPr="00400D5D">
              <w:t>Inventory</w:t>
            </w:r>
          </w:p>
        </w:tc>
        <w:tc>
          <w:tcPr>
            <w:tcW w:w="850" w:type="dxa"/>
          </w:tcPr>
          <w:p w14:paraId="46CA4B27" w14:textId="77777777" w:rsidR="004D6EC2" w:rsidRPr="00400D5D" w:rsidRDefault="004D6EC2" w:rsidP="00400D5D">
            <w:pPr>
              <w:pStyle w:val="TableText"/>
              <w:jc w:val="right"/>
            </w:pPr>
            <w:r w:rsidRPr="00400D5D">
              <w:t>2.1</w:t>
            </w:r>
          </w:p>
        </w:tc>
        <w:tc>
          <w:tcPr>
            <w:tcW w:w="1134" w:type="dxa"/>
          </w:tcPr>
          <w:p w14:paraId="59B1F859" w14:textId="77777777" w:rsidR="004D6EC2" w:rsidRPr="00400D5D" w:rsidRDefault="004D6EC2" w:rsidP="00400D5D">
            <w:pPr>
              <w:pStyle w:val="TableText"/>
              <w:jc w:val="right"/>
            </w:pPr>
            <w:r w:rsidRPr="00400D5D">
              <w:t>550,231</w:t>
            </w:r>
          </w:p>
        </w:tc>
        <w:tc>
          <w:tcPr>
            <w:tcW w:w="1239" w:type="dxa"/>
          </w:tcPr>
          <w:p w14:paraId="1B915EBA" w14:textId="77777777" w:rsidR="004D6EC2" w:rsidRPr="00400D5D" w:rsidRDefault="004D6EC2" w:rsidP="00400D5D">
            <w:pPr>
              <w:pStyle w:val="TableText"/>
              <w:jc w:val="right"/>
            </w:pPr>
            <w:r w:rsidRPr="00400D5D">
              <w:t>92,470</w:t>
            </w:r>
          </w:p>
        </w:tc>
        <w:tc>
          <w:tcPr>
            <w:tcW w:w="1032" w:type="dxa"/>
          </w:tcPr>
          <w:p w14:paraId="32EBCABB" w14:textId="77777777" w:rsidR="004D6EC2" w:rsidRPr="00400D5D" w:rsidRDefault="004D6EC2" w:rsidP="00400D5D">
            <w:pPr>
              <w:pStyle w:val="TableText"/>
              <w:jc w:val="right"/>
            </w:pPr>
            <w:r w:rsidRPr="00400D5D">
              <w:t>219,050</w:t>
            </w:r>
          </w:p>
        </w:tc>
      </w:tr>
      <w:tr w:rsidR="004D6EC2" w:rsidRPr="00400D5D" w14:paraId="69DA38FB" w14:textId="77777777" w:rsidTr="00400D5D">
        <w:trPr>
          <w:trHeight w:val="349"/>
        </w:trPr>
        <w:tc>
          <w:tcPr>
            <w:tcW w:w="1127" w:type="dxa"/>
          </w:tcPr>
          <w:p w14:paraId="722F6EDA" w14:textId="1B8C4634" w:rsidR="004D6EC2" w:rsidRPr="00400D5D" w:rsidRDefault="004D6EC2" w:rsidP="00400D5D">
            <w:pPr>
              <w:pStyle w:val="TableText"/>
              <w:jc w:val="right"/>
            </w:pPr>
            <w:r w:rsidRPr="00400D5D">
              <w:t>2,476</w:t>
            </w:r>
          </w:p>
        </w:tc>
        <w:tc>
          <w:tcPr>
            <w:tcW w:w="3119" w:type="dxa"/>
          </w:tcPr>
          <w:p w14:paraId="4D64517E" w14:textId="3DE1D3EF" w:rsidR="004D6EC2" w:rsidRPr="00400D5D" w:rsidRDefault="004D6EC2" w:rsidP="00400D5D">
            <w:pPr>
              <w:pStyle w:val="TableText"/>
              <w:ind w:left="170"/>
            </w:pPr>
            <w:r w:rsidRPr="00400D5D">
              <w:t>Receivables from DHBs</w:t>
            </w:r>
          </w:p>
        </w:tc>
        <w:tc>
          <w:tcPr>
            <w:tcW w:w="850" w:type="dxa"/>
          </w:tcPr>
          <w:p w14:paraId="1C9728B1" w14:textId="77777777" w:rsidR="004D6EC2" w:rsidRPr="00400D5D" w:rsidRDefault="004D6EC2" w:rsidP="00400D5D">
            <w:pPr>
              <w:pStyle w:val="TableText"/>
              <w:jc w:val="right"/>
            </w:pPr>
          </w:p>
        </w:tc>
        <w:tc>
          <w:tcPr>
            <w:tcW w:w="1134" w:type="dxa"/>
          </w:tcPr>
          <w:p w14:paraId="6E00C093" w14:textId="77777777" w:rsidR="004D6EC2" w:rsidRPr="00400D5D" w:rsidRDefault="004D6EC2" w:rsidP="00400D5D">
            <w:pPr>
              <w:pStyle w:val="TableText"/>
              <w:jc w:val="right"/>
            </w:pPr>
            <w:r w:rsidRPr="00400D5D">
              <w:t>11,935</w:t>
            </w:r>
          </w:p>
        </w:tc>
        <w:tc>
          <w:tcPr>
            <w:tcW w:w="1239" w:type="dxa"/>
          </w:tcPr>
          <w:p w14:paraId="2DE8C309" w14:textId="77777777" w:rsidR="004D6EC2" w:rsidRPr="00400D5D" w:rsidRDefault="004D6EC2" w:rsidP="00400D5D">
            <w:pPr>
              <w:pStyle w:val="TableText"/>
              <w:jc w:val="right"/>
            </w:pPr>
            <w:r w:rsidRPr="00400D5D">
              <w:t>2,000</w:t>
            </w:r>
          </w:p>
        </w:tc>
        <w:tc>
          <w:tcPr>
            <w:tcW w:w="1032" w:type="dxa"/>
          </w:tcPr>
          <w:p w14:paraId="558EFF05" w14:textId="77777777" w:rsidR="004D6EC2" w:rsidRPr="00400D5D" w:rsidRDefault="004D6EC2" w:rsidP="00400D5D">
            <w:pPr>
              <w:pStyle w:val="TableText"/>
              <w:jc w:val="right"/>
            </w:pPr>
            <w:r w:rsidRPr="00400D5D">
              <w:t>2,000</w:t>
            </w:r>
          </w:p>
        </w:tc>
      </w:tr>
      <w:tr w:rsidR="004D6EC2" w:rsidRPr="00400D5D" w14:paraId="160116FA" w14:textId="77777777" w:rsidTr="00400D5D">
        <w:trPr>
          <w:trHeight w:val="349"/>
        </w:trPr>
        <w:tc>
          <w:tcPr>
            <w:tcW w:w="1127" w:type="dxa"/>
          </w:tcPr>
          <w:p w14:paraId="7D4F7168" w14:textId="16DDA909" w:rsidR="004D6EC2" w:rsidRPr="00400D5D" w:rsidRDefault="004D6EC2" w:rsidP="00400D5D">
            <w:pPr>
              <w:pStyle w:val="TableText"/>
              <w:jc w:val="right"/>
            </w:pPr>
            <w:r w:rsidRPr="00400D5D">
              <w:t>370</w:t>
            </w:r>
          </w:p>
        </w:tc>
        <w:tc>
          <w:tcPr>
            <w:tcW w:w="3119" w:type="dxa"/>
          </w:tcPr>
          <w:p w14:paraId="73C8F10A" w14:textId="4E39B4E6" w:rsidR="004D6EC2" w:rsidRPr="00400D5D" w:rsidRDefault="004D6EC2" w:rsidP="00400D5D">
            <w:pPr>
              <w:pStyle w:val="TableText"/>
              <w:ind w:left="170"/>
            </w:pPr>
            <w:r w:rsidRPr="00400D5D">
              <w:t>Receivable from ACC</w:t>
            </w:r>
          </w:p>
        </w:tc>
        <w:tc>
          <w:tcPr>
            <w:tcW w:w="850" w:type="dxa"/>
          </w:tcPr>
          <w:p w14:paraId="7ED3F022" w14:textId="77777777" w:rsidR="004D6EC2" w:rsidRPr="00400D5D" w:rsidRDefault="004D6EC2" w:rsidP="00400D5D">
            <w:pPr>
              <w:pStyle w:val="TableText"/>
              <w:jc w:val="right"/>
            </w:pPr>
            <w:r w:rsidRPr="00400D5D">
              <w:t>2.2</w:t>
            </w:r>
          </w:p>
        </w:tc>
        <w:tc>
          <w:tcPr>
            <w:tcW w:w="1134" w:type="dxa"/>
          </w:tcPr>
          <w:p w14:paraId="23B050F3" w14:textId="77777777" w:rsidR="004D6EC2" w:rsidRPr="00400D5D" w:rsidRDefault="004D6EC2" w:rsidP="00400D5D">
            <w:pPr>
              <w:pStyle w:val="TableText"/>
              <w:jc w:val="right"/>
            </w:pPr>
            <w:r w:rsidRPr="00400D5D">
              <w:t>48,636</w:t>
            </w:r>
          </w:p>
        </w:tc>
        <w:tc>
          <w:tcPr>
            <w:tcW w:w="1239" w:type="dxa"/>
          </w:tcPr>
          <w:p w14:paraId="3E1E32D9" w14:textId="77777777" w:rsidR="004D6EC2" w:rsidRPr="00400D5D" w:rsidRDefault="004D6EC2" w:rsidP="00400D5D">
            <w:pPr>
              <w:pStyle w:val="TableText"/>
              <w:jc w:val="right"/>
            </w:pPr>
            <w:r w:rsidRPr="00400D5D">
              <w:t>32,800</w:t>
            </w:r>
          </w:p>
        </w:tc>
        <w:tc>
          <w:tcPr>
            <w:tcW w:w="1032" w:type="dxa"/>
          </w:tcPr>
          <w:p w14:paraId="27918DFE" w14:textId="77777777" w:rsidR="004D6EC2" w:rsidRPr="00400D5D" w:rsidRDefault="004D6EC2" w:rsidP="00400D5D">
            <w:pPr>
              <w:pStyle w:val="TableText"/>
              <w:jc w:val="right"/>
            </w:pPr>
            <w:r w:rsidRPr="00400D5D">
              <w:t>2,000</w:t>
            </w:r>
          </w:p>
        </w:tc>
      </w:tr>
      <w:tr w:rsidR="004D6EC2" w:rsidRPr="00400D5D" w14:paraId="11F340D7" w14:textId="77777777" w:rsidTr="00400D5D">
        <w:trPr>
          <w:trHeight w:val="468"/>
        </w:trPr>
        <w:tc>
          <w:tcPr>
            <w:tcW w:w="1127" w:type="dxa"/>
          </w:tcPr>
          <w:p w14:paraId="08467457" w14:textId="10C63946" w:rsidR="004D6EC2" w:rsidRPr="00400D5D" w:rsidRDefault="004D6EC2" w:rsidP="00400D5D">
            <w:pPr>
              <w:pStyle w:val="TableText"/>
              <w:jc w:val="right"/>
            </w:pPr>
            <w:r w:rsidRPr="00400D5D">
              <w:t>5,897</w:t>
            </w:r>
          </w:p>
        </w:tc>
        <w:tc>
          <w:tcPr>
            <w:tcW w:w="3119" w:type="dxa"/>
          </w:tcPr>
          <w:p w14:paraId="42DB3628" w14:textId="4FA3CAC1" w:rsidR="004D6EC2" w:rsidRPr="00400D5D" w:rsidRDefault="004D6EC2" w:rsidP="00400D5D">
            <w:pPr>
              <w:pStyle w:val="TableText"/>
              <w:ind w:left="170"/>
            </w:pPr>
            <w:r w:rsidRPr="00400D5D">
              <w:t>Receivables from government</w:t>
            </w:r>
            <w:r w:rsidR="00400D5D">
              <w:t xml:space="preserve"> departments</w:t>
            </w:r>
          </w:p>
        </w:tc>
        <w:tc>
          <w:tcPr>
            <w:tcW w:w="850" w:type="dxa"/>
          </w:tcPr>
          <w:p w14:paraId="6EB9855A" w14:textId="77777777" w:rsidR="004D6EC2" w:rsidRPr="00400D5D" w:rsidRDefault="004D6EC2" w:rsidP="00400D5D">
            <w:pPr>
              <w:pStyle w:val="TableText"/>
              <w:jc w:val="right"/>
            </w:pPr>
          </w:p>
        </w:tc>
        <w:tc>
          <w:tcPr>
            <w:tcW w:w="1134" w:type="dxa"/>
          </w:tcPr>
          <w:p w14:paraId="5E3DD251" w14:textId="77777777" w:rsidR="004D6EC2" w:rsidRPr="00400D5D" w:rsidRDefault="004D6EC2" w:rsidP="00400D5D">
            <w:pPr>
              <w:pStyle w:val="TableText"/>
              <w:jc w:val="right"/>
            </w:pPr>
            <w:r w:rsidRPr="00400D5D">
              <w:t>6,336</w:t>
            </w:r>
          </w:p>
        </w:tc>
        <w:tc>
          <w:tcPr>
            <w:tcW w:w="1239" w:type="dxa"/>
          </w:tcPr>
          <w:p w14:paraId="04BA5AC0" w14:textId="77777777" w:rsidR="004D6EC2" w:rsidRPr="00400D5D" w:rsidRDefault="004D6EC2" w:rsidP="00400D5D">
            <w:pPr>
              <w:pStyle w:val="TableText"/>
              <w:jc w:val="right"/>
            </w:pPr>
            <w:r w:rsidRPr="00400D5D">
              <w:t>1,000</w:t>
            </w:r>
          </w:p>
        </w:tc>
        <w:tc>
          <w:tcPr>
            <w:tcW w:w="1032" w:type="dxa"/>
          </w:tcPr>
          <w:p w14:paraId="7C382BBF" w14:textId="77777777" w:rsidR="004D6EC2" w:rsidRPr="00400D5D" w:rsidRDefault="004D6EC2" w:rsidP="00400D5D">
            <w:pPr>
              <w:pStyle w:val="TableText"/>
              <w:jc w:val="right"/>
            </w:pPr>
            <w:r w:rsidRPr="00400D5D">
              <w:t>6,000</w:t>
            </w:r>
          </w:p>
        </w:tc>
      </w:tr>
      <w:tr w:rsidR="004D6EC2" w:rsidRPr="00400D5D" w14:paraId="1CB69C89" w14:textId="77777777" w:rsidTr="00400D5D">
        <w:trPr>
          <w:trHeight w:val="340"/>
        </w:trPr>
        <w:tc>
          <w:tcPr>
            <w:tcW w:w="1127" w:type="dxa"/>
          </w:tcPr>
          <w:p w14:paraId="53644033" w14:textId="77C3F460" w:rsidR="004D6EC2" w:rsidRPr="00400D5D" w:rsidRDefault="004D6EC2" w:rsidP="00400D5D">
            <w:pPr>
              <w:pStyle w:val="TableText"/>
              <w:jc w:val="right"/>
            </w:pPr>
            <w:r w:rsidRPr="00400D5D">
              <w:t>7,011</w:t>
            </w:r>
          </w:p>
        </w:tc>
        <w:tc>
          <w:tcPr>
            <w:tcW w:w="3119" w:type="dxa"/>
          </w:tcPr>
          <w:p w14:paraId="3C0B34B9" w14:textId="237FC562" w:rsidR="004D6EC2" w:rsidRPr="00400D5D" w:rsidRDefault="004D6EC2" w:rsidP="00400D5D">
            <w:pPr>
              <w:pStyle w:val="TableText"/>
              <w:ind w:left="170"/>
            </w:pPr>
            <w:r w:rsidRPr="00400D5D">
              <w:t>Other receivables</w:t>
            </w:r>
          </w:p>
        </w:tc>
        <w:tc>
          <w:tcPr>
            <w:tcW w:w="850" w:type="dxa"/>
          </w:tcPr>
          <w:p w14:paraId="14F27507" w14:textId="77777777" w:rsidR="004D6EC2" w:rsidRPr="00400D5D" w:rsidRDefault="004D6EC2" w:rsidP="00400D5D">
            <w:pPr>
              <w:pStyle w:val="TableText"/>
              <w:jc w:val="right"/>
            </w:pPr>
          </w:p>
        </w:tc>
        <w:tc>
          <w:tcPr>
            <w:tcW w:w="1134" w:type="dxa"/>
          </w:tcPr>
          <w:p w14:paraId="34803C86" w14:textId="77777777" w:rsidR="004D6EC2" w:rsidRPr="00400D5D" w:rsidRDefault="004D6EC2" w:rsidP="00400D5D">
            <w:pPr>
              <w:pStyle w:val="TableText"/>
              <w:jc w:val="right"/>
            </w:pPr>
            <w:r w:rsidRPr="00400D5D">
              <w:t>37,598</w:t>
            </w:r>
          </w:p>
        </w:tc>
        <w:tc>
          <w:tcPr>
            <w:tcW w:w="1239" w:type="dxa"/>
          </w:tcPr>
          <w:p w14:paraId="369EB640" w14:textId="77777777" w:rsidR="004D6EC2" w:rsidRPr="00400D5D" w:rsidRDefault="004D6EC2" w:rsidP="00400D5D">
            <w:pPr>
              <w:pStyle w:val="TableText"/>
              <w:jc w:val="right"/>
            </w:pPr>
            <w:r w:rsidRPr="00400D5D">
              <w:t>11,884</w:t>
            </w:r>
          </w:p>
        </w:tc>
        <w:tc>
          <w:tcPr>
            <w:tcW w:w="1032" w:type="dxa"/>
          </w:tcPr>
          <w:p w14:paraId="01C2795D" w14:textId="77777777" w:rsidR="004D6EC2" w:rsidRPr="00400D5D" w:rsidRDefault="004D6EC2" w:rsidP="00400D5D">
            <w:pPr>
              <w:pStyle w:val="TableText"/>
              <w:jc w:val="right"/>
            </w:pPr>
            <w:r w:rsidRPr="00400D5D">
              <w:t>6,000</w:t>
            </w:r>
          </w:p>
        </w:tc>
      </w:tr>
      <w:tr w:rsidR="004D6EC2" w:rsidRPr="00400D5D" w14:paraId="2EB145BF" w14:textId="77777777" w:rsidTr="00400D5D">
        <w:trPr>
          <w:trHeight w:val="340"/>
        </w:trPr>
        <w:tc>
          <w:tcPr>
            <w:tcW w:w="1127" w:type="dxa"/>
          </w:tcPr>
          <w:p w14:paraId="3879365B" w14:textId="2212D049" w:rsidR="004D6EC2" w:rsidRPr="00400D5D" w:rsidRDefault="004D6EC2" w:rsidP="00400D5D">
            <w:pPr>
              <w:pStyle w:val="TableText"/>
              <w:jc w:val="right"/>
            </w:pPr>
            <w:r w:rsidRPr="00400D5D">
              <w:t>145,494</w:t>
            </w:r>
          </w:p>
        </w:tc>
        <w:tc>
          <w:tcPr>
            <w:tcW w:w="3119" w:type="dxa"/>
          </w:tcPr>
          <w:p w14:paraId="249FECA5" w14:textId="6D63A08A" w:rsidR="004D6EC2" w:rsidRPr="00400D5D" w:rsidRDefault="004D6EC2" w:rsidP="00400D5D">
            <w:pPr>
              <w:pStyle w:val="TableText"/>
              <w:ind w:left="170"/>
            </w:pPr>
            <w:r w:rsidRPr="00400D5D">
              <w:t>Prepayments</w:t>
            </w:r>
          </w:p>
        </w:tc>
        <w:tc>
          <w:tcPr>
            <w:tcW w:w="850" w:type="dxa"/>
          </w:tcPr>
          <w:p w14:paraId="26463B41" w14:textId="77777777" w:rsidR="004D6EC2" w:rsidRPr="00400D5D" w:rsidRDefault="004D6EC2" w:rsidP="00400D5D">
            <w:pPr>
              <w:pStyle w:val="TableText"/>
              <w:jc w:val="right"/>
            </w:pPr>
            <w:r w:rsidRPr="00400D5D">
              <w:t>2.3</w:t>
            </w:r>
          </w:p>
        </w:tc>
        <w:tc>
          <w:tcPr>
            <w:tcW w:w="1134" w:type="dxa"/>
          </w:tcPr>
          <w:p w14:paraId="6F5BE0C3" w14:textId="77777777" w:rsidR="004D6EC2" w:rsidRPr="00400D5D" w:rsidRDefault="004D6EC2" w:rsidP="00400D5D">
            <w:pPr>
              <w:pStyle w:val="TableText"/>
              <w:jc w:val="right"/>
            </w:pPr>
            <w:r w:rsidRPr="00400D5D">
              <w:t>178,165</w:t>
            </w:r>
          </w:p>
        </w:tc>
        <w:tc>
          <w:tcPr>
            <w:tcW w:w="1239" w:type="dxa"/>
          </w:tcPr>
          <w:p w14:paraId="32CA82DD" w14:textId="77777777" w:rsidR="004D6EC2" w:rsidRPr="00400D5D" w:rsidRDefault="004D6EC2" w:rsidP="00400D5D">
            <w:pPr>
              <w:pStyle w:val="TableText"/>
              <w:jc w:val="right"/>
            </w:pPr>
            <w:r w:rsidRPr="00400D5D">
              <w:t>112,972</w:t>
            </w:r>
          </w:p>
        </w:tc>
        <w:tc>
          <w:tcPr>
            <w:tcW w:w="1032" w:type="dxa"/>
          </w:tcPr>
          <w:p w14:paraId="1E0B3307" w14:textId="77777777" w:rsidR="004D6EC2" w:rsidRPr="00400D5D" w:rsidRDefault="004D6EC2" w:rsidP="00400D5D">
            <w:pPr>
              <w:pStyle w:val="TableText"/>
              <w:jc w:val="right"/>
            </w:pPr>
            <w:r w:rsidRPr="00400D5D">
              <w:t>200,080</w:t>
            </w:r>
          </w:p>
        </w:tc>
      </w:tr>
      <w:tr w:rsidR="004D6EC2" w:rsidRPr="00400D5D" w14:paraId="7A0F452E" w14:textId="77777777" w:rsidTr="00400D5D">
        <w:trPr>
          <w:trHeight w:val="340"/>
        </w:trPr>
        <w:tc>
          <w:tcPr>
            <w:tcW w:w="1127" w:type="dxa"/>
            <w:tcBorders>
              <w:bottom w:val="single" w:sz="4" w:space="0" w:color="A6A6A6" w:themeColor="background1" w:themeShade="A6"/>
            </w:tcBorders>
          </w:tcPr>
          <w:p w14:paraId="00B2B60F" w14:textId="38158CB5" w:rsidR="004D6EC2" w:rsidRPr="00400D5D" w:rsidRDefault="004D6EC2" w:rsidP="00400D5D">
            <w:pPr>
              <w:pStyle w:val="TableText"/>
              <w:jc w:val="right"/>
              <w:rPr>
                <w:b/>
                <w:bCs/>
              </w:rPr>
            </w:pPr>
            <w:r w:rsidRPr="00400D5D">
              <w:rPr>
                <w:b/>
                <w:bCs/>
              </w:rPr>
              <w:t>639,239</w:t>
            </w:r>
          </w:p>
        </w:tc>
        <w:tc>
          <w:tcPr>
            <w:tcW w:w="3119" w:type="dxa"/>
            <w:tcBorders>
              <w:bottom w:val="single" w:sz="4" w:space="0" w:color="A6A6A6" w:themeColor="background1" w:themeShade="A6"/>
            </w:tcBorders>
          </w:tcPr>
          <w:p w14:paraId="61CD7EAF" w14:textId="0EA70272" w:rsidR="004D6EC2" w:rsidRPr="00400D5D" w:rsidRDefault="004D6EC2" w:rsidP="00400D5D">
            <w:pPr>
              <w:pStyle w:val="TableText"/>
              <w:ind w:left="170"/>
              <w:rPr>
                <w:b/>
                <w:bCs/>
              </w:rPr>
            </w:pPr>
            <w:r w:rsidRPr="00400D5D">
              <w:rPr>
                <w:b/>
                <w:bCs/>
              </w:rPr>
              <w:t>Total current assets</w:t>
            </w:r>
          </w:p>
        </w:tc>
        <w:tc>
          <w:tcPr>
            <w:tcW w:w="850" w:type="dxa"/>
            <w:tcBorders>
              <w:bottom w:val="single" w:sz="4" w:space="0" w:color="A6A6A6" w:themeColor="background1" w:themeShade="A6"/>
            </w:tcBorders>
          </w:tcPr>
          <w:p w14:paraId="2381F8A9" w14:textId="77777777" w:rsidR="004D6EC2" w:rsidRPr="00400D5D" w:rsidRDefault="004D6EC2" w:rsidP="00400D5D">
            <w:pPr>
              <w:pStyle w:val="TableText"/>
              <w:jc w:val="right"/>
              <w:rPr>
                <w:b/>
                <w:bCs/>
              </w:rPr>
            </w:pPr>
          </w:p>
        </w:tc>
        <w:tc>
          <w:tcPr>
            <w:tcW w:w="1134" w:type="dxa"/>
            <w:tcBorders>
              <w:bottom w:val="single" w:sz="4" w:space="0" w:color="A6A6A6" w:themeColor="background1" w:themeShade="A6"/>
            </w:tcBorders>
          </w:tcPr>
          <w:p w14:paraId="4C2D3340" w14:textId="77777777" w:rsidR="004D6EC2" w:rsidRPr="00400D5D" w:rsidRDefault="004D6EC2" w:rsidP="00400D5D">
            <w:pPr>
              <w:pStyle w:val="TableText"/>
              <w:jc w:val="right"/>
              <w:rPr>
                <w:b/>
                <w:bCs/>
              </w:rPr>
            </w:pPr>
            <w:r w:rsidRPr="00400D5D">
              <w:rPr>
                <w:b/>
                <w:bCs/>
              </w:rPr>
              <w:t>1,145,295</w:t>
            </w:r>
          </w:p>
        </w:tc>
        <w:tc>
          <w:tcPr>
            <w:tcW w:w="1239" w:type="dxa"/>
            <w:tcBorders>
              <w:bottom w:val="single" w:sz="4" w:space="0" w:color="A6A6A6" w:themeColor="background1" w:themeShade="A6"/>
            </w:tcBorders>
          </w:tcPr>
          <w:p w14:paraId="7D13FF81" w14:textId="77777777" w:rsidR="004D6EC2" w:rsidRPr="00400D5D" w:rsidRDefault="004D6EC2" w:rsidP="00400D5D">
            <w:pPr>
              <w:pStyle w:val="TableText"/>
              <w:jc w:val="right"/>
              <w:rPr>
                <w:b/>
                <w:bCs/>
              </w:rPr>
            </w:pPr>
            <w:r w:rsidRPr="00400D5D">
              <w:rPr>
                <w:b/>
                <w:bCs/>
              </w:rPr>
              <w:t>596,948</w:t>
            </w:r>
          </w:p>
        </w:tc>
        <w:tc>
          <w:tcPr>
            <w:tcW w:w="1032" w:type="dxa"/>
            <w:tcBorders>
              <w:bottom w:val="single" w:sz="4" w:space="0" w:color="A6A6A6" w:themeColor="background1" w:themeShade="A6"/>
            </w:tcBorders>
          </w:tcPr>
          <w:p w14:paraId="033DEF3A" w14:textId="77777777" w:rsidR="004D6EC2" w:rsidRPr="00400D5D" w:rsidRDefault="004D6EC2" w:rsidP="00400D5D">
            <w:pPr>
              <w:pStyle w:val="TableText"/>
              <w:jc w:val="right"/>
              <w:rPr>
                <w:b/>
                <w:bCs/>
              </w:rPr>
            </w:pPr>
            <w:r w:rsidRPr="00400D5D">
              <w:rPr>
                <w:b/>
                <w:bCs/>
              </w:rPr>
              <w:t>694,071</w:t>
            </w:r>
          </w:p>
        </w:tc>
      </w:tr>
      <w:tr w:rsidR="004D6EC2" w:rsidRPr="00400D5D" w14:paraId="122A386B" w14:textId="77777777" w:rsidTr="00400D5D">
        <w:trPr>
          <w:trHeight w:val="340"/>
        </w:trPr>
        <w:tc>
          <w:tcPr>
            <w:tcW w:w="1127" w:type="dxa"/>
            <w:tcBorders>
              <w:top w:val="single" w:sz="4" w:space="0" w:color="A6A6A6" w:themeColor="background1" w:themeShade="A6"/>
            </w:tcBorders>
          </w:tcPr>
          <w:p w14:paraId="6C72FA34" w14:textId="701C7A5F" w:rsidR="004D6EC2" w:rsidRPr="00400D5D" w:rsidRDefault="004D6EC2" w:rsidP="00400D5D">
            <w:pPr>
              <w:pStyle w:val="TableText"/>
              <w:jc w:val="right"/>
              <w:rPr>
                <w:b/>
                <w:bCs/>
              </w:rPr>
            </w:pPr>
          </w:p>
        </w:tc>
        <w:tc>
          <w:tcPr>
            <w:tcW w:w="3119" w:type="dxa"/>
            <w:tcBorders>
              <w:top w:val="single" w:sz="4" w:space="0" w:color="A6A6A6" w:themeColor="background1" w:themeShade="A6"/>
            </w:tcBorders>
          </w:tcPr>
          <w:p w14:paraId="7B4CE4F9" w14:textId="5B61B002" w:rsidR="004D6EC2" w:rsidRPr="00400D5D" w:rsidRDefault="004D6EC2" w:rsidP="00400D5D">
            <w:pPr>
              <w:pStyle w:val="TableText"/>
              <w:ind w:left="170"/>
              <w:rPr>
                <w:b/>
                <w:bCs/>
              </w:rPr>
            </w:pPr>
            <w:r w:rsidRPr="00400D5D">
              <w:rPr>
                <w:b/>
                <w:bCs/>
              </w:rPr>
              <w:t>Non-current asset</w:t>
            </w:r>
            <w:r w:rsidR="00400D5D" w:rsidRPr="00400D5D">
              <w:rPr>
                <w:b/>
                <w:bCs/>
              </w:rPr>
              <w:t>s</w:t>
            </w:r>
          </w:p>
        </w:tc>
        <w:tc>
          <w:tcPr>
            <w:tcW w:w="850" w:type="dxa"/>
            <w:tcBorders>
              <w:top w:val="single" w:sz="4" w:space="0" w:color="A6A6A6" w:themeColor="background1" w:themeShade="A6"/>
            </w:tcBorders>
          </w:tcPr>
          <w:p w14:paraId="4FF90E68" w14:textId="77777777" w:rsidR="004D6EC2" w:rsidRPr="00400D5D" w:rsidRDefault="004D6EC2" w:rsidP="00400D5D">
            <w:pPr>
              <w:pStyle w:val="TableText"/>
              <w:jc w:val="right"/>
              <w:rPr>
                <w:b/>
                <w:bCs/>
              </w:rPr>
            </w:pPr>
          </w:p>
        </w:tc>
        <w:tc>
          <w:tcPr>
            <w:tcW w:w="1134" w:type="dxa"/>
            <w:tcBorders>
              <w:top w:val="single" w:sz="4" w:space="0" w:color="A6A6A6" w:themeColor="background1" w:themeShade="A6"/>
            </w:tcBorders>
          </w:tcPr>
          <w:p w14:paraId="47EF00C8" w14:textId="366C9875" w:rsidR="004D6EC2" w:rsidRPr="00400D5D" w:rsidRDefault="004D6EC2" w:rsidP="00400D5D">
            <w:pPr>
              <w:pStyle w:val="TableText"/>
              <w:jc w:val="right"/>
              <w:rPr>
                <w:b/>
                <w:bCs/>
              </w:rPr>
            </w:pPr>
          </w:p>
        </w:tc>
        <w:tc>
          <w:tcPr>
            <w:tcW w:w="1239" w:type="dxa"/>
            <w:tcBorders>
              <w:top w:val="single" w:sz="4" w:space="0" w:color="A6A6A6" w:themeColor="background1" w:themeShade="A6"/>
            </w:tcBorders>
          </w:tcPr>
          <w:p w14:paraId="4019FF7C" w14:textId="44601E06" w:rsidR="004D6EC2" w:rsidRPr="00400D5D" w:rsidRDefault="004D6EC2" w:rsidP="00400D5D">
            <w:pPr>
              <w:pStyle w:val="TableText"/>
              <w:jc w:val="right"/>
              <w:rPr>
                <w:b/>
                <w:bCs/>
              </w:rPr>
            </w:pPr>
          </w:p>
        </w:tc>
        <w:tc>
          <w:tcPr>
            <w:tcW w:w="1032" w:type="dxa"/>
            <w:tcBorders>
              <w:top w:val="single" w:sz="4" w:space="0" w:color="A6A6A6" w:themeColor="background1" w:themeShade="A6"/>
            </w:tcBorders>
          </w:tcPr>
          <w:p w14:paraId="667784B0" w14:textId="351010C5" w:rsidR="004D6EC2" w:rsidRPr="00400D5D" w:rsidRDefault="004D6EC2" w:rsidP="00400D5D">
            <w:pPr>
              <w:pStyle w:val="TableText"/>
              <w:jc w:val="right"/>
              <w:rPr>
                <w:b/>
                <w:bCs/>
              </w:rPr>
            </w:pPr>
          </w:p>
        </w:tc>
      </w:tr>
      <w:tr w:rsidR="00400D5D" w:rsidRPr="00400D5D" w14:paraId="34C92180" w14:textId="77777777" w:rsidTr="00400D5D">
        <w:trPr>
          <w:trHeight w:val="340"/>
        </w:trPr>
        <w:tc>
          <w:tcPr>
            <w:tcW w:w="1127" w:type="dxa"/>
          </w:tcPr>
          <w:p w14:paraId="60EBE5FD" w14:textId="0F8F8247" w:rsidR="00400D5D" w:rsidRPr="00400D5D" w:rsidRDefault="00400D5D" w:rsidP="00400D5D">
            <w:pPr>
              <w:pStyle w:val="TableText"/>
              <w:jc w:val="right"/>
            </w:pPr>
            <w:r w:rsidRPr="00400D5D">
              <w:t xml:space="preserve">46,949  </w:t>
            </w:r>
          </w:p>
        </w:tc>
        <w:tc>
          <w:tcPr>
            <w:tcW w:w="3119" w:type="dxa"/>
          </w:tcPr>
          <w:p w14:paraId="54E305D5" w14:textId="7CEDBB62" w:rsidR="00400D5D" w:rsidRPr="00400D5D" w:rsidRDefault="00400D5D" w:rsidP="00400D5D">
            <w:pPr>
              <w:pStyle w:val="TableText"/>
              <w:ind w:left="170"/>
            </w:pPr>
            <w:r w:rsidRPr="00400D5D">
              <w:t>Residential care loans</w:t>
            </w:r>
          </w:p>
        </w:tc>
        <w:tc>
          <w:tcPr>
            <w:tcW w:w="850" w:type="dxa"/>
          </w:tcPr>
          <w:p w14:paraId="24639DF0" w14:textId="77777777" w:rsidR="00400D5D" w:rsidRPr="00400D5D" w:rsidRDefault="00400D5D" w:rsidP="00400D5D">
            <w:pPr>
              <w:pStyle w:val="TableText"/>
              <w:jc w:val="right"/>
            </w:pPr>
          </w:p>
        </w:tc>
        <w:tc>
          <w:tcPr>
            <w:tcW w:w="1134" w:type="dxa"/>
          </w:tcPr>
          <w:p w14:paraId="1CAEC6B3" w14:textId="7A4072C6" w:rsidR="00400D5D" w:rsidRPr="00400D5D" w:rsidRDefault="00400D5D" w:rsidP="00400D5D">
            <w:pPr>
              <w:pStyle w:val="TableText"/>
              <w:jc w:val="right"/>
            </w:pPr>
            <w:r w:rsidRPr="00400D5D">
              <w:t>48,629</w:t>
            </w:r>
          </w:p>
        </w:tc>
        <w:tc>
          <w:tcPr>
            <w:tcW w:w="1239" w:type="dxa"/>
          </w:tcPr>
          <w:p w14:paraId="78097194" w14:textId="6D81EC3C" w:rsidR="00400D5D" w:rsidRPr="00400D5D" w:rsidRDefault="00400D5D" w:rsidP="00400D5D">
            <w:pPr>
              <w:pStyle w:val="TableText"/>
              <w:jc w:val="right"/>
            </w:pPr>
            <w:r w:rsidRPr="00400D5D">
              <w:t>44,114</w:t>
            </w:r>
          </w:p>
        </w:tc>
        <w:tc>
          <w:tcPr>
            <w:tcW w:w="1032" w:type="dxa"/>
          </w:tcPr>
          <w:p w14:paraId="1D572F95" w14:textId="2DBA9DD1" w:rsidR="00400D5D" w:rsidRPr="00400D5D" w:rsidRDefault="00400D5D" w:rsidP="00400D5D">
            <w:pPr>
              <w:pStyle w:val="TableText"/>
              <w:jc w:val="right"/>
            </w:pPr>
            <w:r w:rsidRPr="00400D5D">
              <w:t>48,827</w:t>
            </w:r>
          </w:p>
        </w:tc>
      </w:tr>
      <w:tr w:rsidR="00400D5D" w:rsidRPr="00400D5D" w14:paraId="4A9B80B5" w14:textId="77777777" w:rsidTr="00400D5D">
        <w:trPr>
          <w:trHeight w:val="346"/>
        </w:trPr>
        <w:tc>
          <w:tcPr>
            <w:tcW w:w="1127" w:type="dxa"/>
          </w:tcPr>
          <w:p w14:paraId="12570469" w14:textId="28541C0D" w:rsidR="00400D5D" w:rsidRPr="00400D5D" w:rsidRDefault="00400D5D" w:rsidP="00400D5D">
            <w:pPr>
              <w:pStyle w:val="TableText"/>
              <w:jc w:val="right"/>
            </w:pPr>
            <w:r w:rsidRPr="00400D5D">
              <w:t>195,389</w:t>
            </w:r>
          </w:p>
        </w:tc>
        <w:tc>
          <w:tcPr>
            <w:tcW w:w="3119" w:type="dxa"/>
          </w:tcPr>
          <w:p w14:paraId="78C32A99" w14:textId="4B196568" w:rsidR="00400D5D" w:rsidRPr="00400D5D" w:rsidRDefault="00400D5D" w:rsidP="00400D5D">
            <w:pPr>
              <w:pStyle w:val="TableText"/>
              <w:ind w:left="170"/>
            </w:pPr>
            <w:r w:rsidRPr="00400D5D">
              <w:t>Hospital rebuild projects</w:t>
            </w:r>
          </w:p>
        </w:tc>
        <w:tc>
          <w:tcPr>
            <w:tcW w:w="850" w:type="dxa"/>
          </w:tcPr>
          <w:p w14:paraId="72462597" w14:textId="77777777" w:rsidR="00400D5D" w:rsidRPr="00400D5D" w:rsidRDefault="00400D5D" w:rsidP="00400D5D">
            <w:pPr>
              <w:pStyle w:val="TableText"/>
              <w:jc w:val="right"/>
            </w:pPr>
          </w:p>
        </w:tc>
        <w:tc>
          <w:tcPr>
            <w:tcW w:w="1134" w:type="dxa"/>
          </w:tcPr>
          <w:p w14:paraId="081D155C" w14:textId="77777777" w:rsidR="00400D5D" w:rsidRPr="00400D5D" w:rsidRDefault="00400D5D" w:rsidP="00400D5D">
            <w:pPr>
              <w:pStyle w:val="TableText"/>
              <w:jc w:val="right"/>
            </w:pPr>
            <w:r w:rsidRPr="00400D5D">
              <w:t>301,515</w:t>
            </w:r>
          </w:p>
        </w:tc>
        <w:tc>
          <w:tcPr>
            <w:tcW w:w="1239" w:type="dxa"/>
          </w:tcPr>
          <w:p w14:paraId="5EC91581" w14:textId="77777777" w:rsidR="00400D5D" w:rsidRPr="00400D5D" w:rsidRDefault="00400D5D" w:rsidP="00400D5D">
            <w:pPr>
              <w:pStyle w:val="TableText"/>
              <w:jc w:val="right"/>
            </w:pPr>
            <w:r w:rsidRPr="00400D5D">
              <w:t>351,832</w:t>
            </w:r>
          </w:p>
        </w:tc>
        <w:tc>
          <w:tcPr>
            <w:tcW w:w="1032" w:type="dxa"/>
          </w:tcPr>
          <w:p w14:paraId="634AE0B6" w14:textId="77777777" w:rsidR="00400D5D" w:rsidRPr="00400D5D" w:rsidRDefault="00400D5D" w:rsidP="00400D5D">
            <w:pPr>
              <w:pStyle w:val="TableText"/>
              <w:jc w:val="right"/>
            </w:pPr>
            <w:r w:rsidRPr="00400D5D">
              <w:t>276,937</w:t>
            </w:r>
          </w:p>
        </w:tc>
      </w:tr>
      <w:tr w:rsidR="00400D5D" w:rsidRPr="00400D5D" w14:paraId="521218B7" w14:textId="77777777" w:rsidTr="00400D5D">
        <w:trPr>
          <w:trHeight w:val="350"/>
        </w:trPr>
        <w:tc>
          <w:tcPr>
            <w:tcW w:w="1127" w:type="dxa"/>
          </w:tcPr>
          <w:p w14:paraId="4B815038" w14:textId="1D2F9800" w:rsidR="00400D5D" w:rsidRPr="00400D5D" w:rsidRDefault="00400D5D" w:rsidP="00400D5D">
            <w:pPr>
              <w:pStyle w:val="TableText"/>
              <w:jc w:val="right"/>
              <w:rPr>
                <w:b/>
                <w:bCs/>
              </w:rPr>
            </w:pPr>
            <w:r w:rsidRPr="00400D5D">
              <w:rPr>
                <w:b/>
                <w:bCs/>
              </w:rPr>
              <w:t xml:space="preserve">242,338  </w:t>
            </w:r>
          </w:p>
        </w:tc>
        <w:tc>
          <w:tcPr>
            <w:tcW w:w="3119" w:type="dxa"/>
          </w:tcPr>
          <w:p w14:paraId="4AA56A62" w14:textId="672BFA56" w:rsidR="00400D5D" w:rsidRPr="00400D5D" w:rsidRDefault="00400D5D" w:rsidP="00400D5D">
            <w:pPr>
              <w:pStyle w:val="TableText"/>
              <w:ind w:left="170"/>
              <w:rPr>
                <w:b/>
                <w:bCs/>
              </w:rPr>
            </w:pPr>
            <w:r w:rsidRPr="00400D5D">
              <w:rPr>
                <w:b/>
                <w:bCs/>
              </w:rPr>
              <w:t>Total non-current assets</w:t>
            </w:r>
          </w:p>
        </w:tc>
        <w:tc>
          <w:tcPr>
            <w:tcW w:w="850" w:type="dxa"/>
          </w:tcPr>
          <w:p w14:paraId="46EF0825" w14:textId="77777777" w:rsidR="00400D5D" w:rsidRPr="00400D5D" w:rsidRDefault="00400D5D" w:rsidP="00400D5D">
            <w:pPr>
              <w:pStyle w:val="TableText"/>
              <w:jc w:val="right"/>
              <w:rPr>
                <w:b/>
                <w:bCs/>
              </w:rPr>
            </w:pPr>
          </w:p>
        </w:tc>
        <w:tc>
          <w:tcPr>
            <w:tcW w:w="1134" w:type="dxa"/>
          </w:tcPr>
          <w:p w14:paraId="5B184569" w14:textId="77777777" w:rsidR="00400D5D" w:rsidRPr="00400D5D" w:rsidRDefault="00400D5D" w:rsidP="00400D5D">
            <w:pPr>
              <w:pStyle w:val="TableText"/>
              <w:jc w:val="right"/>
              <w:rPr>
                <w:b/>
                <w:bCs/>
              </w:rPr>
            </w:pPr>
            <w:r w:rsidRPr="00400D5D">
              <w:rPr>
                <w:b/>
                <w:bCs/>
              </w:rPr>
              <w:t>350,144</w:t>
            </w:r>
          </w:p>
        </w:tc>
        <w:tc>
          <w:tcPr>
            <w:tcW w:w="1239" w:type="dxa"/>
          </w:tcPr>
          <w:p w14:paraId="4D2BC268" w14:textId="77777777" w:rsidR="00400D5D" w:rsidRPr="00400D5D" w:rsidRDefault="00400D5D" w:rsidP="00400D5D">
            <w:pPr>
              <w:pStyle w:val="TableText"/>
              <w:jc w:val="right"/>
              <w:rPr>
                <w:b/>
                <w:bCs/>
              </w:rPr>
            </w:pPr>
            <w:r w:rsidRPr="00400D5D">
              <w:rPr>
                <w:b/>
                <w:bCs/>
              </w:rPr>
              <w:t>395,946</w:t>
            </w:r>
          </w:p>
        </w:tc>
        <w:tc>
          <w:tcPr>
            <w:tcW w:w="1032" w:type="dxa"/>
          </w:tcPr>
          <w:p w14:paraId="22CDF3E3" w14:textId="77777777" w:rsidR="00400D5D" w:rsidRPr="00400D5D" w:rsidRDefault="00400D5D" w:rsidP="00400D5D">
            <w:pPr>
              <w:pStyle w:val="TableText"/>
              <w:jc w:val="right"/>
              <w:rPr>
                <w:b/>
                <w:bCs/>
              </w:rPr>
            </w:pPr>
            <w:r w:rsidRPr="00400D5D">
              <w:rPr>
                <w:b/>
                <w:bCs/>
              </w:rPr>
              <w:t>325,764</w:t>
            </w:r>
          </w:p>
        </w:tc>
      </w:tr>
      <w:tr w:rsidR="00400D5D" w:rsidRPr="00400D5D" w14:paraId="31CFF2EA" w14:textId="77777777" w:rsidTr="00400D5D">
        <w:trPr>
          <w:trHeight w:val="321"/>
        </w:trPr>
        <w:tc>
          <w:tcPr>
            <w:tcW w:w="1127" w:type="dxa"/>
            <w:tcBorders>
              <w:bottom w:val="single" w:sz="4" w:space="0" w:color="A6A6A6" w:themeColor="background1" w:themeShade="A6"/>
            </w:tcBorders>
          </w:tcPr>
          <w:p w14:paraId="0C06F6B0" w14:textId="109DAEC2" w:rsidR="00400D5D" w:rsidRPr="00400D5D" w:rsidRDefault="00400D5D" w:rsidP="00400D5D">
            <w:pPr>
              <w:pStyle w:val="TableText"/>
              <w:jc w:val="right"/>
              <w:rPr>
                <w:b/>
                <w:bCs/>
              </w:rPr>
            </w:pPr>
            <w:r w:rsidRPr="00400D5D">
              <w:rPr>
                <w:b/>
                <w:bCs/>
              </w:rPr>
              <w:t xml:space="preserve">881,577    </w:t>
            </w:r>
          </w:p>
        </w:tc>
        <w:tc>
          <w:tcPr>
            <w:tcW w:w="3119" w:type="dxa"/>
            <w:tcBorders>
              <w:bottom w:val="single" w:sz="4" w:space="0" w:color="A6A6A6" w:themeColor="background1" w:themeShade="A6"/>
            </w:tcBorders>
          </w:tcPr>
          <w:p w14:paraId="1B4B08BD" w14:textId="02ABB725" w:rsidR="00400D5D" w:rsidRPr="00400D5D" w:rsidRDefault="00400D5D" w:rsidP="00400D5D">
            <w:pPr>
              <w:pStyle w:val="TableText"/>
              <w:ind w:left="170"/>
              <w:rPr>
                <w:b/>
                <w:bCs/>
              </w:rPr>
            </w:pPr>
            <w:r w:rsidRPr="00400D5D">
              <w:rPr>
                <w:b/>
                <w:bCs/>
              </w:rPr>
              <w:t>Total non-departmental assets</w:t>
            </w:r>
          </w:p>
        </w:tc>
        <w:tc>
          <w:tcPr>
            <w:tcW w:w="850" w:type="dxa"/>
            <w:tcBorders>
              <w:bottom w:val="single" w:sz="4" w:space="0" w:color="A6A6A6" w:themeColor="background1" w:themeShade="A6"/>
            </w:tcBorders>
          </w:tcPr>
          <w:p w14:paraId="289AEF7D" w14:textId="77777777" w:rsidR="00400D5D" w:rsidRPr="00400D5D" w:rsidRDefault="00400D5D" w:rsidP="00400D5D">
            <w:pPr>
              <w:pStyle w:val="TableText"/>
              <w:jc w:val="right"/>
              <w:rPr>
                <w:b/>
                <w:bCs/>
              </w:rPr>
            </w:pPr>
          </w:p>
        </w:tc>
        <w:tc>
          <w:tcPr>
            <w:tcW w:w="1134" w:type="dxa"/>
            <w:tcBorders>
              <w:bottom w:val="single" w:sz="4" w:space="0" w:color="A6A6A6" w:themeColor="background1" w:themeShade="A6"/>
            </w:tcBorders>
          </w:tcPr>
          <w:p w14:paraId="5AE2440F" w14:textId="77777777" w:rsidR="00400D5D" w:rsidRPr="00400D5D" w:rsidRDefault="00400D5D" w:rsidP="00400D5D">
            <w:pPr>
              <w:pStyle w:val="TableText"/>
              <w:jc w:val="right"/>
              <w:rPr>
                <w:b/>
                <w:bCs/>
              </w:rPr>
            </w:pPr>
            <w:r w:rsidRPr="00400D5D">
              <w:rPr>
                <w:b/>
                <w:bCs/>
              </w:rPr>
              <w:t>1,495,439</w:t>
            </w:r>
          </w:p>
        </w:tc>
        <w:tc>
          <w:tcPr>
            <w:tcW w:w="1239" w:type="dxa"/>
            <w:tcBorders>
              <w:bottom w:val="single" w:sz="4" w:space="0" w:color="A6A6A6" w:themeColor="background1" w:themeShade="A6"/>
            </w:tcBorders>
          </w:tcPr>
          <w:p w14:paraId="3559CF63" w14:textId="77777777" w:rsidR="00400D5D" w:rsidRPr="00400D5D" w:rsidRDefault="00400D5D" w:rsidP="00400D5D">
            <w:pPr>
              <w:pStyle w:val="TableText"/>
              <w:jc w:val="right"/>
              <w:rPr>
                <w:b/>
                <w:bCs/>
              </w:rPr>
            </w:pPr>
            <w:r w:rsidRPr="00400D5D">
              <w:rPr>
                <w:b/>
                <w:bCs/>
              </w:rPr>
              <w:t>992,894</w:t>
            </w:r>
          </w:p>
        </w:tc>
        <w:tc>
          <w:tcPr>
            <w:tcW w:w="1032" w:type="dxa"/>
            <w:tcBorders>
              <w:bottom w:val="single" w:sz="4" w:space="0" w:color="A6A6A6" w:themeColor="background1" w:themeShade="A6"/>
            </w:tcBorders>
          </w:tcPr>
          <w:p w14:paraId="5175DDEF" w14:textId="77777777" w:rsidR="00400D5D" w:rsidRPr="00400D5D" w:rsidRDefault="00400D5D" w:rsidP="00400D5D">
            <w:pPr>
              <w:pStyle w:val="TableText"/>
              <w:jc w:val="right"/>
              <w:rPr>
                <w:b/>
                <w:bCs/>
              </w:rPr>
            </w:pPr>
            <w:r w:rsidRPr="00400D5D">
              <w:rPr>
                <w:b/>
                <w:bCs/>
              </w:rPr>
              <w:t>1,019,835</w:t>
            </w:r>
          </w:p>
        </w:tc>
      </w:tr>
      <w:tr w:rsidR="00400D5D" w:rsidRPr="00400D5D" w14:paraId="7B61748D" w14:textId="77777777" w:rsidTr="00400D5D">
        <w:trPr>
          <w:trHeight w:val="321"/>
        </w:trPr>
        <w:tc>
          <w:tcPr>
            <w:tcW w:w="1127" w:type="dxa"/>
            <w:tcBorders>
              <w:top w:val="single" w:sz="4" w:space="0" w:color="A6A6A6" w:themeColor="background1" w:themeShade="A6"/>
            </w:tcBorders>
          </w:tcPr>
          <w:p w14:paraId="17526B3B" w14:textId="77777777" w:rsidR="00400D5D" w:rsidRPr="00400D5D" w:rsidRDefault="00400D5D" w:rsidP="00400D5D">
            <w:pPr>
              <w:pStyle w:val="TableText"/>
              <w:jc w:val="right"/>
            </w:pPr>
          </w:p>
        </w:tc>
        <w:tc>
          <w:tcPr>
            <w:tcW w:w="3119" w:type="dxa"/>
            <w:tcBorders>
              <w:top w:val="single" w:sz="4" w:space="0" w:color="A6A6A6" w:themeColor="background1" w:themeShade="A6"/>
            </w:tcBorders>
          </w:tcPr>
          <w:p w14:paraId="73EC270B" w14:textId="77777777" w:rsidR="00400D5D" w:rsidRPr="00400D5D" w:rsidRDefault="00400D5D" w:rsidP="00400D5D">
            <w:pPr>
              <w:pStyle w:val="TableText"/>
              <w:ind w:left="170"/>
              <w:rPr>
                <w:b/>
                <w:bCs/>
              </w:rPr>
            </w:pPr>
            <w:r w:rsidRPr="00400D5D">
              <w:rPr>
                <w:b/>
                <w:bCs/>
              </w:rPr>
              <w:t xml:space="preserve">Liabilities </w:t>
            </w:r>
          </w:p>
          <w:p w14:paraId="11F5A6A4" w14:textId="77777777" w:rsidR="00400D5D" w:rsidRPr="00400D5D" w:rsidRDefault="00400D5D" w:rsidP="00400D5D">
            <w:pPr>
              <w:pStyle w:val="TableText"/>
              <w:ind w:left="170"/>
              <w:rPr>
                <w:b/>
                <w:bCs/>
              </w:rPr>
            </w:pPr>
            <w:r w:rsidRPr="00400D5D">
              <w:rPr>
                <w:b/>
                <w:bCs/>
              </w:rPr>
              <w:t xml:space="preserve">Current liabilities </w:t>
            </w:r>
          </w:p>
          <w:p w14:paraId="4FE8760C" w14:textId="45A2CF40" w:rsidR="00400D5D" w:rsidRPr="00400D5D" w:rsidRDefault="00400D5D" w:rsidP="00400D5D">
            <w:pPr>
              <w:pStyle w:val="TableText"/>
              <w:ind w:left="170"/>
            </w:pPr>
            <w:r w:rsidRPr="00400D5D">
              <w:rPr>
                <w:b/>
                <w:bCs/>
              </w:rPr>
              <w:t>Payables:</w:t>
            </w:r>
          </w:p>
        </w:tc>
        <w:tc>
          <w:tcPr>
            <w:tcW w:w="850" w:type="dxa"/>
            <w:tcBorders>
              <w:top w:val="single" w:sz="4" w:space="0" w:color="A6A6A6" w:themeColor="background1" w:themeShade="A6"/>
            </w:tcBorders>
          </w:tcPr>
          <w:p w14:paraId="24058C5E" w14:textId="77777777" w:rsidR="00400D5D" w:rsidRPr="00400D5D" w:rsidRDefault="00400D5D" w:rsidP="00400D5D">
            <w:pPr>
              <w:pStyle w:val="TableText"/>
              <w:jc w:val="right"/>
            </w:pPr>
          </w:p>
        </w:tc>
        <w:tc>
          <w:tcPr>
            <w:tcW w:w="1134" w:type="dxa"/>
            <w:tcBorders>
              <w:top w:val="single" w:sz="4" w:space="0" w:color="A6A6A6" w:themeColor="background1" w:themeShade="A6"/>
            </w:tcBorders>
          </w:tcPr>
          <w:p w14:paraId="03E6BC1B" w14:textId="77777777" w:rsidR="00400D5D" w:rsidRPr="00400D5D" w:rsidRDefault="00400D5D" w:rsidP="00400D5D">
            <w:pPr>
              <w:pStyle w:val="TableText"/>
              <w:jc w:val="right"/>
            </w:pPr>
          </w:p>
        </w:tc>
        <w:tc>
          <w:tcPr>
            <w:tcW w:w="1239" w:type="dxa"/>
            <w:tcBorders>
              <w:top w:val="single" w:sz="4" w:space="0" w:color="A6A6A6" w:themeColor="background1" w:themeShade="A6"/>
            </w:tcBorders>
          </w:tcPr>
          <w:p w14:paraId="45CB1600" w14:textId="77777777" w:rsidR="00400D5D" w:rsidRPr="00400D5D" w:rsidRDefault="00400D5D" w:rsidP="00400D5D">
            <w:pPr>
              <w:pStyle w:val="TableText"/>
              <w:jc w:val="right"/>
            </w:pPr>
          </w:p>
        </w:tc>
        <w:tc>
          <w:tcPr>
            <w:tcW w:w="1032" w:type="dxa"/>
            <w:tcBorders>
              <w:top w:val="single" w:sz="4" w:space="0" w:color="A6A6A6" w:themeColor="background1" w:themeShade="A6"/>
            </w:tcBorders>
          </w:tcPr>
          <w:p w14:paraId="1B17CEB3" w14:textId="77777777" w:rsidR="00400D5D" w:rsidRPr="00400D5D" w:rsidRDefault="00400D5D" w:rsidP="00400D5D">
            <w:pPr>
              <w:pStyle w:val="TableText"/>
              <w:jc w:val="right"/>
            </w:pPr>
          </w:p>
        </w:tc>
      </w:tr>
      <w:tr w:rsidR="00400D5D" w:rsidRPr="00400D5D" w14:paraId="1C6CA146" w14:textId="77777777" w:rsidTr="00400D5D">
        <w:trPr>
          <w:trHeight w:val="340"/>
        </w:trPr>
        <w:tc>
          <w:tcPr>
            <w:tcW w:w="1127" w:type="dxa"/>
          </w:tcPr>
          <w:p w14:paraId="625B7684" w14:textId="0617D1FE" w:rsidR="00400D5D" w:rsidRPr="00400D5D" w:rsidRDefault="008C677C" w:rsidP="00400D5D">
            <w:pPr>
              <w:pStyle w:val="TableText"/>
              <w:jc w:val="right"/>
            </w:pPr>
            <w:r w:rsidRPr="008C677C">
              <w:t>78,189</w:t>
            </w:r>
          </w:p>
        </w:tc>
        <w:tc>
          <w:tcPr>
            <w:tcW w:w="3119" w:type="dxa"/>
          </w:tcPr>
          <w:p w14:paraId="48153C72" w14:textId="18BC82B4" w:rsidR="00400D5D" w:rsidRPr="00400D5D" w:rsidRDefault="00400D5D" w:rsidP="00400D5D">
            <w:pPr>
              <w:pStyle w:val="TableText"/>
              <w:ind w:left="170"/>
            </w:pPr>
            <w:r w:rsidRPr="00400D5D">
              <w:t>DHB payables</w:t>
            </w:r>
          </w:p>
        </w:tc>
        <w:tc>
          <w:tcPr>
            <w:tcW w:w="850" w:type="dxa"/>
          </w:tcPr>
          <w:p w14:paraId="3FA15240" w14:textId="77777777" w:rsidR="00400D5D" w:rsidRPr="00400D5D" w:rsidRDefault="00400D5D" w:rsidP="00400D5D">
            <w:pPr>
              <w:pStyle w:val="TableText"/>
              <w:jc w:val="right"/>
            </w:pPr>
            <w:r w:rsidRPr="00400D5D">
              <w:t>2.4</w:t>
            </w:r>
          </w:p>
        </w:tc>
        <w:tc>
          <w:tcPr>
            <w:tcW w:w="1134" w:type="dxa"/>
          </w:tcPr>
          <w:p w14:paraId="292E39C8" w14:textId="77777777" w:rsidR="00400D5D" w:rsidRPr="00400D5D" w:rsidRDefault="00400D5D" w:rsidP="00400D5D">
            <w:pPr>
              <w:pStyle w:val="TableText"/>
              <w:jc w:val="right"/>
            </w:pPr>
            <w:r w:rsidRPr="00400D5D">
              <w:t>97,010</w:t>
            </w:r>
          </w:p>
        </w:tc>
        <w:tc>
          <w:tcPr>
            <w:tcW w:w="1239" w:type="dxa"/>
          </w:tcPr>
          <w:p w14:paraId="583761E8" w14:textId="77777777" w:rsidR="00400D5D" w:rsidRPr="00400D5D" w:rsidRDefault="00400D5D" w:rsidP="00400D5D">
            <w:pPr>
              <w:pStyle w:val="TableText"/>
              <w:jc w:val="right"/>
            </w:pPr>
            <w:r w:rsidRPr="00400D5D">
              <w:t>–</w:t>
            </w:r>
          </w:p>
        </w:tc>
        <w:tc>
          <w:tcPr>
            <w:tcW w:w="1032" w:type="dxa"/>
          </w:tcPr>
          <w:p w14:paraId="115246A3" w14:textId="77777777" w:rsidR="00400D5D" w:rsidRPr="00400D5D" w:rsidRDefault="00400D5D" w:rsidP="00400D5D">
            <w:pPr>
              <w:pStyle w:val="TableText"/>
              <w:jc w:val="right"/>
            </w:pPr>
            <w:r w:rsidRPr="00400D5D">
              <w:t>–</w:t>
            </w:r>
          </w:p>
        </w:tc>
      </w:tr>
      <w:tr w:rsidR="00400D5D" w:rsidRPr="00400D5D" w14:paraId="106BEDD7" w14:textId="77777777" w:rsidTr="00400D5D">
        <w:trPr>
          <w:trHeight w:val="340"/>
        </w:trPr>
        <w:tc>
          <w:tcPr>
            <w:tcW w:w="1127" w:type="dxa"/>
          </w:tcPr>
          <w:p w14:paraId="1BF2A838" w14:textId="4FDC36CC" w:rsidR="00400D5D" w:rsidRPr="00400D5D" w:rsidRDefault="00400D5D" w:rsidP="00400D5D">
            <w:pPr>
              <w:pStyle w:val="TableText"/>
              <w:jc w:val="right"/>
            </w:pPr>
            <w:r w:rsidRPr="00400D5D">
              <w:t>68,092</w:t>
            </w:r>
          </w:p>
        </w:tc>
        <w:tc>
          <w:tcPr>
            <w:tcW w:w="3119" w:type="dxa"/>
          </w:tcPr>
          <w:p w14:paraId="0E73CDE7" w14:textId="70C1A4CD" w:rsidR="00400D5D" w:rsidRPr="00400D5D" w:rsidRDefault="00400D5D" w:rsidP="00400D5D">
            <w:pPr>
              <w:pStyle w:val="TableText"/>
              <w:ind w:left="170"/>
            </w:pPr>
            <w:r w:rsidRPr="00400D5D">
              <w:t>Other payables</w:t>
            </w:r>
          </w:p>
        </w:tc>
        <w:tc>
          <w:tcPr>
            <w:tcW w:w="850" w:type="dxa"/>
          </w:tcPr>
          <w:p w14:paraId="0BAED7BC" w14:textId="77777777" w:rsidR="00400D5D" w:rsidRPr="00400D5D" w:rsidRDefault="00400D5D" w:rsidP="00400D5D">
            <w:pPr>
              <w:pStyle w:val="TableText"/>
              <w:jc w:val="right"/>
            </w:pPr>
            <w:r w:rsidRPr="00400D5D">
              <w:t>2.4</w:t>
            </w:r>
          </w:p>
        </w:tc>
        <w:tc>
          <w:tcPr>
            <w:tcW w:w="1134" w:type="dxa"/>
          </w:tcPr>
          <w:p w14:paraId="4D96FF58" w14:textId="77777777" w:rsidR="00400D5D" w:rsidRPr="00400D5D" w:rsidRDefault="00400D5D" w:rsidP="00400D5D">
            <w:pPr>
              <w:pStyle w:val="TableText"/>
              <w:jc w:val="right"/>
            </w:pPr>
            <w:r w:rsidRPr="00400D5D">
              <w:t>44,782</w:t>
            </w:r>
          </w:p>
        </w:tc>
        <w:tc>
          <w:tcPr>
            <w:tcW w:w="1239" w:type="dxa"/>
          </w:tcPr>
          <w:p w14:paraId="34CEA7B7" w14:textId="77777777" w:rsidR="00400D5D" w:rsidRPr="00400D5D" w:rsidRDefault="00400D5D" w:rsidP="00400D5D">
            <w:pPr>
              <w:pStyle w:val="TableText"/>
              <w:jc w:val="right"/>
            </w:pPr>
            <w:r w:rsidRPr="00400D5D">
              <w:t>42,000</w:t>
            </w:r>
          </w:p>
        </w:tc>
        <w:tc>
          <w:tcPr>
            <w:tcW w:w="1032" w:type="dxa"/>
          </w:tcPr>
          <w:p w14:paraId="7704DBAA" w14:textId="77777777" w:rsidR="00400D5D" w:rsidRPr="00400D5D" w:rsidRDefault="00400D5D" w:rsidP="00400D5D">
            <w:pPr>
              <w:pStyle w:val="TableText"/>
              <w:jc w:val="right"/>
            </w:pPr>
            <w:r w:rsidRPr="00400D5D">
              <w:t>42,000</w:t>
            </w:r>
          </w:p>
        </w:tc>
      </w:tr>
      <w:tr w:rsidR="00400D5D" w:rsidRPr="00400D5D" w14:paraId="20C108E0" w14:textId="77777777" w:rsidTr="00400D5D">
        <w:trPr>
          <w:trHeight w:val="340"/>
        </w:trPr>
        <w:tc>
          <w:tcPr>
            <w:tcW w:w="1127" w:type="dxa"/>
          </w:tcPr>
          <w:p w14:paraId="534EB3AD" w14:textId="77777777" w:rsidR="00400D5D" w:rsidRPr="00400D5D" w:rsidRDefault="00400D5D" w:rsidP="00400D5D">
            <w:pPr>
              <w:pStyle w:val="TableText"/>
              <w:jc w:val="right"/>
              <w:rPr>
                <w:b/>
                <w:bCs/>
              </w:rPr>
            </w:pPr>
          </w:p>
        </w:tc>
        <w:tc>
          <w:tcPr>
            <w:tcW w:w="3119" w:type="dxa"/>
          </w:tcPr>
          <w:p w14:paraId="0D4FE42B" w14:textId="187D0F1A" w:rsidR="00400D5D" w:rsidRPr="00400D5D" w:rsidRDefault="00400D5D" w:rsidP="00400D5D">
            <w:pPr>
              <w:pStyle w:val="TableText"/>
              <w:ind w:left="170"/>
              <w:rPr>
                <w:b/>
                <w:bCs/>
              </w:rPr>
            </w:pPr>
            <w:r w:rsidRPr="00400D5D">
              <w:rPr>
                <w:b/>
                <w:bCs/>
              </w:rPr>
              <w:t>Accrued liabilities and provisions:</w:t>
            </w:r>
          </w:p>
        </w:tc>
        <w:tc>
          <w:tcPr>
            <w:tcW w:w="850" w:type="dxa"/>
          </w:tcPr>
          <w:p w14:paraId="4CF103D0" w14:textId="77777777" w:rsidR="00400D5D" w:rsidRPr="00400D5D" w:rsidRDefault="00400D5D" w:rsidP="00400D5D">
            <w:pPr>
              <w:pStyle w:val="TableText"/>
              <w:jc w:val="right"/>
              <w:rPr>
                <w:b/>
                <w:bCs/>
              </w:rPr>
            </w:pPr>
          </w:p>
        </w:tc>
        <w:tc>
          <w:tcPr>
            <w:tcW w:w="1134" w:type="dxa"/>
          </w:tcPr>
          <w:p w14:paraId="552C1342" w14:textId="77777777" w:rsidR="00400D5D" w:rsidRPr="00400D5D" w:rsidRDefault="00400D5D" w:rsidP="00400D5D">
            <w:pPr>
              <w:pStyle w:val="TableText"/>
              <w:jc w:val="right"/>
              <w:rPr>
                <w:b/>
                <w:bCs/>
              </w:rPr>
            </w:pPr>
          </w:p>
        </w:tc>
        <w:tc>
          <w:tcPr>
            <w:tcW w:w="1239" w:type="dxa"/>
          </w:tcPr>
          <w:p w14:paraId="16EBBCDF" w14:textId="77777777" w:rsidR="00400D5D" w:rsidRPr="00400D5D" w:rsidRDefault="00400D5D" w:rsidP="00400D5D">
            <w:pPr>
              <w:pStyle w:val="TableText"/>
              <w:jc w:val="right"/>
              <w:rPr>
                <w:b/>
                <w:bCs/>
              </w:rPr>
            </w:pPr>
          </w:p>
        </w:tc>
        <w:tc>
          <w:tcPr>
            <w:tcW w:w="1032" w:type="dxa"/>
          </w:tcPr>
          <w:p w14:paraId="6CB96E15" w14:textId="77777777" w:rsidR="00400D5D" w:rsidRPr="00400D5D" w:rsidRDefault="00400D5D" w:rsidP="00400D5D">
            <w:pPr>
              <w:pStyle w:val="TableText"/>
              <w:jc w:val="right"/>
              <w:rPr>
                <w:b/>
                <w:bCs/>
              </w:rPr>
            </w:pPr>
          </w:p>
        </w:tc>
      </w:tr>
      <w:tr w:rsidR="00400D5D" w:rsidRPr="00400D5D" w14:paraId="7A845342" w14:textId="77777777" w:rsidTr="00400D5D">
        <w:trPr>
          <w:trHeight w:val="340"/>
        </w:trPr>
        <w:tc>
          <w:tcPr>
            <w:tcW w:w="1127" w:type="dxa"/>
          </w:tcPr>
          <w:p w14:paraId="05ECA903" w14:textId="0DFF2B78" w:rsidR="00400D5D" w:rsidRPr="00400D5D" w:rsidRDefault="00400D5D" w:rsidP="00400D5D">
            <w:pPr>
              <w:pStyle w:val="TableText"/>
              <w:jc w:val="right"/>
            </w:pPr>
            <w:r w:rsidRPr="00400D5D">
              <w:t>371,119</w:t>
            </w:r>
          </w:p>
        </w:tc>
        <w:tc>
          <w:tcPr>
            <w:tcW w:w="3119" w:type="dxa"/>
          </w:tcPr>
          <w:p w14:paraId="179005EF" w14:textId="7B33D1A9" w:rsidR="00400D5D" w:rsidRPr="00400D5D" w:rsidRDefault="00400D5D" w:rsidP="00400D5D">
            <w:pPr>
              <w:pStyle w:val="TableText"/>
              <w:ind w:left="170"/>
            </w:pPr>
            <w:r w:rsidRPr="00400D5D">
              <w:t>DHB accrued liabilities</w:t>
            </w:r>
          </w:p>
        </w:tc>
        <w:tc>
          <w:tcPr>
            <w:tcW w:w="850" w:type="dxa"/>
          </w:tcPr>
          <w:p w14:paraId="0B40577A" w14:textId="77777777" w:rsidR="00400D5D" w:rsidRPr="00400D5D" w:rsidRDefault="00400D5D" w:rsidP="00400D5D">
            <w:pPr>
              <w:pStyle w:val="TableText"/>
              <w:jc w:val="right"/>
            </w:pPr>
            <w:r w:rsidRPr="00400D5D">
              <w:t>2.5</w:t>
            </w:r>
          </w:p>
        </w:tc>
        <w:tc>
          <w:tcPr>
            <w:tcW w:w="1134" w:type="dxa"/>
          </w:tcPr>
          <w:p w14:paraId="3E6898E5" w14:textId="77777777" w:rsidR="00400D5D" w:rsidRPr="00400D5D" w:rsidRDefault="00400D5D" w:rsidP="00400D5D">
            <w:pPr>
              <w:pStyle w:val="TableText"/>
              <w:jc w:val="right"/>
            </w:pPr>
            <w:r w:rsidRPr="00400D5D">
              <w:t>768,238</w:t>
            </w:r>
          </w:p>
        </w:tc>
        <w:tc>
          <w:tcPr>
            <w:tcW w:w="1239" w:type="dxa"/>
          </w:tcPr>
          <w:p w14:paraId="4DBE5E29" w14:textId="77777777" w:rsidR="00400D5D" w:rsidRPr="00400D5D" w:rsidRDefault="00400D5D" w:rsidP="00400D5D">
            <w:pPr>
              <w:pStyle w:val="TableText"/>
              <w:jc w:val="right"/>
            </w:pPr>
            <w:r w:rsidRPr="00400D5D">
              <w:t>311,545</w:t>
            </w:r>
          </w:p>
        </w:tc>
        <w:tc>
          <w:tcPr>
            <w:tcW w:w="1032" w:type="dxa"/>
          </w:tcPr>
          <w:p w14:paraId="1B2F23FD" w14:textId="77777777" w:rsidR="00400D5D" w:rsidRPr="00400D5D" w:rsidRDefault="00400D5D" w:rsidP="00400D5D">
            <w:pPr>
              <w:pStyle w:val="TableText"/>
              <w:jc w:val="right"/>
            </w:pPr>
            <w:r w:rsidRPr="00400D5D">
              <w:t>400,000</w:t>
            </w:r>
          </w:p>
        </w:tc>
      </w:tr>
      <w:tr w:rsidR="00400D5D" w:rsidRPr="00400D5D" w14:paraId="33284AF7" w14:textId="77777777" w:rsidTr="00400D5D">
        <w:trPr>
          <w:trHeight w:val="346"/>
        </w:trPr>
        <w:tc>
          <w:tcPr>
            <w:tcW w:w="1127" w:type="dxa"/>
          </w:tcPr>
          <w:p w14:paraId="59DB0312" w14:textId="2E74ACD5" w:rsidR="00400D5D" w:rsidRPr="00400D5D" w:rsidRDefault="00400D5D" w:rsidP="00400D5D">
            <w:pPr>
              <w:pStyle w:val="TableText"/>
              <w:jc w:val="right"/>
            </w:pPr>
            <w:r w:rsidRPr="00400D5D">
              <w:t>220,583</w:t>
            </w:r>
          </w:p>
        </w:tc>
        <w:tc>
          <w:tcPr>
            <w:tcW w:w="3119" w:type="dxa"/>
          </w:tcPr>
          <w:p w14:paraId="417B0D94" w14:textId="3CF2174D" w:rsidR="00400D5D" w:rsidRPr="00400D5D" w:rsidRDefault="00400D5D" w:rsidP="00400D5D">
            <w:pPr>
              <w:pStyle w:val="TableText"/>
              <w:ind w:left="170"/>
            </w:pPr>
            <w:r w:rsidRPr="00400D5D">
              <w:t>Other accrued liabilities</w:t>
            </w:r>
          </w:p>
        </w:tc>
        <w:tc>
          <w:tcPr>
            <w:tcW w:w="850" w:type="dxa"/>
          </w:tcPr>
          <w:p w14:paraId="28C4B152" w14:textId="77777777" w:rsidR="00400D5D" w:rsidRPr="00400D5D" w:rsidRDefault="00400D5D" w:rsidP="00400D5D">
            <w:pPr>
              <w:pStyle w:val="TableText"/>
              <w:jc w:val="right"/>
            </w:pPr>
          </w:p>
        </w:tc>
        <w:tc>
          <w:tcPr>
            <w:tcW w:w="1134" w:type="dxa"/>
          </w:tcPr>
          <w:p w14:paraId="1CD3665E" w14:textId="77777777" w:rsidR="00400D5D" w:rsidRPr="00400D5D" w:rsidRDefault="00400D5D" w:rsidP="00400D5D">
            <w:pPr>
              <w:pStyle w:val="TableText"/>
              <w:jc w:val="right"/>
            </w:pPr>
            <w:r w:rsidRPr="00400D5D">
              <w:t>360,963</w:t>
            </w:r>
          </w:p>
        </w:tc>
        <w:tc>
          <w:tcPr>
            <w:tcW w:w="1239" w:type="dxa"/>
          </w:tcPr>
          <w:p w14:paraId="750AD3E0" w14:textId="77777777" w:rsidR="00400D5D" w:rsidRPr="00400D5D" w:rsidRDefault="00400D5D" w:rsidP="00400D5D">
            <w:pPr>
              <w:pStyle w:val="TableText"/>
              <w:jc w:val="right"/>
            </w:pPr>
            <w:r w:rsidRPr="00400D5D">
              <w:t>248,852</w:t>
            </w:r>
          </w:p>
        </w:tc>
        <w:tc>
          <w:tcPr>
            <w:tcW w:w="1032" w:type="dxa"/>
          </w:tcPr>
          <w:p w14:paraId="3B6F2D44" w14:textId="77777777" w:rsidR="00400D5D" w:rsidRPr="00400D5D" w:rsidRDefault="00400D5D" w:rsidP="00400D5D">
            <w:pPr>
              <w:pStyle w:val="TableText"/>
              <w:jc w:val="right"/>
            </w:pPr>
            <w:r w:rsidRPr="00400D5D">
              <w:t>242,284</w:t>
            </w:r>
          </w:p>
        </w:tc>
      </w:tr>
      <w:tr w:rsidR="00400D5D" w:rsidRPr="00400D5D" w14:paraId="44467E28" w14:textId="77777777" w:rsidTr="00400D5D">
        <w:trPr>
          <w:trHeight w:val="327"/>
        </w:trPr>
        <w:tc>
          <w:tcPr>
            <w:tcW w:w="1127" w:type="dxa"/>
            <w:tcBorders>
              <w:bottom w:val="single" w:sz="4" w:space="0" w:color="A6A6A6" w:themeColor="background1" w:themeShade="A6"/>
            </w:tcBorders>
          </w:tcPr>
          <w:p w14:paraId="3A5C4A69" w14:textId="119FDDF4" w:rsidR="00400D5D" w:rsidRPr="00400D5D" w:rsidRDefault="00400D5D" w:rsidP="00400D5D">
            <w:pPr>
              <w:pStyle w:val="TableText"/>
              <w:jc w:val="right"/>
              <w:rPr>
                <w:b/>
                <w:bCs/>
              </w:rPr>
            </w:pPr>
            <w:r w:rsidRPr="00400D5D">
              <w:rPr>
                <w:b/>
                <w:bCs/>
              </w:rPr>
              <w:t xml:space="preserve">737,983    </w:t>
            </w:r>
          </w:p>
        </w:tc>
        <w:tc>
          <w:tcPr>
            <w:tcW w:w="3119" w:type="dxa"/>
            <w:tcBorders>
              <w:bottom w:val="single" w:sz="4" w:space="0" w:color="A6A6A6" w:themeColor="background1" w:themeShade="A6"/>
            </w:tcBorders>
          </w:tcPr>
          <w:p w14:paraId="2BD0C797" w14:textId="7E2EBA33" w:rsidR="00400D5D" w:rsidRPr="00400D5D" w:rsidRDefault="00400D5D" w:rsidP="00400D5D">
            <w:pPr>
              <w:pStyle w:val="TableText"/>
              <w:ind w:left="170"/>
              <w:rPr>
                <w:b/>
                <w:bCs/>
              </w:rPr>
            </w:pPr>
            <w:r w:rsidRPr="00400D5D">
              <w:rPr>
                <w:b/>
                <w:bCs/>
              </w:rPr>
              <w:t>Total non-departmental current</w:t>
            </w:r>
            <w:r>
              <w:rPr>
                <w:b/>
                <w:bCs/>
              </w:rPr>
              <w:t xml:space="preserve"> liabilities</w:t>
            </w:r>
          </w:p>
        </w:tc>
        <w:tc>
          <w:tcPr>
            <w:tcW w:w="850" w:type="dxa"/>
            <w:tcBorders>
              <w:bottom w:val="single" w:sz="4" w:space="0" w:color="A6A6A6" w:themeColor="background1" w:themeShade="A6"/>
            </w:tcBorders>
          </w:tcPr>
          <w:p w14:paraId="0385A7E1" w14:textId="77777777" w:rsidR="00400D5D" w:rsidRPr="00400D5D" w:rsidRDefault="00400D5D" w:rsidP="00400D5D">
            <w:pPr>
              <w:pStyle w:val="TableText"/>
              <w:jc w:val="right"/>
              <w:rPr>
                <w:b/>
                <w:bCs/>
              </w:rPr>
            </w:pPr>
          </w:p>
        </w:tc>
        <w:tc>
          <w:tcPr>
            <w:tcW w:w="1134" w:type="dxa"/>
            <w:tcBorders>
              <w:bottom w:val="single" w:sz="4" w:space="0" w:color="A6A6A6" w:themeColor="background1" w:themeShade="A6"/>
            </w:tcBorders>
          </w:tcPr>
          <w:p w14:paraId="398602CF" w14:textId="77777777" w:rsidR="00400D5D" w:rsidRPr="00400D5D" w:rsidRDefault="00400D5D" w:rsidP="00400D5D">
            <w:pPr>
              <w:pStyle w:val="TableText"/>
              <w:jc w:val="right"/>
              <w:rPr>
                <w:b/>
                <w:bCs/>
              </w:rPr>
            </w:pPr>
            <w:r w:rsidRPr="00400D5D">
              <w:rPr>
                <w:b/>
                <w:bCs/>
              </w:rPr>
              <w:t>1,270,993</w:t>
            </w:r>
          </w:p>
        </w:tc>
        <w:tc>
          <w:tcPr>
            <w:tcW w:w="1239" w:type="dxa"/>
            <w:tcBorders>
              <w:bottom w:val="single" w:sz="4" w:space="0" w:color="A6A6A6" w:themeColor="background1" w:themeShade="A6"/>
            </w:tcBorders>
          </w:tcPr>
          <w:p w14:paraId="65268F25" w14:textId="77777777" w:rsidR="00400D5D" w:rsidRPr="00400D5D" w:rsidRDefault="00400D5D" w:rsidP="00400D5D">
            <w:pPr>
              <w:pStyle w:val="TableText"/>
              <w:jc w:val="right"/>
              <w:rPr>
                <w:b/>
                <w:bCs/>
              </w:rPr>
            </w:pPr>
            <w:r w:rsidRPr="00400D5D">
              <w:rPr>
                <w:b/>
                <w:bCs/>
              </w:rPr>
              <w:t>602,397</w:t>
            </w:r>
          </w:p>
        </w:tc>
        <w:tc>
          <w:tcPr>
            <w:tcW w:w="1032" w:type="dxa"/>
            <w:tcBorders>
              <w:bottom w:val="single" w:sz="4" w:space="0" w:color="A6A6A6" w:themeColor="background1" w:themeShade="A6"/>
            </w:tcBorders>
          </w:tcPr>
          <w:p w14:paraId="134E7761" w14:textId="77777777" w:rsidR="00400D5D" w:rsidRPr="00400D5D" w:rsidRDefault="00400D5D" w:rsidP="00400D5D">
            <w:pPr>
              <w:pStyle w:val="TableText"/>
              <w:jc w:val="right"/>
              <w:rPr>
                <w:b/>
                <w:bCs/>
              </w:rPr>
            </w:pPr>
            <w:r w:rsidRPr="00400D5D">
              <w:rPr>
                <w:b/>
                <w:bCs/>
              </w:rPr>
              <w:t>684,284</w:t>
            </w:r>
          </w:p>
        </w:tc>
      </w:tr>
    </w:tbl>
    <w:p w14:paraId="3A53E56E" w14:textId="77777777" w:rsidR="00F848C6" w:rsidRDefault="00F848C6" w:rsidP="00F848C6">
      <w:pPr>
        <w:rPr>
          <w:rFonts w:eastAsia="Arial Unicode MS"/>
        </w:rPr>
      </w:pPr>
    </w:p>
    <w:p w14:paraId="25634A97" w14:textId="77777777" w:rsidR="00F848C6" w:rsidRDefault="00F848C6" w:rsidP="00F848C6">
      <w:pPr>
        <w:rPr>
          <w:rFonts w:eastAsia="Arial Unicode MS"/>
        </w:rPr>
      </w:pPr>
      <w:r w:rsidRPr="00F848C6">
        <w:rPr>
          <w:rFonts w:eastAsia="Arial Unicode MS"/>
        </w:rPr>
        <w:t>During 2021/22 the Ministry monitored a number of Crown entities including 20 DHBs. Investment in these entities is recorded in the financial statements of the Government on a line-by-line basis. No disclosure of investments in Crown entities is made in this schedule.</w:t>
      </w:r>
    </w:p>
    <w:p w14:paraId="18061E20" w14:textId="77777777" w:rsidR="004C507E" w:rsidRDefault="004C507E" w:rsidP="00F848C6">
      <w:pPr>
        <w:rPr>
          <w:rFonts w:eastAsia="Arial Unicode MS"/>
        </w:rPr>
      </w:pPr>
    </w:p>
    <w:p w14:paraId="4EAC0BEC" w14:textId="68A9B55D" w:rsidR="004C507E" w:rsidRDefault="004C507E" w:rsidP="00F848C6">
      <w:pPr>
        <w:rPr>
          <w:rFonts w:eastAsia="Arial Unicode MS"/>
        </w:rPr>
      </w:pPr>
    </w:p>
    <w:p w14:paraId="39524C74" w14:textId="77777777" w:rsidR="004C507E" w:rsidRPr="00F848C6" w:rsidRDefault="004C507E" w:rsidP="004C507E">
      <w:pPr>
        <w:pStyle w:val="Note"/>
        <w:rPr>
          <w:rFonts w:eastAsia="Arial Unicode MS"/>
        </w:rPr>
      </w:pPr>
      <w:r w:rsidRPr="00F848C6">
        <w:rPr>
          <w:rFonts w:eastAsia="Arial Unicode MS"/>
        </w:rPr>
        <w:t>The accompanying notes form part of these financial statements.</w:t>
      </w:r>
    </w:p>
    <w:p w14:paraId="254BD150" w14:textId="77777777" w:rsidR="004C507E" w:rsidRDefault="004C507E" w:rsidP="004C507E">
      <w:pPr>
        <w:pStyle w:val="Note"/>
        <w:rPr>
          <w:rFonts w:eastAsia="Arial Unicode MS"/>
        </w:rPr>
      </w:pPr>
      <w:r w:rsidRPr="00F848C6">
        <w:rPr>
          <w:rFonts w:eastAsia="Arial Unicode MS"/>
        </w:rPr>
        <w:t>For a full understanding of the Crown’s financial position and the results of its operations for the year, refer to the consolidated Financial Statement of the Government for the year ended 30 June 2022.</w:t>
      </w:r>
    </w:p>
    <w:p w14:paraId="44C4FF41" w14:textId="3DBE7570" w:rsidR="004C507E" w:rsidRDefault="004C507E" w:rsidP="00F848C6">
      <w:pPr>
        <w:rPr>
          <w:rFonts w:eastAsia="Arial Unicode MS"/>
        </w:rPr>
        <w:sectPr w:rsidR="004C507E" w:rsidSect="00C26282">
          <w:pgSz w:w="11907" w:h="16840" w:code="9"/>
          <w:pgMar w:top="1418" w:right="1701" w:bottom="1134" w:left="1843" w:header="284" w:footer="425" w:gutter="284"/>
          <w:cols w:space="720"/>
        </w:sectPr>
      </w:pPr>
    </w:p>
    <w:p w14:paraId="354F1DA7" w14:textId="77777777" w:rsidR="00F848C6" w:rsidRPr="00F848C6" w:rsidRDefault="00F848C6" w:rsidP="00F848C6">
      <w:pPr>
        <w:pStyle w:val="Heading3"/>
        <w:spacing w:before="0"/>
      </w:pPr>
      <w:bookmarkStart w:id="68" w:name="_Toc117264974"/>
      <w:r w:rsidRPr="00F848C6">
        <w:lastRenderedPageBreak/>
        <w:t>Schedule of non-departmental commitments as at 30 June 2022</w:t>
      </w:r>
      <w:bookmarkEnd w:id="68"/>
    </w:p>
    <w:p w14:paraId="6A9A21A8" w14:textId="77777777" w:rsidR="00F848C6" w:rsidRDefault="00F848C6" w:rsidP="00F848C6">
      <w:pPr>
        <w:pStyle w:val="Heading4"/>
      </w:pPr>
      <w:r w:rsidRPr="00F848C6">
        <w:t>Capital commitments</w:t>
      </w:r>
    </w:p>
    <w:tbl>
      <w:tblPr>
        <w:tblpPr w:leftFromText="180" w:rightFromText="180" w:vertAnchor="text" w:horzAnchor="margin" w:tblpY="19"/>
        <w:tblW w:w="8081" w:type="dxa"/>
        <w:tblLayout w:type="fixed"/>
        <w:tblCellMar>
          <w:left w:w="0" w:type="dxa"/>
          <w:right w:w="0" w:type="dxa"/>
        </w:tblCellMar>
        <w:tblLook w:val="01E0" w:firstRow="1" w:lastRow="1" w:firstColumn="1" w:lastColumn="1" w:noHBand="0" w:noVBand="0"/>
      </w:tblPr>
      <w:tblGrid>
        <w:gridCol w:w="940"/>
        <w:gridCol w:w="5399"/>
        <w:gridCol w:w="1742"/>
      </w:tblGrid>
      <w:tr w:rsidR="00F848C6" w14:paraId="3BA8DC16" w14:textId="77777777" w:rsidTr="00F848C6">
        <w:trPr>
          <w:trHeight w:val="829"/>
        </w:trPr>
        <w:tc>
          <w:tcPr>
            <w:tcW w:w="940" w:type="dxa"/>
            <w:shd w:val="clear" w:color="auto" w:fill="D9D9D9" w:themeFill="background1" w:themeFillShade="D9"/>
          </w:tcPr>
          <w:p w14:paraId="49D34A87" w14:textId="77777777" w:rsidR="00F848C6" w:rsidRPr="00F848C6" w:rsidRDefault="00F848C6" w:rsidP="00F848C6">
            <w:pPr>
              <w:pStyle w:val="TableText"/>
              <w:jc w:val="right"/>
              <w:rPr>
                <w:b/>
                <w:bCs/>
              </w:rPr>
            </w:pPr>
            <w:r w:rsidRPr="00F848C6">
              <w:rPr>
                <w:b/>
                <w:bCs/>
              </w:rPr>
              <w:t>Actual</w:t>
            </w:r>
          </w:p>
          <w:p w14:paraId="49DEFB01" w14:textId="77777777" w:rsidR="00F848C6" w:rsidRPr="00F848C6" w:rsidRDefault="00F848C6" w:rsidP="00F848C6">
            <w:pPr>
              <w:pStyle w:val="TableText"/>
              <w:jc w:val="right"/>
              <w:rPr>
                <w:b/>
                <w:bCs/>
              </w:rPr>
            </w:pPr>
            <w:r w:rsidRPr="00F848C6">
              <w:rPr>
                <w:b/>
                <w:bCs/>
              </w:rPr>
              <w:t>2021</w:t>
            </w:r>
          </w:p>
          <w:p w14:paraId="0A5026AA" w14:textId="77777777" w:rsidR="00F848C6" w:rsidRPr="00F848C6" w:rsidRDefault="00F848C6" w:rsidP="00F848C6">
            <w:pPr>
              <w:pStyle w:val="TableText"/>
              <w:jc w:val="right"/>
              <w:rPr>
                <w:b/>
                <w:bCs/>
              </w:rPr>
            </w:pPr>
            <w:r w:rsidRPr="00F848C6">
              <w:rPr>
                <w:b/>
                <w:bCs/>
              </w:rPr>
              <w:t>$000</w:t>
            </w:r>
          </w:p>
        </w:tc>
        <w:tc>
          <w:tcPr>
            <w:tcW w:w="5399" w:type="dxa"/>
            <w:shd w:val="clear" w:color="auto" w:fill="D9D9D9" w:themeFill="background1" w:themeFillShade="D9"/>
          </w:tcPr>
          <w:p w14:paraId="3FE7FE4E" w14:textId="77777777" w:rsidR="00F848C6" w:rsidRPr="00F848C6" w:rsidRDefault="00F848C6" w:rsidP="00F848C6">
            <w:pPr>
              <w:pStyle w:val="TableText"/>
              <w:rPr>
                <w:b/>
                <w:bCs/>
              </w:rPr>
            </w:pPr>
          </w:p>
        </w:tc>
        <w:tc>
          <w:tcPr>
            <w:tcW w:w="1742" w:type="dxa"/>
            <w:shd w:val="clear" w:color="auto" w:fill="D9D9D9" w:themeFill="background1" w:themeFillShade="D9"/>
          </w:tcPr>
          <w:p w14:paraId="318FEF84" w14:textId="77777777" w:rsidR="004C507E" w:rsidRDefault="00F848C6" w:rsidP="00F848C6">
            <w:pPr>
              <w:pStyle w:val="TableText"/>
              <w:jc w:val="right"/>
              <w:rPr>
                <w:b/>
                <w:bCs/>
              </w:rPr>
            </w:pPr>
            <w:r w:rsidRPr="00F848C6">
              <w:rPr>
                <w:b/>
                <w:bCs/>
              </w:rPr>
              <w:t>Actual</w:t>
            </w:r>
          </w:p>
          <w:p w14:paraId="4213D92B" w14:textId="487BEE4B" w:rsidR="00F848C6" w:rsidRPr="00F848C6" w:rsidRDefault="00F848C6" w:rsidP="00F848C6">
            <w:pPr>
              <w:pStyle w:val="TableText"/>
              <w:jc w:val="right"/>
              <w:rPr>
                <w:b/>
                <w:bCs/>
              </w:rPr>
            </w:pPr>
            <w:r w:rsidRPr="00F848C6">
              <w:rPr>
                <w:b/>
                <w:bCs/>
              </w:rPr>
              <w:t>2022</w:t>
            </w:r>
          </w:p>
          <w:p w14:paraId="0E7F1081" w14:textId="77777777" w:rsidR="00F848C6" w:rsidRPr="00F848C6" w:rsidRDefault="00F848C6" w:rsidP="00F848C6">
            <w:pPr>
              <w:pStyle w:val="TableText"/>
              <w:jc w:val="right"/>
              <w:rPr>
                <w:b/>
                <w:bCs/>
              </w:rPr>
            </w:pPr>
            <w:r w:rsidRPr="00F848C6">
              <w:rPr>
                <w:b/>
                <w:bCs/>
              </w:rPr>
              <w:t>$000</w:t>
            </w:r>
          </w:p>
        </w:tc>
      </w:tr>
      <w:tr w:rsidR="00F848C6" w14:paraId="6E01FF53" w14:textId="77777777" w:rsidTr="00F848C6">
        <w:trPr>
          <w:trHeight w:val="400"/>
        </w:trPr>
        <w:tc>
          <w:tcPr>
            <w:tcW w:w="940" w:type="dxa"/>
          </w:tcPr>
          <w:p w14:paraId="58100CCF" w14:textId="77777777" w:rsidR="00F848C6" w:rsidRPr="00F848C6" w:rsidRDefault="00F848C6" w:rsidP="00F848C6">
            <w:pPr>
              <w:pStyle w:val="TableText"/>
              <w:jc w:val="right"/>
            </w:pPr>
          </w:p>
        </w:tc>
        <w:tc>
          <w:tcPr>
            <w:tcW w:w="5399" w:type="dxa"/>
          </w:tcPr>
          <w:p w14:paraId="7AC852B6" w14:textId="77777777" w:rsidR="00F848C6" w:rsidRPr="00F848C6" w:rsidRDefault="00F848C6" w:rsidP="00F848C6">
            <w:pPr>
              <w:pStyle w:val="TableText"/>
              <w:ind w:left="170"/>
              <w:rPr>
                <w:b/>
                <w:bCs/>
              </w:rPr>
            </w:pPr>
            <w:r w:rsidRPr="00F848C6">
              <w:rPr>
                <w:b/>
                <w:bCs/>
              </w:rPr>
              <w:t>Capital commitments</w:t>
            </w:r>
          </w:p>
        </w:tc>
        <w:tc>
          <w:tcPr>
            <w:tcW w:w="1742" w:type="dxa"/>
          </w:tcPr>
          <w:p w14:paraId="721A176F" w14:textId="77777777" w:rsidR="00F848C6" w:rsidRPr="00F848C6" w:rsidRDefault="00F848C6" w:rsidP="00F848C6">
            <w:pPr>
              <w:pStyle w:val="TableText"/>
              <w:jc w:val="right"/>
            </w:pPr>
          </w:p>
        </w:tc>
      </w:tr>
      <w:tr w:rsidR="00F848C6" w14:paraId="69FC85DC" w14:textId="77777777" w:rsidTr="00F848C6">
        <w:trPr>
          <w:trHeight w:val="347"/>
        </w:trPr>
        <w:tc>
          <w:tcPr>
            <w:tcW w:w="940" w:type="dxa"/>
          </w:tcPr>
          <w:p w14:paraId="5DACF2AF" w14:textId="77777777" w:rsidR="00F848C6" w:rsidRPr="00F848C6" w:rsidRDefault="00F848C6" w:rsidP="00F848C6">
            <w:pPr>
              <w:pStyle w:val="TableText"/>
              <w:jc w:val="right"/>
            </w:pPr>
            <w:r w:rsidRPr="00F848C6">
              <w:t>71,948</w:t>
            </w:r>
          </w:p>
        </w:tc>
        <w:tc>
          <w:tcPr>
            <w:tcW w:w="5399" w:type="dxa"/>
          </w:tcPr>
          <w:p w14:paraId="4EE71431" w14:textId="77777777" w:rsidR="00F848C6" w:rsidRPr="00F848C6" w:rsidRDefault="00F848C6" w:rsidP="00F848C6">
            <w:pPr>
              <w:pStyle w:val="TableText"/>
              <w:ind w:left="170"/>
            </w:pPr>
            <w:r w:rsidRPr="00F848C6">
              <w:t>Not later than one year</w:t>
            </w:r>
          </w:p>
        </w:tc>
        <w:tc>
          <w:tcPr>
            <w:tcW w:w="1742" w:type="dxa"/>
          </w:tcPr>
          <w:p w14:paraId="11FE75DE" w14:textId="77777777" w:rsidR="00F848C6" w:rsidRPr="00F848C6" w:rsidRDefault="00F848C6" w:rsidP="00F848C6">
            <w:pPr>
              <w:pStyle w:val="TableText"/>
              <w:jc w:val="right"/>
            </w:pPr>
            <w:r w:rsidRPr="00F848C6">
              <w:t>56,226</w:t>
            </w:r>
          </w:p>
        </w:tc>
      </w:tr>
      <w:tr w:rsidR="00F848C6" w14:paraId="56FE168D" w14:textId="77777777" w:rsidTr="00F848C6">
        <w:trPr>
          <w:trHeight w:val="349"/>
        </w:trPr>
        <w:tc>
          <w:tcPr>
            <w:tcW w:w="940" w:type="dxa"/>
          </w:tcPr>
          <w:p w14:paraId="17A83C50" w14:textId="77777777" w:rsidR="00F848C6" w:rsidRPr="00F848C6" w:rsidRDefault="00F848C6" w:rsidP="00F848C6">
            <w:pPr>
              <w:pStyle w:val="TableText"/>
              <w:jc w:val="right"/>
            </w:pPr>
            <w:r w:rsidRPr="00F848C6">
              <w:t>44,571</w:t>
            </w:r>
          </w:p>
        </w:tc>
        <w:tc>
          <w:tcPr>
            <w:tcW w:w="5399" w:type="dxa"/>
          </w:tcPr>
          <w:p w14:paraId="2C1E986A" w14:textId="77777777" w:rsidR="00F848C6" w:rsidRPr="00F848C6" w:rsidRDefault="00F848C6" w:rsidP="00F848C6">
            <w:pPr>
              <w:pStyle w:val="TableText"/>
              <w:ind w:left="170"/>
            </w:pPr>
            <w:r w:rsidRPr="00F848C6">
              <w:t>Later than one year and not later than five years</w:t>
            </w:r>
          </w:p>
        </w:tc>
        <w:tc>
          <w:tcPr>
            <w:tcW w:w="1742" w:type="dxa"/>
          </w:tcPr>
          <w:p w14:paraId="2CC9DBB2" w14:textId="77777777" w:rsidR="00F848C6" w:rsidRPr="00F848C6" w:rsidRDefault="00F848C6" w:rsidP="00F848C6">
            <w:pPr>
              <w:pStyle w:val="TableText"/>
              <w:jc w:val="right"/>
            </w:pPr>
            <w:r w:rsidRPr="00F848C6">
              <w:t>23,000</w:t>
            </w:r>
          </w:p>
        </w:tc>
      </w:tr>
      <w:tr w:rsidR="00F848C6" w14:paraId="45D96B0D" w14:textId="77777777" w:rsidTr="00F848C6">
        <w:trPr>
          <w:trHeight w:val="346"/>
        </w:trPr>
        <w:tc>
          <w:tcPr>
            <w:tcW w:w="940" w:type="dxa"/>
          </w:tcPr>
          <w:p w14:paraId="6CB405B9" w14:textId="77777777" w:rsidR="00F848C6" w:rsidRPr="00F848C6" w:rsidRDefault="00F848C6" w:rsidP="00F848C6">
            <w:pPr>
              <w:pStyle w:val="TableText"/>
              <w:jc w:val="right"/>
            </w:pPr>
            <w:r w:rsidRPr="00F848C6">
              <w:t>70,000</w:t>
            </w:r>
          </w:p>
        </w:tc>
        <w:tc>
          <w:tcPr>
            <w:tcW w:w="5399" w:type="dxa"/>
          </w:tcPr>
          <w:p w14:paraId="514C76A1" w14:textId="77777777" w:rsidR="00F848C6" w:rsidRPr="00F848C6" w:rsidRDefault="00F848C6" w:rsidP="00F848C6">
            <w:pPr>
              <w:pStyle w:val="TableText"/>
              <w:ind w:left="170"/>
            </w:pPr>
            <w:r w:rsidRPr="00F848C6">
              <w:t>Later than five years</w:t>
            </w:r>
          </w:p>
        </w:tc>
        <w:tc>
          <w:tcPr>
            <w:tcW w:w="1742" w:type="dxa"/>
          </w:tcPr>
          <w:p w14:paraId="7D6FD208" w14:textId="77777777" w:rsidR="00F848C6" w:rsidRPr="00F848C6" w:rsidRDefault="00F848C6" w:rsidP="00F848C6">
            <w:pPr>
              <w:pStyle w:val="TableText"/>
              <w:jc w:val="right"/>
            </w:pPr>
            <w:r w:rsidRPr="00F848C6">
              <w:t>69,703</w:t>
            </w:r>
          </w:p>
        </w:tc>
      </w:tr>
      <w:tr w:rsidR="00F848C6" w14:paraId="42E79709" w14:textId="77777777" w:rsidTr="00F848C6">
        <w:trPr>
          <w:trHeight w:val="291"/>
        </w:trPr>
        <w:tc>
          <w:tcPr>
            <w:tcW w:w="940" w:type="dxa"/>
            <w:tcBorders>
              <w:bottom w:val="single" w:sz="4" w:space="0" w:color="A6A6A6" w:themeColor="background1" w:themeShade="A6"/>
            </w:tcBorders>
          </w:tcPr>
          <w:p w14:paraId="40ECAC29" w14:textId="77777777" w:rsidR="00F848C6" w:rsidRPr="00F848C6" w:rsidRDefault="00F848C6" w:rsidP="00F848C6">
            <w:pPr>
              <w:pStyle w:val="TableText"/>
              <w:jc w:val="right"/>
              <w:rPr>
                <w:b/>
                <w:bCs/>
              </w:rPr>
            </w:pPr>
            <w:r w:rsidRPr="00F848C6">
              <w:rPr>
                <w:b/>
                <w:bCs/>
              </w:rPr>
              <w:t>186,519</w:t>
            </w:r>
          </w:p>
        </w:tc>
        <w:tc>
          <w:tcPr>
            <w:tcW w:w="5399" w:type="dxa"/>
            <w:tcBorders>
              <w:bottom w:val="single" w:sz="4" w:space="0" w:color="A6A6A6" w:themeColor="background1" w:themeShade="A6"/>
            </w:tcBorders>
          </w:tcPr>
          <w:p w14:paraId="529583F3" w14:textId="77777777" w:rsidR="00F848C6" w:rsidRPr="00F848C6" w:rsidRDefault="00F848C6" w:rsidP="00F848C6">
            <w:pPr>
              <w:pStyle w:val="TableText"/>
              <w:ind w:left="170"/>
              <w:rPr>
                <w:b/>
                <w:bCs/>
              </w:rPr>
            </w:pPr>
            <w:r w:rsidRPr="00F848C6">
              <w:rPr>
                <w:b/>
                <w:bCs/>
              </w:rPr>
              <w:t>Total capital commitments</w:t>
            </w:r>
          </w:p>
        </w:tc>
        <w:tc>
          <w:tcPr>
            <w:tcW w:w="1742" w:type="dxa"/>
            <w:tcBorders>
              <w:bottom w:val="single" w:sz="4" w:space="0" w:color="A6A6A6" w:themeColor="background1" w:themeShade="A6"/>
            </w:tcBorders>
          </w:tcPr>
          <w:p w14:paraId="4CF3E010" w14:textId="77777777" w:rsidR="00F848C6" w:rsidRPr="00F848C6" w:rsidRDefault="00F848C6" w:rsidP="00F848C6">
            <w:pPr>
              <w:pStyle w:val="TableText"/>
              <w:jc w:val="right"/>
              <w:rPr>
                <w:b/>
                <w:bCs/>
              </w:rPr>
            </w:pPr>
            <w:r w:rsidRPr="00F848C6">
              <w:rPr>
                <w:b/>
                <w:bCs/>
              </w:rPr>
              <w:t>148,929</w:t>
            </w:r>
          </w:p>
        </w:tc>
      </w:tr>
    </w:tbl>
    <w:p w14:paraId="3A2C2935" w14:textId="77777777" w:rsidR="00F848C6" w:rsidRDefault="00F848C6" w:rsidP="00F848C6">
      <w:pPr>
        <w:rPr>
          <w:rFonts w:eastAsia="Arial Unicode MS"/>
        </w:rPr>
      </w:pPr>
    </w:p>
    <w:p w14:paraId="24823AFC" w14:textId="77777777" w:rsidR="00F848C6" w:rsidRPr="00F848C6" w:rsidRDefault="00F848C6" w:rsidP="00F848C6">
      <w:pPr>
        <w:rPr>
          <w:rFonts w:eastAsia="Arial Unicode MS"/>
        </w:rPr>
      </w:pPr>
      <w:r w:rsidRPr="00F848C6">
        <w:rPr>
          <w:rFonts w:eastAsia="Arial Unicode MS"/>
        </w:rPr>
        <w:t>There are five projects in progress which are all related to hospital redevelopment.</w:t>
      </w:r>
    </w:p>
    <w:p w14:paraId="331DA5B9" w14:textId="77777777" w:rsidR="00F848C6" w:rsidRPr="00F848C6" w:rsidRDefault="00F848C6" w:rsidP="00F848C6">
      <w:pPr>
        <w:pStyle w:val="Heading3"/>
      </w:pPr>
      <w:bookmarkStart w:id="69" w:name="_Toc117264975"/>
      <w:r w:rsidRPr="00F848C6">
        <w:t>Schedule of non-departmental contingent liabilities and contingent assets as at 30 June 2022</w:t>
      </w:r>
      <w:bookmarkEnd w:id="69"/>
    </w:p>
    <w:p w14:paraId="596650BA" w14:textId="33F53C58" w:rsidR="00F848C6" w:rsidRDefault="00F848C6" w:rsidP="004C507E">
      <w:pPr>
        <w:pStyle w:val="Heading4"/>
      </w:pPr>
      <w:r w:rsidRPr="00F848C6">
        <w:t>Contingent liabilities</w:t>
      </w:r>
    </w:p>
    <w:tbl>
      <w:tblPr>
        <w:tblpPr w:leftFromText="180" w:rightFromText="180" w:vertAnchor="text" w:horzAnchor="margin" w:tblpY="19"/>
        <w:tblW w:w="8081" w:type="dxa"/>
        <w:tblLayout w:type="fixed"/>
        <w:tblCellMar>
          <w:left w:w="0" w:type="dxa"/>
          <w:right w:w="0" w:type="dxa"/>
        </w:tblCellMar>
        <w:tblLook w:val="01E0" w:firstRow="1" w:lastRow="1" w:firstColumn="1" w:lastColumn="1" w:noHBand="0" w:noVBand="0"/>
      </w:tblPr>
      <w:tblGrid>
        <w:gridCol w:w="940"/>
        <w:gridCol w:w="5399"/>
        <w:gridCol w:w="1742"/>
      </w:tblGrid>
      <w:tr w:rsidR="004C507E" w14:paraId="3F534053" w14:textId="77777777" w:rsidTr="0004602B">
        <w:trPr>
          <w:trHeight w:val="829"/>
        </w:trPr>
        <w:tc>
          <w:tcPr>
            <w:tcW w:w="940" w:type="dxa"/>
            <w:shd w:val="clear" w:color="auto" w:fill="D9D9D9" w:themeFill="background1" w:themeFillShade="D9"/>
          </w:tcPr>
          <w:p w14:paraId="629098F3" w14:textId="77777777" w:rsidR="004C507E" w:rsidRPr="00F848C6" w:rsidRDefault="004C507E" w:rsidP="0004602B">
            <w:pPr>
              <w:pStyle w:val="TableText"/>
              <w:jc w:val="right"/>
              <w:rPr>
                <w:b/>
                <w:bCs/>
              </w:rPr>
            </w:pPr>
            <w:r w:rsidRPr="00F848C6">
              <w:rPr>
                <w:b/>
                <w:bCs/>
              </w:rPr>
              <w:t>Actual</w:t>
            </w:r>
          </w:p>
          <w:p w14:paraId="604897D7" w14:textId="77777777" w:rsidR="004C507E" w:rsidRPr="00F848C6" w:rsidRDefault="004C507E" w:rsidP="0004602B">
            <w:pPr>
              <w:pStyle w:val="TableText"/>
              <w:jc w:val="right"/>
              <w:rPr>
                <w:b/>
                <w:bCs/>
              </w:rPr>
            </w:pPr>
            <w:r w:rsidRPr="00F848C6">
              <w:rPr>
                <w:b/>
                <w:bCs/>
              </w:rPr>
              <w:t>2021</w:t>
            </w:r>
          </w:p>
          <w:p w14:paraId="5BF5ECB8" w14:textId="77777777" w:rsidR="004C507E" w:rsidRPr="00F848C6" w:rsidRDefault="004C507E" w:rsidP="0004602B">
            <w:pPr>
              <w:pStyle w:val="TableText"/>
              <w:jc w:val="right"/>
              <w:rPr>
                <w:b/>
                <w:bCs/>
              </w:rPr>
            </w:pPr>
            <w:r w:rsidRPr="00F848C6">
              <w:rPr>
                <w:b/>
                <w:bCs/>
              </w:rPr>
              <w:t>$000</w:t>
            </w:r>
          </w:p>
        </w:tc>
        <w:tc>
          <w:tcPr>
            <w:tcW w:w="5399" w:type="dxa"/>
            <w:shd w:val="clear" w:color="auto" w:fill="D9D9D9" w:themeFill="background1" w:themeFillShade="D9"/>
          </w:tcPr>
          <w:p w14:paraId="048731FA" w14:textId="77777777" w:rsidR="004C507E" w:rsidRPr="00F848C6" w:rsidRDefault="004C507E" w:rsidP="0004602B">
            <w:pPr>
              <w:pStyle w:val="TableText"/>
              <w:rPr>
                <w:b/>
                <w:bCs/>
              </w:rPr>
            </w:pPr>
          </w:p>
        </w:tc>
        <w:tc>
          <w:tcPr>
            <w:tcW w:w="1742" w:type="dxa"/>
            <w:shd w:val="clear" w:color="auto" w:fill="D9D9D9" w:themeFill="background1" w:themeFillShade="D9"/>
          </w:tcPr>
          <w:p w14:paraId="51950335" w14:textId="77777777" w:rsidR="004C507E" w:rsidRDefault="004C507E" w:rsidP="0004602B">
            <w:pPr>
              <w:pStyle w:val="TableText"/>
              <w:jc w:val="right"/>
              <w:rPr>
                <w:b/>
                <w:bCs/>
              </w:rPr>
            </w:pPr>
            <w:r w:rsidRPr="00F848C6">
              <w:rPr>
                <w:b/>
                <w:bCs/>
              </w:rPr>
              <w:t>Actual</w:t>
            </w:r>
          </w:p>
          <w:p w14:paraId="5CA8FBB8" w14:textId="77777777" w:rsidR="004C507E" w:rsidRPr="00F848C6" w:rsidRDefault="004C507E" w:rsidP="0004602B">
            <w:pPr>
              <w:pStyle w:val="TableText"/>
              <w:jc w:val="right"/>
              <w:rPr>
                <w:b/>
                <w:bCs/>
              </w:rPr>
            </w:pPr>
            <w:r w:rsidRPr="00F848C6">
              <w:rPr>
                <w:b/>
                <w:bCs/>
              </w:rPr>
              <w:t>2022</w:t>
            </w:r>
          </w:p>
          <w:p w14:paraId="59CD9829" w14:textId="77777777" w:rsidR="004C507E" w:rsidRPr="00F848C6" w:rsidRDefault="004C507E" w:rsidP="0004602B">
            <w:pPr>
              <w:pStyle w:val="TableText"/>
              <w:jc w:val="right"/>
              <w:rPr>
                <w:b/>
                <w:bCs/>
              </w:rPr>
            </w:pPr>
            <w:r w:rsidRPr="00F848C6">
              <w:rPr>
                <w:b/>
                <w:bCs/>
              </w:rPr>
              <w:t>$000</w:t>
            </w:r>
          </w:p>
        </w:tc>
      </w:tr>
      <w:tr w:rsidR="004C507E" w14:paraId="280A6394" w14:textId="77777777" w:rsidTr="0004602B">
        <w:trPr>
          <w:trHeight w:val="347"/>
        </w:trPr>
        <w:tc>
          <w:tcPr>
            <w:tcW w:w="940" w:type="dxa"/>
          </w:tcPr>
          <w:p w14:paraId="2AC78EF8" w14:textId="6FA481FF" w:rsidR="004C507E" w:rsidRPr="00F848C6" w:rsidRDefault="004C507E" w:rsidP="0004602B">
            <w:pPr>
              <w:pStyle w:val="TableText"/>
              <w:jc w:val="right"/>
            </w:pPr>
            <w:r>
              <w:t>1,000</w:t>
            </w:r>
          </w:p>
        </w:tc>
        <w:tc>
          <w:tcPr>
            <w:tcW w:w="5399" w:type="dxa"/>
          </w:tcPr>
          <w:p w14:paraId="44C484A7" w14:textId="0EDDDE9E" w:rsidR="004C507E" w:rsidRPr="00F848C6" w:rsidRDefault="004C507E" w:rsidP="0004602B">
            <w:pPr>
              <w:pStyle w:val="TableText"/>
              <w:ind w:left="170"/>
            </w:pPr>
            <w:r w:rsidRPr="004C507E">
              <w:t>Legal proceedings and disputes</w:t>
            </w:r>
          </w:p>
        </w:tc>
        <w:tc>
          <w:tcPr>
            <w:tcW w:w="1742" w:type="dxa"/>
          </w:tcPr>
          <w:p w14:paraId="4221DC3A" w14:textId="55CF4E11" w:rsidR="004C507E" w:rsidRPr="00F848C6" w:rsidRDefault="004C507E" w:rsidP="0004602B">
            <w:pPr>
              <w:pStyle w:val="TableText"/>
              <w:jc w:val="right"/>
            </w:pPr>
            <w:r>
              <w:t>1,000</w:t>
            </w:r>
          </w:p>
        </w:tc>
      </w:tr>
      <w:tr w:rsidR="004C507E" w14:paraId="6AB81B1E" w14:textId="77777777" w:rsidTr="0004602B">
        <w:trPr>
          <w:trHeight w:val="291"/>
        </w:trPr>
        <w:tc>
          <w:tcPr>
            <w:tcW w:w="940" w:type="dxa"/>
            <w:tcBorders>
              <w:bottom w:val="single" w:sz="4" w:space="0" w:color="A6A6A6" w:themeColor="background1" w:themeShade="A6"/>
            </w:tcBorders>
          </w:tcPr>
          <w:p w14:paraId="3887862B" w14:textId="2CE86B84" w:rsidR="004C507E" w:rsidRPr="00F848C6" w:rsidRDefault="004C507E" w:rsidP="0004602B">
            <w:pPr>
              <w:pStyle w:val="TableText"/>
              <w:jc w:val="right"/>
              <w:rPr>
                <w:b/>
                <w:bCs/>
              </w:rPr>
            </w:pPr>
            <w:r>
              <w:rPr>
                <w:b/>
                <w:bCs/>
              </w:rPr>
              <w:t>1,000</w:t>
            </w:r>
          </w:p>
        </w:tc>
        <w:tc>
          <w:tcPr>
            <w:tcW w:w="5399" w:type="dxa"/>
            <w:tcBorders>
              <w:bottom w:val="single" w:sz="4" w:space="0" w:color="A6A6A6" w:themeColor="background1" w:themeShade="A6"/>
            </w:tcBorders>
          </w:tcPr>
          <w:p w14:paraId="4232FFE7" w14:textId="70BFB0C0" w:rsidR="004C507E" w:rsidRPr="00F848C6" w:rsidRDefault="004C507E" w:rsidP="0004602B">
            <w:pPr>
              <w:pStyle w:val="TableText"/>
              <w:ind w:left="170"/>
              <w:rPr>
                <w:b/>
                <w:bCs/>
              </w:rPr>
            </w:pPr>
            <w:r w:rsidRPr="004C507E">
              <w:rPr>
                <w:b/>
                <w:bCs/>
              </w:rPr>
              <w:t>Total contingent liabilities</w:t>
            </w:r>
          </w:p>
        </w:tc>
        <w:tc>
          <w:tcPr>
            <w:tcW w:w="1742" w:type="dxa"/>
            <w:tcBorders>
              <w:bottom w:val="single" w:sz="4" w:space="0" w:color="A6A6A6" w:themeColor="background1" w:themeShade="A6"/>
            </w:tcBorders>
          </w:tcPr>
          <w:p w14:paraId="39902A6B" w14:textId="17E4138F" w:rsidR="004C507E" w:rsidRPr="00F848C6" w:rsidRDefault="004C507E" w:rsidP="0004602B">
            <w:pPr>
              <w:pStyle w:val="TableText"/>
              <w:jc w:val="right"/>
              <w:rPr>
                <w:b/>
                <w:bCs/>
              </w:rPr>
            </w:pPr>
            <w:r>
              <w:rPr>
                <w:b/>
                <w:bCs/>
              </w:rPr>
              <w:t>1,000</w:t>
            </w:r>
          </w:p>
        </w:tc>
      </w:tr>
    </w:tbl>
    <w:p w14:paraId="314B20AF" w14:textId="77777777" w:rsidR="004C507E" w:rsidRPr="004C507E" w:rsidRDefault="004C507E" w:rsidP="004C507E">
      <w:pPr>
        <w:pStyle w:val="Heading4"/>
      </w:pPr>
      <w:r w:rsidRPr="004C507E">
        <w:t>Legal proceedings and disputes</w:t>
      </w:r>
    </w:p>
    <w:p w14:paraId="2A31B297" w14:textId="77777777" w:rsidR="004C507E" w:rsidRPr="004C507E" w:rsidRDefault="004C507E" w:rsidP="004C507E">
      <w:pPr>
        <w:rPr>
          <w:rFonts w:eastAsia="Arial Unicode MS"/>
        </w:rPr>
      </w:pPr>
      <w:r w:rsidRPr="004C507E">
        <w:rPr>
          <w:rFonts w:eastAsia="Arial Unicode MS"/>
        </w:rPr>
        <w:t>Legal claims against the Crown are mainly seeking recompense in relation to perceived issues regarding treatment and care and the Crown is in the process of defending these claims.</w:t>
      </w:r>
    </w:p>
    <w:p w14:paraId="4F9D1C9A" w14:textId="77777777" w:rsidR="004C507E" w:rsidRPr="004C507E" w:rsidRDefault="004C507E" w:rsidP="004C507E">
      <w:pPr>
        <w:pStyle w:val="Heading4"/>
      </w:pPr>
      <w:r w:rsidRPr="004C507E">
        <w:t>Contingent assets</w:t>
      </w:r>
    </w:p>
    <w:p w14:paraId="08373A50" w14:textId="595F204D" w:rsidR="004C507E" w:rsidRPr="004C507E" w:rsidRDefault="004C507E" w:rsidP="004C507E">
      <w:pPr>
        <w:rPr>
          <w:rFonts w:eastAsia="Arial Unicode MS"/>
        </w:rPr>
      </w:pPr>
      <w:r w:rsidRPr="004C507E">
        <w:rPr>
          <w:rFonts w:eastAsia="Arial Unicode MS"/>
        </w:rPr>
        <w:t>The Ministry had no contingent assets held on behalf of the Crown as the balance date (2021: $nil).</w:t>
      </w:r>
    </w:p>
    <w:p w14:paraId="1B7F2448" w14:textId="77777777" w:rsidR="004C507E" w:rsidRPr="004C507E" w:rsidRDefault="004C507E" w:rsidP="004C507E">
      <w:pPr>
        <w:rPr>
          <w:rFonts w:eastAsia="Arial Unicode MS"/>
        </w:rPr>
      </w:pPr>
    </w:p>
    <w:p w14:paraId="439977DF" w14:textId="77777777" w:rsidR="004C507E" w:rsidRPr="004C507E" w:rsidRDefault="004C507E" w:rsidP="004C507E">
      <w:pPr>
        <w:rPr>
          <w:rFonts w:eastAsia="Arial Unicode MS"/>
        </w:rPr>
      </w:pPr>
    </w:p>
    <w:p w14:paraId="6CDC59D6" w14:textId="77777777" w:rsidR="004C507E" w:rsidRDefault="004C507E" w:rsidP="004C507E">
      <w:pPr>
        <w:pStyle w:val="Note"/>
      </w:pPr>
      <w:r>
        <w:rPr>
          <w:w w:val="105"/>
        </w:rPr>
        <w:t>The</w:t>
      </w:r>
      <w:r>
        <w:rPr>
          <w:spacing w:val="-9"/>
          <w:w w:val="105"/>
        </w:rPr>
        <w:t xml:space="preserve"> </w:t>
      </w:r>
      <w:r>
        <w:rPr>
          <w:w w:val="105"/>
        </w:rPr>
        <w:t>accompanying</w:t>
      </w:r>
      <w:r>
        <w:rPr>
          <w:spacing w:val="-9"/>
          <w:w w:val="105"/>
        </w:rPr>
        <w:t xml:space="preserve"> </w:t>
      </w:r>
      <w:r>
        <w:rPr>
          <w:w w:val="105"/>
        </w:rPr>
        <w:t>notes</w:t>
      </w:r>
      <w:r>
        <w:rPr>
          <w:spacing w:val="-9"/>
          <w:w w:val="105"/>
        </w:rPr>
        <w:t xml:space="preserve"> </w:t>
      </w:r>
      <w:r>
        <w:rPr>
          <w:w w:val="105"/>
        </w:rPr>
        <w:t>form</w:t>
      </w:r>
      <w:r>
        <w:rPr>
          <w:spacing w:val="-10"/>
          <w:w w:val="105"/>
        </w:rPr>
        <w:t xml:space="preserve"> </w:t>
      </w:r>
      <w:r>
        <w:rPr>
          <w:w w:val="105"/>
        </w:rPr>
        <w:t>part</w:t>
      </w:r>
      <w:r>
        <w:rPr>
          <w:spacing w:val="-9"/>
          <w:w w:val="105"/>
        </w:rPr>
        <w:t xml:space="preserve"> </w:t>
      </w:r>
      <w:r>
        <w:rPr>
          <w:w w:val="105"/>
        </w:rPr>
        <w:t>of</w:t>
      </w:r>
      <w:r>
        <w:rPr>
          <w:spacing w:val="-9"/>
          <w:w w:val="105"/>
        </w:rPr>
        <w:t xml:space="preserve"> </w:t>
      </w:r>
      <w:r>
        <w:rPr>
          <w:w w:val="105"/>
        </w:rPr>
        <w:t>these</w:t>
      </w:r>
      <w:r>
        <w:rPr>
          <w:spacing w:val="-9"/>
          <w:w w:val="105"/>
        </w:rPr>
        <w:t xml:space="preserve"> </w:t>
      </w:r>
      <w:r>
        <w:rPr>
          <w:w w:val="105"/>
        </w:rPr>
        <w:t>financial</w:t>
      </w:r>
      <w:r>
        <w:rPr>
          <w:spacing w:val="-9"/>
          <w:w w:val="105"/>
        </w:rPr>
        <w:t xml:space="preserve"> </w:t>
      </w:r>
      <w:r>
        <w:rPr>
          <w:w w:val="105"/>
        </w:rPr>
        <w:t>statements.</w:t>
      </w:r>
    </w:p>
    <w:p w14:paraId="5C6F5436" w14:textId="77777777" w:rsidR="004C507E" w:rsidRDefault="004C507E" w:rsidP="004C507E">
      <w:pPr>
        <w:pStyle w:val="Note"/>
      </w:pPr>
      <w:r>
        <w:rPr>
          <w:w w:val="105"/>
        </w:rPr>
        <w:t>For</w:t>
      </w:r>
      <w:r>
        <w:rPr>
          <w:spacing w:val="-8"/>
          <w:w w:val="105"/>
        </w:rPr>
        <w:t xml:space="preserve"> </w:t>
      </w:r>
      <w:r>
        <w:rPr>
          <w:w w:val="105"/>
        </w:rPr>
        <w:t>a</w:t>
      </w:r>
      <w:r>
        <w:rPr>
          <w:spacing w:val="-7"/>
          <w:w w:val="105"/>
        </w:rPr>
        <w:t xml:space="preserve"> </w:t>
      </w:r>
      <w:r>
        <w:rPr>
          <w:w w:val="105"/>
        </w:rPr>
        <w:t>full</w:t>
      </w:r>
      <w:r>
        <w:rPr>
          <w:spacing w:val="-7"/>
          <w:w w:val="105"/>
        </w:rPr>
        <w:t xml:space="preserve"> </w:t>
      </w:r>
      <w:r>
        <w:rPr>
          <w:w w:val="105"/>
        </w:rPr>
        <w:t>understanding</w:t>
      </w:r>
      <w:r>
        <w:rPr>
          <w:spacing w:val="-7"/>
          <w:w w:val="105"/>
        </w:rPr>
        <w:t xml:space="preserve"> </w:t>
      </w:r>
      <w:r>
        <w:rPr>
          <w:w w:val="105"/>
        </w:rPr>
        <w:t>of</w:t>
      </w:r>
      <w:r>
        <w:rPr>
          <w:spacing w:val="-8"/>
          <w:w w:val="105"/>
        </w:rPr>
        <w:t xml:space="preserve"> </w:t>
      </w:r>
      <w:r>
        <w:rPr>
          <w:w w:val="105"/>
        </w:rPr>
        <w:t>the</w:t>
      </w:r>
      <w:r>
        <w:rPr>
          <w:spacing w:val="-7"/>
          <w:w w:val="105"/>
        </w:rPr>
        <w:t xml:space="preserve"> </w:t>
      </w:r>
      <w:r>
        <w:rPr>
          <w:w w:val="105"/>
        </w:rPr>
        <w:t>Crown’s</w:t>
      </w:r>
      <w:r>
        <w:rPr>
          <w:spacing w:val="-7"/>
          <w:w w:val="105"/>
        </w:rPr>
        <w:t xml:space="preserve"> </w:t>
      </w:r>
      <w:r>
        <w:rPr>
          <w:w w:val="105"/>
        </w:rPr>
        <w:t>financial</w:t>
      </w:r>
      <w:r>
        <w:rPr>
          <w:spacing w:val="-7"/>
          <w:w w:val="105"/>
        </w:rPr>
        <w:t xml:space="preserve"> </w:t>
      </w:r>
      <w:r>
        <w:rPr>
          <w:w w:val="105"/>
        </w:rPr>
        <w:t>position</w:t>
      </w:r>
      <w:r>
        <w:rPr>
          <w:spacing w:val="-7"/>
          <w:w w:val="105"/>
        </w:rPr>
        <w:t xml:space="preserve"> </w:t>
      </w:r>
      <w:r>
        <w:rPr>
          <w:w w:val="105"/>
        </w:rPr>
        <w:t>and</w:t>
      </w:r>
      <w:r>
        <w:rPr>
          <w:spacing w:val="-8"/>
          <w:w w:val="105"/>
        </w:rPr>
        <w:t xml:space="preserve"> </w:t>
      </w:r>
      <w:r>
        <w:rPr>
          <w:w w:val="105"/>
        </w:rPr>
        <w:t>the</w:t>
      </w:r>
      <w:r>
        <w:rPr>
          <w:spacing w:val="-7"/>
          <w:w w:val="105"/>
        </w:rPr>
        <w:t xml:space="preserve"> </w:t>
      </w:r>
      <w:r>
        <w:rPr>
          <w:w w:val="105"/>
        </w:rPr>
        <w:t>results</w:t>
      </w:r>
      <w:r>
        <w:rPr>
          <w:spacing w:val="-7"/>
          <w:w w:val="105"/>
        </w:rPr>
        <w:t xml:space="preserve"> </w:t>
      </w:r>
      <w:r>
        <w:rPr>
          <w:w w:val="105"/>
        </w:rPr>
        <w:t>of</w:t>
      </w:r>
      <w:r>
        <w:rPr>
          <w:spacing w:val="-7"/>
          <w:w w:val="105"/>
        </w:rPr>
        <w:t xml:space="preserve"> </w:t>
      </w:r>
      <w:r>
        <w:rPr>
          <w:w w:val="105"/>
        </w:rPr>
        <w:t>its</w:t>
      </w:r>
      <w:r>
        <w:rPr>
          <w:spacing w:val="-8"/>
          <w:w w:val="105"/>
        </w:rPr>
        <w:t xml:space="preserve"> </w:t>
      </w:r>
      <w:r>
        <w:rPr>
          <w:w w:val="105"/>
        </w:rPr>
        <w:t>operations</w:t>
      </w:r>
      <w:r>
        <w:rPr>
          <w:spacing w:val="-7"/>
          <w:w w:val="105"/>
        </w:rPr>
        <w:t xml:space="preserve"> </w:t>
      </w:r>
      <w:r>
        <w:rPr>
          <w:w w:val="105"/>
        </w:rPr>
        <w:t>for</w:t>
      </w:r>
      <w:r>
        <w:rPr>
          <w:spacing w:val="-7"/>
          <w:w w:val="105"/>
        </w:rPr>
        <w:t xml:space="preserve"> </w:t>
      </w:r>
      <w:r>
        <w:rPr>
          <w:w w:val="105"/>
        </w:rPr>
        <w:t>the</w:t>
      </w:r>
      <w:r>
        <w:rPr>
          <w:spacing w:val="-7"/>
          <w:w w:val="105"/>
        </w:rPr>
        <w:t xml:space="preserve"> </w:t>
      </w:r>
      <w:r>
        <w:rPr>
          <w:w w:val="105"/>
        </w:rPr>
        <w:t>year,</w:t>
      </w:r>
      <w:r>
        <w:rPr>
          <w:spacing w:val="-50"/>
          <w:w w:val="105"/>
        </w:rPr>
        <w:t xml:space="preserve"> </w:t>
      </w:r>
      <w:r>
        <w:t>refer</w:t>
      </w:r>
      <w:r>
        <w:rPr>
          <w:spacing w:val="8"/>
        </w:rPr>
        <w:t xml:space="preserve"> </w:t>
      </w:r>
      <w:r>
        <w:t>to</w:t>
      </w:r>
      <w:r>
        <w:rPr>
          <w:spacing w:val="8"/>
        </w:rPr>
        <w:t xml:space="preserve"> </w:t>
      </w:r>
      <w:r>
        <w:t>the</w:t>
      </w:r>
      <w:r>
        <w:rPr>
          <w:spacing w:val="8"/>
        </w:rPr>
        <w:t xml:space="preserve"> </w:t>
      </w:r>
      <w:r>
        <w:t>consolidated</w:t>
      </w:r>
      <w:r>
        <w:rPr>
          <w:spacing w:val="8"/>
        </w:rPr>
        <w:t xml:space="preserve"> </w:t>
      </w:r>
      <w:r>
        <w:t>Financial</w:t>
      </w:r>
      <w:r>
        <w:rPr>
          <w:spacing w:val="8"/>
        </w:rPr>
        <w:t xml:space="preserve"> </w:t>
      </w:r>
      <w:r>
        <w:t>Statement</w:t>
      </w:r>
      <w:r>
        <w:rPr>
          <w:spacing w:val="8"/>
        </w:rPr>
        <w:t xml:space="preserve"> </w:t>
      </w:r>
      <w:r>
        <w:t>of</w:t>
      </w:r>
      <w:r>
        <w:rPr>
          <w:spacing w:val="8"/>
        </w:rPr>
        <w:t xml:space="preserve"> </w:t>
      </w:r>
      <w:r>
        <w:t>the</w:t>
      </w:r>
      <w:r>
        <w:rPr>
          <w:spacing w:val="8"/>
        </w:rPr>
        <w:t xml:space="preserve"> </w:t>
      </w:r>
      <w:r>
        <w:t>Government</w:t>
      </w:r>
      <w:r>
        <w:rPr>
          <w:spacing w:val="8"/>
        </w:rPr>
        <w:t xml:space="preserve"> </w:t>
      </w:r>
      <w:r>
        <w:t>for</w:t>
      </w:r>
      <w:r>
        <w:rPr>
          <w:spacing w:val="8"/>
        </w:rPr>
        <w:t xml:space="preserve"> </w:t>
      </w:r>
      <w:r>
        <w:t>the</w:t>
      </w:r>
      <w:r>
        <w:rPr>
          <w:spacing w:val="8"/>
        </w:rPr>
        <w:t xml:space="preserve"> </w:t>
      </w:r>
      <w:r>
        <w:t>year</w:t>
      </w:r>
      <w:r>
        <w:rPr>
          <w:spacing w:val="8"/>
        </w:rPr>
        <w:t xml:space="preserve"> </w:t>
      </w:r>
      <w:r>
        <w:t>ended</w:t>
      </w:r>
      <w:r>
        <w:rPr>
          <w:spacing w:val="8"/>
        </w:rPr>
        <w:t xml:space="preserve"> </w:t>
      </w:r>
      <w:r>
        <w:t>30</w:t>
      </w:r>
      <w:r>
        <w:rPr>
          <w:spacing w:val="8"/>
        </w:rPr>
        <w:t xml:space="preserve"> </w:t>
      </w:r>
      <w:r>
        <w:t>June</w:t>
      </w:r>
      <w:r>
        <w:rPr>
          <w:spacing w:val="8"/>
        </w:rPr>
        <w:t xml:space="preserve"> </w:t>
      </w:r>
      <w:r>
        <w:t>2022.</w:t>
      </w:r>
    </w:p>
    <w:p w14:paraId="3E9E631F" w14:textId="77777777" w:rsidR="00171EFF" w:rsidRPr="00171EFF" w:rsidRDefault="00171EFF" w:rsidP="00171EFF">
      <w:pPr>
        <w:pStyle w:val="Heading3"/>
      </w:pPr>
      <w:bookmarkStart w:id="70" w:name="_Toc117264976"/>
      <w:r w:rsidRPr="00171EFF">
        <w:lastRenderedPageBreak/>
        <w:t>Problem Gambling Revenue Report for the year ended 30 June 2022</w:t>
      </w:r>
      <w:bookmarkEnd w:id="70"/>
    </w:p>
    <w:p w14:paraId="417911E7" w14:textId="00B589BE" w:rsidR="004C507E" w:rsidRDefault="00171EFF" w:rsidP="00171EFF">
      <w:pPr>
        <w:rPr>
          <w:rFonts w:eastAsia="Arial Unicode MS"/>
        </w:rPr>
      </w:pPr>
      <w:r w:rsidRPr="00171EFF">
        <w:rPr>
          <w:rFonts w:eastAsia="Arial Unicode MS"/>
        </w:rPr>
        <w:t>In accordance with the Gambling Act 2003, the Ministry receives an appropriation for problem gambling that over time is intended to be fully funded from the levies collected from the industry by Inland Revenue. The following report shows the revenue collected to date and actual expenditure.</w:t>
      </w:r>
    </w:p>
    <w:p w14:paraId="4F71DFAA" w14:textId="5E9E6BF3" w:rsidR="00171EFF" w:rsidRDefault="00171EFF" w:rsidP="00171EFF">
      <w:pPr>
        <w:rPr>
          <w:rFonts w:eastAsia="Arial Unicode MS"/>
        </w:rPr>
      </w:pPr>
    </w:p>
    <w:tbl>
      <w:tblPr>
        <w:tblW w:w="8599" w:type="dxa"/>
        <w:tblInd w:w="7" w:type="dxa"/>
        <w:tblLayout w:type="fixed"/>
        <w:tblCellMar>
          <w:left w:w="0" w:type="dxa"/>
          <w:right w:w="0" w:type="dxa"/>
        </w:tblCellMar>
        <w:tblLook w:val="01E0" w:firstRow="1" w:lastRow="1" w:firstColumn="1" w:lastColumn="1" w:noHBand="0" w:noVBand="0"/>
      </w:tblPr>
      <w:tblGrid>
        <w:gridCol w:w="986"/>
        <w:gridCol w:w="3827"/>
        <w:gridCol w:w="1451"/>
        <w:gridCol w:w="1502"/>
        <w:gridCol w:w="833"/>
      </w:tblGrid>
      <w:tr w:rsidR="00171EFF" w:rsidRPr="00171EFF" w14:paraId="40CEC2CD" w14:textId="77777777" w:rsidTr="00171EFF">
        <w:trPr>
          <w:trHeight w:val="1309"/>
        </w:trPr>
        <w:tc>
          <w:tcPr>
            <w:tcW w:w="986" w:type="dxa"/>
            <w:shd w:val="clear" w:color="auto" w:fill="D9D9D9" w:themeFill="background1" w:themeFillShade="D9"/>
          </w:tcPr>
          <w:p w14:paraId="47C13A4E" w14:textId="77777777" w:rsidR="00171EFF" w:rsidRPr="00171EFF" w:rsidRDefault="00171EFF" w:rsidP="00171EFF">
            <w:pPr>
              <w:pStyle w:val="TableText"/>
              <w:jc w:val="right"/>
              <w:rPr>
                <w:b/>
                <w:bCs/>
              </w:rPr>
            </w:pPr>
            <w:r w:rsidRPr="00171EFF">
              <w:rPr>
                <w:b/>
                <w:bCs/>
                <w:w w:val="110"/>
              </w:rPr>
              <w:t>Actual</w:t>
            </w:r>
            <w:r w:rsidRPr="00171EFF">
              <w:rPr>
                <w:b/>
                <w:bCs/>
                <w:w w:val="110"/>
              </w:rPr>
              <w:br/>
            </w:r>
            <w:r w:rsidRPr="00171EFF">
              <w:rPr>
                <w:b/>
                <w:bCs/>
              </w:rPr>
              <w:br/>
            </w:r>
          </w:p>
          <w:p w14:paraId="5AE6B08E" w14:textId="77777777" w:rsidR="00171EFF" w:rsidRPr="00171EFF" w:rsidRDefault="00171EFF" w:rsidP="00171EFF">
            <w:pPr>
              <w:pStyle w:val="TableText"/>
              <w:jc w:val="right"/>
              <w:rPr>
                <w:b/>
                <w:bCs/>
              </w:rPr>
            </w:pPr>
            <w:r w:rsidRPr="00171EFF">
              <w:rPr>
                <w:b/>
                <w:bCs/>
              </w:rPr>
              <w:t>2021</w:t>
            </w:r>
          </w:p>
          <w:p w14:paraId="696B67E1" w14:textId="5F1018D7" w:rsidR="00171EFF" w:rsidRPr="00171EFF" w:rsidRDefault="00171EFF" w:rsidP="00171EFF">
            <w:pPr>
              <w:pStyle w:val="TableText"/>
              <w:jc w:val="right"/>
              <w:rPr>
                <w:b/>
                <w:bCs/>
                <w:w w:val="110"/>
              </w:rPr>
            </w:pPr>
            <w:r w:rsidRPr="00171EFF">
              <w:rPr>
                <w:b/>
                <w:bCs/>
                <w:w w:val="120"/>
              </w:rPr>
              <w:t>$000</w:t>
            </w:r>
          </w:p>
        </w:tc>
        <w:tc>
          <w:tcPr>
            <w:tcW w:w="3827" w:type="dxa"/>
            <w:shd w:val="clear" w:color="auto" w:fill="D9D9D9" w:themeFill="background1" w:themeFillShade="D9"/>
          </w:tcPr>
          <w:p w14:paraId="2614C0F4" w14:textId="32E9A08E" w:rsidR="00171EFF" w:rsidRPr="00171EFF" w:rsidRDefault="00171EFF" w:rsidP="00171EFF">
            <w:pPr>
              <w:pStyle w:val="TableText"/>
              <w:rPr>
                <w:b/>
                <w:bCs/>
              </w:rPr>
            </w:pPr>
          </w:p>
        </w:tc>
        <w:tc>
          <w:tcPr>
            <w:tcW w:w="1451" w:type="dxa"/>
            <w:shd w:val="clear" w:color="auto" w:fill="D9D9D9" w:themeFill="background1" w:themeFillShade="D9"/>
          </w:tcPr>
          <w:p w14:paraId="787CBC73" w14:textId="133D16C6" w:rsidR="00171EFF" w:rsidRPr="00171EFF" w:rsidRDefault="00171EFF" w:rsidP="00171EFF">
            <w:pPr>
              <w:pStyle w:val="TableText"/>
              <w:jc w:val="right"/>
              <w:rPr>
                <w:b/>
                <w:bCs/>
                <w:spacing w:val="-53"/>
                <w:w w:val="110"/>
              </w:rPr>
            </w:pPr>
            <w:r w:rsidRPr="00171EFF">
              <w:rPr>
                <w:b/>
                <w:bCs/>
                <w:w w:val="115"/>
              </w:rPr>
              <w:t>Non-</w:t>
            </w:r>
            <w:r w:rsidRPr="00171EFF">
              <w:rPr>
                <w:b/>
                <w:bCs/>
                <w:spacing w:val="-55"/>
                <w:w w:val="115"/>
              </w:rPr>
              <w:t xml:space="preserve"> </w:t>
            </w:r>
            <w:r w:rsidRPr="00171EFF">
              <w:rPr>
                <w:b/>
                <w:bCs/>
                <w:w w:val="115"/>
              </w:rPr>
              <w:t>departmental</w:t>
            </w:r>
            <w:r w:rsidRPr="00171EFF">
              <w:rPr>
                <w:b/>
                <w:bCs/>
                <w:w w:val="115"/>
              </w:rPr>
              <w:br/>
            </w:r>
            <w:r w:rsidRPr="00171EFF">
              <w:rPr>
                <w:b/>
                <w:bCs/>
                <w:w w:val="110"/>
              </w:rPr>
              <w:t>actual</w:t>
            </w:r>
            <w:r w:rsidRPr="00171EFF">
              <w:rPr>
                <w:b/>
                <w:bCs/>
                <w:spacing w:val="-53"/>
                <w:w w:val="110"/>
              </w:rPr>
              <w:t xml:space="preserve"> </w:t>
            </w:r>
          </w:p>
          <w:p w14:paraId="2312C513" w14:textId="77777777" w:rsidR="00171EFF" w:rsidRPr="00171EFF" w:rsidRDefault="00171EFF" w:rsidP="00171EFF">
            <w:pPr>
              <w:pStyle w:val="TableText"/>
              <w:jc w:val="right"/>
              <w:rPr>
                <w:b/>
                <w:bCs/>
                <w:w w:val="105"/>
              </w:rPr>
            </w:pPr>
            <w:r w:rsidRPr="00171EFF">
              <w:rPr>
                <w:b/>
                <w:bCs/>
                <w:w w:val="105"/>
              </w:rPr>
              <w:t>2022</w:t>
            </w:r>
          </w:p>
          <w:p w14:paraId="47E838BB" w14:textId="221F1FB4" w:rsidR="00171EFF" w:rsidRPr="00171EFF" w:rsidRDefault="00171EFF" w:rsidP="00171EFF">
            <w:pPr>
              <w:pStyle w:val="TableText"/>
              <w:jc w:val="right"/>
              <w:rPr>
                <w:b/>
                <w:bCs/>
              </w:rPr>
            </w:pPr>
            <w:r w:rsidRPr="00171EFF">
              <w:rPr>
                <w:b/>
                <w:bCs/>
                <w:w w:val="120"/>
              </w:rPr>
              <w:t>$000</w:t>
            </w:r>
          </w:p>
        </w:tc>
        <w:tc>
          <w:tcPr>
            <w:tcW w:w="1502" w:type="dxa"/>
            <w:shd w:val="clear" w:color="auto" w:fill="D9D9D9" w:themeFill="background1" w:themeFillShade="D9"/>
          </w:tcPr>
          <w:p w14:paraId="3C2CA999" w14:textId="77777777" w:rsidR="00171EFF" w:rsidRPr="00171EFF" w:rsidRDefault="00171EFF" w:rsidP="00171EFF">
            <w:pPr>
              <w:pStyle w:val="TableText"/>
              <w:jc w:val="right"/>
              <w:rPr>
                <w:b/>
                <w:bCs/>
                <w:spacing w:val="-53"/>
                <w:w w:val="110"/>
              </w:rPr>
            </w:pPr>
            <w:r w:rsidRPr="00171EFF">
              <w:rPr>
                <w:b/>
                <w:bCs/>
                <w:w w:val="115"/>
              </w:rPr>
              <w:t>Departmental</w:t>
            </w:r>
            <w:r w:rsidRPr="00171EFF">
              <w:rPr>
                <w:b/>
                <w:bCs/>
                <w:w w:val="115"/>
              </w:rPr>
              <w:br/>
            </w:r>
            <w:r w:rsidRPr="00171EFF">
              <w:rPr>
                <w:b/>
                <w:bCs/>
                <w:w w:val="110"/>
              </w:rPr>
              <w:t>actual</w:t>
            </w:r>
            <w:r w:rsidRPr="00171EFF">
              <w:rPr>
                <w:b/>
                <w:bCs/>
                <w:spacing w:val="-53"/>
                <w:w w:val="110"/>
              </w:rPr>
              <w:t xml:space="preserve"> </w:t>
            </w:r>
          </w:p>
          <w:p w14:paraId="3653F4ED" w14:textId="2965A9B7" w:rsidR="00171EFF" w:rsidRPr="00171EFF" w:rsidRDefault="00171EFF" w:rsidP="00171EFF">
            <w:pPr>
              <w:pStyle w:val="TableText"/>
              <w:jc w:val="right"/>
              <w:rPr>
                <w:b/>
                <w:bCs/>
              </w:rPr>
            </w:pPr>
            <w:r w:rsidRPr="00171EFF">
              <w:rPr>
                <w:b/>
                <w:bCs/>
                <w:spacing w:val="-53"/>
                <w:w w:val="110"/>
              </w:rPr>
              <w:br/>
            </w:r>
            <w:r w:rsidRPr="00171EFF">
              <w:rPr>
                <w:b/>
                <w:bCs/>
                <w:w w:val="105"/>
              </w:rPr>
              <w:t>2022</w:t>
            </w:r>
          </w:p>
          <w:p w14:paraId="4DE7EF47" w14:textId="77777777" w:rsidR="00171EFF" w:rsidRPr="00171EFF" w:rsidRDefault="00171EFF" w:rsidP="00171EFF">
            <w:pPr>
              <w:pStyle w:val="TableText"/>
              <w:jc w:val="right"/>
              <w:rPr>
                <w:b/>
                <w:bCs/>
              </w:rPr>
            </w:pPr>
            <w:r w:rsidRPr="00171EFF">
              <w:rPr>
                <w:b/>
                <w:bCs/>
                <w:w w:val="120"/>
              </w:rPr>
              <w:t>$000</w:t>
            </w:r>
          </w:p>
        </w:tc>
        <w:tc>
          <w:tcPr>
            <w:tcW w:w="833" w:type="dxa"/>
            <w:shd w:val="clear" w:color="auto" w:fill="D9D9D9" w:themeFill="background1" w:themeFillShade="D9"/>
          </w:tcPr>
          <w:p w14:paraId="78ED4CC7" w14:textId="77777777" w:rsidR="00171EFF" w:rsidRPr="00171EFF" w:rsidRDefault="00171EFF" w:rsidP="00171EFF">
            <w:pPr>
              <w:pStyle w:val="TableText"/>
              <w:jc w:val="right"/>
              <w:rPr>
                <w:b/>
                <w:bCs/>
                <w:spacing w:val="-53"/>
                <w:w w:val="110"/>
              </w:rPr>
            </w:pPr>
            <w:r w:rsidRPr="00171EFF">
              <w:rPr>
                <w:b/>
                <w:bCs/>
                <w:w w:val="105"/>
              </w:rPr>
              <w:t>Total</w:t>
            </w:r>
            <w:r w:rsidRPr="00171EFF">
              <w:rPr>
                <w:b/>
                <w:bCs/>
                <w:spacing w:val="-50"/>
                <w:w w:val="105"/>
              </w:rPr>
              <w:t xml:space="preserve"> </w:t>
            </w:r>
            <w:r w:rsidRPr="00171EFF">
              <w:rPr>
                <w:b/>
                <w:bCs/>
                <w:w w:val="110"/>
              </w:rPr>
              <w:t>actual</w:t>
            </w:r>
            <w:r w:rsidRPr="00171EFF">
              <w:rPr>
                <w:b/>
                <w:bCs/>
                <w:spacing w:val="-53"/>
                <w:w w:val="110"/>
              </w:rPr>
              <w:t xml:space="preserve"> </w:t>
            </w:r>
            <w:r w:rsidRPr="00171EFF">
              <w:rPr>
                <w:b/>
                <w:bCs/>
                <w:spacing w:val="-53"/>
                <w:w w:val="110"/>
              </w:rPr>
              <w:br/>
            </w:r>
          </w:p>
          <w:p w14:paraId="55D3660F" w14:textId="43D90DA5" w:rsidR="00171EFF" w:rsidRPr="00171EFF" w:rsidRDefault="00171EFF" w:rsidP="00171EFF">
            <w:pPr>
              <w:pStyle w:val="TableText"/>
              <w:jc w:val="right"/>
              <w:rPr>
                <w:b/>
                <w:bCs/>
              </w:rPr>
            </w:pPr>
            <w:r w:rsidRPr="00171EFF">
              <w:rPr>
                <w:b/>
                <w:bCs/>
                <w:w w:val="110"/>
              </w:rPr>
              <w:t>2022</w:t>
            </w:r>
          </w:p>
          <w:p w14:paraId="29FF438A" w14:textId="77777777" w:rsidR="00171EFF" w:rsidRPr="00171EFF" w:rsidRDefault="00171EFF" w:rsidP="00171EFF">
            <w:pPr>
              <w:pStyle w:val="TableText"/>
              <w:jc w:val="right"/>
              <w:rPr>
                <w:b/>
                <w:bCs/>
              </w:rPr>
            </w:pPr>
            <w:r w:rsidRPr="00171EFF">
              <w:rPr>
                <w:b/>
                <w:bCs/>
                <w:w w:val="120"/>
              </w:rPr>
              <w:t>$000</w:t>
            </w:r>
          </w:p>
        </w:tc>
      </w:tr>
      <w:tr w:rsidR="00171EFF" w14:paraId="38AAF8B4" w14:textId="77777777" w:rsidTr="00171EFF">
        <w:trPr>
          <w:trHeight w:val="520"/>
        </w:trPr>
        <w:tc>
          <w:tcPr>
            <w:tcW w:w="986" w:type="dxa"/>
          </w:tcPr>
          <w:p w14:paraId="5302F11C" w14:textId="77777777" w:rsidR="00171EFF" w:rsidRDefault="00171EFF" w:rsidP="00171EFF">
            <w:pPr>
              <w:pStyle w:val="TableText"/>
              <w:jc w:val="right"/>
              <w:rPr>
                <w:w w:val="105"/>
              </w:rPr>
            </w:pPr>
          </w:p>
        </w:tc>
        <w:tc>
          <w:tcPr>
            <w:tcW w:w="3827" w:type="dxa"/>
          </w:tcPr>
          <w:p w14:paraId="5713F8C1" w14:textId="0A32B0E4" w:rsidR="00171EFF" w:rsidRPr="00171EFF" w:rsidRDefault="00171EFF" w:rsidP="00171EFF">
            <w:pPr>
              <w:pStyle w:val="TableText"/>
              <w:rPr>
                <w:b/>
                <w:bCs/>
              </w:rPr>
            </w:pPr>
            <w:r w:rsidRPr="00171EFF">
              <w:rPr>
                <w:b/>
                <w:bCs/>
                <w:w w:val="105"/>
              </w:rPr>
              <w:t>Problem</w:t>
            </w:r>
            <w:r w:rsidRPr="00171EFF">
              <w:rPr>
                <w:b/>
                <w:bCs/>
                <w:spacing w:val="2"/>
                <w:w w:val="105"/>
              </w:rPr>
              <w:t xml:space="preserve"> </w:t>
            </w:r>
            <w:r w:rsidRPr="00171EFF">
              <w:rPr>
                <w:b/>
                <w:bCs/>
                <w:w w:val="105"/>
              </w:rPr>
              <w:t>Gambling</w:t>
            </w:r>
            <w:r w:rsidRPr="00171EFF">
              <w:rPr>
                <w:b/>
                <w:bCs/>
                <w:spacing w:val="2"/>
                <w:w w:val="105"/>
              </w:rPr>
              <w:t xml:space="preserve"> </w:t>
            </w:r>
            <w:r w:rsidRPr="00171EFF">
              <w:rPr>
                <w:b/>
                <w:bCs/>
                <w:w w:val="105"/>
              </w:rPr>
              <w:t>non departmental expenditure</w:t>
            </w:r>
          </w:p>
        </w:tc>
        <w:tc>
          <w:tcPr>
            <w:tcW w:w="1451" w:type="dxa"/>
          </w:tcPr>
          <w:p w14:paraId="343AEC7D" w14:textId="77777777" w:rsidR="00171EFF" w:rsidRDefault="00171EFF" w:rsidP="00171EFF">
            <w:pPr>
              <w:pStyle w:val="TableText"/>
              <w:jc w:val="right"/>
              <w:rPr>
                <w:rFonts w:ascii="Times New Roman"/>
              </w:rPr>
            </w:pPr>
          </w:p>
        </w:tc>
        <w:tc>
          <w:tcPr>
            <w:tcW w:w="1502" w:type="dxa"/>
          </w:tcPr>
          <w:p w14:paraId="538F5239" w14:textId="77777777" w:rsidR="00171EFF" w:rsidRDefault="00171EFF" w:rsidP="00171EFF">
            <w:pPr>
              <w:pStyle w:val="TableText"/>
              <w:jc w:val="right"/>
              <w:rPr>
                <w:rFonts w:ascii="Times New Roman"/>
              </w:rPr>
            </w:pPr>
          </w:p>
        </w:tc>
        <w:tc>
          <w:tcPr>
            <w:tcW w:w="833" w:type="dxa"/>
          </w:tcPr>
          <w:p w14:paraId="3C52343E" w14:textId="77777777" w:rsidR="00171EFF" w:rsidRDefault="00171EFF" w:rsidP="00171EFF">
            <w:pPr>
              <w:pStyle w:val="TableText"/>
              <w:jc w:val="right"/>
              <w:rPr>
                <w:rFonts w:ascii="Times New Roman"/>
              </w:rPr>
            </w:pPr>
          </w:p>
        </w:tc>
      </w:tr>
      <w:tr w:rsidR="00171EFF" w14:paraId="1E905FA9" w14:textId="77777777" w:rsidTr="00171EFF">
        <w:trPr>
          <w:trHeight w:val="340"/>
        </w:trPr>
        <w:tc>
          <w:tcPr>
            <w:tcW w:w="986" w:type="dxa"/>
          </w:tcPr>
          <w:p w14:paraId="235F15F1" w14:textId="5FC8AD37" w:rsidR="00171EFF" w:rsidRDefault="00171EFF" w:rsidP="00171EFF">
            <w:pPr>
              <w:pStyle w:val="TableText"/>
              <w:jc w:val="right"/>
            </w:pPr>
            <w:r>
              <w:t>7,000</w:t>
            </w:r>
          </w:p>
        </w:tc>
        <w:tc>
          <w:tcPr>
            <w:tcW w:w="3827" w:type="dxa"/>
          </w:tcPr>
          <w:p w14:paraId="1213E47D" w14:textId="7E74BECD" w:rsidR="00171EFF" w:rsidRDefault="00171EFF" w:rsidP="00171EFF">
            <w:pPr>
              <w:pStyle w:val="TableText"/>
            </w:pPr>
            <w:r>
              <w:t>Balance</w:t>
            </w:r>
            <w:r>
              <w:rPr>
                <w:spacing w:val="3"/>
              </w:rPr>
              <w:t xml:space="preserve"> </w:t>
            </w:r>
            <w:r>
              <w:t>as</w:t>
            </w:r>
            <w:r>
              <w:rPr>
                <w:spacing w:val="3"/>
              </w:rPr>
              <w:t xml:space="preserve"> </w:t>
            </w:r>
            <w:r>
              <w:t>at</w:t>
            </w:r>
            <w:r>
              <w:rPr>
                <w:spacing w:val="4"/>
              </w:rPr>
              <w:t xml:space="preserve"> </w:t>
            </w:r>
            <w:r>
              <w:rPr>
                <w:w w:val="95"/>
              </w:rPr>
              <w:t>1</w:t>
            </w:r>
            <w:r>
              <w:rPr>
                <w:spacing w:val="5"/>
                <w:w w:val="95"/>
              </w:rPr>
              <w:t xml:space="preserve"> </w:t>
            </w:r>
            <w:r>
              <w:t>July</w:t>
            </w:r>
          </w:p>
        </w:tc>
        <w:tc>
          <w:tcPr>
            <w:tcW w:w="1451" w:type="dxa"/>
          </w:tcPr>
          <w:p w14:paraId="203153BF" w14:textId="77777777" w:rsidR="00171EFF" w:rsidRDefault="00171EFF" w:rsidP="00171EFF">
            <w:pPr>
              <w:pStyle w:val="TableText"/>
              <w:jc w:val="right"/>
            </w:pPr>
            <w:r>
              <w:rPr>
                <w:w w:val="110"/>
              </w:rPr>
              <w:t>4,409</w:t>
            </w:r>
          </w:p>
        </w:tc>
        <w:tc>
          <w:tcPr>
            <w:tcW w:w="1502" w:type="dxa"/>
          </w:tcPr>
          <w:p w14:paraId="1F66930A" w14:textId="77777777" w:rsidR="00171EFF" w:rsidRDefault="00171EFF" w:rsidP="00171EFF">
            <w:pPr>
              <w:pStyle w:val="TableText"/>
              <w:jc w:val="right"/>
            </w:pPr>
            <w:r>
              <w:t>(214)</w:t>
            </w:r>
          </w:p>
        </w:tc>
        <w:tc>
          <w:tcPr>
            <w:tcW w:w="833" w:type="dxa"/>
          </w:tcPr>
          <w:p w14:paraId="3D23B981" w14:textId="77777777" w:rsidR="00171EFF" w:rsidRDefault="00171EFF" w:rsidP="00171EFF">
            <w:pPr>
              <w:pStyle w:val="TableText"/>
              <w:jc w:val="right"/>
            </w:pPr>
            <w:r>
              <w:t>4,195</w:t>
            </w:r>
          </w:p>
        </w:tc>
      </w:tr>
      <w:tr w:rsidR="00171EFF" w14:paraId="650655B2" w14:textId="77777777" w:rsidTr="00171EFF">
        <w:trPr>
          <w:trHeight w:val="340"/>
        </w:trPr>
        <w:tc>
          <w:tcPr>
            <w:tcW w:w="986" w:type="dxa"/>
          </w:tcPr>
          <w:p w14:paraId="5F4E58D3" w14:textId="7A44305D" w:rsidR="00171EFF" w:rsidRDefault="00171EFF" w:rsidP="00171EFF">
            <w:pPr>
              <w:pStyle w:val="TableText"/>
              <w:jc w:val="right"/>
            </w:pPr>
            <w:r>
              <w:t>15,787</w:t>
            </w:r>
          </w:p>
        </w:tc>
        <w:tc>
          <w:tcPr>
            <w:tcW w:w="3827" w:type="dxa"/>
          </w:tcPr>
          <w:p w14:paraId="23B2890C" w14:textId="2ABEF184" w:rsidR="00171EFF" w:rsidRDefault="00171EFF" w:rsidP="00171EFF">
            <w:pPr>
              <w:pStyle w:val="TableText"/>
            </w:pPr>
            <w:r>
              <w:t>Revenue</w:t>
            </w:r>
          </w:p>
        </w:tc>
        <w:tc>
          <w:tcPr>
            <w:tcW w:w="1451" w:type="dxa"/>
          </w:tcPr>
          <w:p w14:paraId="1340631C" w14:textId="77777777" w:rsidR="00171EFF" w:rsidRDefault="00171EFF" w:rsidP="00171EFF">
            <w:pPr>
              <w:pStyle w:val="TableText"/>
              <w:jc w:val="right"/>
            </w:pPr>
            <w:r>
              <w:t>12,258</w:t>
            </w:r>
          </w:p>
        </w:tc>
        <w:tc>
          <w:tcPr>
            <w:tcW w:w="1502" w:type="dxa"/>
          </w:tcPr>
          <w:p w14:paraId="2826E32B" w14:textId="77777777" w:rsidR="00171EFF" w:rsidRDefault="00171EFF" w:rsidP="00171EFF">
            <w:pPr>
              <w:pStyle w:val="TableText"/>
              <w:jc w:val="right"/>
            </w:pPr>
            <w:r>
              <w:rPr>
                <w:w w:val="115"/>
              </w:rPr>
              <w:t>990</w:t>
            </w:r>
          </w:p>
        </w:tc>
        <w:tc>
          <w:tcPr>
            <w:tcW w:w="833" w:type="dxa"/>
          </w:tcPr>
          <w:p w14:paraId="76E5B2B9" w14:textId="77777777" w:rsidR="00171EFF" w:rsidRDefault="00171EFF" w:rsidP="00171EFF">
            <w:pPr>
              <w:pStyle w:val="TableText"/>
              <w:jc w:val="right"/>
            </w:pPr>
            <w:r>
              <w:t>13,248</w:t>
            </w:r>
          </w:p>
        </w:tc>
      </w:tr>
      <w:tr w:rsidR="00171EFF" w14:paraId="0E8B4556" w14:textId="77777777" w:rsidTr="00171EFF">
        <w:trPr>
          <w:trHeight w:val="340"/>
        </w:trPr>
        <w:tc>
          <w:tcPr>
            <w:tcW w:w="986" w:type="dxa"/>
          </w:tcPr>
          <w:p w14:paraId="68C035DD" w14:textId="212A4412" w:rsidR="00171EFF" w:rsidRDefault="00171EFF" w:rsidP="00171EFF">
            <w:pPr>
              <w:pStyle w:val="TableText"/>
              <w:jc w:val="right"/>
              <w:rPr>
                <w:w w:val="105"/>
              </w:rPr>
            </w:pPr>
            <w:r>
              <w:rPr>
                <w:w w:val="105"/>
              </w:rPr>
              <w:t>(18,592)</w:t>
            </w:r>
          </w:p>
        </w:tc>
        <w:tc>
          <w:tcPr>
            <w:tcW w:w="3827" w:type="dxa"/>
          </w:tcPr>
          <w:p w14:paraId="3F127C7C" w14:textId="58A731B1" w:rsidR="00171EFF" w:rsidRDefault="00171EFF" w:rsidP="00171EFF">
            <w:pPr>
              <w:pStyle w:val="TableText"/>
            </w:pPr>
            <w:r>
              <w:rPr>
                <w:w w:val="105"/>
              </w:rPr>
              <w:t>Expenses</w:t>
            </w:r>
          </w:p>
        </w:tc>
        <w:tc>
          <w:tcPr>
            <w:tcW w:w="1451" w:type="dxa"/>
          </w:tcPr>
          <w:p w14:paraId="433E6D53" w14:textId="77777777" w:rsidR="00171EFF" w:rsidRDefault="00171EFF" w:rsidP="00171EFF">
            <w:pPr>
              <w:pStyle w:val="TableText"/>
              <w:jc w:val="right"/>
            </w:pPr>
            <w:r>
              <w:t>(17,448)</w:t>
            </w:r>
          </w:p>
        </w:tc>
        <w:tc>
          <w:tcPr>
            <w:tcW w:w="1502" w:type="dxa"/>
          </w:tcPr>
          <w:p w14:paraId="4CF4DF8B" w14:textId="77777777" w:rsidR="00171EFF" w:rsidRDefault="00171EFF" w:rsidP="00171EFF">
            <w:pPr>
              <w:pStyle w:val="TableText"/>
              <w:jc w:val="right"/>
            </w:pPr>
            <w:r>
              <w:t>(1,167)</w:t>
            </w:r>
          </w:p>
        </w:tc>
        <w:tc>
          <w:tcPr>
            <w:tcW w:w="833" w:type="dxa"/>
          </w:tcPr>
          <w:p w14:paraId="6930C1E4" w14:textId="77777777" w:rsidR="00171EFF" w:rsidRDefault="00171EFF" w:rsidP="00171EFF">
            <w:pPr>
              <w:pStyle w:val="TableText"/>
              <w:jc w:val="right"/>
            </w:pPr>
            <w:r>
              <w:t>(18,615)</w:t>
            </w:r>
          </w:p>
        </w:tc>
      </w:tr>
      <w:tr w:rsidR="00171EFF" w:rsidRPr="00171EFF" w14:paraId="6C421BC7" w14:textId="77777777" w:rsidTr="00171EFF">
        <w:trPr>
          <w:trHeight w:val="340"/>
        </w:trPr>
        <w:tc>
          <w:tcPr>
            <w:tcW w:w="986" w:type="dxa"/>
            <w:tcBorders>
              <w:bottom w:val="single" w:sz="4" w:space="0" w:color="A6A6A6" w:themeColor="background1" w:themeShade="A6"/>
            </w:tcBorders>
          </w:tcPr>
          <w:p w14:paraId="02B2C35B" w14:textId="2EB0F3E0" w:rsidR="00171EFF" w:rsidRPr="00171EFF" w:rsidRDefault="00171EFF" w:rsidP="00171EFF">
            <w:pPr>
              <w:pStyle w:val="TableText"/>
              <w:jc w:val="right"/>
              <w:rPr>
                <w:b/>
                <w:bCs/>
                <w:w w:val="105"/>
              </w:rPr>
            </w:pPr>
            <w:r w:rsidRPr="00171EFF">
              <w:rPr>
                <w:b/>
                <w:bCs/>
                <w:w w:val="105"/>
              </w:rPr>
              <w:t xml:space="preserve">4,195 </w:t>
            </w:r>
            <w:r w:rsidRPr="00171EFF">
              <w:rPr>
                <w:b/>
                <w:bCs/>
                <w:spacing w:val="13"/>
                <w:w w:val="105"/>
              </w:rPr>
              <w:t xml:space="preserve"> </w:t>
            </w:r>
          </w:p>
        </w:tc>
        <w:tc>
          <w:tcPr>
            <w:tcW w:w="3827" w:type="dxa"/>
            <w:tcBorders>
              <w:bottom w:val="single" w:sz="4" w:space="0" w:color="A6A6A6" w:themeColor="background1" w:themeShade="A6"/>
            </w:tcBorders>
          </w:tcPr>
          <w:p w14:paraId="0FEFB13D" w14:textId="45281B6D" w:rsidR="00171EFF" w:rsidRPr="00171EFF" w:rsidRDefault="00171EFF" w:rsidP="00171EFF">
            <w:pPr>
              <w:pStyle w:val="TableText"/>
              <w:rPr>
                <w:b/>
                <w:bCs/>
              </w:rPr>
            </w:pPr>
            <w:r w:rsidRPr="00171EFF">
              <w:rPr>
                <w:b/>
                <w:bCs/>
                <w:w w:val="105"/>
              </w:rPr>
              <w:t>Balance</w:t>
            </w:r>
            <w:r w:rsidRPr="00171EFF">
              <w:rPr>
                <w:b/>
                <w:bCs/>
                <w:spacing w:val="-8"/>
                <w:w w:val="105"/>
              </w:rPr>
              <w:t xml:space="preserve"> </w:t>
            </w:r>
            <w:r w:rsidRPr="00171EFF">
              <w:rPr>
                <w:b/>
                <w:bCs/>
                <w:w w:val="105"/>
              </w:rPr>
              <w:t>as</w:t>
            </w:r>
            <w:r w:rsidRPr="00171EFF">
              <w:rPr>
                <w:b/>
                <w:bCs/>
                <w:spacing w:val="-7"/>
                <w:w w:val="105"/>
              </w:rPr>
              <w:t xml:space="preserve"> </w:t>
            </w:r>
            <w:r w:rsidRPr="00171EFF">
              <w:rPr>
                <w:b/>
                <w:bCs/>
                <w:w w:val="105"/>
              </w:rPr>
              <w:t>at</w:t>
            </w:r>
            <w:r w:rsidRPr="00171EFF">
              <w:rPr>
                <w:b/>
                <w:bCs/>
                <w:spacing w:val="-8"/>
                <w:w w:val="105"/>
              </w:rPr>
              <w:t xml:space="preserve"> </w:t>
            </w:r>
            <w:r w:rsidRPr="00171EFF">
              <w:rPr>
                <w:b/>
                <w:bCs/>
                <w:w w:val="105"/>
              </w:rPr>
              <w:t>30</w:t>
            </w:r>
            <w:r w:rsidRPr="00171EFF">
              <w:rPr>
                <w:b/>
                <w:bCs/>
                <w:spacing w:val="-7"/>
                <w:w w:val="105"/>
              </w:rPr>
              <w:t xml:space="preserve"> </w:t>
            </w:r>
            <w:r w:rsidRPr="00171EFF">
              <w:rPr>
                <w:b/>
                <w:bCs/>
                <w:w w:val="105"/>
              </w:rPr>
              <w:t>June*</w:t>
            </w:r>
          </w:p>
        </w:tc>
        <w:tc>
          <w:tcPr>
            <w:tcW w:w="1451" w:type="dxa"/>
            <w:tcBorders>
              <w:bottom w:val="single" w:sz="4" w:space="0" w:color="A6A6A6" w:themeColor="background1" w:themeShade="A6"/>
            </w:tcBorders>
          </w:tcPr>
          <w:p w14:paraId="796F1F17" w14:textId="77777777" w:rsidR="00171EFF" w:rsidRPr="00171EFF" w:rsidRDefault="00171EFF" w:rsidP="00171EFF">
            <w:pPr>
              <w:pStyle w:val="TableText"/>
              <w:jc w:val="right"/>
              <w:rPr>
                <w:b/>
                <w:bCs/>
              </w:rPr>
            </w:pPr>
            <w:r w:rsidRPr="00171EFF">
              <w:rPr>
                <w:b/>
                <w:bCs/>
                <w:w w:val="105"/>
              </w:rPr>
              <w:t>(781)</w:t>
            </w:r>
          </w:p>
        </w:tc>
        <w:tc>
          <w:tcPr>
            <w:tcW w:w="1502" w:type="dxa"/>
            <w:tcBorders>
              <w:bottom w:val="single" w:sz="4" w:space="0" w:color="A6A6A6" w:themeColor="background1" w:themeShade="A6"/>
            </w:tcBorders>
          </w:tcPr>
          <w:p w14:paraId="37089C75" w14:textId="77777777" w:rsidR="00171EFF" w:rsidRPr="00171EFF" w:rsidRDefault="00171EFF" w:rsidP="00171EFF">
            <w:pPr>
              <w:pStyle w:val="TableText"/>
              <w:jc w:val="right"/>
              <w:rPr>
                <w:b/>
                <w:bCs/>
              </w:rPr>
            </w:pPr>
            <w:r w:rsidRPr="00171EFF">
              <w:rPr>
                <w:b/>
                <w:bCs/>
                <w:w w:val="105"/>
              </w:rPr>
              <w:t>(391)</w:t>
            </w:r>
          </w:p>
        </w:tc>
        <w:tc>
          <w:tcPr>
            <w:tcW w:w="833" w:type="dxa"/>
            <w:tcBorders>
              <w:bottom w:val="single" w:sz="4" w:space="0" w:color="A6A6A6" w:themeColor="background1" w:themeShade="A6"/>
            </w:tcBorders>
          </w:tcPr>
          <w:p w14:paraId="60670BF2" w14:textId="77777777" w:rsidR="00171EFF" w:rsidRPr="00171EFF" w:rsidRDefault="00171EFF" w:rsidP="00171EFF">
            <w:pPr>
              <w:pStyle w:val="TableText"/>
              <w:jc w:val="right"/>
              <w:rPr>
                <w:b/>
                <w:bCs/>
              </w:rPr>
            </w:pPr>
            <w:r w:rsidRPr="00171EFF">
              <w:rPr>
                <w:b/>
                <w:bCs/>
              </w:rPr>
              <w:t>(1,172)</w:t>
            </w:r>
          </w:p>
        </w:tc>
      </w:tr>
    </w:tbl>
    <w:p w14:paraId="18B7C9FB" w14:textId="064EFFEB" w:rsidR="00C84B6E" w:rsidRDefault="00C84B6E" w:rsidP="00C84B6E">
      <w:pPr>
        <w:pStyle w:val="Note"/>
        <w:rPr>
          <w:rFonts w:eastAsia="Arial Unicode MS"/>
        </w:rPr>
      </w:pPr>
      <w:r w:rsidRPr="00C84B6E">
        <w:rPr>
          <w:rFonts w:eastAsia="Arial Unicode MS"/>
        </w:rPr>
        <w:t>* The balance represents the accumulated balance of surpluses and deficits incurred in providing problem gambling services. They are not formal assets or liabilities of the Crown.</w:t>
      </w:r>
    </w:p>
    <w:p w14:paraId="1FBC9950" w14:textId="77777777" w:rsidR="00C84B6E" w:rsidRPr="00C84B6E" w:rsidRDefault="00C84B6E" w:rsidP="00C84B6E">
      <w:pPr>
        <w:rPr>
          <w:rFonts w:eastAsia="Arial Unicode MS"/>
        </w:rPr>
      </w:pPr>
    </w:p>
    <w:p w14:paraId="7DAB0383" w14:textId="77777777" w:rsidR="004C507E" w:rsidRDefault="00C84B6E" w:rsidP="00C84B6E">
      <w:pPr>
        <w:rPr>
          <w:rFonts w:eastAsia="Arial Unicode MS"/>
        </w:rPr>
      </w:pPr>
      <w:r w:rsidRPr="00C84B6E">
        <w:rPr>
          <w:rFonts w:eastAsia="Arial Unicode MS"/>
        </w:rPr>
        <w:t xml:space="preserve">Revenue is actual levies collected by Inland Revenue based on the </w:t>
      </w:r>
      <w:r w:rsidRPr="00C84B6E">
        <w:rPr>
          <w:rFonts w:eastAsia="Arial Unicode MS"/>
          <w:i/>
          <w:iCs/>
        </w:rPr>
        <w:t>Strategy to Prevent and Minimise Gambling Harm: Three-year service plan 2019/20–2021/22</w:t>
      </w:r>
      <w:r w:rsidRPr="00C84B6E">
        <w:rPr>
          <w:rFonts w:eastAsia="Arial Unicode MS"/>
        </w:rPr>
        <w:t>.</w:t>
      </w:r>
    </w:p>
    <w:p w14:paraId="76CFBC6B" w14:textId="77777777" w:rsidR="00C84B6E" w:rsidRDefault="00C84B6E" w:rsidP="00C84B6E">
      <w:pPr>
        <w:rPr>
          <w:rFonts w:eastAsia="Arial Unicode MS"/>
        </w:rPr>
      </w:pPr>
    </w:p>
    <w:p w14:paraId="2F1AA8C0" w14:textId="77777777" w:rsidR="00C84B6E" w:rsidRDefault="00C84B6E" w:rsidP="00C84B6E">
      <w:pPr>
        <w:rPr>
          <w:rFonts w:eastAsia="Arial Unicode MS"/>
        </w:rPr>
      </w:pPr>
    </w:p>
    <w:p w14:paraId="2822C56B" w14:textId="77777777" w:rsidR="00C84B6E" w:rsidRDefault="00C84B6E" w:rsidP="00C84B6E">
      <w:pPr>
        <w:rPr>
          <w:rFonts w:eastAsia="Arial Unicode MS"/>
        </w:rPr>
      </w:pPr>
    </w:p>
    <w:p w14:paraId="654C5D2E" w14:textId="77777777" w:rsidR="00C84B6E" w:rsidRDefault="00C84B6E" w:rsidP="00C84B6E">
      <w:pPr>
        <w:rPr>
          <w:rFonts w:eastAsia="Arial Unicode MS"/>
        </w:rPr>
      </w:pPr>
    </w:p>
    <w:p w14:paraId="2D760E82" w14:textId="77777777" w:rsidR="00C84B6E" w:rsidRDefault="00C84B6E" w:rsidP="00C84B6E">
      <w:pPr>
        <w:rPr>
          <w:rFonts w:eastAsia="Arial Unicode MS"/>
        </w:rPr>
      </w:pPr>
    </w:p>
    <w:p w14:paraId="09E1517D" w14:textId="77777777" w:rsidR="00C84B6E" w:rsidRDefault="00C84B6E" w:rsidP="00C84B6E">
      <w:pPr>
        <w:rPr>
          <w:rFonts w:eastAsia="Arial Unicode MS"/>
        </w:rPr>
      </w:pPr>
    </w:p>
    <w:p w14:paraId="27F71868" w14:textId="77777777" w:rsidR="00C84B6E" w:rsidRDefault="00C84B6E" w:rsidP="00C84B6E">
      <w:pPr>
        <w:rPr>
          <w:rFonts w:eastAsia="Arial Unicode MS"/>
        </w:rPr>
      </w:pPr>
    </w:p>
    <w:p w14:paraId="62A430D2" w14:textId="77777777" w:rsidR="00C84B6E" w:rsidRDefault="00C84B6E" w:rsidP="00C84B6E">
      <w:pPr>
        <w:rPr>
          <w:rFonts w:eastAsia="Arial Unicode MS"/>
        </w:rPr>
      </w:pPr>
    </w:p>
    <w:p w14:paraId="0A7A491A" w14:textId="77777777" w:rsidR="00C84B6E" w:rsidRDefault="00C84B6E" w:rsidP="00C84B6E">
      <w:pPr>
        <w:rPr>
          <w:rFonts w:eastAsia="Arial Unicode MS"/>
        </w:rPr>
      </w:pPr>
    </w:p>
    <w:p w14:paraId="5F289E7C" w14:textId="77777777" w:rsidR="00C84B6E" w:rsidRDefault="00C84B6E" w:rsidP="00C84B6E">
      <w:pPr>
        <w:rPr>
          <w:rFonts w:eastAsia="Arial Unicode MS"/>
        </w:rPr>
      </w:pPr>
    </w:p>
    <w:p w14:paraId="35AE77AE" w14:textId="77777777" w:rsidR="00C84B6E" w:rsidRDefault="00C84B6E" w:rsidP="00C84B6E">
      <w:pPr>
        <w:rPr>
          <w:rFonts w:eastAsia="Arial Unicode MS"/>
        </w:rPr>
      </w:pPr>
    </w:p>
    <w:p w14:paraId="7BE9AFE2" w14:textId="77777777" w:rsidR="00C84B6E" w:rsidRDefault="00C84B6E" w:rsidP="00C84B6E">
      <w:pPr>
        <w:rPr>
          <w:rFonts w:eastAsia="Arial Unicode MS"/>
        </w:rPr>
      </w:pPr>
    </w:p>
    <w:p w14:paraId="511CC1EB" w14:textId="77777777" w:rsidR="00C84B6E" w:rsidRDefault="00C84B6E" w:rsidP="00C84B6E">
      <w:pPr>
        <w:rPr>
          <w:rFonts w:eastAsia="Arial Unicode MS"/>
        </w:rPr>
      </w:pPr>
    </w:p>
    <w:p w14:paraId="079D39BB" w14:textId="77777777" w:rsidR="00C84B6E" w:rsidRDefault="00C84B6E" w:rsidP="00C84B6E">
      <w:pPr>
        <w:rPr>
          <w:rFonts w:eastAsia="Arial Unicode MS"/>
        </w:rPr>
      </w:pPr>
    </w:p>
    <w:p w14:paraId="1B03CB60" w14:textId="77777777" w:rsidR="00C84B6E" w:rsidRDefault="00C84B6E" w:rsidP="00C84B6E">
      <w:pPr>
        <w:rPr>
          <w:rFonts w:eastAsia="Arial Unicode MS"/>
        </w:rPr>
      </w:pPr>
    </w:p>
    <w:p w14:paraId="74FFA1F9" w14:textId="77777777" w:rsidR="00C84B6E" w:rsidRDefault="00C84B6E" w:rsidP="00C84B6E">
      <w:pPr>
        <w:rPr>
          <w:rFonts w:eastAsia="Arial Unicode MS"/>
        </w:rPr>
      </w:pPr>
    </w:p>
    <w:p w14:paraId="25C38D7A" w14:textId="77777777" w:rsidR="00C84B6E" w:rsidRDefault="00C84B6E" w:rsidP="00C84B6E">
      <w:pPr>
        <w:rPr>
          <w:rFonts w:eastAsia="Arial Unicode MS"/>
        </w:rPr>
      </w:pPr>
    </w:p>
    <w:p w14:paraId="4A1D0794" w14:textId="77777777" w:rsidR="00C84B6E" w:rsidRDefault="00C84B6E" w:rsidP="00C84B6E">
      <w:pPr>
        <w:rPr>
          <w:rFonts w:eastAsia="Arial Unicode MS"/>
        </w:rPr>
      </w:pPr>
    </w:p>
    <w:p w14:paraId="033EA614" w14:textId="77777777" w:rsidR="00C84B6E" w:rsidRDefault="00C84B6E" w:rsidP="00C84B6E">
      <w:pPr>
        <w:rPr>
          <w:rFonts w:eastAsia="Arial Unicode MS"/>
        </w:rPr>
      </w:pPr>
    </w:p>
    <w:p w14:paraId="69BCB991" w14:textId="77777777" w:rsidR="00C84B6E" w:rsidRDefault="00C84B6E" w:rsidP="00C84B6E">
      <w:pPr>
        <w:rPr>
          <w:rFonts w:eastAsia="Arial Unicode MS"/>
        </w:rPr>
      </w:pPr>
    </w:p>
    <w:p w14:paraId="2AE798D1" w14:textId="77777777" w:rsidR="00C84B6E" w:rsidRDefault="00C84B6E" w:rsidP="00C84B6E">
      <w:pPr>
        <w:pStyle w:val="Note"/>
      </w:pPr>
      <w:r>
        <w:rPr>
          <w:w w:val="110"/>
        </w:rPr>
        <w:t>The</w:t>
      </w:r>
      <w:r>
        <w:rPr>
          <w:spacing w:val="6"/>
          <w:w w:val="110"/>
        </w:rPr>
        <w:t xml:space="preserve"> </w:t>
      </w:r>
      <w:r>
        <w:rPr>
          <w:w w:val="110"/>
        </w:rPr>
        <w:t>accompanying</w:t>
      </w:r>
      <w:r>
        <w:rPr>
          <w:spacing w:val="7"/>
          <w:w w:val="110"/>
        </w:rPr>
        <w:t xml:space="preserve"> </w:t>
      </w:r>
      <w:r>
        <w:rPr>
          <w:w w:val="110"/>
        </w:rPr>
        <w:t>notes</w:t>
      </w:r>
      <w:r>
        <w:rPr>
          <w:spacing w:val="7"/>
          <w:w w:val="110"/>
        </w:rPr>
        <w:t xml:space="preserve"> </w:t>
      </w:r>
      <w:r>
        <w:rPr>
          <w:w w:val="110"/>
        </w:rPr>
        <w:t>form</w:t>
      </w:r>
      <w:r>
        <w:rPr>
          <w:spacing w:val="6"/>
          <w:w w:val="110"/>
        </w:rPr>
        <w:t xml:space="preserve"> </w:t>
      </w:r>
      <w:r>
        <w:rPr>
          <w:w w:val="110"/>
        </w:rPr>
        <w:t>part</w:t>
      </w:r>
      <w:r>
        <w:rPr>
          <w:spacing w:val="7"/>
          <w:w w:val="110"/>
        </w:rPr>
        <w:t xml:space="preserve"> </w:t>
      </w:r>
      <w:r>
        <w:rPr>
          <w:w w:val="110"/>
        </w:rPr>
        <w:t>of</w:t>
      </w:r>
      <w:r>
        <w:rPr>
          <w:spacing w:val="7"/>
          <w:w w:val="110"/>
        </w:rPr>
        <w:t xml:space="preserve"> </w:t>
      </w:r>
      <w:r>
        <w:rPr>
          <w:w w:val="110"/>
        </w:rPr>
        <w:t>these</w:t>
      </w:r>
      <w:r>
        <w:rPr>
          <w:spacing w:val="7"/>
          <w:w w:val="110"/>
        </w:rPr>
        <w:t xml:space="preserve"> </w:t>
      </w:r>
      <w:r>
        <w:rPr>
          <w:w w:val="110"/>
        </w:rPr>
        <w:t>financial</w:t>
      </w:r>
      <w:r>
        <w:rPr>
          <w:spacing w:val="6"/>
          <w:w w:val="110"/>
        </w:rPr>
        <w:t xml:space="preserve"> </w:t>
      </w:r>
      <w:r>
        <w:rPr>
          <w:w w:val="110"/>
        </w:rPr>
        <w:t>statements.</w:t>
      </w:r>
    </w:p>
    <w:p w14:paraId="11DE4CFD" w14:textId="77777777" w:rsidR="00C84B6E" w:rsidRDefault="00C84B6E" w:rsidP="00C84B6E">
      <w:pPr>
        <w:pStyle w:val="Note"/>
        <w:rPr>
          <w:rFonts w:hAnsi="Trebuchet MS"/>
        </w:rPr>
      </w:pPr>
      <w:r>
        <w:rPr>
          <w:rFonts w:hAnsi="Trebuchet MS"/>
          <w:w w:val="110"/>
        </w:rPr>
        <w:t>For</w:t>
      </w:r>
      <w:r>
        <w:rPr>
          <w:rFonts w:hAnsi="Trebuchet MS"/>
          <w:spacing w:val="-8"/>
          <w:w w:val="110"/>
        </w:rPr>
        <w:t xml:space="preserve"> </w:t>
      </w:r>
      <w:r>
        <w:rPr>
          <w:rFonts w:hAnsi="Trebuchet MS"/>
          <w:w w:val="110"/>
        </w:rPr>
        <w:t>a</w:t>
      </w:r>
      <w:r>
        <w:rPr>
          <w:rFonts w:hAnsi="Trebuchet MS"/>
          <w:spacing w:val="-8"/>
          <w:w w:val="110"/>
        </w:rPr>
        <w:t xml:space="preserve"> </w:t>
      </w:r>
      <w:r>
        <w:rPr>
          <w:rFonts w:hAnsi="Trebuchet MS"/>
          <w:w w:val="110"/>
        </w:rPr>
        <w:t>full</w:t>
      </w:r>
      <w:r>
        <w:rPr>
          <w:rFonts w:hAnsi="Trebuchet MS"/>
          <w:spacing w:val="-8"/>
          <w:w w:val="110"/>
        </w:rPr>
        <w:t xml:space="preserve"> </w:t>
      </w:r>
      <w:r>
        <w:rPr>
          <w:rFonts w:hAnsi="Trebuchet MS"/>
          <w:w w:val="110"/>
        </w:rPr>
        <w:t>understanding</w:t>
      </w:r>
      <w:r>
        <w:rPr>
          <w:rFonts w:hAnsi="Trebuchet MS"/>
          <w:spacing w:val="-8"/>
          <w:w w:val="110"/>
        </w:rPr>
        <w:t xml:space="preserve"> </w:t>
      </w:r>
      <w:r>
        <w:rPr>
          <w:rFonts w:hAnsi="Trebuchet MS"/>
          <w:w w:val="110"/>
        </w:rPr>
        <w:t>of</w:t>
      </w:r>
      <w:r>
        <w:rPr>
          <w:rFonts w:hAnsi="Trebuchet MS"/>
          <w:spacing w:val="-8"/>
          <w:w w:val="110"/>
        </w:rPr>
        <w:t xml:space="preserve"> </w:t>
      </w:r>
      <w:r>
        <w:rPr>
          <w:rFonts w:hAnsi="Trebuchet MS"/>
          <w:w w:val="110"/>
        </w:rPr>
        <w:t>the</w:t>
      </w:r>
      <w:r>
        <w:rPr>
          <w:rFonts w:hAnsi="Trebuchet MS"/>
          <w:spacing w:val="-8"/>
          <w:w w:val="110"/>
        </w:rPr>
        <w:t xml:space="preserve"> </w:t>
      </w:r>
      <w:r>
        <w:rPr>
          <w:rFonts w:hAnsi="Trebuchet MS"/>
          <w:w w:val="110"/>
        </w:rPr>
        <w:t>Crown</w:t>
      </w:r>
      <w:r>
        <w:rPr>
          <w:rFonts w:hAnsi="Trebuchet MS"/>
          <w:w w:val="110"/>
        </w:rPr>
        <w:t>’</w:t>
      </w:r>
      <w:r>
        <w:rPr>
          <w:rFonts w:hAnsi="Trebuchet MS"/>
          <w:w w:val="110"/>
        </w:rPr>
        <w:t>s</w:t>
      </w:r>
      <w:r>
        <w:rPr>
          <w:rFonts w:hAnsi="Trebuchet MS"/>
          <w:spacing w:val="-8"/>
          <w:w w:val="110"/>
        </w:rPr>
        <w:t xml:space="preserve"> </w:t>
      </w:r>
      <w:r>
        <w:rPr>
          <w:rFonts w:hAnsi="Trebuchet MS"/>
          <w:w w:val="110"/>
        </w:rPr>
        <w:t>financial</w:t>
      </w:r>
      <w:r>
        <w:rPr>
          <w:rFonts w:hAnsi="Trebuchet MS"/>
          <w:spacing w:val="-8"/>
          <w:w w:val="110"/>
        </w:rPr>
        <w:t xml:space="preserve"> </w:t>
      </w:r>
      <w:r>
        <w:rPr>
          <w:rFonts w:hAnsi="Trebuchet MS"/>
          <w:w w:val="110"/>
        </w:rPr>
        <w:t>position</w:t>
      </w:r>
      <w:r>
        <w:rPr>
          <w:rFonts w:hAnsi="Trebuchet MS"/>
          <w:spacing w:val="-8"/>
          <w:w w:val="110"/>
        </w:rPr>
        <w:t xml:space="preserve"> </w:t>
      </w:r>
      <w:r>
        <w:rPr>
          <w:rFonts w:hAnsi="Trebuchet MS"/>
          <w:w w:val="110"/>
        </w:rPr>
        <w:t>and</w:t>
      </w:r>
      <w:r>
        <w:rPr>
          <w:rFonts w:hAnsi="Trebuchet MS"/>
          <w:spacing w:val="-8"/>
          <w:w w:val="110"/>
        </w:rPr>
        <w:t xml:space="preserve"> </w:t>
      </w:r>
      <w:r>
        <w:rPr>
          <w:rFonts w:hAnsi="Trebuchet MS"/>
          <w:w w:val="110"/>
        </w:rPr>
        <w:t>the</w:t>
      </w:r>
      <w:r>
        <w:rPr>
          <w:rFonts w:hAnsi="Trebuchet MS"/>
          <w:spacing w:val="-8"/>
          <w:w w:val="110"/>
        </w:rPr>
        <w:t xml:space="preserve"> </w:t>
      </w:r>
      <w:r>
        <w:rPr>
          <w:rFonts w:hAnsi="Trebuchet MS"/>
          <w:w w:val="110"/>
        </w:rPr>
        <w:t>results</w:t>
      </w:r>
      <w:r>
        <w:rPr>
          <w:rFonts w:hAnsi="Trebuchet MS"/>
          <w:spacing w:val="-8"/>
          <w:w w:val="110"/>
        </w:rPr>
        <w:t xml:space="preserve"> </w:t>
      </w:r>
      <w:r>
        <w:rPr>
          <w:rFonts w:hAnsi="Trebuchet MS"/>
          <w:w w:val="110"/>
        </w:rPr>
        <w:t>of</w:t>
      </w:r>
      <w:r>
        <w:rPr>
          <w:rFonts w:hAnsi="Trebuchet MS"/>
          <w:spacing w:val="-8"/>
          <w:w w:val="110"/>
        </w:rPr>
        <w:t xml:space="preserve"> </w:t>
      </w:r>
      <w:r>
        <w:rPr>
          <w:rFonts w:hAnsi="Trebuchet MS"/>
          <w:w w:val="110"/>
        </w:rPr>
        <w:t>its</w:t>
      </w:r>
      <w:r>
        <w:rPr>
          <w:rFonts w:hAnsi="Trebuchet MS"/>
          <w:spacing w:val="-7"/>
          <w:w w:val="110"/>
        </w:rPr>
        <w:t xml:space="preserve"> </w:t>
      </w:r>
      <w:r>
        <w:rPr>
          <w:rFonts w:hAnsi="Trebuchet MS"/>
          <w:w w:val="110"/>
        </w:rPr>
        <w:t>operations</w:t>
      </w:r>
      <w:r>
        <w:rPr>
          <w:rFonts w:hAnsi="Trebuchet MS"/>
          <w:spacing w:val="-8"/>
          <w:w w:val="110"/>
        </w:rPr>
        <w:t xml:space="preserve"> </w:t>
      </w:r>
      <w:r>
        <w:rPr>
          <w:rFonts w:hAnsi="Trebuchet MS"/>
          <w:w w:val="110"/>
        </w:rPr>
        <w:t>for</w:t>
      </w:r>
      <w:r>
        <w:rPr>
          <w:rFonts w:hAnsi="Trebuchet MS"/>
          <w:spacing w:val="-8"/>
          <w:w w:val="110"/>
        </w:rPr>
        <w:t xml:space="preserve"> </w:t>
      </w:r>
      <w:r>
        <w:rPr>
          <w:rFonts w:hAnsi="Trebuchet MS"/>
          <w:w w:val="110"/>
        </w:rPr>
        <w:t>the</w:t>
      </w:r>
      <w:r>
        <w:rPr>
          <w:rFonts w:hAnsi="Trebuchet MS"/>
          <w:spacing w:val="-8"/>
          <w:w w:val="110"/>
        </w:rPr>
        <w:t xml:space="preserve"> </w:t>
      </w:r>
      <w:r>
        <w:rPr>
          <w:rFonts w:hAnsi="Trebuchet MS"/>
          <w:w w:val="110"/>
        </w:rPr>
        <w:t>year,</w:t>
      </w:r>
      <w:r>
        <w:rPr>
          <w:rFonts w:hAnsi="Trebuchet MS"/>
          <w:spacing w:val="-57"/>
          <w:w w:val="110"/>
        </w:rPr>
        <w:t xml:space="preserve"> </w:t>
      </w:r>
      <w:r>
        <w:rPr>
          <w:rFonts w:hAnsi="Trebuchet MS"/>
          <w:w w:val="110"/>
        </w:rPr>
        <w:t>refer</w:t>
      </w:r>
      <w:r>
        <w:rPr>
          <w:rFonts w:hAnsi="Trebuchet MS"/>
          <w:spacing w:val="-7"/>
          <w:w w:val="110"/>
        </w:rPr>
        <w:t xml:space="preserve"> </w:t>
      </w:r>
      <w:r>
        <w:rPr>
          <w:rFonts w:hAnsi="Trebuchet MS"/>
          <w:w w:val="110"/>
        </w:rPr>
        <w:t>to</w:t>
      </w:r>
      <w:r>
        <w:rPr>
          <w:rFonts w:hAnsi="Trebuchet MS"/>
          <w:spacing w:val="-7"/>
          <w:w w:val="110"/>
        </w:rPr>
        <w:t xml:space="preserve"> </w:t>
      </w:r>
      <w:r>
        <w:rPr>
          <w:rFonts w:hAnsi="Trebuchet MS"/>
          <w:w w:val="110"/>
        </w:rPr>
        <w:t>the</w:t>
      </w:r>
      <w:r>
        <w:rPr>
          <w:rFonts w:hAnsi="Trebuchet MS"/>
          <w:spacing w:val="-6"/>
          <w:w w:val="110"/>
        </w:rPr>
        <w:t xml:space="preserve"> </w:t>
      </w:r>
      <w:r>
        <w:rPr>
          <w:rFonts w:hAnsi="Trebuchet MS"/>
          <w:w w:val="110"/>
        </w:rPr>
        <w:t>consolidated</w:t>
      </w:r>
      <w:r>
        <w:rPr>
          <w:rFonts w:hAnsi="Trebuchet MS"/>
          <w:spacing w:val="-7"/>
          <w:w w:val="110"/>
        </w:rPr>
        <w:t xml:space="preserve"> </w:t>
      </w:r>
      <w:r>
        <w:rPr>
          <w:rFonts w:hAnsi="Trebuchet MS"/>
          <w:w w:val="110"/>
        </w:rPr>
        <w:t>Financial</w:t>
      </w:r>
      <w:r>
        <w:rPr>
          <w:rFonts w:hAnsi="Trebuchet MS"/>
          <w:spacing w:val="-6"/>
          <w:w w:val="110"/>
        </w:rPr>
        <w:t xml:space="preserve"> </w:t>
      </w:r>
      <w:r>
        <w:rPr>
          <w:rFonts w:hAnsi="Trebuchet MS"/>
          <w:w w:val="110"/>
        </w:rPr>
        <w:t>Statement</w:t>
      </w:r>
      <w:r>
        <w:rPr>
          <w:rFonts w:hAnsi="Trebuchet MS"/>
          <w:spacing w:val="-7"/>
          <w:w w:val="110"/>
        </w:rPr>
        <w:t xml:space="preserve"> </w:t>
      </w:r>
      <w:r>
        <w:rPr>
          <w:rFonts w:hAnsi="Trebuchet MS"/>
          <w:w w:val="110"/>
        </w:rPr>
        <w:t>of</w:t>
      </w:r>
      <w:r>
        <w:rPr>
          <w:rFonts w:hAnsi="Trebuchet MS"/>
          <w:spacing w:val="-6"/>
          <w:w w:val="110"/>
        </w:rPr>
        <w:t xml:space="preserve"> </w:t>
      </w:r>
      <w:r>
        <w:rPr>
          <w:rFonts w:hAnsi="Trebuchet MS"/>
          <w:w w:val="110"/>
        </w:rPr>
        <w:t>the</w:t>
      </w:r>
      <w:r>
        <w:rPr>
          <w:rFonts w:hAnsi="Trebuchet MS"/>
          <w:spacing w:val="-7"/>
          <w:w w:val="110"/>
        </w:rPr>
        <w:t xml:space="preserve"> </w:t>
      </w:r>
      <w:r>
        <w:rPr>
          <w:rFonts w:hAnsi="Trebuchet MS"/>
          <w:w w:val="110"/>
        </w:rPr>
        <w:t>Government</w:t>
      </w:r>
      <w:r>
        <w:rPr>
          <w:rFonts w:hAnsi="Trebuchet MS"/>
          <w:spacing w:val="-6"/>
          <w:w w:val="110"/>
        </w:rPr>
        <w:t xml:space="preserve"> </w:t>
      </w:r>
      <w:r>
        <w:rPr>
          <w:rFonts w:hAnsi="Trebuchet MS"/>
          <w:w w:val="110"/>
        </w:rPr>
        <w:t>for</w:t>
      </w:r>
      <w:r>
        <w:rPr>
          <w:rFonts w:hAnsi="Trebuchet MS"/>
          <w:spacing w:val="-7"/>
          <w:w w:val="110"/>
        </w:rPr>
        <w:t xml:space="preserve"> </w:t>
      </w:r>
      <w:r>
        <w:rPr>
          <w:rFonts w:hAnsi="Trebuchet MS"/>
          <w:w w:val="110"/>
        </w:rPr>
        <w:t>the</w:t>
      </w:r>
      <w:r>
        <w:rPr>
          <w:rFonts w:hAnsi="Trebuchet MS"/>
          <w:spacing w:val="-6"/>
          <w:w w:val="110"/>
        </w:rPr>
        <w:t xml:space="preserve"> </w:t>
      </w:r>
      <w:r>
        <w:rPr>
          <w:rFonts w:hAnsi="Trebuchet MS"/>
          <w:w w:val="110"/>
        </w:rPr>
        <w:t>year</w:t>
      </w:r>
      <w:r>
        <w:rPr>
          <w:rFonts w:hAnsi="Trebuchet MS"/>
          <w:spacing w:val="-7"/>
          <w:w w:val="110"/>
        </w:rPr>
        <w:t xml:space="preserve"> </w:t>
      </w:r>
      <w:r>
        <w:rPr>
          <w:rFonts w:hAnsi="Trebuchet MS"/>
          <w:w w:val="110"/>
        </w:rPr>
        <w:t>ended</w:t>
      </w:r>
      <w:r>
        <w:rPr>
          <w:rFonts w:hAnsi="Trebuchet MS"/>
          <w:spacing w:val="-6"/>
          <w:w w:val="110"/>
        </w:rPr>
        <w:t xml:space="preserve"> </w:t>
      </w:r>
      <w:r>
        <w:rPr>
          <w:rFonts w:hAnsi="Trebuchet MS"/>
          <w:w w:val="110"/>
        </w:rPr>
        <w:t>30</w:t>
      </w:r>
      <w:r>
        <w:rPr>
          <w:rFonts w:hAnsi="Trebuchet MS"/>
          <w:spacing w:val="-7"/>
          <w:w w:val="110"/>
        </w:rPr>
        <w:t xml:space="preserve"> </w:t>
      </w:r>
      <w:r>
        <w:rPr>
          <w:rFonts w:hAnsi="Trebuchet MS"/>
          <w:w w:val="110"/>
        </w:rPr>
        <w:t>June</w:t>
      </w:r>
      <w:r>
        <w:rPr>
          <w:rFonts w:hAnsi="Trebuchet MS"/>
          <w:spacing w:val="-6"/>
          <w:w w:val="110"/>
        </w:rPr>
        <w:t xml:space="preserve"> </w:t>
      </w:r>
      <w:r>
        <w:rPr>
          <w:rFonts w:hAnsi="Trebuchet MS"/>
          <w:w w:val="110"/>
        </w:rPr>
        <w:t>2022.</w:t>
      </w:r>
    </w:p>
    <w:p w14:paraId="0C87DD8B" w14:textId="77777777" w:rsidR="00C84B6E" w:rsidRDefault="00C84B6E" w:rsidP="00C84B6E">
      <w:pPr>
        <w:rPr>
          <w:rFonts w:eastAsia="Arial Unicode MS"/>
        </w:rPr>
        <w:sectPr w:rsidR="00C84B6E" w:rsidSect="00C26282">
          <w:pgSz w:w="11907" w:h="16840" w:code="9"/>
          <w:pgMar w:top="1418" w:right="1701" w:bottom="1134" w:left="1843" w:header="284" w:footer="425" w:gutter="284"/>
          <w:cols w:space="720"/>
        </w:sectPr>
      </w:pPr>
    </w:p>
    <w:p w14:paraId="2C8BD80D" w14:textId="77777777" w:rsidR="00C84B6E" w:rsidRPr="00C84B6E" w:rsidRDefault="00C84B6E" w:rsidP="00C84B6E">
      <w:pPr>
        <w:pStyle w:val="Heading3"/>
        <w:spacing w:before="0"/>
      </w:pPr>
      <w:bookmarkStart w:id="71" w:name="_Toc117264977"/>
      <w:r w:rsidRPr="00C84B6E">
        <w:lastRenderedPageBreak/>
        <w:t>Notes to the non-departmental statements and schedules</w:t>
      </w:r>
      <w:bookmarkEnd w:id="71"/>
    </w:p>
    <w:p w14:paraId="0BEC452A" w14:textId="77777777" w:rsidR="00C84B6E" w:rsidRPr="00C84B6E" w:rsidRDefault="00C84B6E" w:rsidP="00C84B6E">
      <w:pPr>
        <w:pStyle w:val="Heading4"/>
      </w:pPr>
      <w:r w:rsidRPr="00C84B6E">
        <w:t>Notes index</w:t>
      </w:r>
    </w:p>
    <w:p w14:paraId="022618F4" w14:textId="0D7F6939" w:rsidR="00C84B6E" w:rsidRPr="00C84B6E" w:rsidRDefault="00C84B6E" w:rsidP="008A439D">
      <w:pPr>
        <w:pStyle w:val="Number"/>
        <w:numPr>
          <w:ilvl w:val="0"/>
          <w:numId w:val="15"/>
        </w:numPr>
        <w:rPr>
          <w:rFonts w:eastAsia="Arial Unicode MS"/>
        </w:rPr>
      </w:pPr>
      <w:r w:rsidRPr="00C84B6E">
        <w:rPr>
          <w:rFonts w:eastAsia="Arial Unicode MS"/>
        </w:rPr>
        <w:t>Statement of accounting policies</w:t>
      </w:r>
    </w:p>
    <w:p w14:paraId="0A980111" w14:textId="6AB0E21F" w:rsidR="00C84B6E" w:rsidRPr="00C84B6E" w:rsidRDefault="00C84B6E" w:rsidP="008A439D">
      <w:pPr>
        <w:pStyle w:val="Number"/>
        <w:numPr>
          <w:ilvl w:val="0"/>
          <w:numId w:val="15"/>
        </w:numPr>
        <w:rPr>
          <w:rFonts w:eastAsia="Arial Unicode MS"/>
        </w:rPr>
      </w:pPr>
      <w:r w:rsidRPr="00C84B6E">
        <w:rPr>
          <w:rFonts w:eastAsia="Arial Unicode MS"/>
        </w:rPr>
        <w:t>Explanation of major variances against budget</w:t>
      </w:r>
    </w:p>
    <w:p w14:paraId="046D940B" w14:textId="025F526C" w:rsidR="00C84B6E" w:rsidRPr="00C84B6E" w:rsidRDefault="00C84B6E" w:rsidP="008A439D">
      <w:pPr>
        <w:pStyle w:val="Number"/>
        <w:numPr>
          <w:ilvl w:val="0"/>
          <w:numId w:val="15"/>
        </w:numPr>
        <w:rPr>
          <w:rFonts w:eastAsia="Arial Unicode MS"/>
        </w:rPr>
      </w:pPr>
      <w:r w:rsidRPr="00C84B6E">
        <w:rPr>
          <w:rFonts w:eastAsia="Arial Unicode MS"/>
        </w:rPr>
        <w:t>COVID-19 Response Expenditure for the year ended 30 June 2022</w:t>
      </w:r>
    </w:p>
    <w:p w14:paraId="59F561E1" w14:textId="77777777" w:rsidR="00C84B6E" w:rsidRPr="00C84B6E" w:rsidRDefault="00C84B6E" w:rsidP="00C84B6E">
      <w:pPr>
        <w:pStyle w:val="Heading4"/>
      </w:pPr>
      <w:r w:rsidRPr="00C84B6E">
        <w:t>1 Statement of accounting policies</w:t>
      </w:r>
    </w:p>
    <w:p w14:paraId="35B8EAC0" w14:textId="77777777" w:rsidR="00C84B6E" w:rsidRPr="00C84B6E" w:rsidRDefault="00C84B6E" w:rsidP="00C84B6E">
      <w:pPr>
        <w:pStyle w:val="Heading5"/>
      </w:pPr>
      <w:r w:rsidRPr="00C84B6E">
        <w:t>Reporting entity</w:t>
      </w:r>
    </w:p>
    <w:p w14:paraId="1212A4D0" w14:textId="77777777" w:rsidR="00C84B6E" w:rsidRPr="00C84B6E" w:rsidRDefault="00C84B6E" w:rsidP="00C84B6E">
      <w:pPr>
        <w:rPr>
          <w:rFonts w:eastAsia="Arial Unicode MS"/>
        </w:rPr>
      </w:pPr>
      <w:r w:rsidRPr="00C84B6E">
        <w:rPr>
          <w:rFonts w:eastAsia="Arial Unicode MS"/>
        </w:rPr>
        <w:t>These non-departmental statements and schedules present financial information on public funds managed by the Ministry on behalf of the Crown. The financial information is consolidated into the Financial Statements of the Government and, therefore, readers of these schedules should also refer to the financial statements of the Government for the year ended 30 June 2022.</w:t>
      </w:r>
    </w:p>
    <w:p w14:paraId="704989F7" w14:textId="77777777" w:rsidR="00C84B6E" w:rsidRPr="00C84B6E" w:rsidRDefault="00C84B6E" w:rsidP="00C84B6E">
      <w:pPr>
        <w:pStyle w:val="Heading5"/>
      </w:pPr>
      <w:r w:rsidRPr="00C84B6E">
        <w:t>Basis of preparation</w:t>
      </w:r>
    </w:p>
    <w:p w14:paraId="503EB0BB" w14:textId="1DE9A0B9" w:rsidR="00C84B6E" w:rsidRDefault="00C84B6E" w:rsidP="00C84B6E">
      <w:pPr>
        <w:rPr>
          <w:rFonts w:eastAsia="Arial Unicode MS"/>
        </w:rPr>
      </w:pPr>
      <w:r w:rsidRPr="00C84B6E">
        <w:rPr>
          <w:rFonts w:eastAsia="Arial Unicode MS"/>
        </w:rPr>
        <w:t>The non-departmental statements and schedules have been prepared in accordance with the accounting policies of the financial statements of the Government, Treasury instructions and Treasury circulars.</w:t>
      </w:r>
    </w:p>
    <w:p w14:paraId="26C7A87C" w14:textId="77777777" w:rsidR="00C84B6E" w:rsidRPr="00C84B6E" w:rsidRDefault="00C84B6E" w:rsidP="00C84B6E">
      <w:pPr>
        <w:rPr>
          <w:rFonts w:eastAsia="Arial Unicode MS"/>
        </w:rPr>
      </w:pPr>
    </w:p>
    <w:p w14:paraId="100ED446" w14:textId="77777777" w:rsidR="00C84B6E" w:rsidRPr="00C84B6E" w:rsidRDefault="00C84B6E" w:rsidP="00C84B6E">
      <w:pPr>
        <w:rPr>
          <w:rFonts w:eastAsia="Arial Unicode MS"/>
        </w:rPr>
      </w:pPr>
      <w:r w:rsidRPr="00C84B6E">
        <w:rPr>
          <w:rFonts w:eastAsia="Arial Unicode MS"/>
        </w:rPr>
        <w:t>Measurement and recognition rules applied in the preparation of the non-departmental statements and schedules are consistent with generally accepted accounting practice (Public Benefit Entity Accounting Standards) as appropriate for public benefit entities.</w:t>
      </w:r>
    </w:p>
    <w:p w14:paraId="23F228D8" w14:textId="77777777" w:rsidR="00C84B6E" w:rsidRPr="00C84B6E" w:rsidRDefault="00C84B6E" w:rsidP="00C84B6E">
      <w:pPr>
        <w:pStyle w:val="Heading5"/>
      </w:pPr>
      <w:r w:rsidRPr="00C84B6E">
        <w:t>Presentation currency and rounding</w:t>
      </w:r>
    </w:p>
    <w:p w14:paraId="1C15AEC7" w14:textId="77777777" w:rsidR="00C84B6E" w:rsidRPr="00C84B6E" w:rsidRDefault="00C84B6E" w:rsidP="00C84B6E">
      <w:pPr>
        <w:rPr>
          <w:rFonts w:eastAsia="Arial Unicode MS"/>
        </w:rPr>
      </w:pPr>
      <w:r w:rsidRPr="00C84B6E">
        <w:rPr>
          <w:rFonts w:eastAsia="Arial Unicode MS"/>
        </w:rPr>
        <w:t>The financial statements are presented in New Zealand dollars and all values are rounded to the nearest thousand dollars ($000).</w:t>
      </w:r>
    </w:p>
    <w:p w14:paraId="06DEC6A3" w14:textId="77777777" w:rsidR="00C84B6E" w:rsidRPr="00C84B6E" w:rsidRDefault="00C84B6E" w:rsidP="00C84B6E">
      <w:pPr>
        <w:pStyle w:val="Heading5"/>
      </w:pPr>
      <w:r w:rsidRPr="00C84B6E">
        <w:t>Changes in accounting policies</w:t>
      </w:r>
    </w:p>
    <w:p w14:paraId="2B77137D" w14:textId="77777777" w:rsidR="00C84B6E" w:rsidRPr="00C84B6E" w:rsidRDefault="00C84B6E" w:rsidP="00C84B6E">
      <w:pPr>
        <w:rPr>
          <w:rFonts w:eastAsia="Arial Unicode MS"/>
        </w:rPr>
      </w:pPr>
      <w:r w:rsidRPr="00C84B6E">
        <w:rPr>
          <w:rFonts w:eastAsia="Arial Unicode MS"/>
        </w:rPr>
        <w:t>There have been no changes in the Ministry’s accounting policies since the date of the last audited financial statements.</w:t>
      </w:r>
    </w:p>
    <w:p w14:paraId="123365B3" w14:textId="77777777" w:rsidR="00C84B6E" w:rsidRPr="00C84B6E" w:rsidRDefault="00C84B6E" w:rsidP="00C84B6E">
      <w:pPr>
        <w:pStyle w:val="Heading5"/>
      </w:pPr>
      <w:r w:rsidRPr="00C84B6E">
        <w:t>Standards issued, not yet effective and not early adopted</w:t>
      </w:r>
    </w:p>
    <w:p w14:paraId="58D13BD9" w14:textId="77777777" w:rsidR="00C84B6E" w:rsidRPr="00C84B6E" w:rsidRDefault="00C84B6E" w:rsidP="00C84B6E">
      <w:pPr>
        <w:rPr>
          <w:rFonts w:eastAsia="Arial Unicode MS"/>
        </w:rPr>
      </w:pPr>
      <w:r w:rsidRPr="00C84B6E">
        <w:rPr>
          <w:rFonts w:eastAsia="Arial Unicode MS"/>
        </w:rPr>
        <w:t>Standards and amendments, issued but not yet effective, that have not been early adopted, and which are relevant to the Ministry are:</w:t>
      </w:r>
    </w:p>
    <w:p w14:paraId="6DF1DA08" w14:textId="77777777" w:rsidR="00C84B6E" w:rsidRPr="00C84B6E" w:rsidRDefault="00C84B6E" w:rsidP="004C2BFC">
      <w:pPr>
        <w:pStyle w:val="Heading6"/>
      </w:pPr>
      <w:r w:rsidRPr="00C84B6E">
        <w:t>PBE IPSAS 41 Financial Instruments</w:t>
      </w:r>
    </w:p>
    <w:p w14:paraId="72465BD1" w14:textId="77777777" w:rsidR="00C84B6E" w:rsidRPr="00C84B6E" w:rsidRDefault="00C84B6E" w:rsidP="00C84B6E">
      <w:pPr>
        <w:rPr>
          <w:rFonts w:eastAsia="Arial Unicode MS"/>
        </w:rPr>
      </w:pPr>
      <w:r w:rsidRPr="00C84B6E">
        <w:rPr>
          <w:rFonts w:eastAsia="Arial Unicode MS"/>
        </w:rPr>
        <w:t xml:space="preserve">PBE IPSAS 41 replaces PBE IFRS 9 Financial Instruments and is effective for the year ending 30 June 2023, with earlier adoption permitted. The Ministry has assessed that there will be little change as a result of adopting the new standard as the requirements </w:t>
      </w:r>
      <w:r w:rsidRPr="00C84B6E">
        <w:rPr>
          <w:rFonts w:eastAsia="Arial Unicode MS"/>
        </w:rPr>
        <w:lastRenderedPageBreak/>
        <w:t>are similar to those contained in PBE IFRS 9. The Ministry has decided not to early adopt the standard.</w:t>
      </w:r>
    </w:p>
    <w:p w14:paraId="198B315D" w14:textId="6B0AB5A8" w:rsidR="00C84B6E" w:rsidRPr="00C84B6E" w:rsidRDefault="00C84B6E" w:rsidP="00C84B6E">
      <w:pPr>
        <w:pStyle w:val="Heading5"/>
      </w:pPr>
      <w:r w:rsidRPr="00C84B6E">
        <w:t>Summary of significant accounting policies</w:t>
      </w:r>
    </w:p>
    <w:p w14:paraId="0BF185C5" w14:textId="77777777" w:rsidR="00C84B6E" w:rsidRPr="00C84B6E" w:rsidRDefault="00C84B6E" w:rsidP="00C84B6E">
      <w:pPr>
        <w:rPr>
          <w:rFonts w:eastAsia="Arial Unicode MS"/>
        </w:rPr>
      </w:pPr>
      <w:r w:rsidRPr="00C84B6E">
        <w:rPr>
          <w:rFonts w:eastAsia="Arial Unicode MS"/>
        </w:rPr>
        <w:t>Significant accounting policies are included in the notes to which they relate. Significant accounting policies that do not relate to a specific note are outlined below.</w:t>
      </w:r>
    </w:p>
    <w:p w14:paraId="4BA586E5" w14:textId="77777777" w:rsidR="00C84B6E" w:rsidRPr="00C84B6E" w:rsidRDefault="00C84B6E" w:rsidP="00C84B6E">
      <w:pPr>
        <w:pStyle w:val="Heading5"/>
      </w:pPr>
      <w:r w:rsidRPr="00C84B6E">
        <w:t>Revenue and receipts</w:t>
      </w:r>
    </w:p>
    <w:p w14:paraId="2834DF1A" w14:textId="77777777" w:rsidR="00C84B6E" w:rsidRPr="00C84B6E" w:rsidRDefault="00C84B6E" w:rsidP="00C84B6E">
      <w:pPr>
        <w:rPr>
          <w:rFonts w:eastAsia="Arial Unicode MS"/>
        </w:rPr>
      </w:pPr>
      <w:r w:rsidRPr="00C84B6E">
        <w:rPr>
          <w:rFonts w:eastAsia="Arial Unicode MS"/>
        </w:rPr>
        <w:t>Revenue from ACC recoveries and capital charges from DHBs and New Zealand Blood Service are recognised when earned and is reported in the financial period to which it relates.</w:t>
      </w:r>
    </w:p>
    <w:p w14:paraId="0F5FAF1B" w14:textId="77777777" w:rsidR="00C84B6E" w:rsidRPr="00C84B6E" w:rsidRDefault="00C84B6E" w:rsidP="00C84B6E">
      <w:pPr>
        <w:pStyle w:val="Heading5"/>
      </w:pPr>
      <w:r w:rsidRPr="00C84B6E">
        <w:t>Cash and cash equivalents</w:t>
      </w:r>
    </w:p>
    <w:p w14:paraId="64CD5D4C" w14:textId="77777777" w:rsidR="00C84B6E" w:rsidRPr="00C84B6E" w:rsidRDefault="00C84B6E" w:rsidP="00C84B6E">
      <w:pPr>
        <w:rPr>
          <w:rFonts w:eastAsia="Arial Unicode MS"/>
        </w:rPr>
      </w:pPr>
      <w:r w:rsidRPr="00C84B6E">
        <w:rPr>
          <w:rFonts w:eastAsia="Arial Unicode MS"/>
        </w:rPr>
        <w:t>Cash and cash equivalents are subject to the expected loss requirements of PBE IFRS 9. However, no loss allowance has been recognised because the estimated loss allowance for credit losses is considered to be nil or trivial.</w:t>
      </w:r>
    </w:p>
    <w:p w14:paraId="3581192E" w14:textId="77777777" w:rsidR="00C84B6E" w:rsidRPr="00C84B6E" w:rsidRDefault="00C84B6E" w:rsidP="00C84B6E">
      <w:pPr>
        <w:pStyle w:val="Heading5"/>
      </w:pPr>
      <w:r w:rsidRPr="00C84B6E">
        <w:t>Debtors and receivables</w:t>
      </w:r>
    </w:p>
    <w:p w14:paraId="34AFDB1E" w14:textId="77777777" w:rsidR="00C84B6E" w:rsidRPr="00C84B6E" w:rsidRDefault="00C84B6E" w:rsidP="00C84B6E">
      <w:pPr>
        <w:rPr>
          <w:rFonts w:eastAsia="Arial Unicode MS"/>
        </w:rPr>
      </w:pPr>
      <w:r w:rsidRPr="00C84B6E">
        <w:rPr>
          <w:rFonts w:eastAsia="Arial Unicode MS"/>
        </w:rPr>
        <w:t>Receivables from ACC recoveries are measured at amortised cost and recorded at the value of the contract and agreed with ACC, less an allowance for credit losses as per the requirements of PBE IFRS 9. The estimated loss allowance is considered to be nil.</w:t>
      </w:r>
    </w:p>
    <w:p w14:paraId="5975ECD5" w14:textId="77777777" w:rsidR="00C84B6E" w:rsidRPr="00C84B6E" w:rsidRDefault="00C84B6E" w:rsidP="00C84B6E">
      <w:pPr>
        <w:rPr>
          <w:rFonts w:eastAsia="Arial Unicode MS"/>
        </w:rPr>
      </w:pPr>
      <w:r w:rsidRPr="00C84B6E">
        <w:rPr>
          <w:rFonts w:eastAsia="Arial Unicode MS"/>
        </w:rPr>
        <w:t>Receivables from capital charges are recorded at estimated realisable value.</w:t>
      </w:r>
    </w:p>
    <w:p w14:paraId="1C0B868A" w14:textId="77777777" w:rsidR="00C84B6E" w:rsidRPr="00C84B6E" w:rsidRDefault="00C84B6E" w:rsidP="00C84B6E">
      <w:pPr>
        <w:pStyle w:val="Heading5"/>
      </w:pPr>
      <w:r w:rsidRPr="00C84B6E">
        <w:t>Residential care loans</w:t>
      </w:r>
    </w:p>
    <w:p w14:paraId="013529D6" w14:textId="77777777" w:rsidR="00C84B6E" w:rsidRPr="00C84B6E" w:rsidRDefault="00C84B6E" w:rsidP="00C84B6E">
      <w:pPr>
        <w:rPr>
          <w:rFonts w:eastAsia="Arial Unicode MS"/>
        </w:rPr>
      </w:pPr>
      <w:r w:rsidRPr="00C84B6E">
        <w:rPr>
          <w:rFonts w:eastAsia="Arial Unicode MS"/>
        </w:rPr>
        <w:t>An actuarial valuation of residential care loans was carried out in June 2022.</w:t>
      </w:r>
    </w:p>
    <w:p w14:paraId="6F92B814" w14:textId="77777777" w:rsidR="00C84B6E" w:rsidRPr="00C84B6E" w:rsidRDefault="00C84B6E" w:rsidP="00C84B6E">
      <w:pPr>
        <w:pStyle w:val="Heading5"/>
      </w:pPr>
      <w:r w:rsidRPr="00C84B6E">
        <w:t>Inventory</w:t>
      </w:r>
    </w:p>
    <w:p w14:paraId="6AACC017" w14:textId="77777777" w:rsidR="00C84B6E" w:rsidRPr="00C84B6E" w:rsidRDefault="00C84B6E" w:rsidP="00C84B6E">
      <w:pPr>
        <w:rPr>
          <w:rFonts w:eastAsia="Arial Unicode MS"/>
        </w:rPr>
      </w:pPr>
      <w:r w:rsidRPr="00C84B6E">
        <w:rPr>
          <w:rFonts w:eastAsia="Arial Unicode MS"/>
        </w:rPr>
        <w:t>Inventories held for consumption in the provision for services are recorded at the lower of cost or net realisable value in accordance with PBE IPSAS 12. Any write-down from cost to net realisable value is recognised in the Statement of Non-Departmental Expenses and Capital Expenditure against appropriations.</w:t>
      </w:r>
    </w:p>
    <w:p w14:paraId="00521C3C" w14:textId="77777777" w:rsidR="00C84B6E" w:rsidRPr="00C84B6E" w:rsidRDefault="00C84B6E" w:rsidP="00C84B6E">
      <w:pPr>
        <w:pStyle w:val="Heading5"/>
      </w:pPr>
      <w:r w:rsidRPr="00C84B6E">
        <w:t>Payables</w:t>
      </w:r>
    </w:p>
    <w:p w14:paraId="6911D028" w14:textId="77777777" w:rsidR="00C84B6E" w:rsidRPr="00C84B6E" w:rsidRDefault="00C84B6E" w:rsidP="00C84B6E">
      <w:pPr>
        <w:rPr>
          <w:rFonts w:eastAsia="Arial Unicode MS"/>
        </w:rPr>
      </w:pPr>
      <w:r w:rsidRPr="00C84B6E">
        <w:rPr>
          <w:rFonts w:eastAsia="Arial Unicode MS"/>
        </w:rPr>
        <w:t>Payables are measured at amortised cost and are recorded at the estimated obligation to pay per the requirements of PBE IFRS 9. Short-term payables are due within 12 months and are recognised at their nominal value unless the effect of discounting is material. Payables due beyond 12 months are subsequently measured at amortised cost using the effective interest method where applicable.</w:t>
      </w:r>
    </w:p>
    <w:p w14:paraId="6B6B8EBC" w14:textId="77777777" w:rsidR="00C84B6E" w:rsidRPr="00C84B6E" w:rsidRDefault="00C84B6E" w:rsidP="00C84B6E">
      <w:pPr>
        <w:pStyle w:val="Heading5"/>
      </w:pPr>
      <w:r w:rsidRPr="00C84B6E">
        <w:t>Accrued expenses</w:t>
      </w:r>
    </w:p>
    <w:p w14:paraId="184FA25C" w14:textId="77777777" w:rsidR="00C84B6E" w:rsidRPr="00C84B6E" w:rsidRDefault="00C84B6E" w:rsidP="00C84B6E">
      <w:pPr>
        <w:rPr>
          <w:rFonts w:eastAsia="Arial Unicode MS"/>
        </w:rPr>
      </w:pPr>
      <w:r w:rsidRPr="00C84B6E">
        <w:rPr>
          <w:rFonts w:eastAsia="Arial Unicode MS"/>
        </w:rPr>
        <w:t>Accrued expenses are recorded at either the value of funding entitlements owing under Crown funding agreements or the estimated value of contracts already started but not yet completed.</w:t>
      </w:r>
    </w:p>
    <w:p w14:paraId="20931006" w14:textId="1355EC6B" w:rsidR="00C84B6E" w:rsidRPr="00C84B6E" w:rsidRDefault="00C84B6E" w:rsidP="00C84B6E">
      <w:pPr>
        <w:pStyle w:val="Heading5"/>
      </w:pPr>
      <w:r w:rsidRPr="00C84B6E">
        <w:t>Goods and services tax (GST)</w:t>
      </w:r>
    </w:p>
    <w:p w14:paraId="44DA74E5" w14:textId="54976E45" w:rsidR="00C84B6E" w:rsidRDefault="00C84B6E" w:rsidP="00C84B6E">
      <w:pPr>
        <w:rPr>
          <w:rFonts w:eastAsia="Arial Unicode MS"/>
        </w:rPr>
      </w:pPr>
      <w:r w:rsidRPr="00C84B6E">
        <w:rPr>
          <w:rFonts w:eastAsia="Arial Unicode MS"/>
        </w:rPr>
        <w:t>All items in the financial statements, including appropriation statements, are stated exclusive of GST, except for receivables and payables, which are stated on a GST-</w:t>
      </w:r>
      <w:r w:rsidRPr="00C84B6E">
        <w:rPr>
          <w:rFonts w:eastAsia="Arial Unicode MS"/>
        </w:rPr>
        <w:lastRenderedPageBreak/>
        <w:t>inclusive basis. In accordance with Treasury instructions, GST is returned on revenue received on behalf of the Crown where applicable.</w:t>
      </w:r>
    </w:p>
    <w:p w14:paraId="506E2302" w14:textId="77777777" w:rsidR="00C84B6E" w:rsidRPr="00C84B6E" w:rsidRDefault="00C84B6E" w:rsidP="00C84B6E">
      <w:pPr>
        <w:rPr>
          <w:rFonts w:eastAsia="Arial Unicode MS"/>
        </w:rPr>
      </w:pPr>
    </w:p>
    <w:p w14:paraId="0BC3504F" w14:textId="77777777" w:rsidR="00C84B6E" w:rsidRPr="00C84B6E" w:rsidRDefault="00C84B6E" w:rsidP="00C84B6E">
      <w:pPr>
        <w:rPr>
          <w:rFonts w:eastAsia="Arial Unicode MS"/>
        </w:rPr>
      </w:pPr>
      <w:r w:rsidRPr="00C84B6E">
        <w:rPr>
          <w:rFonts w:eastAsia="Arial Unicode MS"/>
        </w:rPr>
        <w:t>Input tax deductions are not claimed on non-departmental expenditure. Instead, the amount of GST applicable to non-departmental expenditure is recognised as a separate expense and eliminated against GST revenue on consolidation of the financial statements of the Government.</w:t>
      </w:r>
    </w:p>
    <w:p w14:paraId="5EEC9561" w14:textId="77777777" w:rsidR="00C84B6E" w:rsidRPr="00C84B6E" w:rsidRDefault="00C84B6E" w:rsidP="00C84B6E">
      <w:pPr>
        <w:pStyle w:val="Heading5"/>
      </w:pPr>
      <w:r w:rsidRPr="00C84B6E">
        <w:t>Commitments</w:t>
      </w:r>
    </w:p>
    <w:p w14:paraId="352B8A4C" w14:textId="77777777" w:rsidR="00C84B6E" w:rsidRPr="00C84B6E" w:rsidRDefault="00C84B6E" w:rsidP="00C84B6E">
      <w:pPr>
        <w:rPr>
          <w:rFonts w:eastAsia="Arial Unicode MS"/>
        </w:rPr>
      </w:pPr>
      <w:r w:rsidRPr="00C84B6E">
        <w:rPr>
          <w:rFonts w:eastAsia="Arial Unicode MS"/>
        </w:rPr>
        <w:t>Future expenses and liabilities to be incurred on contracts that have been entered into as at the balance date are disclosed as commitments to the extent that there are equally unperformed obligations.</w:t>
      </w:r>
    </w:p>
    <w:p w14:paraId="62655A34" w14:textId="77777777" w:rsidR="00C84B6E" w:rsidRPr="00C84B6E" w:rsidRDefault="00C84B6E" w:rsidP="00C84B6E">
      <w:pPr>
        <w:pStyle w:val="Heading5"/>
      </w:pPr>
      <w:r w:rsidRPr="00C84B6E">
        <w:t>Budget figures</w:t>
      </w:r>
    </w:p>
    <w:p w14:paraId="65425980" w14:textId="77777777" w:rsidR="00C84B6E" w:rsidRPr="00C84B6E" w:rsidRDefault="00C84B6E" w:rsidP="00C84B6E">
      <w:pPr>
        <w:rPr>
          <w:rFonts w:eastAsia="Arial Unicode MS"/>
        </w:rPr>
      </w:pPr>
      <w:r w:rsidRPr="00C84B6E">
        <w:rPr>
          <w:rFonts w:eastAsia="Arial Unicode MS"/>
        </w:rPr>
        <w:t>The budget figures are consistent with the financial information in the 2021/22 Mains Estimates for Vote Health. In addition, these financial statements also present the updated budget information reflecting changes made during the year and reported in the 2021/22 Vote Health Supplementary Estimates (Revised budget).</w:t>
      </w:r>
    </w:p>
    <w:p w14:paraId="3D7070D2" w14:textId="77777777" w:rsidR="00C84B6E" w:rsidRPr="00C84B6E" w:rsidRDefault="00C84B6E" w:rsidP="00C84B6E">
      <w:pPr>
        <w:pStyle w:val="Heading5"/>
      </w:pPr>
      <w:r w:rsidRPr="00C84B6E">
        <w:t>Cost accounting policies</w:t>
      </w:r>
    </w:p>
    <w:p w14:paraId="1DA502A8" w14:textId="2C41EAAE" w:rsidR="00C84B6E" w:rsidRDefault="00C84B6E" w:rsidP="00C84B6E">
      <w:pPr>
        <w:rPr>
          <w:rFonts w:eastAsia="Arial Unicode MS"/>
        </w:rPr>
      </w:pPr>
      <w:r w:rsidRPr="00C84B6E">
        <w:rPr>
          <w:rFonts w:eastAsia="Arial Unicode MS"/>
        </w:rPr>
        <w:t>The Ministry has determined the cost of outputs using the cost allocation system outlined below.</w:t>
      </w:r>
    </w:p>
    <w:p w14:paraId="77D4DEB6" w14:textId="77777777" w:rsidR="00C84B6E" w:rsidRPr="00C84B6E" w:rsidRDefault="00C84B6E" w:rsidP="00C84B6E">
      <w:pPr>
        <w:rPr>
          <w:rFonts w:eastAsia="Arial Unicode MS"/>
        </w:rPr>
      </w:pPr>
    </w:p>
    <w:p w14:paraId="5E639CC1" w14:textId="3C70F397" w:rsidR="00C84B6E" w:rsidRDefault="00C84B6E" w:rsidP="00C84B6E">
      <w:pPr>
        <w:rPr>
          <w:rFonts w:eastAsia="Arial Unicode MS"/>
        </w:rPr>
      </w:pPr>
      <w:r w:rsidRPr="00C84B6E">
        <w:rPr>
          <w:rFonts w:eastAsia="Arial Unicode MS"/>
        </w:rPr>
        <w:t>Direct costs are those costs directly attributed to an output. Indirect costs are those costs that cannot be attributed to a specific output in an economically feasible manner.</w:t>
      </w:r>
    </w:p>
    <w:p w14:paraId="543DAAEA" w14:textId="77777777" w:rsidR="00C84B6E" w:rsidRPr="00C84B6E" w:rsidRDefault="00C84B6E" w:rsidP="00C84B6E">
      <w:pPr>
        <w:rPr>
          <w:rFonts w:eastAsia="Arial Unicode MS"/>
        </w:rPr>
      </w:pPr>
    </w:p>
    <w:p w14:paraId="2E817B05" w14:textId="77777777" w:rsidR="00C84B6E" w:rsidRPr="00C84B6E" w:rsidRDefault="00C84B6E" w:rsidP="00C84B6E">
      <w:pPr>
        <w:rPr>
          <w:rFonts w:eastAsia="Arial Unicode MS"/>
        </w:rPr>
      </w:pPr>
      <w:r w:rsidRPr="00C84B6E">
        <w:rPr>
          <w:rFonts w:eastAsia="Arial Unicode MS"/>
        </w:rPr>
        <w:t>Direct costs are charged directly to outputs. Indirect costs are charged to outputs based on cost drivers and related activity or usage information. Depreciation and capital charge are on the basis of asset utilisation. Personnel costs are charged on the basis of actual time incurred. Property and other premises costs, such as maintenance, are charged on the basis of floor area occupied for the production of each output. Other indirect costs are assigned to outputs based on the proportion of direct staff costs for each output.</w:t>
      </w:r>
    </w:p>
    <w:p w14:paraId="38593FAA" w14:textId="77777777" w:rsidR="00C84B6E" w:rsidRPr="00C84B6E" w:rsidRDefault="00C84B6E" w:rsidP="00C84B6E">
      <w:pPr>
        <w:pStyle w:val="Heading5"/>
      </w:pPr>
      <w:r w:rsidRPr="00C84B6E">
        <w:t>Changes in accounting policies</w:t>
      </w:r>
    </w:p>
    <w:p w14:paraId="52EC3639" w14:textId="77777777" w:rsidR="00C84B6E" w:rsidRPr="00C84B6E" w:rsidRDefault="00C84B6E" w:rsidP="00C84B6E">
      <w:pPr>
        <w:rPr>
          <w:rFonts w:eastAsia="Arial Unicode MS"/>
        </w:rPr>
      </w:pPr>
      <w:r w:rsidRPr="00C84B6E">
        <w:rPr>
          <w:rFonts w:eastAsia="Arial Unicode MS"/>
        </w:rPr>
        <w:t>There have been no changes in accounting policies.</w:t>
      </w:r>
    </w:p>
    <w:p w14:paraId="4AE8FDE6" w14:textId="77777777" w:rsidR="00C84B6E" w:rsidRPr="00C84B6E" w:rsidRDefault="00C84B6E" w:rsidP="00C84B6E">
      <w:pPr>
        <w:pStyle w:val="Heading5"/>
      </w:pPr>
      <w:r w:rsidRPr="00C84B6E">
        <w:t>Events after the balance date</w:t>
      </w:r>
    </w:p>
    <w:p w14:paraId="67614E8C" w14:textId="77777777" w:rsidR="00C84B6E" w:rsidRPr="00C84B6E" w:rsidRDefault="00C84B6E" w:rsidP="00C84B6E">
      <w:pPr>
        <w:rPr>
          <w:rFonts w:eastAsia="Arial Unicode MS"/>
        </w:rPr>
      </w:pPr>
      <w:r w:rsidRPr="00C84B6E">
        <w:rPr>
          <w:rFonts w:eastAsia="Arial Unicode MS"/>
        </w:rPr>
        <w:t>Significant events after balance date are disclosed in note 16 of the Ministry’s Departmental financial statements.</w:t>
      </w:r>
    </w:p>
    <w:p w14:paraId="1B0F4394" w14:textId="77777777" w:rsidR="00C84B6E" w:rsidRPr="00C84B6E" w:rsidRDefault="00C84B6E" w:rsidP="00C84B6E">
      <w:pPr>
        <w:pStyle w:val="Heading5"/>
      </w:pPr>
      <w:r w:rsidRPr="00C84B6E">
        <w:t>Appropriation statements</w:t>
      </w:r>
    </w:p>
    <w:p w14:paraId="1C824CDF" w14:textId="77777777" w:rsidR="00C84B6E" w:rsidRDefault="00C84B6E" w:rsidP="00C84B6E">
      <w:pPr>
        <w:rPr>
          <w:rFonts w:eastAsia="Arial Unicode MS"/>
        </w:rPr>
        <w:sectPr w:rsidR="00C84B6E" w:rsidSect="00C26282">
          <w:pgSz w:w="11907" w:h="16840" w:code="9"/>
          <w:pgMar w:top="1418" w:right="1701" w:bottom="1134" w:left="1843" w:header="284" w:footer="425" w:gutter="284"/>
          <w:cols w:space="720"/>
        </w:sectPr>
      </w:pPr>
      <w:r w:rsidRPr="00C84B6E">
        <w:rPr>
          <w:rFonts w:eastAsia="Arial Unicode MS"/>
        </w:rPr>
        <w:t>The following statements report information about the expenses and capital expenditure incurred against each appropriation administered by the Ministry for the year ended 30 June 2022. They are prepared on a GST exclusive basis.</w:t>
      </w:r>
    </w:p>
    <w:p w14:paraId="476A15F3" w14:textId="77777777" w:rsidR="00C84B6E" w:rsidRDefault="00C84B6E" w:rsidP="005E1B2F">
      <w:pPr>
        <w:pStyle w:val="Heading4"/>
        <w:spacing w:before="0"/>
      </w:pPr>
      <w:r w:rsidRPr="00C84B6E">
        <w:lastRenderedPageBreak/>
        <w:t>Statement of budgeted and actual expenses and capital expenditure incurred against appropriations for the year ended 30 June 2022</w:t>
      </w:r>
    </w:p>
    <w:tbl>
      <w:tblPr>
        <w:tblW w:w="9349" w:type="dxa"/>
        <w:tblInd w:w="7" w:type="dxa"/>
        <w:tblLayout w:type="fixed"/>
        <w:tblCellMar>
          <w:left w:w="0" w:type="dxa"/>
          <w:right w:w="0" w:type="dxa"/>
        </w:tblCellMar>
        <w:tblLook w:val="01E0" w:firstRow="1" w:lastRow="1" w:firstColumn="1" w:lastColumn="1" w:noHBand="0" w:noVBand="0"/>
      </w:tblPr>
      <w:tblGrid>
        <w:gridCol w:w="1264"/>
        <w:gridCol w:w="2977"/>
        <w:gridCol w:w="430"/>
        <w:gridCol w:w="1151"/>
        <w:gridCol w:w="1115"/>
        <w:gridCol w:w="1136"/>
        <w:gridCol w:w="1276"/>
      </w:tblGrid>
      <w:tr w:rsidR="0004602B" w14:paraId="2EA7BB1A" w14:textId="77777777" w:rsidTr="00E66E92">
        <w:trPr>
          <w:trHeight w:val="326"/>
          <w:tblHeader/>
        </w:trPr>
        <w:tc>
          <w:tcPr>
            <w:tcW w:w="1264" w:type="dxa"/>
            <w:shd w:val="clear" w:color="auto" w:fill="D9D9D9" w:themeFill="background1" w:themeFillShade="D9"/>
          </w:tcPr>
          <w:p w14:paraId="4C6E1306" w14:textId="4B35FAA3" w:rsidR="0004602B" w:rsidRPr="0004602B" w:rsidRDefault="0004602B" w:rsidP="00966312">
            <w:pPr>
              <w:pStyle w:val="TableText"/>
              <w:jc w:val="right"/>
              <w:rPr>
                <w:b/>
                <w:bCs/>
              </w:rPr>
            </w:pPr>
            <w:r w:rsidRPr="0004602B">
              <w:rPr>
                <w:b/>
                <w:bCs/>
              </w:rPr>
              <w:t>Actual expenditure</w:t>
            </w:r>
            <w:r w:rsidRPr="0004602B">
              <w:rPr>
                <w:b/>
                <w:bCs/>
              </w:rPr>
              <w:br/>
              <w:t>2021</w:t>
            </w:r>
          </w:p>
          <w:p w14:paraId="23EFE7CB" w14:textId="35DCA96B" w:rsidR="0004602B" w:rsidRPr="0004602B" w:rsidRDefault="0004602B" w:rsidP="00966312">
            <w:pPr>
              <w:pStyle w:val="TableText"/>
              <w:jc w:val="right"/>
              <w:rPr>
                <w:b/>
                <w:bCs/>
              </w:rPr>
            </w:pPr>
            <w:r w:rsidRPr="0004602B">
              <w:rPr>
                <w:b/>
                <w:bCs/>
              </w:rPr>
              <w:t>$000</w:t>
            </w:r>
          </w:p>
        </w:tc>
        <w:tc>
          <w:tcPr>
            <w:tcW w:w="2977" w:type="dxa"/>
            <w:shd w:val="clear" w:color="auto" w:fill="D9D9D9" w:themeFill="background1" w:themeFillShade="D9"/>
          </w:tcPr>
          <w:p w14:paraId="459C2798" w14:textId="77E941FB" w:rsidR="0004602B" w:rsidRPr="0004602B" w:rsidRDefault="0004602B" w:rsidP="00966312">
            <w:pPr>
              <w:pStyle w:val="TableText"/>
              <w:rPr>
                <w:b/>
                <w:bCs/>
                <w:w w:val="105"/>
              </w:rPr>
            </w:pPr>
            <w:r w:rsidRPr="0004602B">
              <w:rPr>
                <w:b/>
                <w:bCs/>
              </w:rPr>
              <w:t>Appropriation title</w:t>
            </w:r>
          </w:p>
        </w:tc>
        <w:tc>
          <w:tcPr>
            <w:tcW w:w="430" w:type="dxa"/>
            <w:shd w:val="clear" w:color="auto" w:fill="D9D9D9" w:themeFill="background1" w:themeFillShade="D9"/>
          </w:tcPr>
          <w:p w14:paraId="48902AAA" w14:textId="60BB1C49" w:rsidR="0004602B" w:rsidRPr="0004602B" w:rsidRDefault="0004602B" w:rsidP="00E66E92">
            <w:pPr>
              <w:pStyle w:val="TableText"/>
              <w:ind w:left="0" w:right="0"/>
              <w:jc w:val="right"/>
              <w:rPr>
                <w:b/>
                <w:bCs/>
              </w:rPr>
            </w:pPr>
            <w:r w:rsidRPr="0004602B">
              <w:rPr>
                <w:b/>
                <w:bCs/>
              </w:rPr>
              <w:t>Note</w:t>
            </w:r>
          </w:p>
        </w:tc>
        <w:tc>
          <w:tcPr>
            <w:tcW w:w="1151" w:type="dxa"/>
            <w:shd w:val="clear" w:color="auto" w:fill="D9D9D9" w:themeFill="background1" w:themeFillShade="D9"/>
          </w:tcPr>
          <w:p w14:paraId="30510A37" w14:textId="77777777" w:rsidR="0004602B" w:rsidRPr="0004602B" w:rsidRDefault="0004602B" w:rsidP="000F0AE5">
            <w:pPr>
              <w:pStyle w:val="TableText"/>
              <w:jc w:val="right"/>
              <w:rPr>
                <w:b/>
                <w:bCs/>
              </w:rPr>
            </w:pPr>
            <w:r w:rsidRPr="0004602B">
              <w:rPr>
                <w:b/>
                <w:bCs/>
              </w:rPr>
              <w:t>Actual</w:t>
            </w:r>
            <w:r w:rsidRPr="0004602B">
              <w:rPr>
                <w:b/>
                <w:bCs/>
              </w:rPr>
              <w:br/>
              <w:t>expenditure</w:t>
            </w:r>
            <w:r w:rsidRPr="0004602B">
              <w:rPr>
                <w:b/>
                <w:bCs/>
              </w:rPr>
              <w:tab/>
              <w:t>2022</w:t>
            </w:r>
          </w:p>
          <w:p w14:paraId="12A7CBB0" w14:textId="3001ADD5" w:rsidR="0004602B" w:rsidRPr="0004602B" w:rsidRDefault="0004602B" w:rsidP="000F0AE5">
            <w:pPr>
              <w:pStyle w:val="TableText"/>
              <w:jc w:val="right"/>
              <w:rPr>
                <w:b/>
                <w:bCs/>
              </w:rPr>
            </w:pPr>
            <w:r w:rsidRPr="0004602B">
              <w:rPr>
                <w:b/>
                <w:bCs/>
              </w:rPr>
              <w:t>$000</w:t>
            </w:r>
          </w:p>
        </w:tc>
        <w:tc>
          <w:tcPr>
            <w:tcW w:w="1115" w:type="dxa"/>
            <w:shd w:val="clear" w:color="auto" w:fill="D9D9D9" w:themeFill="background1" w:themeFillShade="D9"/>
          </w:tcPr>
          <w:p w14:paraId="032BB67E" w14:textId="77777777" w:rsidR="0004602B" w:rsidRPr="0004602B" w:rsidRDefault="0004602B" w:rsidP="000F0AE5">
            <w:pPr>
              <w:pStyle w:val="TableText"/>
              <w:jc w:val="right"/>
              <w:rPr>
                <w:b/>
                <w:bCs/>
              </w:rPr>
            </w:pPr>
            <w:r w:rsidRPr="0004602B">
              <w:rPr>
                <w:b/>
                <w:bCs/>
              </w:rPr>
              <w:t>Unaudited budget</w:t>
            </w:r>
            <w:r w:rsidRPr="0004602B">
              <w:rPr>
                <w:b/>
                <w:bCs/>
              </w:rPr>
              <w:br/>
              <w:t>2022</w:t>
            </w:r>
          </w:p>
          <w:p w14:paraId="4A3DCDC4" w14:textId="3F04BF63" w:rsidR="0004602B" w:rsidRPr="0004602B" w:rsidRDefault="0004602B" w:rsidP="000F0AE5">
            <w:pPr>
              <w:pStyle w:val="TableText"/>
              <w:jc w:val="right"/>
              <w:rPr>
                <w:b/>
                <w:bCs/>
              </w:rPr>
            </w:pPr>
            <w:r w:rsidRPr="0004602B">
              <w:rPr>
                <w:b/>
                <w:bCs/>
              </w:rPr>
              <w:t>$000</w:t>
            </w:r>
          </w:p>
        </w:tc>
        <w:tc>
          <w:tcPr>
            <w:tcW w:w="1136" w:type="dxa"/>
            <w:shd w:val="clear" w:color="auto" w:fill="D9D9D9" w:themeFill="background1" w:themeFillShade="D9"/>
          </w:tcPr>
          <w:p w14:paraId="6F82AC28" w14:textId="21E680A3" w:rsidR="0004602B" w:rsidRPr="0004602B" w:rsidRDefault="0004602B" w:rsidP="000F0AE5">
            <w:pPr>
              <w:pStyle w:val="TableText"/>
              <w:jc w:val="right"/>
              <w:rPr>
                <w:b/>
                <w:bCs/>
              </w:rPr>
            </w:pPr>
            <w:r w:rsidRPr="0004602B">
              <w:rPr>
                <w:b/>
                <w:bCs/>
              </w:rPr>
              <w:t>Revised</w:t>
            </w:r>
            <w:r w:rsidRPr="0004602B">
              <w:rPr>
                <w:b/>
                <w:bCs/>
              </w:rPr>
              <w:br/>
              <w:t xml:space="preserve"> budget*</w:t>
            </w:r>
            <w:r w:rsidRPr="0004602B">
              <w:rPr>
                <w:b/>
                <w:bCs/>
              </w:rPr>
              <w:br/>
              <w:t>2022</w:t>
            </w:r>
          </w:p>
          <w:p w14:paraId="400BC633" w14:textId="03136C5A" w:rsidR="0004602B" w:rsidRPr="0004602B" w:rsidRDefault="0004602B" w:rsidP="000F0AE5">
            <w:pPr>
              <w:pStyle w:val="TableText"/>
              <w:jc w:val="right"/>
              <w:rPr>
                <w:b/>
                <w:bCs/>
              </w:rPr>
            </w:pPr>
            <w:r w:rsidRPr="0004602B">
              <w:rPr>
                <w:b/>
                <w:bCs/>
              </w:rPr>
              <w:t>$000</w:t>
            </w:r>
          </w:p>
        </w:tc>
        <w:tc>
          <w:tcPr>
            <w:tcW w:w="1276" w:type="dxa"/>
            <w:shd w:val="clear" w:color="auto" w:fill="D9D9D9" w:themeFill="background1" w:themeFillShade="D9"/>
          </w:tcPr>
          <w:p w14:paraId="1EBF5EE2" w14:textId="45ED79DC" w:rsidR="0004602B" w:rsidRPr="0004602B" w:rsidRDefault="0004602B" w:rsidP="000F0AE5">
            <w:pPr>
              <w:pStyle w:val="TableText"/>
              <w:jc w:val="right"/>
              <w:rPr>
                <w:b/>
                <w:bCs/>
              </w:rPr>
            </w:pPr>
            <w:r w:rsidRPr="0004602B">
              <w:rPr>
                <w:b/>
                <w:bCs/>
              </w:rPr>
              <w:t>Location of</w:t>
            </w:r>
            <w:r w:rsidRPr="0004602B">
              <w:rPr>
                <w:b/>
                <w:bCs/>
              </w:rPr>
              <w:br/>
              <w:t>end-of-ear</w:t>
            </w:r>
            <w:r w:rsidRPr="0004602B">
              <w:rPr>
                <w:b/>
                <w:bCs/>
              </w:rPr>
              <w:br/>
              <w:t>performance</w:t>
            </w:r>
            <w:r w:rsidRPr="0004602B">
              <w:rPr>
                <w:b/>
                <w:bCs/>
              </w:rPr>
              <w:br/>
              <w:t>information^</w:t>
            </w:r>
          </w:p>
        </w:tc>
      </w:tr>
      <w:tr w:rsidR="0004602B" w14:paraId="318EF712" w14:textId="77777777" w:rsidTr="00E66E92">
        <w:trPr>
          <w:trHeight w:val="326"/>
        </w:trPr>
        <w:tc>
          <w:tcPr>
            <w:tcW w:w="1264" w:type="dxa"/>
          </w:tcPr>
          <w:p w14:paraId="239F46E5" w14:textId="77777777" w:rsidR="0004602B" w:rsidRPr="00966312" w:rsidRDefault="0004602B" w:rsidP="00E66E92">
            <w:pPr>
              <w:pStyle w:val="TableText"/>
              <w:spacing w:before="54" w:after="54"/>
              <w:jc w:val="right"/>
            </w:pPr>
          </w:p>
        </w:tc>
        <w:tc>
          <w:tcPr>
            <w:tcW w:w="2977" w:type="dxa"/>
          </w:tcPr>
          <w:p w14:paraId="306F7477" w14:textId="4C3DF264" w:rsidR="0004602B" w:rsidRDefault="0004602B" w:rsidP="00E66E92">
            <w:pPr>
              <w:pStyle w:val="TableText"/>
              <w:spacing w:before="54" w:after="54"/>
            </w:pPr>
            <w:r>
              <w:rPr>
                <w:b/>
                <w:w w:val="105"/>
              </w:rPr>
              <w:t>Departmental</w:t>
            </w:r>
            <w:r>
              <w:rPr>
                <w:b/>
                <w:spacing w:val="4"/>
                <w:w w:val="105"/>
              </w:rPr>
              <w:t xml:space="preserve"> </w:t>
            </w:r>
            <w:r>
              <w:rPr>
                <w:b/>
                <w:w w:val="105"/>
              </w:rPr>
              <w:t>output</w:t>
            </w:r>
            <w:r>
              <w:rPr>
                <w:b/>
                <w:spacing w:val="4"/>
                <w:w w:val="105"/>
              </w:rPr>
              <w:t xml:space="preserve"> </w:t>
            </w:r>
            <w:r>
              <w:rPr>
                <w:b/>
                <w:w w:val="105"/>
              </w:rPr>
              <w:t>expenses</w:t>
            </w:r>
          </w:p>
        </w:tc>
        <w:tc>
          <w:tcPr>
            <w:tcW w:w="430" w:type="dxa"/>
          </w:tcPr>
          <w:p w14:paraId="6960A00D" w14:textId="77777777" w:rsidR="0004602B" w:rsidRPr="00966312" w:rsidRDefault="0004602B" w:rsidP="00E66E92">
            <w:pPr>
              <w:pStyle w:val="TableText"/>
              <w:spacing w:before="54" w:after="54"/>
              <w:ind w:left="0" w:right="0"/>
              <w:jc w:val="right"/>
            </w:pPr>
          </w:p>
        </w:tc>
        <w:tc>
          <w:tcPr>
            <w:tcW w:w="1151" w:type="dxa"/>
          </w:tcPr>
          <w:p w14:paraId="3ED3D8B1" w14:textId="5DC1A841" w:rsidR="0004602B" w:rsidRPr="00966312" w:rsidRDefault="0004602B" w:rsidP="00E66E92">
            <w:pPr>
              <w:pStyle w:val="TableText"/>
              <w:spacing w:before="54" w:after="54"/>
              <w:jc w:val="right"/>
            </w:pPr>
          </w:p>
        </w:tc>
        <w:tc>
          <w:tcPr>
            <w:tcW w:w="1115" w:type="dxa"/>
          </w:tcPr>
          <w:p w14:paraId="602CC183" w14:textId="77777777" w:rsidR="0004602B" w:rsidRPr="00966312" w:rsidRDefault="0004602B" w:rsidP="00E66E92">
            <w:pPr>
              <w:pStyle w:val="TableText"/>
              <w:spacing w:before="54" w:after="54"/>
              <w:jc w:val="right"/>
            </w:pPr>
          </w:p>
        </w:tc>
        <w:tc>
          <w:tcPr>
            <w:tcW w:w="1136" w:type="dxa"/>
          </w:tcPr>
          <w:p w14:paraId="300895CF" w14:textId="77777777" w:rsidR="0004602B" w:rsidRPr="00966312" w:rsidRDefault="0004602B" w:rsidP="00E66E92">
            <w:pPr>
              <w:pStyle w:val="TableText"/>
              <w:spacing w:before="54" w:after="54"/>
              <w:jc w:val="right"/>
            </w:pPr>
          </w:p>
        </w:tc>
        <w:tc>
          <w:tcPr>
            <w:tcW w:w="1276" w:type="dxa"/>
          </w:tcPr>
          <w:p w14:paraId="5467EA29" w14:textId="77777777" w:rsidR="0004602B" w:rsidRPr="00966312" w:rsidRDefault="0004602B" w:rsidP="00E66E92">
            <w:pPr>
              <w:pStyle w:val="TableText"/>
              <w:spacing w:before="54" w:after="54"/>
              <w:jc w:val="right"/>
            </w:pPr>
          </w:p>
        </w:tc>
      </w:tr>
      <w:tr w:rsidR="0004602B" w14:paraId="20118975" w14:textId="77777777" w:rsidTr="00E66E92">
        <w:trPr>
          <w:trHeight w:val="326"/>
        </w:trPr>
        <w:tc>
          <w:tcPr>
            <w:tcW w:w="1264" w:type="dxa"/>
          </w:tcPr>
          <w:p w14:paraId="6F7427AE" w14:textId="77777777" w:rsidR="0004602B" w:rsidRPr="00966312" w:rsidRDefault="0004602B" w:rsidP="00E66E92">
            <w:pPr>
              <w:pStyle w:val="TableText"/>
              <w:spacing w:before="54" w:after="54"/>
              <w:jc w:val="right"/>
            </w:pPr>
            <w:r w:rsidRPr="00966312">
              <w:t>71,199</w:t>
            </w:r>
          </w:p>
        </w:tc>
        <w:tc>
          <w:tcPr>
            <w:tcW w:w="2977" w:type="dxa"/>
          </w:tcPr>
          <w:p w14:paraId="56234275" w14:textId="77777777" w:rsidR="0004602B" w:rsidRDefault="0004602B" w:rsidP="00E66E92">
            <w:pPr>
              <w:pStyle w:val="TableText"/>
              <w:spacing w:before="54" w:after="54"/>
            </w:pPr>
            <w:r>
              <w:t>Managing</w:t>
            </w:r>
            <w:r>
              <w:rPr>
                <w:spacing w:val="14"/>
              </w:rPr>
              <w:t xml:space="preserve"> </w:t>
            </w:r>
            <w:r>
              <w:t>the</w:t>
            </w:r>
            <w:r>
              <w:rPr>
                <w:spacing w:val="15"/>
              </w:rPr>
              <w:t xml:space="preserve"> </w:t>
            </w:r>
            <w:r>
              <w:t>purchase</w:t>
            </w:r>
            <w:r>
              <w:rPr>
                <w:spacing w:val="14"/>
              </w:rPr>
              <w:t xml:space="preserve"> </w:t>
            </w:r>
            <w:r>
              <w:t>of</w:t>
            </w:r>
            <w:r>
              <w:rPr>
                <w:spacing w:val="15"/>
              </w:rPr>
              <w:t xml:space="preserve"> </w:t>
            </w:r>
            <w:r>
              <w:t>services</w:t>
            </w:r>
          </w:p>
        </w:tc>
        <w:tc>
          <w:tcPr>
            <w:tcW w:w="430" w:type="dxa"/>
          </w:tcPr>
          <w:p w14:paraId="1629B215" w14:textId="77777777" w:rsidR="0004602B" w:rsidRPr="00966312" w:rsidRDefault="0004602B" w:rsidP="00E66E92">
            <w:pPr>
              <w:pStyle w:val="TableText"/>
              <w:spacing w:before="54" w:after="54"/>
              <w:ind w:left="0" w:right="0"/>
              <w:jc w:val="right"/>
            </w:pPr>
          </w:p>
        </w:tc>
        <w:tc>
          <w:tcPr>
            <w:tcW w:w="1151" w:type="dxa"/>
          </w:tcPr>
          <w:p w14:paraId="21B97346" w14:textId="3AE8F5C7" w:rsidR="0004602B" w:rsidRPr="00966312" w:rsidRDefault="0004602B" w:rsidP="00E66E92">
            <w:pPr>
              <w:pStyle w:val="TableText"/>
              <w:spacing w:before="54" w:after="54"/>
              <w:jc w:val="right"/>
            </w:pPr>
            <w:r w:rsidRPr="00966312">
              <w:t>79,421</w:t>
            </w:r>
          </w:p>
        </w:tc>
        <w:tc>
          <w:tcPr>
            <w:tcW w:w="1115" w:type="dxa"/>
          </w:tcPr>
          <w:p w14:paraId="62880611" w14:textId="77777777" w:rsidR="0004602B" w:rsidRPr="00966312" w:rsidRDefault="0004602B" w:rsidP="00E66E92">
            <w:pPr>
              <w:pStyle w:val="TableText"/>
              <w:spacing w:before="54" w:after="54"/>
              <w:jc w:val="right"/>
            </w:pPr>
            <w:r w:rsidRPr="00966312">
              <w:t>75,669</w:t>
            </w:r>
          </w:p>
        </w:tc>
        <w:tc>
          <w:tcPr>
            <w:tcW w:w="1136" w:type="dxa"/>
          </w:tcPr>
          <w:p w14:paraId="175D9883" w14:textId="77777777" w:rsidR="0004602B" w:rsidRPr="00966312" w:rsidRDefault="0004602B" w:rsidP="00E66E92">
            <w:pPr>
              <w:pStyle w:val="TableText"/>
              <w:spacing w:before="54" w:after="54"/>
              <w:jc w:val="right"/>
            </w:pPr>
            <w:r w:rsidRPr="00966312">
              <w:t>85,257</w:t>
            </w:r>
          </w:p>
        </w:tc>
        <w:tc>
          <w:tcPr>
            <w:tcW w:w="1276" w:type="dxa"/>
          </w:tcPr>
          <w:p w14:paraId="7CB0A75D" w14:textId="77777777" w:rsidR="0004602B" w:rsidRPr="00966312" w:rsidRDefault="0004602B" w:rsidP="00E66E92">
            <w:pPr>
              <w:pStyle w:val="TableText"/>
              <w:spacing w:before="54" w:after="54"/>
              <w:jc w:val="right"/>
            </w:pPr>
            <w:r w:rsidRPr="00966312">
              <w:t>1</w:t>
            </w:r>
          </w:p>
        </w:tc>
      </w:tr>
      <w:tr w:rsidR="00E66E92" w14:paraId="4C79872E" w14:textId="77777777" w:rsidTr="00E66E92">
        <w:trPr>
          <w:trHeight w:val="340"/>
        </w:trPr>
        <w:tc>
          <w:tcPr>
            <w:tcW w:w="1264" w:type="dxa"/>
          </w:tcPr>
          <w:p w14:paraId="5BD30BEB" w14:textId="77777777" w:rsidR="00E66E92" w:rsidRPr="00966312" w:rsidRDefault="00E66E92" w:rsidP="00E66E92">
            <w:pPr>
              <w:pStyle w:val="TableText"/>
              <w:spacing w:before="54" w:after="54"/>
              <w:jc w:val="right"/>
            </w:pPr>
            <w:r w:rsidRPr="00966312">
              <w:t>27,994</w:t>
            </w:r>
          </w:p>
        </w:tc>
        <w:tc>
          <w:tcPr>
            <w:tcW w:w="3407" w:type="dxa"/>
            <w:gridSpan w:val="2"/>
          </w:tcPr>
          <w:p w14:paraId="45E4E35A" w14:textId="4CE6EC6B" w:rsidR="00E66E92" w:rsidRPr="00966312" w:rsidRDefault="00E66E92" w:rsidP="00E66E92">
            <w:pPr>
              <w:pStyle w:val="TableText"/>
              <w:spacing w:before="54" w:after="54"/>
            </w:pPr>
            <w:r>
              <w:t>Regulatory</w:t>
            </w:r>
            <w:r w:rsidRPr="00E66E92">
              <w:t xml:space="preserve"> </w:t>
            </w:r>
            <w:r>
              <w:t>and</w:t>
            </w:r>
            <w:r w:rsidRPr="00E66E92">
              <w:t xml:space="preserve"> </w:t>
            </w:r>
            <w:r>
              <w:t>enforcement services</w:t>
            </w:r>
          </w:p>
        </w:tc>
        <w:tc>
          <w:tcPr>
            <w:tcW w:w="1151" w:type="dxa"/>
          </w:tcPr>
          <w:p w14:paraId="3CA704FC" w14:textId="58A17A7D" w:rsidR="00E66E92" w:rsidRPr="00966312" w:rsidRDefault="00E66E92" w:rsidP="00E66E92">
            <w:pPr>
              <w:pStyle w:val="TableText"/>
              <w:spacing w:before="54" w:after="54"/>
              <w:jc w:val="right"/>
            </w:pPr>
            <w:r w:rsidRPr="00966312">
              <w:t>31,013</w:t>
            </w:r>
          </w:p>
        </w:tc>
        <w:tc>
          <w:tcPr>
            <w:tcW w:w="1115" w:type="dxa"/>
          </w:tcPr>
          <w:p w14:paraId="6E77161B" w14:textId="77777777" w:rsidR="00E66E92" w:rsidRPr="00966312" w:rsidRDefault="00E66E92" w:rsidP="00E66E92">
            <w:pPr>
              <w:pStyle w:val="TableText"/>
              <w:spacing w:before="54" w:after="54"/>
              <w:jc w:val="right"/>
            </w:pPr>
            <w:r w:rsidRPr="00966312">
              <w:t>31,978</w:t>
            </w:r>
          </w:p>
        </w:tc>
        <w:tc>
          <w:tcPr>
            <w:tcW w:w="1136" w:type="dxa"/>
          </w:tcPr>
          <w:p w14:paraId="6997EC7D" w14:textId="77777777" w:rsidR="00E66E92" w:rsidRPr="00966312" w:rsidRDefault="00E66E92" w:rsidP="00E66E92">
            <w:pPr>
              <w:pStyle w:val="TableText"/>
              <w:spacing w:before="54" w:after="54"/>
              <w:jc w:val="right"/>
            </w:pPr>
            <w:r w:rsidRPr="00966312">
              <w:t>32,913</w:t>
            </w:r>
          </w:p>
        </w:tc>
        <w:tc>
          <w:tcPr>
            <w:tcW w:w="1276" w:type="dxa"/>
          </w:tcPr>
          <w:p w14:paraId="045859CC" w14:textId="77777777" w:rsidR="00E66E92" w:rsidRPr="00966312" w:rsidRDefault="00E66E92" w:rsidP="00E66E92">
            <w:pPr>
              <w:pStyle w:val="TableText"/>
              <w:spacing w:before="54" w:after="54"/>
              <w:jc w:val="right"/>
            </w:pPr>
            <w:r w:rsidRPr="00966312">
              <w:t>1</w:t>
            </w:r>
          </w:p>
        </w:tc>
      </w:tr>
      <w:tr w:rsidR="0004602B" w14:paraId="70939504" w14:textId="77777777" w:rsidTr="00E66E92">
        <w:trPr>
          <w:trHeight w:val="340"/>
        </w:trPr>
        <w:tc>
          <w:tcPr>
            <w:tcW w:w="1264" w:type="dxa"/>
          </w:tcPr>
          <w:p w14:paraId="6D43BFA8" w14:textId="77777777" w:rsidR="0004602B" w:rsidRPr="00966312" w:rsidRDefault="0004602B" w:rsidP="00E66E92">
            <w:pPr>
              <w:pStyle w:val="TableText"/>
              <w:spacing w:before="54" w:after="54"/>
              <w:jc w:val="right"/>
            </w:pPr>
            <w:r w:rsidRPr="00966312">
              <w:t>73,674</w:t>
            </w:r>
          </w:p>
        </w:tc>
        <w:tc>
          <w:tcPr>
            <w:tcW w:w="2977" w:type="dxa"/>
          </w:tcPr>
          <w:p w14:paraId="5B1C88F7" w14:textId="77777777" w:rsidR="0004602B" w:rsidRDefault="0004602B" w:rsidP="00E66E92">
            <w:pPr>
              <w:pStyle w:val="TableText"/>
              <w:spacing w:before="54" w:after="54"/>
            </w:pPr>
            <w:r>
              <w:t>Sector</w:t>
            </w:r>
            <w:r w:rsidRPr="00E66E92">
              <w:t xml:space="preserve"> </w:t>
            </w:r>
            <w:r>
              <w:t>planning</w:t>
            </w:r>
            <w:r w:rsidRPr="00E66E92">
              <w:t xml:space="preserve"> </w:t>
            </w:r>
            <w:r>
              <w:t>and</w:t>
            </w:r>
            <w:r w:rsidRPr="00E66E92">
              <w:t xml:space="preserve"> </w:t>
            </w:r>
            <w:r>
              <w:t>performance</w:t>
            </w:r>
          </w:p>
        </w:tc>
        <w:tc>
          <w:tcPr>
            <w:tcW w:w="430" w:type="dxa"/>
          </w:tcPr>
          <w:p w14:paraId="17BADBD0" w14:textId="77777777" w:rsidR="0004602B" w:rsidRPr="00966312" w:rsidRDefault="0004602B" w:rsidP="00E66E92">
            <w:pPr>
              <w:pStyle w:val="TableText"/>
              <w:spacing w:before="54" w:after="54"/>
              <w:ind w:left="0" w:right="0"/>
              <w:jc w:val="right"/>
            </w:pPr>
          </w:p>
        </w:tc>
        <w:tc>
          <w:tcPr>
            <w:tcW w:w="1151" w:type="dxa"/>
          </w:tcPr>
          <w:p w14:paraId="70BF4C29" w14:textId="78F2DAA5" w:rsidR="0004602B" w:rsidRPr="00966312" w:rsidRDefault="0004602B" w:rsidP="00E66E92">
            <w:pPr>
              <w:pStyle w:val="TableText"/>
              <w:spacing w:before="54" w:after="54"/>
              <w:jc w:val="right"/>
            </w:pPr>
            <w:r w:rsidRPr="00966312">
              <w:t>84,698</w:t>
            </w:r>
          </w:p>
        </w:tc>
        <w:tc>
          <w:tcPr>
            <w:tcW w:w="1115" w:type="dxa"/>
          </w:tcPr>
          <w:p w14:paraId="75D9B854" w14:textId="77777777" w:rsidR="0004602B" w:rsidRPr="00966312" w:rsidRDefault="0004602B" w:rsidP="00E66E92">
            <w:pPr>
              <w:pStyle w:val="TableText"/>
              <w:spacing w:before="54" w:after="54"/>
              <w:jc w:val="right"/>
            </w:pPr>
            <w:r w:rsidRPr="00966312">
              <w:t>72,290</w:t>
            </w:r>
          </w:p>
        </w:tc>
        <w:tc>
          <w:tcPr>
            <w:tcW w:w="1136" w:type="dxa"/>
          </w:tcPr>
          <w:p w14:paraId="3C815D09" w14:textId="77777777" w:rsidR="0004602B" w:rsidRPr="00966312" w:rsidRDefault="0004602B" w:rsidP="00E66E92">
            <w:pPr>
              <w:pStyle w:val="TableText"/>
              <w:spacing w:before="54" w:after="54"/>
              <w:jc w:val="right"/>
            </w:pPr>
            <w:r w:rsidRPr="00966312">
              <w:t>89,934</w:t>
            </w:r>
          </w:p>
        </w:tc>
        <w:tc>
          <w:tcPr>
            <w:tcW w:w="1276" w:type="dxa"/>
          </w:tcPr>
          <w:p w14:paraId="49DAF91C" w14:textId="77777777" w:rsidR="0004602B" w:rsidRPr="00966312" w:rsidRDefault="0004602B" w:rsidP="00E66E92">
            <w:pPr>
              <w:pStyle w:val="TableText"/>
              <w:spacing w:before="54" w:after="54"/>
              <w:jc w:val="right"/>
            </w:pPr>
            <w:r w:rsidRPr="00966312">
              <w:t>1</w:t>
            </w:r>
          </w:p>
        </w:tc>
      </w:tr>
      <w:tr w:rsidR="0004602B" w14:paraId="29194D07" w14:textId="77777777" w:rsidTr="00E66E92">
        <w:trPr>
          <w:trHeight w:val="327"/>
        </w:trPr>
        <w:tc>
          <w:tcPr>
            <w:tcW w:w="1264" w:type="dxa"/>
          </w:tcPr>
          <w:p w14:paraId="68C89F3B" w14:textId="77777777" w:rsidR="0004602B" w:rsidRPr="00966312" w:rsidRDefault="0004602B" w:rsidP="00E66E92">
            <w:pPr>
              <w:pStyle w:val="TableText"/>
              <w:spacing w:before="54" w:after="54"/>
              <w:jc w:val="right"/>
            </w:pPr>
            <w:r w:rsidRPr="00966312">
              <w:t>93,445</w:t>
            </w:r>
          </w:p>
        </w:tc>
        <w:tc>
          <w:tcPr>
            <w:tcW w:w="2977" w:type="dxa"/>
          </w:tcPr>
          <w:p w14:paraId="7391801C" w14:textId="77777777" w:rsidR="0004602B" w:rsidRDefault="0004602B" w:rsidP="00E66E92">
            <w:pPr>
              <w:pStyle w:val="TableText"/>
              <w:spacing w:before="54" w:after="54"/>
            </w:pPr>
            <w:r>
              <w:rPr>
                <w:w w:val="105"/>
              </w:rPr>
              <w:t>Health</w:t>
            </w:r>
            <w:r>
              <w:rPr>
                <w:spacing w:val="6"/>
                <w:w w:val="105"/>
              </w:rPr>
              <w:t xml:space="preserve"> </w:t>
            </w:r>
            <w:r>
              <w:rPr>
                <w:w w:val="105"/>
              </w:rPr>
              <w:t>sector</w:t>
            </w:r>
            <w:r>
              <w:rPr>
                <w:spacing w:val="7"/>
                <w:w w:val="105"/>
              </w:rPr>
              <w:t xml:space="preserve"> </w:t>
            </w:r>
            <w:r>
              <w:rPr>
                <w:w w:val="105"/>
              </w:rPr>
              <w:t>information</w:t>
            </w:r>
            <w:r>
              <w:rPr>
                <w:spacing w:val="7"/>
                <w:w w:val="105"/>
              </w:rPr>
              <w:t xml:space="preserve"> </w:t>
            </w:r>
            <w:r>
              <w:rPr>
                <w:w w:val="105"/>
              </w:rPr>
              <w:t>systems</w:t>
            </w:r>
          </w:p>
        </w:tc>
        <w:tc>
          <w:tcPr>
            <w:tcW w:w="430" w:type="dxa"/>
          </w:tcPr>
          <w:p w14:paraId="7896FAA1" w14:textId="77777777" w:rsidR="0004602B" w:rsidRPr="00966312" w:rsidRDefault="0004602B" w:rsidP="00E66E92">
            <w:pPr>
              <w:pStyle w:val="TableText"/>
              <w:spacing w:before="54" w:after="54"/>
              <w:ind w:left="0" w:right="0"/>
              <w:jc w:val="right"/>
            </w:pPr>
          </w:p>
        </w:tc>
        <w:tc>
          <w:tcPr>
            <w:tcW w:w="1151" w:type="dxa"/>
          </w:tcPr>
          <w:p w14:paraId="2FEC9EAB" w14:textId="768F7561" w:rsidR="0004602B" w:rsidRPr="00966312" w:rsidRDefault="0004602B" w:rsidP="00E66E92">
            <w:pPr>
              <w:pStyle w:val="TableText"/>
              <w:spacing w:before="54" w:after="54"/>
              <w:jc w:val="right"/>
            </w:pPr>
            <w:r w:rsidRPr="00966312">
              <w:t>196,579</w:t>
            </w:r>
          </w:p>
        </w:tc>
        <w:tc>
          <w:tcPr>
            <w:tcW w:w="1115" w:type="dxa"/>
          </w:tcPr>
          <w:p w14:paraId="238FE090" w14:textId="77777777" w:rsidR="0004602B" w:rsidRPr="00966312" w:rsidRDefault="0004602B" w:rsidP="00E66E92">
            <w:pPr>
              <w:pStyle w:val="TableText"/>
              <w:spacing w:before="54" w:after="54"/>
              <w:jc w:val="right"/>
            </w:pPr>
            <w:r w:rsidRPr="00966312">
              <w:t>101,647</w:t>
            </w:r>
          </w:p>
        </w:tc>
        <w:tc>
          <w:tcPr>
            <w:tcW w:w="1136" w:type="dxa"/>
          </w:tcPr>
          <w:p w14:paraId="61A6B101" w14:textId="77777777" w:rsidR="0004602B" w:rsidRPr="00966312" w:rsidRDefault="0004602B" w:rsidP="00E66E92">
            <w:pPr>
              <w:pStyle w:val="TableText"/>
              <w:spacing w:before="54" w:after="54"/>
              <w:jc w:val="right"/>
            </w:pPr>
            <w:r w:rsidRPr="00966312">
              <w:t>270,275</w:t>
            </w:r>
          </w:p>
        </w:tc>
        <w:tc>
          <w:tcPr>
            <w:tcW w:w="1276" w:type="dxa"/>
          </w:tcPr>
          <w:p w14:paraId="52E15226" w14:textId="77777777" w:rsidR="0004602B" w:rsidRPr="00966312" w:rsidRDefault="0004602B" w:rsidP="00E66E92">
            <w:pPr>
              <w:pStyle w:val="TableText"/>
              <w:spacing w:before="54" w:after="54"/>
              <w:jc w:val="right"/>
            </w:pPr>
            <w:r w:rsidRPr="00966312">
              <w:t>1</w:t>
            </w:r>
          </w:p>
        </w:tc>
      </w:tr>
      <w:tr w:rsidR="0004602B" w14:paraId="11E770CA" w14:textId="77777777" w:rsidTr="00E66E92">
        <w:trPr>
          <w:trHeight w:val="328"/>
        </w:trPr>
        <w:tc>
          <w:tcPr>
            <w:tcW w:w="1264" w:type="dxa"/>
          </w:tcPr>
          <w:p w14:paraId="4AACDB7C" w14:textId="77777777" w:rsidR="0004602B" w:rsidRPr="00966312" w:rsidRDefault="0004602B" w:rsidP="00E66E92">
            <w:pPr>
              <w:pStyle w:val="TableText"/>
              <w:spacing w:before="54" w:after="54"/>
              <w:jc w:val="right"/>
            </w:pPr>
            <w:r w:rsidRPr="00966312">
              <w:t>19,600</w:t>
            </w:r>
          </w:p>
        </w:tc>
        <w:tc>
          <w:tcPr>
            <w:tcW w:w="2977" w:type="dxa"/>
          </w:tcPr>
          <w:p w14:paraId="646D0AFF" w14:textId="77777777" w:rsidR="0004602B" w:rsidRDefault="0004602B" w:rsidP="00E66E92">
            <w:pPr>
              <w:pStyle w:val="TableText"/>
              <w:spacing w:before="54" w:after="54"/>
            </w:pPr>
            <w:r>
              <w:rPr>
                <w:w w:val="105"/>
              </w:rPr>
              <w:t>Payment</w:t>
            </w:r>
            <w:r>
              <w:rPr>
                <w:spacing w:val="-4"/>
                <w:w w:val="105"/>
              </w:rPr>
              <w:t xml:space="preserve"> </w:t>
            </w:r>
            <w:r>
              <w:rPr>
                <w:w w:val="105"/>
              </w:rPr>
              <w:t>services</w:t>
            </w:r>
          </w:p>
        </w:tc>
        <w:tc>
          <w:tcPr>
            <w:tcW w:w="430" w:type="dxa"/>
          </w:tcPr>
          <w:p w14:paraId="2266E5BE" w14:textId="77777777" w:rsidR="0004602B" w:rsidRPr="00966312" w:rsidRDefault="0004602B" w:rsidP="00E66E92">
            <w:pPr>
              <w:pStyle w:val="TableText"/>
              <w:spacing w:before="54" w:after="54"/>
              <w:ind w:left="0" w:right="0"/>
              <w:jc w:val="right"/>
            </w:pPr>
          </w:p>
        </w:tc>
        <w:tc>
          <w:tcPr>
            <w:tcW w:w="1151" w:type="dxa"/>
          </w:tcPr>
          <w:p w14:paraId="464BC881" w14:textId="5319DE02" w:rsidR="0004602B" w:rsidRPr="00966312" w:rsidRDefault="0004602B" w:rsidP="00E66E92">
            <w:pPr>
              <w:pStyle w:val="TableText"/>
              <w:spacing w:before="54" w:after="54"/>
              <w:jc w:val="right"/>
            </w:pPr>
            <w:r w:rsidRPr="00966312">
              <w:t>17,653</w:t>
            </w:r>
          </w:p>
        </w:tc>
        <w:tc>
          <w:tcPr>
            <w:tcW w:w="1115" w:type="dxa"/>
          </w:tcPr>
          <w:p w14:paraId="6457DDF8" w14:textId="77777777" w:rsidR="0004602B" w:rsidRPr="00966312" w:rsidRDefault="0004602B" w:rsidP="00E66E92">
            <w:pPr>
              <w:pStyle w:val="TableText"/>
              <w:spacing w:before="54" w:after="54"/>
              <w:jc w:val="right"/>
            </w:pPr>
            <w:r w:rsidRPr="00966312">
              <w:t>18,430</w:t>
            </w:r>
          </w:p>
        </w:tc>
        <w:tc>
          <w:tcPr>
            <w:tcW w:w="1136" w:type="dxa"/>
          </w:tcPr>
          <w:p w14:paraId="19EB5C85" w14:textId="77777777" w:rsidR="0004602B" w:rsidRPr="00966312" w:rsidRDefault="0004602B" w:rsidP="00E66E92">
            <w:pPr>
              <w:pStyle w:val="TableText"/>
              <w:spacing w:before="54" w:after="54"/>
              <w:jc w:val="right"/>
            </w:pPr>
            <w:r w:rsidRPr="00966312">
              <w:t>18,180</w:t>
            </w:r>
          </w:p>
        </w:tc>
        <w:tc>
          <w:tcPr>
            <w:tcW w:w="1276" w:type="dxa"/>
          </w:tcPr>
          <w:p w14:paraId="75492398" w14:textId="77777777" w:rsidR="0004602B" w:rsidRPr="00966312" w:rsidRDefault="0004602B" w:rsidP="00E66E92">
            <w:pPr>
              <w:pStyle w:val="TableText"/>
              <w:spacing w:before="54" w:after="54"/>
              <w:jc w:val="right"/>
            </w:pPr>
            <w:r w:rsidRPr="00966312">
              <w:t>1</w:t>
            </w:r>
          </w:p>
        </w:tc>
      </w:tr>
      <w:tr w:rsidR="0004602B" w14:paraId="61E0B06A" w14:textId="77777777" w:rsidTr="00E66E92">
        <w:trPr>
          <w:trHeight w:val="547"/>
        </w:trPr>
        <w:tc>
          <w:tcPr>
            <w:tcW w:w="1264" w:type="dxa"/>
          </w:tcPr>
          <w:p w14:paraId="76DE9E84" w14:textId="77777777" w:rsidR="0004602B" w:rsidRPr="00966312" w:rsidRDefault="0004602B" w:rsidP="00E66E92">
            <w:pPr>
              <w:pStyle w:val="TableText"/>
              <w:spacing w:before="54" w:after="54"/>
              <w:jc w:val="right"/>
            </w:pPr>
            <w:r w:rsidRPr="00966312">
              <w:t>8,432</w:t>
            </w:r>
          </w:p>
        </w:tc>
        <w:tc>
          <w:tcPr>
            <w:tcW w:w="2977" w:type="dxa"/>
          </w:tcPr>
          <w:p w14:paraId="55742371" w14:textId="7D60B919" w:rsidR="0004602B" w:rsidRDefault="0004602B" w:rsidP="00E66E92">
            <w:pPr>
              <w:pStyle w:val="TableText"/>
              <w:spacing w:before="54" w:after="54"/>
            </w:pPr>
            <w:r>
              <w:rPr>
                <w:w w:val="105"/>
              </w:rPr>
              <w:t>National</w:t>
            </w:r>
            <w:r>
              <w:rPr>
                <w:spacing w:val="-10"/>
                <w:w w:val="105"/>
              </w:rPr>
              <w:t xml:space="preserve"> </w:t>
            </w:r>
            <w:r>
              <w:rPr>
                <w:w w:val="105"/>
              </w:rPr>
              <w:t>health</w:t>
            </w:r>
            <w:r>
              <w:rPr>
                <w:spacing w:val="-10"/>
                <w:w w:val="105"/>
              </w:rPr>
              <w:t xml:space="preserve"> </w:t>
            </w:r>
            <w:r>
              <w:rPr>
                <w:w w:val="105"/>
              </w:rPr>
              <w:t>response</w:t>
            </w:r>
            <w:r>
              <w:rPr>
                <w:spacing w:val="-10"/>
                <w:w w:val="105"/>
              </w:rPr>
              <w:t xml:space="preserve"> </w:t>
            </w:r>
            <w:r>
              <w:rPr>
                <w:w w:val="105"/>
              </w:rPr>
              <w:t>to COVID-19</w:t>
            </w:r>
          </w:p>
        </w:tc>
        <w:tc>
          <w:tcPr>
            <w:tcW w:w="430" w:type="dxa"/>
          </w:tcPr>
          <w:p w14:paraId="6F2C32FB" w14:textId="77777777" w:rsidR="0004602B" w:rsidRPr="00966312" w:rsidRDefault="0004602B" w:rsidP="00E66E92">
            <w:pPr>
              <w:pStyle w:val="TableText"/>
              <w:spacing w:before="54" w:after="54"/>
              <w:ind w:left="0" w:right="0"/>
              <w:jc w:val="right"/>
            </w:pPr>
          </w:p>
        </w:tc>
        <w:tc>
          <w:tcPr>
            <w:tcW w:w="1151" w:type="dxa"/>
          </w:tcPr>
          <w:p w14:paraId="638078B2" w14:textId="60887CE4" w:rsidR="0004602B" w:rsidRPr="00966312" w:rsidRDefault="0004602B" w:rsidP="00E66E92">
            <w:pPr>
              <w:pStyle w:val="TableText"/>
              <w:spacing w:before="54" w:after="54"/>
              <w:jc w:val="right"/>
            </w:pPr>
            <w:r w:rsidRPr="00966312">
              <w:t>–</w:t>
            </w:r>
          </w:p>
        </w:tc>
        <w:tc>
          <w:tcPr>
            <w:tcW w:w="1115" w:type="dxa"/>
          </w:tcPr>
          <w:p w14:paraId="52A32BEA" w14:textId="77777777" w:rsidR="0004602B" w:rsidRPr="00966312" w:rsidRDefault="0004602B" w:rsidP="00E66E92">
            <w:pPr>
              <w:pStyle w:val="TableText"/>
              <w:spacing w:before="54" w:after="54"/>
              <w:jc w:val="right"/>
            </w:pPr>
            <w:r w:rsidRPr="00966312">
              <w:t>–</w:t>
            </w:r>
          </w:p>
        </w:tc>
        <w:tc>
          <w:tcPr>
            <w:tcW w:w="1136" w:type="dxa"/>
          </w:tcPr>
          <w:p w14:paraId="58D89562" w14:textId="77777777" w:rsidR="0004602B" w:rsidRPr="00966312" w:rsidRDefault="0004602B" w:rsidP="00E66E92">
            <w:pPr>
              <w:pStyle w:val="TableText"/>
              <w:spacing w:before="54" w:after="54"/>
              <w:jc w:val="right"/>
            </w:pPr>
            <w:r w:rsidRPr="00966312">
              <w:t>–</w:t>
            </w:r>
          </w:p>
        </w:tc>
        <w:tc>
          <w:tcPr>
            <w:tcW w:w="1276" w:type="dxa"/>
          </w:tcPr>
          <w:p w14:paraId="07E7C797" w14:textId="77777777" w:rsidR="0004602B" w:rsidRPr="00966312" w:rsidRDefault="0004602B" w:rsidP="00E66E92">
            <w:pPr>
              <w:pStyle w:val="TableText"/>
              <w:spacing w:before="54" w:after="54"/>
              <w:jc w:val="right"/>
            </w:pPr>
            <w:r w:rsidRPr="00966312">
              <w:t>1</w:t>
            </w:r>
          </w:p>
        </w:tc>
      </w:tr>
      <w:tr w:rsidR="0004602B" w14:paraId="4244E6BD" w14:textId="77777777" w:rsidTr="00E66E92">
        <w:trPr>
          <w:trHeight w:val="340"/>
        </w:trPr>
        <w:tc>
          <w:tcPr>
            <w:tcW w:w="1264" w:type="dxa"/>
          </w:tcPr>
          <w:p w14:paraId="03DCB412" w14:textId="77777777" w:rsidR="0004602B" w:rsidRPr="00966312" w:rsidRDefault="0004602B" w:rsidP="00E66E92">
            <w:pPr>
              <w:pStyle w:val="TableText"/>
              <w:spacing w:before="54" w:after="54"/>
              <w:jc w:val="right"/>
            </w:pPr>
            <w:r w:rsidRPr="00966312">
              <w:t>34,144</w:t>
            </w:r>
          </w:p>
        </w:tc>
        <w:tc>
          <w:tcPr>
            <w:tcW w:w="2977" w:type="dxa"/>
          </w:tcPr>
          <w:p w14:paraId="44F4B6AF" w14:textId="77777777" w:rsidR="0004602B" w:rsidRDefault="0004602B" w:rsidP="00E66E92">
            <w:pPr>
              <w:pStyle w:val="TableText"/>
              <w:spacing w:before="54" w:after="54"/>
            </w:pPr>
            <w:r>
              <w:t>Policy</w:t>
            </w:r>
            <w:r>
              <w:rPr>
                <w:spacing w:val="9"/>
              </w:rPr>
              <w:t xml:space="preserve"> </w:t>
            </w:r>
            <w:r>
              <w:t>advice</w:t>
            </w:r>
            <w:r>
              <w:rPr>
                <w:spacing w:val="10"/>
              </w:rPr>
              <w:t xml:space="preserve"> </w:t>
            </w:r>
            <w:r>
              <w:t>and</w:t>
            </w:r>
            <w:r>
              <w:rPr>
                <w:spacing w:val="10"/>
              </w:rPr>
              <w:t xml:space="preserve"> </w:t>
            </w:r>
            <w:r>
              <w:t>related</w:t>
            </w:r>
            <w:r>
              <w:rPr>
                <w:spacing w:val="10"/>
              </w:rPr>
              <w:t xml:space="preserve"> </w:t>
            </w:r>
            <w:r>
              <w:t>services</w:t>
            </w:r>
          </w:p>
        </w:tc>
        <w:tc>
          <w:tcPr>
            <w:tcW w:w="430" w:type="dxa"/>
          </w:tcPr>
          <w:p w14:paraId="384A540F" w14:textId="77777777" w:rsidR="0004602B" w:rsidRPr="00966312" w:rsidRDefault="0004602B" w:rsidP="00E66E92">
            <w:pPr>
              <w:pStyle w:val="TableText"/>
              <w:spacing w:before="54" w:after="54"/>
              <w:ind w:left="0" w:right="0"/>
              <w:jc w:val="right"/>
            </w:pPr>
          </w:p>
        </w:tc>
        <w:tc>
          <w:tcPr>
            <w:tcW w:w="1151" w:type="dxa"/>
          </w:tcPr>
          <w:p w14:paraId="7B112E7D" w14:textId="0DACC691" w:rsidR="0004602B" w:rsidRPr="00966312" w:rsidRDefault="0004602B" w:rsidP="00E66E92">
            <w:pPr>
              <w:pStyle w:val="TableText"/>
              <w:spacing w:before="54" w:after="54"/>
              <w:jc w:val="right"/>
            </w:pPr>
            <w:r w:rsidRPr="00966312">
              <w:t>39,056</w:t>
            </w:r>
          </w:p>
        </w:tc>
        <w:tc>
          <w:tcPr>
            <w:tcW w:w="1115" w:type="dxa"/>
          </w:tcPr>
          <w:p w14:paraId="5D316639" w14:textId="77777777" w:rsidR="0004602B" w:rsidRPr="00966312" w:rsidRDefault="0004602B" w:rsidP="00E66E92">
            <w:pPr>
              <w:pStyle w:val="TableText"/>
              <w:spacing w:before="54" w:after="54"/>
              <w:jc w:val="right"/>
            </w:pPr>
            <w:r w:rsidRPr="00966312">
              <w:t>34,259</w:t>
            </w:r>
          </w:p>
        </w:tc>
        <w:tc>
          <w:tcPr>
            <w:tcW w:w="1136" w:type="dxa"/>
          </w:tcPr>
          <w:p w14:paraId="4B2B7970" w14:textId="77777777" w:rsidR="0004602B" w:rsidRPr="00966312" w:rsidRDefault="0004602B" w:rsidP="00E66E92">
            <w:pPr>
              <w:pStyle w:val="TableText"/>
              <w:spacing w:before="54" w:after="54"/>
              <w:jc w:val="right"/>
            </w:pPr>
            <w:r w:rsidRPr="00966312">
              <w:t>39,329</w:t>
            </w:r>
          </w:p>
        </w:tc>
        <w:tc>
          <w:tcPr>
            <w:tcW w:w="1276" w:type="dxa"/>
          </w:tcPr>
          <w:p w14:paraId="5DDEAAA2" w14:textId="77777777" w:rsidR="0004602B" w:rsidRPr="00966312" w:rsidRDefault="0004602B" w:rsidP="00E66E92">
            <w:pPr>
              <w:pStyle w:val="TableText"/>
              <w:spacing w:before="54" w:after="54"/>
              <w:jc w:val="right"/>
            </w:pPr>
            <w:r w:rsidRPr="00966312">
              <w:t>1</w:t>
            </w:r>
          </w:p>
        </w:tc>
      </w:tr>
      <w:tr w:rsidR="00E66E92" w:rsidRPr="000F0AE5" w14:paraId="1259DEC7" w14:textId="77777777" w:rsidTr="00E66E92">
        <w:trPr>
          <w:trHeight w:val="340"/>
        </w:trPr>
        <w:tc>
          <w:tcPr>
            <w:tcW w:w="1264" w:type="dxa"/>
            <w:tcBorders>
              <w:bottom w:val="single" w:sz="4" w:space="0" w:color="A6A6A6" w:themeColor="background1" w:themeShade="A6"/>
            </w:tcBorders>
          </w:tcPr>
          <w:p w14:paraId="6854AAFD" w14:textId="77777777" w:rsidR="00E66E92" w:rsidRPr="000F0AE5" w:rsidRDefault="00E66E92" w:rsidP="00E66E92">
            <w:pPr>
              <w:pStyle w:val="TableText"/>
              <w:spacing w:before="54" w:after="54"/>
              <w:jc w:val="right"/>
              <w:rPr>
                <w:b/>
                <w:bCs/>
              </w:rPr>
            </w:pPr>
            <w:r w:rsidRPr="000F0AE5">
              <w:rPr>
                <w:b/>
                <w:bCs/>
              </w:rPr>
              <w:t>328,488</w:t>
            </w:r>
          </w:p>
        </w:tc>
        <w:tc>
          <w:tcPr>
            <w:tcW w:w="3407" w:type="dxa"/>
            <w:gridSpan w:val="2"/>
            <w:tcBorders>
              <w:bottom w:val="single" w:sz="4" w:space="0" w:color="A6A6A6" w:themeColor="background1" w:themeShade="A6"/>
            </w:tcBorders>
          </w:tcPr>
          <w:p w14:paraId="6CA4064D" w14:textId="3423843D" w:rsidR="00E66E92" w:rsidRPr="000F0AE5" w:rsidRDefault="00E66E92" w:rsidP="00E66E92">
            <w:pPr>
              <w:pStyle w:val="TableText"/>
              <w:spacing w:before="54" w:after="54"/>
              <w:ind w:left="0" w:right="0"/>
              <w:jc w:val="center"/>
              <w:rPr>
                <w:b/>
                <w:bCs/>
              </w:rPr>
            </w:pPr>
            <w:r w:rsidRPr="000F0AE5">
              <w:rPr>
                <w:b/>
                <w:bCs/>
                <w:w w:val="105"/>
              </w:rPr>
              <w:t>Total</w:t>
            </w:r>
            <w:r w:rsidRPr="000F0AE5">
              <w:rPr>
                <w:b/>
                <w:bCs/>
                <w:spacing w:val="14"/>
                <w:w w:val="105"/>
              </w:rPr>
              <w:t xml:space="preserve"> </w:t>
            </w:r>
            <w:r w:rsidRPr="000F0AE5">
              <w:rPr>
                <w:b/>
                <w:bCs/>
                <w:w w:val="105"/>
              </w:rPr>
              <w:t>departmental</w:t>
            </w:r>
            <w:r w:rsidRPr="000F0AE5">
              <w:rPr>
                <w:b/>
                <w:bCs/>
                <w:spacing w:val="15"/>
                <w:w w:val="105"/>
              </w:rPr>
              <w:t xml:space="preserve"> </w:t>
            </w:r>
            <w:r w:rsidRPr="000F0AE5">
              <w:rPr>
                <w:b/>
                <w:bCs/>
                <w:w w:val="105"/>
              </w:rPr>
              <w:t>output expenses</w:t>
            </w:r>
          </w:p>
        </w:tc>
        <w:tc>
          <w:tcPr>
            <w:tcW w:w="1151" w:type="dxa"/>
            <w:tcBorders>
              <w:bottom w:val="single" w:sz="4" w:space="0" w:color="A6A6A6" w:themeColor="background1" w:themeShade="A6"/>
            </w:tcBorders>
          </w:tcPr>
          <w:p w14:paraId="489BDC02" w14:textId="1687A3CF" w:rsidR="00E66E92" w:rsidRPr="000F0AE5" w:rsidRDefault="00E66E92" w:rsidP="00E66E92">
            <w:pPr>
              <w:pStyle w:val="TableText"/>
              <w:spacing w:before="54" w:after="54"/>
              <w:jc w:val="right"/>
              <w:rPr>
                <w:b/>
                <w:bCs/>
              </w:rPr>
            </w:pPr>
            <w:r w:rsidRPr="000F0AE5">
              <w:rPr>
                <w:b/>
                <w:bCs/>
              </w:rPr>
              <w:t>448,420</w:t>
            </w:r>
          </w:p>
        </w:tc>
        <w:tc>
          <w:tcPr>
            <w:tcW w:w="1115" w:type="dxa"/>
            <w:tcBorders>
              <w:bottom w:val="single" w:sz="4" w:space="0" w:color="A6A6A6" w:themeColor="background1" w:themeShade="A6"/>
            </w:tcBorders>
          </w:tcPr>
          <w:p w14:paraId="1E540621" w14:textId="77777777" w:rsidR="00E66E92" w:rsidRPr="000F0AE5" w:rsidRDefault="00E66E92" w:rsidP="00E66E92">
            <w:pPr>
              <w:pStyle w:val="TableText"/>
              <w:spacing w:before="54" w:after="54"/>
              <w:jc w:val="right"/>
              <w:rPr>
                <w:b/>
                <w:bCs/>
              </w:rPr>
            </w:pPr>
            <w:r w:rsidRPr="000F0AE5">
              <w:rPr>
                <w:b/>
                <w:bCs/>
              </w:rPr>
              <w:t>334,273</w:t>
            </w:r>
          </w:p>
        </w:tc>
        <w:tc>
          <w:tcPr>
            <w:tcW w:w="1136" w:type="dxa"/>
            <w:tcBorders>
              <w:bottom w:val="single" w:sz="4" w:space="0" w:color="A6A6A6" w:themeColor="background1" w:themeShade="A6"/>
            </w:tcBorders>
          </w:tcPr>
          <w:p w14:paraId="187BEBD2" w14:textId="77777777" w:rsidR="00E66E92" w:rsidRPr="000F0AE5" w:rsidRDefault="00E66E92" w:rsidP="00E66E92">
            <w:pPr>
              <w:pStyle w:val="TableText"/>
              <w:spacing w:before="54" w:after="54"/>
              <w:jc w:val="right"/>
              <w:rPr>
                <w:b/>
                <w:bCs/>
              </w:rPr>
            </w:pPr>
            <w:r w:rsidRPr="000F0AE5">
              <w:rPr>
                <w:b/>
                <w:bCs/>
              </w:rPr>
              <w:t>535,888</w:t>
            </w:r>
          </w:p>
        </w:tc>
        <w:tc>
          <w:tcPr>
            <w:tcW w:w="1276" w:type="dxa"/>
            <w:tcBorders>
              <w:bottom w:val="single" w:sz="4" w:space="0" w:color="A6A6A6" w:themeColor="background1" w:themeShade="A6"/>
            </w:tcBorders>
          </w:tcPr>
          <w:p w14:paraId="651283DF" w14:textId="77777777" w:rsidR="00E66E92" w:rsidRPr="000F0AE5" w:rsidRDefault="00E66E92" w:rsidP="00E66E92">
            <w:pPr>
              <w:pStyle w:val="TableText"/>
              <w:spacing w:before="54" w:after="54"/>
              <w:jc w:val="right"/>
              <w:rPr>
                <w:b/>
                <w:bCs/>
              </w:rPr>
            </w:pPr>
          </w:p>
        </w:tc>
      </w:tr>
      <w:tr w:rsidR="0004602B" w14:paraId="5C8AD44A" w14:textId="77777777" w:rsidTr="00E66E92">
        <w:trPr>
          <w:trHeight w:val="340"/>
        </w:trPr>
        <w:tc>
          <w:tcPr>
            <w:tcW w:w="1264" w:type="dxa"/>
            <w:tcBorders>
              <w:top w:val="single" w:sz="4" w:space="0" w:color="A6A6A6" w:themeColor="background1" w:themeShade="A6"/>
            </w:tcBorders>
          </w:tcPr>
          <w:p w14:paraId="1CC426D3" w14:textId="77777777" w:rsidR="0004602B" w:rsidRPr="00966312" w:rsidRDefault="0004602B" w:rsidP="00E66E92">
            <w:pPr>
              <w:pStyle w:val="TableText"/>
              <w:spacing w:before="54" w:after="54"/>
              <w:jc w:val="right"/>
            </w:pPr>
          </w:p>
        </w:tc>
        <w:tc>
          <w:tcPr>
            <w:tcW w:w="2977" w:type="dxa"/>
            <w:tcBorders>
              <w:top w:val="single" w:sz="4" w:space="0" w:color="A6A6A6" w:themeColor="background1" w:themeShade="A6"/>
            </w:tcBorders>
          </w:tcPr>
          <w:p w14:paraId="2C123EC6" w14:textId="77777777" w:rsidR="0004602B" w:rsidRDefault="0004602B" w:rsidP="00E66E92">
            <w:pPr>
              <w:pStyle w:val="TableText"/>
              <w:spacing w:before="54" w:after="54"/>
              <w:rPr>
                <w:b/>
              </w:rPr>
            </w:pPr>
            <w:r>
              <w:rPr>
                <w:b/>
                <w:w w:val="105"/>
              </w:rPr>
              <w:t>Multi-category</w:t>
            </w:r>
            <w:r>
              <w:rPr>
                <w:b/>
                <w:spacing w:val="1"/>
                <w:w w:val="105"/>
              </w:rPr>
              <w:t xml:space="preserve"> </w:t>
            </w:r>
            <w:r>
              <w:rPr>
                <w:b/>
                <w:w w:val="105"/>
              </w:rPr>
              <w:t>expenses</w:t>
            </w:r>
          </w:p>
        </w:tc>
        <w:tc>
          <w:tcPr>
            <w:tcW w:w="430" w:type="dxa"/>
            <w:tcBorders>
              <w:top w:val="single" w:sz="4" w:space="0" w:color="A6A6A6" w:themeColor="background1" w:themeShade="A6"/>
            </w:tcBorders>
          </w:tcPr>
          <w:p w14:paraId="74A25FAF" w14:textId="77777777" w:rsidR="0004602B" w:rsidRPr="00966312" w:rsidRDefault="0004602B" w:rsidP="00E66E92">
            <w:pPr>
              <w:pStyle w:val="TableText"/>
              <w:spacing w:before="54" w:after="54"/>
              <w:ind w:left="0" w:right="0"/>
              <w:jc w:val="right"/>
            </w:pPr>
          </w:p>
        </w:tc>
        <w:tc>
          <w:tcPr>
            <w:tcW w:w="1151" w:type="dxa"/>
            <w:tcBorders>
              <w:top w:val="single" w:sz="4" w:space="0" w:color="A6A6A6" w:themeColor="background1" w:themeShade="A6"/>
            </w:tcBorders>
          </w:tcPr>
          <w:p w14:paraId="52FF0EC4" w14:textId="6B92AA76" w:rsidR="0004602B" w:rsidRPr="00966312" w:rsidRDefault="0004602B" w:rsidP="00E66E92">
            <w:pPr>
              <w:pStyle w:val="TableText"/>
              <w:spacing w:before="54" w:after="54"/>
              <w:jc w:val="right"/>
            </w:pPr>
          </w:p>
        </w:tc>
        <w:tc>
          <w:tcPr>
            <w:tcW w:w="1115" w:type="dxa"/>
            <w:tcBorders>
              <w:top w:val="single" w:sz="4" w:space="0" w:color="A6A6A6" w:themeColor="background1" w:themeShade="A6"/>
            </w:tcBorders>
          </w:tcPr>
          <w:p w14:paraId="1DE65111" w14:textId="77777777" w:rsidR="0004602B" w:rsidRPr="00966312" w:rsidRDefault="0004602B" w:rsidP="00E66E92">
            <w:pPr>
              <w:pStyle w:val="TableText"/>
              <w:spacing w:before="54" w:after="54"/>
              <w:jc w:val="right"/>
            </w:pPr>
          </w:p>
        </w:tc>
        <w:tc>
          <w:tcPr>
            <w:tcW w:w="1136" w:type="dxa"/>
            <w:tcBorders>
              <w:top w:val="single" w:sz="4" w:space="0" w:color="A6A6A6" w:themeColor="background1" w:themeShade="A6"/>
            </w:tcBorders>
          </w:tcPr>
          <w:p w14:paraId="27C0C72E" w14:textId="77777777" w:rsidR="0004602B" w:rsidRPr="00966312" w:rsidRDefault="0004602B" w:rsidP="00E66E92">
            <w:pPr>
              <w:pStyle w:val="TableText"/>
              <w:spacing w:before="54" w:after="54"/>
              <w:jc w:val="right"/>
            </w:pPr>
          </w:p>
        </w:tc>
        <w:tc>
          <w:tcPr>
            <w:tcW w:w="1276" w:type="dxa"/>
            <w:tcBorders>
              <w:top w:val="single" w:sz="4" w:space="0" w:color="A6A6A6" w:themeColor="background1" w:themeShade="A6"/>
            </w:tcBorders>
          </w:tcPr>
          <w:p w14:paraId="29A5E68F" w14:textId="77777777" w:rsidR="0004602B" w:rsidRPr="00966312" w:rsidRDefault="0004602B" w:rsidP="00E66E92">
            <w:pPr>
              <w:pStyle w:val="TableText"/>
              <w:spacing w:before="54" w:after="54"/>
              <w:jc w:val="right"/>
            </w:pPr>
          </w:p>
        </w:tc>
      </w:tr>
      <w:tr w:rsidR="0004602B" w14:paraId="2B138A97" w14:textId="77777777" w:rsidTr="00E66E92">
        <w:trPr>
          <w:trHeight w:val="546"/>
        </w:trPr>
        <w:tc>
          <w:tcPr>
            <w:tcW w:w="1264" w:type="dxa"/>
          </w:tcPr>
          <w:p w14:paraId="54FEFAA4" w14:textId="77777777" w:rsidR="0004602B" w:rsidRPr="00966312" w:rsidRDefault="0004602B" w:rsidP="00E66E92">
            <w:pPr>
              <w:pStyle w:val="TableText"/>
              <w:spacing w:before="54" w:after="54"/>
              <w:jc w:val="right"/>
            </w:pPr>
          </w:p>
        </w:tc>
        <w:tc>
          <w:tcPr>
            <w:tcW w:w="2977" w:type="dxa"/>
          </w:tcPr>
          <w:p w14:paraId="54E244A9" w14:textId="507B44C0" w:rsidR="0004602B" w:rsidRDefault="0004602B" w:rsidP="00E66E92">
            <w:pPr>
              <w:pStyle w:val="TableText"/>
              <w:spacing w:before="54" w:after="54"/>
              <w:rPr>
                <w:i/>
              </w:rPr>
            </w:pPr>
            <w:r>
              <w:rPr>
                <w:i/>
              </w:rPr>
              <w:t>Implementing</w:t>
            </w:r>
            <w:r>
              <w:rPr>
                <w:i/>
                <w:spacing w:val="2"/>
              </w:rPr>
              <w:t xml:space="preserve"> </w:t>
            </w:r>
            <w:r>
              <w:rPr>
                <w:i/>
              </w:rPr>
              <w:t>the</w:t>
            </w:r>
            <w:r>
              <w:rPr>
                <w:i/>
                <w:spacing w:val="2"/>
              </w:rPr>
              <w:t xml:space="preserve"> </w:t>
            </w:r>
            <w:r>
              <w:rPr>
                <w:i/>
              </w:rPr>
              <w:t>COVID19</w:t>
            </w:r>
            <w:r>
              <w:rPr>
                <w:i/>
                <w:spacing w:val="3"/>
              </w:rPr>
              <w:t xml:space="preserve"> </w:t>
            </w:r>
            <w:r>
              <w:rPr>
                <w:i/>
              </w:rPr>
              <w:t>vaccine strategy MCA</w:t>
            </w:r>
          </w:p>
        </w:tc>
        <w:tc>
          <w:tcPr>
            <w:tcW w:w="430" w:type="dxa"/>
          </w:tcPr>
          <w:p w14:paraId="1D7A8752" w14:textId="77777777" w:rsidR="0004602B" w:rsidRPr="00966312" w:rsidRDefault="0004602B" w:rsidP="00E66E92">
            <w:pPr>
              <w:pStyle w:val="TableText"/>
              <w:spacing w:before="54" w:after="54"/>
              <w:ind w:left="0" w:right="0"/>
              <w:jc w:val="right"/>
            </w:pPr>
          </w:p>
        </w:tc>
        <w:tc>
          <w:tcPr>
            <w:tcW w:w="1151" w:type="dxa"/>
          </w:tcPr>
          <w:p w14:paraId="0770F47E" w14:textId="143DAF4B" w:rsidR="0004602B" w:rsidRPr="00966312" w:rsidRDefault="0004602B" w:rsidP="00E66E92">
            <w:pPr>
              <w:pStyle w:val="TableText"/>
              <w:spacing w:before="54" w:after="54"/>
              <w:jc w:val="right"/>
            </w:pPr>
          </w:p>
        </w:tc>
        <w:tc>
          <w:tcPr>
            <w:tcW w:w="1115" w:type="dxa"/>
          </w:tcPr>
          <w:p w14:paraId="13604B3C" w14:textId="77777777" w:rsidR="0004602B" w:rsidRPr="00966312" w:rsidRDefault="0004602B" w:rsidP="00E66E92">
            <w:pPr>
              <w:pStyle w:val="TableText"/>
              <w:spacing w:before="54" w:after="54"/>
              <w:jc w:val="right"/>
            </w:pPr>
          </w:p>
        </w:tc>
        <w:tc>
          <w:tcPr>
            <w:tcW w:w="1136" w:type="dxa"/>
          </w:tcPr>
          <w:p w14:paraId="7032FEE2" w14:textId="77777777" w:rsidR="0004602B" w:rsidRPr="00966312" w:rsidRDefault="0004602B" w:rsidP="00E66E92">
            <w:pPr>
              <w:pStyle w:val="TableText"/>
              <w:spacing w:before="54" w:after="54"/>
              <w:jc w:val="right"/>
            </w:pPr>
          </w:p>
        </w:tc>
        <w:tc>
          <w:tcPr>
            <w:tcW w:w="1276" w:type="dxa"/>
          </w:tcPr>
          <w:p w14:paraId="6F6905E1" w14:textId="77777777" w:rsidR="0004602B" w:rsidRPr="00966312" w:rsidRDefault="0004602B" w:rsidP="00E66E92">
            <w:pPr>
              <w:pStyle w:val="TableText"/>
              <w:spacing w:before="54" w:after="54"/>
              <w:jc w:val="right"/>
            </w:pPr>
          </w:p>
        </w:tc>
      </w:tr>
      <w:tr w:rsidR="0004602B" w14:paraId="6D0C7494" w14:textId="77777777" w:rsidTr="00E66E92">
        <w:trPr>
          <w:trHeight w:val="547"/>
        </w:trPr>
        <w:tc>
          <w:tcPr>
            <w:tcW w:w="1264" w:type="dxa"/>
          </w:tcPr>
          <w:p w14:paraId="27B89474" w14:textId="77777777" w:rsidR="0004602B" w:rsidRPr="00966312" w:rsidRDefault="0004602B" w:rsidP="00E66E92">
            <w:pPr>
              <w:pStyle w:val="TableText"/>
              <w:spacing w:before="54" w:after="54"/>
              <w:jc w:val="right"/>
            </w:pPr>
            <w:r w:rsidRPr="00966312">
              <w:t>44,838</w:t>
            </w:r>
          </w:p>
        </w:tc>
        <w:tc>
          <w:tcPr>
            <w:tcW w:w="2977" w:type="dxa"/>
          </w:tcPr>
          <w:p w14:paraId="6F23F88F" w14:textId="14436477" w:rsidR="0004602B" w:rsidRDefault="0004602B" w:rsidP="00E66E92">
            <w:pPr>
              <w:pStyle w:val="TableText"/>
              <w:spacing w:before="54" w:after="54"/>
            </w:pPr>
            <w:r>
              <w:rPr>
                <w:w w:val="105"/>
              </w:rPr>
              <w:t>Supporting</w:t>
            </w:r>
            <w:r>
              <w:rPr>
                <w:spacing w:val="-10"/>
                <w:w w:val="105"/>
              </w:rPr>
              <w:t xml:space="preserve"> </w:t>
            </w:r>
            <w:r>
              <w:rPr>
                <w:w w:val="105"/>
              </w:rPr>
              <w:t>the</w:t>
            </w:r>
            <w:r>
              <w:rPr>
                <w:spacing w:val="-9"/>
                <w:w w:val="105"/>
              </w:rPr>
              <w:t xml:space="preserve"> </w:t>
            </w:r>
            <w:r>
              <w:rPr>
                <w:w w:val="105"/>
              </w:rPr>
              <w:t>implementation</w:t>
            </w:r>
            <w:r>
              <w:rPr>
                <w:spacing w:val="-9"/>
                <w:w w:val="105"/>
              </w:rPr>
              <w:t xml:space="preserve"> </w:t>
            </w:r>
            <w:r>
              <w:rPr>
                <w:w w:val="105"/>
              </w:rPr>
              <w:t>of the COVID-19 vaccine strategy</w:t>
            </w:r>
          </w:p>
        </w:tc>
        <w:tc>
          <w:tcPr>
            <w:tcW w:w="430" w:type="dxa"/>
          </w:tcPr>
          <w:p w14:paraId="7F8068E0" w14:textId="77777777" w:rsidR="0004602B" w:rsidRPr="00966312" w:rsidRDefault="0004602B" w:rsidP="00E66E92">
            <w:pPr>
              <w:pStyle w:val="TableText"/>
              <w:spacing w:before="54" w:after="54"/>
              <w:ind w:left="0" w:right="0"/>
              <w:jc w:val="right"/>
            </w:pPr>
          </w:p>
        </w:tc>
        <w:tc>
          <w:tcPr>
            <w:tcW w:w="1151" w:type="dxa"/>
          </w:tcPr>
          <w:p w14:paraId="52037EA8" w14:textId="00A61BAD" w:rsidR="0004602B" w:rsidRPr="00966312" w:rsidRDefault="0004602B" w:rsidP="00E66E92">
            <w:pPr>
              <w:pStyle w:val="TableText"/>
              <w:spacing w:before="54" w:after="54"/>
              <w:jc w:val="right"/>
            </w:pPr>
            <w:r w:rsidRPr="00966312">
              <w:t>191,565</w:t>
            </w:r>
          </w:p>
        </w:tc>
        <w:tc>
          <w:tcPr>
            <w:tcW w:w="1115" w:type="dxa"/>
          </w:tcPr>
          <w:p w14:paraId="6B1EE4D8" w14:textId="77777777" w:rsidR="0004602B" w:rsidRPr="00966312" w:rsidRDefault="0004602B" w:rsidP="00E66E92">
            <w:pPr>
              <w:pStyle w:val="TableText"/>
              <w:spacing w:before="54" w:after="54"/>
              <w:jc w:val="right"/>
            </w:pPr>
            <w:r w:rsidRPr="00966312">
              <w:t>23,850</w:t>
            </w:r>
          </w:p>
        </w:tc>
        <w:tc>
          <w:tcPr>
            <w:tcW w:w="1136" w:type="dxa"/>
          </w:tcPr>
          <w:p w14:paraId="1B3E2F4D" w14:textId="77777777" w:rsidR="0004602B" w:rsidRPr="00966312" w:rsidRDefault="0004602B" w:rsidP="00E66E92">
            <w:pPr>
              <w:pStyle w:val="TableText"/>
              <w:spacing w:before="54" w:after="54"/>
              <w:jc w:val="right"/>
            </w:pPr>
            <w:r w:rsidRPr="00966312">
              <w:t>205,786</w:t>
            </w:r>
          </w:p>
        </w:tc>
        <w:tc>
          <w:tcPr>
            <w:tcW w:w="1276" w:type="dxa"/>
          </w:tcPr>
          <w:p w14:paraId="3BA96820" w14:textId="77777777" w:rsidR="0004602B" w:rsidRPr="00966312" w:rsidRDefault="0004602B" w:rsidP="00E66E92">
            <w:pPr>
              <w:pStyle w:val="TableText"/>
              <w:spacing w:before="54" w:after="54"/>
              <w:jc w:val="right"/>
            </w:pPr>
            <w:r w:rsidRPr="00966312">
              <w:t>1</w:t>
            </w:r>
          </w:p>
        </w:tc>
      </w:tr>
      <w:tr w:rsidR="0004602B" w14:paraId="0F744FD9" w14:textId="77777777" w:rsidTr="00E66E92">
        <w:trPr>
          <w:trHeight w:val="547"/>
        </w:trPr>
        <w:tc>
          <w:tcPr>
            <w:tcW w:w="1264" w:type="dxa"/>
          </w:tcPr>
          <w:p w14:paraId="11E1539F" w14:textId="77777777" w:rsidR="0004602B" w:rsidRPr="00966312" w:rsidRDefault="0004602B" w:rsidP="00E66E92">
            <w:pPr>
              <w:pStyle w:val="TableText"/>
              <w:spacing w:before="54" w:after="54"/>
              <w:jc w:val="right"/>
            </w:pPr>
          </w:p>
        </w:tc>
        <w:tc>
          <w:tcPr>
            <w:tcW w:w="2977" w:type="dxa"/>
          </w:tcPr>
          <w:p w14:paraId="0C51A600" w14:textId="3F4A1135" w:rsidR="0004602B" w:rsidRDefault="0004602B" w:rsidP="00E66E92">
            <w:pPr>
              <w:pStyle w:val="TableText"/>
              <w:spacing w:before="54" w:after="54"/>
              <w:rPr>
                <w:i/>
              </w:rPr>
            </w:pPr>
            <w:r>
              <w:rPr>
                <w:i/>
              </w:rPr>
              <w:t>National</w:t>
            </w:r>
            <w:r>
              <w:rPr>
                <w:i/>
                <w:spacing w:val="13"/>
              </w:rPr>
              <w:t xml:space="preserve"> </w:t>
            </w:r>
            <w:r>
              <w:rPr>
                <w:i/>
              </w:rPr>
              <w:t>response</w:t>
            </w:r>
            <w:r>
              <w:rPr>
                <w:i/>
                <w:spacing w:val="14"/>
              </w:rPr>
              <w:t xml:space="preserve"> </w:t>
            </w:r>
            <w:r>
              <w:rPr>
                <w:i/>
              </w:rPr>
              <w:t>to</w:t>
            </w:r>
            <w:r>
              <w:rPr>
                <w:i/>
                <w:spacing w:val="13"/>
              </w:rPr>
              <w:t xml:space="preserve"> </w:t>
            </w:r>
            <w:r>
              <w:rPr>
                <w:i/>
              </w:rPr>
              <w:t>COVID-19 across the Health Sector MCA</w:t>
            </w:r>
          </w:p>
        </w:tc>
        <w:tc>
          <w:tcPr>
            <w:tcW w:w="430" w:type="dxa"/>
          </w:tcPr>
          <w:p w14:paraId="6621B4FB" w14:textId="77777777" w:rsidR="0004602B" w:rsidRPr="00966312" w:rsidRDefault="0004602B" w:rsidP="00E66E92">
            <w:pPr>
              <w:pStyle w:val="TableText"/>
              <w:spacing w:before="54" w:after="54"/>
              <w:ind w:left="0" w:right="0"/>
              <w:jc w:val="right"/>
            </w:pPr>
          </w:p>
        </w:tc>
        <w:tc>
          <w:tcPr>
            <w:tcW w:w="1151" w:type="dxa"/>
          </w:tcPr>
          <w:p w14:paraId="3359FA0F" w14:textId="7C445FF2" w:rsidR="0004602B" w:rsidRPr="00966312" w:rsidRDefault="0004602B" w:rsidP="00E66E92">
            <w:pPr>
              <w:pStyle w:val="TableText"/>
              <w:spacing w:before="54" w:after="54"/>
              <w:jc w:val="right"/>
            </w:pPr>
          </w:p>
        </w:tc>
        <w:tc>
          <w:tcPr>
            <w:tcW w:w="1115" w:type="dxa"/>
          </w:tcPr>
          <w:p w14:paraId="1DDAE3CC" w14:textId="77777777" w:rsidR="0004602B" w:rsidRPr="00966312" w:rsidRDefault="0004602B" w:rsidP="00E66E92">
            <w:pPr>
              <w:pStyle w:val="TableText"/>
              <w:spacing w:before="54" w:after="54"/>
              <w:jc w:val="right"/>
            </w:pPr>
          </w:p>
        </w:tc>
        <w:tc>
          <w:tcPr>
            <w:tcW w:w="1136" w:type="dxa"/>
          </w:tcPr>
          <w:p w14:paraId="7161D47C" w14:textId="77777777" w:rsidR="0004602B" w:rsidRPr="00966312" w:rsidRDefault="0004602B" w:rsidP="00E66E92">
            <w:pPr>
              <w:pStyle w:val="TableText"/>
              <w:spacing w:before="54" w:after="54"/>
              <w:jc w:val="right"/>
            </w:pPr>
          </w:p>
        </w:tc>
        <w:tc>
          <w:tcPr>
            <w:tcW w:w="1276" w:type="dxa"/>
          </w:tcPr>
          <w:p w14:paraId="51218EE9" w14:textId="77777777" w:rsidR="0004602B" w:rsidRPr="00966312" w:rsidRDefault="0004602B" w:rsidP="00E66E92">
            <w:pPr>
              <w:pStyle w:val="TableText"/>
              <w:spacing w:before="54" w:after="54"/>
              <w:jc w:val="right"/>
            </w:pPr>
          </w:p>
        </w:tc>
      </w:tr>
      <w:tr w:rsidR="0004602B" w14:paraId="0456C9DF" w14:textId="77777777" w:rsidTr="00E66E92">
        <w:trPr>
          <w:trHeight w:val="547"/>
        </w:trPr>
        <w:tc>
          <w:tcPr>
            <w:tcW w:w="1264" w:type="dxa"/>
          </w:tcPr>
          <w:p w14:paraId="7C27EB14" w14:textId="77777777" w:rsidR="0004602B" w:rsidRPr="00966312" w:rsidRDefault="0004602B" w:rsidP="00E66E92">
            <w:pPr>
              <w:pStyle w:val="TableText"/>
              <w:spacing w:before="54" w:after="54"/>
              <w:jc w:val="right"/>
            </w:pPr>
            <w:r w:rsidRPr="00966312">
              <w:t>13,250</w:t>
            </w:r>
          </w:p>
        </w:tc>
        <w:tc>
          <w:tcPr>
            <w:tcW w:w="2977" w:type="dxa"/>
          </w:tcPr>
          <w:p w14:paraId="227267C3" w14:textId="0723E2CB" w:rsidR="0004602B" w:rsidRDefault="0004602B" w:rsidP="00E66E92">
            <w:pPr>
              <w:pStyle w:val="TableText"/>
              <w:spacing w:before="54" w:after="54"/>
            </w:pPr>
            <w:r>
              <w:rPr>
                <w:w w:val="105"/>
              </w:rPr>
              <w:t>National</w:t>
            </w:r>
            <w:r>
              <w:rPr>
                <w:spacing w:val="-10"/>
                <w:w w:val="105"/>
              </w:rPr>
              <w:t xml:space="preserve"> </w:t>
            </w:r>
            <w:r>
              <w:rPr>
                <w:w w:val="105"/>
              </w:rPr>
              <w:t>health</w:t>
            </w:r>
            <w:r>
              <w:rPr>
                <w:spacing w:val="-10"/>
                <w:w w:val="105"/>
              </w:rPr>
              <w:t xml:space="preserve"> </w:t>
            </w:r>
            <w:r>
              <w:rPr>
                <w:w w:val="105"/>
              </w:rPr>
              <w:t>response</w:t>
            </w:r>
            <w:r>
              <w:rPr>
                <w:spacing w:val="-10"/>
                <w:w w:val="105"/>
              </w:rPr>
              <w:t xml:space="preserve"> </w:t>
            </w:r>
            <w:r>
              <w:rPr>
                <w:w w:val="105"/>
              </w:rPr>
              <w:t>to COVID-19</w:t>
            </w:r>
          </w:p>
        </w:tc>
        <w:tc>
          <w:tcPr>
            <w:tcW w:w="430" w:type="dxa"/>
          </w:tcPr>
          <w:p w14:paraId="5D2FCFC2" w14:textId="77777777" w:rsidR="0004602B" w:rsidRPr="00966312" w:rsidRDefault="0004602B" w:rsidP="00E66E92">
            <w:pPr>
              <w:pStyle w:val="TableText"/>
              <w:spacing w:before="54" w:after="54"/>
              <w:ind w:left="0" w:right="0"/>
              <w:jc w:val="right"/>
            </w:pPr>
          </w:p>
        </w:tc>
        <w:tc>
          <w:tcPr>
            <w:tcW w:w="1151" w:type="dxa"/>
          </w:tcPr>
          <w:p w14:paraId="1A03634F" w14:textId="3628FAF1" w:rsidR="0004602B" w:rsidRPr="00966312" w:rsidRDefault="0004602B" w:rsidP="00E66E92">
            <w:pPr>
              <w:pStyle w:val="TableText"/>
              <w:spacing w:before="54" w:after="54"/>
              <w:jc w:val="right"/>
            </w:pPr>
            <w:r w:rsidRPr="00966312">
              <w:t>66,875</w:t>
            </w:r>
          </w:p>
        </w:tc>
        <w:tc>
          <w:tcPr>
            <w:tcW w:w="1115" w:type="dxa"/>
          </w:tcPr>
          <w:p w14:paraId="0F057B69" w14:textId="77777777" w:rsidR="0004602B" w:rsidRPr="00966312" w:rsidRDefault="0004602B" w:rsidP="00E66E92">
            <w:pPr>
              <w:pStyle w:val="TableText"/>
              <w:spacing w:before="54" w:after="54"/>
              <w:jc w:val="right"/>
            </w:pPr>
            <w:r w:rsidRPr="00966312">
              <w:t>43,297</w:t>
            </w:r>
          </w:p>
        </w:tc>
        <w:tc>
          <w:tcPr>
            <w:tcW w:w="1136" w:type="dxa"/>
          </w:tcPr>
          <w:p w14:paraId="605C16FA" w14:textId="77777777" w:rsidR="0004602B" w:rsidRPr="00966312" w:rsidRDefault="0004602B" w:rsidP="00E66E92">
            <w:pPr>
              <w:pStyle w:val="TableText"/>
              <w:spacing w:before="54" w:after="54"/>
              <w:jc w:val="right"/>
            </w:pPr>
            <w:r w:rsidRPr="00966312">
              <w:t>89,497</w:t>
            </w:r>
          </w:p>
        </w:tc>
        <w:tc>
          <w:tcPr>
            <w:tcW w:w="1276" w:type="dxa"/>
          </w:tcPr>
          <w:p w14:paraId="47EA58A0" w14:textId="77777777" w:rsidR="0004602B" w:rsidRPr="00966312" w:rsidRDefault="0004602B" w:rsidP="00E66E92">
            <w:pPr>
              <w:pStyle w:val="TableText"/>
              <w:spacing w:before="54" w:after="54"/>
              <w:jc w:val="right"/>
            </w:pPr>
            <w:r w:rsidRPr="00966312">
              <w:t>1</w:t>
            </w:r>
          </w:p>
        </w:tc>
      </w:tr>
      <w:tr w:rsidR="00490643" w14:paraId="52C9457A" w14:textId="77777777" w:rsidTr="00E1477E">
        <w:trPr>
          <w:trHeight w:val="327"/>
        </w:trPr>
        <w:tc>
          <w:tcPr>
            <w:tcW w:w="1264" w:type="dxa"/>
          </w:tcPr>
          <w:p w14:paraId="108B1807" w14:textId="77777777" w:rsidR="00490643" w:rsidRPr="00966312" w:rsidRDefault="00490643" w:rsidP="00E66E92">
            <w:pPr>
              <w:pStyle w:val="TableText"/>
              <w:spacing w:before="54" w:after="54"/>
              <w:jc w:val="right"/>
            </w:pPr>
          </w:p>
        </w:tc>
        <w:tc>
          <w:tcPr>
            <w:tcW w:w="3407" w:type="dxa"/>
            <w:gridSpan w:val="2"/>
          </w:tcPr>
          <w:p w14:paraId="1B05A919" w14:textId="46B57A28" w:rsidR="00490643" w:rsidRPr="00966312" w:rsidRDefault="00490643" w:rsidP="00490643">
            <w:pPr>
              <w:pStyle w:val="TableText"/>
              <w:spacing w:before="54" w:after="54"/>
              <w:ind w:left="0" w:right="0"/>
            </w:pPr>
            <w:r>
              <w:rPr>
                <w:i/>
                <w:w w:val="105"/>
              </w:rPr>
              <w:t xml:space="preserve"> Health</w:t>
            </w:r>
            <w:r>
              <w:rPr>
                <w:i/>
                <w:spacing w:val="8"/>
                <w:w w:val="105"/>
              </w:rPr>
              <w:t xml:space="preserve"> </w:t>
            </w:r>
            <w:r>
              <w:rPr>
                <w:i/>
                <w:w w:val="105"/>
              </w:rPr>
              <w:t>and</w:t>
            </w:r>
            <w:r>
              <w:rPr>
                <w:i/>
                <w:spacing w:val="8"/>
                <w:w w:val="105"/>
              </w:rPr>
              <w:t xml:space="preserve"> </w:t>
            </w:r>
            <w:r>
              <w:rPr>
                <w:i/>
                <w:w w:val="105"/>
              </w:rPr>
              <w:t>disability</w:t>
            </w:r>
            <w:r>
              <w:rPr>
                <w:i/>
                <w:spacing w:val="8"/>
                <w:w w:val="105"/>
              </w:rPr>
              <w:t xml:space="preserve"> </w:t>
            </w:r>
            <w:r>
              <w:rPr>
                <w:i/>
                <w:w w:val="105"/>
              </w:rPr>
              <w:t>system</w:t>
            </w:r>
            <w:r>
              <w:rPr>
                <w:i/>
                <w:spacing w:val="8"/>
                <w:w w:val="105"/>
              </w:rPr>
              <w:t xml:space="preserve"> </w:t>
            </w:r>
            <w:r>
              <w:rPr>
                <w:i/>
                <w:w w:val="105"/>
              </w:rPr>
              <w:t>reform</w:t>
            </w:r>
          </w:p>
        </w:tc>
        <w:tc>
          <w:tcPr>
            <w:tcW w:w="1151" w:type="dxa"/>
          </w:tcPr>
          <w:p w14:paraId="0F7469C0" w14:textId="0E422803" w:rsidR="00490643" w:rsidRPr="00966312" w:rsidRDefault="00490643" w:rsidP="00E66E92">
            <w:pPr>
              <w:pStyle w:val="TableText"/>
              <w:spacing w:before="54" w:after="54"/>
              <w:jc w:val="right"/>
            </w:pPr>
          </w:p>
        </w:tc>
        <w:tc>
          <w:tcPr>
            <w:tcW w:w="1115" w:type="dxa"/>
          </w:tcPr>
          <w:p w14:paraId="0009A606" w14:textId="77777777" w:rsidR="00490643" w:rsidRPr="00966312" w:rsidRDefault="00490643" w:rsidP="00E66E92">
            <w:pPr>
              <w:pStyle w:val="TableText"/>
              <w:spacing w:before="54" w:after="54"/>
              <w:jc w:val="right"/>
            </w:pPr>
          </w:p>
        </w:tc>
        <w:tc>
          <w:tcPr>
            <w:tcW w:w="1136" w:type="dxa"/>
          </w:tcPr>
          <w:p w14:paraId="0D32DB4C" w14:textId="77777777" w:rsidR="00490643" w:rsidRPr="00966312" w:rsidRDefault="00490643" w:rsidP="00E66E92">
            <w:pPr>
              <w:pStyle w:val="TableText"/>
              <w:spacing w:before="54" w:after="54"/>
              <w:jc w:val="right"/>
            </w:pPr>
          </w:p>
        </w:tc>
        <w:tc>
          <w:tcPr>
            <w:tcW w:w="1276" w:type="dxa"/>
          </w:tcPr>
          <w:p w14:paraId="73139F0A" w14:textId="77777777" w:rsidR="00490643" w:rsidRPr="00966312" w:rsidRDefault="00490643" w:rsidP="00E66E92">
            <w:pPr>
              <w:pStyle w:val="TableText"/>
              <w:spacing w:before="54" w:after="54"/>
              <w:jc w:val="right"/>
            </w:pPr>
          </w:p>
        </w:tc>
      </w:tr>
      <w:tr w:rsidR="0004602B" w14:paraId="034AD29F" w14:textId="77777777" w:rsidTr="00E66E92">
        <w:trPr>
          <w:trHeight w:val="327"/>
        </w:trPr>
        <w:tc>
          <w:tcPr>
            <w:tcW w:w="1264" w:type="dxa"/>
          </w:tcPr>
          <w:p w14:paraId="0E7B30EA" w14:textId="77777777" w:rsidR="0004602B" w:rsidRPr="00966312" w:rsidRDefault="0004602B" w:rsidP="00E66E92">
            <w:pPr>
              <w:pStyle w:val="TableText"/>
              <w:spacing w:before="54" w:after="54"/>
              <w:jc w:val="right"/>
            </w:pPr>
            <w:r w:rsidRPr="00966312">
              <w:t>–</w:t>
            </w:r>
          </w:p>
        </w:tc>
        <w:tc>
          <w:tcPr>
            <w:tcW w:w="2977" w:type="dxa"/>
          </w:tcPr>
          <w:p w14:paraId="27104173" w14:textId="77777777" w:rsidR="0004602B" w:rsidRDefault="0004602B" w:rsidP="00E66E92">
            <w:pPr>
              <w:pStyle w:val="TableText"/>
              <w:spacing w:before="54" w:after="54"/>
            </w:pPr>
            <w:r>
              <w:t>Health</w:t>
            </w:r>
            <w:r>
              <w:rPr>
                <w:spacing w:val="1"/>
              </w:rPr>
              <w:t xml:space="preserve"> </w:t>
            </w:r>
            <w:r>
              <w:t>New</w:t>
            </w:r>
            <w:r>
              <w:rPr>
                <w:spacing w:val="2"/>
              </w:rPr>
              <w:t xml:space="preserve"> </w:t>
            </w:r>
            <w:r>
              <w:t>Zealand</w:t>
            </w:r>
          </w:p>
        </w:tc>
        <w:tc>
          <w:tcPr>
            <w:tcW w:w="430" w:type="dxa"/>
          </w:tcPr>
          <w:p w14:paraId="604677B4" w14:textId="77777777" w:rsidR="0004602B" w:rsidRPr="00966312" w:rsidRDefault="0004602B" w:rsidP="00E66E92">
            <w:pPr>
              <w:pStyle w:val="TableText"/>
              <w:spacing w:before="54" w:after="54"/>
              <w:ind w:left="0" w:right="0"/>
              <w:jc w:val="right"/>
            </w:pPr>
          </w:p>
        </w:tc>
        <w:tc>
          <w:tcPr>
            <w:tcW w:w="1151" w:type="dxa"/>
          </w:tcPr>
          <w:p w14:paraId="35AB9459" w14:textId="4334EBCA" w:rsidR="0004602B" w:rsidRPr="00966312" w:rsidRDefault="0004602B" w:rsidP="00E66E92">
            <w:pPr>
              <w:pStyle w:val="TableText"/>
              <w:spacing w:before="54" w:after="54"/>
              <w:jc w:val="right"/>
            </w:pPr>
            <w:r w:rsidRPr="00966312">
              <w:t>22,081</w:t>
            </w:r>
          </w:p>
        </w:tc>
        <w:tc>
          <w:tcPr>
            <w:tcW w:w="1115" w:type="dxa"/>
          </w:tcPr>
          <w:p w14:paraId="1266DD52" w14:textId="77777777" w:rsidR="0004602B" w:rsidRPr="00966312" w:rsidRDefault="0004602B" w:rsidP="00E66E92">
            <w:pPr>
              <w:pStyle w:val="TableText"/>
              <w:spacing w:before="54" w:after="54"/>
              <w:jc w:val="right"/>
            </w:pPr>
            <w:r w:rsidRPr="00966312">
              <w:t>21,495</w:t>
            </w:r>
          </w:p>
        </w:tc>
        <w:tc>
          <w:tcPr>
            <w:tcW w:w="1136" w:type="dxa"/>
          </w:tcPr>
          <w:p w14:paraId="0F45551B" w14:textId="77777777" w:rsidR="0004602B" w:rsidRPr="00966312" w:rsidRDefault="0004602B" w:rsidP="00E66E92">
            <w:pPr>
              <w:pStyle w:val="TableText"/>
              <w:spacing w:before="54" w:after="54"/>
              <w:jc w:val="right"/>
            </w:pPr>
            <w:r w:rsidRPr="00966312">
              <w:t>25,495</w:t>
            </w:r>
          </w:p>
        </w:tc>
        <w:tc>
          <w:tcPr>
            <w:tcW w:w="1276" w:type="dxa"/>
          </w:tcPr>
          <w:p w14:paraId="71DE96C4" w14:textId="77777777" w:rsidR="0004602B" w:rsidRPr="00966312" w:rsidRDefault="0004602B" w:rsidP="00E66E92">
            <w:pPr>
              <w:pStyle w:val="TableText"/>
              <w:spacing w:before="54" w:after="54"/>
              <w:jc w:val="right"/>
            </w:pPr>
            <w:r w:rsidRPr="00966312">
              <w:t>1</w:t>
            </w:r>
          </w:p>
        </w:tc>
      </w:tr>
      <w:tr w:rsidR="0004602B" w14:paraId="4A8D3072" w14:textId="77777777" w:rsidTr="00E66E92">
        <w:trPr>
          <w:trHeight w:val="325"/>
        </w:trPr>
        <w:tc>
          <w:tcPr>
            <w:tcW w:w="1264" w:type="dxa"/>
          </w:tcPr>
          <w:p w14:paraId="687EC326" w14:textId="77777777" w:rsidR="0004602B" w:rsidRPr="00966312" w:rsidRDefault="0004602B" w:rsidP="00E66E92">
            <w:pPr>
              <w:pStyle w:val="TableText"/>
              <w:spacing w:before="54" w:after="54"/>
              <w:jc w:val="right"/>
            </w:pPr>
            <w:r w:rsidRPr="00966312">
              <w:t>–</w:t>
            </w:r>
          </w:p>
        </w:tc>
        <w:tc>
          <w:tcPr>
            <w:tcW w:w="2977" w:type="dxa"/>
          </w:tcPr>
          <w:p w14:paraId="62117B25" w14:textId="77777777" w:rsidR="0004602B" w:rsidRDefault="0004602B" w:rsidP="00E66E92">
            <w:pPr>
              <w:pStyle w:val="TableText"/>
              <w:spacing w:before="54" w:after="54"/>
            </w:pPr>
            <w:r>
              <w:t>Māori</w:t>
            </w:r>
            <w:r>
              <w:rPr>
                <w:spacing w:val="12"/>
              </w:rPr>
              <w:t xml:space="preserve"> </w:t>
            </w:r>
            <w:r>
              <w:t>Health</w:t>
            </w:r>
            <w:r>
              <w:rPr>
                <w:spacing w:val="12"/>
              </w:rPr>
              <w:t xml:space="preserve"> </w:t>
            </w:r>
            <w:r>
              <w:t>Authority</w:t>
            </w:r>
          </w:p>
        </w:tc>
        <w:tc>
          <w:tcPr>
            <w:tcW w:w="430" w:type="dxa"/>
          </w:tcPr>
          <w:p w14:paraId="47F6C024" w14:textId="77777777" w:rsidR="0004602B" w:rsidRPr="00966312" w:rsidRDefault="0004602B" w:rsidP="00E66E92">
            <w:pPr>
              <w:pStyle w:val="TableText"/>
              <w:spacing w:before="54" w:after="54"/>
              <w:ind w:left="0" w:right="0"/>
              <w:jc w:val="right"/>
            </w:pPr>
          </w:p>
        </w:tc>
        <w:tc>
          <w:tcPr>
            <w:tcW w:w="1151" w:type="dxa"/>
          </w:tcPr>
          <w:p w14:paraId="53AE3253" w14:textId="0A6B0DA2" w:rsidR="0004602B" w:rsidRPr="00966312" w:rsidRDefault="0004602B" w:rsidP="00E66E92">
            <w:pPr>
              <w:pStyle w:val="TableText"/>
              <w:spacing w:before="54" w:after="54"/>
              <w:jc w:val="right"/>
            </w:pPr>
            <w:r w:rsidRPr="00966312">
              <w:t>7,660</w:t>
            </w:r>
          </w:p>
        </w:tc>
        <w:tc>
          <w:tcPr>
            <w:tcW w:w="1115" w:type="dxa"/>
          </w:tcPr>
          <w:p w14:paraId="5CCD8BF8" w14:textId="77777777" w:rsidR="0004602B" w:rsidRPr="00966312" w:rsidRDefault="0004602B" w:rsidP="00E66E92">
            <w:pPr>
              <w:pStyle w:val="TableText"/>
              <w:spacing w:before="54" w:after="54"/>
              <w:jc w:val="right"/>
            </w:pPr>
            <w:r w:rsidRPr="00966312">
              <w:t>23,119</w:t>
            </w:r>
          </w:p>
        </w:tc>
        <w:tc>
          <w:tcPr>
            <w:tcW w:w="1136" w:type="dxa"/>
          </w:tcPr>
          <w:p w14:paraId="547F7F8F" w14:textId="77777777" w:rsidR="0004602B" w:rsidRPr="00966312" w:rsidRDefault="0004602B" w:rsidP="00E66E92">
            <w:pPr>
              <w:pStyle w:val="TableText"/>
              <w:spacing w:before="54" w:after="54"/>
              <w:jc w:val="right"/>
            </w:pPr>
            <w:r w:rsidRPr="00966312">
              <w:t>24,139</w:t>
            </w:r>
          </w:p>
        </w:tc>
        <w:tc>
          <w:tcPr>
            <w:tcW w:w="1276" w:type="dxa"/>
          </w:tcPr>
          <w:p w14:paraId="3A4D8251" w14:textId="77777777" w:rsidR="0004602B" w:rsidRPr="00966312" w:rsidRDefault="0004602B" w:rsidP="00E66E92">
            <w:pPr>
              <w:pStyle w:val="TableText"/>
              <w:spacing w:before="54" w:after="54"/>
              <w:jc w:val="right"/>
            </w:pPr>
            <w:r w:rsidRPr="00966312">
              <w:t>1</w:t>
            </w:r>
          </w:p>
        </w:tc>
      </w:tr>
      <w:tr w:rsidR="0004602B" w:rsidRPr="000F0AE5" w14:paraId="664D8A2F" w14:textId="77777777" w:rsidTr="00E66E92">
        <w:trPr>
          <w:trHeight w:val="295"/>
        </w:trPr>
        <w:tc>
          <w:tcPr>
            <w:tcW w:w="1264" w:type="dxa"/>
            <w:tcBorders>
              <w:bottom w:val="single" w:sz="4" w:space="0" w:color="A6A6A6" w:themeColor="background1" w:themeShade="A6"/>
            </w:tcBorders>
          </w:tcPr>
          <w:p w14:paraId="25886925" w14:textId="77777777" w:rsidR="0004602B" w:rsidRPr="000F0AE5" w:rsidRDefault="0004602B" w:rsidP="00E66E92">
            <w:pPr>
              <w:pStyle w:val="TableText"/>
              <w:spacing w:before="54" w:after="54"/>
              <w:jc w:val="right"/>
              <w:rPr>
                <w:b/>
                <w:bCs/>
              </w:rPr>
            </w:pPr>
            <w:r w:rsidRPr="000F0AE5">
              <w:rPr>
                <w:b/>
                <w:bCs/>
              </w:rPr>
              <w:t>58,088</w:t>
            </w:r>
          </w:p>
        </w:tc>
        <w:tc>
          <w:tcPr>
            <w:tcW w:w="2977" w:type="dxa"/>
            <w:tcBorders>
              <w:bottom w:val="single" w:sz="4" w:space="0" w:color="A6A6A6" w:themeColor="background1" w:themeShade="A6"/>
            </w:tcBorders>
          </w:tcPr>
          <w:p w14:paraId="7D368136" w14:textId="77777777" w:rsidR="0004602B" w:rsidRPr="000F0AE5" w:rsidRDefault="0004602B" w:rsidP="00E66E92">
            <w:pPr>
              <w:pStyle w:val="TableText"/>
              <w:spacing w:before="54" w:after="54"/>
              <w:rPr>
                <w:b/>
                <w:bCs/>
              </w:rPr>
            </w:pPr>
            <w:r w:rsidRPr="000F0AE5">
              <w:rPr>
                <w:b/>
                <w:bCs/>
                <w:w w:val="105"/>
              </w:rPr>
              <w:t>Total</w:t>
            </w:r>
            <w:r w:rsidRPr="000F0AE5">
              <w:rPr>
                <w:b/>
                <w:bCs/>
                <w:spacing w:val="12"/>
                <w:w w:val="105"/>
              </w:rPr>
              <w:t xml:space="preserve"> </w:t>
            </w:r>
            <w:r w:rsidRPr="000F0AE5">
              <w:rPr>
                <w:b/>
                <w:bCs/>
                <w:w w:val="105"/>
              </w:rPr>
              <w:t>multi-category</w:t>
            </w:r>
            <w:r w:rsidRPr="000F0AE5">
              <w:rPr>
                <w:b/>
                <w:bCs/>
                <w:spacing w:val="12"/>
                <w:w w:val="105"/>
              </w:rPr>
              <w:t xml:space="preserve"> </w:t>
            </w:r>
            <w:r w:rsidRPr="000F0AE5">
              <w:rPr>
                <w:b/>
                <w:bCs/>
                <w:w w:val="105"/>
              </w:rPr>
              <w:t>expenses</w:t>
            </w:r>
          </w:p>
        </w:tc>
        <w:tc>
          <w:tcPr>
            <w:tcW w:w="430" w:type="dxa"/>
            <w:tcBorders>
              <w:bottom w:val="single" w:sz="4" w:space="0" w:color="A6A6A6" w:themeColor="background1" w:themeShade="A6"/>
            </w:tcBorders>
          </w:tcPr>
          <w:p w14:paraId="11A11922" w14:textId="77777777" w:rsidR="0004602B" w:rsidRPr="000F0AE5" w:rsidRDefault="0004602B" w:rsidP="00E66E92">
            <w:pPr>
              <w:pStyle w:val="TableText"/>
              <w:spacing w:before="54" w:after="54"/>
              <w:ind w:left="0" w:right="0"/>
              <w:jc w:val="right"/>
              <w:rPr>
                <w:b/>
                <w:bCs/>
              </w:rPr>
            </w:pPr>
          </w:p>
        </w:tc>
        <w:tc>
          <w:tcPr>
            <w:tcW w:w="1151" w:type="dxa"/>
            <w:tcBorders>
              <w:bottom w:val="single" w:sz="4" w:space="0" w:color="A6A6A6" w:themeColor="background1" w:themeShade="A6"/>
            </w:tcBorders>
          </w:tcPr>
          <w:p w14:paraId="2F07ED7A" w14:textId="6035F912" w:rsidR="0004602B" w:rsidRPr="000F0AE5" w:rsidRDefault="0004602B" w:rsidP="00E66E92">
            <w:pPr>
              <w:pStyle w:val="TableText"/>
              <w:spacing w:before="54" w:after="54"/>
              <w:jc w:val="right"/>
              <w:rPr>
                <w:b/>
                <w:bCs/>
              </w:rPr>
            </w:pPr>
            <w:r w:rsidRPr="000F0AE5">
              <w:rPr>
                <w:b/>
                <w:bCs/>
              </w:rPr>
              <w:t>288,181</w:t>
            </w:r>
          </w:p>
        </w:tc>
        <w:tc>
          <w:tcPr>
            <w:tcW w:w="1115" w:type="dxa"/>
            <w:tcBorders>
              <w:bottom w:val="single" w:sz="4" w:space="0" w:color="A6A6A6" w:themeColor="background1" w:themeShade="A6"/>
            </w:tcBorders>
          </w:tcPr>
          <w:p w14:paraId="5E2E3AB5" w14:textId="77777777" w:rsidR="0004602B" w:rsidRPr="000F0AE5" w:rsidRDefault="0004602B" w:rsidP="00E66E92">
            <w:pPr>
              <w:pStyle w:val="TableText"/>
              <w:spacing w:before="54" w:after="54"/>
              <w:jc w:val="right"/>
              <w:rPr>
                <w:b/>
                <w:bCs/>
              </w:rPr>
            </w:pPr>
            <w:r w:rsidRPr="000F0AE5">
              <w:rPr>
                <w:b/>
                <w:bCs/>
              </w:rPr>
              <w:t>111,761</w:t>
            </w:r>
          </w:p>
        </w:tc>
        <w:tc>
          <w:tcPr>
            <w:tcW w:w="1136" w:type="dxa"/>
            <w:tcBorders>
              <w:bottom w:val="single" w:sz="4" w:space="0" w:color="A6A6A6" w:themeColor="background1" w:themeShade="A6"/>
            </w:tcBorders>
          </w:tcPr>
          <w:p w14:paraId="2E8F2658" w14:textId="77777777" w:rsidR="0004602B" w:rsidRPr="000F0AE5" w:rsidRDefault="0004602B" w:rsidP="00E66E92">
            <w:pPr>
              <w:pStyle w:val="TableText"/>
              <w:spacing w:before="54" w:after="54"/>
              <w:jc w:val="right"/>
              <w:rPr>
                <w:b/>
                <w:bCs/>
              </w:rPr>
            </w:pPr>
            <w:r w:rsidRPr="000F0AE5">
              <w:rPr>
                <w:b/>
                <w:bCs/>
              </w:rPr>
              <w:t>344,917</w:t>
            </w:r>
          </w:p>
        </w:tc>
        <w:tc>
          <w:tcPr>
            <w:tcW w:w="1276" w:type="dxa"/>
            <w:tcBorders>
              <w:bottom w:val="single" w:sz="4" w:space="0" w:color="A6A6A6" w:themeColor="background1" w:themeShade="A6"/>
            </w:tcBorders>
          </w:tcPr>
          <w:p w14:paraId="44BEC9B9" w14:textId="77777777" w:rsidR="0004602B" w:rsidRPr="000F0AE5" w:rsidRDefault="0004602B" w:rsidP="00E66E92">
            <w:pPr>
              <w:pStyle w:val="TableText"/>
              <w:spacing w:before="54" w:after="54"/>
              <w:jc w:val="right"/>
              <w:rPr>
                <w:b/>
                <w:bCs/>
              </w:rPr>
            </w:pPr>
          </w:p>
        </w:tc>
      </w:tr>
      <w:tr w:rsidR="0004602B" w:rsidRPr="000F0AE5" w14:paraId="55781DB5" w14:textId="77777777" w:rsidTr="00E66E92">
        <w:trPr>
          <w:trHeight w:val="537"/>
        </w:trPr>
        <w:tc>
          <w:tcPr>
            <w:tcW w:w="1264" w:type="dxa"/>
            <w:tcBorders>
              <w:top w:val="single" w:sz="4" w:space="0" w:color="A6A6A6" w:themeColor="background1" w:themeShade="A6"/>
              <w:bottom w:val="single" w:sz="4" w:space="0" w:color="A6A6A6" w:themeColor="background1" w:themeShade="A6"/>
            </w:tcBorders>
          </w:tcPr>
          <w:p w14:paraId="47BB0DF5" w14:textId="77777777" w:rsidR="0004602B" w:rsidRPr="000F0AE5" w:rsidRDefault="0004602B" w:rsidP="00E66E92">
            <w:pPr>
              <w:pStyle w:val="TableText"/>
              <w:spacing w:before="54" w:after="54"/>
              <w:jc w:val="right"/>
              <w:rPr>
                <w:b/>
                <w:bCs/>
              </w:rPr>
            </w:pPr>
            <w:r w:rsidRPr="000F0AE5">
              <w:rPr>
                <w:b/>
                <w:bCs/>
              </w:rPr>
              <w:t>386,576</w:t>
            </w:r>
          </w:p>
        </w:tc>
        <w:tc>
          <w:tcPr>
            <w:tcW w:w="2977" w:type="dxa"/>
            <w:tcBorders>
              <w:top w:val="single" w:sz="4" w:space="0" w:color="A6A6A6" w:themeColor="background1" w:themeShade="A6"/>
              <w:bottom w:val="single" w:sz="4" w:space="0" w:color="A6A6A6" w:themeColor="background1" w:themeShade="A6"/>
            </w:tcBorders>
          </w:tcPr>
          <w:p w14:paraId="6E134485" w14:textId="5EE7DD08" w:rsidR="0004602B" w:rsidRPr="000F0AE5" w:rsidRDefault="0004602B" w:rsidP="00E66E92">
            <w:pPr>
              <w:pStyle w:val="TableText"/>
              <w:spacing w:before="54" w:after="54"/>
              <w:rPr>
                <w:b/>
                <w:bCs/>
              </w:rPr>
            </w:pPr>
            <w:r w:rsidRPr="000F0AE5">
              <w:rPr>
                <w:b/>
                <w:bCs/>
                <w:w w:val="110"/>
              </w:rPr>
              <w:t>Total</w:t>
            </w:r>
            <w:r w:rsidRPr="000F0AE5">
              <w:rPr>
                <w:b/>
                <w:bCs/>
                <w:spacing w:val="-11"/>
                <w:w w:val="110"/>
              </w:rPr>
              <w:t xml:space="preserve"> </w:t>
            </w:r>
            <w:r w:rsidRPr="000F0AE5">
              <w:rPr>
                <w:b/>
                <w:bCs/>
                <w:w w:val="110"/>
              </w:rPr>
              <w:t>departmental</w:t>
            </w:r>
            <w:r w:rsidRPr="000F0AE5">
              <w:rPr>
                <w:b/>
                <w:bCs/>
                <w:spacing w:val="-10"/>
                <w:w w:val="110"/>
              </w:rPr>
              <w:t xml:space="preserve"> </w:t>
            </w:r>
            <w:r w:rsidRPr="000F0AE5">
              <w:rPr>
                <w:b/>
                <w:bCs/>
                <w:w w:val="110"/>
              </w:rPr>
              <w:t>and</w:t>
            </w:r>
            <w:r w:rsidRPr="000F0AE5">
              <w:rPr>
                <w:b/>
                <w:bCs/>
                <w:spacing w:val="-10"/>
                <w:w w:val="110"/>
              </w:rPr>
              <w:t xml:space="preserve"> </w:t>
            </w:r>
            <w:r w:rsidRPr="000F0AE5">
              <w:rPr>
                <w:b/>
                <w:bCs/>
                <w:w w:val="110"/>
              </w:rPr>
              <w:t>multi-category output expenses</w:t>
            </w:r>
          </w:p>
        </w:tc>
        <w:tc>
          <w:tcPr>
            <w:tcW w:w="430" w:type="dxa"/>
            <w:tcBorders>
              <w:top w:val="single" w:sz="4" w:space="0" w:color="A6A6A6" w:themeColor="background1" w:themeShade="A6"/>
              <w:bottom w:val="single" w:sz="4" w:space="0" w:color="A6A6A6" w:themeColor="background1" w:themeShade="A6"/>
            </w:tcBorders>
          </w:tcPr>
          <w:p w14:paraId="04D35E61" w14:textId="77777777" w:rsidR="0004602B" w:rsidRPr="000F0AE5" w:rsidRDefault="0004602B" w:rsidP="00E66E92">
            <w:pPr>
              <w:pStyle w:val="TableText"/>
              <w:spacing w:before="54" w:after="54"/>
              <w:ind w:left="0" w:right="0"/>
              <w:jc w:val="right"/>
              <w:rPr>
                <w:b/>
                <w:bCs/>
              </w:rPr>
            </w:pPr>
          </w:p>
        </w:tc>
        <w:tc>
          <w:tcPr>
            <w:tcW w:w="1151" w:type="dxa"/>
            <w:tcBorders>
              <w:top w:val="single" w:sz="4" w:space="0" w:color="A6A6A6" w:themeColor="background1" w:themeShade="A6"/>
              <w:bottom w:val="single" w:sz="4" w:space="0" w:color="A6A6A6" w:themeColor="background1" w:themeShade="A6"/>
            </w:tcBorders>
          </w:tcPr>
          <w:p w14:paraId="74389E52" w14:textId="6C4DEEE9" w:rsidR="0004602B" w:rsidRPr="000F0AE5" w:rsidRDefault="0004602B" w:rsidP="00E66E92">
            <w:pPr>
              <w:pStyle w:val="TableText"/>
              <w:spacing w:before="54" w:after="54"/>
              <w:jc w:val="right"/>
              <w:rPr>
                <w:b/>
                <w:bCs/>
              </w:rPr>
            </w:pPr>
            <w:r w:rsidRPr="000F0AE5">
              <w:rPr>
                <w:b/>
                <w:bCs/>
              </w:rPr>
              <w:t>736,601</w:t>
            </w:r>
          </w:p>
        </w:tc>
        <w:tc>
          <w:tcPr>
            <w:tcW w:w="1115" w:type="dxa"/>
            <w:tcBorders>
              <w:top w:val="single" w:sz="4" w:space="0" w:color="A6A6A6" w:themeColor="background1" w:themeShade="A6"/>
              <w:bottom w:val="single" w:sz="4" w:space="0" w:color="A6A6A6" w:themeColor="background1" w:themeShade="A6"/>
            </w:tcBorders>
          </w:tcPr>
          <w:p w14:paraId="3B1EA14E" w14:textId="77777777" w:rsidR="0004602B" w:rsidRPr="000F0AE5" w:rsidRDefault="0004602B" w:rsidP="00E66E92">
            <w:pPr>
              <w:pStyle w:val="TableText"/>
              <w:spacing w:before="54" w:after="54"/>
              <w:jc w:val="right"/>
              <w:rPr>
                <w:b/>
                <w:bCs/>
              </w:rPr>
            </w:pPr>
            <w:r w:rsidRPr="000F0AE5">
              <w:rPr>
                <w:b/>
                <w:bCs/>
              </w:rPr>
              <w:t>446,034</w:t>
            </w:r>
          </w:p>
        </w:tc>
        <w:tc>
          <w:tcPr>
            <w:tcW w:w="1136" w:type="dxa"/>
            <w:tcBorders>
              <w:top w:val="single" w:sz="4" w:space="0" w:color="A6A6A6" w:themeColor="background1" w:themeShade="A6"/>
              <w:bottom w:val="single" w:sz="4" w:space="0" w:color="A6A6A6" w:themeColor="background1" w:themeShade="A6"/>
            </w:tcBorders>
          </w:tcPr>
          <w:p w14:paraId="211F0E5F" w14:textId="77777777" w:rsidR="0004602B" w:rsidRPr="000F0AE5" w:rsidRDefault="0004602B" w:rsidP="00E66E92">
            <w:pPr>
              <w:pStyle w:val="TableText"/>
              <w:spacing w:before="54" w:after="54"/>
              <w:jc w:val="right"/>
              <w:rPr>
                <w:b/>
                <w:bCs/>
              </w:rPr>
            </w:pPr>
            <w:r w:rsidRPr="000F0AE5">
              <w:rPr>
                <w:b/>
                <w:bCs/>
              </w:rPr>
              <w:t>880,805</w:t>
            </w:r>
          </w:p>
        </w:tc>
        <w:tc>
          <w:tcPr>
            <w:tcW w:w="1276" w:type="dxa"/>
            <w:tcBorders>
              <w:top w:val="single" w:sz="4" w:space="0" w:color="A6A6A6" w:themeColor="background1" w:themeShade="A6"/>
              <w:bottom w:val="single" w:sz="4" w:space="0" w:color="A6A6A6" w:themeColor="background1" w:themeShade="A6"/>
            </w:tcBorders>
          </w:tcPr>
          <w:p w14:paraId="3F770E9B" w14:textId="77777777" w:rsidR="0004602B" w:rsidRPr="000F0AE5" w:rsidRDefault="0004602B" w:rsidP="00E66E92">
            <w:pPr>
              <w:pStyle w:val="TableText"/>
              <w:spacing w:before="54" w:after="54"/>
              <w:jc w:val="right"/>
              <w:rPr>
                <w:b/>
                <w:bCs/>
              </w:rPr>
            </w:pPr>
          </w:p>
        </w:tc>
      </w:tr>
      <w:tr w:rsidR="00E66E92" w14:paraId="754412A7" w14:textId="77777777" w:rsidTr="00E66E92">
        <w:trPr>
          <w:trHeight w:val="354"/>
        </w:trPr>
        <w:tc>
          <w:tcPr>
            <w:tcW w:w="1264" w:type="dxa"/>
            <w:tcBorders>
              <w:top w:val="single" w:sz="4" w:space="0" w:color="A6A6A6" w:themeColor="background1" w:themeShade="A6"/>
            </w:tcBorders>
          </w:tcPr>
          <w:p w14:paraId="7C189AF1" w14:textId="77777777" w:rsidR="00E66E92" w:rsidRPr="00966312" w:rsidRDefault="00E66E92" w:rsidP="00E66E92">
            <w:pPr>
              <w:pStyle w:val="TableText"/>
              <w:spacing w:before="54" w:after="54"/>
              <w:jc w:val="right"/>
            </w:pPr>
          </w:p>
        </w:tc>
        <w:tc>
          <w:tcPr>
            <w:tcW w:w="3407" w:type="dxa"/>
            <w:gridSpan w:val="2"/>
            <w:tcBorders>
              <w:top w:val="single" w:sz="4" w:space="0" w:color="A6A6A6" w:themeColor="background1" w:themeShade="A6"/>
            </w:tcBorders>
          </w:tcPr>
          <w:p w14:paraId="7624E599" w14:textId="0F830336" w:rsidR="00E66E92" w:rsidRPr="00966312" w:rsidRDefault="00E66E92" w:rsidP="00E66E92">
            <w:pPr>
              <w:pStyle w:val="TableText"/>
              <w:spacing w:before="54" w:after="54"/>
              <w:ind w:left="0" w:right="0"/>
            </w:pPr>
            <w:r>
              <w:rPr>
                <w:b/>
                <w:w w:val="105"/>
              </w:rPr>
              <w:t xml:space="preserve"> Departmental</w:t>
            </w:r>
            <w:r>
              <w:rPr>
                <w:b/>
                <w:spacing w:val="-2"/>
                <w:w w:val="105"/>
              </w:rPr>
              <w:t xml:space="preserve"> </w:t>
            </w:r>
            <w:r>
              <w:rPr>
                <w:b/>
                <w:w w:val="105"/>
              </w:rPr>
              <w:t>capital</w:t>
            </w:r>
            <w:r>
              <w:rPr>
                <w:b/>
                <w:spacing w:val="-2"/>
                <w:w w:val="105"/>
              </w:rPr>
              <w:t xml:space="preserve"> </w:t>
            </w:r>
            <w:r>
              <w:rPr>
                <w:b/>
                <w:w w:val="105"/>
              </w:rPr>
              <w:t>expenditure</w:t>
            </w:r>
          </w:p>
        </w:tc>
        <w:tc>
          <w:tcPr>
            <w:tcW w:w="1151" w:type="dxa"/>
            <w:tcBorders>
              <w:top w:val="single" w:sz="4" w:space="0" w:color="A6A6A6" w:themeColor="background1" w:themeShade="A6"/>
            </w:tcBorders>
          </w:tcPr>
          <w:p w14:paraId="4449BCC2" w14:textId="3BD85AEC" w:rsidR="00E66E92" w:rsidRPr="00966312" w:rsidRDefault="00E66E92" w:rsidP="00E66E92">
            <w:pPr>
              <w:pStyle w:val="TableText"/>
              <w:spacing w:before="54" w:after="54"/>
              <w:jc w:val="right"/>
            </w:pPr>
          </w:p>
        </w:tc>
        <w:tc>
          <w:tcPr>
            <w:tcW w:w="1115" w:type="dxa"/>
            <w:tcBorders>
              <w:top w:val="single" w:sz="4" w:space="0" w:color="A6A6A6" w:themeColor="background1" w:themeShade="A6"/>
            </w:tcBorders>
          </w:tcPr>
          <w:p w14:paraId="5BDB3A56" w14:textId="77777777" w:rsidR="00E66E92" w:rsidRPr="00966312" w:rsidRDefault="00E66E92" w:rsidP="00E66E92">
            <w:pPr>
              <w:pStyle w:val="TableText"/>
              <w:spacing w:before="54" w:after="54"/>
              <w:jc w:val="right"/>
            </w:pPr>
          </w:p>
        </w:tc>
        <w:tc>
          <w:tcPr>
            <w:tcW w:w="1136" w:type="dxa"/>
            <w:tcBorders>
              <w:top w:val="single" w:sz="4" w:space="0" w:color="A6A6A6" w:themeColor="background1" w:themeShade="A6"/>
            </w:tcBorders>
          </w:tcPr>
          <w:p w14:paraId="0459E99C" w14:textId="77777777" w:rsidR="00E66E92" w:rsidRPr="00966312" w:rsidRDefault="00E66E92" w:rsidP="00E66E92">
            <w:pPr>
              <w:pStyle w:val="TableText"/>
              <w:spacing w:before="54" w:after="54"/>
              <w:jc w:val="right"/>
            </w:pPr>
          </w:p>
        </w:tc>
        <w:tc>
          <w:tcPr>
            <w:tcW w:w="1276" w:type="dxa"/>
            <w:tcBorders>
              <w:top w:val="single" w:sz="4" w:space="0" w:color="A6A6A6" w:themeColor="background1" w:themeShade="A6"/>
            </w:tcBorders>
          </w:tcPr>
          <w:p w14:paraId="0863BC86" w14:textId="77777777" w:rsidR="00E66E92" w:rsidRPr="00966312" w:rsidRDefault="00E66E92" w:rsidP="00E66E92">
            <w:pPr>
              <w:pStyle w:val="TableText"/>
              <w:spacing w:before="54" w:after="54"/>
              <w:jc w:val="right"/>
            </w:pPr>
          </w:p>
        </w:tc>
      </w:tr>
      <w:tr w:rsidR="0004602B" w14:paraId="2A51300A" w14:textId="77777777" w:rsidTr="00E66E92">
        <w:trPr>
          <w:trHeight w:val="544"/>
        </w:trPr>
        <w:tc>
          <w:tcPr>
            <w:tcW w:w="1264" w:type="dxa"/>
          </w:tcPr>
          <w:p w14:paraId="4F8C96CA" w14:textId="77777777" w:rsidR="0004602B" w:rsidRPr="00966312" w:rsidRDefault="0004602B" w:rsidP="00E66E92">
            <w:pPr>
              <w:pStyle w:val="TableText"/>
              <w:spacing w:before="54" w:after="54"/>
              <w:jc w:val="right"/>
            </w:pPr>
            <w:r w:rsidRPr="00966312">
              <w:t>10,110</w:t>
            </w:r>
          </w:p>
        </w:tc>
        <w:tc>
          <w:tcPr>
            <w:tcW w:w="2977" w:type="dxa"/>
          </w:tcPr>
          <w:p w14:paraId="5F81A29D" w14:textId="77BB7396" w:rsidR="0004602B" w:rsidRDefault="0004602B" w:rsidP="00E66E92">
            <w:pPr>
              <w:pStyle w:val="TableText"/>
              <w:spacing w:before="54" w:after="54"/>
            </w:pPr>
            <w:r>
              <w:rPr>
                <w:w w:val="105"/>
              </w:rPr>
              <w:t>Ministry</w:t>
            </w:r>
            <w:r>
              <w:rPr>
                <w:spacing w:val="-3"/>
                <w:w w:val="105"/>
              </w:rPr>
              <w:t xml:space="preserve"> </w:t>
            </w:r>
            <w:r>
              <w:rPr>
                <w:w w:val="105"/>
              </w:rPr>
              <w:t>of</w:t>
            </w:r>
            <w:r>
              <w:rPr>
                <w:spacing w:val="-2"/>
                <w:w w:val="105"/>
              </w:rPr>
              <w:t xml:space="preserve"> </w:t>
            </w:r>
            <w:r>
              <w:rPr>
                <w:w w:val="105"/>
              </w:rPr>
              <w:t>Health</w:t>
            </w:r>
            <w:r>
              <w:rPr>
                <w:spacing w:val="-2"/>
                <w:w w:val="105"/>
              </w:rPr>
              <w:t xml:space="preserve"> </w:t>
            </w:r>
            <w:r>
              <w:rPr>
                <w:w w:val="105"/>
              </w:rPr>
              <w:t>–</w:t>
            </w:r>
            <w:r>
              <w:rPr>
                <w:spacing w:val="-2"/>
                <w:w w:val="105"/>
              </w:rPr>
              <w:t xml:space="preserve"> </w:t>
            </w:r>
            <w:r>
              <w:rPr>
                <w:w w:val="105"/>
              </w:rPr>
              <w:t>permanent legislative authority</w:t>
            </w:r>
          </w:p>
        </w:tc>
        <w:tc>
          <w:tcPr>
            <w:tcW w:w="430" w:type="dxa"/>
          </w:tcPr>
          <w:p w14:paraId="285A8C2A" w14:textId="77777777" w:rsidR="0004602B" w:rsidRPr="00966312" w:rsidRDefault="0004602B" w:rsidP="00E66E92">
            <w:pPr>
              <w:pStyle w:val="TableText"/>
              <w:spacing w:before="54" w:after="54"/>
              <w:ind w:left="0" w:right="0"/>
              <w:jc w:val="right"/>
            </w:pPr>
          </w:p>
        </w:tc>
        <w:tc>
          <w:tcPr>
            <w:tcW w:w="1151" w:type="dxa"/>
          </w:tcPr>
          <w:p w14:paraId="0B485C12" w14:textId="008924EF" w:rsidR="0004602B" w:rsidRPr="00966312" w:rsidRDefault="0004602B" w:rsidP="00E66E92">
            <w:pPr>
              <w:pStyle w:val="TableText"/>
              <w:spacing w:before="54" w:after="54"/>
              <w:jc w:val="right"/>
            </w:pPr>
            <w:r w:rsidRPr="00966312">
              <w:t>5,245</w:t>
            </w:r>
          </w:p>
        </w:tc>
        <w:tc>
          <w:tcPr>
            <w:tcW w:w="1115" w:type="dxa"/>
          </w:tcPr>
          <w:p w14:paraId="7200DBC1" w14:textId="77777777" w:rsidR="0004602B" w:rsidRPr="00966312" w:rsidRDefault="0004602B" w:rsidP="00E66E92">
            <w:pPr>
              <w:pStyle w:val="TableText"/>
              <w:spacing w:before="54" w:after="54"/>
              <w:jc w:val="right"/>
            </w:pPr>
            <w:r w:rsidRPr="00966312">
              <w:t>23,402</w:t>
            </w:r>
          </w:p>
        </w:tc>
        <w:tc>
          <w:tcPr>
            <w:tcW w:w="1136" w:type="dxa"/>
          </w:tcPr>
          <w:p w14:paraId="25FB6451" w14:textId="77777777" w:rsidR="0004602B" w:rsidRPr="00966312" w:rsidRDefault="0004602B" w:rsidP="00E66E92">
            <w:pPr>
              <w:pStyle w:val="TableText"/>
              <w:spacing w:before="54" w:after="54"/>
              <w:jc w:val="right"/>
            </w:pPr>
            <w:r w:rsidRPr="00966312">
              <w:t>37,927</w:t>
            </w:r>
          </w:p>
        </w:tc>
        <w:tc>
          <w:tcPr>
            <w:tcW w:w="1276" w:type="dxa"/>
          </w:tcPr>
          <w:p w14:paraId="38442BCD" w14:textId="77777777" w:rsidR="0004602B" w:rsidRPr="00966312" w:rsidRDefault="0004602B" w:rsidP="00E66E92">
            <w:pPr>
              <w:pStyle w:val="TableText"/>
              <w:spacing w:before="54" w:after="54"/>
              <w:jc w:val="right"/>
            </w:pPr>
            <w:r w:rsidRPr="00966312">
              <w:t>1</w:t>
            </w:r>
          </w:p>
        </w:tc>
      </w:tr>
      <w:tr w:rsidR="0004602B" w:rsidRPr="00490643" w14:paraId="5CC66D46" w14:textId="77777777" w:rsidTr="00E66E92">
        <w:trPr>
          <w:trHeight w:val="515"/>
        </w:trPr>
        <w:tc>
          <w:tcPr>
            <w:tcW w:w="1264" w:type="dxa"/>
            <w:tcBorders>
              <w:bottom w:val="single" w:sz="4" w:space="0" w:color="A6A6A6" w:themeColor="background1" w:themeShade="A6"/>
            </w:tcBorders>
          </w:tcPr>
          <w:p w14:paraId="07ACBDF0" w14:textId="77777777" w:rsidR="0004602B" w:rsidRPr="00490643" w:rsidRDefault="0004602B" w:rsidP="00E66E92">
            <w:pPr>
              <w:pStyle w:val="TableText"/>
              <w:spacing w:before="54" w:after="54"/>
              <w:jc w:val="right"/>
              <w:rPr>
                <w:b/>
                <w:bCs/>
              </w:rPr>
            </w:pPr>
            <w:r w:rsidRPr="00490643">
              <w:rPr>
                <w:b/>
                <w:bCs/>
              </w:rPr>
              <w:t>10,110</w:t>
            </w:r>
          </w:p>
        </w:tc>
        <w:tc>
          <w:tcPr>
            <w:tcW w:w="2977" w:type="dxa"/>
            <w:tcBorders>
              <w:bottom w:val="single" w:sz="4" w:space="0" w:color="A6A6A6" w:themeColor="background1" w:themeShade="A6"/>
            </w:tcBorders>
          </w:tcPr>
          <w:p w14:paraId="08FF4C8C" w14:textId="6C0C64DC" w:rsidR="0004602B" w:rsidRPr="00490643" w:rsidRDefault="0004602B" w:rsidP="00E66E92">
            <w:pPr>
              <w:pStyle w:val="TableText"/>
              <w:spacing w:before="54" w:after="54"/>
              <w:rPr>
                <w:b/>
                <w:bCs/>
              </w:rPr>
            </w:pPr>
            <w:r w:rsidRPr="00490643">
              <w:rPr>
                <w:b/>
                <w:bCs/>
                <w:w w:val="105"/>
              </w:rPr>
              <w:t>Total</w:t>
            </w:r>
            <w:r w:rsidRPr="00490643">
              <w:rPr>
                <w:b/>
                <w:bCs/>
                <w:spacing w:val="7"/>
                <w:w w:val="105"/>
              </w:rPr>
              <w:t xml:space="preserve"> </w:t>
            </w:r>
            <w:r w:rsidRPr="00490643">
              <w:rPr>
                <w:b/>
                <w:bCs/>
                <w:w w:val="105"/>
              </w:rPr>
              <w:t>departmental</w:t>
            </w:r>
            <w:r w:rsidRPr="00490643">
              <w:rPr>
                <w:b/>
                <w:bCs/>
                <w:spacing w:val="8"/>
                <w:w w:val="105"/>
              </w:rPr>
              <w:t xml:space="preserve"> </w:t>
            </w:r>
            <w:r w:rsidRPr="00490643">
              <w:rPr>
                <w:b/>
                <w:bCs/>
                <w:w w:val="105"/>
              </w:rPr>
              <w:t>capital expenditure</w:t>
            </w:r>
          </w:p>
        </w:tc>
        <w:tc>
          <w:tcPr>
            <w:tcW w:w="430" w:type="dxa"/>
            <w:tcBorders>
              <w:bottom w:val="single" w:sz="4" w:space="0" w:color="A6A6A6" w:themeColor="background1" w:themeShade="A6"/>
            </w:tcBorders>
          </w:tcPr>
          <w:p w14:paraId="414B038C" w14:textId="77777777" w:rsidR="0004602B" w:rsidRPr="00490643" w:rsidRDefault="0004602B" w:rsidP="00E66E92">
            <w:pPr>
              <w:pStyle w:val="TableText"/>
              <w:spacing w:before="54" w:after="54"/>
              <w:ind w:left="0" w:right="0"/>
              <w:jc w:val="right"/>
              <w:rPr>
                <w:b/>
                <w:bCs/>
              </w:rPr>
            </w:pPr>
          </w:p>
        </w:tc>
        <w:tc>
          <w:tcPr>
            <w:tcW w:w="1151" w:type="dxa"/>
            <w:tcBorders>
              <w:bottom w:val="single" w:sz="4" w:space="0" w:color="A6A6A6" w:themeColor="background1" w:themeShade="A6"/>
            </w:tcBorders>
          </w:tcPr>
          <w:p w14:paraId="45285EB7" w14:textId="34BFE899" w:rsidR="0004602B" w:rsidRPr="00490643" w:rsidRDefault="0004602B" w:rsidP="00E66E92">
            <w:pPr>
              <w:pStyle w:val="TableText"/>
              <w:spacing w:before="54" w:after="54"/>
              <w:jc w:val="right"/>
              <w:rPr>
                <w:b/>
                <w:bCs/>
              </w:rPr>
            </w:pPr>
            <w:r w:rsidRPr="00490643">
              <w:rPr>
                <w:b/>
                <w:bCs/>
              </w:rPr>
              <w:t>5,245</w:t>
            </w:r>
          </w:p>
        </w:tc>
        <w:tc>
          <w:tcPr>
            <w:tcW w:w="1115" w:type="dxa"/>
            <w:tcBorders>
              <w:bottom w:val="single" w:sz="4" w:space="0" w:color="A6A6A6" w:themeColor="background1" w:themeShade="A6"/>
            </w:tcBorders>
          </w:tcPr>
          <w:p w14:paraId="38C673BD" w14:textId="77777777" w:rsidR="0004602B" w:rsidRPr="00490643" w:rsidRDefault="0004602B" w:rsidP="00E66E92">
            <w:pPr>
              <w:pStyle w:val="TableText"/>
              <w:spacing w:before="54" w:after="54"/>
              <w:jc w:val="right"/>
              <w:rPr>
                <w:b/>
                <w:bCs/>
              </w:rPr>
            </w:pPr>
            <w:r w:rsidRPr="00490643">
              <w:rPr>
                <w:b/>
                <w:bCs/>
              </w:rPr>
              <w:t>23,402</w:t>
            </w:r>
          </w:p>
        </w:tc>
        <w:tc>
          <w:tcPr>
            <w:tcW w:w="1136" w:type="dxa"/>
            <w:tcBorders>
              <w:bottom w:val="single" w:sz="4" w:space="0" w:color="A6A6A6" w:themeColor="background1" w:themeShade="A6"/>
            </w:tcBorders>
          </w:tcPr>
          <w:p w14:paraId="3052EAA9" w14:textId="77777777" w:rsidR="0004602B" w:rsidRPr="00490643" w:rsidRDefault="0004602B" w:rsidP="00E66E92">
            <w:pPr>
              <w:pStyle w:val="TableText"/>
              <w:spacing w:before="54" w:after="54"/>
              <w:jc w:val="right"/>
              <w:rPr>
                <w:b/>
                <w:bCs/>
              </w:rPr>
            </w:pPr>
            <w:r w:rsidRPr="00490643">
              <w:rPr>
                <w:b/>
                <w:bCs/>
              </w:rPr>
              <w:t>37,927</w:t>
            </w:r>
          </w:p>
        </w:tc>
        <w:tc>
          <w:tcPr>
            <w:tcW w:w="1276" w:type="dxa"/>
            <w:tcBorders>
              <w:bottom w:val="single" w:sz="4" w:space="0" w:color="A6A6A6" w:themeColor="background1" w:themeShade="A6"/>
            </w:tcBorders>
          </w:tcPr>
          <w:p w14:paraId="7801166E" w14:textId="77777777" w:rsidR="0004602B" w:rsidRPr="00490643" w:rsidRDefault="0004602B" w:rsidP="00E66E92">
            <w:pPr>
              <w:pStyle w:val="TableText"/>
              <w:spacing w:before="54" w:after="54"/>
              <w:jc w:val="right"/>
              <w:rPr>
                <w:b/>
                <w:bCs/>
              </w:rPr>
            </w:pPr>
          </w:p>
        </w:tc>
      </w:tr>
      <w:tr w:rsidR="0004602B" w:rsidRPr="000F0AE5" w14:paraId="1177BA3C" w14:textId="77777777" w:rsidTr="00E66E92">
        <w:trPr>
          <w:trHeight w:val="538"/>
        </w:trPr>
        <w:tc>
          <w:tcPr>
            <w:tcW w:w="1264" w:type="dxa"/>
            <w:tcBorders>
              <w:top w:val="single" w:sz="4" w:space="0" w:color="A6A6A6" w:themeColor="background1" w:themeShade="A6"/>
              <w:bottom w:val="single" w:sz="4" w:space="0" w:color="A6A6A6" w:themeColor="background1" w:themeShade="A6"/>
            </w:tcBorders>
          </w:tcPr>
          <w:p w14:paraId="435B0540" w14:textId="77777777" w:rsidR="0004602B" w:rsidRPr="000F0AE5" w:rsidRDefault="0004602B" w:rsidP="00E66E92">
            <w:pPr>
              <w:pStyle w:val="TableText"/>
              <w:spacing w:before="54" w:after="54"/>
              <w:jc w:val="right"/>
              <w:rPr>
                <w:b/>
                <w:bCs/>
              </w:rPr>
            </w:pPr>
            <w:r w:rsidRPr="000F0AE5">
              <w:rPr>
                <w:b/>
                <w:bCs/>
              </w:rPr>
              <w:t>396,686</w:t>
            </w:r>
          </w:p>
        </w:tc>
        <w:tc>
          <w:tcPr>
            <w:tcW w:w="2977" w:type="dxa"/>
            <w:tcBorders>
              <w:top w:val="single" w:sz="4" w:space="0" w:color="A6A6A6" w:themeColor="background1" w:themeShade="A6"/>
              <w:bottom w:val="single" w:sz="4" w:space="0" w:color="A6A6A6" w:themeColor="background1" w:themeShade="A6"/>
            </w:tcBorders>
          </w:tcPr>
          <w:p w14:paraId="15E53488" w14:textId="631A40D5" w:rsidR="0004602B" w:rsidRPr="000F0AE5" w:rsidRDefault="0004602B" w:rsidP="00E66E92">
            <w:pPr>
              <w:pStyle w:val="TableText"/>
              <w:spacing w:before="54" w:after="54"/>
              <w:rPr>
                <w:b/>
                <w:bCs/>
              </w:rPr>
            </w:pPr>
            <w:r w:rsidRPr="000F0AE5">
              <w:rPr>
                <w:b/>
                <w:bCs/>
                <w:w w:val="105"/>
              </w:rPr>
              <w:t>Total</w:t>
            </w:r>
            <w:r w:rsidRPr="000F0AE5">
              <w:rPr>
                <w:b/>
                <w:bCs/>
                <w:spacing w:val="14"/>
                <w:w w:val="105"/>
              </w:rPr>
              <w:t xml:space="preserve"> </w:t>
            </w:r>
            <w:r w:rsidRPr="000F0AE5">
              <w:rPr>
                <w:b/>
                <w:bCs/>
                <w:w w:val="105"/>
              </w:rPr>
              <w:t>departmental</w:t>
            </w:r>
            <w:r w:rsidRPr="000F0AE5">
              <w:rPr>
                <w:b/>
                <w:bCs/>
                <w:spacing w:val="15"/>
                <w:w w:val="105"/>
              </w:rPr>
              <w:t xml:space="preserve"> </w:t>
            </w:r>
            <w:r w:rsidRPr="000F0AE5">
              <w:rPr>
                <w:b/>
                <w:bCs/>
                <w:w w:val="105"/>
              </w:rPr>
              <w:t>output appropriations</w:t>
            </w:r>
          </w:p>
        </w:tc>
        <w:tc>
          <w:tcPr>
            <w:tcW w:w="430" w:type="dxa"/>
            <w:tcBorders>
              <w:top w:val="single" w:sz="4" w:space="0" w:color="A6A6A6" w:themeColor="background1" w:themeShade="A6"/>
              <w:bottom w:val="single" w:sz="4" w:space="0" w:color="A6A6A6" w:themeColor="background1" w:themeShade="A6"/>
            </w:tcBorders>
          </w:tcPr>
          <w:p w14:paraId="5B21D4F6" w14:textId="77777777" w:rsidR="0004602B" w:rsidRPr="000F0AE5" w:rsidRDefault="0004602B" w:rsidP="00E66E92">
            <w:pPr>
              <w:pStyle w:val="TableText"/>
              <w:spacing w:before="54" w:after="54"/>
              <w:ind w:left="0" w:right="0"/>
              <w:jc w:val="right"/>
              <w:rPr>
                <w:b/>
                <w:bCs/>
              </w:rPr>
            </w:pPr>
          </w:p>
        </w:tc>
        <w:tc>
          <w:tcPr>
            <w:tcW w:w="1151" w:type="dxa"/>
            <w:tcBorders>
              <w:top w:val="single" w:sz="4" w:space="0" w:color="A6A6A6" w:themeColor="background1" w:themeShade="A6"/>
              <w:bottom w:val="single" w:sz="4" w:space="0" w:color="A6A6A6" w:themeColor="background1" w:themeShade="A6"/>
            </w:tcBorders>
          </w:tcPr>
          <w:p w14:paraId="151CF570" w14:textId="75D3D867" w:rsidR="0004602B" w:rsidRPr="000F0AE5" w:rsidRDefault="0004602B" w:rsidP="00E66E92">
            <w:pPr>
              <w:pStyle w:val="TableText"/>
              <w:spacing w:before="54" w:after="54"/>
              <w:jc w:val="right"/>
              <w:rPr>
                <w:b/>
                <w:bCs/>
              </w:rPr>
            </w:pPr>
            <w:r w:rsidRPr="000F0AE5">
              <w:rPr>
                <w:b/>
                <w:bCs/>
              </w:rPr>
              <w:t>741,846</w:t>
            </w:r>
          </w:p>
        </w:tc>
        <w:tc>
          <w:tcPr>
            <w:tcW w:w="1115" w:type="dxa"/>
            <w:tcBorders>
              <w:top w:val="single" w:sz="4" w:space="0" w:color="A6A6A6" w:themeColor="background1" w:themeShade="A6"/>
              <w:bottom w:val="single" w:sz="4" w:space="0" w:color="A6A6A6" w:themeColor="background1" w:themeShade="A6"/>
            </w:tcBorders>
          </w:tcPr>
          <w:p w14:paraId="13008DBA" w14:textId="77777777" w:rsidR="0004602B" w:rsidRPr="000F0AE5" w:rsidRDefault="0004602B" w:rsidP="00E66E92">
            <w:pPr>
              <w:pStyle w:val="TableText"/>
              <w:spacing w:before="54" w:after="54"/>
              <w:jc w:val="right"/>
              <w:rPr>
                <w:b/>
                <w:bCs/>
              </w:rPr>
            </w:pPr>
            <w:r w:rsidRPr="000F0AE5">
              <w:rPr>
                <w:b/>
                <w:bCs/>
              </w:rPr>
              <w:t>469,436</w:t>
            </w:r>
          </w:p>
        </w:tc>
        <w:tc>
          <w:tcPr>
            <w:tcW w:w="1136" w:type="dxa"/>
            <w:tcBorders>
              <w:top w:val="single" w:sz="4" w:space="0" w:color="A6A6A6" w:themeColor="background1" w:themeShade="A6"/>
              <w:bottom w:val="single" w:sz="4" w:space="0" w:color="A6A6A6" w:themeColor="background1" w:themeShade="A6"/>
            </w:tcBorders>
          </w:tcPr>
          <w:p w14:paraId="1749C95A" w14:textId="77777777" w:rsidR="0004602B" w:rsidRPr="000F0AE5" w:rsidRDefault="0004602B" w:rsidP="00E66E92">
            <w:pPr>
              <w:pStyle w:val="TableText"/>
              <w:spacing w:before="54" w:after="54"/>
              <w:jc w:val="right"/>
              <w:rPr>
                <w:b/>
                <w:bCs/>
              </w:rPr>
            </w:pPr>
            <w:r w:rsidRPr="000F0AE5">
              <w:rPr>
                <w:b/>
                <w:bCs/>
              </w:rPr>
              <w:t>918,732</w:t>
            </w:r>
          </w:p>
        </w:tc>
        <w:tc>
          <w:tcPr>
            <w:tcW w:w="1276" w:type="dxa"/>
            <w:tcBorders>
              <w:top w:val="single" w:sz="4" w:space="0" w:color="A6A6A6" w:themeColor="background1" w:themeShade="A6"/>
              <w:bottom w:val="single" w:sz="4" w:space="0" w:color="A6A6A6" w:themeColor="background1" w:themeShade="A6"/>
            </w:tcBorders>
          </w:tcPr>
          <w:p w14:paraId="04BE3EB1" w14:textId="77777777" w:rsidR="0004602B" w:rsidRPr="000F0AE5" w:rsidRDefault="0004602B" w:rsidP="00E66E92">
            <w:pPr>
              <w:pStyle w:val="TableText"/>
              <w:spacing w:before="54" w:after="54"/>
              <w:jc w:val="right"/>
              <w:rPr>
                <w:b/>
                <w:bCs/>
              </w:rPr>
            </w:pPr>
          </w:p>
        </w:tc>
      </w:tr>
      <w:tr w:rsidR="00E66E92" w14:paraId="4CE9557F" w14:textId="77777777" w:rsidTr="00E66E92">
        <w:trPr>
          <w:trHeight w:val="352"/>
        </w:trPr>
        <w:tc>
          <w:tcPr>
            <w:tcW w:w="1264" w:type="dxa"/>
            <w:tcBorders>
              <w:top w:val="single" w:sz="4" w:space="0" w:color="A6A6A6" w:themeColor="background1" w:themeShade="A6"/>
            </w:tcBorders>
          </w:tcPr>
          <w:p w14:paraId="39305089" w14:textId="77777777" w:rsidR="00E66E92" w:rsidRPr="00966312" w:rsidRDefault="00E66E92" w:rsidP="00490643">
            <w:pPr>
              <w:pStyle w:val="TableText"/>
              <w:keepNext/>
              <w:spacing w:before="54" w:after="54"/>
              <w:jc w:val="right"/>
            </w:pPr>
          </w:p>
        </w:tc>
        <w:tc>
          <w:tcPr>
            <w:tcW w:w="3407" w:type="dxa"/>
            <w:gridSpan w:val="2"/>
            <w:tcBorders>
              <w:top w:val="single" w:sz="4" w:space="0" w:color="A6A6A6" w:themeColor="background1" w:themeShade="A6"/>
            </w:tcBorders>
          </w:tcPr>
          <w:p w14:paraId="139D8CAF" w14:textId="55480984" w:rsidR="00E66E92" w:rsidRPr="00966312" w:rsidRDefault="00E66E92" w:rsidP="00490643">
            <w:pPr>
              <w:pStyle w:val="TableText"/>
              <w:keepNext/>
              <w:spacing w:before="54" w:after="54"/>
              <w:ind w:left="0" w:right="0"/>
            </w:pPr>
            <w:r>
              <w:rPr>
                <w:b/>
                <w:w w:val="105"/>
              </w:rPr>
              <w:t xml:space="preserve"> Non-departmental</w:t>
            </w:r>
            <w:r>
              <w:rPr>
                <w:b/>
                <w:spacing w:val="6"/>
                <w:w w:val="105"/>
              </w:rPr>
              <w:t xml:space="preserve"> </w:t>
            </w:r>
            <w:r>
              <w:rPr>
                <w:b/>
                <w:w w:val="105"/>
              </w:rPr>
              <w:t>output</w:t>
            </w:r>
            <w:r>
              <w:rPr>
                <w:b/>
                <w:spacing w:val="6"/>
                <w:w w:val="105"/>
              </w:rPr>
              <w:t xml:space="preserve"> </w:t>
            </w:r>
            <w:r>
              <w:rPr>
                <w:b/>
                <w:w w:val="105"/>
              </w:rPr>
              <w:t>expenses</w:t>
            </w:r>
          </w:p>
        </w:tc>
        <w:tc>
          <w:tcPr>
            <w:tcW w:w="1151" w:type="dxa"/>
            <w:tcBorders>
              <w:top w:val="single" w:sz="4" w:space="0" w:color="A6A6A6" w:themeColor="background1" w:themeShade="A6"/>
            </w:tcBorders>
          </w:tcPr>
          <w:p w14:paraId="2C4D437C" w14:textId="3BF3D0C9" w:rsidR="00E66E92" w:rsidRPr="00966312" w:rsidRDefault="00E66E92" w:rsidP="00490643">
            <w:pPr>
              <w:pStyle w:val="TableText"/>
              <w:keepNext/>
              <w:spacing w:before="54" w:after="54"/>
              <w:jc w:val="right"/>
            </w:pPr>
          </w:p>
        </w:tc>
        <w:tc>
          <w:tcPr>
            <w:tcW w:w="1115" w:type="dxa"/>
            <w:tcBorders>
              <w:top w:val="single" w:sz="4" w:space="0" w:color="A6A6A6" w:themeColor="background1" w:themeShade="A6"/>
            </w:tcBorders>
          </w:tcPr>
          <w:p w14:paraId="2B22AFDC" w14:textId="77777777" w:rsidR="00E66E92" w:rsidRPr="00966312" w:rsidRDefault="00E66E92" w:rsidP="00490643">
            <w:pPr>
              <w:pStyle w:val="TableText"/>
              <w:keepNext/>
              <w:spacing w:before="54" w:after="54"/>
              <w:jc w:val="right"/>
            </w:pPr>
          </w:p>
        </w:tc>
        <w:tc>
          <w:tcPr>
            <w:tcW w:w="1136" w:type="dxa"/>
            <w:tcBorders>
              <w:top w:val="single" w:sz="4" w:space="0" w:color="A6A6A6" w:themeColor="background1" w:themeShade="A6"/>
            </w:tcBorders>
          </w:tcPr>
          <w:p w14:paraId="6CC14D28" w14:textId="77777777" w:rsidR="00E66E92" w:rsidRPr="00966312" w:rsidRDefault="00E66E92" w:rsidP="00490643">
            <w:pPr>
              <w:pStyle w:val="TableText"/>
              <w:keepNext/>
              <w:spacing w:before="54" w:after="54"/>
              <w:jc w:val="right"/>
            </w:pPr>
          </w:p>
        </w:tc>
        <w:tc>
          <w:tcPr>
            <w:tcW w:w="1276" w:type="dxa"/>
            <w:tcBorders>
              <w:top w:val="single" w:sz="4" w:space="0" w:color="A6A6A6" w:themeColor="background1" w:themeShade="A6"/>
            </w:tcBorders>
          </w:tcPr>
          <w:p w14:paraId="4EB9E740" w14:textId="77777777" w:rsidR="00E66E92" w:rsidRPr="00966312" w:rsidRDefault="00E66E92" w:rsidP="00490643">
            <w:pPr>
              <w:pStyle w:val="TableText"/>
              <w:keepNext/>
              <w:spacing w:before="54" w:after="54"/>
              <w:jc w:val="right"/>
            </w:pPr>
          </w:p>
        </w:tc>
      </w:tr>
      <w:tr w:rsidR="0004602B" w14:paraId="7F9A5538" w14:textId="77777777" w:rsidTr="00E66E92">
        <w:trPr>
          <w:trHeight w:val="770"/>
        </w:trPr>
        <w:tc>
          <w:tcPr>
            <w:tcW w:w="1264" w:type="dxa"/>
          </w:tcPr>
          <w:p w14:paraId="2E81BB69" w14:textId="77777777" w:rsidR="0004602B" w:rsidRPr="00966312" w:rsidRDefault="0004602B" w:rsidP="00490643">
            <w:pPr>
              <w:pStyle w:val="TableText"/>
              <w:keepNext/>
              <w:spacing w:before="54" w:after="54"/>
              <w:jc w:val="right"/>
            </w:pPr>
          </w:p>
        </w:tc>
        <w:tc>
          <w:tcPr>
            <w:tcW w:w="2977" w:type="dxa"/>
          </w:tcPr>
          <w:p w14:paraId="3DFBB601" w14:textId="0A3A52B0" w:rsidR="0004602B" w:rsidRDefault="0004602B" w:rsidP="00490643">
            <w:pPr>
              <w:pStyle w:val="TableText"/>
              <w:keepNext/>
              <w:spacing w:before="54" w:after="54"/>
              <w:rPr>
                <w:b/>
              </w:rPr>
            </w:pPr>
            <w:r>
              <w:rPr>
                <w:b/>
                <w:w w:val="105"/>
              </w:rPr>
              <w:t>Health</w:t>
            </w:r>
            <w:r>
              <w:rPr>
                <w:b/>
                <w:spacing w:val="7"/>
                <w:w w:val="105"/>
              </w:rPr>
              <w:t xml:space="preserve"> </w:t>
            </w:r>
            <w:r>
              <w:rPr>
                <w:b/>
                <w:w w:val="105"/>
              </w:rPr>
              <w:t>and</w:t>
            </w:r>
            <w:r>
              <w:rPr>
                <w:b/>
                <w:spacing w:val="8"/>
                <w:w w:val="105"/>
              </w:rPr>
              <w:t xml:space="preserve"> </w:t>
            </w:r>
            <w:r>
              <w:rPr>
                <w:b/>
                <w:w w:val="105"/>
              </w:rPr>
              <w:t>disability</w:t>
            </w:r>
            <w:r>
              <w:rPr>
                <w:b/>
                <w:spacing w:val="8"/>
                <w:w w:val="105"/>
              </w:rPr>
              <w:t xml:space="preserve"> </w:t>
            </w:r>
            <w:r>
              <w:rPr>
                <w:b/>
                <w:w w:val="105"/>
              </w:rPr>
              <w:t xml:space="preserve">support services for district health boards </w:t>
            </w:r>
            <w:r w:rsidRPr="00966312">
              <w:rPr>
                <w:b/>
                <w:w w:val="105"/>
              </w:rPr>
              <w:t>(DHB)</w:t>
            </w:r>
          </w:p>
        </w:tc>
        <w:tc>
          <w:tcPr>
            <w:tcW w:w="430" w:type="dxa"/>
          </w:tcPr>
          <w:p w14:paraId="6ABA8608" w14:textId="77777777" w:rsidR="0004602B" w:rsidRPr="00966312" w:rsidRDefault="0004602B" w:rsidP="00490643">
            <w:pPr>
              <w:pStyle w:val="TableText"/>
              <w:keepNext/>
              <w:spacing w:before="54" w:after="54"/>
              <w:ind w:left="0" w:right="0"/>
              <w:jc w:val="right"/>
            </w:pPr>
          </w:p>
        </w:tc>
        <w:tc>
          <w:tcPr>
            <w:tcW w:w="1151" w:type="dxa"/>
          </w:tcPr>
          <w:p w14:paraId="7C821A9A" w14:textId="1E2ACB00" w:rsidR="0004602B" w:rsidRPr="00966312" w:rsidRDefault="0004602B" w:rsidP="00490643">
            <w:pPr>
              <w:pStyle w:val="TableText"/>
              <w:keepNext/>
              <w:spacing w:before="54" w:after="54"/>
              <w:jc w:val="right"/>
            </w:pPr>
          </w:p>
        </w:tc>
        <w:tc>
          <w:tcPr>
            <w:tcW w:w="1115" w:type="dxa"/>
          </w:tcPr>
          <w:p w14:paraId="264388C6" w14:textId="77777777" w:rsidR="0004602B" w:rsidRPr="00966312" w:rsidRDefault="0004602B" w:rsidP="00490643">
            <w:pPr>
              <w:pStyle w:val="TableText"/>
              <w:keepNext/>
              <w:spacing w:before="54" w:after="54"/>
              <w:jc w:val="right"/>
            </w:pPr>
          </w:p>
        </w:tc>
        <w:tc>
          <w:tcPr>
            <w:tcW w:w="1136" w:type="dxa"/>
          </w:tcPr>
          <w:p w14:paraId="07E2CD1B" w14:textId="77777777" w:rsidR="0004602B" w:rsidRPr="00966312" w:rsidRDefault="0004602B" w:rsidP="00490643">
            <w:pPr>
              <w:pStyle w:val="TableText"/>
              <w:keepNext/>
              <w:spacing w:before="54" w:after="54"/>
              <w:jc w:val="right"/>
            </w:pPr>
          </w:p>
        </w:tc>
        <w:tc>
          <w:tcPr>
            <w:tcW w:w="1276" w:type="dxa"/>
          </w:tcPr>
          <w:p w14:paraId="22E328A0" w14:textId="77777777" w:rsidR="0004602B" w:rsidRPr="00966312" w:rsidRDefault="0004602B" w:rsidP="00490643">
            <w:pPr>
              <w:pStyle w:val="TableText"/>
              <w:keepNext/>
              <w:spacing w:before="54" w:after="54"/>
              <w:jc w:val="right"/>
            </w:pPr>
          </w:p>
        </w:tc>
      </w:tr>
      <w:tr w:rsidR="0004602B" w14:paraId="1AF82697" w14:textId="77777777" w:rsidTr="00E66E92">
        <w:trPr>
          <w:trHeight w:val="340"/>
        </w:trPr>
        <w:tc>
          <w:tcPr>
            <w:tcW w:w="1264" w:type="dxa"/>
          </w:tcPr>
          <w:p w14:paraId="5EC4300A" w14:textId="77777777" w:rsidR="0004602B" w:rsidRPr="00966312" w:rsidRDefault="0004602B" w:rsidP="00490643">
            <w:pPr>
              <w:pStyle w:val="TableText"/>
              <w:keepNext/>
              <w:spacing w:before="54" w:after="54"/>
              <w:jc w:val="right"/>
            </w:pPr>
            <w:r w:rsidRPr="00966312">
              <w:t>706,919</w:t>
            </w:r>
          </w:p>
        </w:tc>
        <w:tc>
          <w:tcPr>
            <w:tcW w:w="2977" w:type="dxa"/>
          </w:tcPr>
          <w:p w14:paraId="2773E2A6" w14:textId="77777777" w:rsidR="0004602B" w:rsidRDefault="0004602B" w:rsidP="00490643">
            <w:pPr>
              <w:pStyle w:val="TableText"/>
              <w:keepNext/>
              <w:spacing w:before="54" w:after="54"/>
            </w:pPr>
            <w:r>
              <w:rPr>
                <w:w w:val="105"/>
              </w:rPr>
              <w:t>Northland</w:t>
            </w:r>
          </w:p>
        </w:tc>
        <w:tc>
          <w:tcPr>
            <w:tcW w:w="430" w:type="dxa"/>
          </w:tcPr>
          <w:p w14:paraId="018C7621" w14:textId="77777777" w:rsidR="0004602B" w:rsidRPr="00966312" w:rsidRDefault="0004602B" w:rsidP="00490643">
            <w:pPr>
              <w:pStyle w:val="TableText"/>
              <w:keepNext/>
              <w:spacing w:before="54" w:after="54"/>
              <w:ind w:left="0" w:right="0"/>
              <w:jc w:val="right"/>
            </w:pPr>
          </w:p>
        </w:tc>
        <w:tc>
          <w:tcPr>
            <w:tcW w:w="1151" w:type="dxa"/>
          </w:tcPr>
          <w:p w14:paraId="23CACD2D" w14:textId="10B4C23E" w:rsidR="0004602B" w:rsidRPr="00966312" w:rsidRDefault="0004602B" w:rsidP="00490643">
            <w:pPr>
              <w:pStyle w:val="TableText"/>
              <w:keepNext/>
              <w:spacing w:before="54" w:after="54"/>
              <w:jc w:val="right"/>
            </w:pPr>
            <w:r w:rsidRPr="00966312">
              <w:t>781,159</w:t>
            </w:r>
          </w:p>
        </w:tc>
        <w:tc>
          <w:tcPr>
            <w:tcW w:w="1115" w:type="dxa"/>
          </w:tcPr>
          <w:p w14:paraId="362E0D24" w14:textId="77777777" w:rsidR="0004602B" w:rsidRPr="00966312" w:rsidRDefault="0004602B" w:rsidP="00490643">
            <w:pPr>
              <w:pStyle w:val="TableText"/>
              <w:keepNext/>
              <w:spacing w:before="54" w:after="54"/>
              <w:jc w:val="right"/>
            </w:pPr>
            <w:r w:rsidRPr="00966312">
              <w:t>761,244</w:t>
            </w:r>
          </w:p>
        </w:tc>
        <w:tc>
          <w:tcPr>
            <w:tcW w:w="1136" w:type="dxa"/>
          </w:tcPr>
          <w:p w14:paraId="1FBAF718" w14:textId="77777777" w:rsidR="0004602B" w:rsidRPr="00966312" w:rsidRDefault="0004602B" w:rsidP="00490643">
            <w:pPr>
              <w:pStyle w:val="TableText"/>
              <w:keepNext/>
              <w:spacing w:before="54" w:after="54"/>
              <w:jc w:val="right"/>
            </w:pPr>
            <w:r w:rsidRPr="00966312">
              <w:t>783,927</w:t>
            </w:r>
          </w:p>
        </w:tc>
        <w:tc>
          <w:tcPr>
            <w:tcW w:w="1276" w:type="dxa"/>
          </w:tcPr>
          <w:p w14:paraId="62A62577" w14:textId="77777777" w:rsidR="0004602B" w:rsidRPr="00966312" w:rsidRDefault="0004602B" w:rsidP="00490643">
            <w:pPr>
              <w:pStyle w:val="TableText"/>
              <w:keepNext/>
              <w:spacing w:before="54" w:after="54"/>
              <w:jc w:val="right"/>
            </w:pPr>
            <w:r w:rsidRPr="00966312">
              <w:t>2</w:t>
            </w:r>
          </w:p>
        </w:tc>
      </w:tr>
      <w:tr w:rsidR="0004602B" w14:paraId="12D63124" w14:textId="77777777" w:rsidTr="00E66E92">
        <w:trPr>
          <w:trHeight w:val="340"/>
        </w:trPr>
        <w:tc>
          <w:tcPr>
            <w:tcW w:w="1264" w:type="dxa"/>
          </w:tcPr>
          <w:p w14:paraId="3CED38F6" w14:textId="77777777" w:rsidR="0004602B" w:rsidRPr="00966312" w:rsidRDefault="0004602B" w:rsidP="00E66E92">
            <w:pPr>
              <w:pStyle w:val="TableText"/>
              <w:spacing w:before="54" w:after="54"/>
              <w:jc w:val="right"/>
            </w:pPr>
            <w:r w:rsidRPr="00966312">
              <w:t>1,734,496</w:t>
            </w:r>
          </w:p>
        </w:tc>
        <w:tc>
          <w:tcPr>
            <w:tcW w:w="2977" w:type="dxa"/>
          </w:tcPr>
          <w:p w14:paraId="73AF017E" w14:textId="77777777" w:rsidR="0004602B" w:rsidRDefault="0004602B" w:rsidP="00E66E92">
            <w:pPr>
              <w:pStyle w:val="TableText"/>
              <w:spacing w:before="54" w:after="54"/>
            </w:pPr>
            <w:r>
              <w:rPr>
                <w:w w:val="105"/>
              </w:rPr>
              <w:t>Waitematā</w:t>
            </w:r>
          </w:p>
        </w:tc>
        <w:tc>
          <w:tcPr>
            <w:tcW w:w="430" w:type="dxa"/>
          </w:tcPr>
          <w:p w14:paraId="04D66D9D" w14:textId="77777777" w:rsidR="0004602B" w:rsidRDefault="0004602B" w:rsidP="00E66E92">
            <w:pPr>
              <w:pStyle w:val="TableText"/>
              <w:spacing w:before="54" w:after="54"/>
              <w:ind w:left="0" w:right="0"/>
              <w:jc w:val="right"/>
            </w:pPr>
          </w:p>
        </w:tc>
        <w:tc>
          <w:tcPr>
            <w:tcW w:w="1151" w:type="dxa"/>
          </w:tcPr>
          <w:p w14:paraId="1BD92D98" w14:textId="049C8CE9" w:rsidR="0004602B" w:rsidRDefault="0004602B" w:rsidP="00E66E92">
            <w:pPr>
              <w:pStyle w:val="TableText"/>
              <w:spacing w:before="54" w:after="54"/>
              <w:jc w:val="right"/>
            </w:pPr>
            <w:r>
              <w:t>1,871,255</w:t>
            </w:r>
          </w:p>
        </w:tc>
        <w:tc>
          <w:tcPr>
            <w:tcW w:w="1115" w:type="dxa"/>
          </w:tcPr>
          <w:p w14:paraId="75B6EC91" w14:textId="77777777" w:rsidR="0004602B" w:rsidRDefault="0004602B" w:rsidP="00E66E92">
            <w:pPr>
              <w:pStyle w:val="TableText"/>
              <w:spacing w:before="54" w:after="54"/>
              <w:jc w:val="right"/>
            </w:pPr>
            <w:r>
              <w:t>1,823,567</w:t>
            </w:r>
          </w:p>
        </w:tc>
        <w:tc>
          <w:tcPr>
            <w:tcW w:w="1136" w:type="dxa"/>
          </w:tcPr>
          <w:p w14:paraId="059E7A67" w14:textId="77777777" w:rsidR="0004602B" w:rsidRDefault="0004602B" w:rsidP="00E66E92">
            <w:pPr>
              <w:pStyle w:val="TableText"/>
              <w:spacing w:before="54" w:after="54"/>
              <w:jc w:val="right"/>
            </w:pPr>
            <w:r>
              <w:t>1,875,290</w:t>
            </w:r>
          </w:p>
        </w:tc>
        <w:tc>
          <w:tcPr>
            <w:tcW w:w="1276" w:type="dxa"/>
          </w:tcPr>
          <w:p w14:paraId="2BCA817C" w14:textId="77777777" w:rsidR="0004602B" w:rsidRDefault="0004602B" w:rsidP="00E66E92">
            <w:pPr>
              <w:pStyle w:val="TableText"/>
              <w:spacing w:before="54" w:after="54"/>
              <w:jc w:val="right"/>
            </w:pPr>
            <w:r>
              <w:rPr>
                <w:w w:val="103"/>
              </w:rPr>
              <w:t>2</w:t>
            </w:r>
          </w:p>
        </w:tc>
      </w:tr>
      <w:tr w:rsidR="0004602B" w14:paraId="26934E7B" w14:textId="77777777" w:rsidTr="00E66E92">
        <w:trPr>
          <w:trHeight w:val="340"/>
        </w:trPr>
        <w:tc>
          <w:tcPr>
            <w:tcW w:w="1264" w:type="dxa"/>
          </w:tcPr>
          <w:p w14:paraId="3E27E34E" w14:textId="77777777" w:rsidR="0004602B" w:rsidRPr="00966312" w:rsidRDefault="0004602B" w:rsidP="00E66E92">
            <w:pPr>
              <w:pStyle w:val="TableText"/>
              <w:spacing w:before="54" w:after="54"/>
              <w:jc w:val="right"/>
            </w:pPr>
            <w:r w:rsidRPr="00966312">
              <w:t>1,490,114</w:t>
            </w:r>
          </w:p>
        </w:tc>
        <w:tc>
          <w:tcPr>
            <w:tcW w:w="2977" w:type="dxa"/>
          </w:tcPr>
          <w:p w14:paraId="1B480E24" w14:textId="77777777" w:rsidR="0004602B" w:rsidRDefault="0004602B" w:rsidP="00E66E92">
            <w:pPr>
              <w:pStyle w:val="TableText"/>
              <w:spacing w:before="54" w:after="54"/>
            </w:pPr>
            <w:r>
              <w:t>Auckland</w:t>
            </w:r>
          </w:p>
        </w:tc>
        <w:tc>
          <w:tcPr>
            <w:tcW w:w="430" w:type="dxa"/>
          </w:tcPr>
          <w:p w14:paraId="444E4CA1" w14:textId="77777777" w:rsidR="0004602B" w:rsidRDefault="0004602B" w:rsidP="00E66E92">
            <w:pPr>
              <w:pStyle w:val="TableText"/>
              <w:spacing w:before="54" w:after="54"/>
              <w:ind w:left="0" w:right="0"/>
              <w:jc w:val="right"/>
            </w:pPr>
          </w:p>
        </w:tc>
        <w:tc>
          <w:tcPr>
            <w:tcW w:w="1151" w:type="dxa"/>
          </w:tcPr>
          <w:p w14:paraId="365336A6" w14:textId="3137CA07" w:rsidR="0004602B" w:rsidRDefault="0004602B" w:rsidP="00E66E92">
            <w:pPr>
              <w:pStyle w:val="TableText"/>
              <w:spacing w:before="54" w:after="54"/>
              <w:jc w:val="right"/>
            </w:pPr>
            <w:r>
              <w:t>1,617,004</w:t>
            </w:r>
          </w:p>
        </w:tc>
        <w:tc>
          <w:tcPr>
            <w:tcW w:w="1115" w:type="dxa"/>
          </w:tcPr>
          <w:p w14:paraId="3164414B" w14:textId="77777777" w:rsidR="0004602B" w:rsidRDefault="0004602B" w:rsidP="00E66E92">
            <w:pPr>
              <w:pStyle w:val="TableText"/>
              <w:spacing w:before="54" w:after="54"/>
              <w:jc w:val="right"/>
            </w:pPr>
            <w:r>
              <w:t>1,568,189</w:t>
            </w:r>
          </w:p>
        </w:tc>
        <w:tc>
          <w:tcPr>
            <w:tcW w:w="1136" w:type="dxa"/>
          </w:tcPr>
          <w:p w14:paraId="6E299C8E" w14:textId="77777777" w:rsidR="0004602B" w:rsidRDefault="0004602B" w:rsidP="00E66E92">
            <w:pPr>
              <w:pStyle w:val="TableText"/>
              <w:spacing w:before="54" w:after="54"/>
              <w:jc w:val="right"/>
            </w:pPr>
            <w:r>
              <w:t>1,621,965</w:t>
            </w:r>
          </w:p>
        </w:tc>
        <w:tc>
          <w:tcPr>
            <w:tcW w:w="1276" w:type="dxa"/>
          </w:tcPr>
          <w:p w14:paraId="4D67EA46" w14:textId="77777777" w:rsidR="0004602B" w:rsidRDefault="0004602B" w:rsidP="00E66E92">
            <w:pPr>
              <w:pStyle w:val="TableText"/>
              <w:spacing w:before="54" w:after="54"/>
              <w:jc w:val="right"/>
            </w:pPr>
            <w:r>
              <w:rPr>
                <w:w w:val="103"/>
              </w:rPr>
              <w:t>2</w:t>
            </w:r>
          </w:p>
        </w:tc>
      </w:tr>
      <w:tr w:rsidR="0004602B" w14:paraId="668CEE87" w14:textId="77777777" w:rsidTr="00E66E92">
        <w:trPr>
          <w:trHeight w:val="340"/>
        </w:trPr>
        <w:tc>
          <w:tcPr>
            <w:tcW w:w="1264" w:type="dxa"/>
          </w:tcPr>
          <w:p w14:paraId="740D0E6D" w14:textId="11F8B393" w:rsidR="0004602B" w:rsidRPr="00966312" w:rsidRDefault="0004602B" w:rsidP="00E66E92">
            <w:pPr>
              <w:pStyle w:val="TableText"/>
              <w:spacing w:before="54" w:after="54"/>
              <w:jc w:val="right"/>
            </w:pPr>
            <w:r w:rsidRPr="00DC58C4">
              <w:t>1,649,756</w:t>
            </w:r>
          </w:p>
        </w:tc>
        <w:tc>
          <w:tcPr>
            <w:tcW w:w="2977" w:type="dxa"/>
          </w:tcPr>
          <w:p w14:paraId="33EF69C7" w14:textId="0D0DD7E9" w:rsidR="0004602B" w:rsidRDefault="0004602B" w:rsidP="00E66E92">
            <w:pPr>
              <w:pStyle w:val="TableText"/>
              <w:spacing w:before="54" w:after="54"/>
            </w:pPr>
            <w:r w:rsidRPr="00DC58C4">
              <w:t>Counties Manukau</w:t>
            </w:r>
          </w:p>
        </w:tc>
        <w:tc>
          <w:tcPr>
            <w:tcW w:w="430" w:type="dxa"/>
          </w:tcPr>
          <w:p w14:paraId="02B9CCA4" w14:textId="77777777" w:rsidR="0004602B" w:rsidRDefault="0004602B" w:rsidP="00E66E92">
            <w:pPr>
              <w:pStyle w:val="TableText"/>
              <w:spacing w:before="54" w:after="54"/>
              <w:ind w:left="0" w:right="0"/>
              <w:jc w:val="right"/>
            </w:pPr>
          </w:p>
        </w:tc>
        <w:tc>
          <w:tcPr>
            <w:tcW w:w="1151" w:type="dxa"/>
          </w:tcPr>
          <w:p w14:paraId="2CEC5EC9" w14:textId="6720C063" w:rsidR="0004602B" w:rsidRDefault="0004602B" w:rsidP="00E66E92">
            <w:pPr>
              <w:pStyle w:val="TableText"/>
              <w:spacing w:before="54" w:after="54"/>
              <w:jc w:val="right"/>
            </w:pPr>
            <w:r w:rsidRPr="00DC58C4">
              <w:t>1,806,882</w:t>
            </w:r>
          </w:p>
        </w:tc>
        <w:tc>
          <w:tcPr>
            <w:tcW w:w="1115" w:type="dxa"/>
          </w:tcPr>
          <w:p w14:paraId="02FD0923" w14:textId="6E817F63" w:rsidR="0004602B" w:rsidRDefault="0004602B" w:rsidP="00E66E92">
            <w:pPr>
              <w:pStyle w:val="TableText"/>
              <w:spacing w:before="54" w:after="54"/>
              <w:jc w:val="right"/>
            </w:pPr>
            <w:r w:rsidRPr="00DC58C4">
              <w:t>1,766,037</w:t>
            </w:r>
          </w:p>
        </w:tc>
        <w:tc>
          <w:tcPr>
            <w:tcW w:w="1136" w:type="dxa"/>
          </w:tcPr>
          <w:p w14:paraId="40542C1A" w14:textId="7900E89B" w:rsidR="0004602B" w:rsidRDefault="0004602B" w:rsidP="00E66E92">
            <w:pPr>
              <w:pStyle w:val="TableText"/>
              <w:spacing w:before="54" w:after="54"/>
              <w:jc w:val="right"/>
            </w:pPr>
            <w:r w:rsidRPr="00DC58C4">
              <w:t>1,816,318</w:t>
            </w:r>
          </w:p>
        </w:tc>
        <w:tc>
          <w:tcPr>
            <w:tcW w:w="1276" w:type="dxa"/>
          </w:tcPr>
          <w:p w14:paraId="782CB79D" w14:textId="32E87506" w:rsidR="0004602B" w:rsidRDefault="0004602B" w:rsidP="00E66E92">
            <w:pPr>
              <w:pStyle w:val="TableText"/>
              <w:spacing w:before="54" w:after="54"/>
              <w:jc w:val="right"/>
              <w:rPr>
                <w:w w:val="103"/>
              </w:rPr>
            </w:pPr>
            <w:r w:rsidRPr="00DC58C4">
              <w:t>2</w:t>
            </w:r>
          </w:p>
        </w:tc>
      </w:tr>
      <w:tr w:rsidR="0004602B" w14:paraId="2272E1DA" w14:textId="77777777" w:rsidTr="00E66E92">
        <w:trPr>
          <w:trHeight w:val="340"/>
        </w:trPr>
        <w:tc>
          <w:tcPr>
            <w:tcW w:w="1264" w:type="dxa"/>
          </w:tcPr>
          <w:p w14:paraId="1B2E9FFD" w14:textId="1ADE449E" w:rsidR="0004602B" w:rsidRPr="00966312" w:rsidRDefault="0004602B" w:rsidP="00E66E92">
            <w:pPr>
              <w:pStyle w:val="TableText"/>
              <w:spacing w:before="54" w:after="54"/>
              <w:jc w:val="right"/>
            </w:pPr>
            <w:r w:rsidRPr="00DC58C4">
              <w:t>1,404,967</w:t>
            </w:r>
          </w:p>
        </w:tc>
        <w:tc>
          <w:tcPr>
            <w:tcW w:w="2977" w:type="dxa"/>
          </w:tcPr>
          <w:p w14:paraId="66BC743D" w14:textId="5BFB2847" w:rsidR="0004602B" w:rsidRDefault="0004602B" w:rsidP="00E66E92">
            <w:pPr>
              <w:pStyle w:val="TableText"/>
              <w:spacing w:before="54" w:after="54"/>
            </w:pPr>
            <w:r w:rsidRPr="00DC58C4">
              <w:t>Waikato</w:t>
            </w:r>
          </w:p>
        </w:tc>
        <w:tc>
          <w:tcPr>
            <w:tcW w:w="430" w:type="dxa"/>
          </w:tcPr>
          <w:p w14:paraId="66C4455D" w14:textId="77777777" w:rsidR="0004602B" w:rsidRDefault="0004602B" w:rsidP="00E66E92">
            <w:pPr>
              <w:pStyle w:val="TableText"/>
              <w:spacing w:before="54" w:after="54"/>
              <w:ind w:left="0" w:right="0"/>
              <w:jc w:val="right"/>
            </w:pPr>
          </w:p>
        </w:tc>
        <w:tc>
          <w:tcPr>
            <w:tcW w:w="1151" w:type="dxa"/>
          </w:tcPr>
          <w:p w14:paraId="12A5EEA2" w14:textId="4D45258D" w:rsidR="0004602B" w:rsidRDefault="0004602B" w:rsidP="00E66E92">
            <w:pPr>
              <w:pStyle w:val="TableText"/>
              <w:spacing w:before="54" w:after="54"/>
              <w:jc w:val="right"/>
            </w:pPr>
            <w:r w:rsidRPr="00DC58C4">
              <w:t>1,526,006</w:t>
            </w:r>
          </w:p>
        </w:tc>
        <w:tc>
          <w:tcPr>
            <w:tcW w:w="1115" w:type="dxa"/>
          </w:tcPr>
          <w:p w14:paraId="02C07B45" w14:textId="70BE726E" w:rsidR="0004602B" w:rsidRDefault="0004602B" w:rsidP="00E66E92">
            <w:pPr>
              <w:pStyle w:val="TableText"/>
              <w:spacing w:before="54" w:after="54"/>
              <w:jc w:val="right"/>
            </w:pPr>
            <w:r w:rsidRPr="00DC58C4">
              <w:t>1,476,179</w:t>
            </w:r>
          </w:p>
        </w:tc>
        <w:tc>
          <w:tcPr>
            <w:tcW w:w="1136" w:type="dxa"/>
          </w:tcPr>
          <w:p w14:paraId="2D45C54F" w14:textId="5538C87E" w:rsidR="0004602B" w:rsidRDefault="0004602B" w:rsidP="00E66E92">
            <w:pPr>
              <w:pStyle w:val="TableText"/>
              <w:spacing w:before="54" w:after="54"/>
              <w:jc w:val="right"/>
            </w:pPr>
            <w:r w:rsidRPr="00DC58C4">
              <w:t>1,526,760</w:t>
            </w:r>
          </w:p>
        </w:tc>
        <w:tc>
          <w:tcPr>
            <w:tcW w:w="1276" w:type="dxa"/>
          </w:tcPr>
          <w:p w14:paraId="68AF26DD" w14:textId="7E705E37" w:rsidR="0004602B" w:rsidRDefault="0004602B" w:rsidP="00E66E92">
            <w:pPr>
              <w:pStyle w:val="TableText"/>
              <w:spacing w:before="54" w:after="54"/>
              <w:jc w:val="right"/>
              <w:rPr>
                <w:w w:val="103"/>
              </w:rPr>
            </w:pPr>
            <w:r w:rsidRPr="00DC58C4">
              <w:t>2</w:t>
            </w:r>
          </w:p>
        </w:tc>
      </w:tr>
      <w:tr w:rsidR="0004602B" w14:paraId="3F32BFF3" w14:textId="77777777" w:rsidTr="00E66E92">
        <w:trPr>
          <w:trHeight w:val="340"/>
        </w:trPr>
        <w:tc>
          <w:tcPr>
            <w:tcW w:w="1264" w:type="dxa"/>
          </w:tcPr>
          <w:p w14:paraId="2405F166" w14:textId="37DB5905" w:rsidR="0004602B" w:rsidRPr="00966312" w:rsidRDefault="0004602B" w:rsidP="00E66E92">
            <w:pPr>
              <w:pStyle w:val="TableText"/>
              <w:spacing w:before="54" w:after="54"/>
              <w:jc w:val="right"/>
            </w:pPr>
            <w:r w:rsidRPr="00DC58C4">
              <w:t>382,784</w:t>
            </w:r>
          </w:p>
        </w:tc>
        <w:tc>
          <w:tcPr>
            <w:tcW w:w="2977" w:type="dxa"/>
          </w:tcPr>
          <w:p w14:paraId="130A8E1B" w14:textId="74F2E42A" w:rsidR="0004602B" w:rsidRDefault="0004602B" w:rsidP="00E66E92">
            <w:pPr>
              <w:pStyle w:val="TableText"/>
              <w:spacing w:before="54" w:after="54"/>
            </w:pPr>
            <w:r w:rsidRPr="00DC58C4">
              <w:t>Lakes</w:t>
            </w:r>
          </w:p>
        </w:tc>
        <w:tc>
          <w:tcPr>
            <w:tcW w:w="430" w:type="dxa"/>
          </w:tcPr>
          <w:p w14:paraId="16FA5031" w14:textId="77777777" w:rsidR="0004602B" w:rsidRDefault="0004602B" w:rsidP="00E66E92">
            <w:pPr>
              <w:pStyle w:val="TableText"/>
              <w:spacing w:before="54" w:after="54"/>
              <w:ind w:left="0" w:right="0"/>
              <w:jc w:val="right"/>
            </w:pPr>
          </w:p>
        </w:tc>
        <w:tc>
          <w:tcPr>
            <w:tcW w:w="1151" w:type="dxa"/>
          </w:tcPr>
          <w:p w14:paraId="1BE32BFD" w14:textId="252806D0" w:rsidR="0004602B" w:rsidRDefault="0004602B" w:rsidP="00E66E92">
            <w:pPr>
              <w:pStyle w:val="TableText"/>
              <w:spacing w:before="54" w:after="54"/>
              <w:jc w:val="right"/>
            </w:pPr>
            <w:r w:rsidRPr="00DC58C4">
              <w:t>422,317</w:t>
            </w:r>
          </w:p>
        </w:tc>
        <w:tc>
          <w:tcPr>
            <w:tcW w:w="1115" w:type="dxa"/>
          </w:tcPr>
          <w:p w14:paraId="751B479F" w14:textId="0B9A0E3E" w:rsidR="0004602B" w:rsidRDefault="0004602B" w:rsidP="00E66E92">
            <w:pPr>
              <w:pStyle w:val="TableText"/>
              <w:spacing w:before="54" w:after="54"/>
              <w:jc w:val="right"/>
            </w:pPr>
            <w:r w:rsidRPr="00DC58C4">
              <w:t>411,895</w:t>
            </w:r>
          </w:p>
        </w:tc>
        <w:tc>
          <w:tcPr>
            <w:tcW w:w="1136" w:type="dxa"/>
          </w:tcPr>
          <w:p w14:paraId="3297A03D" w14:textId="3021083D" w:rsidR="0004602B" w:rsidRDefault="0004602B" w:rsidP="00E66E92">
            <w:pPr>
              <w:pStyle w:val="TableText"/>
              <w:spacing w:before="54" w:after="54"/>
              <w:jc w:val="right"/>
            </w:pPr>
            <w:r w:rsidRPr="00DC58C4">
              <w:t>423,745</w:t>
            </w:r>
          </w:p>
        </w:tc>
        <w:tc>
          <w:tcPr>
            <w:tcW w:w="1276" w:type="dxa"/>
          </w:tcPr>
          <w:p w14:paraId="7DEB1933" w14:textId="7E45C9F9" w:rsidR="0004602B" w:rsidRDefault="0004602B" w:rsidP="00E66E92">
            <w:pPr>
              <w:pStyle w:val="TableText"/>
              <w:spacing w:before="54" w:after="54"/>
              <w:jc w:val="right"/>
              <w:rPr>
                <w:w w:val="103"/>
              </w:rPr>
            </w:pPr>
            <w:r w:rsidRPr="00DC58C4">
              <w:t>2</w:t>
            </w:r>
          </w:p>
        </w:tc>
      </w:tr>
      <w:tr w:rsidR="0004602B" w14:paraId="06C09DB5" w14:textId="77777777" w:rsidTr="00E66E92">
        <w:trPr>
          <w:trHeight w:val="340"/>
        </w:trPr>
        <w:tc>
          <w:tcPr>
            <w:tcW w:w="1264" w:type="dxa"/>
          </w:tcPr>
          <w:p w14:paraId="1517B083" w14:textId="5662500A" w:rsidR="0004602B" w:rsidRPr="00966312" w:rsidRDefault="0004602B" w:rsidP="00E66E92">
            <w:pPr>
              <w:pStyle w:val="TableText"/>
              <w:spacing w:before="54" w:after="54"/>
              <w:jc w:val="right"/>
            </w:pPr>
            <w:r w:rsidRPr="00DC58C4">
              <w:t>856,609</w:t>
            </w:r>
          </w:p>
        </w:tc>
        <w:tc>
          <w:tcPr>
            <w:tcW w:w="2977" w:type="dxa"/>
          </w:tcPr>
          <w:p w14:paraId="48DB485D" w14:textId="14A56FC5" w:rsidR="0004602B" w:rsidRDefault="0004602B" w:rsidP="00E66E92">
            <w:pPr>
              <w:pStyle w:val="TableText"/>
              <w:spacing w:before="54" w:after="54"/>
            </w:pPr>
            <w:r w:rsidRPr="00DC58C4">
              <w:t>Bay of Plenty</w:t>
            </w:r>
          </w:p>
        </w:tc>
        <w:tc>
          <w:tcPr>
            <w:tcW w:w="430" w:type="dxa"/>
          </w:tcPr>
          <w:p w14:paraId="1F73E929" w14:textId="77777777" w:rsidR="0004602B" w:rsidRDefault="0004602B" w:rsidP="00E66E92">
            <w:pPr>
              <w:pStyle w:val="TableText"/>
              <w:spacing w:before="54" w:after="54"/>
              <w:ind w:left="0" w:right="0"/>
              <w:jc w:val="right"/>
            </w:pPr>
          </w:p>
        </w:tc>
        <w:tc>
          <w:tcPr>
            <w:tcW w:w="1151" w:type="dxa"/>
          </w:tcPr>
          <w:p w14:paraId="3CC48769" w14:textId="29BD8DC4" w:rsidR="0004602B" w:rsidRDefault="0004602B" w:rsidP="00E66E92">
            <w:pPr>
              <w:pStyle w:val="TableText"/>
              <w:spacing w:before="54" w:after="54"/>
              <w:jc w:val="right"/>
            </w:pPr>
            <w:r w:rsidRPr="00DC58C4">
              <w:t>935,411</w:t>
            </w:r>
          </w:p>
        </w:tc>
        <w:tc>
          <w:tcPr>
            <w:tcW w:w="1115" w:type="dxa"/>
          </w:tcPr>
          <w:p w14:paraId="5A8BA5DA" w14:textId="67F470B1" w:rsidR="0004602B" w:rsidRDefault="0004602B" w:rsidP="00E66E92">
            <w:pPr>
              <w:pStyle w:val="TableText"/>
              <w:spacing w:before="54" w:after="54"/>
              <w:jc w:val="right"/>
            </w:pPr>
            <w:r w:rsidRPr="00DC58C4">
              <w:t>922,346</w:t>
            </w:r>
          </w:p>
        </w:tc>
        <w:tc>
          <w:tcPr>
            <w:tcW w:w="1136" w:type="dxa"/>
          </w:tcPr>
          <w:p w14:paraId="3A668CD0" w14:textId="279423FF" w:rsidR="0004602B" w:rsidRDefault="0004602B" w:rsidP="00E66E92">
            <w:pPr>
              <w:pStyle w:val="TableText"/>
              <w:spacing w:before="54" w:after="54"/>
              <w:jc w:val="right"/>
            </w:pPr>
            <w:r w:rsidRPr="00DC58C4">
              <w:t>937,589</w:t>
            </w:r>
          </w:p>
        </w:tc>
        <w:tc>
          <w:tcPr>
            <w:tcW w:w="1276" w:type="dxa"/>
          </w:tcPr>
          <w:p w14:paraId="0B34E1A1" w14:textId="7935C47A" w:rsidR="0004602B" w:rsidRDefault="0004602B" w:rsidP="00E66E92">
            <w:pPr>
              <w:pStyle w:val="TableText"/>
              <w:spacing w:before="54" w:after="54"/>
              <w:jc w:val="right"/>
              <w:rPr>
                <w:w w:val="103"/>
              </w:rPr>
            </w:pPr>
            <w:r w:rsidRPr="00DC58C4">
              <w:t>2</w:t>
            </w:r>
          </w:p>
        </w:tc>
      </w:tr>
      <w:tr w:rsidR="0004602B" w14:paraId="14F5A351" w14:textId="77777777" w:rsidTr="00E66E92">
        <w:trPr>
          <w:trHeight w:val="340"/>
        </w:trPr>
        <w:tc>
          <w:tcPr>
            <w:tcW w:w="1264" w:type="dxa"/>
          </w:tcPr>
          <w:p w14:paraId="74C3D8CE" w14:textId="1EBF6A2B" w:rsidR="0004602B" w:rsidRPr="00966312" w:rsidRDefault="0004602B" w:rsidP="00E66E92">
            <w:pPr>
              <w:pStyle w:val="TableText"/>
              <w:spacing w:before="54" w:after="54"/>
              <w:jc w:val="right"/>
            </w:pPr>
            <w:r w:rsidRPr="00DC58C4">
              <w:t>191,226</w:t>
            </w:r>
          </w:p>
        </w:tc>
        <w:tc>
          <w:tcPr>
            <w:tcW w:w="2977" w:type="dxa"/>
          </w:tcPr>
          <w:p w14:paraId="18614056" w14:textId="3058B230" w:rsidR="0004602B" w:rsidRDefault="0004602B" w:rsidP="00E66E92">
            <w:pPr>
              <w:pStyle w:val="TableText"/>
              <w:spacing w:before="54" w:after="54"/>
            </w:pPr>
            <w:r w:rsidRPr="00DC58C4">
              <w:t>Tairāwhiti</w:t>
            </w:r>
          </w:p>
        </w:tc>
        <w:tc>
          <w:tcPr>
            <w:tcW w:w="430" w:type="dxa"/>
          </w:tcPr>
          <w:p w14:paraId="65EDF37D" w14:textId="77777777" w:rsidR="0004602B" w:rsidRDefault="0004602B" w:rsidP="00E66E92">
            <w:pPr>
              <w:pStyle w:val="TableText"/>
              <w:spacing w:before="54" w:after="54"/>
              <w:ind w:left="0" w:right="0"/>
              <w:jc w:val="right"/>
            </w:pPr>
          </w:p>
        </w:tc>
        <w:tc>
          <w:tcPr>
            <w:tcW w:w="1151" w:type="dxa"/>
          </w:tcPr>
          <w:p w14:paraId="74A2F0DA" w14:textId="55B8A89D" w:rsidR="0004602B" w:rsidRDefault="0004602B" w:rsidP="00E66E92">
            <w:pPr>
              <w:pStyle w:val="TableText"/>
              <w:spacing w:before="54" w:after="54"/>
              <w:jc w:val="right"/>
            </w:pPr>
            <w:r w:rsidRPr="00DC58C4">
              <w:t>207,440</w:t>
            </w:r>
          </w:p>
        </w:tc>
        <w:tc>
          <w:tcPr>
            <w:tcW w:w="1115" w:type="dxa"/>
          </w:tcPr>
          <w:p w14:paraId="29FED15C" w14:textId="28296C53" w:rsidR="0004602B" w:rsidRDefault="0004602B" w:rsidP="00E66E92">
            <w:pPr>
              <w:pStyle w:val="TableText"/>
              <w:spacing w:before="54" w:after="54"/>
              <w:jc w:val="right"/>
            </w:pPr>
            <w:r w:rsidRPr="00DC58C4">
              <w:t>202,827</w:t>
            </w:r>
          </w:p>
        </w:tc>
        <w:tc>
          <w:tcPr>
            <w:tcW w:w="1136" w:type="dxa"/>
          </w:tcPr>
          <w:p w14:paraId="2FB27B22" w14:textId="582D6519" w:rsidR="0004602B" w:rsidRDefault="0004602B" w:rsidP="00E66E92">
            <w:pPr>
              <w:pStyle w:val="TableText"/>
              <w:spacing w:before="54" w:after="54"/>
              <w:jc w:val="right"/>
            </w:pPr>
            <w:r w:rsidRPr="00DC58C4">
              <w:t>209,240</w:t>
            </w:r>
          </w:p>
        </w:tc>
        <w:tc>
          <w:tcPr>
            <w:tcW w:w="1276" w:type="dxa"/>
          </w:tcPr>
          <w:p w14:paraId="6D2A907B" w14:textId="608C4BB8" w:rsidR="0004602B" w:rsidRDefault="0004602B" w:rsidP="00E66E92">
            <w:pPr>
              <w:pStyle w:val="TableText"/>
              <w:spacing w:before="54" w:after="54"/>
              <w:jc w:val="right"/>
              <w:rPr>
                <w:w w:val="103"/>
              </w:rPr>
            </w:pPr>
            <w:r w:rsidRPr="00DC58C4">
              <w:t>2</w:t>
            </w:r>
          </w:p>
        </w:tc>
      </w:tr>
      <w:tr w:rsidR="0004602B" w14:paraId="6E3F6CE8" w14:textId="77777777" w:rsidTr="00E66E92">
        <w:trPr>
          <w:trHeight w:val="340"/>
        </w:trPr>
        <w:tc>
          <w:tcPr>
            <w:tcW w:w="1264" w:type="dxa"/>
          </w:tcPr>
          <w:p w14:paraId="51A1AD50" w14:textId="0141B14E" w:rsidR="0004602B" w:rsidRPr="00966312" w:rsidRDefault="0004602B" w:rsidP="00E66E92">
            <w:pPr>
              <w:pStyle w:val="TableText"/>
              <w:spacing w:before="54" w:after="54"/>
              <w:jc w:val="right"/>
            </w:pPr>
            <w:r w:rsidRPr="00DC58C4">
              <w:t>401,127</w:t>
            </w:r>
          </w:p>
        </w:tc>
        <w:tc>
          <w:tcPr>
            <w:tcW w:w="2977" w:type="dxa"/>
          </w:tcPr>
          <w:p w14:paraId="4282B359" w14:textId="503BC08C" w:rsidR="0004602B" w:rsidRDefault="0004602B" w:rsidP="00E66E92">
            <w:pPr>
              <w:pStyle w:val="TableText"/>
              <w:spacing w:before="54" w:after="54"/>
            </w:pPr>
            <w:r w:rsidRPr="00DC58C4">
              <w:t>Taranaki</w:t>
            </w:r>
          </w:p>
        </w:tc>
        <w:tc>
          <w:tcPr>
            <w:tcW w:w="430" w:type="dxa"/>
          </w:tcPr>
          <w:p w14:paraId="2B273CA4" w14:textId="77777777" w:rsidR="0004602B" w:rsidRDefault="0004602B" w:rsidP="00E66E92">
            <w:pPr>
              <w:pStyle w:val="TableText"/>
              <w:spacing w:before="54" w:after="54"/>
              <w:ind w:left="0" w:right="0"/>
              <w:jc w:val="right"/>
            </w:pPr>
          </w:p>
        </w:tc>
        <w:tc>
          <w:tcPr>
            <w:tcW w:w="1151" w:type="dxa"/>
          </w:tcPr>
          <w:p w14:paraId="1B4E3B38" w14:textId="1F569214" w:rsidR="0004602B" w:rsidRDefault="0004602B" w:rsidP="00E66E92">
            <w:pPr>
              <w:pStyle w:val="TableText"/>
              <w:spacing w:before="54" w:after="54"/>
              <w:jc w:val="right"/>
            </w:pPr>
            <w:r w:rsidRPr="00DC58C4">
              <w:t>427,010</w:t>
            </w:r>
          </w:p>
        </w:tc>
        <w:tc>
          <w:tcPr>
            <w:tcW w:w="1115" w:type="dxa"/>
          </w:tcPr>
          <w:p w14:paraId="23428C71" w14:textId="572ED8B0" w:rsidR="0004602B" w:rsidRDefault="0004602B" w:rsidP="00E66E92">
            <w:pPr>
              <w:pStyle w:val="TableText"/>
              <w:spacing w:before="54" w:after="54"/>
              <w:jc w:val="right"/>
            </w:pPr>
            <w:r w:rsidRPr="00DC58C4">
              <w:t>415,394</w:t>
            </w:r>
          </w:p>
        </w:tc>
        <w:tc>
          <w:tcPr>
            <w:tcW w:w="1136" w:type="dxa"/>
          </w:tcPr>
          <w:p w14:paraId="4B128E43" w14:textId="3B3BC675" w:rsidR="0004602B" w:rsidRDefault="0004602B" w:rsidP="00E66E92">
            <w:pPr>
              <w:pStyle w:val="TableText"/>
              <w:spacing w:before="54" w:after="54"/>
              <w:jc w:val="right"/>
            </w:pPr>
            <w:r w:rsidRPr="00DC58C4">
              <w:t>428,481</w:t>
            </w:r>
          </w:p>
        </w:tc>
        <w:tc>
          <w:tcPr>
            <w:tcW w:w="1276" w:type="dxa"/>
          </w:tcPr>
          <w:p w14:paraId="21E8778F" w14:textId="7F394D44" w:rsidR="0004602B" w:rsidRDefault="0004602B" w:rsidP="00E66E92">
            <w:pPr>
              <w:pStyle w:val="TableText"/>
              <w:spacing w:before="54" w:after="54"/>
              <w:jc w:val="right"/>
              <w:rPr>
                <w:w w:val="103"/>
              </w:rPr>
            </w:pPr>
            <w:r w:rsidRPr="00DC58C4">
              <w:t>2</w:t>
            </w:r>
          </w:p>
        </w:tc>
      </w:tr>
      <w:tr w:rsidR="0004602B" w14:paraId="7404AF03" w14:textId="77777777" w:rsidTr="00E66E92">
        <w:trPr>
          <w:trHeight w:val="340"/>
        </w:trPr>
        <w:tc>
          <w:tcPr>
            <w:tcW w:w="1264" w:type="dxa"/>
          </w:tcPr>
          <w:p w14:paraId="383E2F17" w14:textId="545636F1" w:rsidR="0004602B" w:rsidRPr="00966312" w:rsidRDefault="0004602B" w:rsidP="00E66E92">
            <w:pPr>
              <w:pStyle w:val="TableText"/>
              <w:spacing w:before="54" w:after="54"/>
              <w:jc w:val="right"/>
            </w:pPr>
            <w:r w:rsidRPr="00DC58C4">
              <w:t>588,092</w:t>
            </w:r>
          </w:p>
        </w:tc>
        <w:tc>
          <w:tcPr>
            <w:tcW w:w="2977" w:type="dxa"/>
          </w:tcPr>
          <w:p w14:paraId="44A154DB" w14:textId="0A86A487" w:rsidR="0004602B" w:rsidRDefault="0004602B" w:rsidP="00E66E92">
            <w:pPr>
              <w:pStyle w:val="TableText"/>
              <w:spacing w:before="54" w:after="54"/>
            </w:pPr>
            <w:r w:rsidRPr="00DC58C4">
              <w:t>Hawke’s Bay</w:t>
            </w:r>
          </w:p>
        </w:tc>
        <w:tc>
          <w:tcPr>
            <w:tcW w:w="430" w:type="dxa"/>
          </w:tcPr>
          <w:p w14:paraId="7C4124AE" w14:textId="77777777" w:rsidR="0004602B" w:rsidRDefault="0004602B" w:rsidP="00E66E92">
            <w:pPr>
              <w:pStyle w:val="TableText"/>
              <w:spacing w:before="54" w:after="54"/>
              <w:ind w:left="0" w:right="0"/>
              <w:jc w:val="right"/>
            </w:pPr>
          </w:p>
        </w:tc>
        <w:tc>
          <w:tcPr>
            <w:tcW w:w="1151" w:type="dxa"/>
          </w:tcPr>
          <w:p w14:paraId="6A292038" w14:textId="6A6294E0" w:rsidR="0004602B" w:rsidRDefault="0004602B" w:rsidP="00E66E92">
            <w:pPr>
              <w:pStyle w:val="TableText"/>
              <w:spacing w:before="54" w:after="54"/>
              <w:jc w:val="right"/>
            </w:pPr>
            <w:r w:rsidRPr="00DC58C4">
              <w:t>645,490</w:t>
            </w:r>
          </w:p>
        </w:tc>
        <w:tc>
          <w:tcPr>
            <w:tcW w:w="1115" w:type="dxa"/>
          </w:tcPr>
          <w:p w14:paraId="46C5EBAB" w14:textId="62F63A4D" w:rsidR="0004602B" w:rsidRDefault="0004602B" w:rsidP="00E66E92">
            <w:pPr>
              <w:pStyle w:val="TableText"/>
              <w:spacing w:before="54" w:after="54"/>
              <w:jc w:val="right"/>
            </w:pPr>
            <w:r w:rsidRPr="00DC58C4">
              <w:t>628,229</w:t>
            </w:r>
          </w:p>
        </w:tc>
        <w:tc>
          <w:tcPr>
            <w:tcW w:w="1136" w:type="dxa"/>
          </w:tcPr>
          <w:p w14:paraId="31EEEB78" w14:textId="1B278F84" w:rsidR="0004602B" w:rsidRDefault="0004602B" w:rsidP="00E66E92">
            <w:pPr>
              <w:pStyle w:val="TableText"/>
              <w:spacing w:before="54" w:after="54"/>
              <w:jc w:val="right"/>
            </w:pPr>
            <w:r w:rsidRPr="00DC58C4">
              <w:t>645,513</w:t>
            </w:r>
          </w:p>
        </w:tc>
        <w:tc>
          <w:tcPr>
            <w:tcW w:w="1276" w:type="dxa"/>
          </w:tcPr>
          <w:p w14:paraId="35CC2719" w14:textId="57B971E0" w:rsidR="0004602B" w:rsidRDefault="0004602B" w:rsidP="00E66E92">
            <w:pPr>
              <w:pStyle w:val="TableText"/>
              <w:spacing w:before="54" w:after="54"/>
              <w:jc w:val="right"/>
              <w:rPr>
                <w:w w:val="103"/>
              </w:rPr>
            </w:pPr>
            <w:r w:rsidRPr="00DC58C4">
              <w:t>2</w:t>
            </w:r>
          </w:p>
        </w:tc>
      </w:tr>
      <w:tr w:rsidR="0004602B" w14:paraId="5F43982E" w14:textId="77777777" w:rsidTr="00E66E92">
        <w:trPr>
          <w:trHeight w:val="340"/>
        </w:trPr>
        <w:tc>
          <w:tcPr>
            <w:tcW w:w="1264" w:type="dxa"/>
          </w:tcPr>
          <w:p w14:paraId="4CDA5FFA" w14:textId="00527DB0" w:rsidR="0004602B" w:rsidRPr="00966312" w:rsidRDefault="0004602B" w:rsidP="00E66E92">
            <w:pPr>
              <w:pStyle w:val="TableText"/>
              <w:spacing w:before="54" w:after="54"/>
              <w:jc w:val="right"/>
            </w:pPr>
            <w:r w:rsidRPr="00DC58C4">
              <w:t>263,542</w:t>
            </w:r>
          </w:p>
        </w:tc>
        <w:tc>
          <w:tcPr>
            <w:tcW w:w="2977" w:type="dxa"/>
          </w:tcPr>
          <w:p w14:paraId="70A0E1D1" w14:textId="77AC7E35" w:rsidR="0004602B" w:rsidRDefault="0004602B" w:rsidP="00E66E92">
            <w:pPr>
              <w:pStyle w:val="TableText"/>
              <w:spacing w:before="54" w:after="54"/>
            </w:pPr>
            <w:r w:rsidRPr="00DC58C4">
              <w:t>Whanganui</w:t>
            </w:r>
          </w:p>
        </w:tc>
        <w:tc>
          <w:tcPr>
            <w:tcW w:w="430" w:type="dxa"/>
          </w:tcPr>
          <w:p w14:paraId="6704139F" w14:textId="77777777" w:rsidR="0004602B" w:rsidRDefault="0004602B" w:rsidP="00E66E92">
            <w:pPr>
              <w:pStyle w:val="TableText"/>
              <w:spacing w:before="54" w:after="54"/>
              <w:ind w:left="0" w:right="0"/>
              <w:jc w:val="right"/>
            </w:pPr>
          </w:p>
        </w:tc>
        <w:tc>
          <w:tcPr>
            <w:tcW w:w="1151" w:type="dxa"/>
          </w:tcPr>
          <w:p w14:paraId="2271AEFA" w14:textId="2F72BD14" w:rsidR="0004602B" w:rsidRDefault="0004602B" w:rsidP="00E66E92">
            <w:pPr>
              <w:pStyle w:val="TableText"/>
              <w:spacing w:before="54" w:after="54"/>
              <w:jc w:val="right"/>
            </w:pPr>
            <w:r w:rsidRPr="00DC58C4">
              <w:t>282,864</w:t>
            </w:r>
          </w:p>
        </w:tc>
        <w:tc>
          <w:tcPr>
            <w:tcW w:w="1115" w:type="dxa"/>
          </w:tcPr>
          <w:p w14:paraId="7E527C17" w14:textId="5FCC79DC" w:rsidR="0004602B" w:rsidRDefault="0004602B" w:rsidP="00E66E92">
            <w:pPr>
              <w:pStyle w:val="TableText"/>
              <w:spacing w:before="54" w:after="54"/>
              <w:jc w:val="right"/>
            </w:pPr>
            <w:r w:rsidRPr="00DC58C4">
              <w:t>276,623</w:t>
            </w:r>
          </w:p>
        </w:tc>
        <w:tc>
          <w:tcPr>
            <w:tcW w:w="1136" w:type="dxa"/>
          </w:tcPr>
          <w:p w14:paraId="3D6F854D" w14:textId="426BE5B5" w:rsidR="0004602B" w:rsidRDefault="0004602B" w:rsidP="00E66E92">
            <w:pPr>
              <w:pStyle w:val="TableText"/>
              <w:spacing w:before="54" w:after="54"/>
              <w:jc w:val="right"/>
            </w:pPr>
            <w:r w:rsidRPr="00DC58C4">
              <w:t>284,171</w:t>
            </w:r>
          </w:p>
        </w:tc>
        <w:tc>
          <w:tcPr>
            <w:tcW w:w="1276" w:type="dxa"/>
          </w:tcPr>
          <w:p w14:paraId="7A59BA0E" w14:textId="4058231A" w:rsidR="0004602B" w:rsidRDefault="0004602B" w:rsidP="00E66E92">
            <w:pPr>
              <w:pStyle w:val="TableText"/>
              <w:spacing w:before="54" w:after="54"/>
              <w:jc w:val="right"/>
              <w:rPr>
                <w:w w:val="103"/>
              </w:rPr>
            </w:pPr>
            <w:r w:rsidRPr="00DC58C4">
              <w:t>2</w:t>
            </w:r>
          </w:p>
        </w:tc>
      </w:tr>
      <w:tr w:rsidR="0004602B" w14:paraId="5C966E01" w14:textId="77777777" w:rsidTr="00E66E92">
        <w:trPr>
          <w:trHeight w:val="340"/>
        </w:trPr>
        <w:tc>
          <w:tcPr>
            <w:tcW w:w="1264" w:type="dxa"/>
          </w:tcPr>
          <w:p w14:paraId="4F5DDCEA" w14:textId="104767D4" w:rsidR="0004602B" w:rsidRPr="00966312" w:rsidRDefault="0004602B" w:rsidP="00E66E92">
            <w:pPr>
              <w:pStyle w:val="TableText"/>
              <w:spacing w:before="54" w:after="54"/>
              <w:jc w:val="right"/>
            </w:pPr>
            <w:r w:rsidRPr="00DC58C4">
              <w:t>605,941</w:t>
            </w:r>
          </w:p>
        </w:tc>
        <w:tc>
          <w:tcPr>
            <w:tcW w:w="2977" w:type="dxa"/>
          </w:tcPr>
          <w:p w14:paraId="5EF0E3BC" w14:textId="1E66D927" w:rsidR="0004602B" w:rsidRDefault="0004602B" w:rsidP="00E66E92">
            <w:pPr>
              <w:pStyle w:val="TableText"/>
              <w:spacing w:before="54" w:after="54"/>
            </w:pPr>
            <w:r w:rsidRPr="00DC58C4">
              <w:t>MidCentral</w:t>
            </w:r>
          </w:p>
        </w:tc>
        <w:tc>
          <w:tcPr>
            <w:tcW w:w="430" w:type="dxa"/>
          </w:tcPr>
          <w:p w14:paraId="5A5D7E42" w14:textId="77777777" w:rsidR="0004602B" w:rsidRDefault="0004602B" w:rsidP="00E66E92">
            <w:pPr>
              <w:pStyle w:val="TableText"/>
              <w:spacing w:before="54" w:after="54"/>
              <w:ind w:left="0" w:right="0"/>
              <w:jc w:val="right"/>
            </w:pPr>
          </w:p>
        </w:tc>
        <w:tc>
          <w:tcPr>
            <w:tcW w:w="1151" w:type="dxa"/>
          </w:tcPr>
          <w:p w14:paraId="4FC19772" w14:textId="6AA57C4A" w:rsidR="0004602B" w:rsidRDefault="0004602B" w:rsidP="00E66E92">
            <w:pPr>
              <w:pStyle w:val="TableText"/>
              <w:spacing w:before="54" w:after="54"/>
              <w:jc w:val="right"/>
            </w:pPr>
            <w:r w:rsidRPr="00DC58C4">
              <w:t>646,600</w:t>
            </w:r>
          </w:p>
        </w:tc>
        <w:tc>
          <w:tcPr>
            <w:tcW w:w="1115" w:type="dxa"/>
          </w:tcPr>
          <w:p w14:paraId="50DBD8B7" w14:textId="699E1BE4" w:rsidR="0004602B" w:rsidRDefault="0004602B" w:rsidP="00E66E92">
            <w:pPr>
              <w:pStyle w:val="TableText"/>
              <w:spacing w:before="54" w:after="54"/>
              <w:jc w:val="right"/>
            </w:pPr>
            <w:r w:rsidRPr="00DC58C4">
              <w:t>630,882</w:t>
            </w:r>
          </w:p>
        </w:tc>
        <w:tc>
          <w:tcPr>
            <w:tcW w:w="1136" w:type="dxa"/>
          </w:tcPr>
          <w:p w14:paraId="1D15B854" w14:textId="71A0E114" w:rsidR="0004602B" w:rsidRDefault="0004602B" w:rsidP="00E66E92">
            <w:pPr>
              <w:pStyle w:val="TableText"/>
              <w:spacing w:before="54" w:after="54"/>
              <w:jc w:val="right"/>
            </w:pPr>
            <w:r w:rsidRPr="00DC58C4">
              <w:t>649,207</w:t>
            </w:r>
          </w:p>
        </w:tc>
        <w:tc>
          <w:tcPr>
            <w:tcW w:w="1276" w:type="dxa"/>
          </w:tcPr>
          <w:p w14:paraId="654D2BCE" w14:textId="43E7A1A5" w:rsidR="0004602B" w:rsidRDefault="0004602B" w:rsidP="00E66E92">
            <w:pPr>
              <w:pStyle w:val="TableText"/>
              <w:spacing w:before="54" w:after="54"/>
              <w:jc w:val="right"/>
              <w:rPr>
                <w:w w:val="103"/>
              </w:rPr>
            </w:pPr>
            <w:r w:rsidRPr="00DC58C4">
              <w:t>2</w:t>
            </w:r>
          </w:p>
        </w:tc>
      </w:tr>
      <w:tr w:rsidR="0004602B" w14:paraId="112494CA" w14:textId="77777777" w:rsidTr="00E66E92">
        <w:trPr>
          <w:trHeight w:val="340"/>
        </w:trPr>
        <w:tc>
          <w:tcPr>
            <w:tcW w:w="1264" w:type="dxa"/>
          </w:tcPr>
          <w:p w14:paraId="1A62E205" w14:textId="283107A4" w:rsidR="0004602B" w:rsidRPr="00966312" w:rsidRDefault="0004602B" w:rsidP="00E66E92">
            <w:pPr>
              <w:pStyle w:val="TableText"/>
              <w:spacing w:before="54" w:after="54"/>
              <w:jc w:val="right"/>
            </w:pPr>
            <w:r w:rsidRPr="00DC58C4">
              <w:t>457,895</w:t>
            </w:r>
          </w:p>
        </w:tc>
        <w:tc>
          <w:tcPr>
            <w:tcW w:w="2977" w:type="dxa"/>
          </w:tcPr>
          <w:p w14:paraId="5E859528" w14:textId="7BFEEA1A" w:rsidR="0004602B" w:rsidRDefault="0004602B" w:rsidP="00E66E92">
            <w:pPr>
              <w:pStyle w:val="TableText"/>
              <w:spacing w:before="54" w:after="54"/>
            </w:pPr>
            <w:r w:rsidRPr="00DC58C4">
              <w:t>Hutt Valley</w:t>
            </w:r>
          </w:p>
        </w:tc>
        <w:tc>
          <w:tcPr>
            <w:tcW w:w="430" w:type="dxa"/>
          </w:tcPr>
          <w:p w14:paraId="45B81A57" w14:textId="77777777" w:rsidR="0004602B" w:rsidRDefault="0004602B" w:rsidP="00E66E92">
            <w:pPr>
              <w:pStyle w:val="TableText"/>
              <w:spacing w:before="54" w:after="54"/>
              <w:ind w:left="0" w:right="0"/>
              <w:jc w:val="right"/>
            </w:pPr>
          </w:p>
        </w:tc>
        <w:tc>
          <w:tcPr>
            <w:tcW w:w="1151" w:type="dxa"/>
          </w:tcPr>
          <w:p w14:paraId="42D74A48" w14:textId="7D67EB3E" w:rsidR="0004602B" w:rsidRDefault="0004602B" w:rsidP="00E66E92">
            <w:pPr>
              <w:pStyle w:val="TableText"/>
              <w:spacing w:before="54" w:after="54"/>
              <w:jc w:val="right"/>
            </w:pPr>
            <w:r w:rsidRPr="00DC58C4">
              <w:t>485,771</w:t>
            </w:r>
          </w:p>
        </w:tc>
        <w:tc>
          <w:tcPr>
            <w:tcW w:w="1115" w:type="dxa"/>
          </w:tcPr>
          <w:p w14:paraId="58497B5B" w14:textId="16B896D9" w:rsidR="0004602B" w:rsidRDefault="0004602B" w:rsidP="00E66E92">
            <w:pPr>
              <w:pStyle w:val="TableText"/>
              <w:spacing w:before="54" w:after="54"/>
              <w:jc w:val="right"/>
            </w:pPr>
            <w:r w:rsidRPr="00DC58C4">
              <w:t>478,085</w:t>
            </w:r>
          </w:p>
        </w:tc>
        <w:tc>
          <w:tcPr>
            <w:tcW w:w="1136" w:type="dxa"/>
          </w:tcPr>
          <w:p w14:paraId="160E2BAD" w14:textId="427FB6E8" w:rsidR="0004602B" w:rsidRDefault="0004602B" w:rsidP="00E66E92">
            <w:pPr>
              <w:pStyle w:val="TableText"/>
              <w:spacing w:before="54" w:after="54"/>
              <w:jc w:val="right"/>
            </w:pPr>
            <w:r w:rsidRPr="00DC58C4">
              <w:t>487,382</w:t>
            </w:r>
          </w:p>
        </w:tc>
        <w:tc>
          <w:tcPr>
            <w:tcW w:w="1276" w:type="dxa"/>
          </w:tcPr>
          <w:p w14:paraId="38AE489E" w14:textId="3898C556" w:rsidR="0004602B" w:rsidRDefault="0004602B" w:rsidP="00E66E92">
            <w:pPr>
              <w:pStyle w:val="TableText"/>
              <w:spacing w:before="54" w:after="54"/>
              <w:jc w:val="right"/>
              <w:rPr>
                <w:w w:val="103"/>
              </w:rPr>
            </w:pPr>
            <w:r w:rsidRPr="00DC58C4">
              <w:t>2</w:t>
            </w:r>
          </w:p>
        </w:tc>
      </w:tr>
      <w:tr w:rsidR="0004602B" w14:paraId="5DA863ED" w14:textId="77777777" w:rsidTr="00E66E92">
        <w:trPr>
          <w:trHeight w:val="340"/>
        </w:trPr>
        <w:tc>
          <w:tcPr>
            <w:tcW w:w="1264" w:type="dxa"/>
          </w:tcPr>
          <w:p w14:paraId="15CA8DDC" w14:textId="57D75306" w:rsidR="0004602B" w:rsidRPr="00966312" w:rsidRDefault="0004602B" w:rsidP="00E66E92">
            <w:pPr>
              <w:pStyle w:val="TableText"/>
              <w:spacing w:before="54" w:after="54"/>
              <w:jc w:val="right"/>
            </w:pPr>
            <w:r w:rsidRPr="00DC58C4">
              <w:t>876,119</w:t>
            </w:r>
          </w:p>
        </w:tc>
        <w:tc>
          <w:tcPr>
            <w:tcW w:w="2977" w:type="dxa"/>
          </w:tcPr>
          <w:p w14:paraId="16B0FA94" w14:textId="7A9904C3" w:rsidR="0004602B" w:rsidRDefault="0004602B" w:rsidP="00E66E92">
            <w:pPr>
              <w:pStyle w:val="TableText"/>
              <w:spacing w:before="54" w:after="54"/>
            </w:pPr>
            <w:r w:rsidRPr="00DC58C4">
              <w:t>Capital &amp; Coast</w:t>
            </w:r>
          </w:p>
        </w:tc>
        <w:tc>
          <w:tcPr>
            <w:tcW w:w="430" w:type="dxa"/>
          </w:tcPr>
          <w:p w14:paraId="1E89C873" w14:textId="77777777" w:rsidR="0004602B" w:rsidRDefault="0004602B" w:rsidP="00E66E92">
            <w:pPr>
              <w:pStyle w:val="TableText"/>
              <w:spacing w:before="54" w:after="54"/>
              <w:ind w:left="0" w:right="0"/>
              <w:jc w:val="right"/>
            </w:pPr>
          </w:p>
        </w:tc>
        <w:tc>
          <w:tcPr>
            <w:tcW w:w="1151" w:type="dxa"/>
          </w:tcPr>
          <w:p w14:paraId="26DB9E99" w14:textId="5B58A925" w:rsidR="0004602B" w:rsidRDefault="0004602B" w:rsidP="00E66E92">
            <w:pPr>
              <w:pStyle w:val="TableText"/>
              <w:spacing w:before="54" w:after="54"/>
              <w:jc w:val="right"/>
            </w:pPr>
            <w:r w:rsidRPr="00DC58C4">
              <w:t>943,376</w:t>
            </w:r>
          </w:p>
        </w:tc>
        <w:tc>
          <w:tcPr>
            <w:tcW w:w="1115" w:type="dxa"/>
          </w:tcPr>
          <w:p w14:paraId="52601D9C" w14:textId="735DD777" w:rsidR="0004602B" w:rsidRDefault="0004602B" w:rsidP="00E66E92">
            <w:pPr>
              <w:pStyle w:val="TableText"/>
              <w:spacing w:before="54" w:after="54"/>
              <w:jc w:val="right"/>
            </w:pPr>
            <w:r w:rsidRPr="00DC58C4">
              <w:t>914,098</w:t>
            </w:r>
          </w:p>
        </w:tc>
        <w:tc>
          <w:tcPr>
            <w:tcW w:w="1136" w:type="dxa"/>
          </w:tcPr>
          <w:p w14:paraId="4C5CD532" w14:textId="721FE710" w:rsidR="0004602B" w:rsidRDefault="0004602B" w:rsidP="00E66E92">
            <w:pPr>
              <w:pStyle w:val="TableText"/>
              <w:spacing w:before="54" w:after="54"/>
              <w:jc w:val="right"/>
            </w:pPr>
            <w:r w:rsidRPr="00DC58C4">
              <w:t>945,774</w:t>
            </w:r>
          </w:p>
        </w:tc>
        <w:tc>
          <w:tcPr>
            <w:tcW w:w="1276" w:type="dxa"/>
          </w:tcPr>
          <w:p w14:paraId="206BABBE" w14:textId="4CF05450" w:rsidR="0004602B" w:rsidRDefault="0004602B" w:rsidP="00E66E92">
            <w:pPr>
              <w:pStyle w:val="TableText"/>
              <w:spacing w:before="54" w:after="54"/>
              <w:jc w:val="right"/>
              <w:rPr>
                <w:w w:val="103"/>
              </w:rPr>
            </w:pPr>
            <w:r w:rsidRPr="00DC58C4">
              <w:t>2</w:t>
            </w:r>
          </w:p>
        </w:tc>
      </w:tr>
      <w:tr w:rsidR="0004602B" w14:paraId="3E610CFA" w14:textId="77777777" w:rsidTr="00E66E92">
        <w:trPr>
          <w:trHeight w:val="340"/>
        </w:trPr>
        <w:tc>
          <w:tcPr>
            <w:tcW w:w="1264" w:type="dxa"/>
          </w:tcPr>
          <w:p w14:paraId="7D04459A" w14:textId="3ADF5283" w:rsidR="0004602B" w:rsidRPr="00966312" w:rsidRDefault="0004602B" w:rsidP="00E66E92">
            <w:pPr>
              <w:pStyle w:val="TableText"/>
              <w:spacing w:before="54" w:after="54"/>
              <w:jc w:val="right"/>
            </w:pPr>
            <w:r w:rsidRPr="00DC58C4">
              <w:t>167,676</w:t>
            </w:r>
          </w:p>
        </w:tc>
        <w:tc>
          <w:tcPr>
            <w:tcW w:w="2977" w:type="dxa"/>
          </w:tcPr>
          <w:p w14:paraId="27EF115E" w14:textId="246D3014" w:rsidR="0004602B" w:rsidRDefault="0004602B" w:rsidP="00E66E92">
            <w:pPr>
              <w:pStyle w:val="TableText"/>
              <w:spacing w:before="54" w:after="54"/>
            </w:pPr>
            <w:r w:rsidRPr="00DC58C4">
              <w:t>Wairarapa</w:t>
            </w:r>
          </w:p>
        </w:tc>
        <w:tc>
          <w:tcPr>
            <w:tcW w:w="430" w:type="dxa"/>
          </w:tcPr>
          <w:p w14:paraId="197A16B2" w14:textId="77777777" w:rsidR="0004602B" w:rsidRDefault="0004602B" w:rsidP="00E66E92">
            <w:pPr>
              <w:pStyle w:val="TableText"/>
              <w:spacing w:before="54" w:after="54"/>
              <w:ind w:left="0" w:right="0"/>
              <w:jc w:val="right"/>
            </w:pPr>
          </w:p>
        </w:tc>
        <w:tc>
          <w:tcPr>
            <w:tcW w:w="1151" w:type="dxa"/>
          </w:tcPr>
          <w:p w14:paraId="7BC57271" w14:textId="0BDA237F" w:rsidR="0004602B" w:rsidRDefault="0004602B" w:rsidP="00E66E92">
            <w:pPr>
              <w:pStyle w:val="TableText"/>
              <w:spacing w:before="54" w:after="54"/>
              <w:jc w:val="right"/>
            </w:pPr>
            <w:r w:rsidRPr="00DC58C4">
              <w:t>182,817</w:t>
            </w:r>
          </w:p>
        </w:tc>
        <w:tc>
          <w:tcPr>
            <w:tcW w:w="1115" w:type="dxa"/>
          </w:tcPr>
          <w:p w14:paraId="60C459B3" w14:textId="4A906367" w:rsidR="0004602B" w:rsidRDefault="0004602B" w:rsidP="00E66E92">
            <w:pPr>
              <w:pStyle w:val="TableText"/>
              <w:spacing w:before="54" w:after="54"/>
              <w:jc w:val="right"/>
            </w:pPr>
            <w:r w:rsidRPr="00DC58C4">
              <w:t>179,158</w:t>
            </w:r>
          </w:p>
        </w:tc>
        <w:tc>
          <w:tcPr>
            <w:tcW w:w="1136" w:type="dxa"/>
          </w:tcPr>
          <w:p w14:paraId="67B22395" w14:textId="20423CF6" w:rsidR="0004602B" w:rsidRDefault="0004602B" w:rsidP="00E66E92">
            <w:pPr>
              <w:pStyle w:val="TableText"/>
              <w:spacing w:before="54" w:after="54"/>
              <w:jc w:val="right"/>
            </w:pPr>
            <w:r w:rsidRPr="00DC58C4">
              <w:t>183,187</w:t>
            </w:r>
          </w:p>
        </w:tc>
        <w:tc>
          <w:tcPr>
            <w:tcW w:w="1276" w:type="dxa"/>
          </w:tcPr>
          <w:p w14:paraId="380BF920" w14:textId="28297B57" w:rsidR="0004602B" w:rsidRDefault="0004602B" w:rsidP="00E66E92">
            <w:pPr>
              <w:pStyle w:val="TableText"/>
              <w:spacing w:before="54" w:after="54"/>
              <w:jc w:val="right"/>
              <w:rPr>
                <w:w w:val="103"/>
              </w:rPr>
            </w:pPr>
            <w:r w:rsidRPr="00DC58C4">
              <w:t>2</w:t>
            </w:r>
          </w:p>
        </w:tc>
      </w:tr>
      <w:tr w:rsidR="0004602B" w14:paraId="33FF4C5E" w14:textId="77777777" w:rsidTr="00E66E92">
        <w:trPr>
          <w:trHeight w:val="340"/>
        </w:trPr>
        <w:tc>
          <w:tcPr>
            <w:tcW w:w="1264" w:type="dxa"/>
          </w:tcPr>
          <w:p w14:paraId="3834DF5D" w14:textId="5A6D8781" w:rsidR="0004602B" w:rsidRPr="00966312" w:rsidRDefault="0004602B" w:rsidP="00E66E92">
            <w:pPr>
              <w:pStyle w:val="TableText"/>
              <w:spacing w:before="54" w:after="54"/>
              <w:jc w:val="right"/>
            </w:pPr>
            <w:r w:rsidRPr="00DC58C4">
              <w:t>518,858</w:t>
            </w:r>
          </w:p>
        </w:tc>
        <w:tc>
          <w:tcPr>
            <w:tcW w:w="2977" w:type="dxa"/>
          </w:tcPr>
          <w:p w14:paraId="5F69D0BE" w14:textId="36F443F8" w:rsidR="0004602B" w:rsidRDefault="0004602B" w:rsidP="00E66E92">
            <w:pPr>
              <w:pStyle w:val="TableText"/>
              <w:spacing w:before="54" w:after="54"/>
            </w:pPr>
            <w:r w:rsidRPr="00DC58C4">
              <w:t>Nelson-Marlborough</w:t>
            </w:r>
          </w:p>
        </w:tc>
        <w:tc>
          <w:tcPr>
            <w:tcW w:w="430" w:type="dxa"/>
          </w:tcPr>
          <w:p w14:paraId="797A00AE" w14:textId="77777777" w:rsidR="0004602B" w:rsidRDefault="0004602B" w:rsidP="00E66E92">
            <w:pPr>
              <w:pStyle w:val="TableText"/>
              <w:spacing w:before="54" w:after="54"/>
              <w:ind w:left="0" w:right="0"/>
              <w:jc w:val="right"/>
            </w:pPr>
          </w:p>
        </w:tc>
        <w:tc>
          <w:tcPr>
            <w:tcW w:w="1151" w:type="dxa"/>
          </w:tcPr>
          <w:p w14:paraId="5879167C" w14:textId="53E04E58" w:rsidR="0004602B" w:rsidRDefault="0004602B" w:rsidP="00E66E92">
            <w:pPr>
              <w:pStyle w:val="TableText"/>
              <w:spacing w:before="54" w:after="54"/>
              <w:jc w:val="right"/>
            </w:pPr>
            <w:r w:rsidRPr="00DC58C4">
              <w:t>561,816</w:t>
            </w:r>
          </w:p>
        </w:tc>
        <w:tc>
          <w:tcPr>
            <w:tcW w:w="1115" w:type="dxa"/>
          </w:tcPr>
          <w:p w14:paraId="386075E1" w14:textId="5F2A6A39" w:rsidR="0004602B" w:rsidRDefault="0004602B" w:rsidP="00E66E92">
            <w:pPr>
              <w:pStyle w:val="TableText"/>
              <w:spacing w:before="54" w:after="54"/>
              <w:jc w:val="right"/>
            </w:pPr>
            <w:r w:rsidRPr="00DC58C4">
              <w:t>550,718</w:t>
            </w:r>
          </w:p>
        </w:tc>
        <w:tc>
          <w:tcPr>
            <w:tcW w:w="1136" w:type="dxa"/>
          </w:tcPr>
          <w:p w14:paraId="6797029E" w14:textId="7939E7E4" w:rsidR="0004602B" w:rsidRDefault="0004602B" w:rsidP="00E66E92">
            <w:pPr>
              <w:pStyle w:val="TableText"/>
              <w:spacing w:before="54" w:after="54"/>
              <w:jc w:val="right"/>
            </w:pPr>
            <w:r w:rsidRPr="00DC58C4">
              <w:t>561,822</w:t>
            </w:r>
          </w:p>
        </w:tc>
        <w:tc>
          <w:tcPr>
            <w:tcW w:w="1276" w:type="dxa"/>
          </w:tcPr>
          <w:p w14:paraId="274C44FC" w14:textId="3D821834" w:rsidR="0004602B" w:rsidRDefault="0004602B" w:rsidP="00E66E92">
            <w:pPr>
              <w:pStyle w:val="TableText"/>
              <w:spacing w:before="54" w:after="54"/>
              <w:jc w:val="right"/>
              <w:rPr>
                <w:w w:val="103"/>
              </w:rPr>
            </w:pPr>
            <w:r w:rsidRPr="00DC58C4">
              <w:t>2</w:t>
            </w:r>
          </w:p>
        </w:tc>
      </w:tr>
      <w:tr w:rsidR="0004602B" w14:paraId="2F69BE8A" w14:textId="77777777" w:rsidTr="00E66E92">
        <w:trPr>
          <w:trHeight w:val="340"/>
        </w:trPr>
        <w:tc>
          <w:tcPr>
            <w:tcW w:w="1264" w:type="dxa"/>
          </w:tcPr>
          <w:p w14:paraId="7AD29C7A" w14:textId="42E75ED4" w:rsidR="0004602B" w:rsidRPr="00966312" w:rsidRDefault="0004602B" w:rsidP="00E66E92">
            <w:pPr>
              <w:pStyle w:val="TableText"/>
              <w:spacing w:before="54" w:after="54"/>
              <w:jc w:val="right"/>
            </w:pPr>
            <w:r w:rsidRPr="00DC58C4">
              <w:t>154,887</w:t>
            </w:r>
          </w:p>
        </w:tc>
        <w:tc>
          <w:tcPr>
            <w:tcW w:w="2977" w:type="dxa"/>
          </w:tcPr>
          <w:p w14:paraId="7CC9E289" w14:textId="412DBFFC" w:rsidR="0004602B" w:rsidRDefault="0004602B" w:rsidP="00E66E92">
            <w:pPr>
              <w:pStyle w:val="TableText"/>
              <w:spacing w:before="54" w:after="54"/>
            </w:pPr>
            <w:r w:rsidRPr="00DC58C4">
              <w:t>West Coast</w:t>
            </w:r>
          </w:p>
        </w:tc>
        <w:tc>
          <w:tcPr>
            <w:tcW w:w="430" w:type="dxa"/>
          </w:tcPr>
          <w:p w14:paraId="6804A976" w14:textId="77777777" w:rsidR="0004602B" w:rsidRDefault="0004602B" w:rsidP="00E66E92">
            <w:pPr>
              <w:pStyle w:val="TableText"/>
              <w:spacing w:before="54" w:after="54"/>
              <w:ind w:left="0" w:right="0"/>
              <w:jc w:val="right"/>
            </w:pPr>
          </w:p>
        </w:tc>
        <w:tc>
          <w:tcPr>
            <w:tcW w:w="1151" w:type="dxa"/>
          </w:tcPr>
          <w:p w14:paraId="15E61246" w14:textId="132AFFA4" w:rsidR="0004602B" w:rsidRDefault="0004602B" w:rsidP="00E66E92">
            <w:pPr>
              <w:pStyle w:val="TableText"/>
              <w:spacing w:before="54" w:after="54"/>
              <w:jc w:val="right"/>
            </w:pPr>
            <w:r w:rsidRPr="00DC58C4">
              <w:t>166,844</w:t>
            </w:r>
          </w:p>
        </w:tc>
        <w:tc>
          <w:tcPr>
            <w:tcW w:w="1115" w:type="dxa"/>
          </w:tcPr>
          <w:p w14:paraId="3657CB51" w14:textId="739DE8ED" w:rsidR="0004602B" w:rsidRDefault="0004602B" w:rsidP="00E66E92">
            <w:pPr>
              <w:pStyle w:val="TableText"/>
              <w:spacing w:before="54" w:after="54"/>
              <w:jc w:val="right"/>
            </w:pPr>
            <w:r w:rsidRPr="00DC58C4">
              <w:t>162,770</w:t>
            </w:r>
          </w:p>
        </w:tc>
        <w:tc>
          <w:tcPr>
            <w:tcW w:w="1136" w:type="dxa"/>
          </w:tcPr>
          <w:p w14:paraId="611FABA1" w14:textId="0BFDCEB4" w:rsidR="0004602B" w:rsidRDefault="0004602B" w:rsidP="00E66E92">
            <w:pPr>
              <w:pStyle w:val="TableText"/>
              <w:spacing w:before="54" w:after="54"/>
              <w:jc w:val="right"/>
            </w:pPr>
            <w:r w:rsidRPr="00DC58C4">
              <w:t>167,870</w:t>
            </w:r>
          </w:p>
        </w:tc>
        <w:tc>
          <w:tcPr>
            <w:tcW w:w="1276" w:type="dxa"/>
          </w:tcPr>
          <w:p w14:paraId="17082B17" w14:textId="22EF7395" w:rsidR="0004602B" w:rsidRDefault="0004602B" w:rsidP="00E66E92">
            <w:pPr>
              <w:pStyle w:val="TableText"/>
              <w:spacing w:before="54" w:after="54"/>
              <w:jc w:val="right"/>
              <w:rPr>
                <w:w w:val="103"/>
              </w:rPr>
            </w:pPr>
            <w:r w:rsidRPr="00DC58C4">
              <w:t>2</w:t>
            </w:r>
          </w:p>
        </w:tc>
      </w:tr>
      <w:tr w:rsidR="0004602B" w14:paraId="53C72559" w14:textId="77777777" w:rsidTr="00E66E92">
        <w:trPr>
          <w:trHeight w:val="340"/>
        </w:trPr>
        <w:tc>
          <w:tcPr>
            <w:tcW w:w="1264" w:type="dxa"/>
          </w:tcPr>
          <w:p w14:paraId="54077CB7" w14:textId="5731EAB4" w:rsidR="0004602B" w:rsidRPr="00966312" w:rsidRDefault="0004602B" w:rsidP="00E66E92">
            <w:pPr>
              <w:pStyle w:val="TableText"/>
              <w:spacing w:before="54" w:after="54"/>
              <w:jc w:val="right"/>
            </w:pPr>
            <w:r w:rsidRPr="00DC58C4">
              <w:t>1,648,555</w:t>
            </w:r>
          </w:p>
        </w:tc>
        <w:tc>
          <w:tcPr>
            <w:tcW w:w="2977" w:type="dxa"/>
          </w:tcPr>
          <w:p w14:paraId="3E485B63" w14:textId="3105D17C" w:rsidR="0004602B" w:rsidRDefault="0004602B" w:rsidP="00E66E92">
            <w:pPr>
              <w:pStyle w:val="TableText"/>
              <w:spacing w:before="54" w:after="54"/>
            </w:pPr>
            <w:r w:rsidRPr="00DC58C4">
              <w:t>Canterbury</w:t>
            </w:r>
          </w:p>
        </w:tc>
        <w:tc>
          <w:tcPr>
            <w:tcW w:w="430" w:type="dxa"/>
          </w:tcPr>
          <w:p w14:paraId="78E6B5CF" w14:textId="77777777" w:rsidR="0004602B" w:rsidRDefault="0004602B" w:rsidP="00E66E92">
            <w:pPr>
              <w:pStyle w:val="TableText"/>
              <w:spacing w:before="54" w:after="54"/>
              <w:ind w:left="0" w:right="0"/>
              <w:jc w:val="right"/>
            </w:pPr>
          </w:p>
        </w:tc>
        <w:tc>
          <w:tcPr>
            <w:tcW w:w="1151" w:type="dxa"/>
          </w:tcPr>
          <w:p w14:paraId="45D9C607" w14:textId="47425092" w:rsidR="0004602B" w:rsidRDefault="0004602B" w:rsidP="00E66E92">
            <w:pPr>
              <w:pStyle w:val="TableText"/>
              <w:spacing w:before="54" w:after="54"/>
              <w:jc w:val="right"/>
            </w:pPr>
            <w:r w:rsidRPr="00DC58C4">
              <w:t>1,772,260</w:t>
            </w:r>
          </w:p>
        </w:tc>
        <w:tc>
          <w:tcPr>
            <w:tcW w:w="1115" w:type="dxa"/>
          </w:tcPr>
          <w:p w14:paraId="4E8ECFE3" w14:textId="5619D8AA" w:rsidR="0004602B" w:rsidRDefault="0004602B" w:rsidP="00E66E92">
            <w:pPr>
              <w:pStyle w:val="TableText"/>
              <w:spacing w:before="54" w:after="54"/>
              <w:jc w:val="right"/>
            </w:pPr>
            <w:r w:rsidRPr="00DC58C4">
              <w:t>1,719,485</w:t>
            </w:r>
          </w:p>
        </w:tc>
        <w:tc>
          <w:tcPr>
            <w:tcW w:w="1136" w:type="dxa"/>
          </w:tcPr>
          <w:p w14:paraId="57CA0D08" w14:textId="3899D39D" w:rsidR="0004602B" w:rsidRDefault="0004602B" w:rsidP="00E66E92">
            <w:pPr>
              <w:pStyle w:val="TableText"/>
              <w:spacing w:before="54" w:after="54"/>
              <w:jc w:val="right"/>
            </w:pPr>
            <w:r w:rsidRPr="00DC58C4">
              <w:t>1,781,772</w:t>
            </w:r>
          </w:p>
        </w:tc>
        <w:tc>
          <w:tcPr>
            <w:tcW w:w="1276" w:type="dxa"/>
          </w:tcPr>
          <w:p w14:paraId="7D62D660" w14:textId="0058106C" w:rsidR="0004602B" w:rsidRDefault="0004602B" w:rsidP="00E66E92">
            <w:pPr>
              <w:pStyle w:val="TableText"/>
              <w:spacing w:before="54" w:after="54"/>
              <w:jc w:val="right"/>
              <w:rPr>
                <w:w w:val="103"/>
              </w:rPr>
            </w:pPr>
            <w:r w:rsidRPr="00DC58C4">
              <w:t>2</w:t>
            </w:r>
          </w:p>
        </w:tc>
      </w:tr>
      <w:tr w:rsidR="0004602B" w14:paraId="7F42013C" w14:textId="77777777" w:rsidTr="00E66E92">
        <w:trPr>
          <w:trHeight w:val="340"/>
        </w:trPr>
        <w:tc>
          <w:tcPr>
            <w:tcW w:w="1264" w:type="dxa"/>
          </w:tcPr>
          <w:p w14:paraId="72FA2DC0" w14:textId="4D7A9F4E" w:rsidR="0004602B" w:rsidRPr="00966312" w:rsidRDefault="0004602B" w:rsidP="00E66E92">
            <w:pPr>
              <w:pStyle w:val="TableText"/>
              <w:spacing w:before="54" w:after="54"/>
              <w:jc w:val="right"/>
            </w:pPr>
            <w:r w:rsidRPr="00DC58C4">
              <w:t>207,278</w:t>
            </w:r>
          </w:p>
        </w:tc>
        <w:tc>
          <w:tcPr>
            <w:tcW w:w="2977" w:type="dxa"/>
          </w:tcPr>
          <w:p w14:paraId="02BA11D8" w14:textId="743E4348" w:rsidR="0004602B" w:rsidRDefault="0004602B" w:rsidP="00E66E92">
            <w:pPr>
              <w:pStyle w:val="TableText"/>
              <w:spacing w:before="54" w:after="54"/>
            </w:pPr>
            <w:r w:rsidRPr="00DC58C4">
              <w:t>South Canterbury</w:t>
            </w:r>
          </w:p>
        </w:tc>
        <w:tc>
          <w:tcPr>
            <w:tcW w:w="430" w:type="dxa"/>
          </w:tcPr>
          <w:p w14:paraId="374B3EF2" w14:textId="77777777" w:rsidR="0004602B" w:rsidRDefault="0004602B" w:rsidP="00E66E92">
            <w:pPr>
              <w:pStyle w:val="TableText"/>
              <w:spacing w:before="54" w:after="54"/>
              <w:ind w:left="0" w:right="0"/>
              <w:jc w:val="right"/>
            </w:pPr>
          </w:p>
        </w:tc>
        <w:tc>
          <w:tcPr>
            <w:tcW w:w="1151" w:type="dxa"/>
          </w:tcPr>
          <w:p w14:paraId="5CBA9B96" w14:textId="13A8287B" w:rsidR="0004602B" w:rsidRDefault="0004602B" w:rsidP="00E66E92">
            <w:pPr>
              <w:pStyle w:val="TableText"/>
              <w:spacing w:before="54" w:after="54"/>
              <w:jc w:val="right"/>
            </w:pPr>
            <w:r w:rsidRPr="00DC58C4">
              <w:t>219,107</w:t>
            </w:r>
          </w:p>
        </w:tc>
        <w:tc>
          <w:tcPr>
            <w:tcW w:w="1115" w:type="dxa"/>
          </w:tcPr>
          <w:p w14:paraId="7DEFB9E2" w14:textId="3525ABF5" w:rsidR="0004602B" w:rsidRDefault="0004602B" w:rsidP="00E66E92">
            <w:pPr>
              <w:pStyle w:val="TableText"/>
              <w:spacing w:before="54" w:after="54"/>
              <w:jc w:val="right"/>
            </w:pPr>
            <w:r w:rsidRPr="00DC58C4">
              <w:t>214,737</w:t>
            </w:r>
          </w:p>
        </w:tc>
        <w:tc>
          <w:tcPr>
            <w:tcW w:w="1136" w:type="dxa"/>
          </w:tcPr>
          <w:p w14:paraId="70BAFE9F" w14:textId="0142B577" w:rsidR="0004602B" w:rsidRDefault="0004602B" w:rsidP="00E66E92">
            <w:pPr>
              <w:pStyle w:val="TableText"/>
              <w:spacing w:before="54" w:after="54"/>
              <w:jc w:val="right"/>
            </w:pPr>
            <w:r w:rsidRPr="00DC58C4">
              <w:t>219,120</w:t>
            </w:r>
          </w:p>
        </w:tc>
        <w:tc>
          <w:tcPr>
            <w:tcW w:w="1276" w:type="dxa"/>
          </w:tcPr>
          <w:p w14:paraId="50C70CC7" w14:textId="77385970" w:rsidR="0004602B" w:rsidRDefault="0004602B" w:rsidP="00E66E92">
            <w:pPr>
              <w:pStyle w:val="TableText"/>
              <w:spacing w:before="54" w:after="54"/>
              <w:jc w:val="right"/>
              <w:rPr>
                <w:w w:val="103"/>
              </w:rPr>
            </w:pPr>
            <w:r w:rsidRPr="00DC58C4">
              <w:t>2</w:t>
            </w:r>
          </w:p>
        </w:tc>
      </w:tr>
      <w:tr w:rsidR="0004602B" w14:paraId="2AF56751" w14:textId="77777777" w:rsidTr="00E66E92">
        <w:trPr>
          <w:trHeight w:val="340"/>
        </w:trPr>
        <w:tc>
          <w:tcPr>
            <w:tcW w:w="1264" w:type="dxa"/>
          </w:tcPr>
          <w:p w14:paraId="3D806016" w14:textId="47CC1B45" w:rsidR="0004602B" w:rsidRPr="00966312" w:rsidRDefault="0004602B" w:rsidP="00E66E92">
            <w:pPr>
              <w:pStyle w:val="TableText"/>
              <w:spacing w:before="54" w:after="54"/>
              <w:jc w:val="right"/>
            </w:pPr>
            <w:r w:rsidRPr="00DC58C4">
              <w:t>1,035,179</w:t>
            </w:r>
          </w:p>
        </w:tc>
        <w:tc>
          <w:tcPr>
            <w:tcW w:w="2977" w:type="dxa"/>
          </w:tcPr>
          <w:p w14:paraId="00F2FB32" w14:textId="7C3EF590" w:rsidR="0004602B" w:rsidRDefault="0004602B" w:rsidP="00E66E92">
            <w:pPr>
              <w:pStyle w:val="TableText"/>
              <w:spacing w:before="54" w:after="54"/>
            </w:pPr>
            <w:r w:rsidRPr="00DC58C4">
              <w:t>Southern</w:t>
            </w:r>
          </w:p>
        </w:tc>
        <w:tc>
          <w:tcPr>
            <w:tcW w:w="430" w:type="dxa"/>
          </w:tcPr>
          <w:p w14:paraId="049B606B" w14:textId="77777777" w:rsidR="0004602B" w:rsidRDefault="0004602B" w:rsidP="00E66E92">
            <w:pPr>
              <w:pStyle w:val="TableText"/>
              <w:spacing w:before="54" w:after="54"/>
              <w:ind w:left="0" w:right="0"/>
              <w:jc w:val="right"/>
            </w:pPr>
          </w:p>
        </w:tc>
        <w:tc>
          <w:tcPr>
            <w:tcW w:w="1151" w:type="dxa"/>
          </w:tcPr>
          <w:p w14:paraId="57CEA5A3" w14:textId="165F8ACE" w:rsidR="0004602B" w:rsidRDefault="0004602B" w:rsidP="00E66E92">
            <w:pPr>
              <w:pStyle w:val="TableText"/>
              <w:spacing w:before="54" w:after="54"/>
              <w:jc w:val="right"/>
            </w:pPr>
            <w:r w:rsidRPr="00DC58C4">
              <w:t>1,107,904</w:t>
            </w:r>
          </w:p>
        </w:tc>
        <w:tc>
          <w:tcPr>
            <w:tcW w:w="1115" w:type="dxa"/>
          </w:tcPr>
          <w:p w14:paraId="2DB54F77" w14:textId="6A5CAD1E" w:rsidR="0004602B" w:rsidRDefault="0004602B" w:rsidP="00E66E92">
            <w:pPr>
              <w:pStyle w:val="TableText"/>
              <w:spacing w:before="54" w:after="54"/>
              <w:jc w:val="right"/>
            </w:pPr>
            <w:r w:rsidRPr="00DC58C4">
              <w:t>1,085,842</w:t>
            </w:r>
          </w:p>
        </w:tc>
        <w:tc>
          <w:tcPr>
            <w:tcW w:w="1136" w:type="dxa"/>
          </w:tcPr>
          <w:p w14:paraId="1FB65C61" w14:textId="006A3F27" w:rsidR="0004602B" w:rsidRDefault="0004602B" w:rsidP="00E66E92">
            <w:pPr>
              <w:pStyle w:val="TableText"/>
              <w:spacing w:before="54" w:after="54"/>
              <w:jc w:val="right"/>
            </w:pPr>
            <w:r w:rsidRPr="00DC58C4">
              <w:t>1,110,404</w:t>
            </w:r>
          </w:p>
        </w:tc>
        <w:tc>
          <w:tcPr>
            <w:tcW w:w="1276" w:type="dxa"/>
          </w:tcPr>
          <w:p w14:paraId="3202A80A" w14:textId="07057A30" w:rsidR="0004602B" w:rsidRDefault="0004602B" w:rsidP="00E66E92">
            <w:pPr>
              <w:pStyle w:val="TableText"/>
              <w:spacing w:before="54" w:after="54"/>
              <w:jc w:val="right"/>
              <w:rPr>
                <w:w w:val="103"/>
              </w:rPr>
            </w:pPr>
            <w:r w:rsidRPr="00DC58C4">
              <w:t>2</w:t>
            </w:r>
          </w:p>
        </w:tc>
      </w:tr>
      <w:tr w:rsidR="00695513" w:rsidRPr="000F0AE5" w14:paraId="57B57299" w14:textId="77777777" w:rsidTr="00E66E92">
        <w:trPr>
          <w:trHeight w:val="294"/>
        </w:trPr>
        <w:tc>
          <w:tcPr>
            <w:tcW w:w="1264" w:type="dxa"/>
            <w:tcBorders>
              <w:bottom w:val="single" w:sz="4" w:space="0" w:color="A6A6A6" w:themeColor="background1" w:themeShade="A6"/>
            </w:tcBorders>
          </w:tcPr>
          <w:p w14:paraId="7094443D" w14:textId="0721A4CD" w:rsidR="00695513" w:rsidRPr="000F0AE5" w:rsidRDefault="00695513" w:rsidP="00E66E92">
            <w:pPr>
              <w:pStyle w:val="TableText"/>
              <w:spacing w:before="54" w:after="54"/>
              <w:jc w:val="right"/>
              <w:rPr>
                <w:b/>
                <w:bCs/>
              </w:rPr>
            </w:pPr>
            <w:r w:rsidRPr="000F0AE5">
              <w:rPr>
                <w:b/>
                <w:bCs/>
              </w:rPr>
              <w:t>15,342,020</w:t>
            </w:r>
          </w:p>
        </w:tc>
        <w:tc>
          <w:tcPr>
            <w:tcW w:w="2977" w:type="dxa"/>
            <w:tcBorders>
              <w:bottom w:val="single" w:sz="4" w:space="0" w:color="A6A6A6" w:themeColor="background1" w:themeShade="A6"/>
            </w:tcBorders>
          </w:tcPr>
          <w:p w14:paraId="030ABEAB" w14:textId="73C4A7EE" w:rsidR="00695513" w:rsidRPr="000F0AE5" w:rsidRDefault="00695513" w:rsidP="00E66E92">
            <w:pPr>
              <w:pStyle w:val="TableText"/>
              <w:spacing w:before="54" w:after="54"/>
              <w:rPr>
                <w:b/>
                <w:bCs/>
              </w:rPr>
            </w:pPr>
            <w:r w:rsidRPr="000F0AE5">
              <w:rPr>
                <w:b/>
                <w:bCs/>
              </w:rPr>
              <w:t>Total health and disability support services for DHB’s</w:t>
            </w:r>
          </w:p>
        </w:tc>
        <w:tc>
          <w:tcPr>
            <w:tcW w:w="430" w:type="dxa"/>
            <w:tcBorders>
              <w:bottom w:val="single" w:sz="4" w:space="0" w:color="A6A6A6" w:themeColor="background1" w:themeShade="A6"/>
            </w:tcBorders>
          </w:tcPr>
          <w:p w14:paraId="4E4145D1" w14:textId="387C11C2" w:rsidR="00695513" w:rsidRPr="000F0AE5" w:rsidRDefault="00695513" w:rsidP="00E66E92">
            <w:pPr>
              <w:pStyle w:val="TableText"/>
              <w:spacing w:before="54" w:after="54"/>
              <w:ind w:left="0" w:right="0"/>
              <w:jc w:val="right"/>
              <w:rPr>
                <w:b/>
                <w:bCs/>
              </w:rPr>
            </w:pPr>
            <w:r w:rsidRPr="000F0AE5">
              <w:rPr>
                <w:b/>
                <w:bCs/>
              </w:rPr>
              <w:t>2.6</w:t>
            </w:r>
          </w:p>
        </w:tc>
        <w:tc>
          <w:tcPr>
            <w:tcW w:w="1151" w:type="dxa"/>
            <w:tcBorders>
              <w:bottom w:val="single" w:sz="4" w:space="0" w:color="A6A6A6" w:themeColor="background1" w:themeShade="A6"/>
            </w:tcBorders>
          </w:tcPr>
          <w:p w14:paraId="39203666" w14:textId="0AC21A85" w:rsidR="00695513" w:rsidRPr="000F0AE5" w:rsidRDefault="00695513" w:rsidP="00E66E92">
            <w:pPr>
              <w:pStyle w:val="TableText"/>
              <w:spacing w:before="54" w:after="54"/>
              <w:jc w:val="right"/>
              <w:rPr>
                <w:b/>
                <w:bCs/>
              </w:rPr>
            </w:pPr>
            <w:r w:rsidRPr="000F0AE5">
              <w:rPr>
                <w:b/>
                <w:bCs/>
              </w:rPr>
              <w:t>16,609,333</w:t>
            </w:r>
          </w:p>
        </w:tc>
        <w:tc>
          <w:tcPr>
            <w:tcW w:w="1115" w:type="dxa"/>
            <w:tcBorders>
              <w:bottom w:val="single" w:sz="4" w:space="0" w:color="A6A6A6" w:themeColor="background1" w:themeShade="A6"/>
            </w:tcBorders>
          </w:tcPr>
          <w:p w14:paraId="23D3BEDF" w14:textId="53800807" w:rsidR="00695513" w:rsidRPr="000F0AE5" w:rsidRDefault="00695513" w:rsidP="00E66E92">
            <w:pPr>
              <w:pStyle w:val="TableText"/>
              <w:spacing w:before="54" w:after="54"/>
              <w:jc w:val="right"/>
              <w:rPr>
                <w:b/>
                <w:bCs/>
              </w:rPr>
            </w:pPr>
            <w:r w:rsidRPr="000F0AE5">
              <w:rPr>
                <w:b/>
                <w:bCs/>
              </w:rPr>
              <w:t>16,188,305</w:t>
            </w:r>
          </w:p>
        </w:tc>
        <w:tc>
          <w:tcPr>
            <w:tcW w:w="1136" w:type="dxa"/>
            <w:tcBorders>
              <w:bottom w:val="single" w:sz="4" w:space="0" w:color="A6A6A6" w:themeColor="background1" w:themeShade="A6"/>
            </w:tcBorders>
          </w:tcPr>
          <w:p w14:paraId="0D4E465C" w14:textId="71C0D8B8" w:rsidR="00695513" w:rsidRPr="000F0AE5" w:rsidRDefault="00695513" w:rsidP="00E66E92">
            <w:pPr>
              <w:pStyle w:val="TableText"/>
              <w:spacing w:before="54" w:after="54"/>
              <w:jc w:val="right"/>
              <w:rPr>
                <w:b/>
                <w:bCs/>
              </w:rPr>
            </w:pPr>
            <w:r w:rsidRPr="000F0AE5">
              <w:rPr>
                <w:b/>
                <w:bCs/>
              </w:rPr>
              <w:t>16,659,537</w:t>
            </w:r>
          </w:p>
        </w:tc>
        <w:tc>
          <w:tcPr>
            <w:tcW w:w="1276" w:type="dxa"/>
            <w:tcBorders>
              <w:bottom w:val="single" w:sz="4" w:space="0" w:color="A6A6A6" w:themeColor="background1" w:themeShade="A6"/>
            </w:tcBorders>
          </w:tcPr>
          <w:p w14:paraId="0EEDE6A1" w14:textId="77777777" w:rsidR="00695513" w:rsidRPr="000F0AE5" w:rsidRDefault="00695513" w:rsidP="00E66E92">
            <w:pPr>
              <w:pStyle w:val="TableText"/>
              <w:spacing w:before="54" w:after="54"/>
              <w:jc w:val="right"/>
              <w:rPr>
                <w:b/>
                <w:bCs/>
                <w:w w:val="103"/>
              </w:rPr>
            </w:pPr>
          </w:p>
        </w:tc>
      </w:tr>
      <w:tr w:rsidR="0004602B" w:rsidRPr="000F0AE5" w14:paraId="2329CFF3" w14:textId="77777777" w:rsidTr="00E66E92">
        <w:trPr>
          <w:trHeight w:val="340"/>
        </w:trPr>
        <w:tc>
          <w:tcPr>
            <w:tcW w:w="1264" w:type="dxa"/>
            <w:tcBorders>
              <w:top w:val="single" w:sz="4" w:space="0" w:color="A6A6A6" w:themeColor="background1" w:themeShade="A6"/>
            </w:tcBorders>
          </w:tcPr>
          <w:p w14:paraId="02539F4B" w14:textId="4085B518" w:rsidR="0004602B" w:rsidRPr="000F0AE5" w:rsidRDefault="0004602B" w:rsidP="00E66E92">
            <w:pPr>
              <w:pStyle w:val="TableText"/>
              <w:spacing w:before="54" w:after="54"/>
              <w:jc w:val="right"/>
              <w:rPr>
                <w:b/>
                <w:bCs/>
              </w:rPr>
            </w:pPr>
          </w:p>
        </w:tc>
        <w:tc>
          <w:tcPr>
            <w:tcW w:w="2977" w:type="dxa"/>
            <w:tcBorders>
              <w:top w:val="single" w:sz="4" w:space="0" w:color="A6A6A6" w:themeColor="background1" w:themeShade="A6"/>
            </w:tcBorders>
          </w:tcPr>
          <w:p w14:paraId="5D12A64F" w14:textId="0FEB7D97" w:rsidR="0004602B" w:rsidRPr="000F0AE5" w:rsidRDefault="00695513" w:rsidP="00E66E92">
            <w:pPr>
              <w:pStyle w:val="TableText"/>
              <w:spacing w:before="54" w:after="54"/>
              <w:rPr>
                <w:b/>
                <w:bCs/>
              </w:rPr>
            </w:pPr>
            <w:r w:rsidRPr="000F0AE5">
              <w:rPr>
                <w:b/>
                <w:bCs/>
              </w:rPr>
              <w:t>National services</w:t>
            </w:r>
          </w:p>
        </w:tc>
        <w:tc>
          <w:tcPr>
            <w:tcW w:w="430" w:type="dxa"/>
            <w:tcBorders>
              <w:top w:val="single" w:sz="4" w:space="0" w:color="A6A6A6" w:themeColor="background1" w:themeShade="A6"/>
            </w:tcBorders>
          </w:tcPr>
          <w:p w14:paraId="2F830908" w14:textId="77777777" w:rsidR="0004602B" w:rsidRPr="000F0AE5" w:rsidRDefault="0004602B" w:rsidP="00E66E92">
            <w:pPr>
              <w:pStyle w:val="TableText"/>
              <w:spacing w:before="54" w:after="54"/>
              <w:ind w:left="0" w:right="0"/>
              <w:jc w:val="right"/>
              <w:rPr>
                <w:b/>
                <w:bCs/>
              </w:rPr>
            </w:pPr>
          </w:p>
        </w:tc>
        <w:tc>
          <w:tcPr>
            <w:tcW w:w="1151" w:type="dxa"/>
            <w:tcBorders>
              <w:top w:val="single" w:sz="4" w:space="0" w:color="A6A6A6" w:themeColor="background1" w:themeShade="A6"/>
            </w:tcBorders>
          </w:tcPr>
          <w:p w14:paraId="50FE4AB4" w14:textId="078DB61A" w:rsidR="0004602B" w:rsidRPr="000F0AE5" w:rsidRDefault="0004602B" w:rsidP="00E66E92">
            <w:pPr>
              <w:pStyle w:val="TableText"/>
              <w:spacing w:before="54" w:after="54"/>
              <w:jc w:val="right"/>
              <w:rPr>
                <w:b/>
                <w:bCs/>
              </w:rPr>
            </w:pPr>
          </w:p>
        </w:tc>
        <w:tc>
          <w:tcPr>
            <w:tcW w:w="1115" w:type="dxa"/>
            <w:tcBorders>
              <w:top w:val="single" w:sz="4" w:space="0" w:color="A6A6A6" w:themeColor="background1" w:themeShade="A6"/>
            </w:tcBorders>
          </w:tcPr>
          <w:p w14:paraId="4684AA37" w14:textId="5D224A6A" w:rsidR="0004602B" w:rsidRPr="000F0AE5" w:rsidRDefault="0004602B" w:rsidP="00E66E92">
            <w:pPr>
              <w:pStyle w:val="TableText"/>
              <w:spacing w:before="54" w:after="54"/>
              <w:jc w:val="right"/>
              <w:rPr>
                <w:b/>
                <w:bCs/>
              </w:rPr>
            </w:pPr>
          </w:p>
        </w:tc>
        <w:tc>
          <w:tcPr>
            <w:tcW w:w="1136" w:type="dxa"/>
            <w:tcBorders>
              <w:top w:val="single" w:sz="4" w:space="0" w:color="A6A6A6" w:themeColor="background1" w:themeShade="A6"/>
            </w:tcBorders>
          </w:tcPr>
          <w:p w14:paraId="6A82DD1D" w14:textId="5EB1915B" w:rsidR="0004602B" w:rsidRPr="000F0AE5" w:rsidRDefault="0004602B" w:rsidP="00E66E92">
            <w:pPr>
              <w:pStyle w:val="TableText"/>
              <w:spacing w:before="54" w:after="54"/>
              <w:jc w:val="right"/>
              <w:rPr>
                <w:b/>
                <w:bCs/>
              </w:rPr>
            </w:pPr>
          </w:p>
        </w:tc>
        <w:tc>
          <w:tcPr>
            <w:tcW w:w="1276" w:type="dxa"/>
            <w:tcBorders>
              <w:top w:val="single" w:sz="4" w:space="0" w:color="A6A6A6" w:themeColor="background1" w:themeShade="A6"/>
            </w:tcBorders>
          </w:tcPr>
          <w:p w14:paraId="39699945" w14:textId="78E0AF4A" w:rsidR="0004602B" w:rsidRPr="000F0AE5" w:rsidRDefault="0004602B" w:rsidP="00E66E92">
            <w:pPr>
              <w:pStyle w:val="TableText"/>
              <w:spacing w:before="54" w:after="54"/>
              <w:jc w:val="right"/>
              <w:rPr>
                <w:b/>
                <w:bCs/>
                <w:w w:val="103"/>
              </w:rPr>
            </w:pPr>
          </w:p>
        </w:tc>
      </w:tr>
      <w:tr w:rsidR="00695513" w14:paraId="2F8058A3" w14:textId="77777777" w:rsidTr="00E66E92">
        <w:trPr>
          <w:trHeight w:val="340"/>
        </w:trPr>
        <w:tc>
          <w:tcPr>
            <w:tcW w:w="1264" w:type="dxa"/>
          </w:tcPr>
          <w:p w14:paraId="54BF075E" w14:textId="5D79C95F" w:rsidR="00695513" w:rsidRPr="00966312" w:rsidRDefault="00695513" w:rsidP="00E66E92">
            <w:pPr>
              <w:pStyle w:val="TableText"/>
              <w:spacing w:before="54" w:after="54"/>
              <w:jc w:val="right"/>
            </w:pPr>
            <w:r w:rsidRPr="00087930">
              <w:t>1,658,856</w:t>
            </w:r>
          </w:p>
        </w:tc>
        <w:tc>
          <w:tcPr>
            <w:tcW w:w="2977" w:type="dxa"/>
          </w:tcPr>
          <w:p w14:paraId="3F8A79DD" w14:textId="4FC264CE" w:rsidR="00695513" w:rsidRDefault="00695513" w:rsidP="00E66E92">
            <w:pPr>
              <w:pStyle w:val="TableText"/>
              <w:spacing w:before="54" w:after="54"/>
            </w:pPr>
            <w:r w:rsidRPr="00087930">
              <w:t>National disability support</w:t>
            </w:r>
            <w:r>
              <w:t xml:space="preserve"> services</w:t>
            </w:r>
          </w:p>
        </w:tc>
        <w:tc>
          <w:tcPr>
            <w:tcW w:w="430" w:type="dxa"/>
          </w:tcPr>
          <w:p w14:paraId="3E71EF86" w14:textId="3F2A9281" w:rsidR="00695513" w:rsidRDefault="00695513" w:rsidP="00E66E92">
            <w:pPr>
              <w:pStyle w:val="TableText"/>
              <w:spacing w:before="54" w:after="54"/>
              <w:ind w:left="0" w:right="0"/>
              <w:jc w:val="right"/>
            </w:pPr>
            <w:r w:rsidRPr="00087930">
              <w:t>2.7</w:t>
            </w:r>
          </w:p>
        </w:tc>
        <w:tc>
          <w:tcPr>
            <w:tcW w:w="1151" w:type="dxa"/>
          </w:tcPr>
          <w:p w14:paraId="33FEB229" w14:textId="5F43375A" w:rsidR="00695513" w:rsidRDefault="00695513" w:rsidP="00E66E92">
            <w:pPr>
              <w:pStyle w:val="TableText"/>
              <w:spacing w:before="54" w:after="54"/>
              <w:jc w:val="right"/>
            </w:pPr>
            <w:r w:rsidRPr="00087930">
              <w:t>1,870,172</w:t>
            </w:r>
          </w:p>
        </w:tc>
        <w:tc>
          <w:tcPr>
            <w:tcW w:w="1115" w:type="dxa"/>
          </w:tcPr>
          <w:p w14:paraId="4D059780" w14:textId="30AF6564" w:rsidR="00695513" w:rsidRDefault="00695513" w:rsidP="00E66E92">
            <w:pPr>
              <w:pStyle w:val="TableText"/>
              <w:spacing w:before="54" w:after="54"/>
              <w:jc w:val="right"/>
            </w:pPr>
            <w:r w:rsidRPr="00087930">
              <w:t>1,829,569</w:t>
            </w:r>
          </w:p>
        </w:tc>
        <w:tc>
          <w:tcPr>
            <w:tcW w:w="1136" w:type="dxa"/>
          </w:tcPr>
          <w:p w14:paraId="6A91E3B6" w14:textId="53D1842B" w:rsidR="00695513" w:rsidRDefault="00695513" w:rsidP="00E66E92">
            <w:pPr>
              <w:pStyle w:val="TableText"/>
              <w:spacing w:before="54" w:after="54"/>
              <w:jc w:val="right"/>
            </w:pPr>
            <w:r w:rsidRPr="00087930">
              <w:t>1,870,440*</w:t>
            </w:r>
          </w:p>
        </w:tc>
        <w:tc>
          <w:tcPr>
            <w:tcW w:w="1276" w:type="dxa"/>
          </w:tcPr>
          <w:p w14:paraId="79D9B1A1" w14:textId="27C85378" w:rsidR="00695513" w:rsidRDefault="00695513" w:rsidP="00E66E92">
            <w:pPr>
              <w:pStyle w:val="TableText"/>
              <w:spacing w:before="54" w:after="54"/>
              <w:jc w:val="right"/>
              <w:rPr>
                <w:w w:val="103"/>
              </w:rPr>
            </w:pPr>
            <w:r w:rsidRPr="00087930">
              <w:t>3</w:t>
            </w:r>
          </w:p>
        </w:tc>
      </w:tr>
      <w:tr w:rsidR="00695513" w14:paraId="74B18D6D" w14:textId="77777777" w:rsidTr="00E66E92">
        <w:trPr>
          <w:trHeight w:val="340"/>
        </w:trPr>
        <w:tc>
          <w:tcPr>
            <w:tcW w:w="1264" w:type="dxa"/>
          </w:tcPr>
          <w:p w14:paraId="610D0B79" w14:textId="20936825" w:rsidR="00695513" w:rsidRPr="00966312" w:rsidRDefault="00695513" w:rsidP="00E66E92">
            <w:pPr>
              <w:pStyle w:val="TableText"/>
              <w:spacing w:before="54" w:after="54"/>
              <w:jc w:val="right"/>
            </w:pPr>
            <w:r w:rsidRPr="00431F66">
              <w:t>938,666</w:t>
            </w:r>
          </w:p>
        </w:tc>
        <w:tc>
          <w:tcPr>
            <w:tcW w:w="2977" w:type="dxa"/>
          </w:tcPr>
          <w:p w14:paraId="4C7DFE51" w14:textId="76BD9DD1" w:rsidR="00695513" w:rsidRDefault="00695513" w:rsidP="00E66E92">
            <w:pPr>
              <w:pStyle w:val="TableText"/>
              <w:spacing w:before="54" w:after="54"/>
            </w:pPr>
            <w:r w:rsidRPr="00431F66">
              <w:t>Public health service</w:t>
            </w:r>
            <w:r>
              <w:t xml:space="preserve"> purchasing</w:t>
            </w:r>
          </w:p>
        </w:tc>
        <w:tc>
          <w:tcPr>
            <w:tcW w:w="430" w:type="dxa"/>
          </w:tcPr>
          <w:p w14:paraId="18924FB5" w14:textId="77777777" w:rsidR="00695513" w:rsidRDefault="00695513" w:rsidP="00E66E92">
            <w:pPr>
              <w:pStyle w:val="TableText"/>
              <w:spacing w:before="54" w:after="54"/>
              <w:ind w:left="0" w:right="0"/>
              <w:jc w:val="right"/>
            </w:pPr>
          </w:p>
        </w:tc>
        <w:tc>
          <w:tcPr>
            <w:tcW w:w="1151" w:type="dxa"/>
          </w:tcPr>
          <w:p w14:paraId="400883E8" w14:textId="2580976F" w:rsidR="00695513" w:rsidRDefault="00695513" w:rsidP="00E66E92">
            <w:pPr>
              <w:pStyle w:val="TableText"/>
              <w:spacing w:before="54" w:after="54"/>
              <w:jc w:val="right"/>
            </w:pPr>
            <w:r w:rsidRPr="00431F66">
              <w:t>484,597</w:t>
            </w:r>
          </w:p>
        </w:tc>
        <w:tc>
          <w:tcPr>
            <w:tcW w:w="1115" w:type="dxa"/>
          </w:tcPr>
          <w:p w14:paraId="21B93B1E" w14:textId="513E3CB6" w:rsidR="00695513" w:rsidRDefault="00695513" w:rsidP="00E66E92">
            <w:pPr>
              <w:pStyle w:val="TableText"/>
              <w:spacing w:before="54" w:after="54"/>
              <w:jc w:val="right"/>
            </w:pPr>
            <w:r w:rsidRPr="00431F66">
              <w:t>507,220</w:t>
            </w:r>
          </w:p>
        </w:tc>
        <w:tc>
          <w:tcPr>
            <w:tcW w:w="1136" w:type="dxa"/>
          </w:tcPr>
          <w:p w14:paraId="5A1DAD96" w14:textId="5BAC0595" w:rsidR="00695513" w:rsidRDefault="00695513" w:rsidP="00E66E92">
            <w:pPr>
              <w:pStyle w:val="TableText"/>
              <w:spacing w:before="54" w:after="54"/>
              <w:jc w:val="right"/>
            </w:pPr>
            <w:r w:rsidRPr="00431F66">
              <w:t>502,779*</w:t>
            </w:r>
          </w:p>
        </w:tc>
        <w:tc>
          <w:tcPr>
            <w:tcW w:w="1276" w:type="dxa"/>
          </w:tcPr>
          <w:p w14:paraId="3F993C78" w14:textId="715EFB72" w:rsidR="00695513" w:rsidRDefault="00695513" w:rsidP="00E66E92">
            <w:pPr>
              <w:pStyle w:val="TableText"/>
              <w:spacing w:before="54" w:after="54"/>
              <w:jc w:val="right"/>
              <w:rPr>
                <w:w w:val="103"/>
              </w:rPr>
            </w:pPr>
            <w:r w:rsidRPr="00431F66">
              <w:t>3</w:t>
            </w:r>
          </w:p>
        </w:tc>
      </w:tr>
      <w:tr w:rsidR="00695513" w14:paraId="4ED410F8" w14:textId="77777777" w:rsidTr="00E66E92">
        <w:trPr>
          <w:trHeight w:val="340"/>
        </w:trPr>
        <w:tc>
          <w:tcPr>
            <w:tcW w:w="1264" w:type="dxa"/>
          </w:tcPr>
          <w:p w14:paraId="4E306913" w14:textId="29F7D26A" w:rsidR="00695513" w:rsidRPr="00966312" w:rsidRDefault="00695513" w:rsidP="00E66E92">
            <w:pPr>
              <w:pStyle w:val="TableText"/>
              <w:spacing w:before="54" w:after="54"/>
              <w:jc w:val="right"/>
            </w:pPr>
            <w:r w:rsidRPr="00C338AD">
              <w:t>109,199</w:t>
            </w:r>
          </w:p>
        </w:tc>
        <w:tc>
          <w:tcPr>
            <w:tcW w:w="2977" w:type="dxa"/>
          </w:tcPr>
          <w:p w14:paraId="323BE2FB" w14:textId="234FF74A" w:rsidR="00695513" w:rsidRDefault="00695513" w:rsidP="00E66E92">
            <w:pPr>
              <w:pStyle w:val="TableText"/>
              <w:spacing w:before="54" w:after="54"/>
            </w:pPr>
            <w:r w:rsidRPr="00C338AD">
              <w:t>National child health services</w:t>
            </w:r>
          </w:p>
        </w:tc>
        <w:tc>
          <w:tcPr>
            <w:tcW w:w="430" w:type="dxa"/>
          </w:tcPr>
          <w:p w14:paraId="3E7F924C" w14:textId="77777777" w:rsidR="00695513" w:rsidRDefault="00695513" w:rsidP="00E66E92">
            <w:pPr>
              <w:pStyle w:val="TableText"/>
              <w:spacing w:before="54" w:after="54"/>
              <w:ind w:left="0" w:right="0"/>
              <w:jc w:val="right"/>
            </w:pPr>
          </w:p>
        </w:tc>
        <w:tc>
          <w:tcPr>
            <w:tcW w:w="1151" w:type="dxa"/>
          </w:tcPr>
          <w:p w14:paraId="3F1C42A7" w14:textId="4DCE8FFF" w:rsidR="00695513" w:rsidRDefault="00695513" w:rsidP="00E66E92">
            <w:pPr>
              <w:pStyle w:val="TableText"/>
              <w:spacing w:before="54" w:after="54"/>
              <w:jc w:val="right"/>
            </w:pPr>
            <w:r w:rsidRPr="00C338AD">
              <w:t>120,809</w:t>
            </w:r>
          </w:p>
        </w:tc>
        <w:tc>
          <w:tcPr>
            <w:tcW w:w="1115" w:type="dxa"/>
          </w:tcPr>
          <w:p w14:paraId="3A35E0BA" w14:textId="087719BC" w:rsidR="00695513" w:rsidRDefault="00695513" w:rsidP="00E66E92">
            <w:pPr>
              <w:pStyle w:val="TableText"/>
              <w:spacing w:before="54" w:after="54"/>
              <w:jc w:val="right"/>
            </w:pPr>
            <w:r w:rsidRPr="00C338AD">
              <w:t>115,883</w:t>
            </w:r>
          </w:p>
        </w:tc>
        <w:tc>
          <w:tcPr>
            <w:tcW w:w="1136" w:type="dxa"/>
          </w:tcPr>
          <w:p w14:paraId="3FFB142A" w14:textId="5C22EA95" w:rsidR="00695513" w:rsidRDefault="00695513" w:rsidP="00E66E92">
            <w:pPr>
              <w:pStyle w:val="TableText"/>
              <w:spacing w:before="54" w:after="54"/>
              <w:jc w:val="right"/>
            </w:pPr>
            <w:r w:rsidRPr="00C338AD">
              <w:t>120,883*</w:t>
            </w:r>
          </w:p>
        </w:tc>
        <w:tc>
          <w:tcPr>
            <w:tcW w:w="1276" w:type="dxa"/>
          </w:tcPr>
          <w:p w14:paraId="1E416BDF" w14:textId="428E3331" w:rsidR="00695513" w:rsidRDefault="00695513" w:rsidP="00E66E92">
            <w:pPr>
              <w:pStyle w:val="TableText"/>
              <w:spacing w:before="54" w:after="54"/>
              <w:jc w:val="right"/>
              <w:rPr>
                <w:w w:val="103"/>
              </w:rPr>
            </w:pPr>
            <w:r w:rsidRPr="00C338AD">
              <w:t>3</w:t>
            </w:r>
          </w:p>
        </w:tc>
      </w:tr>
      <w:tr w:rsidR="00695513" w14:paraId="069C121B" w14:textId="77777777" w:rsidTr="00E66E92">
        <w:trPr>
          <w:trHeight w:val="340"/>
        </w:trPr>
        <w:tc>
          <w:tcPr>
            <w:tcW w:w="1264" w:type="dxa"/>
          </w:tcPr>
          <w:p w14:paraId="65CBA7D5" w14:textId="644EA934" w:rsidR="00695513" w:rsidRPr="00966312" w:rsidRDefault="00695513" w:rsidP="00E66E92">
            <w:pPr>
              <w:pStyle w:val="TableText"/>
              <w:spacing w:before="54" w:after="54"/>
              <w:jc w:val="right"/>
            </w:pPr>
            <w:r w:rsidRPr="00C338AD">
              <w:t>466,484</w:t>
            </w:r>
          </w:p>
        </w:tc>
        <w:tc>
          <w:tcPr>
            <w:tcW w:w="2977" w:type="dxa"/>
          </w:tcPr>
          <w:p w14:paraId="50F2758A" w14:textId="1E46C165" w:rsidR="00695513" w:rsidRDefault="00695513" w:rsidP="00E66E92">
            <w:pPr>
              <w:pStyle w:val="TableText"/>
              <w:spacing w:before="54" w:after="54"/>
            </w:pPr>
            <w:r w:rsidRPr="00C338AD">
              <w:t>National planned care</w:t>
            </w:r>
            <w:r>
              <w:t xml:space="preserve"> services</w:t>
            </w:r>
          </w:p>
        </w:tc>
        <w:tc>
          <w:tcPr>
            <w:tcW w:w="430" w:type="dxa"/>
          </w:tcPr>
          <w:p w14:paraId="0093FCD6" w14:textId="77777777" w:rsidR="00695513" w:rsidRDefault="00695513" w:rsidP="00E66E92">
            <w:pPr>
              <w:pStyle w:val="TableText"/>
              <w:spacing w:before="54" w:after="54"/>
              <w:ind w:left="0" w:right="0"/>
              <w:jc w:val="right"/>
            </w:pPr>
          </w:p>
        </w:tc>
        <w:tc>
          <w:tcPr>
            <w:tcW w:w="1151" w:type="dxa"/>
          </w:tcPr>
          <w:p w14:paraId="48575F14" w14:textId="6FA76429" w:rsidR="00695513" w:rsidRDefault="00695513" w:rsidP="00E66E92">
            <w:pPr>
              <w:pStyle w:val="TableText"/>
              <w:spacing w:before="54" w:after="54"/>
              <w:jc w:val="right"/>
            </w:pPr>
            <w:r w:rsidRPr="00C338AD">
              <w:t>532,131</w:t>
            </w:r>
          </w:p>
        </w:tc>
        <w:tc>
          <w:tcPr>
            <w:tcW w:w="1115" w:type="dxa"/>
          </w:tcPr>
          <w:p w14:paraId="5AE76B17" w14:textId="03BA6D0A" w:rsidR="00695513" w:rsidRDefault="00695513" w:rsidP="00E66E92">
            <w:pPr>
              <w:pStyle w:val="TableText"/>
              <w:spacing w:before="54" w:after="54"/>
              <w:jc w:val="right"/>
            </w:pPr>
            <w:r w:rsidRPr="00C338AD">
              <w:t>559,960</w:t>
            </w:r>
          </w:p>
        </w:tc>
        <w:tc>
          <w:tcPr>
            <w:tcW w:w="1136" w:type="dxa"/>
          </w:tcPr>
          <w:p w14:paraId="7B043B13" w14:textId="21F5BABA" w:rsidR="00695513" w:rsidRDefault="00695513" w:rsidP="00E66E92">
            <w:pPr>
              <w:pStyle w:val="TableText"/>
              <w:spacing w:before="54" w:after="54"/>
              <w:jc w:val="right"/>
            </w:pPr>
            <w:r w:rsidRPr="00C338AD">
              <w:t>574,960</w:t>
            </w:r>
          </w:p>
        </w:tc>
        <w:tc>
          <w:tcPr>
            <w:tcW w:w="1276" w:type="dxa"/>
          </w:tcPr>
          <w:p w14:paraId="6C5B536B" w14:textId="6B093DD8" w:rsidR="00695513" w:rsidRDefault="00695513" w:rsidP="00E66E92">
            <w:pPr>
              <w:pStyle w:val="TableText"/>
              <w:spacing w:before="54" w:after="54"/>
              <w:jc w:val="right"/>
              <w:rPr>
                <w:w w:val="103"/>
              </w:rPr>
            </w:pPr>
            <w:r w:rsidRPr="00C338AD">
              <w:t>3</w:t>
            </w:r>
          </w:p>
        </w:tc>
      </w:tr>
      <w:tr w:rsidR="00695513" w14:paraId="5C866B18" w14:textId="77777777" w:rsidTr="00E66E92">
        <w:trPr>
          <w:trHeight w:val="340"/>
        </w:trPr>
        <w:tc>
          <w:tcPr>
            <w:tcW w:w="1264" w:type="dxa"/>
          </w:tcPr>
          <w:p w14:paraId="7E63E70A" w14:textId="16E2B4C8" w:rsidR="00695513" w:rsidRPr="00966312" w:rsidRDefault="00695513" w:rsidP="00E66E92">
            <w:pPr>
              <w:pStyle w:val="TableText"/>
              <w:spacing w:before="54" w:after="54"/>
              <w:jc w:val="right"/>
            </w:pPr>
            <w:r w:rsidRPr="00AF6F2A">
              <w:t>169,620</w:t>
            </w:r>
          </w:p>
        </w:tc>
        <w:tc>
          <w:tcPr>
            <w:tcW w:w="2977" w:type="dxa"/>
          </w:tcPr>
          <w:p w14:paraId="59A3540E" w14:textId="123E2C75" w:rsidR="00695513" w:rsidRDefault="00695513" w:rsidP="00E66E92">
            <w:pPr>
              <w:pStyle w:val="TableText"/>
              <w:spacing w:before="54" w:after="54"/>
            </w:pPr>
            <w:r w:rsidRPr="00AF6F2A">
              <w:t>National emergency services</w:t>
            </w:r>
          </w:p>
        </w:tc>
        <w:tc>
          <w:tcPr>
            <w:tcW w:w="430" w:type="dxa"/>
          </w:tcPr>
          <w:p w14:paraId="69DC8CCD" w14:textId="77777777" w:rsidR="00695513" w:rsidRDefault="00695513" w:rsidP="00E66E92">
            <w:pPr>
              <w:pStyle w:val="TableText"/>
              <w:spacing w:before="54" w:after="54"/>
              <w:ind w:left="0" w:right="0"/>
              <w:jc w:val="right"/>
            </w:pPr>
          </w:p>
        </w:tc>
        <w:tc>
          <w:tcPr>
            <w:tcW w:w="1151" w:type="dxa"/>
          </w:tcPr>
          <w:p w14:paraId="4D128E02" w14:textId="763C4923" w:rsidR="00695513" w:rsidRDefault="00695513" w:rsidP="00E66E92">
            <w:pPr>
              <w:pStyle w:val="TableText"/>
              <w:spacing w:before="54" w:after="54"/>
              <w:jc w:val="right"/>
            </w:pPr>
            <w:r w:rsidRPr="00AF6F2A">
              <w:t>185,219</w:t>
            </w:r>
          </w:p>
        </w:tc>
        <w:tc>
          <w:tcPr>
            <w:tcW w:w="1115" w:type="dxa"/>
          </w:tcPr>
          <w:p w14:paraId="5BDEAE07" w14:textId="01CEAC3E" w:rsidR="00695513" w:rsidRDefault="00695513" w:rsidP="00E66E92">
            <w:pPr>
              <w:pStyle w:val="TableText"/>
              <w:spacing w:before="54" w:after="54"/>
              <w:jc w:val="right"/>
            </w:pPr>
            <w:r w:rsidRPr="00AF6F2A">
              <w:t>181,165</w:t>
            </w:r>
          </w:p>
        </w:tc>
        <w:tc>
          <w:tcPr>
            <w:tcW w:w="1136" w:type="dxa"/>
          </w:tcPr>
          <w:p w14:paraId="08C73171" w14:textId="70B288FB" w:rsidR="00695513" w:rsidRDefault="00695513" w:rsidP="00E66E92">
            <w:pPr>
              <w:pStyle w:val="TableText"/>
              <w:spacing w:before="54" w:after="54"/>
              <w:jc w:val="right"/>
            </w:pPr>
            <w:r w:rsidRPr="00AF6F2A">
              <w:t>189,165</w:t>
            </w:r>
          </w:p>
        </w:tc>
        <w:tc>
          <w:tcPr>
            <w:tcW w:w="1276" w:type="dxa"/>
          </w:tcPr>
          <w:p w14:paraId="5CC068EE" w14:textId="0C3E09D0" w:rsidR="00695513" w:rsidRDefault="00695513" w:rsidP="00E66E92">
            <w:pPr>
              <w:pStyle w:val="TableText"/>
              <w:spacing w:before="54" w:after="54"/>
              <w:jc w:val="right"/>
              <w:rPr>
                <w:w w:val="103"/>
              </w:rPr>
            </w:pPr>
            <w:r w:rsidRPr="00AF6F2A">
              <w:t>3</w:t>
            </w:r>
          </w:p>
        </w:tc>
      </w:tr>
      <w:tr w:rsidR="00695513" w14:paraId="0B1C2238" w14:textId="77777777" w:rsidTr="00E66E92">
        <w:trPr>
          <w:trHeight w:val="340"/>
        </w:trPr>
        <w:tc>
          <w:tcPr>
            <w:tcW w:w="1264" w:type="dxa"/>
          </w:tcPr>
          <w:p w14:paraId="5E64F749" w14:textId="430B2816" w:rsidR="00695513" w:rsidRPr="00966312" w:rsidRDefault="00695513" w:rsidP="00E66E92">
            <w:pPr>
              <w:pStyle w:val="TableText"/>
              <w:spacing w:before="54" w:after="54"/>
              <w:jc w:val="right"/>
            </w:pPr>
            <w:r w:rsidRPr="00AF6F2A">
              <w:t>10,986</w:t>
            </w:r>
          </w:p>
        </w:tc>
        <w:tc>
          <w:tcPr>
            <w:tcW w:w="2977" w:type="dxa"/>
          </w:tcPr>
          <w:p w14:paraId="626F8728" w14:textId="1CE939A2" w:rsidR="00695513" w:rsidRDefault="00695513" w:rsidP="00E66E92">
            <w:pPr>
              <w:pStyle w:val="TableText"/>
              <w:spacing w:before="54" w:after="54"/>
            </w:pPr>
            <w:r w:rsidRPr="00AF6F2A">
              <w:t>National Māori health</w:t>
            </w:r>
            <w:r>
              <w:t xml:space="preserve"> services</w:t>
            </w:r>
          </w:p>
        </w:tc>
        <w:tc>
          <w:tcPr>
            <w:tcW w:w="430" w:type="dxa"/>
          </w:tcPr>
          <w:p w14:paraId="6BA0E8FD" w14:textId="77777777" w:rsidR="00695513" w:rsidRDefault="00695513" w:rsidP="00E66E92">
            <w:pPr>
              <w:pStyle w:val="TableText"/>
              <w:spacing w:before="54" w:after="54"/>
              <w:ind w:left="0" w:right="0"/>
              <w:jc w:val="right"/>
            </w:pPr>
          </w:p>
        </w:tc>
        <w:tc>
          <w:tcPr>
            <w:tcW w:w="1151" w:type="dxa"/>
          </w:tcPr>
          <w:p w14:paraId="17171B7D" w14:textId="0B7F90D3" w:rsidR="00695513" w:rsidRDefault="00695513" w:rsidP="00E66E92">
            <w:pPr>
              <w:pStyle w:val="TableText"/>
              <w:spacing w:before="54" w:after="54"/>
              <w:jc w:val="right"/>
            </w:pPr>
            <w:r w:rsidRPr="00AF6F2A">
              <w:t>12,294</w:t>
            </w:r>
          </w:p>
        </w:tc>
        <w:tc>
          <w:tcPr>
            <w:tcW w:w="1115" w:type="dxa"/>
          </w:tcPr>
          <w:p w14:paraId="6C863B56" w14:textId="37E3AABF" w:rsidR="00695513" w:rsidRDefault="00695513" w:rsidP="00E66E92">
            <w:pPr>
              <w:pStyle w:val="TableText"/>
              <w:spacing w:before="54" w:after="54"/>
              <w:jc w:val="right"/>
            </w:pPr>
            <w:r w:rsidRPr="00AF6F2A">
              <w:t>8,828</w:t>
            </w:r>
          </w:p>
        </w:tc>
        <w:tc>
          <w:tcPr>
            <w:tcW w:w="1136" w:type="dxa"/>
          </w:tcPr>
          <w:p w14:paraId="749F4388" w14:textId="341A2ECA" w:rsidR="00695513" w:rsidRDefault="00695513" w:rsidP="00E66E92">
            <w:pPr>
              <w:pStyle w:val="TableText"/>
              <w:spacing w:before="54" w:after="54"/>
              <w:jc w:val="right"/>
            </w:pPr>
            <w:r w:rsidRPr="00AF6F2A">
              <w:t>12,416</w:t>
            </w:r>
          </w:p>
        </w:tc>
        <w:tc>
          <w:tcPr>
            <w:tcW w:w="1276" w:type="dxa"/>
          </w:tcPr>
          <w:p w14:paraId="1CEEAAD3" w14:textId="6B81C735" w:rsidR="00695513" w:rsidRDefault="00695513" w:rsidP="00E66E92">
            <w:pPr>
              <w:pStyle w:val="TableText"/>
              <w:spacing w:before="54" w:after="54"/>
              <w:jc w:val="right"/>
              <w:rPr>
                <w:w w:val="103"/>
              </w:rPr>
            </w:pPr>
            <w:r w:rsidRPr="00AF6F2A">
              <w:t>3</w:t>
            </w:r>
          </w:p>
        </w:tc>
      </w:tr>
      <w:tr w:rsidR="00695513" w14:paraId="6A69113A" w14:textId="77777777" w:rsidTr="00E66E92">
        <w:trPr>
          <w:trHeight w:val="340"/>
        </w:trPr>
        <w:tc>
          <w:tcPr>
            <w:tcW w:w="1264" w:type="dxa"/>
          </w:tcPr>
          <w:p w14:paraId="727E61AD" w14:textId="6F413AC7" w:rsidR="00695513" w:rsidRPr="00966312" w:rsidRDefault="00695513" w:rsidP="00E66E92">
            <w:pPr>
              <w:pStyle w:val="TableText"/>
              <w:spacing w:before="54" w:after="54"/>
              <w:jc w:val="right"/>
            </w:pPr>
            <w:r w:rsidRPr="00C922DA">
              <w:t>217,091</w:t>
            </w:r>
          </w:p>
        </w:tc>
        <w:tc>
          <w:tcPr>
            <w:tcW w:w="2977" w:type="dxa"/>
          </w:tcPr>
          <w:p w14:paraId="75762387" w14:textId="3478CCD2" w:rsidR="00695513" w:rsidRDefault="00695513" w:rsidP="00E66E92">
            <w:pPr>
              <w:pStyle w:val="TableText"/>
              <w:spacing w:before="54" w:after="54"/>
            </w:pPr>
            <w:r w:rsidRPr="00C922DA">
              <w:t>National maternity services</w:t>
            </w:r>
          </w:p>
        </w:tc>
        <w:tc>
          <w:tcPr>
            <w:tcW w:w="430" w:type="dxa"/>
          </w:tcPr>
          <w:p w14:paraId="503DF1A5" w14:textId="77777777" w:rsidR="00695513" w:rsidRDefault="00695513" w:rsidP="00E66E92">
            <w:pPr>
              <w:pStyle w:val="TableText"/>
              <w:spacing w:before="54" w:after="54"/>
              <w:ind w:left="0" w:right="0"/>
              <w:jc w:val="right"/>
            </w:pPr>
          </w:p>
        </w:tc>
        <w:tc>
          <w:tcPr>
            <w:tcW w:w="1151" w:type="dxa"/>
          </w:tcPr>
          <w:p w14:paraId="736C2DAA" w14:textId="195656C1" w:rsidR="00695513" w:rsidRDefault="00695513" w:rsidP="00E66E92">
            <w:pPr>
              <w:pStyle w:val="TableText"/>
              <w:spacing w:before="54" w:after="54"/>
              <w:jc w:val="right"/>
            </w:pPr>
            <w:r w:rsidRPr="00C922DA">
              <w:t>235,972</w:t>
            </w:r>
          </w:p>
        </w:tc>
        <w:tc>
          <w:tcPr>
            <w:tcW w:w="1115" w:type="dxa"/>
          </w:tcPr>
          <w:p w14:paraId="1820D416" w14:textId="204AE203" w:rsidR="00695513" w:rsidRDefault="00695513" w:rsidP="00E66E92">
            <w:pPr>
              <w:pStyle w:val="TableText"/>
              <w:spacing w:before="54" w:after="54"/>
              <w:jc w:val="right"/>
            </w:pPr>
            <w:r w:rsidRPr="00C922DA">
              <w:t>254,578</w:t>
            </w:r>
          </w:p>
        </w:tc>
        <w:tc>
          <w:tcPr>
            <w:tcW w:w="1136" w:type="dxa"/>
          </w:tcPr>
          <w:p w14:paraId="3E751740" w14:textId="73CD53E5" w:rsidR="00695513" w:rsidRDefault="00695513" w:rsidP="00E66E92">
            <w:pPr>
              <w:pStyle w:val="TableText"/>
              <w:spacing w:before="54" w:after="54"/>
              <w:jc w:val="right"/>
            </w:pPr>
            <w:r w:rsidRPr="00C922DA">
              <w:t>252,903</w:t>
            </w:r>
          </w:p>
        </w:tc>
        <w:tc>
          <w:tcPr>
            <w:tcW w:w="1276" w:type="dxa"/>
          </w:tcPr>
          <w:p w14:paraId="2D09C220" w14:textId="27186AFC" w:rsidR="00695513" w:rsidRDefault="00695513" w:rsidP="00E66E92">
            <w:pPr>
              <w:pStyle w:val="TableText"/>
              <w:spacing w:before="54" w:after="54"/>
              <w:jc w:val="right"/>
              <w:rPr>
                <w:w w:val="103"/>
              </w:rPr>
            </w:pPr>
            <w:r w:rsidRPr="00C922DA">
              <w:t>3</w:t>
            </w:r>
          </w:p>
        </w:tc>
      </w:tr>
      <w:tr w:rsidR="00695513" w14:paraId="7035CD12" w14:textId="77777777" w:rsidTr="00E66E92">
        <w:trPr>
          <w:trHeight w:val="340"/>
        </w:trPr>
        <w:tc>
          <w:tcPr>
            <w:tcW w:w="1264" w:type="dxa"/>
          </w:tcPr>
          <w:p w14:paraId="0F884B5D" w14:textId="6ECD0383" w:rsidR="00695513" w:rsidRPr="00966312" w:rsidRDefault="00695513" w:rsidP="00E66E92">
            <w:pPr>
              <w:pStyle w:val="TableText"/>
              <w:spacing w:before="54" w:after="54"/>
              <w:jc w:val="right"/>
            </w:pPr>
            <w:r w:rsidRPr="00C922DA">
              <w:t>191,236</w:t>
            </w:r>
          </w:p>
        </w:tc>
        <w:tc>
          <w:tcPr>
            <w:tcW w:w="2977" w:type="dxa"/>
          </w:tcPr>
          <w:p w14:paraId="7ABFF42A" w14:textId="327B1434" w:rsidR="00695513" w:rsidRDefault="00695513" w:rsidP="00E66E92">
            <w:pPr>
              <w:pStyle w:val="TableText"/>
              <w:spacing w:before="54" w:after="54"/>
            </w:pPr>
            <w:r w:rsidRPr="00C922DA">
              <w:t>National mental health</w:t>
            </w:r>
            <w:r>
              <w:t xml:space="preserve"> services</w:t>
            </w:r>
          </w:p>
        </w:tc>
        <w:tc>
          <w:tcPr>
            <w:tcW w:w="430" w:type="dxa"/>
          </w:tcPr>
          <w:p w14:paraId="3106F71B" w14:textId="77777777" w:rsidR="00695513" w:rsidRDefault="00695513" w:rsidP="00E66E92">
            <w:pPr>
              <w:pStyle w:val="TableText"/>
              <w:spacing w:before="54" w:after="54"/>
              <w:ind w:left="0" w:right="0"/>
              <w:jc w:val="right"/>
            </w:pPr>
          </w:p>
        </w:tc>
        <w:tc>
          <w:tcPr>
            <w:tcW w:w="1151" w:type="dxa"/>
          </w:tcPr>
          <w:p w14:paraId="7342866B" w14:textId="6099696D" w:rsidR="00695513" w:rsidRDefault="00695513" w:rsidP="00E66E92">
            <w:pPr>
              <w:pStyle w:val="TableText"/>
              <w:spacing w:before="54" w:after="54"/>
              <w:jc w:val="right"/>
            </w:pPr>
            <w:r w:rsidRPr="00C922DA">
              <w:t>241,135</w:t>
            </w:r>
          </w:p>
        </w:tc>
        <w:tc>
          <w:tcPr>
            <w:tcW w:w="1115" w:type="dxa"/>
          </w:tcPr>
          <w:p w14:paraId="5A2BBF3D" w14:textId="786E64D8" w:rsidR="00695513" w:rsidRDefault="00695513" w:rsidP="00E66E92">
            <w:pPr>
              <w:pStyle w:val="TableText"/>
              <w:spacing w:before="54" w:after="54"/>
              <w:jc w:val="right"/>
            </w:pPr>
            <w:r w:rsidRPr="00C922DA">
              <w:t>243,170</w:t>
            </w:r>
          </w:p>
        </w:tc>
        <w:tc>
          <w:tcPr>
            <w:tcW w:w="1136" w:type="dxa"/>
          </w:tcPr>
          <w:p w14:paraId="5B54777A" w14:textId="3E1FA20A" w:rsidR="00695513" w:rsidRDefault="00695513" w:rsidP="00E66E92">
            <w:pPr>
              <w:pStyle w:val="TableText"/>
              <w:spacing w:before="54" w:after="54"/>
              <w:jc w:val="right"/>
            </w:pPr>
            <w:r w:rsidRPr="00C922DA">
              <w:t>252,451</w:t>
            </w:r>
          </w:p>
        </w:tc>
        <w:tc>
          <w:tcPr>
            <w:tcW w:w="1276" w:type="dxa"/>
          </w:tcPr>
          <w:p w14:paraId="527867E0" w14:textId="5E981EF1" w:rsidR="00695513" w:rsidRDefault="00695513" w:rsidP="00E66E92">
            <w:pPr>
              <w:pStyle w:val="TableText"/>
              <w:spacing w:before="54" w:after="54"/>
              <w:jc w:val="right"/>
              <w:rPr>
                <w:w w:val="103"/>
              </w:rPr>
            </w:pPr>
            <w:r w:rsidRPr="00C922DA">
              <w:t>3</w:t>
            </w:r>
          </w:p>
        </w:tc>
      </w:tr>
      <w:tr w:rsidR="00695513" w14:paraId="154CE7D6" w14:textId="77777777" w:rsidTr="00E66E92">
        <w:trPr>
          <w:trHeight w:val="294"/>
        </w:trPr>
        <w:tc>
          <w:tcPr>
            <w:tcW w:w="1264" w:type="dxa"/>
          </w:tcPr>
          <w:p w14:paraId="1886F8D1" w14:textId="22CE7CCC" w:rsidR="00695513" w:rsidRPr="00966312" w:rsidRDefault="00695513" w:rsidP="00E66E92">
            <w:pPr>
              <w:pStyle w:val="TableText"/>
              <w:spacing w:before="54" w:after="54"/>
              <w:jc w:val="right"/>
            </w:pPr>
            <w:r w:rsidRPr="00D07B95">
              <w:t>30,262</w:t>
            </w:r>
          </w:p>
        </w:tc>
        <w:tc>
          <w:tcPr>
            <w:tcW w:w="2977" w:type="dxa"/>
          </w:tcPr>
          <w:p w14:paraId="0D04256C" w14:textId="404D21F9" w:rsidR="00695513" w:rsidRDefault="00695513" w:rsidP="00E66E92">
            <w:pPr>
              <w:pStyle w:val="TableText"/>
              <w:spacing w:before="54" w:after="54"/>
            </w:pPr>
            <w:r w:rsidRPr="00D07B95">
              <w:t>National management of</w:t>
            </w:r>
            <w:r>
              <w:t xml:space="preserve"> </w:t>
            </w:r>
            <w:r w:rsidRPr="00695513">
              <w:t>pharmaceuticals</w:t>
            </w:r>
          </w:p>
        </w:tc>
        <w:tc>
          <w:tcPr>
            <w:tcW w:w="430" w:type="dxa"/>
          </w:tcPr>
          <w:p w14:paraId="731C5C40" w14:textId="77777777" w:rsidR="00695513" w:rsidRDefault="00695513" w:rsidP="00E66E92">
            <w:pPr>
              <w:pStyle w:val="TableText"/>
              <w:spacing w:before="54" w:after="54"/>
              <w:ind w:left="0" w:right="0"/>
              <w:jc w:val="right"/>
            </w:pPr>
          </w:p>
        </w:tc>
        <w:tc>
          <w:tcPr>
            <w:tcW w:w="1151" w:type="dxa"/>
          </w:tcPr>
          <w:p w14:paraId="220BF00C" w14:textId="3211FEA7" w:rsidR="00695513" w:rsidRDefault="00695513" w:rsidP="00E66E92">
            <w:pPr>
              <w:pStyle w:val="TableText"/>
              <w:spacing w:before="54" w:after="54"/>
              <w:jc w:val="right"/>
            </w:pPr>
            <w:r w:rsidRPr="00D07B95">
              <w:t>25,512</w:t>
            </w:r>
          </w:p>
        </w:tc>
        <w:tc>
          <w:tcPr>
            <w:tcW w:w="1115" w:type="dxa"/>
          </w:tcPr>
          <w:p w14:paraId="3F04CC4F" w14:textId="7763253B" w:rsidR="00695513" w:rsidRDefault="00695513" w:rsidP="00E66E92">
            <w:pPr>
              <w:pStyle w:val="TableText"/>
              <w:spacing w:before="54" w:after="54"/>
              <w:jc w:val="right"/>
            </w:pPr>
            <w:r w:rsidRPr="00D07B95">
              <w:t>25,262</w:t>
            </w:r>
          </w:p>
        </w:tc>
        <w:tc>
          <w:tcPr>
            <w:tcW w:w="1136" w:type="dxa"/>
          </w:tcPr>
          <w:p w14:paraId="361EC545" w14:textId="31983D19" w:rsidR="00695513" w:rsidRDefault="00695513" w:rsidP="00E66E92">
            <w:pPr>
              <w:pStyle w:val="TableText"/>
              <w:spacing w:before="54" w:after="54"/>
              <w:jc w:val="right"/>
            </w:pPr>
            <w:r w:rsidRPr="00D07B95">
              <w:t>25,512</w:t>
            </w:r>
          </w:p>
        </w:tc>
        <w:tc>
          <w:tcPr>
            <w:tcW w:w="1276" w:type="dxa"/>
          </w:tcPr>
          <w:p w14:paraId="5582C859" w14:textId="386CBAE1" w:rsidR="00695513" w:rsidRDefault="00695513" w:rsidP="00E66E92">
            <w:pPr>
              <w:pStyle w:val="TableText"/>
              <w:spacing w:before="54" w:after="54"/>
              <w:jc w:val="right"/>
              <w:rPr>
                <w:w w:val="103"/>
              </w:rPr>
            </w:pPr>
            <w:r w:rsidRPr="00D07B95">
              <w:t>5</w:t>
            </w:r>
          </w:p>
        </w:tc>
      </w:tr>
      <w:tr w:rsidR="00695513" w14:paraId="0B0C9063" w14:textId="77777777" w:rsidTr="00E66E92">
        <w:trPr>
          <w:trHeight w:val="294"/>
        </w:trPr>
        <w:tc>
          <w:tcPr>
            <w:tcW w:w="1264" w:type="dxa"/>
          </w:tcPr>
          <w:p w14:paraId="1B5E1C64" w14:textId="36460329" w:rsidR="00695513" w:rsidRPr="00966312" w:rsidRDefault="00695513" w:rsidP="00E66E92">
            <w:pPr>
              <w:pStyle w:val="TableText"/>
              <w:spacing w:before="54" w:after="54"/>
              <w:jc w:val="right"/>
            </w:pPr>
            <w:r w:rsidRPr="00695513">
              <w:t>31,347</w:t>
            </w:r>
          </w:p>
        </w:tc>
        <w:tc>
          <w:tcPr>
            <w:tcW w:w="2977" w:type="dxa"/>
          </w:tcPr>
          <w:p w14:paraId="0473E001" w14:textId="5BDAB07F" w:rsidR="00695513" w:rsidRDefault="00695513" w:rsidP="00E66E92">
            <w:pPr>
              <w:pStyle w:val="TableText"/>
              <w:spacing w:before="54" w:after="54"/>
            </w:pPr>
            <w:r>
              <w:t>Monitoring and protecting health and disability consumer interests</w:t>
            </w:r>
          </w:p>
        </w:tc>
        <w:tc>
          <w:tcPr>
            <w:tcW w:w="430" w:type="dxa"/>
          </w:tcPr>
          <w:p w14:paraId="6C653843" w14:textId="77777777" w:rsidR="00695513" w:rsidRDefault="00695513" w:rsidP="00E66E92">
            <w:pPr>
              <w:pStyle w:val="TableText"/>
              <w:spacing w:before="54" w:after="54"/>
              <w:ind w:left="0" w:right="0"/>
              <w:jc w:val="right"/>
            </w:pPr>
          </w:p>
        </w:tc>
        <w:tc>
          <w:tcPr>
            <w:tcW w:w="1151" w:type="dxa"/>
          </w:tcPr>
          <w:p w14:paraId="022C617F" w14:textId="568C2395" w:rsidR="00695513" w:rsidRDefault="00695513" w:rsidP="00E66E92">
            <w:pPr>
              <w:pStyle w:val="TableText"/>
              <w:spacing w:before="54" w:after="54"/>
              <w:jc w:val="right"/>
            </w:pPr>
            <w:r w:rsidRPr="004D5CD2">
              <w:t>35,522</w:t>
            </w:r>
          </w:p>
        </w:tc>
        <w:tc>
          <w:tcPr>
            <w:tcW w:w="1115" w:type="dxa"/>
          </w:tcPr>
          <w:p w14:paraId="7BA5020D" w14:textId="593DF18E" w:rsidR="00695513" w:rsidRDefault="00695513" w:rsidP="00E66E92">
            <w:pPr>
              <w:pStyle w:val="TableText"/>
              <w:spacing w:before="54" w:after="54"/>
              <w:jc w:val="right"/>
            </w:pPr>
            <w:r w:rsidRPr="004D5CD2">
              <w:t>36,172</w:t>
            </w:r>
          </w:p>
        </w:tc>
        <w:tc>
          <w:tcPr>
            <w:tcW w:w="1136" w:type="dxa"/>
          </w:tcPr>
          <w:p w14:paraId="044CA06B" w14:textId="3868BA0A" w:rsidR="00695513" w:rsidRDefault="00695513" w:rsidP="00E66E92">
            <w:pPr>
              <w:pStyle w:val="TableText"/>
              <w:spacing w:before="54" w:after="54"/>
              <w:jc w:val="right"/>
            </w:pPr>
            <w:r w:rsidRPr="004D5CD2">
              <w:t>35,522</w:t>
            </w:r>
          </w:p>
        </w:tc>
        <w:tc>
          <w:tcPr>
            <w:tcW w:w="1276" w:type="dxa"/>
          </w:tcPr>
          <w:p w14:paraId="0AB2DE73" w14:textId="24B5E93A" w:rsidR="00695513" w:rsidRDefault="00695513" w:rsidP="00E66E92">
            <w:pPr>
              <w:pStyle w:val="TableText"/>
              <w:spacing w:before="54" w:after="54"/>
              <w:jc w:val="right"/>
              <w:rPr>
                <w:w w:val="103"/>
              </w:rPr>
            </w:pPr>
            <w:r w:rsidRPr="004D5CD2">
              <w:t>6</w:t>
            </w:r>
          </w:p>
        </w:tc>
      </w:tr>
      <w:tr w:rsidR="00695513" w14:paraId="7714203D" w14:textId="77777777" w:rsidTr="00E66E92">
        <w:trPr>
          <w:trHeight w:val="294"/>
        </w:trPr>
        <w:tc>
          <w:tcPr>
            <w:tcW w:w="1264" w:type="dxa"/>
          </w:tcPr>
          <w:p w14:paraId="5D778C32" w14:textId="3C225184" w:rsidR="00695513" w:rsidRPr="00966312" w:rsidRDefault="00695513" w:rsidP="00E66E92">
            <w:pPr>
              <w:pStyle w:val="TableText"/>
              <w:spacing w:before="54" w:after="54"/>
              <w:jc w:val="right"/>
            </w:pPr>
            <w:r w:rsidRPr="004A35C7">
              <w:lastRenderedPageBreak/>
              <w:t>17,962</w:t>
            </w:r>
          </w:p>
        </w:tc>
        <w:tc>
          <w:tcPr>
            <w:tcW w:w="2977" w:type="dxa"/>
          </w:tcPr>
          <w:p w14:paraId="4E4A4D2E" w14:textId="0B9DFF23" w:rsidR="00695513" w:rsidRDefault="00695513" w:rsidP="00E66E92">
            <w:pPr>
              <w:pStyle w:val="TableText"/>
              <w:spacing w:before="54" w:after="54"/>
            </w:pPr>
            <w:r w:rsidRPr="004A35C7">
              <w:t>Problem gambling services</w:t>
            </w:r>
          </w:p>
        </w:tc>
        <w:tc>
          <w:tcPr>
            <w:tcW w:w="430" w:type="dxa"/>
          </w:tcPr>
          <w:p w14:paraId="137FB096" w14:textId="77777777" w:rsidR="00695513" w:rsidRDefault="00695513" w:rsidP="00E66E92">
            <w:pPr>
              <w:pStyle w:val="TableText"/>
              <w:spacing w:before="54" w:after="54"/>
              <w:ind w:left="0" w:right="0"/>
              <w:jc w:val="right"/>
            </w:pPr>
          </w:p>
        </w:tc>
        <w:tc>
          <w:tcPr>
            <w:tcW w:w="1151" w:type="dxa"/>
          </w:tcPr>
          <w:p w14:paraId="24A619EC" w14:textId="47518E72" w:rsidR="00695513" w:rsidRDefault="00695513" w:rsidP="00E66E92">
            <w:pPr>
              <w:pStyle w:val="TableText"/>
              <w:spacing w:before="54" w:after="54"/>
              <w:jc w:val="right"/>
            </w:pPr>
            <w:r w:rsidRPr="004A35C7">
              <w:t>17,448</w:t>
            </w:r>
          </w:p>
        </w:tc>
        <w:tc>
          <w:tcPr>
            <w:tcW w:w="1115" w:type="dxa"/>
          </w:tcPr>
          <w:p w14:paraId="133D4BC1" w14:textId="1ED2961D" w:rsidR="00695513" w:rsidRDefault="00695513" w:rsidP="00E66E92">
            <w:pPr>
              <w:pStyle w:val="TableText"/>
              <w:spacing w:before="54" w:after="54"/>
              <w:jc w:val="right"/>
            </w:pPr>
            <w:r w:rsidRPr="004A35C7">
              <w:t>19,595</w:t>
            </w:r>
          </w:p>
        </w:tc>
        <w:tc>
          <w:tcPr>
            <w:tcW w:w="1136" w:type="dxa"/>
          </w:tcPr>
          <w:p w14:paraId="318FD67F" w14:textId="0FD5A331" w:rsidR="00695513" w:rsidRDefault="00695513" w:rsidP="00E66E92">
            <w:pPr>
              <w:pStyle w:val="TableText"/>
              <w:spacing w:before="54" w:after="54"/>
              <w:jc w:val="right"/>
            </w:pPr>
            <w:r w:rsidRPr="004A35C7">
              <w:t>20,245</w:t>
            </w:r>
          </w:p>
        </w:tc>
        <w:tc>
          <w:tcPr>
            <w:tcW w:w="1276" w:type="dxa"/>
          </w:tcPr>
          <w:p w14:paraId="7624A67E" w14:textId="11E23B50" w:rsidR="00695513" w:rsidRDefault="00695513" w:rsidP="00E66E92">
            <w:pPr>
              <w:pStyle w:val="TableText"/>
              <w:spacing w:before="54" w:after="54"/>
              <w:jc w:val="right"/>
              <w:rPr>
                <w:w w:val="103"/>
              </w:rPr>
            </w:pPr>
            <w:r w:rsidRPr="004A35C7">
              <w:t>3</w:t>
            </w:r>
          </w:p>
        </w:tc>
      </w:tr>
      <w:tr w:rsidR="00695513" w14:paraId="7873AF72" w14:textId="77777777" w:rsidTr="00E66E92">
        <w:trPr>
          <w:trHeight w:val="294"/>
        </w:trPr>
        <w:tc>
          <w:tcPr>
            <w:tcW w:w="1264" w:type="dxa"/>
          </w:tcPr>
          <w:p w14:paraId="2103ACB4" w14:textId="2F0A1B7E" w:rsidR="00695513" w:rsidRPr="00966312" w:rsidRDefault="00695513" w:rsidP="00E66E92">
            <w:pPr>
              <w:pStyle w:val="TableText"/>
              <w:spacing w:before="54" w:after="54"/>
              <w:jc w:val="right"/>
            </w:pPr>
            <w:r w:rsidRPr="004A35C7">
              <w:t>196,333</w:t>
            </w:r>
          </w:p>
        </w:tc>
        <w:tc>
          <w:tcPr>
            <w:tcW w:w="2977" w:type="dxa"/>
          </w:tcPr>
          <w:p w14:paraId="25054C89" w14:textId="15965018" w:rsidR="00695513" w:rsidRDefault="00695513" w:rsidP="00E66E92">
            <w:pPr>
              <w:pStyle w:val="TableText"/>
              <w:spacing w:before="54" w:after="54"/>
            </w:pPr>
            <w:r w:rsidRPr="004A35C7">
              <w:t>Health workforce training and</w:t>
            </w:r>
            <w:r>
              <w:t xml:space="preserve"> </w:t>
            </w:r>
            <w:r w:rsidRPr="00695513">
              <w:t>development</w:t>
            </w:r>
          </w:p>
        </w:tc>
        <w:tc>
          <w:tcPr>
            <w:tcW w:w="430" w:type="dxa"/>
          </w:tcPr>
          <w:p w14:paraId="5755E0C3" w14:textId="77777777" w:rsidR="00695513" w:rsidRDefault="00695513" w:rsidP="00E66E92">
            <w:pPr>
              <w:pStyle w:val="TableText"/>
              <w:spacing w:before="54" w:after="54"/>
              <w:ind w:left="0" w:right="0"/>
              <w:jc w:val="right"/>
            </w:pPr>
          </w:p>
        </w:tc>
        <w:tc>
          <w:tcPr>
            <w:tcW w:w="1151" w:type="dxa"/>
          </w:tcPr>
          <w:p w14:paraId="149C6D23" w14:textId="352BDC21" w:rsidR="00695513" w:rsidRDefault="00695513" w:rsidP="00E66E92">
            <w:pPr>
              <w:pStyle w:val="TableText"/>
              <w:spacing w:before="54" w:after="54"/>
              <w:jc w:val="right"/>
            </w:pPr>
            <w:r w:rsidRPr="004A35C7">
              <w:t>208,470</w:t>
            </w:r>
          </w:p>
        </w:tc>
        <w:tc>
          <w:tcPr>
            <w:tcW w:w="1115" w:type="dxa"/>
          </w:tcPr>
          <w:p w14:paraId="50139874" w14:textId="6EA8BE58" w:rsidR="00695513" w:rsidRDefault="00695513" w:rsidP="00E66E92">
            <w:pPr>
              <w:pStyle w:val="TableText"/>
              <w:spacing w:before="54" w:after="54"/>
              <w:jc w:val="right"/>
            </w:pPr>
            <w:r w:rsidRPr="004A35C7">
              <w:t>234,121</w:t>
            </w:r>
          </w:p>
        </w:tc>
        <w:tc>
          <w:tcPr>
            <w:tcW w:w="1136" w:type="dxa"/>
          </w:tcPr>
          <w:p w14:paraId="1ACC7196" w14:textId="5A9B266F" w:rsidR="00695513" w:rsidRDefault="00695513" w:rsidP="00E66E92">
            <w:pPr>
              <w:pStyle w:val="TableText"/>
              <w:spacing w:before="54" w:after="54"/>
              <w:jc w:val="right"/>
            </w:pPr>
            <w:r w:rsidRPr="004A35C7">
              <w:t>223,446</w:t>
            </w:r>
          </w:p>
        </w:tc>
        <w:tc>
          <w:tcPr>
            <w:tcW w:w="1276" w:type="dxa"/>
          </w:tcPr>
          <w:p w14:paraId="302E39FF" w14:textId="0D1E62E5" w:rsidR="00695513" w:rsidRDefault="00695513" w:rsidP="00E66E92">
            <w:pPr>
              <w:pStyle w:val="TableText"/>
              <w:spacing w:before="54" w:after="54"/>
              <w:jc w:val="right"/>
              <w:rPr>
                <w:w w:val="103"/>
              </w:rPr>
            </w:pPr>
            <w:r w:rsidRPr="004A35C7">
              <w:t>3</w:t>
            </w:r>
          </w:p>
        </w:tc>
      </w:tr>
      <w:tr w:rsidR="00695513" w14:paraId="403030D4" w14:textId="77777777" w:rsidTr="00E66E92">
        <w:trPr>
          <w:trHeight w:val="294"/>
        </w:trPr>
        <w:tc>
          <w:tcPr>
            <w:tcW w:w="1264" w:type="dxa"/>
          </w:tcPr>
          <w:p w14:paraId="3A41EA1E" w14:textId="634BB28C" w:rsidR="00695513" w:rsidRPr="00966312" w:rsidRDefault="00695513" w:rsidP="00E66E92">
            <w:pPr>
              <w:pStyle w:val="TableText"/>
              <w:spacing w:before="54" w:after="54"/>
              <w:jc w:val="right"/>
            </w:pPr>
            <w:r w:rsidRPr="006378D7">
              <w:t>348,765</w:t>
            </w:r>
          </w:p>
        </w:tc>
        <w:tc>
          <w:tcPr>
            <w:tcW w:w="2977" w:type="dxa"/>
          </w:tcPr>
          <w:p w14:paraId="0DBF5100" w14:textId="6A0D97B9" w:rsidR="00695513" w:rsidRDefault="00695513" w:rsidP="00E66E92">
            <w:pPr>
              <w:pStyle w:val="TableText"/>
              <w:spacing w:before="54" w:after="54"/>
            </w:pPr>
            <w:r w:rsidRPr="006378D7">
              <w:t>Primary health care strategy</w:t>
            </w:r>
          </w:p>
        </w:tc>
        <w:tc>
          <w:tcPr>
            <w:tcW w:w="430" w:type="dxa"/>
          </w:tcPr>
          <w:p w14:paraId="7F932724" w14:textId="77777777" w:rsidR="00695513" w:rsidRDefault="00695513" w:rsidP="00E66E92">
            <w:pPr>
              <w:pStyle w:val="TableText"/>
              <w:spacing w:before="54" w:after="54"/>
              <w:ind w:left="0" w:right="0"/>
              <w:jc w:val="right"/>
            </w:pPr>
          </w:p>
        </w:tc>
        <w:tc>
          <w:tcPr>
            <w:tcW w:w="1151" w:type="dxa"/>
          </w:tcPr>
          <w:p w14:paraId="4B518E7B" w14:textId="26827F82" w:rsidR="00695513" w:rsidRDefault="00695513" w:rsidP="00E66E92">
            <w:pPr>
              <w:pStyle w:val="TableText"/>
              <w:spacing w:before="54" w:after="54"/>
              <w:jc w:val="right"/>
            </w:pPr>
            <w:r w:rsidRPr="006378D7">
              <w:t>382,604</w:t>
            </w:r>
          </w:p>
        </w:tc>
        <w:tc>
          <w:tcPr>
            <w:tcW w:w="1115" w:type="dxa"/>
          </w:tcPr>
          <w:p w14:paraId="12D3EF03" w14:textId="776255E5" w:rsidR="00695513" w:rsidRDefault="00695513" w:rsidP="00E66E92">
            <w:pPr>
              <w:pStyle w:val="TableText"/>
              <w:spacing w:before="54" w:after="54"/>
              <w:jc w:val="right"/>
            </w:pPr>
            <w:r w:rsidRPr="006378D7">
              <w:t>403,395</w:t>
            </w:r>
          </w:p>
        </w:tc>
        <w:tc>
          <w:tcPr>
            <w:tcW w:w="1136" w:type="dxa"/>
          </w:tcPr>
          <w:p w14:paraId="6784EFE6" w14:textId="128630D3" w:rsidR="00695513" w:rsidRDefault="00695513" w:rsidP="00E66E92">
            <w:pPr>
              <w:pStyle w:val="TableText"/>
              <w:spacing w:before="54" w:after="54"/>
              <w:jc w:val="right"/>
            </w:pPr>
            <w:r w:rsidRPr="006378D7">
              <w:t>386,895*</w:t>
            </w:r>
          </w:p>
        </w:tc>
        <w:tc>
          <w:tcPr>
            <w:tcW w:w="1276" w:type="dxa"/>
          </w:tcPr>
          <w:p w14:paraId="71F43207" w14:textId="410BC13B" w:rsidR="00695513" w:rsidRDefault="00695513" w:rsidP="00E66E92">
            <w:pPr>
              <w:pStyle w:val="TableText"/>
              <w:spacing w:before="54" w:after="54"/>
              <w:jc w:val="right"/>
              <w:rPr>
                <w:w w:val="103"/>
              </w:rPr>
            </w:pPr>
            <w:r w:rsidRPr="006378D7">
              <w:t>3</w:t>
            </w:r>
          </w:p>
        </w:tc>
      </w:tr>
      <w:tr w:rsidR="00695513" w14:paraId="753C9D22" w14:textId="77777777" w:rsidTr="00E66E92">
        <w:trPr>
          <w:trHeight w:val="294"/>
        </w:trPr>
        <w:tc>
          <w:tcPr>
            <w:tcW w:w="1264" w:type="dxa"/>
          </w:tcPr>
          <w:p w14:paraId="3932ADE0" w14:textId="7B00BF35" w:rsidR="00695513" w:rsidRPr="00966312" w:rsidRDefault="00695513" w:rsidP="00E66E92">
            <w:pPr>
              <w:pStyle w:val="TableText"/>
              <w:spacing w:before="54" w:after="54"/>
              <w:jc w:val="right"/>
            </w:pPr>
            <w:r w:rsidRPr="006378D7">
              <w:t>91,085</w:t>
            </w:r>
          </w:p>
        </w:tc>
        <w:tc>
          <w:tcPr>
            <w:tcW w:w="2977" w:type="dxa"/>
          </w:tcPr>
          <w:p w14:paraId="6845420A" w14:textId="3522E640" w:rsidR="00695513" w:rsidRDefault="00695513" w:rsidP="00E66E92">
            <w:pPr>
              <w:pStyle w:val="TableText"/>
              <w:spacing w:before="54" w:after="54"/>
            </w:pPr>
            <w:r w:rsidRPr="006378D7">
              <w:t>National personal health</w:t>
            </w:r>
            <w:r>
              <w:t xml:space="preserve"> services</w:t>
            </w:r>
          </w:p>
        </w:tc>
        <w:tc>
          <w:tcPr>
            <w:tcW w:w="430" w:type="dxa"/>
          </w:tcPr>
          <w:p w14:paraId="44036767" w14:textId="77777777" w:rsidR="00695513" w:rsidRDefault="00695513" w:rsidP="00E66E92">
            <w:pPr>
              <w:pStyle w:val="TableText"/>
              <w:spacing w:before="54" w:after="54"/>
              <w:ind w:left="0" w:right="0"/>
              <w:jc w:val="right"/>
            </w:pPr>
          </w:p>
        </w:tc>
        <w:tc>
          <w:tcPr>
            <w:tcW w:w="1151" w:type="dxa"/>
          </w:tcPr>
          <w:p w14:paraId="51A2B83A" w14:textId="30B10BE3" w:rsidR="00695513" w:rsidRDefault="00695513" w:rsidP="00E66E92">
            <w:pPr>
              <w:pStyle w:val="TableText"/>
              <w:spacing w:before="54" w:after="54"/>
              <w:jc w:val="right"/>
            </w:pPr>
            <w:r w:rsidRPr="006378D7">
              <w:t>67,033</w:t>
            </w:r>
          </w:p>
        </w:tc>
        <w:tc>
          <w:tcPr>
            <w:tcW w:w="1115" w:type="dxa"/>
          </w:tcPr>
          <w:p w14:paraId="6A8272CB" w14:textId="1321DA16" w:rsidR="00695513" w:rsidRDefault="00695513" w:rsidP="00E66E92">
            <w:pPr>
              <w:pStyle w:val="TableText"/>
              <w:spacing w:before="54" w:after="54"/>
              <w:jc w:val="right"/>
            </w:pPr>
            <w:r w:rsidRPr="006378D7">
              <w:t>73,601</w:t>
            </w:r>
          </w:p>
        </w:tc>
        <w:tc>
          <w:tcPr>
            <w:tcW w:w="1136" w:type="dxa"/>
          </w:tcPr>
          <w:p w14:paraId="297ABAE7" w14:textId="14B83092" w:rsidR="00695513" w:rsidRDefault="00695513" w:rsidP="00E66E92">
            <w:pPr>
              <w:pStyle w:val="TableText"/>
              <w:spacing w:before="54" w:after="54"/>
              <w:jc w:val="right"/>
            </w:pPr>
            <w:r w:rsidRPr="006378D7">
              <w:t>72,551*</w:t>
            </w:r>
          </w:p>
        </w:tc>
        <w:tc>
          <w:tcPr>
            <w:tcW w:w="1276" w:type="dxa"/>
          </w:tcPr>
          <w:p w14:paraId="6460EBA2" w14:textId="792C1BD0" w:rsidR="00695513" w:rsidRDefault="00695513" w:rsidP="00E66E92">
            <w:pPr>
              <w:pStyle w:val="TableText"/>
              <w:spacing w:before="54" w:after="54"/>
              <w:jc w:val="right"/>
              <w:rPr>
                <w:w w:val="103"/>
              </w:rPr>
            </w:pPr>
            <w:r w:rsidRPr="006378D7">
              <w:t>3</w:t>
            </w:r>
          </w:p>
        </w:tc>
      </w:tr>
      <w:tr w:rsidR="00695513" w14:paraId="40ECE14F" w14:textId="77777777" w:rsidTr="00E66E92">
        <w:trPr>
          <w:trHeight w:val="294"/>
        </w:trPr>
        <w:tc>
          <w:tcPr>
            <w:tcW w:w="1264" w:type="dxa"/>
          </w:tcPr>
          <w:p w14:paraId="3289C386" w14:textId="7883EBEA" w:rsidR="00695513" w:rsidRPr="00966312" w:rsidRDefault="00695513" w:rsidP="00E66E92">
            <w:pPr>
              <w:pStyle w:val="TableText"/>
              <w:spacing w:before="54" w:after="54"/>
              <w:jc w:val="right"/>
            </w:pPr>
            <w:r w:rsidRPr="00B913CF">
              <w:t>4,751</w:t>
            </w:r>
          </w:p>
        </w:tc>
        <w:tc>
          <w:tcPr>
            <w:tcW w:w="2977" w:type="dxa"/>
          </w:tcPr>
          <w:p w14:paraId="6A1EC511" w14:textId="1826BB60" w:rsidR="00695513" w:rsidRDefault="00695513" w:rsidP="00E66E92">
            <w:pPr>
              <w:pStyle w:val="TableText"/>
              <w:spacing w:before="54" w:after="54"/>
            </w:pPr>
            <w:r w:rsidRPr="00B913CF">
              <w:t>Health sector projects</w:t>
            </w:r>
            <w:r>
              <w:t xml:space="preserve"> operating expenses</w:t>
            </w:r>
          </w:p>
        </w:tc>
        <w:tc>
          <w:tcPr>
            <w:tcW w:w="430" w:type="dxa"/>
          </w:tcPr>
          <w:p w14:paraId="397B11C4" w14:textId="77777777" w:rsidR="00695513" w:rsidRDefault="00695513" w:rsidP="00E66E92">
            <w:pPr>
              <w:pStyle w:val="TableText"/>
              <w:spacing w:before="54" w:after="54"/>
              <w:ind w:left="0" w:right="0"/>
              <w:jc w:val="right"/>
            </w:pPr>
          </w:p>
        </w:tc>
        <w:tc>
          <w:tcPr>
            <w:tcW w:w="1151" w:type="dxa"/>
          </w:tcPr>
          <w:p w14:paraId="416557F5" w14:textId="767CE0DD" w:rsidR="00695513" w:rsidRDefault="00695513" w:rsidP="00E66E92">
            <w:pPr>
              <w:pStyle w:val="TableText"/>
              <w:spacing w:before="54" w:after="54"/>
              <w:jc w:val="right"/>
            </w:pPr>
            <w:r w:rsidRPr="00B913CF">
              <w:t>5,346</w:t>
            </w:r>
          </w:p>
        </w:tc>
        <w:tc>
          <w:tcPr>
            <w:tcW w:w="1115" w:type="dxa"/>
          </w:tcPr>
          <w:p w14:paraId="67EC1DFB" w14:textId="2FCB6790" w:rsidR="00695513" w:rsidRDefault="00695513" w:rsidP="00E66E92">
            <w:pPr>
              <w:pStyle w:val="TableText"/>
              <w:spacing w:before="54" w:after="54"/>
              <w:jc w:val="right"/>
            </w:pPr>
            <w:r w:rsidRPr="00B913CF">
              <w:t>2,000</w:t>
            </w:r>
          </w:p>
        </w:tc>
        <w:tc>
          <w:tcPr>
            <w:tcW w:w="1136" w:type="dxa"/>
          </w:tcPr>
          <w:p w14:paraId="68470710" w14:textId="2950BABB" w:rsidR="00695513" w:rsidRDefault="00695513" w:rsidP="00E66E92">
            <w:pPr>
              <w:pStyle w:val="TableText"/>
              <w:spacing w:before="54" w:after="54"/>
              <w:jc w:val="right"/>
            </w:pPr>
            <w:r w:rsidRPr="00B913CF">
              <w:t>58,535</w:t>
            </w:r>
          </w:p>
        </w:tc>
        <w:tc>
          <w:tcPr>
            <w:tcW w:w="1276" w:type="dxa"/>
          </w:tcPr>
          <w:p w14:paraId="07E6EBB3" w14:textId="19187359" w:rsidR="00695513" w:rsidRDefault="00695513" w:rsidP="00E66E92">
            <w:pPr>
              <w:pStyle w:val="TableText"/>
              <w:spacing w:before="54" w:after="54"/>
              <w:jc w:val="right"/>
              <w:rPr>
                <w:w w:val="103"/>
              </w:rPr>
            </w:pPr>
            <w:r w:rsidRPr="00B913CF">
              <w:t>3</w:t>
            </w:r>
          </w:p>
        </w:tc>
      </w:tr>
      <w:tr w:rsidR="00695513" w14:paraId="16B4786E" w14:textId="77777777" w:rsidTr="00E66E92">
        <w:trPr>
          <w:trHeight w:val="294"/>
        </w:trPr>
        <w:tc>
          <w:tcPr>
            <w:tcW w:w="1264" w:type="dxa"/>
          </w:tcPr>
          <w:p w14:paraId="1FA86607" w14:textId="76F6BCCB" w:rsidR="00695513" w:rsidRPr="00966312" w:rsidRDefault="00695513" w:rsidP="00E66E92">
            <w:pPr>
              <w:pStyle w:val="TableText"/>
              <w:spacing w:before="54" w:after="54"/>
              <w:jc w:val="right"/>
            </w:pPr>
            <w:r w:rsidRPr="005066BF">
              <w:t>29</w:t>
            </w:r>
          </w:p>
        </w:tc>
        <w:tc>
          <w:tcPr>
            <w:tcW w:w="2977" w:type="dxa"/>
          </w:tcPr>
          <w:p w14:paraId="1A5EEE04" w14:textId="20A03A74" w:rsidR="00695513" w:rsidRDefault="00695513" w:rsidP="00E66E92">
            <w:pPr>
              <w:pStyle w:val="TableText"/>
              <w:spacing w:before="54" w:after="54"/>
            </w:pPr>
            <w:r w:rsidRPr="005066BF">
              <w:t>Auckland health projects</w:t>
            </w:r>
            <w:r>
              <w:t xml:space="preserve"> integrated investment plan</w:t>
            </w:r>
          </w:p>
        </w:tc>
        <w:tc>
          <w:tcPr>
            <w:tcW w:w="430" w:type="dxa"/>
          </w:tcPr>
          <w:p w14:paraId="46DDD044" w14:textId="77777777" w:rsidR="00695513" w:rsidRDefault="00695513" w:rsidP="00E66E92">
            <w:pPr>
              <w:pStyle w:val="TableText"/>
              <w:spacing w:before="54" w:after="54"/>
              <w:ind w:left="0" w:right="0"/>
              <w:jc w:val="right"/>
            </w:pPr>
          </w:p>
        </w:tc>
        <w:tc>
          <w:tcPr>
            <w:tcW w:w="1151" w:type="dxa"/>
          </w:tcPr>
          <w:p w14:paraId="468B9F1D" w14:textId="3F05C68B" w:rsidR="00695513" w:rsidRDefault="00695513" w:rsidP="00E66E92">
            <w:pPr>
              <w:pStyle w:val="TableText"/>
              <w:spacing w:before="54" w:after="54"/>
              <w:jc w:val="right"/>
            </w:pPr>
            <w:r w:rsidRPr="005066BF">
              <w:t>683</w:t>
            </w:r>
          </w:p>
        </w:tc>
        <w:tc>
          <w:tcPr>
            <w:tcW w:w="1115" w:type="dxa"/>
          </w:tcPr>
          <w:p w14:paraId="7563F047" w14:textId="5B9E9EBB" w:rsidR="00695513" w:rsidRDefault="00695513" w:rsidP="00E66E92">
            <w:pPr>
              <w:pStyle w:val="TableText"/>
              <w:spacing w:before="54" w:after="54"/>
              <w:jc w:val="right"/>
            </w:pPr>
            <w:r w:rsidRPr="005066BF">
              <w:t>–</w:t>
            </w:r>
          </w:p>
        </w:tc>
        <w:tc>
          <w:tcPr>
            <w:tcW w:w="1136" w:type="dxa"/>
          </w:tcPr>
          <w:p w14:paraId="1605BE58" w14:textId="6F3C5CC6" w:rsidR="00695513" w:rsidRDefault="00695513" w:rsidP="00E66E92">
            <w:pPr>
              <w:pStyle w:val="TableText"/>
              <w:spacing w:before="54" w:after="54"/>
              <w:jc w:val="right"/>
            </w:pPr>
            <w:r w:rsidRPr="005066BF">
              <w:t>720</w:t>
            </w:r>
          </w:p>
        </w:tc>
        <w:tc>
          <w:tcPr>
            <w:tcW w:w="1276" w:type="dxa"/>
          </w:tcPr>
          <w:p w14:paraId="7563F4D5" w14:textId="79C006E5" w:rsidR="00695513" w:rsidRDefault="00695513" w:rsidP="00E66E92">
            <w:pPr>
              <w:pStyle w:val="TableText"/>
              <w:spacing w:before="54" w:after="54"/>
              <w:jc w:val="right"/>
              <w:rPr>
                <w:w w:val="103"/>
              </w:rPr>
            </w:pPr>
            <w:r w:rsidRPr="005066BF">
              <w:t>4</w:t>
            </w:r>
          </w:p>
        </w:tc>
      </w:tr>
      <w:tr w:rsidR="00695513" w14:paraId="5F96E94E" w14:textId="77777777" w:rsidTr="00E66E92">
        <w:trPr>
          <w:trHeight w:val="294"/>
        </w:trPr>
        <w:tc>
          <w:tcPr>
            <w:tcW w:w="1264" w:type="dxa"/>
          </w:tcPr>
          <w:p w14:paraId="63705E08" w14:textId="0BB49648" w:rsidR="00695513" w:rsidRPr="00966312" w:rsidRDefault="00695513" w:rsidP="00E66E92">
            <w:pPr>
              <w:pStyle w:val="TableText"/>
              <w:spacing w:before="54" w:after="54"/>
              <w:jc w:val="right"/>
            </w:pPr>
            <w:r w:rsidRPr="00D90B62">
              <w:t>17,282</w:t>
            </w:r>
          </w:p>
        </w:tc>
        <w:tc>
          <w:tcPr>
            <w:tcW w:w="2977" w:type="dxa"/>
          </w:tcPr>
          <w:p w14:paraId="68D43D89" w14:textId="29F60393" w:rsidR="00695513" w:rsidRDefault="00695513" w:rsidP="00E66E92">
            <w:pPr>
              <w:pStyle w:val="TableText"/>
              <w:spacing w:before="54" w:after="54"/>
            </w:pPr>
            <w:r w:rsidRPr="00D90B62">
              <w:t>Health services funding</w:t>
            </w:r>
          </w:p>
        </w:tc>
        <w:tc>
          <w:tcPr>
            <w:tcW w:w="430" w:type="dxa"/>
          </w:tcPr>
          <w:p w14:paraId="31499F71" w14:textId="77777777" w:rsidR="00695513" w:rsidRDefault="00695513" w:rsidP="00E66E92">
            <w:pPr>
              <w:pStyle w:val="TableText"/>
              <w:spacing w:before="54" w:after="54"/>
              <w:ind w:left="0" w:right="0"/>
              <w:jc w:val="right"/>
            </w:pPr>
          </w:p>
        </w:tc>
        <w:tc>
          <w:tcPr>
            <w:tcW w:w="1151" w:type="dxa"/>
          </w:tcPr>
          <w:p w14:paraId="70767063" w14:textId="5DF3F9D0" w:rsidR="00695513" w:rsidRDefault="00695513" w:rsidP="00E66E92">
            <w:pPr>
              <w:pStyle w:val="TableText"/>
              <w:spacing w:before="54" w:after="54"/>
              <w:jc w:val="right"/>
            </w:pPr>
            <w:r w:rsidRPr="00D90B62">
              <w:t>14,633</w:t>
            </w:r>
          </w:p>
        </w:tc>
        <w:tc>
          <w:tcPr>
            <w:tcW w:w="1115" w:type="dxa"/>
          </w:tcPr>
          <w:p w14:paraId="0AC28AF7" w14:textId="73C3917A" w:rsidR="00695513" w:rsidRDefault="00695513" w:rsidP="00E66E92">
            <w:pPr>
              <w:pStyle w:val="TableText"/>
              <w:spacing w:before="54" w:after="54"/>
              <w:jc w:val="right"/>
            </w:pPr>
            <w:r w:rsidRPr="00D90B62">
              <w:t>21,181</w:t>
            </w:r>
          </w:p>
        </w:tc>
        <w:tc>
          <w:tcPr>
            <w:tcW w:w="1136" w:type="dxa"/>
          </w:tcPr>
          <w:p w14:paraId="6459E917" w14:textId="30B0EB42" w:rsidR="00695513" w:rsidRDefault="00695513" w:rsidP="00E66E92">
            <w:pPr>
              <w:pStyle w:val="TableText"/>
              <w:spacing w:before="54" w:after="54"/>
              <w:jc w:val="right"/>
            </w:pPr>
            <w:r w:rsidRPr="00D90B62">
              <w:t>26,512</w:t>
            </w:r>
          </w:p>
        </w:tc>
        <w:tc>
          <w:tcPr>
            <w:tcW w:w="1276" w:type="dxa"/>
          </w:tcPr>
          <w:p w14:paraId="684FFC82" w14:textId="0E3E1939" w:rsidR="00695513" w:rsidRDefault="00695513" w:rsidP="00E66E92">
            <w:pPr>
              <w:pStyle w:val="TableText"/>
              <w:spacing w:before="54" w:after="54"/>
              <w:jc w:val="right"/>
              <w:rPr>
                <w:w w:val="103"/>
              </w:rPr>
            </w:pPr>
            <w:r w:rsidRPr="00D90B62">
              <w:t>3</w:t>
            </w:r>
          </w:p>
        </w:tc>
      </w:tr>
      <w:tr w:rsidR="00695513" w14:paraId="729F7019" w14:textId="77777777" w:rsidTr="00E66E92">
        <w:trPr>
          <w:trHeight w:val="294"/>
        </w:trPr>
        <w:tc>
          <w:tcPr>
            <w:tcW w:w="1264" w:type="dxa"/>
          </w:tcPr>
          <w:p w14:paraId="74B6487E" w14:textId="7F5A55CD" w:rsidR="00695513" w:rsidRPr="00966312" w:rsidRDefault="00695513" w:rsidP="00E66E92">
            <w:pPr>
              <w:pStyle w:val="TableText"/>
              <w:spacing w:before="54" w:after="54"/>
              <w:jc w:val="right"/>
            </w:pPr>
            <w:r w:rsidRPr="00D90B62">
              <w:t>–</w:t>
            </w:r>
          </w:p>
        </w:tc>
        <w:tc>
          <w:tcPr>
            <w:tcW w:w="2977" w:type="dxa"/>
          </w:tcPr>
          <w:p w14:paraId="1007F0A7" w14:textId="479A9F38" w:rsidR="00695513" w:rsidRDefault="00695513" w:rsidP="00E66E92">
            <w:pPr>
              <w:pStyle w:val="TableText"/>
              <w:spacing w:before="54" w:after="54"/>
            </w:pPr>
            <w:r w:rsidRPr="00D90B62">
              <w:t>Supporting equitable pay</w:t>
            </w:r>
          </w:p>
        </w:tc>
        <w:tc>
          <w:tcPr>
            <w:tcW w:w="430" w:type="dxa"/>
          </w:tcPr>
          <w:p w14:paraId="1BA7F948" w14:textId="11DB0A07" w:rsidR="00695513" w:rsidRDefault="00695513" w:rsidP="00E66E92">
            <w:pPr>
              <w:pStyle w:val="TableText"/>
              <w:spacing w:before="54" w:after="54"/>
              <w:ind w:left="0" w:right="0"/>
              <w:jc w:val="right"/>
            </w:pPr>
            <w:r w:rsidRPr="00D90B62">
              <w:t>2.8</w:t>
            </w:r>
          </w:p>
        </w:tc>
        <w:tc>
          <w:tcPr>
            <w:tcW w:w="1151" w:type="dxa"/>
          </w:tcPr>
          <w:p w14:paraId="161304FE" w14:textId="1B1C6A7D" w:rsidR="00695513" w:rsidRDefault="00695513" w:rsidP="00E66E92">
            <w:pPr>
              <w:pStyle w:val="TableText"/>
              <w:spacing w:before="54" w:after="54"/>
              <w:jc w:val="right"/>
            </w:pPr>
            <w:r w:rsidRPr="00D90B62">
              <w:t>63,338</w:t>
            </w:r>
          </w:p>
        </w:tc>
        <w:tc>
          <w:tcPr>
            <w:tcW w:w="1115" w:type="dxa"/>
          </w:tcPr>
          <w:p w14:paraId="72B342D6" w14:textId="2C2DFCE0" w:rsidR="00695513" w:rsidRDefault="00695513" w:rsidP="00E66E92">
            <w:pPr>
              <w:pStyle w:val="TableText"/>
              <w:spacing w:before="54" w:after="54"/>
              <w:jc w:val="right"/>
            </w:pPr>
            <w:r w:rsidRPr="00D90B62">
              <w:t>–</w:t>
            </w:r>
          </w:p>
        </w:tc>
        <w:tc>
          <w:tcPr>
            <w:tcW w:w="1136" w:type="dxa"/>
          </w:tcPr>
          <w:p w14:paraId="6217FF48" w14:textId="7B4AF171" w:rsidR="00695513" w:rsidRDefault="00695513" w:rsidP="00E66E92">
            <w:pPr>
              <w:pStyle w:val="TableText"/>
              <w:spacing w:before="54" w:after="54"/>
              <w:jc w:val="right"/>
            </w:pPr>
            <w:r w:rsidRPr="00D90B62">
              <w:t>224,619</w:t>
            </w:r>
          </w:p>
        </w:tc>
        <w:tc>
          <w:tcPr>
            <w:tcW w:w="1276" w:type="dxa"/>
          </w:tcPr>
          <w:p w14:paraId="4DA94A97" w14:textId="051D749D" w:rsidR="00695513" w:rsidRDefault="00695513" w:rsidP="00E66E92">
            <w:pPr>
              <w:pStyle w:val="TableText"/>
              <w:spacing w:before="54" w:after="54"/>
              <w:jc w:val="right"/>
              <w:rPr>
                <w:w w:val="103"/>
              </w:rPr>
            </w:pPr>
            <w:r w:rsidRPr="00D90B62">
              <w:t>4</w:t>
            </w:r>
          </w:p>
        </w:tc>
      </w:tr>
      <w:tr w:rsidR="00695513" w:rsidRPr="00695513" w14:paraId="0E0CDC11" w14:textId="77777777" w:rsidTr="00E66E92">
        <w:trPr>
          <w:trHeight w:val="294"/>
        </w:trPr>
        <w:tc>
          <w:tcPr>
            <w:tcW w:w="1264" w:type="dxa"/>
          </w:tcPr>
          <w:p w14:paraId="7C8AB43D" w14:textId="560F688D" w:rsidR="00695513" w:rsidRPr="00695513" w:rsidRDefault="00695513" w:rsidP="00E66E92">
            <w:pPr>
              <w:pStyle w:val="TableText"/>
              <w:spacing w:before="54" w:after="54"/>
              <w:jc w:val="right"/>
              <w:rPr>
                <w:i/>
                <w:iCs/>
              </w:rPr>
            </w:pPr>
            <w:r w:rsidRPr="00D90B62">
              <w:t>120,755</w:t>
            </w:r>
          </w:p>
        </w:tc>
        <w:tc>
          <w:tcPr>
            <w:tcW w:w="2977" w:type="dxa"/>
          </w:tcPr>
          <w:p w14:paraId="7031752E" w14:textId="2DF4C1C2" w:rsidR="00695513" w:rsidRPr="00695513" w:rsidRDefault="00695513" w:rsidP="00E66E92">
            <w:pPr>
              <w:pStyle w:val="TableText"/>
              <w:spacing w:before="54" w:after="54"/>
              <w:rPr>
                <w:i/>
                <w:iCs/>
              </w:rPr>
            </w:pPr>
            <w:r w:rsidRPr="00D90B62">
              <w:t>Minimising the health</w:t>
            </w:r>
            <w:r>
              <w:t xml:space="preserve"> impacts of COVID-19</w:t>
            </w:r>
          </w:p>
        </w:tc>
        <w:tc>
          <w:tcPr>
            <w:tcW w:w="430" w:type="dxa"/>
          </w:tcPr>
          <w:p w14:paraId="34694AA4" w14:textId="77777777" w:rsidR="00695513" w:rsidRPr="00695513" w:rsidRDefault="00695513" w:rsidP="00E66E92">
            <w:pPr>
              <w:pStyle w:val="TableText"/>
              <w:spacing w:before="54" w:after="54"/>
              <w:ind w:left="0" w:right="0"/>
              <w:jc w:val="right"/>
              <w:rPr>
                <w:i/>
                <w:iCs/>
              </w:rPr>
            </w:pPr>
          </w:p>
        </w:tc>
        <w:tc>
          <w:tcPr>
            <w:tcW w:w="1151" w:type="dxa"/>
          </w:tcPr>
          <w:p w14:paraId="466142D4" w14:textId="0C44E615" w:rsidR="00695513" w:rsidRPr="00695513" w:rsidRDefault="00695513" w:rsidP="00E66E92">
            <w:pPr>
              <w:pStyle w:val="TableText"/>
              <w:spacing w:before="54" w:after="54"/>
              <w:jc w:val="right"/>
              <w:rPr>
                <w:i/>
                <w:iCs/>
              </w:rPr>
            </w:pPr>
            <w:r w:rsidRPr="00D90B62">
              <w:t>–</w:t>
            </w:r>
          </w:p>
        </w:tc>
        <w:tc>
          <w:tcPr>
            <w:tcW w:w="1115" w:type="dxa"/>
          </w:tcPr>
          <w:p w14:paraId="1C4DA346" w14:textId="4A3B6754" w:rsidR="00695513" w:rsidRPr="00695513" w:rsidRDefault="00695513" w:rsidP="00E66E92">
            <w:pPr>
              <w:pStyle w:val="TableText"/>
              <w:spacing w:before="54" w:after="54"/>
              <w:jc w:val="right"/>
              <w:rPr>
                <w:i/>
                <w:iCs/>
              </w:rPr>
            </w:pPr>
            <w:r w:rsidRPr="00D90B62">
              <w:t>–</w:t>
            </w:r>
          </w:p>
        </w:tc>
        <w:tc>
          <w:tcPr>
            <w:tcW w:w="1136" w:type="dxa"/>
          </w:tcPr>
          <w:p w14:paraId="697D6940" w14:textId="63F7E817" w:rsidR="00695513" w:rsidRPr="00695513" w:rsidRDefault="00695513" w:rsidP="00E66E92">
            <w:pPr>
              <w:pStyle w:val="TableText"/>
              <w:spacing w:before="54" w:after="54"/>
              <w:jc w:val="right"/>
              <w:rPr>
                <w:i/>
                <w:iCs/>
              </w:rPr>
            </w:pPr>
            <w:r w:rsidRPr="00D90B62">
              <w:t>–</w:t>
            </w:r>
          </w:p>
        </w:tc>
        <w:tc>
          <w:tcPr>
            <w:tcW w:w="1276" w:type="dxa"/>
          </w:tcPr>
          <w:p w14:paraId="0B3BBEA1" w14:textId="388FADBF" w:rsidR="00695513" w:rsidRPr="00695513" w:rsidRDefault="00695513" w:rsidP="00E66E92">
            <w:pPr>
              <w:pStyle w:val="TableText"/>
              <w:spacing w:before="54" w:after="54"/>
              <w:jc w:val="right"/>
              <w:rPr>
                <w:i/>
                <w:iCs/>
                <w:w w:val="103"/>
              </w:rPr>
            </w:pPr>
            <w:r w:rsidRPr="00D90B62">
              <w:t>3</w:t>
            </w:r>
          </w:p>
        </w:tc>
      </w:tr>
      <w:tr w:rsidR="00695513" w:rsidRPr="00695513" w14:paraId="76427F11" w14:textId="77777777" w:rsidTr="00E66E92">
        <w:trPr>
          <w:trHeight w:val="294"/>
        </w:trPr>
        <w:tc>
          <w:tcPr>
            <w:tcW w:w="1264" w:type="dxa"/>
          </w:tcPr>
          <w:p w14:paraId="7683963D" w14:textId="7EFD9591" w:rsidR="00695513" w:rsidRPr="00D90B62" w:rsidRDefault="00695513" w:rsidP="00E66E92">
            <w:pPr>
              <w:pStyle w:val="TableText"/>
              <w:spacing w:before="54" w:after="54"/>
              <w:jc w:val="right"/>
            </w:pPr>
            <w:r w:rsidRPr="0087678A">
              <w:t>–</w:t>
            </w:r>
          </w:p>
        </w:tc>
        <w:tc>
          <w:tcPr>
            <w:tcW w:w="2977" w:type="dxa"/>
          </w:tcPr>
          <w:p w14:paraId="31279254" w14:textId="615FC95E" w:rsidR="00695513" w:rsidRPr="00D90B62" w:rsidRDefault="00695513" w:rsidP="00E66E92">
            <w:pPr>
              <w:pStyle w:val="TableText"/>
              <w:spacing w:before="54" w:after="54"/>
            </w:pPr>
            <w:r w:rsidRPr="0087678A">
              <w:t>Aged Care Commissioner</w:t>
            </w:r>
          </w:p>
        </w:tc>
        <w:tc>
          <w:tcPr>
            <w:tcW w:w="430" w:type="dxa"/>
          </w:tcPr>
          <w:p w14:paraId="56257735" w14:textId="77777777" w:rsidR="00695513" w:rsidRPr="00695513" w:rsidRDefault="00695513" w:rsidP="00E66E92">
            <w:pPr>
              <w:pStyle w:val="TableText"/>
              <w:spacing w:before="54" w:after="54"/>
              <w:ind w:left="0" w:right="0"/>
              <w:jc w:val="right"/>
              <w:rPr>
                <w:i/>
                <w:iCs/>
              </w:rPr>
            </w:pPr>
          </w:p>
        </w:tc>
        <w:tc>
          <w:tcPr>
            <w:tcW w:w="1151" w:type="dxa"/>
          </w:tcPr>
          <w:p w14:paraId="765B0C29" w14:textId="32BD185B" w:rsidR="00695513" w:rsidRPr="00D90B62" w:rsidRDefault="00695513" w:rsidP="00E66E92">
            <w:pPr>
              <w:pStyle w:val="TableText"/>
              <w:spacing w:before="54" w:after="54"/>
              <w:jc w:val="right"/>
            </w:pPr>
            <w:r w:rsidRPr="0087678A">
              <w:t>650</w:t>
            </w:r>
          </w:p>
        </w:tc>
        <w:tc>
          <w:tcPr>
            <w:tcW w:w="1115" w:type="dxa"/>
          </w:tcPr>
          <w:p w14:paraId="1DEE6DEB" w14:textId="1B5C228B" w:rsidR="00695513" w:rsidRPr="00D90B62" w:rsidRDefault="00695513" w:rsidP="00E66E92">
            <w:pPr>
              <w:pStyle w:val="TableText"/>
              <w:spacing w:before="54" w:after="54"/>
              <w:jc w:val="right"/>
            </w:pPr>
            <w:r w:rsidRPr="0087678A">
              <w:t>–</w:t>
            </w:r>
          </w:p>
        </w:tc>
        <w:tc>
          <w:tcPr>
            <w:tcW w:w="1136" w:type="dxa"/>
          </w:tcPr>
          <w:p w14:paraId="5EFB8EEF" w14:textId="38A5ECEA" w:rsidR="00695513" w:rsidRPr="00D90B62" w:rsidRDefault="00695513" w:rsidP="00E66E92">
            <w:pPr>
              <w:pStyle w:val="TableText"/>
              <w:spacing w:before="54" w:after="54"/>
              <w:jc w:val="right"/>
            </w:pPr>
            <w:r w:rsidRPr="0087678A">
              <w:t>650</w:t>
            </w:r>
          </w:p>
        </w:tc>
        <w:tc>
          <w:tcPr>
            <w:tcW w:w="1276" w:type="dxa"/>
          </w:tcPr>
          <w:p w14:paraId="73A75A5C" w14:textId="507E8C3F" w:rsidR="00695513" w:rsidRPr="00D90B62" w:rsidRDefault="00695513" w:rsidP="00E66E92">
            <w:pPr>
              <w:pStyle w:val="TableText"/>
              <w:spacing w:before="54" w:after="54"/>
              <w:jc w:val="right"/>
            </w:pPr>
            <w:r w:rsidRPr="0087678A">
              <w:t>6</w:t>
            </w:r>
          </w:p>
        </w:tc>
      </w:tr>
      <w:tr w:rsidR="00695513" w:rsidRPr="00695513" w14:paraId="0FC8D7D1" w14:textId="77777777" w:rsidTr="00E66E92">
        <w:trPr>
          <w:trHeight w:val="294"/>
        </w:trPr>
        <w:tc>
          <w:tcPr>
            <w:tcW w:w="1264" w:type="dxa"/>
            <w:tcBorders>
              <w:bottom w:val="single" w:sz="4" w:space="0" w:color="A6A6A6" w:themeColor="background1" w:themeShade="A6"/>
            </w:tcBorders>
          </w:tcPr>
          <w:p w14:paraId="00E97B2B" w14:textId="21D7326B" w:rsidR="00695513" w:rsidRPr="00695513" w:rsidRDefault="00695513" w:rsidP="00E66E92">
            <w:pPr>
              <w:pStyle w:val="TableText"/>
              <w:spacing w:before="54" w:after="54"/>
              <w:jc w:val="right"/>
              <w:rPr>
                <w:b/>
                <w:bCs/>
              </w:rPr>
            </w:pPr>
            <w:r w:rsidRPr="00695513">
              <w:rPr>
                <w:b/>
                <w:bCs/>
              </w:rPr>
              <w:t>4,620,709</w:t>
            </w:r>
          </w:p>
        </w:tc>
        <w:tc>
          <w:tcPr>
            <w:tcW w:w="2977" w:type="dxa"/>
            <w:tcBorders>
              <w:bottom w:val="single" w:sz="4" w:space="0" w:color="A6A6A6" w:themeColor="background1" w:themeShade="A6"/>
            </w:tcBorders>
          </w:tcPr>
          <w:p w14:paraId="1826C21E" w14:textId="57B5EB11" w:rsidR="00695513" w:rsidRPr="00695513" w:rsidRDefault="00695513" w:rsidP="00E66E92">
            <w:pPr>
              <w:pStyle w:val="TableText"/>
              <w:spacing w:before="54" w:after="54"/>
              <w:rPr>
                <w:b/>
                <w:bCs/>
              </w:rPr>
            </w:pPr>
            <w:r w:rsidRPr="00695513">
              <w:rPr>
                <w:b/>
                <w:bCs/>
              </w:rPr>
              <w:t>Total national services</w:t>
            </w:r>
          </w:p>
        </w:tc>
        <w:tc>
          <w:tcPr>
            <w:tcW w:w="430" w:type="dxa"/>
            <w:tcBorders>
              <w:bottom w:val="single" w:sz="4" w:space="0" w:color="A6A6A6" w:themeColor="background1" w:themeShade="A6"/>
            </w:tcBorders>
          </w:tcPr>
          <w:p w14:paraId="21F1B3CC" w14:textId="77777777" w:rsidR="00695513" w:rsidRPr="00695513" w:rsidRDefault="00695513" w:rsidP="00E66E92">
            <w:pPr>
              <w:pStyle w:val="TableText"/>
              <w:spacing w:before="54" w:after="54"/>
              <w:ind w:left="0" w:right="0"/>
              <w:jc w:val="right"/>
              <w:rPr>
                <w:b/>
                <w:bCs/>
                <w:i/>
                <w:iCs/>
              </w:rPr>
            </w:pPr>
          </w:p>
        </w:tc>
        <w:tc>
          <w:tcPr>
            <w:tcW w:w="1151" w:type="dxa"/>
            <w:tcBorders>
              <w:bottom w:val="single" w:sz="4" w:space="0" w:color="A6A6A6" w:themeColor="background1" w:themeShade="A6"/>
            </w:tcBorders>
          </w:tcPr>
          <w:p w14:paraId="508B4F3F" w14:textId="7907CDDA" w:rsidR="00695513" w:rsidRPr="00695513" w:rsidRDefault="00695513" w:rsidP="00E66E92">
            <w:pPr>
              <w:pStyle w:val="TableText"/>
              <w:spacing w:before="54" w:after="54"/>
              <w:jc w:val="right"/>
              <w:rPr>
                <w:b/>
                <w:bCs/>
              </w:rPr>
            </w:pPr>
            <w:r w:rsidRPr="00695513">
              <w:rPr>
                <w:b/>
                <w:bCs/>
              </w:rPr>
              <w:t>4,503,568</w:t>
            </w:r>
          </w:p>
        </w:tc>
        <w:tc>
          <w:tcPr>
            <w:tcW w:w="1115" w:type="dxa"/>
            <w:tcBorders>
              <w:bottom w:val="single" w:sz="4" w:space="0" w:color="A6A6A6" w:themeColor="background1" w:themeShade="A6"/>
            </w:tcBorders>
          </w:tcPr>
          <w:p w14:paraId="0B6BF394" w14:textId="3B712CDD" w:rsidR="00695513" w:rsidRPr="00695513" w:rsidRDefault="00695513" w:rsidP="00E66E92">
            <w:pPr>
              <w:pStyle w:val="TableText"/>
              <w:spacing w:before="54" w:after="54"/>
              <w:jc w:val="right"/>
              <w:rPr>
                <w:b/>
                <w:bCs/>
              </w:rPr>
            </w:pPr>
            <w:r w:rsidRPr="00695513">
              <w:rPr>
                <w:b/>
                <w:bCs/>
              </w:rPr>
              <w:t>4,515,700</w:t>
            </w:r>
          </w:p>
        </w:tc>
        <w:tc>
          <w:tcPr>
            <w:tcW w:w="1136" w:type="dxa"/>
            <w:tcBorders>
              <w:bottom w:val="single" w:sz="4" w:space="0" w:color="A6A6A6" w:themeColor="background1" w:themeShade="A6"/>
            </w:tcBorders>
          </w:tcPr>
          <w:p w14:paraId="476C1BBA" w14:textId="7FD3001C" w:rsidR="00695513" w:rsidRPr="00695513" w:rsidRDefault="00695513" w:rsidP="00E66E92">
            <w:pPr>
              <w:pStyle w:val="TableText"/>
              <w:spacing w:before="54" w:after="54"/>
              <w:jc w:val="right"/>
              <w:rPr>
                <w:b/>
                <w:bCs/>
              </w:rPr>
            </w:pPr>
            <w:r w:rsidRPr="00695513">
              <w:rPr>
                <w:b/>
                <w:bCs/>
              </w:rPr>
              <w:t>4,851,204</w:t>
            </w:r>
          </w:p>
        </w:tc>
        <w:tc>
          <w:tcPr>
            <w:tcW w:w="1276" w:type="dxa"/>
            <w:tcBorders>
              <w:bottom w:val="single" w:sz="4" w:space="0" w:color="A6A6A6" w:themeColor="background1" w:themeShade="A6"/>
            </w:tcBorders>
          </w:tcPr>
          <w:p w14:paraId="197099CC" w14:textId="77777777" w:rsidR="00695513" w:rsidRPr="00D90B62" w:rsidRDefault="00695513" w:rsidP="00E66E92">
            <w:pPr>
              <w:pStyle w:val="TableText"/>
              <w:spacing w:before="54" w:after="54"/>
              <w:jc w:val="right"/>
            </w:pPr>
          </w:p>
        </w:tc>
      </w:tr>
      <w:tr w:rsidR="00695513" w:rsidRPr="00695513" w14:paraId="14D97D33" w14:textId="77777777" w:rsidTr="00E66E92">
        <w:trPr>
          <w:trHeight w:val="294"/>
        </w:trPr>
        <w:tc>
          <w:tcPr>
            <w:tcW w:w="1264" w:type="dxa"/>
            <w:tcBorders>
              <w:top w:val="single" w:sz="4" w:space="0" w:color="A6A6A6" w:themeColor="background1" w:themeShade="A6"/>
              <w:bottom w:val="single" w:sz="4" w:space="0" w:color="A6A6A6" w:themeColor="background1" w:themeShade="A6"/>
            </w:tcBorders>
          </w:tcPr>
          <w:p w14:paraId="6D8F27DA" w14:textId="135864B9" w:rsidR="00695513" w:rsidRPr="00695513" w:rsidRDefault="00695513" w:rsidP="00E66E92">
            <w:pPr>
              <w:pStyle w:val="TableText"/>
              <w:spacing w:before="54" w:after="54"/>
              <w:jc w:val="right"/>
              <w:rPr>
                <w:b/>
                <w:bCs/>
              </w:rPr>
            </w:pPr>
            <w:r w:rsidRPr="00695513">
              <w:rPr>
                <w:b/>
                <w:bCs/>
              </w:rPr>
              <w:t>19,962,729</w:t>
            </w:r>
          </w:p>
        </w:tc>
        <w:tc>
          <w:tcPr>
            <w:tcW w:w="2977" w:type="dxa"/>
            <w:tcBorders>
              <w:top w:val="single" w:sz="4" w:space="0" w:color="A6A6A6" w:themeColor="background1" w:themeShade="A6"/>
              <w:bottom w:val="single" w:sz="4" w:space="0" w:color="A6A6A6" w:themeColor="background1" w:themeShade="A6"/>
            </w:tcBorders>
          </w:tcPr>
          <w:p w14:paraId="27F8C671" w14:textId="2F943F64" w:rsidR="00695513" w:rsidRPr="00695513" w:rsidRDefault="00695513" w:rsidP="00E66E92">
            <w:pPr>
              <w:pStyle w:val="TableText"/>
              <w:spacing w:before="54" w:after="54"/>
              <w:rPr>
                <w:b/>
                <w:bCs/>
              </w:rPr>
            </w:pPr>
            <w:r w:rsidRPr="00695513">
              <w:rPr>
                <w:b/>
                <w:bCs/>
              </w:rPr>
              <w:t>Total non-departmental</w:t>
            </w:r>
            <w:r>
              <w:rPr>
                <w:b/>
                <w:bCs/>
              </w:rPr>
              <w:t xml:space="preserve"> output expenses</w:t>
            </w:r>
          </w:p>
        </w:tc>
        <w:tc>
          <w:tcPr>
            <w:tcW w:w="430" w:type="dxa"/>
            <w:tcBorders>
              <w:top w:val="single" w:sz="4" w:space="0" w:color="A6A6A6" w:themeColor="background1" w:themeShade="A6"/>
              <w:bottom w:val="single" w:sz="4" w:space="0" w:color="A6A6A6" w:themeColor="background1" w:themeShade="A6"/>
            </w:tcBorders>
          </w:tcPr>
          <w:p w14:paraId="0DE1946D" w14:textId="77777777" w:rsidR="00695513" w:rsidRPr="00695513" w:rsidRDefault="00695513" w:rsidP="00E66E92">
            <w:pPr>
              <w:pStyle w:val="TableText"/>
              <w:spacing w:before="54" w:after="54"/>
              <w:ind w:left="0" w:right="0"/>
              <w:jc w:val="right"/>
              <w:rPr>
                <w:b/>
                <w:bCs/>
                <w:i/>
                <w:iCs/>
              </w:rPr>
            </w:pPr>
          </w:p>
        </w:tc>
        <w:tc>
          <w:tcPr>
            <w:tcW w:w="1151" w:type="dxa"/>
            <w:tcBorders>
              <w:top w:val="single" w:sz="4" w:space="0" w:color="A6A6A6" w:themeColor="background1" w:themeShade="A6"/>
              <w:bottom w:val="single" w:sz="4" w:space="0" w:color="A6A6A6" w:themeColor="background1" w:themeShade="A6"/>
            </w:tcBorders>
          </w:tcPr>
          <w:p w14:paraId="2207D5FE" w14:textId="05AE9B8C" w:rsidR="00695513" w:rsidRPr="00695513" w:rsidRDefault="00695513" w:rsidP="00E66E92">
            <w:pPr>
              <w:pStyle w:val="TableText"/>
              <w:spacing w:before="54" w:after="54"/>
              <w:jc w:val="right"/>
              <w:rPr>
                <w:b/>
                <w:bCs/>
              </w:rPr>
            </w:pPr>
            <w:r w:rsidRPr="00695513">
              <w:rPr>
                <w:b/>
                <w:bCs/>
              </w:rPr>
              <w:t>21,112,901</w:t>
            </w:r>
          </w:p>
        </w:tc>
        <w:tc>
          <w:tcPr>
            <w:tcW w:w="1115" w:type="dxa"/>
            <w:tcBorders>
              <w:top w:val="single" w:sz="4" w:space="0" w:color="A6A6A6" w:themeColor="background1" w:themeShade="A6"/>
              <w:bottom w:val="single" w:sz="4" w:space="0" w:color="A6A6A6" w:themeColor="background1" w:themeShade="A6"/>
            </w:tcBorders>
          </w:tcPr>
          <w:p w14:paraId="21A93430" w14:textId="1691EB0E" w:rsidR="00695513" w:rsidRPr="00695513" w:rsidRDefault="00695513" w:rsidP="00E66E92">
            <w:pPr>
              <w:pStyle w:val="TableText"/>
              <w:spacing w:before="54" w:after="54"/>
              <w:jc w:val="right"/>
              <w:rPr>
                <w:b/>
                <w:bCs/>
              </w:rPr>
            </w:pPr>
            <w:r w:rsidRPr="00695513">
              <w:rPr>
                <w:b/>
                <w:bCs/>
              </w:rPr>
              <w:t>20,704,005</w:t>
            </w:r>
          </w:p>
        </w:tc>
        <w:tc>
          <w:tcPr>
            <w:tcW w:w="1136" w:type="dxa"/>
            <w:tcBorders>
              <w:top w:val="single" w:sz="4" w:space="0" w:color="A6A6A6" w:themeColor="background1" w:themeShade="A6"/>
              <w:bottom w:val="single" w:sz="4" w:space="0" w:color="A6A6A6" w:themeColor="background1" w:themeShade="A6"/>
            </w:tcBorders>
          </w:tcPr>
          <w:p w14:paraId="7343D0C7" w14:textId="76F33D77" w:rsidR="00695513" w:rsidRPr="00695513" w:rsidRDefault="00695513" w:rsidP="00E66E92">
            <w:pPr>
              <w:pStyle w:val="TableText"/>
              <w:spacing w:before="54" w:after="54"/>
              <w:jc w:val="right"/>
              <w:rPr>
                <w:b/>
                <w:bCs/>
              </w:rPr>
            </w:pPr>
            <w:r w:rsidRPr="00695513">
              <w:rPr>
                <w:b/>
                <w:bCs/>
              </w:rPr>
              <w:t>21,510,741</w:t>
            </w:r>
          </w:p>
        </w:tc>
        <w:tc>
          <w:tcPr>
            <w:tcW w:w="1276" w:type="dxa"/>
            <w:tcBorders>
              <w:top w:val="single" w:sz="4" w:space="0" w:color="A6A6A6" w:themeColor="background1" w:themeShade="A6"/>
              <w:bottom w:val="single" w:sz="4" w:space="0" w:color="A6A6A6" w:themeColor="background1" w:themeShade="A6"/>
            </w:tcBorders>
          </w:tcPr>
          <w:p w14:paraId="0BAD5D1B" w14:textId="77777777" w:rsidR="00695513" w:rsidRPr="00695513" w:rsidRDefault="00695513" w:rsidP="00E66E92">
            <w:pPr>
              <w:pStyle w:val="TableText"/>
              <w:spacing w:before="54" w:after="54"/>
              <w:jc w:val="right"/>
              <w:rPr>
                <w:b/>
                <w:bCs/>
              </w:rPr>
            </w:pPr>
          </w:p>
        </w:tc>
      </w:tr>
      <w:tr w:rsidR="00695513" w:rsidRPr="00695513" w14:paraId="5CA2950E" w14:textId="77777777" w:rsidTr="00E66E92">
        <w:trPr>
          <w:trHeight w:val="340"/>
        </w:trPr>
        <w:tc>
          <w:tcPr>
            <w:tcW w:w="1264" w:type="dxa"/>
            <w:tcBorders>
              <w:top w:val="single" w:sz="4" w:space="0" w:color="A6A6A6" w:themeColor="background1" w:themeShade="A6"/>
            </w:tcBorders>
          </w:tcPr>
          <w:p w14:paraId="5EA93132" w14:textId="77777777" w:rsidR="00695513" w:rsidRPr="00695513" w:rsidRDefault="00695513" w:rsidP="00E66E92">
            <w:pPr>
              <w:pStyle w:val="TableText"/>
              <w:spacing w:before="54" w:after="54"/>
              <w:jc w:val="right"/>
              <w:rPr>
                <w:b/>
                <w:bCs/>
              </w:rPr>
            </w:pPr>
          </w:p>
        </w:tc>
        <w:tc>
          <w:tcPr>
            <w:tcW w:w="2977" w:type="dxa"/>
            <w:tcBorders>
              <w:top w:val="single" w:sz="4" w:space="0" w:color="A6A6A6" w:themeColor="background1" w:themeShade="A6"/>
            </w:tcBorders>
          </w:tcPr>
          <w:p w14:paraId="1BD13484" w14:textId="4E6C694B" w:rsidR="00695513" w:rsidRPr="00695513" w:rsidRDefault="00695513" w:rsidP="00E66E92">
            <w:pPr>
              <w:pStyle w:val="TableText"/>
              <w:spacing w:before="54" w:after="54"/>
              <w:rPr>
                <w:b/>
                <w:bCs/>
              </w:rPr>
            </w:pPr>
            <w:r w:rsidRPr="00695513">
              <w:rPr>
                <w:b/>
                <w:bCs/>
              </w:rPr>
              <w:t>Multi-category expenses</w:t>
            </w:r>
          </w:p>
        </w:tc>
        <w:tc>
          <w:tcPr>
            <w:tcW w:w="430" w:type="dxa"/>
            <w:tcBorders>
              <w:top w:val="single" w:sz="4" w:space="0" w:color="A6A6A6" w:themeColor="background1" w:themeShade="A6"/>
            </w:tcBorders>
          </w:tcPr>
          <w:p w14:paraId="43D86E44" w14:textId="77777777" w:rsidR="00695513" w:rsidRPr="00695513" w:rsidRDefault="00695513" w:rsidP="00E66E92">
            <w:pPr>
              <w:pStyle w:val="TableText"/>
              <w:spacing w:before="54" w:after="54"/>
              <w:ind w:left="0" w:right="0"/>
              <w:jc w:val="right"/>
              <w:rPr>
                <w:b/>
                <w:bCs/>
                <w:i/>
                <w:iCs/>
              </w:rPr>
            </w:pPr>
          </w:p>
        </w:tc>
        <w:tc>
          <w:tcPr>
            <w:tcW w:w="1151" w:type="dxa"/>
            <w:tcBorders>
              <w:top w:val="single" w:sz="4" w:space="0" w:color="A6A6A6" w:themeColor="background1" w:themeShade="A6"/>
            </w:tcBorders>
          </w:tcPr>
          <w:p w14:paraId="610AF706" w14:textId="77777777" w:rsidR="00695513" w:rsidRPr="00695513" w:rsidRDefault="00695513" w:rsidP="00E66E92">
            <w:pPr>
              <w:pStyle w:val="TableText"/>
              <w:spacing w:before="54" w:after="54"/>
              <w:jc w:val="right"/>
              <w:rPr>
                <w:b/>
                <w:bCs/>
              </w:rPr>
            </w:pPr>
          </w:p>
        </w:tc>
        <w:tc>
          <w:tcPr>
            <w:tcW w:w="1115" w:type="dxa"/>
            <w:tcBorders>
              <w:top w:val="single" w:sz="4" w:space="0" w:color="A6A6A6" w:themeColor="background1" w:themeShade="A6"/>
            </w:tcBorders>
          </w:tcPr>
          <w:p w14:paraId="7CB39697" w14:textId="77777777" w:rsidR="00695513" w:rsidRPr="00695513" w:rsidRDefault="00695513" w:rsidP="00E66E92">
            <w:pPr>
              <w:pStyle w:val="TableText"/>
              <w:spacing w:before="54" w:after="54"/>
              <w:jc w:val="right"/>
              <w:rPr>
                <w:b/>
                <w:bCs/>
              </w:rPr>
            </w:pPr>
          </w:p>
        </w:tc>
        <w:tc>
          <w:tcPr>
            <w:tcW w:w="1136" w:type="dxa"/>
            <w:tcBorders>
              <w:top w:val="single" w:sz="4" w:space="0" w:color="A6A6A6" w:themeColor="background1" w:themeShade="A6"/>
            </w:tcBorders>
          </w:tcPr>
          <w:p w14:paraId="10A510E6" w14:textId="77777777" w:rsidR="00695513" w:rsidRPr="00695513" w:rsidRDefault="00695513" w:rsidP="00E66E92">
            <w:pPr>
              <w:pStyle w:val="TableText"/>
              <w:spacing w:before="54" w:after="54"/>
              <w:jc w:val="right"/>
              <w:rPr>
                <w:b/>
                <w:bCs/>
              </w:rPr>
            </w:pPr>
          </w:p>
        </w:tc>
        <w:tc>
          <w:tcPr>
            <w:tcW w:w="1276" w:type="dxa"/>
            <w:tcBorders>
              <w:top w:val="single" w:sz="4" w:space="0" w:color="A6A6A6" w:themeColor="background1" w:themeShade="A6"/>
            </w:tcBorders>
          </w:tcPr>
          <w:p w14:paraId="27860CB7" w14:textId="77777777" w:rsidR="00695513" w:rsidRPr="00695513" w:rsidRDefault="00695513" w:rsidP="00E66E92">
            <w:pPr>
              <w:pStyle w:val="TableText"/>
              <w:spacing w:before="54" w:after="54"/>
              <w:jc w:val="right"/>
              <w:rPr>
                <w:b/>
                <w:bCs/>
              </w:rPr>
            </w:pPr>
          </w:p>
        </w:tc>
      </w:tr>
      <w:tr w:rsidR="00695513" w:rsidRPr="00695513" w14:paraId="6ECE03E4" w14:textId="77777777" w:rsidTr="00E66E92">
        <w:trPr>
          <w:trHeight w:val="340"/>
        </w:trPr>
        <w:tc>
          <w:tcPr>
            <w:tcW w:w="1264" w:type="dxa"/>
          </w:tcPr>
          <w:p w14:paraId="1423A56C" w14:textId="77777777" w:rsidR="00695513" w:rsidRPr="00D90B62" w:rsidRDefault="00695513" w:rsidP="00E66E92">
            <w:pPr>
              <w:pStyle w:val="TableText"/>
              <w:spacing w:before="54" w:after="54"/>
              <w:jc w:val="right"/>
            </w:pPr>
          </w:p>
        </w:tc>
        <w:tc>
          <w:tcPr>
            <w:tcW w:w="2977" w:type="dxa"/>
          </w:tcPr>
          <w:p w14:paraId="368DEA6A" w14:textId="35C9E599" w:rsidR="00695513" w:rsidRPr="00695513" w:rsidRDefault="00695513" w:rsidP="00E66E92">
            <w:pPr>
              <w:pStyle w:val="TableText"/>
              <w:spacing w:before="54" w:after="54"/>
              <w:rPr>
                <w:i/>
                <w:iCs/>
              </w:rPr>
            </w:pPr>
            <w:r w:rsidRPr="00695513">
              <w:rPr>
                <w:i/>
                <w:iCs/>
              </w:rPr>
              <w:t>Implementing the COVID-19 vaccine strategy MCA</w:t>
            </w:r>
          </w:p>
        </w:tc>
        <w:tc>
          <w:tcPr>
            <w:tcW w:w="430" w:type="dxa"/>
          </w:tcPr>
          <w:p w14:paraId="7D66B79A" w14:textId="77777777" w:rsidR="00695513" w:rsidRPr="00695513" w:rsidRDefault="00695513" w:rsidP="00E66E92">
            <w:pPr>
              <w:pStyle w:val="TableText"/>
              <w:spacing w:before="54" w:after="54"/>
              <w:ind w:left="0" w:right="0"/>
              <w:jc w:val="right"/>
              <w:rPr>
                <w:i/>
                <w:iCs/>
              </w:rPr>
            </w:pPr>
          </w:p>
        </w:tc>
        <w:tc>
          <w:tcPr>
            <w:tcW w:w="1151" w:type="dxa"/>
          </w:tcPr>
          <w:p w14:paraId="689E79A4" w14:textId="77777777" w:rsidR="00695513" w:rsidRPr="00D90B62" w:rsidRDefault="00695513" w:rsidP="00E66E92">
            <w:pPr>
              <w:pStyle w:val="TableText"/>
              <w:spacing w:before="54" w:after="54"/>
              <w:jc w:val="right"/>
            </w:pPr>
          </w:p>
        </w:tc>
        <w:tc>
          <w:tcPr>
            <w:tcW w:w="1115" w:type="dxa"/>
          </w:tcPr>
          <w:p w14:paraId="22AD7B98" w14:textId="77777777" w:rsidR="00695513" w:rsidRPr="00D90B62" w:rsidRDefault="00695513" w:rsidP="00E66E92">
            <w:pPr>
              <w:pStyle w:val="TableText"/>
              <w:spacing w:before="54" w:after="54"/>
              <w:jc w:val="right"/>
            </w:pPr>
          </w:p>
        </w:tc>
        <w:tc>
          <w:tcPr>
            <w:tcW w:w="1136" w:type="dxa"/>
          </w:tcPr>
          <w:p w14:paraId="746B4916" w14:textId="77777777" w:rsidR="00695513" w:rsidRPr="00D90B62" w:rsidRDefault="00695513" w:rsidP="00E66E92">
            <w:pPr>
              <w:pStyle w:val="TableText"/>
              <w:spacing w:before="54" w:after="54"/>
              <w:jc w:val="right"/>
            </w:pPr>
          </w:p>
        </w:tc>
        <w:tc>
          <w:tcPr>
            <w:tcW w:w="1276" w:type="dxa"/>
          </w:tcPr>
          <w:p w14:paraId="52DFCD26" w14:textId="77777777" w:rsidR="00695513" w:rsidRPr="00D90B62" w:rsidRDefault="00695513" w:rsidP="00E66E92">
            <w:pPr>
              <w:pStyle w:val="TableText"/>
              <w:spacing w:before="54" w:after="54"/>
              <w:jc w:val="right"/>
            </w:pPr>
          </w:p>
        </w:tc>
      </w:tr>
      <w:tr w:rsidR="00AB24C3" w:rsidRPr="00695513" w14:paraId="4C048F96" w14:textId="77777777" w:rsidTr="00E66E92">
        <w:trPr>
          <w:trHeight w:val="340"/>
        </w:trPr>
        <w:tc>
          <w:tcPr>
            <w:tcW w:w="1264" w:type="dxa"/>
          </w:tcPr>
          <w:p w14:paraId="358FF449" w14:textId="2777BC5B" w:rsidR="00AB24C3" w:rsidRPr="00D90B62" w:rsidRDefault="00AB24C3" w:rsidP="00E66E92">
            <w:pPr>
              <w:pStyle w:val="TableText"/>
              <w:spacing w:before="54" w:after="54"/>
              <w:jc w:val="right"/>
            </w:pPr>
            <w:r w:rsidRPr="00B40055">
              <w:t>95,438</w:t>
            </w:r>
          </w:p>
        </w:tc>
        <w:tc>
          <w:tcPr>
            <w:tcW w:w="2977" w:type="dxa"/>
          </w:tcPr>
          <w:p w14:paraId="6E9B6331" w14:textId="2B80FFE7" w:rsidR="00AB24C3" w:rsidRPr="00D90B62" w:rsidRDefault="00AB24C3" w:rsidP="00E66E92">
            <w:pPr>
              <w:pStyle w:val="TableText"/>
              <w:spacing w:before="54" w:after="54"/>
            </w:pPr>
            <w:r w:rsidRPr="00B40055">
              <w:t>Implementing the COVID-19</w:t>
            </w:r>
            <w:r>
              <w:t xml:space="preserve"> immunisation programme</w:t>
            </w:r>
          </w:p>
        </w:tc>
        <w:tc>
          <w:tcPr>
            <w:tcW w:w="430" w:type="dxa"/>
          </w:tcPr>
          <w:p w14:paraId="5A39445D" w14:textId="4EE6F48D" w:rsidR="00AB24C3" w:rsidRPr="00695513" w:rsidRDefault="00AB24C3" w:rsidP="00E66E92">
            <w:pPr>
              <w:pStyle w:val="TableText"/>
              <w:spacing w:before="54" w:after="54"/>
              <w:ind w:left="0" w:right="0"/>
              <w:jc w:val="right"/>
              <w:rPr>
                <w:i/>
                <w:iCs/>
              </w:rPr>
            </w:pPr>
            <w:r w:rsidRPr="00B40055">
              <w:t>2.9</w:t>
            </w:r>
          </w:p>
        </w:tc>
        <w:tc>
          <w:tcPr>
            <w:tcW w:w="1151" w:type="dxa"/>
          </w:tcPr>
          <w:p w14:paraId="62007D79" w14:textId="0D40B611" w:rsidR="00AB24C3" w:rsidRPr="00D90B62" w:rsidRDefault="00AB24C3" w:rsidP="00E66E92">
            <w:pPr>
              <w:pStyle w:val="TableText"/>
              <w:spacing w:before="54" w:after="54"/>
              <w:jc w:val="right"/>
            </w:pPr>
            <w:r w:rsidRPr="00B40055">
              <w:t>805,283</w:t>
            </w:r>
          </w:p>
        </w:tc>
        <w:tc>
          <w:tcPr>
            <w:tcW w:w="1115" w:type="dxa"/>
          </w:tcPr>
          <w:p w14:paraId="47DA750E" w14:textId="069572C9" w:rsidR="00AB24C3" w:rsidRPr="00D90B62" w:rsidRDefault="00AB24C3" w:rsidP="00E66E92">
            <w:pPr>
              <w:pStyle w:val="TableText"/>
              <w:spacing w:before="54" w:after="54"/>
              <w:jc w:val="right"/>
            </w:pPr>
            <w:r w:rsidRPr="00B40055">
              <w:t>182,700</w:t>
            </w:r>
          </w:p>
        </w:tc>
        <w:tc>
          <w:tcPr>
            <w:tcW w:w="1136" w:type="dxa"/>
          </w:tcPr>
          <w:p w14:paraId="22C97BB8" w14:textId="2E613CDF" w:rsidR="00AB24C3" w:rsidRPr="00D90B62" w:rsidRDefault="00AB24C3" w:rsidP="00E66E92">
            <w:pPr>
              <w:pStyle w:val="TableText"/>
              <w:spacing w:before="54" w:after="54"/>
              <w:jc w:val="right"/>
            </w:pPr>
            <w:r w:rsidRPr="00B40055">
              <w:t>797,949</w:t>
            </w:r>
          </w:p>
        </w:tc>
        <w:tc>
          <w:tcPr>
            <w:tcW w:w="1276" w:type="dxa"/>
          </w:tcPr>
          <w:p w14:paraId="269C0F52" w14:textId="63690529" w:rsidR="00AB24C3" w:rsidRPr="00D90B62" w:rsidRDefault="00AB24C3" w:rsidP="00E66E92">
            <w:pPr>
              <w:pStyle w:val="TableText"/>
              <w:spacing w:before="54" w:after="54"/>
              <w:jc w:val="right"/>
            </w:pPr>
            <w:r w:rsidRPr="00B40055">
              <w:t>1</w:t>
            </w:r>
          </w:p>
        </w:tc>
      </w:tr>
      <w:tr w:rsidR="00AB24C3" w:rsidRPr="00695513" w14:paraId="465FE4E5" w14:textId="77777777" w:rsidTr="00E66E92">
        <w:trPr>
          <w:trHeight w:val="340"/>
        </w:trPr>
        <w:tc>
          <w:tcPr>
            <w:tcW w:w="1264" w:type="dxa"/>
          </w:tcPr>
          <w:p w14:paraId="1B0C1FFE" w14:textId="56BBC3C6" w:rsidR="00AB24C3" w:rsidRPr="00D90B62" w:rsidRDefault="00AB24C3" w:rsidP="00E66E92">
            <w:pPr>
              <w:pStyle w:val="TableText"/>
              <w:spacing w:before="54" w:after="54"/>
              <w:jc w:val="right"/>
            </w:pPr>
            <w:r w:rsidRPr="00AB24C3">
              <w:t>5,567</w:t>
            </w:r>
          </w:p>
        </w:tc>
        <w:tc>
          <w:tcPr>
            <w:tcW w:w="2977" w:type="dxa"/>
          </w:tcPr>
          <w:p w14:paraId="3B341FED" w14:textId="40812FDB" w:rsidR="00AB24C3" w:rsidRPr="00D90B62" w:rsidRDefault="00AB24C3" w:rsidP="00E66E92">
            <w:pPr>
              <w:pStyle w:val="TableText"/>
              <w:spacing w:before="54" w:after="54"/>
            </w:pPr>
            <w:r>
              <w:t>Purchasing potential and proven COVID-19 vaccines and other therapeutics</w:t>
            </w:r>
          </w:p>
        </w:tc>
        <w:tc>
          <w:tcPr>
            <w:tcW w:w="430" w:type="dxa"/>
          </w:tcPr>
          <w:p w14:paraId="59B999F8" w14:textId="23C7A7E1" w:rsidR="00AB24C3" w:rsidRPr="00695513" w:rsidRDefault="00AB24C3" w:rsidP="00E66E92">
            <w:pPr>
              <w:pStyle w:val="TableText"/>
              <w:spacing w:before="54" w:after="54"/>
              <w:ind w:left="0" w:right="0"/>
              <w:jc w:val="right"/>
              <w:rPr>
                <w:i/>
                <w:iCs/>
              </w:rPr>
            </w:pPr>
            <w:r w:rsidRPr="002C46D2">
              <w:t>2.9</w:t>
            </w:r>
          </w:p>
        </w:tc>
        <w:tc>
          <w:tcPr>
            <w:tcW w:w="1151" w:type="dxa"/>
          </w:tcPr>
          <w:p w14:paraId="405494E3" w14:textId="3D8037C8" w:rsidR="00AB24C3" w:rsidRPr="00D90B62" w:rsidRDefault="00AB24C3" w:rsidP="00E66E92">
            <w:pPr>
              <w:pStyle w:val="TableText"/>
              <w:spacing w:before="54" w:after="54"/>
              <w:jc w:val="right"/>
            </w:pPr>
            <w:r w:rsidRPr="002C46D2">
              <w:t>566,420</w:t>
            </w:r>
          </w:p>
        </w:tc>
        <w:tc>
          <w:tcPr>
            <w:tcW w:w="1115" w:type="dxa"/>
          </w:tcPr>
          <w:p w14:paraId="07E0A17C" w14:textId="7AE8D3B6" w:rsidR="00AB24C3" w:rsidRPr="00D90B62" w:rsidRDefault="00AB24C3" w:rsidP="00E66E92">
            <w:pPr>
              <w:pStyle w:val="TableText"/>
              <w:spacing w:before="54" w:after="54"/>
              <w:jc w:val="right"/>
            </w:pPr>
            <w:r w:rsidRPr="002C46D2">
              <w:t>508,019</w:t>
            </w:r>
          </w:p>
        </w:tc>
        <w:tc>
          <w:tcPr>
            <w:tcW w:w="1136" w:type="dxa"/>
          </w:tcPr>
          <w:p w14:paraId="4F9FBD6E" w14:textId="510EE813" w:rsidR="00AB24C3" w:rsidRPr="00D90B62" w:rsidRDefault="00AB24C3" w:rsidP="00E66E92">
            <w:pPr>
              <w:pStyle w:val="TableText"/>
              <w:spacing w:before="54" w:after="54"/>
              <w:jc w:val="right"/>
            </w:pPr>
            <w:r w:rsidRPr="002C46D2">
              <w:t>1,079,699</w:t>
            </w:r>
          </w:p>
        </w:tc>
        <w:tc>
          <w:tcPr>
            <w:tcW w:w="1276" w:type="dxa"/>
          </w:tcPr>
          <w:p w14:paraId="3E330552" w14:textId="43E9FD97" w:rsidR="00AB24C3" w:rsidRPr="00D90B62" w:rsidRDefault="00AB24C3" w:rsidP="00E66E92">
            <w:pPr>
              <w:pStyle w:val="TableText"/>
              <w:spacing w:before="54" w:after="54"/>
              <w:jc w:val="right"/>
            </w:pPr>
            <w:r w:rsidRPr="002C46D2">
              <w:t>1</w:t>
            </w:r>
          </w:p>
        </w:tc>
      </w:tr>
      <w:tr w:rsidR="00695513" w:rsidRPr="00695513" w14:paraId="23E3CEF3" w14:textId="77777777" w:rsidTr="00E66E92">
        <w:trPr>
          <w:trHeight w:val="340"/>
        </w:trPr>
        <w:tc>
          <w:tcPr>
            <w:tcW w:w="1264" w:type="dxa"/>
          </w:tcPr>
          <w:p w14:paraId="622FE53B" w14:textId="77777777" w:rsidR="00695513" w:rsidRPr="00D90B62" w:rsidRDefault="00695513" w:rsidP="00E66E92">
            <w:pPr>
              <w:pStyle w:val="TableText"/>
              <w:spacing w:before="54" w:after="54"/>
              <w:jc w:val="right"/>
            </w:pPr>
          </w:p>
        </w:tc>
        <w:tc>
          <w:tcPr>
            <w:tcW w:w="2977" w:type="dxa"/>
          </w:tcPr>
          <w:p w14:paraId="6279EBDD" w14:textId="3BDF4E4A" w:rsidR="00695513" w:rsidRPr="00AB24C3" w:rsidRDefault="00AB24C3" w:rsidP="00E66E92">
            <w:pPr>
              <w:pStyle w:val="TableText"/>
              <w:spacing w:before="54" w:after="54"/>
              <w:rPr>
                <w:i/>
                <w:iCs/>
              </w:rPr>
            </w:pPr>
            <w:r w:rsidRPr="00AB24C3">
              <w:rPr>
                <w:i/>
                <w:iCs/>
              </w:rPr>
              <w:t>National response to COVID-19 across the Health Sector MCA</w:t>
            </w:r>
          </w:p>
        </w:tc>
        <w:tc>
          <w:tcPr>
            <w:tcW w:w="430" w:type="dxa"/>
          </w:tcPr>
          <w:p w14:paraId="7A5A588B" w14:textId="77777777" w:rsidR="00695513" w:rsidRPr="00695513" w:rsidRDefault="00695513" w:rsidP="00E66E92">
            <w:pPr>
              <w:pStyle w:val="TableText"/>
              <w:spacing w:before="54" w:after="54"/>
              <w:ind w:left="0" w:right="0"/>
              <w:jc w:val="right"/>
              <w:rPr>
                <w:i/>
                <w:iCs/>
              </w:rPr>
            </w:pPr>
          </w:p>
        </w:tc>
        <w:tc>
          <w:tcPr>
            <w:tcW w:w="1151" w:type="dxa"/>
          </w:tcPr>
          <w:p w14:paraId="7703D5D6" w14:textId="77777777" w:rsidR="00695513" w:rsidRPr="00D90B62" w:rsidRDefault="00695513" w:rsidP="00E66E92">
            <w:pPr>
              <w:pStyle w:val="TableText"/>
              <w:spacing w:before="54" w:after="54"/>
              <w:jc w:val="right"/>
            </w:pPr>
          </w:p>
        </w:tc>
        <w:tc>
          <w:tcPr>
            <w:tcW w:w="1115" w:type="dxa"/>
          </w:tcPr>
          <w:p w14:paraId="692F70FF" w14:textId="77777777" w:rsidR="00695513" w:rsidRPr="00D90B62" w:rsidRDefault="00695513" w:rsidP="00E66E92">
            <w:pPr>
              <w:pStyle w:val="TableText"/>
              <w:spacing w:before="54" w:after="54"/>
              <w:jc w:val="right"/>
            </w:pPr>
          </w:p>
        </w:tc>
        <w:tc>
          <w:tcPr>
            <w:tcW w:w="1136" w:type="dxa"/>
          </w:tcPr>
          <w:p w14:paraId="5C0EC306" w14:textId="77777777" w:rsidR="00695513" w:rsidRPr="00D90B62" w:rsidRDefault="00695513" w:rsidP="00E66E92">
            <w:pPr>
              <w:pStyle w:val="TableText"/>
              <w:spacing w:before="54" w:after="54"/>
              <w:jc w:val="right"/>
            </w:pPr>
          </w:p>
        </w:tc>
        <w:tc>
          <w:tcPr>
            <w:tcW w:w="1276" w:type="dxa"/>
          </w:tcPr>
          <w:p w14:paraId="3D5C9598" w14:textId="77777777" w:rsidR="00695513" w:rsidRPr="00D90B62" w:rsidRDefault="00695513" w:rsidP="00E66E92">
            <w:pPr>
              <w:pStyle w:val="TableText"/>
              <w:spacing w:before="54" w:after="54"/>
              <w:jc w:val="right"/>
            </w:pPr>
          </w:p>
        </w:tc>
      </w:tr>
      <w:tr w:rsidR="00AB24C3" w:rsidRPr="00695513" w14:paraId="2C04F920" w14:textId="77777777" w:rsidTr="00E66E92">
        <w:trPr>
          <w:trHeight w:val="340"/>
        </w:trPr>
        <w:tc>
          <w:tcPr>
            <w:tcW w:w="1264" w:type="dxa"/>
          </w:tcPr>
          <w:p w14:paraId="3AB1D2F9" w14:textId="2A9BC6FC" w:rsidR="00AB24C3" w:rsidRPr="00D90B62" w:rsidRDefault="00AB24C3" w:rsidP="00E66E92">
            <w:pPr>
              <w:pStyle w:val="TableText"/>
              <w:spacing w:before="54" w:after="54"/>
              <w:jc w:val="right"/>
            </w:pPr>
            <w:r w:rsidRPr="00A076D7">
              <w:t>217,580</w:t>
            </w:r>
          </w:p>
        </w:tc>
        <w:tc>
          <w:tcPr>
            <w:tcW w:w="2977" w:type="dxa"/>
          </w:tcPr>
          <w:p w14:paraId="52F776D8" w14:textId="0AA38A6C" w:rsidR="00AB24C3" w:rsidRPr="00D90B62" w:rsidRDefault="00AB24C3" w:rsidP="00E66E92">
            <w:pPr>
              <w:pStyle w:val="TableText"/>
              <w:spacing w:before="54" w:after="54"/>
            </w:pPr>
            <w:r w:rsidRPr="00A076D7">
              <w:t>COVID-19 public health</w:t>
            </w:r>
            <w:r>
              <w:t xml:space="preserve"> response</w:t>
            </w:r>
          </w:p>
        </w:tc>
        <w:tc>
          <w:tcPr>
            <w:tcW w:w="430" w:type="dxa"/>
          </w:tcPr>
          <w:p w14:paraId="7A9714E2" w14:textId="2ADF7977" w:rsidR="00AB24C3" w:rsidRPr="00695513" w:rsidRDefault="00AB24C3" w:rsidP="00E66E92">
            <w:pPr>
              <w:pStyle w:val="TableText"/>
              <w:spacing w:before="54" w:after="54"/>
              <w:ind w:left="0" w:right="0"/>
              <w:jc w:val="right"/>
              <w:rPr>
                <w:i/>
                <w:iCs/>
              </w:rPr>
            </w:pPr>
            <w:r w:rsidRPr="00A076D7">
              <w:t>2.10</w:t>
            </w:r>
          </w:p>
        </w:tc>
        <w:tc>
          <w:tcPr>
            <w:tcW w:w="1151" w:type="dxa"/>
          </w:tcPr>
          <w:p w14:paraId="110908D5" w14:textId="5A438593" w:rsidR="00AB24C3" w:rsidRPr="00D90B62" w:rsidRDefault="00AB24C3" w:rsidP="00E66E92">
            <w:pPr>
              <w:pStyle w:val="TableText"/>
              <w:spacing w:before="54" w:after="54"/>
              <w:jc w:val="right"/>
            </w:pPr>
            <w:r w:rsidRPr="00A076D7">
              <w:t>2,406,847</w:t>
            </w:r>
          </w:p>
        </w:tc>
        <w:tc>
          <w:tcPr>
            <w:tcW w:w="1115" w:type="dxa"/>
          </w:tcPr>
          <w:p w14:paraId="22A4880E" w14:textId="6B682CD8" w:rsidR="00AB24C3" w:rsidRPr="00D90B62" w:rsidRDefault="00AB24C3" w:rsidP="00E66E92">
            <w:pPr>
              <w:pStyle w:val="TableText"/>
              <w:spacing w:before="54" w:after="54"/>
              <w:jc w:val="right"/>
            </w:pPr>
            <w:r w:rsidRPr="00A076D7">
              <w:t>850,725</w:t>
            </w:r>
          </w:p>
        </w:tc>
        <w:tc>
          <w:tcPr>
            <w:tcW w:w="1136" w:type="dxa"/>
          </w:tcPr>
          <w:p w14:paraId="1D044F2A" w14:textId="168D4F82" w:rsidR="00AB24C3" w:rsidRPr="00D90B62" w:rsidRDefault="00AB24C3" w:rsidP="00E66E92">
            <w:pPr>
              <w:pStyle w:val="TableText"/>
              <w:spacing w:before="54" w:after="54"/>
              <w:jc w:val="right"/>
            </w:pPr>
            <w:r w:rsidRPr="00A076D7">
              <w:t>3,772,907</w:t>
            </w:r>
          </w:p>
        </w:tc>
        <w:tc>
          <w:tcPr>
            <w:tcW w:w="1276" w:type="dxa"/>
          </w:tcPr>
          <w:p w14:paraId="495DBC13" w14:textId="462FFD93" w:rsidR="00AB24C3" w:rsidRPr="00D90B62" w:rsidRDefault="00AB24C3" w:rsidP="00E66E92">
            <w:pPr>
              <w:pStyle w:val="TableText"/>
              <w:spacing w:before="54" w:after="54"/>
              <w:jc w:val="right"/>
            </w:pPr>
            <w:r w:rsidRPr="00A076D7">
              <w:t>1</w:t>
            </w:r>
          </w:p>
        </w:tc>
      </w:tr>
      <w:tr w:rsidR="00695513" w:rsidRPr="00695513" w14:paraId="3BD3512E" w14:textId="77777777" w:rsidTr="00E66E92">
        <w:trPr>
          <w:trHeight w:val="340"/>
        </w:trPr>
        <w:tc>
          <w:tcPr>
            <w:tcW w:w="1264" w:type="dxa"/>
          </w:tcPr>
          <w:p w14:paraId="73482769" w14:textId="77777777" w:rsidR="00695513" w:rsidRPr="00D90B62" w:rsidRDefault="00695513" w:rsidP="00E66E92">
            <w:pPr>
              <w:pStyle w:val="TableText"/>
              <w:spacing w:before="54" w:after="54"/>
              <w:jc w:val="right"/>
            </w:pPr>
          </w:p>
        </w:tc>
        <w:tc>
          <w:tcPr>
            <w:tcW w:w="2977" w:type="dxa"/>
          </w:tcPr>
          <w:p w14:paraId="321CEED5" w14:textId="1D5C57A5" w:rsidR="00695513" w:rsidRPr="00FA1768" w:rsidRDefault="00AB24C3" w:rsidP="00E66E92">
            <w:pPr>
              <w:pStyle w:val="TableText"/>
              <w:spacing w:before="54" w:after="54"/>
              <w:rPr>
                <w:i/>
                <w:iCs/>
              </w:rPr>
            </w:pPr>
            <w:r w:rsidRPr="00FA1768">
              <w:rPr>
                <w:i/>
                <w:iCs/>
              </w:rPr>
              <w:t>Health and disability system reform MCA</w:t>
            </w:r>
          </w:p>
        </w:tc>
        <w:tc>
          <w:tcPr>
            <w:tcW w:w="430" w:type="dxa"/>
          </w:tcPr>
          <w:p w14:paraId="1B032A23" w14:textId="77777777" w:rsidR="00695513" w:rsidRPr="00695513" w:rsidRDefault="00695513" w:rsidP="00E66E92">
            <w:pPr>
              <w:pStyle w:val="TableText"/>
              <w:spacing w:before="54" w:after="54"/>
              <w:ind w:left="0" w:right="0"/>
              <w:jc w:val="right"/>
              <w:rPr>
                <w:i/>
                <w:iCs/>
              </w:rPr>
            </w:pPr>
          </w:p>
        </w:tc>
        <w:tc>
          <w:tcPr>
            <w:tcW w:w="1151" w:type="dxa"/>
          </w:tcPr>
          <w:p w14:paraId="63744280" w14:textId="77777777" w:rsidR="00695513" w:rsidRPr="00D90B62" w:rsidRDefault="00695513" w:rsidP="00E66E92">
            <w:pPr>
              <w:pStyle w:val="TableText"/>
              <w:spacing w:before="54" w:after="54"/>
              <w:jc w:val="right"/>
            </w:pPr>
          </w:p>
        </w:tc>
        <w:tc>
          <w:tcPr>
            <w:tcW w:w="1115" w:type="dxa"/>
          </w:tcPr>
          <w:p w14:paraId="7E2814C5" w14:textId="77777777" w:rsidR="00695513" w:rsidRPr="00D90B62" w:rsidRDefault="00695513" w:rsidP="00E66E92">
            <w:pPr>
              <w:pStyle w:val="TableText"/>
              <w:spacing w:before="54" w:after="54"/>
              <w:jc w:val="right"/>
            </w:pPr>
          </w:p>
        </w:tc>
        <w:tc>
          <w:tcPr>
            <w:tcW w:w="1136" w:type="dxa"/>
          </w:tcPr>
          <w:p w14:paraId="62B1B576" w14:textId="77777777" w:rsidR="00695513" w:rsidRPr="00D90B62" w:rsidRDefault="00695513" w:rsidP="00E66E92">
            <w:pPr>
              <w:pStyle w:val="TableText"/>
              <w:spacing w:before="54" w:after="54"/>
              <w:jc w:val="right"/>
            </w:pPr>
          </w:p>
        </w:tc>
        <w:tc>
          <w:tcPr>
            <w:tcW w:w="1276" w:type="dxa"/>
          </w:tcPr>
          <w:p w14:paraId="568B5F49" w14:textId="77777777" w:rsidR="00695513" w:rsidRPr="00D90B62" w:rsidRDefault="00695513" w:rsidP="00E66E92">
            <w:pPr>
              <w:pStyle w:val="TableText"/>
              <w:spacing w:before="54" w:after="54"/>
              <w:jc w:val="right"/>
            </w:pPr>
          </w:p>
        </w:tc>
      </w:tr>
      <w:tr w:rsidR="00AB24C3" w:rsidRPr="00695513" w14:paraId="0F8FDBF8" w14:textId="77777777" w:rsidTr="00E66E92">
        <w:trPr>
          <w:trHeight w:val="340"/>
        </w:trPr>
        <w:tc>
          <w:tcPr>
            <w:tcW w:w="1264" w:type="dxa"/>
          </w:tcPr>
          <w:p w14:paraId="1CA9F73C" w14:textId="6A91084B" w:rsidR="00AB24C3" w:rsidRPr="00AB24C3" w:rsidRDefault="00AB24C3" w:rsidP="00E66E92">
            <w:pPr>
              <w:pStyle w:val="TableText"/>
              <w:spacing w:before="54" w:after="54"/>
              <w:jc w:val="right"/>
            </w:pPr>
            <w:r w:rsidRPr="00AB24C3">
              <w:t>–</w:t>
            </w:r>
          </w:p>
        </w:tc>
        <w:tc>
          <w:tcPr>
            <w:tcW w:w="2977" w:type="dxa"/>
          </w:tcPr>
          <w:p w14:paraId="3F7E745D" w14:textId="58F81590" w:rsidR="00AB24C3" w:rsidRPr="00AB24C3" w:rsidRDefault="00AB24C3" w:rsidP="00E66E92">
            <w:pPr>
              <w:pStyle w:val="TableText"/>
              <w:spacing w:before="54" w:after="54"/>
            </w:pPr>
            <w:r w:rsidRPr="00AB24C3">
              <w:t>Hauora Māori</w:t>
            </w:r>
          </w:p>
        </w:tc>
        <w:tc>
          <w:tcPr>
            <w:tcW w:w="430" w:type="dxa"/>
          </w:tcPr>
          <w:p w14:paraId="7142FD22" w14:textId="77777777" w:rsidR="00AB24C3" w:rsidRPr="00AB24C3" w:rsidRDefault="00AB24C3" w:rsidP="00E66E92">
            <w:pPr>
              <w:pStyle w:val="TableText"/>
              <w:spacing w:before="54" w:after="54"/>
              <w:ind w:left="0" w:right="0"/>
              <w:jc w:val="right"/>
            </w:pPr>
          </w:p>
        </w:tc>
        <w:tc>
          <w:tcPr>
            <w:tcW w:w="1151" w:type="dxa"/>
          </w:tcPr>
          <w:p w14:paraId="31F5EA07" w14:textId="406019DE" w:rsidR="00AB24C3" w:rsidRPr="00AB24C3" w:rsidRDefault="00AB24C3" w:rsidP="00E66E92">
            <w:pPr>
              <w:pStyle w:val="TableText"/>
              <w:spacing w:before="54" w:after="54"/>
              <w:jc w:val="right"/>
            </w:pPr>
            <w:r w:rsidRPr="00AB24C3">
              <w:t>8,760</w:t>
            </w:r>
          </w:p>
        </w:tc>
        <w:tc>
          <w:tcPr>
            <w:tcW w:w="1115" w:type="dxa"/>
          </w:tcPr>
          <w:p w14:paraId="421FDEF1" w14:textId="41CD2A59" w:rsidR="00AB24C3" w:rsidRPr="00AB24C3" w:rsidRDefault="00AB24C3" w:rsidP="00E66E92">
            <w:pPr>
              <w:pStyle w:val="TableText"/>
              <w:spacing w:before="54" w:after="54"/>
              <w:jc w:val="right"/>
            </w:pPr>
            <w:r w:rsidRPr="00AB24C3">
              <w:t>17,396</w:t>
            </w:r>
          </w:p>
        </w:tc>
        <w:tc>
          <w:tcPr>
            <w:tcW w:w="1136" w:type="dxa"/>
          </w:tcPr>
          <w:p w14:paraId="5BB89991" w14:textId="76DE63DB" w:rsidR="00AB24C3" w:rsidRPr="00AB24C3" w:rsidRDefault="00AB24C3" w:rsidP="00E66E92">
            <w:pPr>
              <w:pStyle w:val="TableText"/>
              <w:spacing w:before="54" w:after="54"/>
              <w:jc w:val="right"/>
            </w:pPr>
            <w:r w:rsidRPr="00AB24C3">
              <w:t>17,396</w:t>
            </w:r>
          </w:p>
        </w:tc>
        <w:tc>
          <w:tcPr>
            <w:tcW w:w="1276" w:type="dxa"/>
          </w:tcPr>
          <w:p w14:paraId="53E83D98" w14:textId="4CA9CC5B" w:rsidR="00AB24C3" w:rsidRPr="00AB24C3" w:rsidRDefault="00AB24C3" w:rsidP="00E66E92">
            <w:pPr>
              <w:pStyle w:val="TableText"/>
              <w:spacing w:before="54" w:after="54"/>
              <w:jc w:val="right"/>
            </w:pPr>
            <w:r w:rsidRPr="00AB24C3">
              <w:t>1</w:t>
            </w:r>
          </w:p>
        </w:tc>
      </w:tr>
      <w:tr w:rsidR="00AB24C3" w:rsidRPr="00695513" w14:paraId="12667A09" w14:textId="77777777" w:rsidTr="00E66E92">
        <w:trPr>
          <w:trHeight w:val="340"/>
        </w:trPr>
        <w:tc>
          <w:tcPr>
            <w:tcW w:w="1264" w:type="dxa"/>
          </w:tcPr>
          <w:p w14:paraId="14F8DB7A" w14:textId="2911AC61" w:rsidR="00AB24C3" w:rsidRPr="00AB24C3" w:rsidRDefault="00AB24C3" w:rsidP="00E66E92">
            <w:pPr>
              <w:pStyle w:val="TableText"/>
              <w:spacing w:before="54" w:after="54"/>
              <w:jc w:val="right"/>
            </w:pPr>
            <w:r w:rsidRPr="00AB24C3">
              <w:t>–</w:t>
            </w:r>
          </w:p>
        </w:tc>
        <w:tc>
          <w:tcPr>
            <w:tcW w:w="2977" w:type="dxa"/>
          </w:tcPr>
          <w:p w14:paraId="2A089776" w14:textId="260EDF9B" w:rsidR="00AB24C3" w:rsidRPr="00AB24C3" w:rsidRDefault="00AB24C3" w:rsidP="00E66E92">
            <w:pPr>
              <w:pStyle w:val="TableText"/>
              <w:spacing w:before="54" w:after="54"/>
            </w:pPr>
            <w:r w:rsidRPr="00AB24C3">
              <w:t>Locality networks</w:t>
            </w:r>
          </w:p>
        </w:tc>
        <w:tc>
          <w:tcPr>
            <w:tcW w:w="430" w:type="dxa"/>
          </w:tcPr>
          <w:p w14:paraId="26A74FED" w14:textId="77777777" w:rsidR="00AB24C3" w:rsidRPr="00AB24C3" w:rsidRDefault="00AB24C3" w:rsidP="00E66E92">
            <w:pPr>
              <w:pStyle w:val="TableText"/>
              <w:spacing w:before="54" w:after="54"/>
              <w:ind w:left="0" w:right="0"/>
              <w:jc w:val="right"/>
            </w:pPr>
          </w:p>
        </w:tc>
        <w:tc>
          <w:tcPr>
            <w:tcW w:w="1151" w:type="dxa"/>
          </w:tcPr>
          <w:p w14:paraId="7BB20A91" w14:textId="23A4F309" w:rsidR="00AB24C3" w:rsidRPr="00AB24C3" w:rsidRDefault="00AB24C3" w:rsidP="00E66E92">
            <w:pPr>
              <w:pStyle w:val="TableText"/>
              <w:spacing w:before="54" w:after="54"/>
              <w:jc w:val="right"/>
            </w:pPr>
            <w:r w:rsidRPr="00AB24C3">
              <w:t>–</w:t>
            </w:r>
          </w:p>
        </w:tc>
        <w:tc>
          <w:tcPr>
            <w:tcW w:w="1115" w:type="dxa"/>
          </w:tcPr>
          <w:p w14:paraId="784C43D9" w14:textId="0A0C5CD1" w:rsidR="00AB24C3" w:rsidRPr="00AB24C3" w:rsidRDefault="00AB24C3" w:rsidP="00E66E92">
            <w:pPr>
              <w:pStyle w:val="TableText"/>
              <w:spacing w:before="54" w:after="54"/>
              <w:jc w:val="right"/>
            </w:pPr>
            <w:r w:rsidRPr="00AB24C3">
              <w:t>9,642</w:t>
            </w:r>
          </w:p>
        </w:tc>
        <w:tc>
          <w:tcPr>
            <w:tcW w:w="1136" w:type="dxa"/>
          </w:tcPr>
          <w:p w14:paraId="20D3E0AF" w14:textId="1751686A" w:rsidR="00AB24C3" w:rsidRPr="00AB24C3" w:rsidRDefault="00AB24C3" w:rsidP="00E66E92">
            <w:pPr>
              <w:pStyle w:val="TableText"/>
              <w:spacing w:before="54" w:after="54"/>
              <w:jc w:val="right"/>
            </w:pPr>
            <w:r w:rsidRPr="00AB24C3">
              <w:t>9,642</w:t>
            </w:r>
          </w:p>
        </w:tc>
        <w:tc>
          <w:tcPr>
            <w:tcW w:w="1276" w:type="dxa"/>
          </w:tcPr>
          <w:p w14:paraId="7B5F4EFF" w14:textId="291F5D9C" w:rsidR="00AB24C3" w:rsidRPr="00AB24C3" w:rsidRDefault="00AB24C3" w:rsidP="00E66E92">
            <w:pPr>
              <w:pStyle w:val="TableText"/>
              <w:spacing w:before="54" w:after="54"/>
              <w:jc w:val="right"/>
            </w:pPr>
            <w:r w:rsidRPr="00AB24C3">
              <w:t>1</w:t>
            </w:r>
          </w:p>
        </w:tc>
      </w:tr>
      <w:tr w:rsidR="00AB24C3" w:rsidRPr="00AB24C3" w14:paraId="17AEB1AF" w14:textId="77777777" w:rsidTr="00E66E92">
        <w:trPr>
          <w:trHeight w:val="294"/>
        </w:trPr>
        <w:tc>
          <w:tcPr>
            <w:tcW w:w="1264" w:type="dxa"/>
            <w:tcBorders>
              <w:bottom w:val="single" w:sz="4" w:space="0" w:color="A6A6A6" w:themeColor="background1" w:themeShade="A6"/>
            </w:tcBorders>
          </w:tcPr>
          <w:p w14:paraId="43C3EDE0" w14:textId="3356FEDE" w:rsidR="00AB24C3" w:rsidRPr="00AB24C3" w:rsidRDefault="00AB24C3" w:rsidP="00E66E92">
            <w:pPr>
              <w:pStyle w:val="TableText"/>
              <w:spacing w:before="54" w:after="54"/>
              <w:jc w:val="right"/>
              <w:rPr>
                <w:b/>
                <w:bCs/>
              </w:rPr>
            </w:pPr>
            <w:r w:rsidRPr="00AB24C3">
              <w:rPr>
                <w:b/>
                <w:bCs/>
              </w:rPr>
              <w:t>318,585</w:t>
            </w:r>
          </w:p>
        </w:tc>
        <w:tc>
          <w:tcPr>
            <w:tcW w:w="2977" w:type="dxa"/>
            <w:tcBorders>
              <w:bottom w:val="single" w:sz="4" w:space="0" w:color="A6A6A6" w:themeColor="background1" w:themeShade="A6"/>
            </w:tcBorders>
          </w:tcPr>
          <w:p w14:paraId="4E898C02" w14:textId="2B7C5248" w:rsidR="00AB24C3" w:rsidRPr="00AB24C3" w:rsidRDefault="00AB24C3" w:rsidP="00E66E92">
            <w:pPr>
              <w:pStyle w:val="TableText"/>
              <w:spacing w:before="54" w:after="54"/>
              <w:rPr>
                <w:b/>
                <w:bCs/>
              </w:rPr>
            </w:pPr>
            <w:r w:rsidRPr="00AB24C3">
              <w:rPr>
                <w:b/>
                <w:bCs/>
              </w:rPr>
              <w:t>Total multi-category expenses</w:t>
            </w:r>
          </w:p>
        </w:tc>
        <w:tc>
          <w:tcPr>
            <w:tcW w:w="430" w:type="dxa"/>
            <w:tcBorders>
              <w:bottom w:val="single" w:sz="4" w:space="0" w:color="A6A6A6" w:themeColor="background1" w:themeShade="A6"/>
            </w:tcBorders>
          </w:tcPr>
          <w:p w14:paraId="0DCCF635" w14:textId="77777777" w:rsidR="00AB24C3" w:rsidRPr="00AB24C3" w:rsidRDefault="00AB24C3" w:rsidP="00E66E92">
            <w:pPr>
              <w:pStyle w:val="TableText"/>
              <w:spacing w:before="54" w:after="54"/>
              <w:ind w:left="0" w:right="0"/>
              <w:jc w:val="right"/>
              <w:rPr>
                <w:b/>
                <w:bCs/>
              </w:rPr>
            </w:pPr>
          </w:p>
        </w:tc>
        <w:tc>
          <w:tcPr>
            <w:tcW w:w="1151" w:type="dxa"/>
            <w:tcBorders>
              <w:bottom w:val="single" w:sz="4" w:space="0" w:color="A6A6A6" w:themeColor="background1" w:themeShade="A6"/>
            </w:tcBorders>
          </w:tcPr>
          <w:p w14:paraId="0B0DFBB1" w14:textId="5B6D6082" w:rsidR="00AB24C3" w:rsidRPr="00AB24C3" w:rsidRDefault="00AB24C3" w:rsidP="00E66E92">
            <w:pPr>
              <w:pStyle w:val="TableText"/>
              <w:spacing w:before="54" w:after="54"/>
              <w:jc w:val="right"/>
              <w:rPr>
                <w:b/>
                <w:bCs/>
              </w:rPr>
            </w:pPr>
            <w:r w:rsidRPr="00AB24C3">
              <w:rPr>
                <w:b/>
                <w:bCs/>
              </w:rPr>
              <w:t>3,787,310</w:t>
            </w:r>
          </w:p>
        </w:tc>
        <w:tc>
          <w:tcPr>
            <w:tcW w:w="1115" w:type="dxa"/>
            <w:tcBorders>
              <w:bottom w:val="single" w:sz="4" w:space="0" w:color="A6A6A6" w:themeColor="background1" w:themeShade="A6"/>
            </w:tcBorders>
          </w:tcPr>
          <w:p w14:paraId="327D5DC3" w14:textId="0E1C3897" w:rsidR="00AB24C3" w:rsidRPr="00AB24C3" w:rsidRDefault="00AB24C3" w:rsidP="00E66E92">
            <w:pPr>
              <w:pStyle w:val="TableText"/>
              <w:spacing w:before="54" w:after="54"/>
              <w:jc w:val="right"/>
              <w:rPr>
                <w:b/>
                <w:bCs/>
              </w:rPr>
            </w:pPr>
            <w:r w:rsidRPr="00AB24C3">
              <w:rPr>
                <w:b/>
                <w:bCs/>
              </w:rPr>
              <w:t>1,568,482</w:t>
            </w:r>
          </w:p>
        </w:tc>
        <w:tc>
          <w:tcPr>
            <w:tcW w:w="1136" w:type="dxa"/>
            <w:tcBorders>
              <w:bottom w:val="single" w:sz="4" w:space="0" w:color="A6A6A6" w:themeColor="background1" w:themeShade="A6"/>
            </w:tcBorders>
          </w:tcPr>
          <w:p w14:paraId="0E82DEFB" w14:textId="6BB3B8C4" w:rsidR="00AB24C3" w:rsidRPr="00AB24C3" w:rsidRDefault="00AB24C3" w:rsidP="00E66E92">
            <w:pPr>
              <w:pStyle w:val="TableText"/>
              <w:spacing w:before="54" w:after="54"/>
              <w:jc w:val="right"/>
              <w:rPr>
                <w:b/>
                <w:bCs/>
              </w:rPr>
            </w:pPr>
            <w:r w:rsidRPr="00AB24C3">
              <w:rPr>
                <w:b/>
                <w:bCs/>
              </w:rPr>
              <w:t>5,677,593</w:t>
            </w:r>
          </w:p>
        </w:tc>
        <w:tc>
          <w:tcPr>
            <w:tcW w:w="1276" w:type="dxa"/>
            <w:tcBorders>
              <w:bottom w:val="single" w:sz="4" w:space="0" w:color="A6A6A6" w:themeColor="background1" w:themeShade="A6"/>
            </w:tcBorders>
          </w:tcPr>
          <w:p w14:paraId="4DB0EE31" w14:textId="77777777" w:rsidR="00AB24C3" w:rsidRPr="00AB24C3" w:rsidRDefault="00AB24C3" w:rsidP="00E66E92">
            <w:pPr>
              <w:pStyle w:val="TableText"/>
              <w:spacing w:before="54" w:after="54"/>
              <w:jc w:val="right"/>
              <w:rPr>
                <w:b/>
                <w:bCs/>
              </w:rPr>
            </w:pPr>
          </w:p>
        </w:tc>
      </w:tr>
      <w:tr w:rsidR="00AB24C3" w:rsidRPr="000F0AE5" w14:paraId="36E6E344" w14:textId="77777777" w:rsidTr="00E66E92">
        <w:trPr>
          <w:trHeight w:val="294"/>
        </w:trPr>
        <w:tc>
          <w:tcPr>
            <w:tcW w:w="1264" w:type="dxa"/>
            <w:tcBorders>
              <w:top w:val="single" w:sz="4" w:space="0" w:color="A6A6A6" w:themeColor="background1" w:themeShade="A6"/>
              <w:bottom w:val="single" w:sz="4" w:space="0" w:color="A6A6A6" w:themeColor="background1" w:themeShade="A6"/>
            </w:tcBorders>
          </w:tcPr>
          <w:p w14:paraId="26719429" w14:textId="2585F12D" w:rsidR="00AB24C3" w:rsidRPr="000F0AE5" w:rsidRDefault="00AB24C3" w:rsidP="00E66E92">
            <w:pPr>
              <w:pStyle w:val="TableText"/>
              <w:spacing w:before="54" w:after="54"/>
              <w:jc w:val="right"/>
              <w:rPr>
                <w:b/>
                <w:bCs/>
              </w:rPr>
            </w:pPr>
            <w:r w:rsidRPr="000F0AE5">
              <w:rPr>
                <w:b/>
                <w:bCs/>
              </w:rPr>
              <w:t>20,281,314</w:t>
            </w:r>
          </w:p>
        </w:tc>
        <w:tc>
          <w:tcPr>
            <w:tcW w:w="2977" w:type="dxa"/>
            <w:tcBorders>
              <w:top w:val="single" w:sz="4" w:space="0" w:color="A6A6A6" w:themeColor="background1" w:themeShade="A6"/>
              <w:bottom w:val="single" w:sz="4" w:space="0" w:color="A6A6A6" w:themeColor="background1" w:themeShade="A6"/>
            </w:tcBorders>
          </w:tcPr>
          <w:p w14:paraId="6E4D9F37" w14:textId="59328268" w:rsidR="00AB24C3" w:rsidRPr="000F0AE5" w:rsidRDefault="00AB24C3" w:rsidP="00E66E92">
            <w:pPr>
              <w:pStyle w:val="TableText"/>
              <w:spacing w:before="54" w:after="54"/>
              <w:rPr>
                <w:b/>
                <w:bCs/>
              </w:rPr>
            </w:pPr>
            <w:r w:rsidRPr="000F0AE5">
              <w:rPr>
                <w:b/>
                <w:bCs/>
              </w:rPr>
              <w:t>Total non-departmental and multi-category output expenses</w:t>
            </w:r>
          </w:p>
        </w:tc>
        <w:tc>
          <w:tcPr>
            <w:tcW w:w="430" w:type="dxa"/>
            <w:tcBorders>
              <w:top w:val="single" w:sz="4" w:space="0" w:color="A6A6A6" w:themeColor="background1" w:themeShade="A6"/>
              <w:bottom w:val="single" w:sz="4" w:space="0" w:color="A6A6A6" w:themeColor="background1" w:themeShade="A6"/>
            </w:tcBorders>
          </w:tcPr>
          <w:p w14:paraId="32E1F545" w14:textId="0265F313" w:rsidR="00AB24C3" w:rsidRPr="000F0AE5" w:rsidRDefault="00AB24C3" w:rsidP="00E66E92">
            <w:pPr>
              <w:pStyle w:val="TableText"/>
              <w:spacing w:before="54" w:after="54"/>
              <w:ind w:left="0" w:right="0"/>
              <w:jc w:val="right"/>
              <w:rPr>
                <w:b/>
                <w:bCs/>
                <w:i/>
                <w:iCs/>
              </w:rPr>
            </w:pPr>
          </w:p>
        </w:tc>
        <w:tc>
          <w:tcPr>
            <w:tcW w:w="1151" w:type="dxa"/>
            <w:tcBorders>
              <w:top w:val="single" w:sz="4" w:space="0" w:color="A6A6A6" w:themeColor="background1" w:themeShade="A6"/>
              <w:bottom w:val="single" w:sz="4" w:space="0" w:color="A6A6A6" w:themeColor="background1" w:themeShade="A6"/>
            </w:tcBorders>
          </w:tcPr>
          <w:p w14:paraId="218B2E50" w14:textId="0EEE3873" w:rsidR="00AB24C3" w:rsidRPr="000F0AE5" w:rsidRDefault="00AB24C3" w:rsidP="00E66E92">
            <w:pPr>
              <w:pStyle w:val="TableText"/>
              <w:spacing w:before="54" w:after="54"/>
              <w:jc w:val="right"/>
              <w:rPr>
                <w:b/>
                <w:bCs/>
              </w:rPr>
            </w:pPr>
            <w:r w:rsidRPr="000F0AE5">
              <w:rPr>
                <w:b/>
                <w:bCs/>
              </w:rPr>
              <w:t>24,900,211</w:t>
            </w:r>
          </w:p>
        </w:tc>
        <w:tc>
          <w:tcPr>
            <w:tcW w:w="1115" w:type="dxa"/>
            <w:tcBorders>
              <w:top w:val="single" w:sz="4" w:space="0" w:color="A6A6A6" w:themeColor="background1" w:themeShade="A6"/>
              <w:bottom w:val="single" w:sz="4" w:space="0" w:color="A6A6A6" w:themeColor="background1" w:themeShade="A6"/>
            </w:tcBorders>
          </w:tcPr>
          <w:p w14:paraId="737C6928" w14:textId="63F85C62" w:rsidR="00AB24C3" w:rsidRPr="000F0AE5" w:rsidRDefault="00AB24C3" w:rsidP="00E66E92">
            <w:pPr>
              <w:pStyle w:val="TableText"/>
              <w:spacing w:before="54" w:after="54"/>
              <w:jc w:val="right"/>
              <w:rPr>
                <w:b/>
                <w:bCs/>
              </w:rPr>
            </w:pPr>
            <w:r w:rsidRPr="000F0AE5">
              <w:rPr>
                <w:b/>
                <w:bCs/>
              </w:rPr>
              <w:t>22,272,487</w:t>
            </w:r>
          </w:p>
        </w:tc>
        <w:tc>
          <w:tcPr>
            <w:tcW w:w="1136" w:type="dxa"/>
            <w:tcBorders>
              <w:top w:val="single" w:sz="4" w:space="0" w:color="A6A6A6" w:themeColor="background1" w:themeShade="A6"/>
              <w:bottom w:val="single" w:sz="4" w:space="0" w:color="A6A6A6" w:themeColor="background1" w:themeShade="A6"/>
            </w:tcBorders>
          </w:tcPr>
          <w:p w14:paraId="06DB2948" w14:textId="49FCF5D1" w:rsidR="00AB24C3" w:rsidRPr="000F0AE5" w:rsidRDefault="00AB24C3" w:rsidP="00E66E92">
            <w:pPr>
              <w:pStyle w:val="TableText"/>
              <w:spacing w:before="54" w:after="54"/>
              <w:jc w:val="right"/>
              <w:rPr>
                <w:b/>
                <w:bCs/>
              </w:rPr>
            </w:pPr>
            <w:r w:rsidRPr="000F0AE5">
              <w:rPr>
                <w:b/>
                <w:bCs/>
              </w:rPr>
              <w:t>27,188,334</w:t>
            </w:r>
          </w:p>
        </w:tc>
        <w:tc>
          <w:tcPr>
            <w:tcW w:w="1276" w:type="dxa"/>
            <w:tcBorders>
              <w:top w:val="single" w:sz="4" w:space="0" w:color="A6A6A6" w:themeColor="background1" w:themeShade="A6"/>
              <w:bottom w:val="single" w:sz="4" w:space="0" w:color="A6A6A6" w:themeColor="background1" w:themeShade="A6"/>
            </w:tcBorders>
          </w:tcPr>
          <w:p w14:paraId="20CB6B7A" w14:textId="77777777" w:rsidR="00AB24C3" w:rsidRPr="000F0AE5" w:rsidRDefault="00AB24C3" w:rsidP="00E66E92">
            <w:pPr>
              <w:pStyle w:val="TableText"/>
              <w:spacing w:before="54" w:after="54"/>
              <w:jc w:val="right"/>
              <w:rPr>
                <w:b/>
                <w:bCs/>
              </w:rPr>
            </w:pPr>
          </w:p>
        </w:tc>
      </w:tr>
      <w:tr w:rsidR="00E66E92" w:rsidRPr="000F0AE5" w14:paraId="43321133" w14:textId="77777777" w:rsidTr="00E66E92">
        <w:trPr>
          <w:trHeight w:val="294"/>
        </w:trPr>
        <w:tc>
          <w:tcPr>
            <w:tcW w:w="1264" w:type="dxa"/>
            <w:tcBorders>
              <w:top w:val="single" w:sz="4" w:space="0" w:color="A6A6A6" w:themeColor="background1" w:themeShade="A6"/>
            </w:tcBorders>
          </w:tcPr>
          <w:p w14:paraId="5711C4AE" w14:textId="77777777" w:rsidR="00E66E92" w:rsidRPr="000F0AE5" w:rsidRDefault="00E66E92" w:rsidP="00E66E92">
            <w:pPr>
              <w:pStyle w:val="TableText"/>
              <w:spacing w:before="54" w:after="54"/>
              <w:jc w:val="right"/>
              <w:rPr>
                <w:b/>
                <w:bCs/>
              </w:rPr>
            </w:pPr>
          </w:p>
        </w:tc>
        <w:tc>
          <w:tcPr>
            <w:tcW w:w="3407" w:type="dxa"/>
            <w:gridSpan w:val="2"/>
            <w:tcBorders>
              <w:top w:val="single" w:sz="4" w:space="0" w:color="A6A6A6" w:themeColor="background1" w:themeShade="A6"/>
            </w:tcBorders>
          </w:tcPr>
          <w:p w14:paraId="75EDE28E" w14:textId="25693A1C" w:rsidR="00E66E92" w:rsidRPr="000F0AE5" w:rsidRDefault="00FA1768" w:rsidP="00E66E92">
            <w:pPr>
              <w:pStyle w:val="TableText"/>
              <w:spacing w:before="54" w:after="54"/>
              <w:ind w:left="0" w:right="0"/>
              <w:rPr>
                <w:b/>
                <w:bCs/>
                <w:i/>
                <w:iCs/>
              </w:rPr>
            </w:pPr>
            <w:r>
              <w:rPr>
                <w:b/>
                <w:bCs/>
              </w:rPr>
              <w:t xml:space="preserve"> </w:t>
            </w:r>
            <w:r w:rsidR="00E66E92" w:rsidRPr="000F0AE5">
              <w:rPr>
                <w:b/>
                <w:bCs/>
              </w:rPr>
              <w:t>Non-departmental other expenses</w:t>
            </w:r>
          </w:p>
        </w:tc>
        <w:tc>
          <w:tcPr>
            <w:tcW w:w="1151" w:type="dxa"/>
            <w:tcBorders>
              <w:top w:val="single" w:sz="4" w:space="0" w:color="A6A6A6" w:themeColor="background1" w:themeShade="A6"/>
            </w:tcBorders>
          </w:tcPr>
          <w:p w14:paraId="42196011" w14:textId="77777777" w:rsidR="00E66E92" w:rsidRPr="000F0AE5" w:rsidRDefault="00E66E92" w:rsidP="00E66E92">
            <w:pPr>
              <w:pStyle w:val="TableText"/>
              <w:spacing w:before="54" w:after="54"/>
              <w:jc w:val="right"/>
              <w:rPr>
                <w:b/>
                <w:bCs/>
              </w:rPr>
            </w:pPr>
          </w:p>
        </w:tc>
        <w:tc>
          <w:tcPr>
            <w:tcW w:w="1115" w:type="dxa"/>
            <w:tcBorders>
              <w:top w:val="single" w:sz="4" w:space="0" w:color="A6A6A6" w:themeColor="background1" w:themeShade="A6"/>
            </w:tcBorders>
          </w:tcPr>
          <w:p w14:paraId="62873707" w14:textId="77777777" w:rsidR="00E66E92" w:rsidRPr="000F0AE5" w:rsidRDefault="00E66E92" w:rsidP="00E66E92">
            <w:pPr>
              <w:pStyle w:val="TableText"/>
              <w:spacing w:before="54" w:after="54"/>
              <w:jc w:val="right"/>
              <w:rPr>
                <w:b/>
                <w:bCs/>
              </w:rPr>
            </w:pPr>
          </w:p>
        </w:tc>
        <w:tc>
          <w:tcPr>
            <w:tcW w:w="1136" w:type="dxa"/>
            <w:tcBorders>
              <w:top w:val="single" w:sz="4" w:space="0" w:color="A6A6A6" w:themeColor="background1" w:themeShade="A6"/>
            </w:tcBorders>
          </w:tcPr>
          <w:p w14:paraId="7856F2FD" w14:textId="77777777" w:rsidR="00E66E92" w:rsidRPr="000F0AE5" w:rsidRDefault="00E66E92" w:rsidP="00E66E92">
            <w:pPr>
              <w:pStyle w:val="TableText"/>
              <w:spacing w:before="54" w:after="54"/>
              <w:jc w:val="right"/>
              <w:rPr>
                <w:b/>
                <w:bCs/>
              </w:rPr>
            </w:pPr>
          </w:p>
        </w:tc>
        <w:tc>
          <w:tcPr>
            <w:tcW w:w="1276" w:type="dxa"/>
            <w:tcBorders>
              <w:top w:val="single" w:sz="4" w:space="0" w:color="A6A6A6" w:themeColor="background1" w:themeShade="A6"/>
            </w:tcBorders>
          </w:tcPr>
          <w:p w14:paraId="3AB4BFE2" w14:textId="77777777" w:rsidR="00E66E92" w:rsidRPr="000F0AE5" w:rsidRDefault="00E66E92" w:rsidP="00E66E92">
            <w:pPr>
              <w:pStyle w:val="TableText"/>
              <w:spacing w:before="54" w:after="54"/>
              <w:jc w:val="right"/>
              <w:rPr>
                <w:b/>
                <w:bCs/>
              </w:rPr>
            </w:pPr>
          </w:p>
        </w:tc>
      </w:tr>
      <w:tr w:rsidR="00AB24C3" w:rsidRPr="00695513" w14:paraId="7FF93767" w14:textId="77777777" w:rsidTr="00E66E92">
        <w:trPr>
          <w:trHeight w:val="340"/>
        </w:trPr>
        <w:tc>
          <w:tcPr>
            <w:tcW w:w="1264" w:type="dxa"/>
          </w:tcPr>
          <w:p w14:paraId="5A38A882" w14:textId="1496DD2E" w:rsidR="00AB24C3" w:rsidRPr="00091B8B" w:rsidRDefault="00AB24C3" w:rsidP="00E66E92">
            <w:pPr>
              <w:pStyle w:val="TableText"/>
              <w:spacing w:before="54" w:after="54"/>
              <w:jc w:val="right"/>
            </w:pPr>
            <w:r w:rsidRPr="00232391">
              <w:t>2,150</w:t>
            </w:r>
          </w:p>
        </w:tc>
        <w:tc>
          <w:tcPr>
            <w:tcW w:w="2977" w:type="dxa"/>
          </w:tcPr>
          <w:p w14:paraId="4AA55785" w14:textId="11E4DEDA" w:rsidR="00AB24C3" w:rsidRPr="00091B8B" w:rsidRDefault="00AB24C3" w:rsidP="00E66E92">
            <w:pPr>
              <w:pStyle w:val="TableText"/>
              <w:spacing w:before="54" w:after="54"/>
            </w:pPr>
            <w:r w:rsidRPr="00232391">
              <w:t>International health</w:t>
            </w:r>
            <w:r>
              <w:t xml:space="preserve"> organisations</w:t>
            </w:r>
          </w:p>
        </w:tc>
        <w:tc>
          <w:tcPr>
            <w:tcW w:w="430" w:type="dxa"/>
          </w:tcPr>
          <w:p w14:paraId="441B706B" w14:textId="5FDDB456" w:rsidR="00AB24C3" w:rsidRPr="00695513" w:rsidRDefault="00AB24C3" w:rsidP="00E66E92">
            <w:pPr>
              <w:pStyle w:val="TableText"/>
              <w:spacing w:before="54" w:after="54"/>
              <w:ind w:left="0" w:right="0"/>
              <w:jc w:val="right"/>
              <w:rPr>
                <w:i/>
                <w:iCs/>
              </w:rPr>
            </w:pPr>
          </w:p>
        </w:tc>
        <w:tc>
          <w:tcPr>
            <w:tcW w:w="1151" w:type="dxa"/>
          </w:tcPr>
          <w:p w14:paraId="6BB4904F" w14:textId="0618B4FF" w:rsidR="00AB24C3" w:rsidRPr="005D7F68" w:rsidRDefault="00AB24C3" w:rsidP="00E66E92">
            <w:pPr>
              <w:pStyle w:val="TableText"/>
              <w:spacing w:before="54" w:after="54"/>
              <w:jc w:val="right"/>
            </w:pPr>
            <w:r w:rsidRPr="008F4CAE">
              <w:t>2,096</w:t>
            </w:r>
          </w:p>
        </w:tc>
        <w:tc>
          <w:tcPr>
            <w:tcW w:w="1115" w:type="dxa"/>
          </w:tcPr>
          <w:p w14:paraId="091125EE" w14:textId="7CE44C63" w:rsidR="00AB24C3" w:rsidRPr="005D7F68" w:rsidRDefault="00AB24C3" w:rsidP="00E66E92">
            <w:pPr>
              <w:pStyle w:val="TableText"/>
              <w:spacing w:before="54" w:after="54"/>
              <w:jc w:val="right"/>
            </w:pPr>
            <w:r w:rsidRPr="008F4CAE">
              <w:t>2,230</w:t>
            </w:r>
          </w:p>
        </w:tc>
        <w:tc>
          <w:tcPr>
            <w:tcW w:w="1136" w:type="dxa"/>
          </w:tcPr>
          <w:p w14:paraId="71E8DF6B" w14:textId="5D53632E" w:rsidR="00AB24C3" w:rsidRPr="005D7F68" w:rsidRDefault="00AB24C3" w:rsidP="00E66E92">
            <w:pPr>
              <w:pStyle w:val="TableText"/>
              <w:spacing w:before="54" w:after="54"/>
              <w:jc w:val="right"/>
            </w:pPr>
            <w:r w:rsidRPr="008F4CAE">
              <w:t>2,230</w:t>
            </w:r>
          </w:p>
        </w:tc>
        <w:tc>
          <w:tcPr>
            <w:tcW w:w="1276" w:type="dxa"/>
          </w:tcPr>
          <w:p w14:paraId="0DD00269" w14:textId="6310C73B" w:rsidR="00AB24C3" w:rsidRPr="00D90B62" w:rsidRDefault="00AB24C3" w:rsidP="00E66E92">
            <w:pPr>
              <w:pStyle w:val="TableText"/>
              <w:spacing w:before="54" w:after="54"/>
              <w:jc w:val="right"/>
            </w:pPr>
            <w:r w:rsidRPr="008F4CAE">
              <w:t>4</w:t>
            </w:r>
          </w:p>
        </w:tc>
      </w:tr>
      <w:tr w:rsidR="00AB24C3" w:rsidRPr="00695513" w14:paraId="655096B0" w14:textId="77777777" w:rsidTr="00E66E92">
        <w:trPr>
          <w:trHeight w:val="340"/>
        </w:trPr>
        <w:tc>
          <w:tcPr>
            <w:tcW w:w="1264" w:type="dxa"/>
          </w:tcPr>
          <w:p w14:paraId="439D341B" w14:textId="2814E94F" w:rsidR="00AB24C3" w:rsidRPr="00091B8B" w:rsidRDefault="00AB24C3" w:rsidP="00E66E92">
            <w:pPr>
              <w:pStyle w:val="TableText"/>
              <w:spacing w:before="54" w:after="54"/>
              <w:jc w:val="right"/>
            </w:pPr>
            <w:r w:rsidRPr="00232391">
              <w:t>2,046</w:t>
            </w:r>
          </w:p>
        </w:tc>
        <w:tc>
          <w:tcPr>
            <w:tcW w:w="2977" w:type="dxa"/>
          </w:tcPr>
          <w:p w14:paraId="00E4D08C" w14:textId="454755FD" w:rsidR="00AB24C3" w:rsidRPr="00091B8B" w:rsidRDefault="00AB24C3" w:rsidP="00E66E92">
            <w:pPr>
              <w:pStyle w:val="TableText"/>
              <w:spacing w:before="54" w:after="54"/>
            </w:pPr>
            <w:r w:rsidRPr="00232391">
              <w:t>Legal expenses</w:t>
            </w:r>
          </w:p>
        </w:tc>
        <w:tc>
          <w:tcPr>
            <w:tcW w:w="430" w:type="dxa"/>
          </w:tcPr>
          <w:p w14:paraId="65212B14" w14:textId="3A806F94" w:rsidR="00AB24C3" w:rsidRPr="00695513" w:rsidRDefault="00AB24C3" w:rsidP="00E66E92">
            <w:pPr>
              <w:pStyle w:val="TableText"/>
              <w:spacing w:before="54" w:after="54"/>
              <w:ind w:left="0" w:right="0"/>
              <w:jc w:val="right"/>
              <w:rPr>
                <w:i/>
                <w:iCs/>
              </w:rPr>
            </w:pPr>
          </w:p>
        </w:tc>
        <w:tc>
          <w:tcPr>
            <w:tcW w:w="1151" w:type="dxa"/>
          </w:tcPr>
          <w:p w14:paraId="447E7C27" w14:textId="15B81560" w:rsidR="00AB24C3" w:rsidRPr="005D7F68" w:rsidRDefault="00AB24C3" w:rsidP="00E66E92">
            <w:pPr>
              <w:pStyle w:val="TableText"/>
              <w:spacing w:before="54" w:after="54"/>
              <w:jc w:val="right"/>
            </w:pPr>
            <w:r w:rsidRPr="008F4CAE">
              <w:t>2,695</w:t>
            </w:r>
          </w:p>
        </w:tc>
        <w:tc>
          <w:tcPr>
            <w:tcW w:w="1115" w:type="dxa"/>
          </w:tcPr>
          <w:p w14:paraId="436DB9F6" w14:textId="5218CFC7" w:rsidR="00AB24C3" w:rsidRPr="005D7F68" w:rsidRDefault="00AB24C3" w:rsidP="00E66E92">
            <w:pPr>
              <w:pStyle w:val="TableText"/>
              <w:spacing w:before="54" w:after="54"/>
              <w:jc w:val="right"/>
            </w:pPr>
            <w:r w:rsidRPr="008F4CAE">
              <w:t>6,778</w:t>
            </w:r>
          </w:p>
        </w:tc>
        <w:tc>
          <w:tcPr>
            <w:tcW w:w="1136" w:type="dxa"/>
          </w:tcPr>
          <w:p w14:paraId="6383EB61" w14:textId="1CE7DF36" w:rsidR="00AB24C3" w:rsidRPr="005D7F68" w:rsidRDefault="00AB24C3" w:rsidP="00E66E92">
            <w:pPr>
              <w:pStyle w:val="TableText"/>
              <w:spacing w:before="54" w:after="54"/>
              <w:jc w:val="right"/>
            </w:pPr>
            <w:r w:rsidRPr="008F4CAE">
              <w:t>3,000</w:t>
            </w:r>
          </w:p>
        </w:tc>
        <w:tc>
          <w:tcPr>
            <w:tcW w:w="1276" w:type="dxa"/>
          </w:tcPr>
          <w:p w14:paraId="56E9E059" w14:textId="066ACCE6" w:rsidR="00AB24C3" w:rsidRPr="00D90B62" w:rsidRDefault="00AB24C3" w:rsidP="00E66E92">
            <w:pPr>
              <w:pStyle w:val="TableText"/>
              <w:spacing w:before="54" w:after="54"/>
              <w:jc w:val="right"/>
            </w:pPr>
            <w:r w:rsidRPr="008F4CAE">
              <w:t>4</w:t>
            </w:r>
          </w:p>
        </w:tc>
      </w:tr>
      <w:tr w:rsidR="00AB24C3" w:rsidRPr="00695513" w14:paraId="1EFFF215" w14:textId="77777777" w:rsidTr="00FA1768">
        <w:trPr>
          <w:trHeight w:val="340"/>
        </w:trPr>
        <w:tc>
          <w:tcPr>
            <w:tcW w:w="1264" w:type="dxa"/>
          </w:tcPr>
          <w:p w14:paraId="5C769706" w14:textId="436ECF04" w:rsidR="00AB24C3" w:rsidRPr="00091B8B" w:rsidRDefault="00AB24C3" w:rsidP="00E66E92">
            <w:pPr>
              <w:pStyle w:val="TableText"/>
              <w:spacing w:before="54" w:after="54"/>
              <w:jc w:val="right"/>
            </w:pPr>
            <w:r w:rsidRPr="00232391">
              <w:t>36,243</w:t>
            </w:r>
          </w:p>
        </w:tc>
        <w:tc>
          <w:tcPr>
            <w:tcW w:w="2977" w:type="dxa"/>
          </w:tcPr>
          <w:p w14:paraId="4C8C964C" w14:textId="0D08B761" w:rsidR="00AB24C3" w:rsidRPr="00091B8B" w:rsidRDefault="00AB24C3" w:rsidP="00E66E92">
            <w:pPr>
              <w:pStyle w:val="TableText"/>
              <w:spacing w:before="54" w:after="54"/>
            </w:pPr>
            <w:r w:rsidRPr="00232391">
              <w:t>Provider development</w:t>
            </w:r>
          </w:p>
        </w:tc>
        <w:tc>
          <w:tcPr>
            <w:tcW w:w="430" w:type="dxa"/>
          </w:tcPr>
          <w:p w14:paraId="486EC8A3" w14:textId="0C57D580" w:rsidR="00AB24C3" w:rsidRPr="00695513" w:rsidRDefault="00AB24C3" w:rsidP="00E66E92">
            <w:pPr>
              <w:pStyle w:val="TableText"/>
              <w:spacing w:before="54" w:after="54"/>
              <w:ind w:left="0" w:right="0"/>
              <w:jc w:val="right"/>
              <w:rPr>
                <w:i/>
                <w:iCs/>
              </w:rPr>
            </w:pPr>
          </w:p>
        </w:tc>
        <w:tc>
          <w:tcPr>
            <w:tcW w:w="1151" w:type="dxa"/>
          </w:tcPr>
          <w:p w14:paraId="5D13E5B0" w14:textId="4A434276" w:rsidR="00AB24C3" w:rsidRPr="005D7F68" w:rsidRDefault="00AB24C3" w:rsidP="00E66E92">
            <w:pPr>
              <w:pStyle w:val="TableText"/>
              <w:spacing w:before="54" w:after="54"/>
              <w:jc w:val="right"/>
            </w:pPr>
            <w:r w:rsidRPr="008F4CAE">
              <w:t>37,587</w:t>
            </w:r>
          </w:p>
        </w:tc>
        <w:tc>
          <w:tcPr>
            <w:tcW w:w="1115" w:type="dxa"/>
          </w:tcPr>
          <w:p w14:paraId="5F5F6DEC" w14:textId="11597778" w:rsidR="00AB24C3" w:rsidRPr="005D7F68" w:rsidRDefault="00AB24C3" w:rsidP="00E66E92">
            <w:pPr>
              <w:pStyle w:val="TableText"/>
              <w:spacing w:before="54" w:after="54"/>
              <w:jc w:val="right"/>
            </w:pPr>
            <w:r w:rsidRPr="008F4CAE">
              <w:t>39,793</w:t>
            </w:r>
          </w:p>
        </w:tc>
        <w:tc>
          <w:tcPr>
            <w:tcW w:w="1136" w:type="dxa"/>
          </w:tcPr>
          <w:p w14:paraId="6B08E088" w14:textId="3048FED3" w:rsidR="00AB24C3" w:rsidRPr="005D7F68" w:rsidRDefault="00AB24C3" w:rsidP="00E66E92">
            <w:pPr>
              <w:pStyle w:val="TableText"/>
              <w:spacing w:before="54" w:after="54"/>
              <w:jc w:val="right"/>
            </w:pPr>
            <w:r w:rsidRPr="008F4CAE">
              <w:t>45,193</w:t>
            </w:r>
          </w:p>
        </w:tc>
        <w:tc>
          <w:tcPr>
            <w:tcW w:w="1276" w:type="dxa"/>
          </w:tcPr>
          <w:p w14:paraId="4E9AAD87" w14:textId="7B64C262" w:rsidR="00AB24C3" w:rsidRPr="00D90B62" w:rsidRDefault="00AB24C3" w:rsidP="00E66E92">
            <w:pPr>
              <w:pStyle w:val="TableText"/>
              <w:spacing w:before="54" w:after="54"/>
              <w:jc w:val="right"/>
            </w:pPr>
            <w:r w:rsidRPr="008F4CAE">
              <w:t>3</w:t>
            </w:r>
          </w:p>
        </w:tc>
      </w:tr>
      <w:tr w:rsidR="00E66E92" w:rsidRPr="00E66E92" w14:paraId="55CBF9E4" w14:textId="77777777" w:rsidTr="00FA1768">
        <w:trPr>
          <w:trHeight w:val="340"/>
        </w:trPr>
        <w:tc>
          <w:tcPr>
            <w:tcW w:w="1264" w:type="dxa"/>
            <w:tcBorders>
              <w:bottom w:val="single" w:sz="4" w:space="0" w:color="A6A6A6" w:themeColor="background1" w:themeShade="A6"/>
            </w:tcBorders>
          </w:tcPr>
          <w:p w14:paraId="5485C7D9" w14:textId="2F366781" w:rsidR="00E66E92" w:rsidRPr="00E66E92" w:rsidRDefault="00E66E92" w:rsidP="00E66E92">
            <w:pPr>
              <w:pStyle w:val="TableText"/>
              <w:spacing w:before="54" w:after="54"/>
              <w:jc w:val="right"/>
              <w:rPr>
                <w:b/>
                <w:bCs/>
              </w:rPr>
            </w:pPr>
            <w:r w:rsidRPr="00E66E92">
              <w:rPr>
                <w:b/>
                <w:bCs/>
              </w:rPr>
              <w:t>40,439</w:t>
            </w:r>
          </w:p>
        </w:tc>
        <w:tc>
          <w:tcPr>
            <w:tcW w:w="2977" w:type="dxa"/>
            <w:tcBorders>
              <w:bottom w:val="single" w:sz="4" w:space="0" w:color="A6A6A6" w:themeColor="background1" w:themeShade="A6"/>
            </w:tcBorders>
          </w:tcPr>
          <w:p w14:paraId="2B50B463" w14:textId="5FA91E84" w:rsidR="00E66E92" w:rsidRPr="00E66E92" w:rsidRDefault="00E66E92" w:rsidP="00E66E92">
            <w:pPr>
              <w:pStyle w:val="TableText"/>
              <w:spacing w:before="54" w:after="54"/>
              <w:rPr>
                <w:b/>
                <w:bCs/>
              </w:rPr>
            </w:pPr>
            <w:r w:rsidRPr="00E66E92">
              <w:rPr>
                <w:b/>
                <w:bCs/>
              </w:rPr>
              <w:t>Total non-departmental other expenses</w:t>
            </w:r>
          </w:p>
        </w:tc>
        <w:tc>
          <w:tcPr>
            <w:tcW w:w="430" w:type="dxa"/>
            <w:tcBorders>
              <w:bottom w:val="single" w:sz="4" w:space="0" w:color="A6A6A6" w:themeColor="background1" w:themeShade="A6"/>
            </w:tcBorders>
          </w:tcPr>
          <w:p w14:paraId="52250AA9" w14:textId="77777777" w:rsidR="00E66E92" w:rsidRPr="00E66E92" w:rsidRDefault="00E66E92" w:rsidP="00E66E92">
            <w:pPr>
              <w:pStyle w:val="TableText"/>
              <w:spacing w:before="54" w:after="54"/>
              <w:ind w:left="0" w:right="0"/>
              <w:jc w:val="right"/>
              <w:rPr>
                <w:b/>
                <w:bCs/>
                <w:i/>
                <w:iCs/>
              </w:rPr>
            </w:pPr>
          </w:p>
        </w:tc>
        <w:tc>
          <w:tcPr>
            <w:tcW w:w="1151" w:type="dxa"/>
            <w:tcBorders>
              <w:bottom w:val="single" w:sz="4" w:space="0" w:color="A6A6A6" w:themeColor="background1" w:themeShade="A6"/>
            </w:tcBorders>
          </w:tcPr>
          <w:p w14:paraId="7216E748" w14:textId="5A06821C" w:rsidR="00E66E92" w:rsidRPr="00E66E92" w:rsidRDefault="00E66E92" w:rsidP="00E66E92">
            <w:pPr>
              <w:pStyle w:val="TableText"/>
              <w:spacing w:before="54" w:after="54"/>
              <w:jc w:val="right"/>
              <w:rPr>
                <w:b/>
                <w:bCs/>
              </w:rPr>
            </w:pPr>
            <w:r w:rsidRPr="00E66E92">
              <w:rPr>
                <w:b/>
                <w:bCs/>
              </w:rPr>
              <w:t>42,378</w:t>
            </w:r>
          </w:p>
        </w:tc>
        <w:tc>
          <w:tcPr>
            <w:tcW w:w="1115" w:type="dxa"/>
            <w:tcBorders>
              <w:bottom w:val="single" w:sz="4" w:space="0" w:color="A6A6A6" w:themeColor="background1" w:themeShade="A6"/>
            </w:tcBorders>
          </w:tcPr>
          <w:p w14:paraId="73B3B8F4" w14:textId="46BA6302" w:rsidR="00E66E92" w:rsidRPr="00E66E92" w:rsidRDefault="00E66E92" w:rsidP="00E66E92">
            <w:pPr>
              <w:pStyle w:val="TableText"/>
              <w:spacing w:before="54" w:after="54"/>
              <w:jc w:val="right"/>
              <w:rPr>
                <w:b/>
                <w:bCs/>
              </w:rPr>
            </w:pPr>
            <w:r w:rsidRPr="00E66E92">
              <w:rPr>
                <w:b/>
                <w:bCs/>
              </w:rPr>
              <w:t>48,801</w:t>
            </w:r>
          </w:p>
        </w:tc>
        <w:tc>
          <w:tcPr>
            <w:tcW w:w="1136" w:type="dxa"/>
            <w:tcBorders>
              <w:bottom w:val="single" w:sz="4" w:space="0" w:color="A6A6A6" w:themeColor="background1" w:themeShade="A6"/>
            </w:tcBorders>
          </w:tcPr>
          <w:p w14:paraId="50CB55F6" w14:textId="777520B6" w:rsidR="00E66E92" w:rsidRPr="00E66E92" w:rsidRDefault="00E66E92" w:rsidP="00E66E92">
            <w:pPr>
              <w:pStyle w:val="TableText"/>
              <w:spacing w:before="54" w:after="54"/>
              <w:jc w:val="right"/>
              <w:rPr>
                <w:b/>
                <w:bCs/>
              </w:rPr>
            </w:pPr>
            <w:r w:rsidRPr="00E66E92">
              <w:rPr>
                <w:b/>
                <w:bCs/>
              </w:rPr>
              <w:t>50,423</w:t>
            </w:r>
          </w:p>
        </w:tc>
        <w:tc>
          <w:tcPr>
            <w:tcW w:w="1276" w:type="dxa"/>
            <w:tcBorders>
              <w:bottom w:val="single" w:sz="4" w:space="0" w:color="A6A6A6" w:themeColor="background1" w:themeShade="A6"/>
            </w:tcBorders>
          </w:tcPr>
          <w:p w14:paraId="23AD98CF" w14:textId="77777777" w:rsidR="00E66E92" w:rsidRPr="00E66E92" w:rsidRDefault="00E66E92" w:rsidP="00E66E92">
            <w:pPr>
              <w:pStyle w:val="TableText"/>
              <w:spacing w:before="54" w:after="54"/>
              <w:jc w:val="right"/>
              <w:rPr>
                <w:b/>
                <w:bCs/>
              </w:rPr>
            </w:pPr>
          </w:p>
        </w:tc>
      </w:tr>
      <w:tr w:rsidR="00E66E92" w:rsidRPr="00695513" w14:paraId="6B6370F1" w14:textId="77777777" w:rsidTr="00FA1768">
        <w:trPr>
          <w:trHeight w:val="340"/>
        </w:trPr>
        <w:tc>
          <w:tcPr>
            <w:tcW w:w="1264" w:type="dxa"/>
            <w:tcBorders>
              <w:top w:val="single" w:sz="4" w:space="0" w:color="A6A6A6" w:themeColor="background1" w:themeShade="A6"/>
            </w:tcBorders>
          </w:tcPr>
          <w:p w14:paraId="496D2944" w14:textId="77777777" w:rsidR="00E66E92" w:rsidRPr="00232391" w:rsidRDefault="00E66E92" w:rsidP="00E66E92">
            <w:pPr>
              <w:pStyle w:val="TableText"/>
              <w:spacing w:before="54" w:after="54"/>
              <w:jc w:val="right"/>
            </w:pPr>
          </w:p>
        </w:tc>
        <w:tc>
          <w:tcPr>
            <w:tcW w:w="2977" w:type="dxa"/>
            <w:tcBorders>
              <w:top w:val="single" w:sz="4" w:space="0" w:color="A6A6A6" w:themeColor="background1" w:themeShade="A6"/>
            </w:tcBorders>
          </w:tcPr>
          <w:p w14:paraId="7BD4EDF7" w14:textId="39BC8B68" w:rsidR="00E66E92" w:rsidRPr="00E66E92" w:rsidRDefault="00E66E92" w:rsidP="00E66E92">
            <w:pPr>
              <w:pStyle w:val="TableText"/>
              <w:spacing w:before="54" w:after="54"/>
              <w:rPr>
                <w:b/>
                <w:bCs/>
              </w:rPr>
            </w:pPr>
            <w:r w:rsidRPr="00E66E92">
              <w:rPr>
                <w:b/>
                <w:bCs/>
              </w:rPr>
              <w:t>Non-departmental revaluation and impairment adjustments</w:t>
            </w:r>
          </w:p>
        </w:tc>
        <w:tc>
          <w:tcPr>
            <w:tcW w:w="430" w:type="dxa"/>
            <w:tcBorders>
              <w:top w:val="single" w:sz="4" w:space="0" w:color="A6A6A6" w:themeColor="background1" w:themeShade="A6"/>
            </w:tcBorders>
          </w:tcPr>
          <w:p w14:paraId="32BA1BE3" w14:textId="77777777" w:rsidR="00E66E92" w:rsidRPr="00695513" w:rsidRDefault="00E66E92" w:rsidP="00E66E92">
            <w:pPr>
              <w:pStyle w:val="TableText"/>
              <w:spacing w:before="54" w:after="54"/>
              <w:ind w:left="0" w:right="0"/>
              <w:jc w:val="right"/>
              <w:rPr>
                <w:i/>
                <w:iCs/>
              </w:rPr>
            </w:pPr>
          </w:p>
        </w:tc>
        <w:tc>
          <w:tcPr>
            <w:tcW w:w="1151" w:type="dxa"/>
            <w:tcBorders>
              <w:top w:val="single" w:sz="4" w:space="0" w:color="A6A6A6" w:themeColor="background1" w:themeShade="A6"/>
            </w:tcBorders>
          </w:tcPr>
          <w:p w14:paraId="28CC9062" w14:textId="77777777" w:rsidR="00E66E92" w:rsidRPr="008F4CAE" w:rsidRDefault="00E66E92" w:rsidP="00E66E92">
            <w:pPr>
              <w:pStyle w:val="TableText"/>
              <w:spacing w:before="54" w:after="54"/>
              <w:jc w:val="right"/>
            </w:pPr>
          </w:p>
        </w:tc>
        <w:tc>
          <w:tcPr>
            <w:tcW w:w="1115" w:type="dxa"/>
            <w:tcBorders>
              <w:top w:val="single" w:sz="4" w:space="0" w:color="A6A6A6" w:themeColor="background1" w:themeShade="A6"/>
            </w:tcBorders>
          </w:tcPr>
          <w:p w14:paraId="4ACBCCED" w14:textId="77777777" w:rsidR="00E66E92" w:rsidRPr="008F4CAE" w:rsidRDefault="00E66E92" w:rsidP="00E66E92">
            <w:pPr>
              <w:pStyle w:val="TableText"/>
              <w:spacing w:before="54" w:after="54"/>
              <w:jc w:val="right"/>
            </w:pPr>
          </w:p>
        </w:tc>
        <w:tc>
          <w:tcPr>
            <w:tcW w:w="1136" w:type="dxa"/>
            <w:tcBorders>
              <w:top w:val="single" w:sz="4" w:space="0" w:color="A6A6A6" w:themeColor="background1" w:themeShade="A6"/>
            </w:tcBorders>
          </w:tcPr>
          <w:p w14:paraId="07818B53" w14:textId="77777777" w:rsidR="00E66E92" w:rsidRPr="008F4CAE" w:rsidRDefault="00E66E92" w:rsidP="00E66E92">
            <w:pPr>
              <w:pStyle w:val="TableText"/>
              <w:spacing w:before="54" w:after="54"/>
              <w:jc w:val="right"/>
            </w:pPr>
          </w:p>
        </w:tc>
        <w:tc>
          <w:tcPr>
            <w:tcW w:w="1276" w:type="dxa"/>
            <w:tcBorders>
              <w:top w:val="single" w:sz="4" w:space="0" w:color="A6A6A6" w:themeColor="background1" w:themeShade="A6"/>
            </w:tcBorders>
          </w:tcPr>
          <w:p w14:paraId="0FCA9FDC" w14:textId="77777777" w:rsidR="00E66E92" w:rsidRPr="008F4CAE" w:rsidRDefault="00E66E92" w:rsidP="00E66E92">
            <w:pPr>
              <w:pStyle w:val="TableText"/>
              <w:spacing w:before="54" w:after="54"/>
              <w:jc w:val="right"/>
            </w:pPr>
          </w:p>
        </w:tc>
      </w:tr>
      <w:tr w:rsidR="00E66E92" w:rsidRPr="00695513" w14:paraId="0BC68661" w14:textId="77777777" w:rsidTr="00FA1768">
        <w:trPr>
          <w:trHeight w:val="340"/>
        </w:trPr>
        <w:tc>
          <w:tcPr>
            <w:tcW w:w="1264" w:type="dxa"/>
          </w:tcPr>
          <w:p w14:paraId="57676ED2" w14:textId="7521AE6F" w:rsidR="00E66E92" w:rsidRPr="00232391" w:rsidRDefault="00E66E92" w:rsidP="00E66E92">
            <w:pPr>
              <w:pStyle w:val="TableText"/>
              <w:spacing w:before="54" w:after="54"/>
              <w:jc w:val="right"/>
            </w:pPr>
            <w:r w:rsidRPr="00543393">
              <w:t>(1,388)</w:t>
            </w:r>
          </w:p>
        </w:tc>
        <w:tc>
          <w:tcPr>
            <w:tcW w:w="2977" w:type="dxa"/>
          </w:tcPr>
          <w:p w14:paraId="36135910" w14:textId="63060F34" w:rsidR="00E66E92" w:rsidRPr="00232391" w:rsidRDefault="00E66E92" w:rsidP="00E66E92">
            <w:pPr>
              <w:pStyle w:val="TableText"/>
              <w:spacing w:before="54" w:after="54"/>
            </w:pPr>
            <w:r w:rsidRPr="00E66E92">
              <w:t>Net movement in residential</w:t>
            </w:r>
            <w:r>
              <w:t xml:space="preserve"> care loans book value</w:t>
            </w:r>
          </w:p>
        </w:tc>
        <w:tc>
          <w:tcPr>
            <w:tcW w:w="430" w:type="dxa"/>
          </w:tcPr>
          <w:p w14:paraId="1F4C8E6F" w14:textId="77777777" w:rsidR="00E66E92" w:rsidRPr="00695513" w:rsidRDefault="00E66E92" w:rsidP="00E66E92">
            <w:pPr>
              <w:pStyle w:val="TableText"/>
              <w:spacing w:before="54" w:after="54"/>
              <w:ind w:left="0" w:right="0"/>
              <w:jc w:val="right"/>
              <w:rPr>
                <w:i/>
                <w:iCs/>
              </w:rPr>
            </w:pPr>
          </w:p>
        </w:tc>
        <w:tc>
          <w:tcPr>
            <w:tcW w:w="1151" w:type="dxa"/>
          </w:tcPr>
          <w:p w14:paraId="57010713" w14:textId="1E51C0E2" w:rsidR="00E66E92" w:rsidRPr="008F4CAE" w:rsidRDefault="00E66E92" w:rsidP="00E66E92">
            <w:pPr>
              <w:pStyle w:val="TableText"/>
              <w:spacing w:before="54" w:after="54"/>
              <w:jc w:val="right"/>
            </w:pPr>
            <w:r w:rsidRPr="007D1109">
              <w:t>2,494</w:t>
            </w:r>
          </w:p>
        </w:tc>
        <w:tc>
          <w:tcPr>
            <w:tcW w:w="1115" w:type="dxa"/>
          </w:tcPr>
          <w:p w14:paraId="5D793A12" w14:textId="416153A3" w:rsidR="00E66E92" w:rsidRPr="008F4CAE" w:rsidRDefault="00E66E92" w:rsidP="00E66E92">
            <w:pPr>
              <w:pStyle w:val="TableText"/>
              <w:spacing w:before="54" w:after="54"/>
              <w:jc w:val="right"/>
            </w:pPr>
            <w:r w:rsidRPr="007D1109">
              <w:t>–</w:t>
            </w:r>
          </w:p>
        </w:tc>
        <w:tc>
          <w:tcPr>
            <w:tcW w:w="1136" w:type="dxa"/>
          </w:tcPr>
          <w:p w14:paraId="0EB59A09" w14:textId="4DD278E1" w:rsidR="00E66E92" w:rsidRPr="008F4CAE" w:rsidRDefault="00E66E92" w:rsidP="00E66E92">
            <w:pPr>
              <w:pStyle w:val="TableText"/>
              <w:spacing w:before="54" w:after="54"/>
              <w:jc w:val="right"/>
            </w:pPr>
            <w:r w:rsidRPr="007D1109">
              <w:t>–</w:t>
            </w:r>
          </w:p>
        </w:tc>
        <w:tc>
          <w:tcPr>
            <w:tcW w:w="1276" w:type="dxa"/>
          </w:tcPr>
          <w:p w14:paraId="67E30869" w14:textId="1E743E09" w:rsidR="00E66E92" w:rsidRPr="008F4CAE" w:rsidRDefault="00E66E92" w:rsidP="00E66E92">
            <w:pPr>
              <w:pStyle w:val="TableText"/>
              <w:spacing w:before="54" w:after="54"/>
              <w:jc w:val="right"/>
            </w:pPr>
            <w:r w:rsidRPr="007D1109">
              <w:t>4</w:t>
            </w:r>
          </w:p>
        </w:tc>
      </w:tr>
      <w:tr w:rsidR="00FA1768" w:rsidRPr="00FA1768" w14:paraId="159ADAC0" w14:textId="77777777" w:rsidTr="00FA1768">
        <w:trPr>
          <w:trHeight w:val="340"/>
        </w:trPr>
        <w:tc>
          <w:tcPr>
            <w:tcW w:w="1264" w:type="dxa"/>
            <w:tcBorders>
              <w:bottom w:val="single" w:sz="4" w:space="0" w:color="A6A6A6" w:themeColor="background1" w:themeShade="A6"/>
            </w:tcBorders>
          </w:tcPr>
          <w:p w14:paraId="0276DEF5" w14:textId="1ABC2984" w:rsidR="00FA1768" w:rsidRPr="00FA1768" w:rsidRDefault="00FA1768" w:rsidP="00FA1768">
            <w:pPr>
              <w:pStyle w:val="TableText"/>
              <w:spacing w:before="54" w:after="54"/>
              <w:jc w:val="right"/>
              <w:rPr>
                <w:b/>
                <w:bCs/>
              </w:rPr>
            </w:pPr>
            <w:r w:rsidRPr="00FA1768">
              <w:rPr>
                <w:b/>
                <w:bCs/>
              </w:rPr>
              <w:t>(1,388)</w:t>
            </w:r>
          </w:p>
        </w:tc>
        <w:tc>
          <w:tcPr>
            <w:tcW w:w="2977" w:type="dxa"/>
            <w:tcBorders>
              <w:bottom w:val="single" w:sz="4" w:space="0" w:color="A6A6A6" w:themeColor="background1" w:themeShade="A6"/>
            </w:tcBorders>
          </w:tcPr>
          <w:p w14:paraId="2554011F" w14:textId="4BC25481" w:rsidR="00FA1768" w:rsidRPr="00FA1768" w:rsidRDefault="00FA1768" w:rsidP="00FA1768">
            <w:pPr>
              <w:pStyle w:val="TableText"/>
              <w:spacing w:before="54" w:after="54"/>
              <w:rPr>
                <w:b/>
                <w:bCs/>
              </w:rPr>
            </w:pPr>
            <w:r w:rsidRPr="00FA1768">
              <w:rPr>
                <w:b/>
                <w:bCs/>
              </w:rPr>
              <w:t>Total non-departmental revaluation and impairment adjustments</w:t>
            </w:r>
          </w:p>
        </w:tc>
        <w:tc>
          <w:tcPr>
            <w:tcW w:w="430" w:type="dxa"/>
            <w:tcBorders>
              <w:bottom w:val="single" w:sz="4" w:space="0" w:color="A6A6A6" w:themeColor="background1" w:themeShade="A6"/>
            </w:tcBorders>
          </w:tcPr>
          <w:p w14:paraId="22BBCADF" w14:textId="104E269C" w:rsidR="00FA1768" w:rsidRPr="00FA1768" w:rsidRDefault="00FA1768" w:rsidP="00FA1768">
            <w:pPr>
              <w:pStyle w:val="TableText"/>
              <w:spacing w:before="54" w:after="54"/>
              <w:ind w:left="0" w:right="0"/>
              <w:jc w:val="right"/>
              <w:rPr>
                <w:b/>
                <w:bCs/>
                <w:i/>
                <w:iCs/>
              </w:rPr>
            </w:pPr>
          </w:p>
        </w:tc>
        <w:tc>
          <w:tcPr>
            <w:tcW w:w="1151" w:type="dxa"/>
            <w:tcBorders>
              <w:bottom w:val="single" w:sz="4" w:space="0" w:color="A6A6A6" w:themeColor="background1" w:themeShade="A6"/>
            </w:tcBorders>
          </w:tcPr>
          <w:p w14:paraId="196297DE" w14:textId="712B1A40" w:rsidR="00FA1768" w:rsidRPr="00FA1768" w:rsidRDefault="00FA1768" w:rsidP="00FA1768">
            <w:pPr>
              <w:pStyle w:val="TableText"/>
              <w:spacing w:before="54" w:after="54"/>
              <w:jc w:val="right"/>
              <w:rPr>
                <w:b/>
                <w:bCs/>
              </w:rPr>
            </w:pPr>
            <w:r w:rsidRPr="00FA1768">
              <w:rPr>
                <w:b/>
                <w:bCs/>
              </w:rPr>
              <w:t>2,494</w:t>
            </w:r>
          </w:p>
        </w:tc>
        <w:tc>
          <w:tcPr>
            <w:tcW w:w="1115" w:type="dxa"/>
            <w:tcBorders>
              <w:bottom w:val="single" w:sz="4" w:space="0" w:color="A6A6A6" w:themeColor="background1" w:themeShade="A6"/>
            </w:tcBorders>
          </w:tcPr>
          <w:p w14:paraId="7668E4BB" w14:textId="1D9AEF74" w:rsidR="00FA1768" w:rsidRPr="00FA1768" w:rsidRDefault="00FA1768" w:rsidP="00FA1768">
            <w:pPr>
              <w:pStyle w:val="TableText"/>
              <w:spacing w:before="54" w:after="54"/>
              <w:jc w:val="right"/>
              <w:rPr>
                <w:b/>
                <w:bCs/>
              </w:rPr>
            </w:pPr>
            <w:r w:rsidRPr="00FA1768">
              <w:rPr>
                <w:b/>
                <w:bCs/>
              </w:rPr>
              <w:t>–</w:t>
            </w:r>
          </w:p>
        </w:tc>
        <w:tc>
          <w:tcPr>
            <w:tcW w:w="1136" w:type="dxa"/>
            <w:tcBorders>
              <w:bottom w:val="single" w:sz="4" w:space="0" w:color="A6A6A6" w:themeColor="background1" w:themeShade="A6"/>
            </w:tcBorders>
          </w:tcPr>
          <w:p w14:paraId="311BC5E8" w14:textId="5BE105B0" w:rsidR="00FA1768" w:rsidRPr="00FA1768" w:rsidRDefault="00FA1768" w:rsidP="00FA1768">
            <w:pPr>
              <w:pStyle w:val="TableText"/>
              <w:spacing w:before="54" w:after="54"/>
              <w:jc w:val="right"/>
              <w:rPr>
                <w:b/>
                <w:bCs/>
              </w:rPr>
            </w:pPr>
            <w:r w:rsidRPr="00FA1768">
              <w:rPr>
                <w:b/>
                <w:bCs/>
              </w:rPr>
              <w:t>–</w:t>
            </w:r>
          </w:p>
        </w:tc>
        <w:tc>
          <w:tcPr>
            <w:tcW w:w="1276" w:type="dxa"/>
            <w:tcBorders>
              <w:bottom w:val="single" w:sz="4" w:space="0" w:color="A6A6A6" w:themeColor="background1" w:themeShade="A6"/>
            </w:tcBorders>
          </w:tcPr>
          <w:p w14:paraId="11842562" w14:textId="212BE0E0" w:rsidR="00FA1768" w:rsidRPr="00FA1768" w:rsidRDefault="00FA1768" w:rsidP="00FA1768">
            <w:pPr>
              <w:pStyle w:val="TableText"/>
              <w:spacing w:before="54" w:after="54"/>
              <w:jc w:val="right"/>
              <w:rPr>
                <w:b/>
                <w:bCs/>
              </w:rPr>
            </w:pPr>
          </w:p>
        </w:tc>
      </w:tr>
      <w:tr w:rsidR="00E66E92" w:rsidRPr="00E66E92" w14:paraId="69EA2116" w14:textId="77777777" w:rsidTr="00FA1768">
        <w:trPr>
          <w:trHeight w:val="340"/>
        </w:trPr>
        <w:tc>
          <w:tcPr>
            <w:tcW w:w="1264" w:type="dxa"/>
            <w:tcBorders>
              <w:top w:val="single" w:sz="4" w:space="0" w:color="A6A6A6" w:themeColor="background1" w:themeShade="A6"/>
              <w:bottom w:val="single" w:sz="4" w:space="0" w:color="A6A6A6" w:themeColor="background1" w:themeShade="A6"/>
            </w:tcBorders>
          </w:tcPr>
          <w:p w14:paraId="46379189" w14:textId="12113793" w:rsidR="00E66E92" w:rsidRPr="00E66E92" w:rsidRDefault="00E66E92" w:rsidP="00E66E92">
            <w:pPr>
              <w:pStyle w:val="TableText"/>
              <w:spacing w:before="54" w:after="54"/>
              <w:jc w:val="right"/>
              <w:rPr>
                <w:b/>
                <w:bCs/>
              </w:rPr>
            </w:pPr>
            <w:r w:rsidRPr="00E66E92">
              <w:rPr>
                <w:b/>
                <w:bCs/>
              </w:rPr>
              <w:t>20,320,365</w:t>
            </w:r>
          </w:p>
        </w:tc>
        <w:tc>
          <w:tcPr>
            <w:tcW w:w="2977" w:type="dxa"/>
            <w:tcBorders>
              <w:top w:val="single" w:sz="4" w:space="0" w:color="A6A6A6" w:themeColor="background1" w:themeShade="A6"/>
              <w:bottom w:val="single" w:sz="4" w:space="0" w:color="A6A6A6" w:themeColor="background1" w:themeShade="A6"/>
            </w:tcBorders>
          </w:tcPr>
          <w:p w14:paraId="5CD7144D" w14:textId="398DC1DE" w:rsidR="00E66E92" w:rsidRPr="00E66E92" w:rsidRDefault="00E66E92" w:rsidP="00E66E92">
            <w:pPr>
              <w:pStyle w:val="TableText"/>
              <w:spacing w:before="54" w:after="54"/>
              <w:rPr>
                <w:b/>
                <w:bCs/>
              </w:rPr>
            </w:pPr>
            <w:r w:rsidRPr="00E66E92">
              <w:rPr>
                <w:b/>
                <w:bCs/>
              </w:rPr>
              <w:t>Total non-departmental expenses</w:t>
            </w:r>
          </w:p>
        </w:tc>
        <w:tc>
          <w:tcPr>
            <w:tcW w:w="430" w:type="dxa"/>
            <w:tcBorders>
              <w:top w:val="single" w:sz="4" w:space="0" w:color="A6A6A6" w:themeColor="background1" w:themeShade="A6"/>
              <w:bottom w:val="single" w:sz="4" w:space="0" w:color="A6A6A6" w:themeColor="background1" w:themeShade="A6"/>
            </w:tcBorders>
          </w:tcPr>
          <w:p w14:paraId="4232BE84" w14:textId="2818879B" w:rsidR="00E66E92" w:rsidRPr="00E66E92" w:rsidRDefault="00E66E92" w:rsidP="00E66E92">
            <w:pPr>
              <w:pStyle w:val="TableText"/>
              <w:spacing w:before="54" w:after="54"/>
              <w:ind w:left="0" w:right="0"/>
              <w:jc w:val="right"/>
              <w:rPr>
                <w:b/>
                <w:bCs/>
                <w:i/>
                <w:iCs/>
              </w:rPr>
            </w:pPr>
          </w:p>
        </w:tc>
        <w:tc>
          <w:tcPr>
            <w:tcW w:w="1151" w:type="dxa"/>
            <w:tcBorders>
              <w:top w:val="single" w:sz="4" w:space="0" w:color="A6A6A6" w:themeColor="background1" w:themeShade="A6"/>
              <w:bottom w:val="single" w:sz="4" w:space="0" w:color="A6A6A6" w:themeColor="background1" w:themeShade="A6"/>
            </w:tcBorders>
          </w:tcPr>
          <w:p w14:paraId="2FC3A10D" w14:textId="0CF22D75" w:rsidR="00E66E92" w:rsidRPr="00E66E92" w:rsidRDefault="00E66E92" w:rsidP="00E66E92">
            <w:pPr>
              <w:pStyle w:val="TableText"/>
              <w:spacing w:before="54" w:after="54"/>
              <w:jc w:val="right"/>
              <w:rPr>
                <w:b/>
                <w:bCs/>
              </w:rPr>
            </w:pPr>
            <w:r w:rsidRPr="00E66E92">
              <w:rPr>
                <w:b/>
                <w:bCs/>
              </w:rPr>
              <w:t>24,945,083</w:t>
            </w:r>
          </w:p>
        </w:tc>
        <w:tc>
          <w:tcPr>
            <w:tcW w:w="1115" w:type="dxa"/>
            <w:tcBorders>
              <w:top w:val="single" w:sz="4" w:space="0" w:color="A6A6A6" w:themeColor="background1" w:themeShade="A6"/>
              <w:bottom w:val="single" w:sz="4" w:space="0" w:color="A6A6A6" w:themeColor="background1" w:themeShade="A6"/>
            </w:tcBorders>
          </w:tcPr>
          <w:p w14:paraId="7F06340E" w14:textId="41C6AC48" w:rsidR="00E66E92" w:rsidRPr="00E66E92" w:rsidRDefault="00E66E92" w:rsidP="00E66E92">
            <w:pPr>
              <w:pStyle w:val="TableText"/>
              <w:spacing w:before="54" w:after="54"/>
              <w:jc w:val="right"/>
              <w:rPr>
                <w:b/>
                <w:bCs/>
              </w:rPr>
            </w:pPr>
            <w:r w:rsidRPr="00E66E92">
              <w:rPr>
                <w:b/>
                <w:bCs/>
              </w:rPr>
              <w:t>22,321,288</w:t>
            </w:r>
          </w:p>
        </w:tc>
        <w:tc>
          <w:tcPr>
            <w:tcW w:w="1136" w:type="dxa"/>
            <w:tcBorders>
              <w:top w:val="single" w:sz="4" w:space="0" w:color="A6A6A6" w:themeColor="background1" w:themeShade="A6"/>
              <w:bottom w:val="single" w:sz="4" w:space="0" w:color="A6A6A6" w:themeColor="background1" w:themeShade="A6"/>
            </w:tcBorders>
          </w:tcPr>
          <w:p w14:paraId="2C07F01A" w14:textId="7DCC2AA2" w:rsidR="00E66E92" w:rsidRPr="00E66E92" w:rsidRDefault="00E66E92" w:rsidP="00E66E92">
            <w:pPr>
              <w:pStyle w:val="TableText"/>
              <w:spacing w:before="54" w:after="54"/>
              <w:jc w:val="right"/>
              <w:rPr>
                <w:b/>
                <w:bCs/>
              </w:rPr>
            </w:pPr>
            <w:r w:rsidRPr="00E66E92">
              <w:rPr>
                <w:b/>
                <w:bCs/>
              </w:rPr>
              <w:t>27,238,757</w:t>
            </w:r>
          </w:p>
        </w:tc>
        <w:tc>
          <w:tcPr>
            <w:tcW w:w="1276" w:type="dxa"/>
            <w:tcBorders>
              <w:top w:val="single" w:sz="4" w:space="0" w:color="A6A6A6" w:themeColor="background1" w:themeShade="A6"/>
              <w:bottom w:val="single" w:sz="4" w:space="0" w:color="A6A6A6" w:themeColor="background1" w:themeShade="A6"/>
            </w:tcBorders>
          </w:tcPr>
          <w:p w14:paraId="4792E864" w14:textId="77777777" w:rsidR="00E66E92" w:rsidRPr="00E66E92" w:rsidRDefault="00E66E92" w:rsidP="00E66E92">
            <w:pPr>
              <w:pStyle w:val="TableText"/>
              <w:spacing w:before="54" w:after="54"/>
              <w:jc w:val="right"/>
              <w:rPr>
                <w:b/>
                <w:bCs/>
              </w:rPr>
            </w:pPr>
          </w:p>
        </w:tc>
      </w:tr>
      <w:tr w:rsidR="00E66E92" w:rsidRPr="00695513" w14:paraId="7C36B3EB" w14:textId="77777777" w:rsidTr="00FA1768">
        <w:trPr>
          <w:trHeight w:val="340"/>
        </w:trPr>
        <w:tc>
          <w:tcPr>
            <w:tcW w:w="1264" w:type="dxa"/>
            <w:tcBorders>
              <w:top w:val="single" w:sz="4" w:space="0" w:color="A6A6A6" w:themeColor="background1" w:themeShade="A6"/>
            </w:tcBorders>
          </w:tcPr>
          <w:p w14:paraId="39ADB8E0" w14:textId="77777777" w:rsidR="00E66E92" w:rsidRPr="00232391" w:rsidRDefault="00E66E92" w:rsidP="00E66E92">
            <w:pPr>
              <w:pStyle w:val="TableText"/>
              <w:spacing w:before="54" w:after="54"/>
              <w:jc w:val="right"/>
            </w:pPr>
          </w:p>
        </w:tc>
        <w:tc>
          <w:tcPr>
            <w:tcW w:w="2977" w:type="dxa"/>
            <w:tcBorders>
              <w:top w:val="single" w:sz="4" w:space="0" w:color="A6A6A6" w:themeColor="background1" w:themeShade="A6"/>
            </w:tcBorders>
          </w:tcPr>
          <w:p w14:paraId="589A392C" w14:textId="180D7DF1" w:rsidR="00E66E92" w:rsidRPr="00FA1768" w:rsidRDefault="00E66E92" w:rsidP="00E66E92">
            <w:pPr>
              <w:pStyle w:val="TableText"/>
              <w:spacing w:before="54" w:after="54"/>
              <w:rPr>
                <w:b/>
                <w:bCs/>
              </w:rPr>
            </w:pPr>
            <w:r w:rsidRPr="00FA1768">
              <w:rPr>
                <w:b/>
                <w:bCs/>
              </w:rPr>
              <w:t>Non-departmental capital</w:t>
            </w:r>
            <w:r w:rsidR="00FA1768" w:rsidRPr="00FA1768">
              <w:rPr>
                <w:b/>
                <w:bCs/>
              </w:rPr>
              <w:t xml:space="preserve"> contributions to other persons or organisations</w:t>
            </w:r>
          </w:p>
        </w:tc>
        <w:tc>
          <w:tcPr>
            <w:tcW w:w="430" w:type="dxa"/>
            <w:tcBorders>
              <w:top w:val="single" w:sz="4" w:space="0" w:color="A6A6A6" w:themeColor="background1" w:themeShade="A6"/>
            </w:tcBorders>
          </w:tcPr>
          <w:p w14:paraId="2F9037FC" w14:textId="77777777" w:rsidR="00E66E92" w:rsidRPr="00695513" w:rsidRDefault="00E66E92" w:rsidP="00E66E92">
            <w:pPr>
              <w:pStyle w:val="TableText"/>
              <w:spacing w:before="54" w:after="54"/>
              <w:ind w:left="0" w:right="0"/>
              <w:jc w:val="right"/>
              <w:rPr>
                <w:i/>
                <w:iCs/>
              </w:rPr>
            </w:pPr>
          </w:p>
        </w:tc>
        <w:tc>
          <w:tcPr>
            <w:tcW w:w="1151" w:type="dxa"/>
            <w:tcBorders>
              <w:top w:val="single" w:sz="4" w:space="0" w:color="A6A6A6" w:themeColor="background1" w:themeShade="A6"/>
            </w:tcBorders>
          </w:tcPr>
          <w:p w14:paraId="4AC080B5" w14:textId="77777777" w:rsidR="00E66E92" w:rsidRPr="008F4CAE" w:rsidRDefault="00E66E92" w:rsidP="00E66E92">
            <w:pPr>
              <w:pStyle w:val="TableText"/>
              <w:spacing w:before="54" w:after="54"/>
              <w:jc w:val="right"/>
            </w:pPr>
          </w:p>
        </w:tc>
        <w:tc>
          <w:tcPr>
            <w:tcW w:w="1115" w:type="dxa"/>
            <w:tcBorders>
              <w:top w:val="single" w:sz="4" w:space="0" w:color="A6A6A6" w:themeColor="background1" w:themeShade="A6"/>
            </w:tcBorders>
          </w:tcPr>
          <w:p w14:paraId="56168881" w14:textId="77777777" w:rsidR="00E66E92" w:rsidRPr="008F4CAE" w:rsidRDefault="00E66E92" w:rsidP="00E66E92">
            <w:pPr>
              <w:pStyle w:val="TableText"/>
              <w:spacing w:before="54" w:after="54"/>
              <w:jc w:val="right"/>
            </w:pPr>
          </w:p>
        </w:tc>
        <w:tc>
          <w:tcPr>
            <w:tcW w:w="1136" w:type="dxa"/>
            <w:tcBorders>
              <w:top w:val="single" w:sz="4" w:space="0" w:color="A6A6A6" w:themeColor="background1" w:themeShade="A6"/>
            </w:tcBorders>
          </w:tcPr>
          <w:p w14:paraId="397F9428" w14:textId="77777777" w:rsidR="00E66E92" w:rsidRPr="008F4CAE" w:rsidRDefault="00E66E92" w:rsidP="00E66E92">
            <w:pPr>
              <w:pStyle w:val="TableText"/>
              <w:spacing w:before="54" w:after="54"/>
              <w:jc w:val="right"/>
            </w:pPr>
          </w:p>
        </w:tc>
        <w:tc>
          <w:tcPr>
            <w:tcW w:w="1276" w:type="dxa"/>
            <w:tcBorders>
              <w:top w:val="single" w:sz="4" w:space="0" w:color="A6A6A6" w:themeColor="background1" w:themeShade="A6"/>
            </w:tcBorders>
          </w:tcPr>
          <w:p w14:paraId="6E638D75" w14:textId="77777777" w:rsidR="00E66E92" w:rsidRPr="008F4CAE" w:rsidRDefault="00E66E92" w:rsidP="00E66E92">
            <w:pPr>
              <w:pStyle w:val="TableText"/>
              <w:spacing w:before="54" w:after="54"/>
              <w:jc w:val="right"/>
            </w:pPr>
          </w:p>
        </w:tc>
      </w:tr>
      <w:tr w:rsidR="00FA1768" w:rsidRPr="00695513" w14:paraId="4442808A" w14:textId="77777777" w:rsidTr="00FA1768">
        <w:trPr>
          <w:trHeight w:val="340"/>
        </w:trPr>
        <w:tc>
          <w:tcPr>
            <w:tcW w:w="1264" w:type="dxa"/>
          </w:tcPr>
          <w:p w14:paraId="1B9F7C89" w14:textId="651CBA19" w:rsidR="00FA1768" w:rsidRPr="00232391" w:rsidRDefault="00FA1768" w:rsidP="00FA1768">
            <w:pPr>
              <w:pStyle w:val="TableText"/>
              <w:spacing w:before="54" w:after="54"/>
              <w:jc w:val="right"/>
            </w:pPr>
            <w:r w:rsidRPr="00E86D38">
              <w:t>240,000</w:t>
            </w:r>
          </w:p>
        </w:tc>
        <w:tc>
          <w:tcPr>
            <w:tcW w:w="2977" w:type="dxa"/>
          </w:tcPr>
          <w:p w14:paraId="5079455F" w14:textId="3762386C" w:rsidR="00FA1768" w:rsidRPr="00232391" w:rsidRDefault="00FA1768" w:rsidP="00FA1768">
            <w:pPr>
              <w:pStyle w:val="TableText"/>
              <w:spacing w:before="54" w:after="54"/>
            </w:pPr>
            <w:r w:rsidRPr="00E86D38">
              <w:t>Equity support for DHB</w:t>
            </w:r>
            <w:r>
              <w:t xml:space="preserve"> deficits</w:t>
            </w:r>
          </w:p>
        </w:tc>
        <w:tc>
          <w:tcPr>
            <w:tcW w:w="430" w:type="dxa"/>
          </w:tcPr>
          <w:p w14:paraId="576730CA" w14:textId="46C4049A" w:rsidR="00FA1768" w:rsidRPr="00695513" w:rsidRDefault="00FA1768" w:rsidP="00FA1768">
            <w:pPr>
              <w:pStyle w:val="TableText"/>
              <w:spacing w:before="54" w:after="54"/>
              <w:ind w:left="0" w:right="0"/>
              <w:jc w:val="right"/>
              <w:rPr>
                <w:i/>
                <w:iCs/>
              </w:rPr>
            </w:pPr>
            <w:r w:rsidRPr="00E86D38">
              <w:t>2.11</w:t>
            </w:r>
          </w:p>
        </w:tc>
        <w:tc>
          <w:tcPr>
            <w:tcW w:w="1151" w:type="dxa"/>
          </w:tcPr>
          <w:p w14:paraId="2CC7A913" w14:textId="68F16F58" w:rsidR="00FA1768" w:rsidRPr="008F4CAE" w:rsidRDefault="00FA1768" w:rsidP="00FA1768">
            <w:pPr>
              <w:pStyle w:val="TableText"/>
              <w:spacing w:before="54" w:after="54"/>
              <w:jc w:val="right"/>
            </w:pPr>
            <w:r w:rsidRPr="00E86D38">
              <w:t>280,000</w:t>
            </w:r>
          </w:p>
        </w:tc>
        <w:tc>
          <w:tcPr>
            <w:tcW w:w="1115" w:type="dxa"/>
          </w:tcPr>
          <w:p w14:paraId="02AE02C4" w14:textId="11497649" w:rsidR="00FA1768" w:rsidRPr="008F4CAE" w:rsidRDefault="00FA1768" w:rsidP="00FA1768">
            <w:pPr>
              <w:pStyle w:val="TableText"/>
              <w:spacing w:before="54" w:after="54"/>
              <w:jc w:val="right"/>
            </w:pPr>
            <w:r w:rsidRPr="00E86D38">
              <w:t>39,211</w:t>
            </w:r>
          </w:p>
        </w:tc>
        <w:tc>
          <w:tcPr>
            <w:tcW w:w="1136" w:type="dxa"/>
          </w:tcPr>
          <w:p w14:paraId="68ACC9E8" w14:textId="1B7FDEB7" w:rsidR="00FA1768" w:rsidRPr="008F4CAE" w:rsidRDefault="00FA1768" w:rsidP="00FA1768">
            <w:pPr>
              <w:pStyle w:val="TableText"/>
              <w:spacing w:before="54" w:after="54"/>
              <w:jc w:val="right"/>
            </w:pPr>
            <w:r w:rsidRPr="00206292">
              <w:t>280,000</w:t>
            </w:r>
          </w:p>
        </w:tc>
        <w:tc>
          <w:tcPr>
            <w:tcW w:w="1276" w:type="dxa"/>
          </w:tcPr>
          <w:p w14:paraId="47CAA5AC" w14:textId="50E8E13A" w:rsidR="00FA1768" w:rsidRPr="008F4CAE" w:rsidRDefault="00FA1768" w:rsidP="00FA1768">
            <w:pPr>
              <w:pStyle w:val="TableText"/>
              <w:spacing w:before="54" w:after="54"/>
              <w:jc w:val="right"/>
            </w:pPr>
            <w:r w:rsidRPr="00E86D38">
              <w:t>2</w:t>
            </w:r>
          </w:p>
        </w:tc>
      </w:tr>
      <w:tr w:rsidR="00FA1768" w:rsidRPr="00695513" w14:paraId="32BE330E" w14:textId="77777777" w:rsidTr="00FA1768">
        <w:trPr>
          <w:trHeight w:val="340"/>
        </w:trPr>
        <w:tc>
          <w:tcPr>
            <w:tcW w:w="1264" w:type="dxa"/>
          </w:tcPr>
          <w:p w14:paraId="3FF1BC44" w14:textId="11154896" w:rsidR="00FA1768" w:rsidRPr="00232391" w:rsidRDefault="00FA1768" w:rsidP="00FA1768">
            <w:pPr>
              <w:pStyle w:val="TableText"/>
              <w:spacing w:before="54" w:after="54"/>
              <w:jc w:val="right"/>
            </w:pPr>
            <w:r w:rsidRPr="00E86D38">
              <w:t>966,203</w:t>
            </w:r>
          </w:p>
        </w:tc>
        <w:tc>
          <w:tcPr>
            <w:tcW w:w="2977" w:type="dxa"/>
          </w:tcPr>
          <w:p w14:paraId="37D04A8E" w14:textId="2F492DA7" w:rsidR="00FA1768" w:rsidRPr="00232391" w:rsidRDefault="00FA1768" w:rsidP="00FA1768">
            <w:pPr>
              <w:pStyle w:val="TableText"/>
              <w:spacing w:before="54" w:after="54"/>
            </w:pPr>
            <w:r w:rsidRPr="00E86D38">
              <w:t>Health capital envelope</w:t>
            </w:r>
            <w:r>
              <w:t xml:space="preserve"> 2020-2025 (MYA)</w:t>
            </w:r>
          </w:p>
        </w:tc>
        <w:tc>
          <w:tcPr>
            <w:tcW w:w="430" w:type="dxa"/>
          </w:tcPr>
          <w:p w14:paraId="4CC8F8DC" w14:textId="09F1C0D6" w:rsidR="00FA1768" w:rsidRPr="00695513" w:rsidRDefault="00FA1768" w:rsidP="00FA1768">
            <w:pPr>
              <w:pStyle w:val="TableText"/>
              <w:spacing w:before="54" w:after="54"/>
              <w:ind w:left="0" w:right="0"/>
              <w:jc w:val="right"/>
              <w:rPr>
                <w:i/>
                <w:iCs/>
              </w:rPr>
            </w:pPr>
            <w:r w:rsidRPr="00E86D38">
              <w:t>2.12</w:t>
            </w:r>
          </w:p>
        </w:tc>
        <w:tc>
          <w:tcPr>
            <w:tcW w:w="1151" w:type="dxa"/>
          </w:tcPr>
          <w:p w14:paraId="54FFF081" w14:textId="1A7F7D21" w:rsidR="00FA1768" w:rsidRPr="008F4CAE" w:rsidRDefault="00FA1768" w:rsidP="00FA1768">
            <w:pPr>
              <w:pStyle w:val="TableText"/>
              <w:spacing w:before="54" w:after="54"/>
              <w:jc w:val="right"/>
            </w:pPr>
            <w:r w:rsidRPr="00E86D38">
              <w:t>424,961</w:t>
            </w:r>
          </w:p>
        </w:tc>
        <w:tc>
          <w:tcPr>
            <w:tcW w:w="1115" w:type="dxa"/>
          </w:tcPr>
          <w:p w14:paraId="79BA63DF" w14:textId="27F014FC" w:rsidR="00FA1768" w:rsidRPr="008F4CAE" w:rsidRDefault="00FA1768" w:rsidP="00FA1768">
            <w:pPr>
              <w:pStyle w:val="TableText"/>
              <w:spacing w:before="54" w:after="54"/>
              <w:jc w:val="right"/>
            </w:pPr>
            <w:r w:rsidRPr="00E86D38">
              <w:t>1,548,255</w:t>
            </w:r>
          </w:p>
        </w:tc>
        <w:tc>
          <w:tcPr>
            <w:tcW w:w="1136" w:type="dxa"/>
          </w:tcPr>
          <w:p w14:paraId="7E964823" w14:textId="138FCF66" w:rsidR="00FA1768" w:rsidRPr="008F4CAE" w:rsidRDefault="00FA1768" w:rsidP="00FA1768">
            <w:pPr>
              <w:pStyle w:val="TableText"/>
              <w:spacing w:before="54" w:after="54"/>
              <w:jc w:val="right"/>
            </w:pPr>
            <w:r w:rsidRPr="00206292">
              <w:t>479,531</w:t>
            </w:r>
          </w:p>
        </w:tc>
        <w:tc>
          <w:tcPr>
            <w:tcW w:w="1276" w:type="dxa"/>
          </w:tcPr>
          <w:p w14:paraId="665A56BB" w14:textId="03B4BFCD" w:rsidR="00FA1768" w:rsidRPr="008F4CAE" w:rsidRDefault="00FA1768" w:rsidP="00FA1768">
            <w:pPr>
              <w:pStyle w:val="TableText"/>
              <w:spacing w:before="54" w:after="54"/>
              <w:jc w:val="right"/>
            </w:pPr>
            <w:r w:rsidRPr="00E86D38">
              <w:t>3</w:t>
            </w:r>
          </w:p>
        </w:tc>
      </w:tr>
      <w:tr w:rsidR="00FA1768" w:rsidRPr="00695513" w14:paraId="69F8C1F8" w14:textId="77777777" w:rsidTr="00FA1768">
        <w:trPr>
          <w:trHeight w:val="340"/>
        </w:trPr>
        <w:tc>
          <w:tcPr>
            <w:tcW w:w="1264" w:type="dxa"/>
          </w:tcPr>
          <w:p w14:paraId="7EE74FB6" w14:textId="482EBD91" w:rsidR="00FA1768" w:rsidRPr="00232391" w:rsidRDefault="00FA1768" w:rsidP="00FA1768">
            <w:pPr>
              <w:pStyle w:val="TableText"/>
              <w:spacing w:before="54" w:after="54"/>
              <w:jc w:val="right"/>
            </w:pPr>
            <w:r w:rsidRPr="00E86D38">
              <w:t>–</w:t>
            </w:r>
          </w:p>
        </w:tc>
        <w:tc>
          <w:tcPr>
            <w:tcW w:w="2977" w:type="dxa"/>
          </w:tcPr>
          <w:p w14:paraId="0AE9F6DA" w14:textId="4BBEB0A0" w:rsidR="00FA1768" w:rsidRPr="00232391" w:rsidRDefault="00FA1768" w:rsidP="00FA1768">
            <w:pPr>
              <w:pStyle w:val="TableText"/>
              <w:spacing w:before="54" w:after="54"/>
            </w:pPr>
            <w:r w:rsidRPr="00E86D38">
              <w:t>New Dunedin Hospital 2021-</w:t>
            </w:r>
            <w:r>
              <w:t>2026 (MYA)</w:t>
            </w:r>
          </w:p>
        </w:tc>
        <w:tc>
          <w:tcPr>
            <w:tcW w:w="430" w:type="dxa"/>
          </w:tcPr>
          <w:p w14:paraId="4CAFB4E1" w14:textId="47DB7A08" w:rsidR="00FA1768" w:rsidRPr="00695513" w:rsidRDefault="00FA1768" w:rsidP="00FA1768">
            <w:pPr>
              <w:pStyle w:val="TableText"/>
              <w:spacing w:before="54" w:after="54"/>
              <w:ind w:left="0" w:right="0"/>
              <w:jc w:val="right"/>
              <w:rPr>
                <w:i/>
                <w:iCs/>
              </w:rPr>
            </w:pPr>
            <w:r w:rsidRPr="00E86D38">
              <w:t>2.13</w:t>
            </w:r>
          </w:p>
        </w:tc>
        <w:tc>
          <w:tcPr>
            <w:tcW w:w="1151" w:type="dxa"/>
          </w:tcPr>
          <w:p w14:paraId="0BBAF19C" w14:textId="6765C1E5" w:rsidR="00FA1768" w:rsidRPr="008F4CAE" w:rsidRDefault="00FA1768" w:rsidP="00FA1768">
            <w:pPr>
              <w:pStyle w:val="TableText"/>
              <w:spacing w:before="54" w:after="54"/>
              <w:jc w:val="right"/>
            </w:pPr>
            <w:r w:rsidRPr="00F43014">
              <w:t>32,421</w:t>
            </w:r>
          </w:p>
        </w:tc>
        <w:tc>
          <w:tcPr>
            <w:tcW w:w="1115" w:type="dxa"/>
          </w:tcPr>
          <w:p w14:paraId="1DD3A74B" w14:textId="49A6648F" w:rsidR="00FA1768" w:rsidRPr="008F4CAE" w:rsidRDefault="00FA1768" w:rsidP="00FA1768">
            <w:pPr>
              <w:pStyle w:val="TableText"/>
              <w:spacing w:before="54" w:after="54"/>
              <w:jc w:val="right"/>
            </w:pPr>
            <w:r w:rsidRPr="00F43014">
              <w:t>–</w:t>
            </w:r>
          </w:p>
        </w:tc>
        <w:tc>
          <w:tcPr>
            <w:tcW w:w="1136" w:type="dxa"/>
          </w:tcPr>
          <w:p w14:paraId="5BC5B5DF" w14:textId="0F144962" w:rsidR="00FA1768" w:rsidRPr="008F4CAE" w:rsidRDefault="00FA1768" w:rsidP="00FA1768">
            <w:pPr>
              <w:pStyle w:val="TableText"/>
              <w:spacing w:before="54" w:after="54"/>
              <w:jc w:val="right"/>
            </w:pPr>
            <w:r w:rsidRPr="00206292">
              <w:t>81,548</w:t>
            </w:r>
          </w:p>
        </w:tc>
        <w:tc>
          <w:tcPr>
            <w:tcW w:w="1276" w:type="dxa"/>
          </w:tcPr>
          <w:p w14:paraId="4ADF0CBE" w14:textId="5DFB8A25" w:rsidR="00FA1768" w:rsidRPr="008F4CAE" w:rsidRDefault="00FA1768" w:rsidP="00FA1768">
            <w:pPr>
              <w:pStyle w:val="TableText"/>
              <w:spacing w:before="54" w:after="54"/>
              <w:jc w:val="right"/>
            </w:pPr>
            <w:r w:rsidRPr="00E86D38">
              <w:t>3</w:t>
            </w:r>
          </w:p>
        </w:tc>
      </w:tr>
      <w:tr w:rsidR="00FA1768" w:rsidRPr="00695513" w14:paraId="0B2C7A2F" w14:textId="77777777" w:rsidTr="00FA1768">
        <w:trPr>
          <w:trHeight w:val="340"/>
        </w:trPr>
        <w:tc>
          <w:tcPr>
            <w:tcW w:w="1264" w:type="dxa"/>
          </w:tcPr>
          <w:p w14:paraId="7FF6C605" w14:textId="15EF852F" w:rsidR="00FA1768" w:rsidRPr="00232391" w:rsidRDefault="00FA1768" w:rsidP="00FA1768">
            <w:pPr>
              <w:pStyle w:val="TableText"/>
              <w:spacing w:before="54" w:after="54"/>
              <w:jc w:val="right"/>
            </w:pPr>
            <w:r w:rsidRPr="00E86D38">
              <w:t>18,395</w:t>
            </w:r>
          </w:p>
        </w:tc>
        <w:tc>
          <w:tcPr>
            <w:tcW w:w="2977" w:type="dxa"/>
          </w:tcPr>
          <w:p w14:paraId="39179EE2" w14:textId="78CBE2F9" w:rsidR="00FA1768" w:rsidRPr="00232391" w:rsidRDefault="00FA1768" w:rsidP="00FA1768">
            <w:pPr>
              <w:pStyle w:val="TableText"/>
              <w:spacing w:before="54" w:after="54"/>
            </w:pPr>
            <w:r w:rsidRPr="00E86D38">
              <w:t>Residential care loans –</w:t>
            </w:r>
            <w:r>
              <w:t xml:space="preserve"> payments</w:t>
            </w:r>
          </w:p>
        </w:tc>
        <w:tc>
          <w:tcPr>
            <w:tcW w:w="430" w:type="dxa"/>
          </w:tcPr>
          <w:p w14:paraId="5A3721B0" w14:textId="2DF99816" w:rsidR="00FA1768" w:rsidRPr="00695513" w:rsidRDefault="00FA1768" w:rsidP="00FA1768">
            <w:pPr>
              <w:pStyle w:val="TableText"/>
              <w:spacing w:before="54" w:after="54"/>
              <w:ind w:left="0" w:right="0"/>
              <w:jc w:val="right"/>
              <w:rPr>
                <w:i/>
                <w:iCs/>
              </w:rPr>
            </w:pPr>
          </w:p>
        </w:tc>
        <w:tc>
          <w:tcPr>
            <w:tcW w:w="1151" w:type="dxa"/>
          </w:tcPr>
          <w:p w14:paraId="101431C2" w14:textId="0F6CA861" w:rsidR="00FA1768" w:rsidRPr="008F4CAE" w:rsidRDefault="00FA1768" w:rsidP="00FA1768">
            <w:pPr>
              <w:pStyle w:val="TableText"/>
              <w:spacing w:before="54" w:after="54"/>
              <w:jc w:val="right"/>
            </w:pPr>
            <w:r w:rsidRPr="00F43014">
              <w:t>18,210</w:t>
            </w:r>
          </w:p>
        </w:tc>
        <w:tc>
          <w:tcPr>
            <w:tcW w:w="1115" w:type="dxa"/>
          </w:tcPr>
          <w:p w14:paraId="71C5AAA0" w14:textId="56845054" w:rsidR="00FA1768" w:rsidRPr="008F4CAE" w:rsidRDefault="00FA1768" w:rsidP="00FA1768">
            <w:pPr>
              <w:pStyle w:val="TableText"/>
              <w:spacing w:before="54" w:after="54"/>
              <w:jc w:val="right"/>
            </w:pPr>
            <w:r w:rsidRPr="00F43014">
              <w:t>20,000</w:t>
            </w:r>
          </w:p>
        </w:tc>
        <w:tc>
          <w:tcPr>
            <w:tcW w:w="1136" w:type="dxa"/>
          </w:tcPr>
          <w:p w14:paraId="472FC372" w14:textId="184FF977" w:rsidR="00FA1768" w:rsidRPr="008F4CAE" w:rsidRDefault="00FA1768" w:rsidP="00FA1768">
            <w:pPr>
              <w:pStyle w:val="TableText"/>
              <w:spacing w:before="54" w:after="54"/>
              <w:jc w:val="right"/>
            </w:pPr>
            <w:r w:rsidRPr="00206292">
              <w:t>20,000</w:t>
            </w:r>
          </w:p>
        </w:tc>
        <w:tc>
          <w:tcPr>
            <w:tcW w:w="1276" w:type="dxa"/>
          </w:tcPr>
          <w:p w14:paraId="0E69C80E" w14:textId="3523BAD2" w:rsidR="00FA1768" w:rsidRPr="008F4CAE" w:rsidRDefault="00FA1768" w:rsidP="00FA1768">
            <w:pPr>
              <w:pStyle w:val="TableText"/>
              <w:spacing w:before="54" w:after="54"/>
              <w:jc w:val="right"/>
            </w:pPr>
            <w:r w:rsidRPr="002B3636">
              <w:t>4</w:t>
            </w:r>
          </w:p>
        </w:tc>
      </w:tr>
      <w:tr w:rsidR="00FA1768" w:rsidRPr="00695513" w14:paraId="6B7799F8" w14:textId="77777777" w:rsidTr="00FA1768">
        <w:trPr>
          <w:trHeight w:val="340"/>
        </w:trPr>
        <w:tc>
          <w:tcPr>
            <w:tcW w:w="1264" w:type="dxa"/>
          </w:tcPr>
          <w:p w14:paraId="24033F66" w14:textId="2044BA1B" w:rsidR="00FA1768" w:rsidRPr="00232391" w:rsidRDefault="00FA1768" w:rsidP="00FA1768">
            <w:pPr>
              <w:pStyle w:val="TableText"/>
              <w:spacing w:before="54" w:after="54"/>
              <w:jc w:val="right"/>
            </w:pPr>
            <w:r w:rsidRPr="00E86D38">
              <w:t>–</w:t>
            </w:r>
          </w:p>
        </w:tc>
        <w:tc>
          <w:tcPr>
            <w:tcW w:w="2977" w:type="dxa"/>
          </w:tcPr>
          <w:p w14:paraId="2BA3FD6E" w14:textId="1EFA0F40" w:rsidR="00FA1768" w:rsidRPr="00232391" w:rsidRDefault="00FA1768" w:rsidP="00FA1768">
            <w:pPr>
              <w:pStyle w:val="TableText"/>
              <w:spacing w:before="54" w:after="54"/>
            </w:pPr>
            <w:r w:rsidRPr="00E86D38">
              <w:t>Capital investment for</w:t>
            </w:r>
            <w:r>
              <w:t xml:space="preserve"> services to the Health sector</w:t>
            </w:r>
          </w:p>
        </w:tc>
        <w:tc>
          <w:tcPr>
            <w:tcW w:w="430" w:type="dxa"/>
          </w:tcPr>
          <w:p w14:paraId="4D3E227A" w14:textId="722FE1C4" w:rsidR="00FA1768" w:rsidRPr="00695513" w:rsidRDefault="00FA1768" w:rsidP="00FA1768">
            <w:pPr>
              <w:pStyle w:val="TableText"/>
              <w:spacing w:before="54" w:after="54"/>
              <w:ind w:left="0" w:right="0"/>
              <w:jc w:val="right"/>
              <w:rPr>
                <w:i/>
                <w:iCs/>
              </w:rPr>
            </w:pPr>
          </w:p>
        </w:tc>
        <w:tc>
          <w:tcPr>
            <w:tcW w:w="1151" w:type="dxa"/>
          </w:tcPr>
          <w:p w14:paraId="63BD8107" w14:textId="2D0A7E1C" w:rsidR="00FA1768" w:rsidRPr="008F4CAE" w:rsidRDefault="00FA1768" w:rsidP="00FA1768">
            <w:pPr>
              <w:pStyle w:val="TableText"/>
              <w:spacing w:before="54" w:after="54"/>
              <w:jc w:val="right"/>
            </w:pPr>
            <w:r w:rsidRPr="00F43014">
              <w:t>–</w:t>
            </w:r>
          </w:p>
        </w:tc>
        <w:tc>
          <w:tcPr>
            <w:tcW w:w="1115" w:type="dxa"/>
          </w:tcPr>
          <w:p w14:paraId="780BDA28" w14:textId="0694B89D" w:rsidR="00FA1768" w:rsidRPr="008F4CAE" w:rsidRDefault="00FA1768" w:rsidP="00FA1768">
            <w:pPr>
              <w:pStyle w:val="TableText"/>
              <w:spacing w:before="54" w:after="54"/>
              <w:jc w:val="right"/>
            </w:pPr>
            <w:r w:rsidRPr="00F43014">
              <w:t>–</w:t>
            </w:r>
          </w:p>
        </w:tc>
        <w:tc>
          <w:tcPr>
            <w:tcW w:w="1136" w:type="dxa"/>
          </w:tcPr>
          <w:p w14:paraId="79BD30F5" w14:textId="4F21FAEF" w:rsidR="00FA1768" w:rsidRPr="008F4CAE" w:rsidRDefault="00FA1768" w:rsidP="00FA1768">
            <w:pPr>
              <w:pStyle w:val="TableText"/>
              <w:spacing w:before="54" w:after="54"/>
              <w:jc w:val="right"/>
            </w:pPr>
            <w:r w:rsidRPr="00206292">
              <w:t>300</w:t>
            </w:r>
          </w:p>
        </w:tc>
        <w:tc>
          <w:tcPr>
            <w:tcW w:w="1276" w:type="dxa"/>
          </w:tcPr>
          <w:p w14:paraId="6A0C0DBA" w14:textId="36C2CABA" w:rsidR="00FA1768" w:rsidRPr="008F4CAE" w:rsidRDefault="00FA1768" w:rsidP="00FA1768">
            <w:pPr>
              <w:pStyle w:val="TableText"/>
              <w:spacing w:before="54" w:after="54"/>
              <w:jc w:val="right"/>
            </w:pPr>
            <w:r w:rsidRPr="002B3636">
              <w:t>4</w:t>
            </w:r>
          </w:p>
        </w:tc>
      </w:tr>
      <w:tr w:rsidR="00FA1768" w:rsidRPr="00FA1768" w14:paraId="66C90341" w14:textId="77777777" w:rsidTr="00FA1768">
        <w:trPr>
          <w:trHeight w:val="340"/>
        </w:trPr>
        <w:tc>
          <w:tcPr>
            <w:tcW w:w="1264" w:type="dxa"/>
            <w:tcBorders>
              <w:bottom w:val="single" w:sz="4" w:space="0" w:color="A6A6A6" w:themeColor="background1" w:themeShade="A6"/>
            </w:tcBorders>
          </w:tcPr>
          <w:p w14:paraId="2F32EFA5" w14:textId="6C5F02EF" w:rsidR="00FA1768" w:rsidRPr="00FA1768" w:rsidRDefault="00FA1768" w:rsidP="00FA1768">
            <w:pPr>
              <w:pStyle w:val="TableText"/>
              <w:spacing w:before="54" w:after="54"/>
              <w:jc w:val="right"/>
              <w:rPr>
                <w:b/>
                <w:bCs/>
              </w:rPr>
            </w:pPr>
            <w:r w:rsidRPr="00FA1768">
              <w:rPr>
                <w:b/>
                <w:bCs/>
              </w:rPr>
              <w:t>1,224,598</w:t>
            </w:r>
          </w:p>
        </w:tc>
        <w:tc>
          <w:tcPr>
            <w:tcW w:w="2977" w:type="dxa"/>
            <w:tcBorders>
              <w:bottom w:val="single" w:sz="4" w:space="0" w:color="A6A6A6" w:themeColor="background1" w:themeShade="A6"/>
            </w:tcBorders>
          </w:tcPr>
          <w:p w14:paraId="50205FBD" w14:textId="0BB03370" w:rsidR="00FA1768" w:rsidRPr="00FA1768" w:rsidRDefault="00FA1768" w:rsidP="00FA1768">
            <w:pPr>
              <w:pStyle w:val="TableText"/>
              <w:spacing w:before="54" w:after="54"/>
              <w:rPr>
                <w:b/>
                <w:bCs/>
              </w:rPr>
            </w:pPr>
            <w:r w:rsidRPr="00FA1768">
              <w:rPr>
                <w:b/>
                <w:bCs/>
              </w:rPr>
              <w:t xml:space="preserve">Total  non-departmental capital contributions to other persons or organisations </w:t>
            </w:r>
          </w:p>
        </w:tc>
        <w:tc>
          <w:tcPr>
            <w:tcW w:w="430" w:type="dxa"/>
            <w:tcBorders>
              <w:bottom w:val="single" w:sz="4" w:space="0" w:color="A6A6A6" w:themeColor="background1" w:themeShade="A6"/>
            </w:tcBorders>
          </w:tcPr>
          <w:p w14:paraId="0505A47D" w14:textId="77777777" w:rsidR="00FA1768" w:rsidRPr="00FA1768" w:rsidRDefault="00FA1768" w:rsidP="00FA1768">
            <w:pPr>
              <w:pStyle w:val="TableText"/>
              <w:spacing w:before="54" w:after="54"/>
              <w:ind w:left="0" w:right="0"/>
              <w:jc w:val="right"/>
              <w:rPr>
                <w:b/>
                <w:bCs/>
                <w:i/>
                <w:iCs/>
              </w:rPr>
            </w:pPr>
          </w:p>
        </w:tc>
        <w:tc>
          <w:tcPr>
            <w:tcW w:w="1151" w:type="dxa"/>
            <w:tcBorders>
              <w:bottom w:val="single" w:sz="4" w:space="0" w:color="A6A6A6" w:themeColor="background1" w:themeShade="A6"/>
            </w:tcBorders>
          </w:tcPr>
          <w:p w14:paraId="4484062F" w14:textId="59DEBD35" w:rsidR="00FA1768" w:rsidRPr="00FA1768" w:rsidRDefault="00FA1768" w:rsidP="00FA1768">
            <w:pPr>
              <w:pStyle w:val="TableText"/>
              <w:spacing w:before="54" w:after="54"/>
              <w:jc w:val="right"/>
              <w:rPr>
                <w:b/>
                <w:bCs/>
              </w:rPr>
            </w:pPr>
            <w:r w:rsidRPr="00FA1768">
              <w:rPr>
                <w:b/>
                <w:bCs/>
              </w:rPr>
              <w:t>755,592</w:t>
            </w:r>
          </w:p>
        </w:tc>
        <w:tc>
          <w:tcPr>
            <w:tcW w:w="1115" w:type="dxa"/>
            <w:tcBorders>
              <w:bottom w:val="single" w:sz="4" w:space="0" w:color="A6A6A6" w:themeColor="background1" w:themeShade="A6"/>
            </w:tcBorders>
          </w:tcPr>
          <w:p w14:paraId="17EE0A73" w14:textId="510D883F" w:rsidR="00FA1768" w:rsidRPr="00FA1768" w:rsidRDefault="00FA1768" w:rsidP="00FA1768">
            <w:pPr>
              <w:pStyle w:val="TableText"/>
              <w:spacing w:before="54" w:after="54"/>
              <w:jc w:val="right"/>
              <w:rPr>
                <w:b/>
                <w:bCs/>
              </w:rPr>
            </w:pPr>
            <w:r w:rsidRPr="00FA1768">
              <w:rPr>
                <w:b/>
                <w:bCs/>
              </w:rPr>
              <w:t>1,607,466</w:t>
            </w:r>
          </w:p>
        </w:tc>
        <w:tc>
          <w:tcPr>
            <w:tcW w:w="1136" w:type="dxa"/>
            <w:tcBorders>
              <w:bottom w:val="single" w:sz="4" w:space="0" w:color="A6A6A6" w:themeColor="background1" w:themeShade="A6"/>
            </w:tcBorders>
          </w:tcPr>
          <w:p w14:paraId="22139B4C" w14:textId="0F30CB9B" w:rsidR="00FA1768" w:rsidRPr="00FA1768" w:rsidRDefault="00FA1768" w:rsidP="00FA1768">
            <w:pPr>
              <w:pStyle w:val="TableText"/>
              <w:spacing w:before="54" w:after="54"/>
              <w:jc w:val="right"/>
              <w:rPr>
                <w:b/>
                <w:bCs/>
              </w:rPr>
            </w:pPr>
            <w:r w:rsidRPr="00FA1768">
              <w:rPr>
                <w:b/>
                <w:bCs/>
              </w:rPr>
              <w:t>861,379</w:t>
            </w:r>
          </w:p>
        </w:tc>
        <w:tc>
          <w:tcPr>
            <w:tcW w:w="1276" w:type="dxa"/>
            <w:tcBorders>
              <w:bottom w:val="single" w:sz="4" w:space="0" w:color="A6A6A6" w:themeColor="background1" w:themeShade="A6"/>
            </w:tcBorders>
          </w:tcPr>
          <w:p w14:paraId="65396AF4" w14:textId="77777777" w:rsidR="00FA1768" w:rsidRPr="00FA1768" w:rsidRDefault="00FA1768" w:rsidP="00FA1768">
            <w:pPr>
              <w:pStyle w:val="TableText"/>
              <w:spacing w:before="54" w:after="54"/>
              <w:jc w:val="right"/>
              <w:rPr>
                <w:b/>
                <w:bCs/>
              </w:rPr>
            </w:pPr>
          </w:p>
        </w:tc>
      </w:tr>
      <w:tr w:rsidR="00FA1768" w:rsidRPr="00FA1768" w14:paraId="1CD95D3C" w14:textId="77777777" w:rsidTr="00FA1768">
        <w:trPr>
          <w:trHeight w:val="340"/>
        </w:trPr>
        <w:tc>
          <w:tcPr>
            <w:tcW w:w="1264" w:type="dxa"/>
            <w:tcBorders>
              <w:top w:val="single" w:sz="4" w:space="0" w:color="A6A6A6" w:themeColor="background1" w:themeShade="A6"/>
              <w:bottom w:val="single" w:sz="4" w:space="0" w:color="A6A6A6" w:themeColor="background1" w:themeShade="A6"/>
            </w:tcBorders>
          </w:tcPr>
          <w:p w14:paraId="5EDB375D" w14:textId="52641A90" w:rsidR="00FA1768" w:rsidRPr="00FA1768" w:rsidRDefault="00FA1768" w:rsidP="00FA1768">
            <w:pPr>
              <w:pStyle w:val="TableText"/>
              <w:spacing w:before="54" w:after="54"/>
              <w:jc w:val="right"/>
              <w:rPr>
                <w:b/>
                <w:bCs/>
              </w:rPr>
            </w:pPr>
            <w:r w:rsidRPr="00FA1768">
              <w:rPr>
                <w:b/>
                <w:bCs/>
              </w:rPr>
              <w:t>21,544,963</w:t>
            </w:r>
          </w:p>
        </w:tc>
        <w:tc>
          <w:tcPr>
            <w:tcW w:w="2977" w:type="dxa"/>
            <w:tcBorders>
              <w:top w:val="single" w:sz="4" w:space="0" w:color="A6A6A6" w:themeColor="background1" w:themeShade="A6"/>
              <w:bottom w:val="single" w:sz="4" w:space="0" w:color="A6A6A6" w:themeColor="background1" w:themeShade="A6"/>
            </w:tcBorders>
          </w:tcPr>
          <w:p w14:paraId="1AE7D4D0" w14:textId="605C3785" w:rsidR="00FA1768" w:rsidRPr="00FA1768" w:rsidRDefault="00FA1768" w:rsidP="00FA1768">
            <w:pPr>
              <w:pStyle w:val="TableText"/>
              <w:spacing w:before="54" w:after="54"/>
              <w:rPr>
                <w:b/>
                <w:bCs/>
              </w:rPr>
            </w:pPr>
            <w:r w:rsidRPr="00FA1768">
              <w:rPr>
                <w:b/>
                <w:bCs/>
              </w:rPr>
              <w:t>Total non-departmental</w:t>
            </w:r>
            <w:r>
              <w:rPr>
                <w:b/>
                <w:bCs/>
              </w:rPr>
              <w:t xml:space="preserve"> appropriations</w:t>
            </w:r>
          </w:p>
        </w:tc>
        <w:tc>
          <w:tcPr>
            <w:tcW w:w="430" w:type="dxa"/>
            <w:tcBorders>
              <w:top w:val="single" w:sz="4" w:space="0" w:color="A6A6A6" w:themeColor="background1" w:themeShade="A6"/>
              <w:bottom w:val="single" w:sz="4" w:space="0" w:color="A6A6A6" w:themeColor="background1" w:themeShade="A6"/>
            </w:tcBorders>
          </w:tcPr>
          <w:p w14:paraId="4ADBE3DD" w14:textId="78C4E118" w:rsidR="00FA1768" w:rsidRPr="00FA1768" w:rsidRDefault="00FA1768" w:rsidP="00FA1768">
            <w:pPr>
              <w:pStyle w:val="TableText"/>
              <w:spacing w:before="54" w:after="54"/>
              <w:ind w:left="0" w:right="0"/>
              <w:jc w:val="right"/>
              <w:rPr>
                <w:b/>
                <w:bCs/>
                <w:i/>
                <w:iCs/>
              </w:rPr>
            </w:pPr>
          </w:p>
        </w:tc>
        <w:tc>
          <w:tcPr>
            <w:tcW w:w="1151" w:type="dxa"/>
            <w:tcBorders>
              <w:top w:val="single" w:sz="4" w:space="0" w:color="A6A6A6" w:themeColor="background1" w:themeShade="A6"/>
              <w:bottom w:val="single" w:sz="4" w:space="0" w:color="A6A6A6" w:themeColor="background1" w:themeShade="A6"/>
            </w:tcBorders>
          </w:tcPr>
          <w:p w14:paraId="70C166E1" w14:textId="051D28A8" w:rsidR="00FA1768" w:rsidRPr="00FA1768" w:rsidRDefault="00FA1768" w:rsidP="00FA1768">
            <w:pPr>
              <w:pStyle w:val="TableText"/>
              <w:spacing w:before="54" w:after="54"/>
              <w:jc w:val="right"/>
              <w:rPr>
                <w:b/>
                <w:bCs/>
              </w:rPr>
            </w:pPr>
            <w:r w:rsidRPr="00FA1768">
              <w:rPr>
                <w:b/>
                <w:bCs/>
              </w:rPr>
              <w:t>25,700,675</w:t>
            </w:r>
          </w:p>
        </w:tc>
        <w:tc>
          <w:tcPr>
            <w:tcW w:w="1115" w:type="dxa"/>
            <w:tcBorders>
              <w:top w:val="single" w:sz="4" w:space="0" w:color="A6A6A6" w:themeColor="background1" w:themeShade="A6"/>
              <w:bottom w:val="single" w:sz="4" w:space="0" w:color="A6A6A6" w:themeColor="background1" w:themeShade="A6"/>
            </w:tcBorders>
          </w:tcPr>
          <w:p w14:paraId="4694BE86" w14:textId="4AAD6EF3" w:rsidR="00FA1768" w:rsidRPr="00FA1768" w:rsidRDefault="00FA1768" w:rsidP="00FA1768">
            <w:pPr>
              <w:pStyle w:val="TableText"/>
              <w:spacing w:before="54" w:after="54"/>
              <w:jc w:val="right"/>
              <w:rPr>
                <w:b/>
                <w:bCs/>
              </w:rPr>
            </w:pPr>
            <w:r w:rsidRPr="00FA1768">
              <w:rPr>
                <w:b/>
                <w:bCs/>
              </w:rPr>
              <w:t>23,928,754</w:t>
            </w:r>
          </w:p>
        </w:tc>
        <w:tc>
          <w:tcPr>
            <w:tcW w:w="1136" w:type="dxa"/>
            <w:tcBorders>
              <w:top w:val="single" w:sz="4" w:space="0" w:color="A6A6A6" w:themeColor="background1" w:themeShade="A6"/>
              <w:bottom w:val="single" w:sz="4" w:space="0" w:color="A6A6A6" w:themeColor="background1" w:themeShade="A6"/>
            </w:tcBorders>
          </w:tcPr>
          <w:p w14:paraId="535DED06" w14:textId="7A8649C6" w:rsidR="00FA1768" w:rsidRPr="00FA1768" w:rsidRDefault="00FA1768" w:rsidP="00FA1768">
            <w:pPr>
              <w:pStyle w:val="TableText"/>
              <w:spacing w:before="54" w:after="54"/>
              <w:jc w:val="right"/>
              <w:rPr>
                <w:b/>
                <w:bCs/>
              </w:rPr>
            </w:pPr>
            <w:r w:rsidRPr="00FA1768">
              <w:rPr>
                <w:b/>
                <w:bCs/>
              </w:rPr>
              <w:t>28,100,136</w:t>
            </w:r>
          </w:p>
        </w:tc>
        <w:tc>
          <w:tcPr>
            <w:tcW w:w="1276" w:type="dxa"/>
            <w:tcBorders>
              <w:top w:val="single" w:sz="4" w:space="0" w:color="A6A6A6" w:themeColor="background1" w:themeShade="A6"/>
              <w:bottom w:val="single" w:sz="4" w:space="0" w:color="A6A6A6" w:themeColor="background1" w:themeShade="A6"/>
            </w:tcBorders>
          </w:tcPr>
          <w:p w14:paraId="555AF0EB" w14:textId="77777777" w:rsidR="00FA1768" w:rsidRPr="00FA1768" w:rsidRDefault="00FA1768" w:rsidP="00FA1768">
            <w:pPr>
              <w:pStyle w:val="TableText"/>
              <w:spacing w:before="54" w:after="54"/>
              <w:jc w:val="right"/>
              <w:rPr>
                <w:b/>
                <w:bCs/>
              </w:rPr>
            </w:pPr>
          </w:p>
        </w:tc>
      </w:tr>
      <w:tr w:rsidR="00FA1768" w:rsidRPr="00FA1768" w14:paraId="4B217514" w14:textId="77777777" w:rsidTr="00FA1768">
        <w:trPr>
          <w:trHeight w:val="340"/>
        </w:trPr>
        <w:tc>
          <w:tcPr>
            <w:tcW w:w="1264" w:type="dxa"/>
            <w:tcBorders>
              <w:top w:val="single" w:sz="4" w:space="0" w:color="A6A6A6" w:themeColor="background1" w:themeShade="A6"/>
              <w:bottom w:val="single" w:sz="4" w:space="0" w:color="A6A6A6" w:themeColor="background1" w:themeShade="A6"/>
            </w:tcBorders>
          </w:tcPr>
          <w:p w14:paraId="1103E6A4" w14:textId="300C82A5" w:rsidR="00FA1768" w:rsidRPr="00FA1768" w:rsidRDefault="00FA1768" w:rsidP="00FA1768">
            <w:pPr>
              <w:pStyle w:val="TableText"/>
              <w:spacing w:before="54" w:after="54"/>
              <w:jc w:val="right"/>
              <w:rPr>
                <w:b/>
                <w:bCs/>
              </w:rPr>
            </w:pPr>
            <w:r w:rsidRPr="00FA1768">
              <w:rPr>
                <w:b/>
                <w:bCs/>
              </w:rPr>
              <w:t>21,941,649</w:t>
            </w:r>
          </w:p>
        </w:tc>
        <w:tc>
          <w:tcPr>
            <w:tcW w:w="2977" w:type="dxa"/>
            <w:tcBorders>
              <w:top w:val="single" w:sz="4" w:space="0" w:color="A6A6A6" w:themeColor="background1" w:themeShade="A6"/>
              <w:bottom w:val="single" w:sz="4" w:space="0" w:color="A6A6A6" w:themeColor="background1" w:themeShade="A6"/>
            </w:tcBorders>
          </w:tcPr>
          <w:p w14:paraId="5DB3CAB6" w14:textId="6AFCB979" w:rsidR="00FA1768" w:rsidRPr="00FA1768" w:rsidRDefault="00FA1768" w:rsidP="00FA1768">
            <w:pPr>
              <w:pStyle w:val="TableText"/>
              <w:spacing w:before="54" w:after="54"/>
              <w:rPr>
                <w:b/>
                <w:bCs/>
              </w:rPr>
            </w:pPr>
            <w:r w:rsidRPr="00FA1768">
              <w:rPr>
                <w:b/>
                <w:bCs/>
              </w:rPr>
              <w:t>Total Vote Health</w:t>
            </w:r>
          </w:p>
        </w:tc>
        <w:tc>
          <w:tcPr>
            <w:tcW w:w="430" w:type="dxa"/>
            <w:tcBorders>
              <w:top w:val="single" w:sz="4" w:space="0" w:color="A6A6A6" w:themeColor="background1" w:themeShade="A6"/>
              <w:bottom w:val="single" w:sz="4" w:space="0" w:color="A6A6A6" w:themeColor="background1" w:themeShade="A6"/>
            </w:tcBorders>
          </w:tcPr>
          <w:p w14:paraId="55749D9B" w14:textId="669FC8F2" w:rsidR="00FA1768" w:rsidRPr="00FA1768" w:rsidRDefault="00FA1768" w:rsidP="00FA1768">
            <w:pPr>
              <w:pStyle w:val="TableText"/>
              <w:spacing w:before="54" w:after="54"/>
              <w:ind w:left="0" w:right="0"/>
              <w:jc w:val="right"/>
              <w:rPr>
                <w:b/>
                <w:bCs/>
                <w:i/>
                <w:iCs/>
              </w:rPr>
            </w:pPr>
          </w:p>
        </w:tc>
        <w:tc>
          <w:tcPr>
            <w:tcW w:w="1151" w:type="dxa"/>
            <w:tcBorders>
              <w:top w:val="single" w:sz="4" w:space="0" w:color="A6A6A6" w:themeColor="background1" w:themeShade="A6"/>
              <w:bottom w:val="single" w:sz="4" w:space="0" w:color="A6A6A6" w:themeColor="background1" w:themeShade="A6"/>
            </w:tcBorders>
          </w:tcPr>
          <w:p w14:paraId="75CF15F4" w14:textId="0CC9278B" w:rsidR="00FA1768" w:rsidRPr="00FA1768" w:rsidRDefault="00FA1768" w:rsidP="00FA1768">
            <w:pPr>
              <w:pStyle w:val="TableText"/>
              <w:spacing w:before="54" w:after="54"/>
              <w:jc w:val="right"/>
              <w:rPr>
                <w:b/>
                <w:bCs/>
              </w:rPr>
            </w:pPr>
            <w:r w:rsidRPr="00FA1768">
              <w:rPr>
                <w:b/>
                <w:bCs/>
              </w:rPr>
              <w:t>26,442,521</w:t>
            </w:r>
          </w:p>
        </w:tc>
        <w:tc>
          <w:tcPr>
            <w:tcW w:w="1115" w:type="dxa"/>
            <w:tcBorders>
              <w:top w:val="single" w:sz="4" w:space="0" w:color="A6A6A6" w:themeColor="background1" w:themeShade="A6"/>
              <w:bottom w:val="single" w:sz="4" w:space="0" w:color="A6A6A6" w:themeColor="background1" w:themeShade="A6"/>
            </w:tcBorders>
          </w:tcPr>
          <w:p w14:paraId="248A18E5" w14:textId="1BFEC7A8" w:rsidR="00FA1768" w:rsidRPr="00FA1768" w:rsidRDefault="00FA1768" w:rsidP="00FA1768">
            <w:pPr>
              <w:pStyle w:val="TableText"/>
              <w:spacing w:before="54" w:after="54"/>
              <w:jc w:val="right"/>
              <w:rPr>
                <w:b/>
                <w:bCs/>
              </w:rPr>
            </w:pPr>
            <w:r w:rsidRPr="00FA1768">
              <w:rPr>
                <w:b/>
                <w:bCs/>
              </w:rPr>
              <w:t>24,398,190</w:t>
            </w:r>
          </w:p>
        </w:tc>
        <w:tc>
          <w:tcPr>
            <w:tcW w:w="1136" w:type="dxa"/>
            <w:tcBorders>
              <w:top w:val="single" w:sz="4" w:space="0" w:color="A6A6A6" w:themeColor="background1" w:themeShade="A6"/>
              <w:bottom w:val="single" w:sz="4" w:space="0" w:color="A6A6A6" w:themeColor="background1" w:themeShade="A6"/>
            </w:tcBorders>
          </w:tcPr>
          <w:p w14:paraId="60E9C85B" w14:textId="183E2870" w:rsidR="00FA1768" w:rsidRPr="00FA1768" w:rsidRDefault="00FA1768" w:rsidP="00FA1768">
            <w:pPr>
              <w:pStyle w:val="TableText"/>
              <w:spacing w:before="54" w:after="54"/>
              <w:jc w:val="right"/>
              <w:rPr>
                <w:b/>
                <w:bCs/>
              </w:rPr>
            </w:pPr>
            <w:r w:rsidRPr="00FA1768">
              <w:rPr>
                <w:b/>
                <w:bCs/>
              </w:rPr>
              <w:t>29,018,868</w:t>
            </w:r>
          </w:p>
        </w:tc>
        <w:tc>
          <w:tcPr>
            <w:tcW w:w="1276" w:type="dxa"/>
            <w:tcBorders>
              <w:top w:val="single" w:sz="4" w:space="0" w:color="A6A6A6" w:themeColor="background1" w:themeShade="A6"/>
              <w:bottom w:val="single" w:sz="4" w:space="0" w:color="A6A6A6" w:themeColor="background1" w:themeShade="A6"/>
            </w:tcBorders>
          </w:tcPr>
          <w:p w14:paraId="03B8299F" w14:textId="77777777" w:rsidR="00FA1768" w:rsidRPr="00FA1768" w:rsidRDefault="00FA1768" w:rsidP="00FA1768">
            <w:pPr>
              <w:pStyle w:val="TableText"/>
              <w:spacing w:before="54" w:after="54"/>
              <w:jc w:val="right"/>
              <w:rPr>
                <w:b/>
                <w:bCs/>
              </w:rPr>
            </w:pPr>
          </w:p>
        </w:tc>
      </w:tr>
    </w:tbl>
    <w:p w14:paraId="797E779F" w14:textId="77777777" w:rsidR="004C2BFC" w:rsidRPr="004C2BFC" w:rsidRDefault="004C2BFC" w:rsidP="004C2BFC">
      <w:pPr>
        <w:pStyle w:val="Note"/>
        <w:ind w:left="564" w:hanging="564"/>
        <w:rPr>
          <w:rFonts w:eastAsia="Arial Unicode MS"/>
        </w:rPr>
      </w:pPr>
      <w:r w:rsidRPr="004C2BFC">
        <w:rPr>
          <w:rFonts w:eastAsia="Arial Unicode MS"/>
        </w:rPr>
        <w:t>*</w:t>
      </w:r>
      <w:r w:rsidRPr="004C2BFC">
        <w:rPr>
          <w:rFonts w:eastAsia="Arial Unicode MS"/>
        </w:rPr>
        <w:tab/>
        <w:t>These are the total approved appropriations from the 2021/22 Vote Health Supplementary Estimates, adjusted for any transfers under section 26A of the Public Finance Act 1989.</w:t>
      </w:r>
    </w:p>
    <w:p w14:paraId="03C00261" w14:textId="77777777" w:rsidR="004C2BFC" w:rsidRPr="004C2BFC" w:rsidRDefault="004C2BFC" w:rsidP="004C2BFC">
      <w:pPr>
        <w:pStyle w:val="Note"/>
        <w:ind w:left="567" w:hanging="564"/>
        <w:rPr>
          <w:rFonts w:eastAsia="Arial Unicode MS"/>
        </w:rPr>
      </w:pPr>
      <w:r w:rsidRPr="004C2BFC">
        <w:rPr>
          <w:rFonts w:eastAsia="Arial Unicode MS"/>
        </w:rPr>
        <w:t>^</w:t>
      </w:r>
      <w:r w:rsidRPr="004C2BFC">
        <w:rPr>
          <w:rFonts w:eastAsia="Arial Unicode MS"/>
        </w:rPr>
        <w:tab/>
        <w:t>The numbers in this column represent where the end-of-year performance information has been reported for each appropriation administered by the Ministry, as detailed below:</w:t>
      </w:r>
    </w:p>
    <w:p w14:paraId="78280133" w14:textId="77777777" w:rsidR="004C2BFC" w:rsidRPr="004C2BFC" w:rsidRDefault="004C2BFC" w:rsidP="004C2BFC">
      <w:pPr>
        <w:pStyle w:val="Note"/>
        <w:rPr>
          <w:rFonts w:eastAsia="Arial Unicode MS"/>
        </w:rPr>
      </w:pPr>
      <w:r w:rsidRPr="004C2BFC">
        <w:rPr>
          <w:rFonts w:eastAsia="Arial Unicode MS"/>
        </w:rPr>
        <w:t>1</w:t>
      </w:r>
      <w:r w:rsidRPr="004C2BFC">
        <w:rPr>
          <w:rFonts w:eastAsia="Arial Unicode MS"/>
        </w:rPr>
        <w:tab/>
        <w:t>The ‘Our performance’ section of the Ministry’s annual report.</w:t>
      </w:r>
    </w:p>
    <w:p w14:paraId="31C30A0C" w14:textId="77777777" w:rsidR="004C2BFC" w:rsidRPr="004C2BFC" w:rsidRDefault="004C2BFC" w:rsidP="004C2BFC">
      <w:pPr>
        <w:pStyle w:val="Note"/>
        <w:rPr>
          <w:rFonts w:eastAsia="Arial Unicode MS"/>
        </w:rPr>
      </w:pPr>
      <w:r w:rsidRPr="004C2BFC">
        <w:rPr>
          <w:rFonts w:eastAsia="Arial Unicode MS"/>
        </w:rPr>
        <w:t>2</w:t>
      </w:r>
      <w:r w:rsidRPr="004C2BFC">
        <w:rPr>
          <w:rFonts w:eastAsia="Arial Unicode MS"/>
        </w:rPr>
        <w:tab/>
        <w:t>The DHBs and other Crown Entity annual reports.</w:t>
      </w:r>
    </w:p>
    <w:p w14:paraId="22654667" w14:textId="77777777" w:rsidR="004C2BFC" w:rsidRPr="004C2BFC" w:rsidRDefault="004C2BFC" w:rsidP="004C2BFC">
      <w:pPr>
        <w:pStyle w:val="Note"/>
        <w:ind w:left="564" w:hanging="564"/>
        <w:rPr>
          <w:rFonts w:eastAsia="Arial Unicode MS"/>
        </w:rPr>
      </w:pPr>
      <w:r w:rsidRPr="004C2BFC">
        <w:rPr>
          <w:rFonts w:eastAsia="Arial Unicode MS"/>
        </w:rPr>
        <w:t>3</w:t>
      </w:r>
      <w:r w:rsidRPr="004C2BFC">
        <w:rPr>
          <w:rFonts w:eastAsia="Arial Unicode MS"/>
        </w:rPr>
        <w:tab/>
        <w:t>The Vote Health Report in relation to selected non-departmental appropriations for the year ended 30 June 2022.</w:t>
      </w:r>
    </w:p>
    <w:p w14:paraId="224AA14E" w14:textId="77777777" w:rsidR="004C2BFC" w:rsidRPr="004C2BFC" w:rsidRDefault="004C2BFC" w:rsidP="004C2BFC">
      <w:pPr>
        <w:pStyle w:val="Note"/>
        <w:rPr>
          <w:rFonts w:eastAsia="Arial Unicode MS"/>
        </w:rPr>
      </w:pPr>
      <w:r w:rsidRPr="004C2BFC">
        <w:rPr>
          <w:rFonts w:eastAsia="Arial Unicode MS"/>
        </w:rPr>
        <w:t>4</w:t>
      </w:r>
      <w:r w:rsidRPr="004C2BFC">
        <w:rPr>
          <w:rFonts w:eastAsia="Arial Unicode MS"/>
        </w:rPr>
        <w:tab/>
        <w:t>Exemptions granted under section 15D of the Public Finance Act 1989.</w:t>
      </w:r>
    </w:p>
    <w:p w14:paraId="241AF68B" w14:textId="77777777" w:rsidR="004C2BFC" w:rsidRPr="004C2BFC" w:rsidRDefault="004C2BFC" w:rsidP="004C2BFC">
      <w:pPr>
        <w:pStyle w:val="Note"/>
        <w:rPr>
          <w:rFonts w:eastAsia="Arial Unicode MS"/>
        </w:rPr>
      </w:pPr>
      <w:r w:rsidRPr="004C2BFC">
        <w:rPr>
          <w:rFonts w:eastAsia="Arial Unicode MS"/>
        </w:rPr>
        <w:t>5</w:t>
      </w:r>
      <w:r w:rsidRPr="004C2BFC">
        <w:rPr>
          <w:rFonts w:eastAsia="Arial Unicode MS"/>
        </w:rPr>
        <w:tab/>
        <w:t>Pharmac’s annual report.</w:t>
      </w:r>
    </w:p>
    <w:p w14:paraId="4F5C6CD2" w14:textId="3970F7BB" w:rsidR="004C2BFC" w:rsidRDefault="004C2BFC" w:rsidP="004C2BFC">
      <w:pPr>
        <w:pStyle w:val="Note"/>
        <w:rPr>
          <w:rFonts w:eastAsia="Arial Unicode MS"/>
        </w:rPr>
      </w:pPr>
      <w:r w:rsidRPr="004C2BFC">
        <w:rPr>
          <w:rFonts w:eastAsia="Arial Unicode MS"/>
        </w:rPr>
        <w:t>6</w:t>
      </w:r>
      <w:r w:rsidRPr="004C2BFC">
        <w:rPr>
          <w:rFonts w:eastAsia="Arial Unicode MS"/>
        </w:rPr>
        <w:tab/>
        <w:t>Health and Disability Commissioner’s annual report.</w:t>
      </w:r>
    </w:p>
    <w:p w14:paraId="300E5DDB" w14:textId="77777777" w:rsidR="004C2BFC" w:rsidRDefault="004C2BFC" w:rsidP="004C2BFC">
      <w:pPr>
        <w:rPr>
          <w:rFonts w:eastAsia="Arial Unicode MS"/>
        </w:rPr>
      </w:pPr>
    </w:p>
    <w:p w14:paraId="2450DD2F" w14:textId="77777777" w:rsidR="004C2BFC" w:rsidRDefault="004C2BFC" w:rsidP="004C2BFC">
      <w:pPr>
        <w:rPr>
          <w:rFonts w:eastAsia="Arial Unicode MS"/>
        </w:rPr>
      </w:pPr>
    </w:p>
    <w:p w14:paraId="19439696" w14:textId="77777777" w:rsidR="004C2BFC" w:rsidRDefault="004C2BFC" w:rsidP="004C2BFC">
      <w:pPr>
        <w:rPr>
          <w:rFonts w:eastAsia="Arial Unicode MS"/>
        </w:rPr>
        <w:sectPr w:rsidR="004C2BFC" w:rsidSect="00C26282">
          <w:pgSz w:w="11907" w:h="16840" w:code="9"/>
          <w:pgMar w:top="1418" w:right="1701" w:bottom="1134" w:left="1843" w:header="284" w:footer="425" w:gutter="284"/>
          <w:cols w:space="720"/>
        </w:sectPr>
      </w:pPr>
    </w:p>
    <w:p w14:paraId="4CEDE273" w14:textId="77777777" w:rsidR="004C2BFC" w:rsidRPr="004C2BFC" w:rsidRDefault="004C2BFC" w:rsidP="004C2BFC">
      <w:pPr>
        <w:pStyle w:val="Heading4"/>
        <w:spacing w:before="0"/>
      </w:pPr>
      <w:r w:rsidRPr="004C2BFC">
        <w:lastRenderedPageBreak/>
        <w:t>2</w:t>
      </w:r>
      <w:r w:rsidRPr="004C2BFC">
        <w:tab/>
        <w:t>Explanation of major variances against budget</w:t>
      </w:r>
    </w:p>
    <w:p w14:paraId="5D152400" w14:textId="77777777" w:rsidR="004C2BFC" w:rsidRPr="004C2BFC" w:rsidRDefault="004C2BFC" w:rsidP="004C2BFC">
      <w:pPr>
        <w:rPr>
          <w:rFonts w:eastAsia="Arial Unicode MS"/>
        </w:rPr>
      </w:pPr>
      <w:r w:rsidRPr="004C2BFC">
        <w:rPr>
          <w:rFonts w:eastAsia="Arial Unicode MS"/>
        </w:rPr>
        <w:t>Explanations for major variances from the Ministry’s non-departmental appropriations against the unaudited budget are as follows.</w:t>
      </w:r>
    </w:p>
    <w:p w14:paraId="0F13061E" w14:textId="77777777" w:rsidR="004C2BFC" w:rsidRPr="004C2BFC" w:rsidRDefault="004C2BFC" w:rsidP="004C2BFC">
      <w:pPr>
        <w:pStyle w:val="Heading5"/>
      </w:pPr>
      <w:r w:rsidRPr="004C2BFC">
        <w:t>Schedule of non-departmental assets and liabilities</w:t>
      </w:r>
    </w:p>
    <w:p w14:paraId="67DE78E0" w14:textId="77777777" w:rsidR="004C2BFC" w:rsidRPr="004C2BFC" w:rsidRDefault="004C2BFC" w:rsidP="004C2BFC">
      <w:pPr>
        <w:pStyle w:val="Heading6"/>
      </w:pPr>
      <w:r w:rsidRPr="004C2BFC">
        <w:t>2.1</w:t>
      </w:r>
      <w:r w:rsidRPr="004C2BFC">
        <w:tab/>
        <w:t>Inventory</w:t>
      </w:r>
    </w:p>
    <w:p w14:paraId="5CD00A41" w14:textId="77777777" w:rsidR="004C2BFC" w:rsidRPr="004C2BFC" w:rsidRDefault="004C2BFC" w:rsidP="004C2BFC">
      <w:pPr>
        <w:rPr>
          <w:rFonts w:eastAsia="Arial Unicode MS"/>
        </w:rPr>
      </w:pPr>
      <w:r w:rsidRPr="004C2BFC">
        <w:rPr>
          <w:rFonts w:eastAsia="Arial Unicode MS"/>
        </w:rPr>
        <w:t>Inventory was $457.761 million higher than budget due to an increase in COVID-19 vaccines, Personal Protective Equipment (PPE), Rapid Antigen Test (RATs), and testing equipment to meet demand requirements offset by an inventory write down primarily due to stock written off as it passed its use by date.</w:t>
      </w:r>
    </w:p>
    <w:p w14:paraId="34265A7F" w14:textId="77777777" w:rsidR="004C2BFC" w:rsidRPr="004C2BFC" w:rsidRDefault="004C2BFC" w:rsidP="004C2BFC">
      <w:pPr>
        <w:pStyle w:val="Heading6"/>
      </w:pPr>
      <w:r w:rsidRPr="004C2BFC">
        <w:t>2.2</w:t>
      </w:r>
      <w:r w:rsidRPr="004C2BFC">
        <w:tab/>
        <w:t>Receivable from ACC</w:t>
      </w:r>
    </w:p>
    <w:p w14:paraId="3E6A8FC8" w14:textId="77777777" w:rsidR="004C2BFC" w:rsidRPr="004C2BFC" w:rsidRDefault="004C2BFC" w:rsidP="004C2BFC">
      <w:pPr>
        <w:rPr>
          <w:rFonts w:eastAsia="Arial Unicode MS"/>
        </w:rPr>
      </w:pPr>
      <w:r w:rsidRPr="004C2BFC">
        <w:rPr>
          <w:rFonts w:eastAsia="Arial Unicode MS"/>
        </w:rPr>
        <w:t>Receivable from ACC was $15.836 million higher than budget due to higher than anticipated outstanding ACC unpaid invoices raised closer to 30 June 2022.</w:t>
      </w:r>
    </w:p>
    <w:p w14:paraId="191AB6BD" w14:textId="77777777" w:rsidR="004C2BFC" w:rsidRPr="004C2BFC" w:rsidRDefault="004C2BFC" w:rsidP="004C2BFC">
      <w:pPr>
        <w:pStyle w:val="Heading6"/>
      </w:pPr>
      <w:r w:rsidRPr="004C2BFC">
        <w:t>2.3</w:t>
      </w:r>
      <w:r w:rsidRPr="004C2BFC">
        <w:tab/>
        <w:t>Prepayments</w:t>
      </w:r>
    </w:p>
    <w:p w14:paraId="30E12449" w14:textId="77777777" w:rsidR="004C2BFC" w:rsidRPr="004C2BFC" w:rsidRDefault="004C2BFC" w:rsidP="004C2BFC">
      <w:pPr>
        <w:rPr>
          <w:rFonts w:eastAsia="Arial Unicode MS"/>
        </w:rPr>
      </w:pPr>
      <w:r w:rsidRPr="004C2BFC">
        <w:rPr>
          <w:rFonts w:eastAsia="Arial Unicode MS"/>
        </w:rPr>
        <w:t>Prepayments were $65.193 million higher than budget due to deposits for RATs as at 30 June 2022.</w:t>
      </w:r>
    </w:p>
    <w:p w14:paraId="4839E421" w14:textId="77777777" w:rsidR="004C2BFC" w:rsidRPr="004C2BFC" w:rsidRDefault="004C2BFC" w:rsidP="004C2BFC">
      <w:pPr>
        <w:pStyle w:val="Heading6"/>
      </w:pPr>
      <w:r w:rsidRPr="004C2BFC">
        <w:t>2.4</w:t>
      </w:r>
      <w:r w:rsidRPr="004C2BFC">
        <w:tab/>
        <w:t>Payables</w:t>
      </w:r>
    </w:p>
    <w:p w14:paraId="6FF19722" w14:textId="77777777" w:rsidR="004C2BFC" w:rsidRPr="004C2BFC" w:rsidRDefault="004C2BFC" w:rsidP="004C2BFC">
      <w:pPr>
        <w:rPr>
          <w:rFonts w:eastAsia="Arial Unicode MS"/>
        </w:rPr>
      </w:pPr>
      <w:r w:rsidRPr="004C2BFC">
        <w:rPr>
          <w:rFonts w:eastAsia="Arial Unicode MS"/>
        </w:rPr>
        <w:t>DHB Payables were not provided for in the main estimate budget as the Ministry’s intention was to pay outstanding payables before 30 June 2022. However, material DHB supplier invoices were only received after the year end close off, and paid after balance date.</w:t>
      </w:r>
    </w:p>
    <w:p w14:paraId="223FE8B1" w14:textId="77777777" w:rsidR="004C2BFC" w:rsidRPr="004C2BFC" w:rsidRDefault="004C2BFC" w:rsidP="004C2BFC">
      <w:pPr>
        <w:pStyle w:val="Heading6"/>
      </w:pPr>
      <w:r w:rsidRPr="004C2BFC">
        <w:t>2.5</w:t>
      </w:r>
      <w:r w:rsidRPr="004C2BFC">
        <w:tab/>
        <w:t>DHB accrued liabilities</w:t>
      </w:r>
    </w:p>
    <w:p w14:paraId="08CE932A" w14:textId="77777777" w:rsidR="004C2BFC" w:rsidRPr="004C2BFC" w:rsidRDefault="004C2BFC" w:rsidP="004C2BFC">
      <w:pPr>
        <w:rPr>
          <w:rFonts w:eastAsia="Arial Unicode MS"/>
        </w:rPr>
      </w:pPr>
      <w:r w:rsidRPr="004C2BFC">
        <w:rPr>
          <w:rFonts w:eastAsia="Arial Unicode MS"/>
        </w:rPr>
        <w:t>The DHB accrued liabilities were $456.693 million higher than budget which reflects increased funding for DHBs health and disability support services, and suppliers’ invoices not received by the Ministry before 30 June 2022.</w:t>
      </w:r>
    </w:p>
    <w:p w14:paraId="77F062F5" w14:textId="77777777" w:rsidR="004C2BFC" w:rsidRPr="004C2BFC" w:rsidRDefault="004C2BFC" w:rsidP="004C2BFC">
      <w:pPr>
        <w:pStyle w:val="Heading5"/>
      </w:pPr>
      <w:r w:rsidRPr="004C2BFC">
        <w:t>Schedule of non-departmental expenses and capital expenditure against appropriations</w:t>
      </w:r>
    </w:p>
    <w:p w14:paraId="5C1153C1" w14:textId="77777777" w:rsidR="004C2BFC" w:rsidRPr="004C2BFC" w:rsidRDefault="004C2BFC" w:rsidP="004C2BFC">
      <w:pPr>
        <w:pStyle w:val="Heading6"/>
      </w:pPr>
      <w:r w:rsidRPr="004C2BFC">
        <w:t>2.6</w:t>
      </w:r>
      <w:r w:rsidRPr="004C2BFC">
        <w:tab/>
        <w:t>Health and disability support services for DHBs</w:t>
      </w:r>
    </w:p>
    <w:p w14:paraId="1FC6EB9B" w14:textId="77777777" w:rsidR="004C2BFC" w:rsidRPr="004C2BFC" w:rsidRDefault="004C2BFC" w:rsidP="004C2BFC">
      <w:pPr>
        <w:rPr>
          <w:rFonts w:eastAsia="Arial Unicode MS"/>
        </w:rPr>
      </w:pPr>
      <w:r w:rsidRPr="004C2BFC">
        <w:rPr>
          <w:rFonts w:eastAsia="Arial Unicode MS"/>
        </w:rPr>
        <w:t>Health and disability support services for DHBs was $421.028 million higher than actual due to additional funding being provided during 2021/22 for pay equity settlements, additional capital charge payments following the revaluation of DHB assets, additional funding to fund surge costs in both critical care and ward beds, devolution of In-Between Travel part A funding and responsibilities to the DHBs from the Ministry, additional work required for the Canterbury Earthquakes Programme, and a number of other small adjustments.</w:t>
      </w:r>
    </w:p>
    <w:p w14:paraId="2D4960A4" w14:textId="77777777" w:rsidR="004C2BFC" w:rsidRPr="004C2BFC" w:rsidRDefault="004C2BFC" w:rsidP="004C2BFC">
      <w:pPr>
        <w:pStyle w:val="Heading6"/>
      </w:pPr>
      <w:r w:rsidRPr="004C2BFC">
        <w:t>2.7</w:t>
      </w:r>
      <w:r w:rsidRPr="004C2BFC">
        <w:tab/>
        <w:t>National disability support services</w:t>
      </w:r>
    </w:p>
    <w:p w14:paraId="730D4A6B" w14:textId="77777777" w:rsidR="004C2BFC" w:rsidRPr="004C2BFC" w:rsidRDefault="004C2BFC" w:rsidP="004C2BFC">
      <w:pPr>
        <w:rPr>
          <w:rFonts w:eastAsia="Arial Unicode MS"/>
        </w:rPr>
      </w:pPr>
      <w:r w:rsidRPr="004C2BFC">
        <w:rPr>
          <w:rFonts w:eastAsia="Arial Unicode MS"/>
        </w:rPr>
        <w:t xml:space="preserve">National disability support services were $40.603 million higher than budget due to the additional funding required to cover cost pressures on the Government disability </w:t>
      </w:r>
      <w:r w:rsidRPr="004C2BFC">
        <w:rPr>
          <w:rFonts w:eastAsia="Arial Unicode MS"/>
        </w:rPr>
        <w:lastRenderedPageBreak/>
        <w:t>support services, including price increases due to inflationary pressures and increases in service volumes due to demand for services, and funding for pay equity settlements.</w:t>
      </w:r>
    </w:p>
    <w:p w14:paraId="1C42C969" w14:textId="7D596324" w:rsidR="004C2BFC" w:rsidRPr="004C2BFC" w:rsidRDefault="004C2BFC" w:rsidP="004C2BFC">
      <w:pPr>
        <w:pStyle w:val="Heading6"/>
      </w:pPr>
      <w:r w:rsidRPr="004C2BFC">
        <w:t xml:space="preserve"> 2.8</w:t>
      </w:r>
      <w:r w:rsidRPr="004C2BFC">
        <w:tab/>
        <w:t>Supporting equitable pay</w:t>
      </w:r>
    </w:p>
    <w:p w14:paraId="49358E52" w14:textId="77777777" w:rsidR="004C2BFC" w:rsidRPr="004C2BFC" w:rsidRDefault="004C2BFC" w:rsidP="004C2BFC">
      <w:pPr>
        <w:rPr>
          <w:rFonts w:eastAsia="Arial Unicode MS"/>
        </w:rPr>
      </w:pPr>
      <w:r w:rsidRPr="004C2BFC">
        <w:rPr>
          <w:rFonts w:eastAsia="Arial Unicode MS"/>
        </w:rPr>
        <w:t>Supporting equitable pay with a total spend of $63.338 million was a new appropriation established and funded during 2021/22 to fund the costs related to supporting equitable pay for nurses, administration and clerical workers.</w:t>
      </w:r>
    </w:p>
    <w:p w14:paraId="26A1BD14" w14:textId="77777777" w:rsidR="004C2BFC" w:rsidRPr="004C2BFC" w:rsidRDefault="004C2BFC" w:rsidP="004C2BFC">
      <w:pPr>
        <w:pStyle w:val="Heading6"/>
      </w:pPr>
      <w:r w:rsidRPr="004C2BFC">
        <w:t>2.9</w:t>
      </w:r>
      <w:r w:rsidRPr="004C2BFC">
        <w:tab/>
        <w:t>Implementing the COVID-19 vaccine strategy MCA</w:t>
      </w:r>
    </w:p>
    <w:p w14:paraId="25DF6137" w14:textId="77777777" w:rsidR="004C2BFC" w:rsidRPr="004C2BFC" w:rsidRDefault="004C2BFC" w:rsidP="004C2BFC">
      <w:pPr>
        <w:rPr>
          <w:rFonts w:eastAsia="Arial Unicode MS"/>
        </w:rPr>
      </w:pPr>
      <w:r w:rsidRPr="004C2BFC">
        <w:rPr>
          <w:rFonts w:eastAsia="Arial Unicode MS"/>
        </w:rPr>
        <w:t>Implementing the COVID-19 vaccine strategy MCA was $680.984 million (of which</w:t>
      </w:r>
    </w:p>
    <w:p w14:paraId="05A13042" w14:textId="77777777" w:rsidR="004C2BFC" w:rsidRPr="004C2BFC" w:rsidRDefault="004C2BFC" w:rsidP="004C2BFC">
      <w:pPr>
        <w:rPr>
          <w:rFonts w:eastAsia="Arial Unicode MS"/>
        </w:rPr>
      </w:pPr>
      <w:r w:rsidRPr="004C2BFC">
        <w:rPr>
          <w:rFonts w:eastAsia="Arial Unicode MS"/>
        </w:rPr>
        <w:t>$461 million was provided through the DHBs) higher than budget due to:</w:t>
      </w:r>
    </w:p>
    <w:p w14:paraId="13C50D13" w14:textId="71CACABF" w:rsidR="004C2BFC" w:rsidRPr="004C2BFC" w:rsidRDefault="004C2BFC" w:rsidP="004C2BFC">
      <w:pPr>
        <w:pStyle w:val="Bullet"/>
        <w:rPr>
          <w:rFonts w:eastAsia="Arial Unicode MS"/>
        </w:rPr>
      </w:pPr>
      <w:r w:rsidRPr="004C2BFC">
        <w:rPr>
          <w:rFonts w:eastAsia="Arial Unicode MS"/>
        </w:rPr>
        <w:t>additional funding required in 2021/22 to support the COVID-19 vaccination programme and the transition to an integrated national immunisation programme</w:t>
      </w:r>
    </w:p>
    <w:p w14:paraId="0993551E" w14:textId="6987CE6F" w:rsidR="004C2BFC" w:rsidRPr="004C2BFC" w:rsidRDefault="004C2BFC" w:rsidP="004C2BFC">
      <w:pPr>
        <w:pStyle w:val="Bullet"/>
        <w:rPr>
          <w:rFonts w:eastAsia="Arial Unicode MS"/>
        </w:rPr>
      </w:pPr>
      <w:r w:rsidRPr="004C2BFC">
        <w:rPr>
          <w:rFonts w:eastAsia="Arial Unicode MS"/>
        </w:rPr>
        <w:t>additional funding to secure a portfolio of COVID-19 therapeutics through Pharmaceutical Management Agency Limited ($114 million) and to purchase COVID-19 vaccines</w:t>
      </w:r>
    </w:p>
    <w:p w14:paraId="743510C0" w14:textId="29B65B17" w:rsidR="004C2BFC" w:rsidRPr="004C2BFC" w:rsidRDefault="004C2BFC" w:rsidP="004C2BFC">
      <w:pPr>
        <w:pStyle w:val="Bullet"/>
        <w:rPr>
          <w:rFonts w:eastAsia="Arial Unicode MS"/>
        </w:rPr>
      </w:pPr>
      <w:r w:rsidRPr="004C2BFC">
        <w:rPr>
          <w:rFonts w:eastAsia="Arial Unicode MS"/>
        </w:rPr>
        <w:t>additional costs for the on-going public health system response to COVID-19.</w:t>
      </w:r>
    </w:p>
    <w:p w14:paraId="32D08013" w14:textId="77777777" w:rsidR="004C2BFC" w:rsidRPr="004C2BFC" w:rsidRDefault="004C2BFC" w:rsidP="004C2BFC">
      <w:pPr>
        <w:pStyle w:val="Heading6"/>
      </w:pPr>
      <w:r w:rsidRPr="004C2BFC">
        <w:t>2.10</w:t>
      </w:r>
      <w:r w:rsidRPr="004C2BFC">
        <w:tab/>
        <w:t>National response to COVID-19 across the health sector MCA</w:t>
      </w:r>
    </w:p>
    <w:p w14:paraId="170D8540" w14:textId="1F2EDB29" w:rsidR="004C2BFC" w:rsidRPr="004C2BFC" w:rsidRDefault="004C2BFC" w:rsidP="004C2BFC">
      <w:pPr>
        <w:rPr>
          <w:rFonts w:eastAsia="Arial Unicode MS"/>
        </w:rPr>
      </w:pPr>
      <w:r w:rsidRPr="004C2BFC">
        <w:rPr>
          <w:rFonts w:eastAsia="Arial Unicode MS"/>
        </w:rPr>
        <w:t>National response to COVID-19 across the health sector MCA was $1,556 million (of which</w:t>
      </w:r>
      <w:r>
        <w:rPr>
          <w:rFonts w:eastAsia="Arial Unicode MS"/>
        </w:rPr>
        <w:t xml:space="preserve"> </w:t>
      </w:r>
      <w:r w:rsidRPr="004C2BFC">
        <w:rPr>
          <w:rFonts w:eastAsia="Arial Unicode MS"/>
        </w:rPr>
        <w:t>$444 million was provided through the DHBs) higher than budget due to additional funding required for:</w:t>
      </w:r>
    </w:p>
    <w:p w14:paraId="7CBDB80C" w14:textId="3870772C" w:rsidR="004C2BFC" w:rsidRPr="004C2BFC" w:rsidRDefault="004C2BFC" w:rsidP="004C2BFC">
      <w:pPr>
        <w:pStyle w:val="Bullet"/>
        <w:rPr>
          <w:rFonts w:eastAsia="Arial Unicode MS"/>
        </w:rPr>
      </w:pPr>
      <w:r w:rsidRPr="004C2BFC">
        <w:rPr>
          <w:rFonts w:eastAsia="Arial Unicode MS"/>
        </w:rPr>
        <w:t>meeting the ongoing costs of the public health response to COVID-19 and supporting community-based testing for COVID-19</w:t>
      </w:r>
    </w:p>
    <w:p w14:paraId="154A8F5C" w14:textId="73A6DDC8" w:rsidR="004C2BFC" w:rsidRPr="004C2BFC" w:rsidRDefault="004C2BFC" w:rsidP="004C2BFC">
      <w:pPr>
        <w:pStyle w:val="Bullet"/>
        <w:rPr>
          <w:rFonts w:eastAsia="Arial Unicode MS"/>
        </w:rPr>
      </w:pPr>
      <w:r w:rsidRPr="004C2BFC">
        <w:rPr>
          <w:rFonts w:eastAsia="Arial Unicode MS"/>
        </w:rPr>
        <w:t>supporting the ongoing health system response to COVID-19 including testing, case investigation, contact tracing and to support the transition to the minimisation and protection framework</w:t>
      </w:r>
    </w:p>
    <w:p w14:paraId="686A7E95" w14:textId="39D82880" w:rsidR="004C2BFC" w:rsidRPr="004C2BFC" w:rsidRDefault="004C2BFC" w:rsidP="004C2BFC">
      <w:pPr>
        <w:pStyle w:val="Bullet"/>
        <w:rPr>
          <w:rFonts w:eastAsia="Arial Unicode MS"/>
        </w:rPr>
      </w:pPr>
      <w:r w:rsidRPr="004C2BFC">
        <w:rPr>
          <w:rFonts w:eastAsia="Arial Unicode MS"/>
        </w:rPr>
        <w:t>supporting the delivery of the COVID-19 Care in the community work programme which devolves responsibility for various parts of the patient journey to appropriate local providers via regional coordination centres</w:t>
      </w:r>
    </w:p>
    <w:p w14:paraId="588702E1" w14:textId="0BA873C3" w:rsidR="004C2BFC" w:rsidRPr="004C2BFC" w:rsidRDefault="004C2BFC" w:rsidP="004C2BFC">
      <w:pPr>
        <w:pStyle w:val="Bullet"/>
        <w:rPr>
          <w:rFonts w:eastAsia="Arial Unicode MS"/>
        </w:rPr>
      </w:pPr>
      <w:r w:rsidRPr="004C2BFC">
        <w:rPr>
          <w:rFonts w:eastAsia="Arial Unicode MS"/>
        </w:rPr>
        <w:t>additional supply of personal protective equipment (PPE) to meet demand requirements.</w:t>
      </w:r>
    </w:p>
    <w:p w14:paraId="4E864907" w14:textId="77777777" w:rsidR="004C2BFC" w:rsidRPr="004C2BFC" w:rsidRDefault="004C2BFC" w:rsidP="004C2BFC">
      <w:pPr>
        <w:pStyle w:val="Heading6"/>
      </w:pPr>
      <w:r w:rsidRPr="004C2BFC">
        <w:t>2.11</w:t>
      </w:r>
      <w:r w:rsidRPr="004C2BFC">
        <w:tab/>
        <w:t>Equity support for DHB deficits</w:t>
      </w:r>
    </w:p>
    <w:p w14:paraId="10AC82D6" w14:textId="77777777" w:rsidR="004C2BFC" w:rsidRPr="004C2BFC" w:rsidRDefault="004C2BFC" w:rsidP="004C2BFC">
      <w:pPr>
        <w:rPr>
          <w:rFonts w:eastAsia="Arial Unicode MS"/>
        </w:rPr>
      </w:pPr>
      <w:r w:rsidRPr="004C2BFC">
        <w:rPr>
          <w:rFonts w:eastAsia="Arial Unicode MS"/>
        </w:rPr>
        <w:t>Equity support for DHB deficits is $240.789 million above budget to meet below DHB’s sector operating and working capital needs:</w:t>
      </w:r>
    </w:p>
    <w:p w14:paraId="452417CB" w14:textId="0148F5D6" w:rsidR="004C2BFC" w:rsidRPr="004C2BFC" w:rsidRDefault="004C2BFC" w:rsidP="004C2BFC">
      <w:pPr>
        <w:pStyle w:val="Bullet"/>
        <w:rPr>
          <w:rFonts w:eastAsia="Arial Unicode MS"/>
        </w:rPr>
      </w:pPr>
      <w:r w:rsidRPr="004C2BFC">
        <w:rPr>
          <w:rFonts w:eastAsia="Arial Unicode MS"/>
        </w:rPr>
        <w:t>Waikato</w:t>
      </w:r>
    </w:p>
    <w:p w14:paraId="14B1AE9A" w14:textId="4BD9ABD5" w:rsidR="004C2BFC" w:rsidRPr="004C2BFC" w:rsidRDefault="004C2BFC" w:rsidP="004C2BFC">
      <w:pPr>
        <w:pStyle w:val="Bullet"/>
        <w:rPr>
          <w:rFonts w:eastAsia="Arial Unicode MS"/>
        </w:rPr>
      </w:pPr>
      <w:r w:rsidRPr="004C2BFC">
        <w:rPr>
          <w:rFonts w:eastAsia="Arial Unicode MS"/>
        </w:rPr>
        <w:t>Bay of Plenty</w:t>
      </w:r>
    </w:p>
    <w:p w14:paraId="7F83F3FA" w14:textId="76E23CD2" w:rsidR="004C2BFC" w:rsidRPr="004C2BFC" w:rsidRDefault="004C2BFC" w:rsidP="004C2BFC">
      <w:pPr>
        <w:pStyle w:val="Bullet"/>
        <w:rPr>
          <w:rFonts w:eastAsia="Arial Unicode MS"/>
        </w:rPr>
      </w:pPr>
      <w:r w:rsidRPr="004C2BFC">
        <w:rPr>
          <w:rFonts w:eastAsia="Arial Unicode MS"/>
        </w:rPr>
        <w:t>Taranaki</w:t>
      </w:r>
    </w:p>
    <w:p w14:paraId="0433BA35" w14:textId="36326574" w:rsidR="004C2BFC" w:rsidRPr="004C2BFC" w:rsidRDefault="004C2BFC" w:rsidP="004C2BFC">
      <w:pPr>
        <w:pStyle w:val="Bullet"/>
        <w:rPr>
          <w:rFonts w:eastAsia="Arial Unicode MS"/>
        </w:rPr>
      </w:pPr>
      <w:r w:rsidRPr="004C2BFC">
        <w:rPr>
          <w:rFonts w:eastAsia="Arial Unicode MS"/>
        </w:rPr>
        <w:t>Capital &amp; Coast</w:t>
      </w:r>
    </w:p>
    <w:p w14:paraId="4F7B2472" w14:textId="0BEA6F33" w:rsidR="004C2BFC" w:rsidRPr="004C2BFC" w:rsidRDefault="004C2BFC" w:rsidP="004C2BFC">
      <w:pPr>
        <w:pStyle w:val="Bullet"/>
        <w:rPr>
          <w:rFonts w:eastAsia="Arial Unicode MS"/>
        </w:rPr>
      </w:pPr>
      <w:r w:rsidRPr="004C2BFC">
        <w:rPr>
          <w:rFonts w:eastAsia="Arial Unicode MS"/>
        </w:rPr>
        <w:t>Wairarapa</w:t>
      </w:r>
    </w:p>
    <w:p w14:paraId="42321529" w14:textId="3784EB87" w:rsidR="004C2BFC" w:rsidRPr="004C2BFC" w:rsidRDefault="004C2BFC" w:rsidP="004C2BFC">
      <w:pPr>
        <w:pStyle w:val="Bullet"/>
        <w:rPr>
          <w:rFonts w:eastAsia="Arial Unicode MS"/>
        </w:rPr>
      </w:pPr>
      <w:r w:rsidRPr="004C2BFC">
        <w:rPr>
          <w:rFonts w:eastAsia="Arial Unicode MS"/>
        </w:rPr>
        <w:t>West Coast</w:t>
      </w:r>
    </w:p>
    <w:p w14:paraId="1662A761" w14:textId="69BC3CAA" w:rsidR="004C2BFC" w:rsidRPr="004C2BFC" w:rsidRDefault="004C2BFC" w:rsidP="004C2BFC">
      <w:pPr>
        <w:pStyle w:val="Bullet"/>
        <w:rPr>
          <w:rFonts w:eastAsia="Arial Unicode MS"/>
        </w:rPr>
      </w:pPr>
      <w:r w:rsidRPr="004C2BFC">
        <w:rPr>
          <w:rFonts w:eastAsia="Arial Unicode MS"/>
        </w:rPr>
        <w:t>Canterbury.</w:t>
      </w:r>
    </w:p>
    <w:p w14:paraId="0283F456" w14:textId="3D704142" w:rsidR="004C2BFC" w:rsidRPr="004C2BFC" w:rsidRDefault="004C2BFC" w:rsidP="004C2BFC">
      <w:pPr>
        <w:pStyle w:val="Heading6"/>
      </w:pPr>
      <w:r w:rsidRPr="004C2BFC">
        <w:lastRenderedPageBreak/>
        <w:t>2.12</w:t>
      </w:r>
      <w:r w:rsidRPr="004C2BFC">
        <w:tab/>
        <w:t>Health capital envelope 2020–2025 (MYA)</w:t>
      </w:r>
    </w:p>
    <w:p w14:paraId="1B412EF5" w14:textId="77777777" w:rsidR="004C2BFC" w:rsidRPr="004C2BFC" w:rsidRDefault="004C2BFC" w:rsidP="004C2BFC">
      <w:pPr>
        <w:rPr>
          <w:rFonts w:eastAsia="Arial Unicode MS"/>
        </w:rPr>
      </w:pPr>
      <w:r w:rsidRPr="004C2BFC">
        <w:rPr>
          <w:rFonts w:eastAsia="Arial Unicode MS"/>
        </w:rPr>
        <w:t>The capital envelope multi-year appropriation (MYA) was established in Budget 2020 for purchasing of health sector assets, providing capital to health sector Crown entities or agencies for new investments, and reconfiguring DHB’s balance sheet. This appropriation is $1,123.294 million lower than budget which reflects the updated capital expenditure plans, and in particular the timing of drawdowns for individual projects.</w:t>
      </w:r>
    </w:p>
    <w:p w14:paraId="2EB32AD3" w14:textId="77777777" w:rsidR="004C2BFC" w:rsidRPr="004C2BFC" w:rsidRDefault="004C2BFC" w:rsidP="004C2BFC">
      <w:pPr>
        <w:pStyle w:val="Heading6"/>
      </w:pPr>
      <w:r w:rsidRPr="004C2BFC">
        <w:t>2.13</w:t>
      </w:r>
      <w:r w:rsidRPr="004C2BFC">
        <w:tab/>
        <w:t>New Dunedin Hospital 2021-2026 (MYA)</w:t>
      </w:r>
    </w:p>
    <w:p w14:paraId="2A7EA583" w14:textId="77777777" w:rsidR="004C2BFC" w:rsidRPr="004C2BFC" w:rsidRDefault="004C2BFC" w:rsidP="004C2BFC">
      <w:pPr>
        <w:rPr>
          <w:rFonts w:eastAsia="Arial Unicode MS"/>
        </w:rPr>
      </w:pPr>
      <w:r w:rsidRPr="004C2BFC">
        <w:rPr>
          <w:rFonts w:eastAsia="Arial Unicode MS"/>
        </w:rPr>
        <w:t>The New Dunedin Hospital 2021-2026 with a total spend of $32.421 million is a multi- year appropriation established this financial year to fund capital expenditure on the construction of the new Dunedin Hospital and associated projects.</w:t>
      </w:r>
    </w:p>
    <w:p w14:paraId="40022E6B" w14:textId="77777777" w:rsidR="004C2BFC" w:rsidRPr="004C2BFC" w:rsidRDefault="004C2BFC" w:rsidP="004C2BFC">
      <w:pPr>
        <w:pStyle w:val="Heading4"/>
      </w:pPr>
      <w:r w:rsidRPr="004C2BFC">
        <w:t>3</w:t>
      </w:r>
      <w:r w:rsidRPr="004C2BFC">
        <w:tab/>
        <w:t>COVID-19 response expenditure for the year ended 30 June 2022</w:t>
      </w:r>
    </w:p>
    <w:p w14:paraId="2EBB974A" w14:textId="168463BC" w:rsidR="004C2BFC" w:rsidRDefault="004C2BFC" w:rsidP="004C2BFC">
      <w:pPr>
        <w:rPr>
          <w:rFonts w:eastAsia="Arial Unicode MS"/>
        </w:rPr>
      </w:pPr>
      <w:r w:rsidRPr="004C2BFC">
        <w:rPr>
          <w:rFonts w:eastAsia="Arial Unicode MS"/>
        </w:rPr>
        <w:t>In March 2020 the World Health Organisation declared the outbreak of novel coronavirus (COVID-19) a pandemic. In response to the pandemic, total funding of $10.039 billion has been appropriated to Vote Health for 2019/20 and outyears.</w:t>
      </w:r>
    </w:p>
    <w:p w14:paraId="6FF2E635" w14:textId="77777777" w:rsidR="004C2BFC" w:rsidRPr="004C2BFC" w:rsidRDefault="004C2BFC" w:rsidP="004C2BFC">
      <w:pPr>
        <w:rPr>
          <w:rFonts w:eastAsia="Arial Unicode MS"/>
        </w:rPr>
      </w:pPr>
    </w:p>
    <w:p w14:paraId="6DA7B23E" w14:textId="547660F6" w:rsidR="004C2BFC" w:rsidRDefault="004C2BFC" w:rsidP="004C2BFC">
      <w:pPr>
        <w:rPr>
          <w:rFonts w:eastAsia="Arial Unicode MS"/>
        </w:rPr>
      </w:pPr>
      <w:r w:rsidRPr="004C2BFC">
        <w:rPr>
          <w:rFonts w:eastAsia="Arial Unicode MS"/>
        </w:rPr>
        <w:t>Total expenditure for the year ended 30 June 2022 across the Ministry is $4.037 billion against a budget of $5.946 billion. The total spend is made up of $3.779 billion in non- departmental expenditure and $258.440 million in departmental expenditure. In August 2022, the Joint Ministers have approved and early confirmed the in-principle expense transfers of $921.347 million for COVID-19 Health System Response and $479.508 million for COVID-19 Vaccine and Immunisation from 2021/22 to 2022/23. The final transfer amounts will be confirmed in the 2022 October Baseline Update.</w:t>
      </w:r>
    </w:p>
    <w:p w14:paraId="5C7291CF" w14:textId="77777777" w:rsidR="004C2BFC" w:rsidRPr="004C2BFC" w:rsidRDefault="004C2BFC" w:rsidP="004C2BFC">
      <w:pPr>
        <w:rPr>
          <w:rFonts w:eastAsia="Arial Unicode MS"/>
        </w:rPr>
      </w:pPr>
    </w:p>
    <w:p w14:paraId="556DF5D9" w14:textId="77777777" w:rsidR="004C2BFC" w:rsidRPr="004C2BFC" w:rsidRDefault="004C2BFC" w:rsidP="004C2BFC">
      <w:pPr>
        <w:rPr>
          <w:rFonts w:eastAsia="Arial Unicode MS"/>
        </w:rPr>
      </w:pPr>
      <w:r w:rsidRPr="004C2BFC">
        <w:rPr>
          <w:rFonts w:eastAsia="Arial Unicode MS"/>
        </w:rPr>
        <w:t>Key spending on initiatives during 2021/22 includes:</w:t>
      </w:r>
    </w:p>
    <w:p w14:paraId="767D7373" w14:textId="5B2C9E5C" w:rsidR="004C2BFC" w:rsidRPr="004C2BFC" w:rsidRDefault="004C2BFC" w:rsidP="004C2BFC">
      <w:pPr>
        <w:pStyle w:val="Bullet"/>
        <w:rPr>
          <w:rFonts w:eastAsia="Arial Unicode MS"/>
        </w:rPr>
      </w:pPr>
      <w:r w:rsidRPr="004C2BFC">
        <w:rPr>
          <w:rFonts w:eastAsia="Arial Unicode MS"/>
        </w:rPr>
        <w:t>$201.648 million – Personal Protection Equipment (PPE): For the purchase and use of additional PPE, including protective masks, face shields, gloves, and other protective clothing, for frontline health care workforce and essential services workforce. This cost includes the $4.874 million impairment of inventory after an assessment was performed at year end on the quality of PPE in accordance with PBE IPSAS 12. Refer to note 2.1 above for inventory balance at year end.</w:t>
      </w:r>
    </w:p>
    <w:p w14:paraId="63D7DA34" w14:textId="254F78E6" w:rsidR="004C2BFC" w:rsidRPr="004C2BFC" w:rsidRDefault="004C2BFC" w:rsidP="004C2BFC">
      <w:pPr>
        <w:pStyle w:val="Bullet"/>
        <w:rPr>
          <w:rFonts w:eastAsia="Arial Unicode MS"/>
        </w:rPr>
      </w:pPr>
      <w:r w:rsidRPr="004C2BFC">
        <w:rPr>
          <w:rFonts w:eastAsia="Arial Unicode MS"/>
        </w:rPr>
        <w:t>$1.216 billion – COVID-19 testing and laboratory capacity: For purchase of testing equipment, consumables associated with processing tests and the delivery of testing services within the community to detect the presence of COVID-19. This amount includes $746.169 million for the purchase of RATs.</w:t>
      </w:r>
    </w:p>
    <w:p w14:paraId="6ADAEF3B" w14:textId="7C4A87A9" w:rsidR="004C2BFC" w:rsidRPr="004C2BFC" w:rsidRDefault="004C2BFC" w:rsidP="004C2BFC">
      <w:pPr>
        <w:pStyle w:val="Bullet"/>
        <w:rPr>
          <w:rFonts w:eastAsia="Arial Unicode MS"/>
        </w:rPr>
      </w:pPr>
      <w:r w:rsidRPr="004C2BFC">
        <w:rPr>
          <w:rFonts w:eastAsia="Arial Unicode MS"/>
        </w:rPr>
        <w:t>$213.102 million in DHB support to respond to the COVID-19 pandemic including costs for incident management, regional coordination services, additional cleaning, and security services as well as other activities associated with the response.</w:t>
      </w:r>
    </w:p>
    <w:p w14:paraId="6C188B50" w14:textId="7A608A0E" w:rsidR="004C2BFC" w:rsidRPr="004C2BFC" w:rsidRDefault="004C2BFC" w:rsidP="004C2BFC">
      <w:pPr>
        <w:pStyle w:val="Bullet"/>
        <w:rPr>
          <w:rFonts w:eastAsia="Arial Unicode MS"/>
        </w:rPr>
      </w:pPr>
      <w:r w:rsidRPr="004C2BFC">
        <w:rPr>
          <w:rFonts w:eastAsia="Arial Unicode MS"/>
        </w:rPr>
        <w:t>$114.332 million – Enhanced border measures – managed isolation and quarantine: To provide health services in our managed isolation or quarantine facilities.</w:t>
      </w:r>
    </w:p>
    <w:p w14:paraId="04A57706" w14:textId="7D1E0D0A" w:rsidR="004C2BFC" w:rsidRPr="004C2BFC" w:rsidRDefault="004C2BFC" w:rsidP="004C2BFC">
      <w:pPr>
        <w:pStyle w:val="Bullet"/>
        <w:rPr>
          <w:rFonts w:eastAsia="Arial Unicode MS"/>
        </w:rPr>
      </w:pPr>
      <w:r w:rsidRPr="004C2BFC">
        <w:rPr>
          <w:rFonts w:eastAsia="Arial Unicode MS"/>
        </w:rPr>
        <w:t>$60.426 million – increase in combine Pharmaceutical Budget and Pharmac operating costs: To meet the increase in the price of medicines precured by Pharmac resulting from the disruption to supply.</w:t>
      </w:r>
    </w:p>
    <w:p w14:paraId="0BFF3DCB" w14:textId="59C40909" w:rsidR="004C2BFC" w:rsidRPr="004C2BFC" w:rsidRDefault="004C2BFC" w:rsidP="004C2BFC">
      <w:pPr>
        <w:pStyle w:val="Bullet"/>
        <w:rPr>
          <w:rFonts w:eastAsia="Arial Unicode MS"/>
        </w:rPr>
      </w:pPr>
      <w:r w:rsidRPr="004C2BFC">
        <w:rPr>
          <w:rFonts w:eastAsia="Arial Unicode MS"/>
        </w:rPr>
        <w:lastRenderedPageBreak/>
        <w:t>$566.562 million - for the purchase of COVID-19 Vaccines and COVAX agreement.</w:t>
      </w:r>
    </w:p>
    <w:p w14:paraId="59F244A0" w14:textId="1CA3A4C1" w:rsidR="004C2BFC" w:rsidRPr="004C2BFC" w:rsidRDefault="004C2BFC" w:rsidP="004C2BFC">
      <w:pPr>
        <w:pStyle w:val="Bullet"/>
        <w:rPr>
          <w:rFonts w:eastAsia="Arial Unicode MS"/>
        </w:rPr>
      </w:pPr>
      <w:r w:rsidRPr="004C2BFC">
        <w:rPr>
          <w:rFonts w:eastAsia="Arial Unicode MS"/>
        </w:rPr>
        <w:t>$987.337 million - for the delivery of the immunisation programme including the cost incurred by DHBs’ in administering the vaccine, cost of technology to support vaccine delivery, costs associated with delivering equitable outcomes and the costs associated with information campaigns on the vaccine to the public.</w:t>
      </w:r>
    </w:p>
    <w:p w14:paraId="3E3F8A96" w14:textId="53264E97" w:rsidR="004C2BFC" w:rsidRPr="004C2BFC" w:rsidRDefault="004C2BFC" w:rsidP="004C2BFC">
      <w:pPr>
        <w:pStyle w:val="Bullet"/>
        <w:rPr>
          <w:rFonts w:eastAsia="Arial Unicode MS"/>
        </w:rPr>
      </w:pPr>
      <w:r w:rsidRPr="004C2BFC">
        <w:rPr>
          <w:rFonts w:eastAsia="Arial Unicode MS"/>
        </w:rPr>
        <w:t>$422.054 million – Care in the Community: For the costs of providing Care in the Community services, including primary care, pharmacy, and ambulance services.</w:t>
      </w:r>
    </w:p>
    <w:p w14:paraId="7AD1EAC0" w14:textId="7FAD38DD" w:rsidR="004C2BFC" w:rsidRDefault="004C2BFC" w:rsidP="004C2BFC">
      <w:pPr>
        <w:pStyle w:val="Bullet"/>
        <w:rPr>
          <w:rFonts w:eastAsia="Arial Unicode MS"/>
        </w:rPr>
      </w:pPr>
      <w:r w:rsidRPr="004C2BFC">
        <w:rPr>
          <w:rFonts w:eastAsia="Arial Unicode MS"/>
        </w:rPr>
        <w:t>$178.041 million – Contact Tracing: For the costs of providing National Close Contact Services, technology and telehealth services for the managements of COVID-19.</w:t>
      </w:r>
    </w:p>
    <w:p w14:paraId="73BD8A6E" w14:textId="77777777" w:rsidR="004C2BFC" w:rsidRPr="004C2BFC" w:rsidRDefault="004C2BFC" w:rsidP="004C2BFC">
      <w:pPr>
        <w:pStyle w:val="Heading4"/>
      </w:pPr>
      <w:r w:rsidRPr="004C2BFC">
        <w:t>Statement of budgeted and actual expenses and capital expenditure incurred against appropriations for the year ended 30 June 2022</w:t>
      </w:r>
    </w:p>
    <w:p w14:paraId="4974A4FB" w14:textId="77777777" w:rsidR="004C2BFC" w:rsidRPr="004C2BFC" w:rsidRDefault="004C2BFC" w:rsidP="004C2BFC">
      <w:pPr>
        <w:pStyle w:val="Heading5"/>
      </w:pPr>
      <w:r w:rsidRPr="004C2BFC">
        <w:t>Transfers under section 26A of the PFA for Vote Health</w:t>
      </w:r>
    </w:p>
    <w:p w14:paraId="1AEA1750" w14:textId="3E5078A7" w:rsidR="004C2BFC" w:rsidRDefault="004C2BFC" w:rsidP="004C2BFC">
      <w:pPr>
        <w:rPr>
          <w:rFonts w:eastAsia="Arial Unicode MS"/>
        </w:rPr>
      </w:pPr>
      <w:r w:rsidRPr="004C2BFC">
        <w:rPr>
          <w:rFonts w:eastAsia="Arial Unicode MS"/>
        </w:rPr>
        <w:t>The Ministers of Finance and Health as Joint Ministers agreed to support a fiscally neutral adjustment between appropriations in Vote Health under section 26A of the Public Finance Act 1989 for the 2021/22 financial year only, to avoid the risk of unappropriated expenditure at year end. The section 26A transfer is approved by way of an Order in Council prior to 30 June under section 26A of the Public Finance Act.</w:t>
      </w:r>
    </w:p>
    <w:p w14:paraId="303183F9" w14:textId="77777777" w:rsidR="004C2BFC" w:rsidRPr="004C2BFC" w:rsidRDefault="004C2BFC" w:rsidP="004C2BFC">
      <w:pPr>
        <w:rPr>
          <w:rFonts w:eastAsia="Arial Unicode MS"/>
        </w:rPr>
      </w:pPr>
    </w:p>
    <w:p w14:paraId="68586916" w14:textId="76A0B11C" w:rsidR="004C2BFC" w:rsidRDefault="004C2BFC" w:rsidP="004C2BFC">
      <w:pPr>
        <w:rPr>
          <w:rFonts w:eastAsia="Arial Unicode MS"/>
        </w:rPr>
      </w:pPr>
      <w:r w:rsidRPr="004C2BFC">
        <w:rPr>
          <w:rFonts w:eastAsia="Arial Unicode MS"/>
        </w:rPr>
        <w:t>The approved appropriation includes adjustments made in the Supplementary Estimates and the following transfers under section 26A of the Public Finance Act were made:</w:t>
      </w:r>
    </w:p>
    <w:p w14:paraId="0DB76E38" w14:textId="510C1550" w:rsidR="004C2BFC" w:rsidRDefault="004C2BFC" w:rsidP="004C2BFC">
      <w:pPr>
        <w:rPr>
          <w:rFonts w:eastAsia="Arial Unicode MS"/>
        </w:rPr>
      </w:pPr>
    </w:p>
    <w:tbl>
      <w:tblPr>
        <w:tblW w:w="8080" w:type="dxa"/>
        <w:tblLayout w:type="fixed"/>
        <w:tblCellMar>
          <w:left w:w="0" w:type="dxa"/>
          <w:right w:w="0" w:type="dxa"/>
        </w:tblCellMar>
        <w:tblLook w:val="01E0" w:firstRow="1" w:lastRow="1" w:firstColumn="1" w:lastColumn="1" w:noHBand="0" w:noVBand="0"/>
      </w:tblPr>
      <w:tblGrid>
        <w:gridCol w:w="2977"/>
        <w:gridCol w:w="1701"/>
        <w:gridCol w:w="1701"/>
        <w:gridCol w:w="1701"/>
      </w:tblGrid>
      <w:tr w:rsidR="004C2BFC" w:rsidRPr="004C2BFC" w14:paraId="428286EB" w14:textId="77777777" w:rsidTr="004C2BFC">
        <w:trPr>
          <w:trHeight w:val="1069"/>
        </w:trPr>
        <w:tc>
          <w:tcPr>
            <w:tcW w:w="2977" w:type="dxa"/>
            <w:shd w:val="clear" w:color="auto" w:fill="D9D9D9" w:themeFill="background1" w:themeFillShade="D9"/>
          </w:tcPr>
          <w:p w14:paraId="09B742D5" w14:textId="77777777" w:rsidR="004C2BFC" w:rsidRPr="004C2BFC" w:rsidRDefault="004C2BFC" w:rsidP="004C2BFC">
            <w:pPr>
              <w:pStyle w:val="TableText"/>
              <w:rPr>
                <w:b/>
                <w:bCs/>
              </w:rPr>
            </w:pPr>
          </w:p>
        </w:tc>
        <w:tc>
          <w:tcPr>
            <w:tcW w:w="1701" w:type="dxa"/>
            <w:shd w:val="clear" w:color="auto" w:fill="D9D9D9" w:themeFill="background1" w:themeFillShade="D9"/>
          </w:tcPr>
          <w:p w14:paraId="44A4B908" w14:textId="2DC794DB" w:rsidR="004C2BFC" w:rsidRPr="004C2BFC" w:rsidRDefault="004C2BFC" w:rsidP="004C2BFC">
            <w:pPr>
              <w:pStyle w:val="TableText"/>
              <w:jc w:val="right"/>
              <w:rPr>
                <w:b/>
                <w:bCs/>
              </w:rPr>
            </w:pPr>
            <w:r w:rsidRPr="004C2BFC">
              <w:rPr>
                <w:b/>
                <w:bCs/>
              </w:rPr>
              <w:t>Supplementary</w:t>
            </w:r>
            <w:r w:rsidR="00982171">
              <w:rPr>
                <w:b/>
                <w:bCs/>
              </w:rPr>
              <w:br/>
            </w:r>
            <w:r w:rsidRPr="004C2BFC">
              <w:rPr>
                <w:b/>
                <w:bCs/>
              </w:rPr>
              <w:t>estimates</w:t>
            </w:r>
          </w:p>
          <w:p w14:paraId="7E5B47F6" w14:textId="77777777" w:rsidR="004C2BFC" w:rsidRPr="004C2BFC" w:rsidRDefault="004C2BFC" w:rsidP="004C2BFC">
            <w:pPr>
              <w:pStyle w:val="TableText"/>
              <w:jc w:val="right"/>
              <w:rPr>
                <w:b/>
                <w:bCs/>
              </w:rPr>
            </w:pPr>
            <w:r w:rsidRPr="004C2BFC">
              <w:rPr>
                <w:b/>
                <w:bCs/>
              </w:rPr>
              <w:t>2022</w:t>
            </w:r>
          </w:p>
          <w:p w14:paraId="0EE4A354" w14:textId="77777777" w:rsidR="004C2BFC" w:rsidRPr="004C2BFC" w:rsidRDefault="004C2BFC" w:rsidP="004C2BFC">
            <w:pPr>
              <w:pStyle w:val="TableText"/>
              <w:jc w:val="right"/>
              <w:rPr>
                <w:b/>
                <w:bCs/>
              </w:rPr>
            </w:pPr>
            <w:r w:rsidRPr="004C2BFC">
              <w:rPr>
                <w:b/>
                <w:bCs/>
              </w:rPr>
              <w:t>$000</w:t>
            </w:r>
          </w:p>
        </w:tc>
        <w:tc>
          <w:tcPr>
            <w:tcW w:w="1701" w:type="dxa"/>
            <w:shd w:val="clear" w:color="auto" w:fill="D9D9D9" w:themeFill="background1" w:themeFillShade="D9"/>
          </w:tcPr>
          <w:p w14:paraId="745A83D6" w14:textId="75604C81" w:rsidR="004C2BFC" w:rsidRPr="004C2BFC" w:rsidRDefault="004C2BFC" w:rsidP="004C2BFC">
            <w:pPr>
              <w:pStyle w:val="TableText"/>
              <w:jc w:val="right"/>
              <w:rPr>
                <w:b/>
                <w:bCs/>
              </w:rPr>
            </w:pPr>
            <w:r w:rsidRPr="004C2BFC">
              <w:rPr>
                <w:b/>
                <w:bCs/>
              </w:rPr>
              <w:t>Section 26A</w:t>
            </w:r>
            <w:r w:rsidR="00982171">
              <w:rPr>
                <w:b/>
                <w:bCs/>
              </w:rPr>
              <w:br/>
            </w:r>
            <w:r w:rsidRPr="004C2BFC">
              <w:rPr>
                <w:b/>
                <w:bCs/>
              </w:rPr>
              <w:t>transfers</w:t>
            </w:r>
          </w:p>
          <w:p w14:paraId="4F809D08" w14:textId="77777777" w:rsidR="004C2BFC" w:rsidRPr="004C2BFC" w:rsidRDefault="004C2BFC" w:rsidP="004C2BFC">
            <w:pPr>
              <w:pStyle w:val="TableText"/>
              <w:jc w:val="right"/>
              <w:rPr>
                <w:b/>
                <w:bCs/>
              </w:rPr>
            </w:pPr>
            <w:r w:rsidRPr="004C2BFC">
              <w:rPr>
                <w:b/>
                <w:bCs/>
              </w:rPr>
              <w:t>2022</w:t>
            </w:r>
          </w:p>
          <w:p w14:paraId="14151227" w14:textId="77777777" w:rsidR="004C2BFC" w:rsidRPr="004C2BFC" w:rsidRDefault="004C2BFC" w:rsidP="004C2BFC">
            <w:pPr>
              <w:pStyle w:val="TableText"/>
              <w:jc w:val="right"/>
              <w:rPr>
                <w:b/>
                <w:bCs/>
              </w:rPr>
            </w:pPr>
            <w:r w:rsidRPr="004C2BFC">
              <w:rPr>
                <w:b/>
                <w:bCs/>
              </w:rPr>
              <w:t>$000</w:t>
            </w:r>
          </w:p>
        </w:tc>
        <w:tc>
          <w:tcPr>
            <w:tcW w:w="1701" w:type="dxa"/>
            <w:shd w:val="clear" w:color="auto" w:fill="D9D9D9" w:themeFill="background1" w:themeFillShade="D9"/>
          </w:tcPr>
          <w:p w14:paraId="07661845" w14:textId="34948869" w:rsidR="004C2BFC" w:rsidRPr="004C2BFC" w:rsidRDefault="004C2BFC" w:rsidP="004C2BFC">
            <w:pPr>
              <w:pStyle w:val="TableText"/>
              <w:jc w:val="right"/>
              <w:rPr>
                <w:b/>
                <w:bCs/>
              </w:rPr>
            </w:pPr>
            <w:r w:rsidRPr="004C2BFC">
              <w:rPr>
                <w:b/>
                <w:bCs/>
              </w:rPr>
              <w:t>Approved</w:t>
            </w:r>
            <w:r w:rsidR="00982171">
              <w:rPr>
                <w:b/>
                <w:bCs/>
              </w:rPr>
              <w:br/>
            </w:r>
            <w:r w:rsidRPr="004C2BFC">
              <w:rPr>
                <w:b/>
                <w:bCs/>
              </w:rPr>
              <w:t>appropriation</w:t>
            </w:r>
          </w:p>
          <w:p w14:paraId="72BDC816" w14:textId="77777777" w:rsidR="004C2BFC" w:rsidRPr="004C2BFC" w:rsidRDefault="004C2BFC" w:rsidP="004C2BFC">
            <w:pPr>
              <w:pStyle w:val="TableText"/>
              <w:jc w:val="right"/>
              <w:rPr>
                <w:b/>
                <w:bCs/>
              </w:rPr>
            </w:pPr>
            <w:r w:rsidRPr="004C2BFC">
              <w:rPr>
                <w:b/>
                <w:bCs/>
              </w:rPr>
              <w:t>2022</w:t>
            </w:r>
          </w:p>
          <w:p w14:paraId="75B1D698" w14:textId="77777777" w:rsidR="004C2BFC" w:rsidRPr="004C2BFC" w:rsidRDefault="004C2BFC" w:rsidP="004C2BFC">
            <w:pPr>
              <w:pStyle w:val="TableText"/>
              <w:jc w:val="right"/>
              <w:rPr>
                <w:b/>
                <w:bCs/>
              </w:rPr>
            </w:pPr>
            <w:r w:rsidRPr="004C2BFC">
              <w:rPr>
                <w:b/>
                <w:bCs/>
              </w:rPr>
              <w:t>$000</w:t>
            </w:r>
          </w:p>
        </w:tc>
      </w:tr>
      <w:tr w:rsidR="00873222" w:rsidRPr="00873222" w14:paraId="1432DB7D" w14:textId="77777777" w:rsidTr="00873222">
        <w:trPr>
          <w:trHeight w:val="340"/>
        </w:trPr>
        <w:tc>
          <w:tcPr>
            <w:tcW w:w="4678" w:type="dxa"/>
            <w:gridSpan w:val="2"/>
          </w:tcPr>
          <w:p w14:paraId="2FE7305B" w14:textId="5D611BD3" w:rsidR="00873222" w:rsidRPr="00873222" w:rsidRDefault="00873222" w:rsidP="00873222">
            <w:pPr>
              <w:pStyle w:val="TableText"/>
              <w:rPr>
                <w:b/>
                <w:bCs/>
              </w:rPr>
            </w:pPr>
            <w:r w:rsidRPr="00873222">
              <w:rPr>
                <w:b/>
                <w:bCs/>
              </w:rPr>
              <w:t>Non-departmental output expenses</w:t>
            </w:r>
          </w:p>
        </w:tc>
        <w:tc>
          <w:tcPr>
            <w:tcW w:w="1701" w:type="dxa"/>
          </w:tcPr>
          <w:p w14:paraId="5336E4A8" w14:textId="77777777" w:rsidR="00873222" w:rsidRPr="00873222" w:rsidRDefault="00873222" w:rsidP="004C2BFC">
            <w:pPr>
              <w:pStyle w:val="TableText"/>
              <w:jc w:val="right"/>
              <w:rPr>
                <w:b/>
                <w:bCs/>
              </w:rPr>
            </w:pPr>
          </w:p>
        </w:tc>
        <w:tc>
          <w:tcPr>
            <w:tcW w:w="1701" w:type="dxa"/>
          </w:tcPr>
          <w:p w14:paraId="7BEED373" w14:textId="77777777" w:rsidR="00873222" w:rsidRPr="00873222" w:rsidRDefault="00873222" w:rsidP="004C2BFC">
            <w:pPr>
              <w:pStyle w:val="TableText"/>
              <w:jc w:val="right"/>
              <w:rPr>
                <w:b/>
                <w:bCs/>
              </w:rPr>
            </w:pPr>
          </w:p>
        </w:tc>
      </w:tr>
      <w:tr w:rsidR="004C2BFC" w:rsidRPr="004C2BFC" w14:paraId="0C00D3D5" w14:textId="77777777" w:rsidTr="00873222">
        <w:trPr>
          <w:trHeight w:val="340"/>
        </w:trPr>
        <w:tc>
          <w:tcPr>
            <w:tcW w:w="2977" w:type="dxa"/>
          </w:tcPr>
          <w:p w14:paraId="7E1B15DC" w14:textId="77777777" w:rsidR="004C2BFC" w:rsidRPr="004C2BFC" w:rsidRDefault="004C2BFC" w:rsidP="004C2BFC">
            <w:pPr>
              <w:pStyle w:val="TableText"/>
            </w:pPr>
            <w:r w:rsidRPr="004C2BFC">
              <w:t>National child health services</w:t>
            </w:r>
          </w:p>
        </w:tc>
        <w:tc>
          <w:tcPr>
            <w:tcW w:w="1701" w:type="dxa"/>
          </w:tcPr>
          <w:p w14:paraId="702295C0" w14:textId="77777777" w:rsidR="004C2BFC" w:rsidRPr="004C2BFC" w:rsidRDefault="004C2BFC" w:rsidP="004C2BFC">
            <w:pPr>
              <w:pStyle w:val="TableText"/>
              <w:jc w:val="right"/>
            </w:pPr>
            <w:r w:rsidRPr="004C2BFC">
              <w:t>115,883</w:t>
            </w:r>
          </w:p>
        </w:tc>
        <w:tc>
          <w:tcPr>
            <w:tcW w:w="1701" w:type="dxa"/>
          </w:tcPr>
          <w:p w14:paraId="79D7D843" w14:textId="77777777" w:rsidR="004C2BFC" w:rsidRPr="004C2BFC" w:rsidRDefault="004C2BFC" w:rsidP="004C2BFC">
            <w:pPr>
              <w:pStyle w:val="TableText"/>
              <w:jc w:val="right"/>
            </w:pPr>
            <w:r w:rsidRPr="004C2BFC">
              <w:t>5,000</w:t>
            </w:r>
          </w:p>
        </w:tc>
        <w:tc>
          <w:tcPr>
            <w:tcW w:w="1701" w:type="dxa"/>
          </w:tcPr>
          <w:p w14:paraId="689089BC" w14:textId="77777777" w:rsidR="004C2BFC" w:rsidRPr="004C2BFC" w:rsidRDefault="004C2BFC" w:rsidP="004C2BFC">
            <w:pPr>
              <w:pStyle w:val="TableText"/>
              <w:jc w:val="right"/>
            </w:pPr>
            <w:r w:rsidRPr="004C2BFC">
              <w:t>120,883</w:t>
            </w:r>
          </w:p>
        </w:tc>
      </w:tr>
      <w:tr w:rsidR="004C2BFC" w:rsidRPr="004C2BFC" w14:paraId="5266098E" w14:textId="77777777" w:rsidTr="00873222">
        <w:trPr>
          <w:trHeight w:val="340"/>
        </w:trPr>
        <w:tc>
          <w:tcPr>
            <w:tcW w:w="2977" w:type="dxa"/>
          </w:tcPr>
          <w:p w14:paraId="16CB4063" w14:textId="77777777" w:rsidR="004C2BFC" w:rsidRPr="004C2BFC" w:rsidRDefault="004C2BFC" w:rsidP="004C2BFC">
            <w:pPr>
              <w:pStyle w:val="TableText"/>
            </w:pPr>
            <w:r w:rsidRPr="004C2BFC">
              <w:t>National disability support services</w:t>
            </w:r>
          </w:p>
        </w:tc>
        <w:tc>
          <w:tcPr>
            <w:tcW w:w="1701" w:type="dxa"/>
          </w:tcPr>
          <w:p w14:paraId="0E71DDAD" w14:textId="77777777" w:rsidR="004C2BFC" w:rsidRPr="004C2BFC" w:rsidRDefault="004C2BFC" w:rsidP="004C2BFC">
            <w:pPr>
              <w:pStyle w:val="TableText"/>
              <w:jc w:val="right"/>
            </w:pPr>
            <w:r w:rsidRPr="004C2BFC">
              <w:t>1,859,440</w:t>
            </w:r>
          </w:p>
        </w:tc>
        <w:tc>
          <w:tcPr>
            <w:tcW w:w="1701" w:type="dxa"/>
          </w:tcPr>
          <w:p w14:paraId="4151E2CE" w14:textId="77777777" w:rsidR="004C2BFC" w:rsidRPr="004C2BFC" w:rsidRDefault="004C2BFC" w:rsidP="004C2BFC">
            <w:pPr>
              <w:pStyle w:val="TableText"/>
              <w:jc w:val="right"/>
            </w:pPr>
            <w:r w:rsidRPr="004C2BFC">
              <w:t>11,000</w:t>
            </w:r>
          </w:p>
        </w:tc>
        <w:tc>
          <w:tcPr>
            <w:tcW w:w="1701" w:type="dxa"/>
          </w:tcPr>
          <w:p w14:paraId="7D76D212" w14:textId="77777777" w:rsidR="004C2BFC" w:rsidRPr="004C2BFC" w:rsidRDefault="004C2BFC" w:rsidP="004C2BFC">
            <w:pPr>
              <w:pStyle w:val="TableText"/>
              <w:jc w:val="right"/>
            </w:pPr>
            <w:r w:rsidRPr="004C2BFC">
              <w:t>1,870,440</w:t>
            </w:r>
          </w:p>
        </w:tc>
      </w:tr>
      <w:tr w:rsidR="004C2BFC" w:rsidRPr="004C2BFC" w14:paraId="7C16D8A4" w14:textId="77777777" w:rsidTr="00873222">
        <w:trPr>
          <w:trHeight w:val="340"/>
        </w:trPr>
        <w:tc>
          <w:tcPr>
            <w:tcW w:w="2977" w:type="dxa"/>
          </w:tcPr>
          <w:p w14:paraId="2F8960BB" w14:textId="77777777" w:rsidR="004C2BFC" w:rsidRPr="004C2BFC" w:rsidRDefault="004C2BFC" w:rsidP="004C2BFC">
            <w:pPr>
              <w:pStyle w:val="TableText"/>
            </w:pPr>
            <w:r w:rsidRPr="004C2BFC">
              <w:t>Primary health care strategy</w:t>
            </w:r>
          </w:p>
        </w:tc>
        <w:tc>
          <w:tcPr>
            <w:tcW w:w="1701" w:type="dxa"/>
          </w:tcPr>
          <w:p w14:paraId="4450BF19" w14:textId="77777777" w:rsidR="004C2BFC" w:rsidRPr="004C2BFC" w:rsidRDefault="004C2BFC" w:rsidP="004C2BFC">
            <w:pPr>
              <w:pStyle w:val="TableText"/>
              <w:jc w:val="right"/>
            </w:pPr>
            <w:r w:rsidRPr="004C2BFC">
              <w:t>395,895</w:t>
            </w:r>
          </w:p>
        </w:tc>
        <w:tc>
          <w:tcPr>
            <w:tcW w:w="1701" w:type="dxa"/>
          </w:tcPr>
          <w:p w14:paraId="68C001C3" w14:textId="77777777" w:rsidR="004C2BFC" w:rsidRPr="004C2BFC" w:rsidRDefault="004C2BFC" w:rsidP="004C2BFC">
            <w:pPr>
              <w:pStyle w:val="TableText"/>
              <w:jc w:val="right"/>
            </w:pPr>
            <w:r w:rsidRPr="004C2BFC">
              <w:t>(9,000)</w:t>
            </w:r>
          </w:p>
        </w:tc>
        <w:tc>
          <w:tcPr>
            <w:tcW w:w="1701" w:type="dxa"/>
          </w:tcPr>
          <w:p w14:paraId="29109452" w14:textId="77777777" w:rsidR="004C2BFC" w:rsidRPr="004C2BFC" w:rsidRDefault="004C2BFC" w:rsidP="004C2BFC">
            <w:pPr>
              <w:pStyle w:val="TableText"/>
              <w:jc w:val="right"/>
            </w:pPr>
            <w:r w:rsidRPr="004C2BFC">
              <w:t>386,895</w:t>
            </w:r>
          </w:p>
        </w:tc>
      </w:tr>
      <w:tr w:rsidR="004C2BFC" w:rsidRPr="004C2BFC" w14:paraId="57D2BBEA" w14:textId="77777777" w:rsidTr="00873222">
        <w:trPr>
          <w:trHeight w:val="340"/>
        </w:trPr>
        <w:tc>
          <w:tcPr>
            <w:tcW w:w="2977" w:type="dxa"/>
          </w:tcPr>
          <w:p w14:paraId="1381F707" w14:textId="77777777" w:rsidR="004C2BFC" w:rsidRPr="004C2BFC" w:rsidRDefault="004C2BFC" w:rsidP="004C2BFC">
            <w:pPr>
              <w:pStyle w:val="TableText"/>
            </w:pPr>
            <w:r w:rsidRPr="004C2BFC">
              <w:t>Public health service purchasing</w:t>
            </w:r>
          </w:p>
        </w:tc>
        <w:tc>
          <w:tcPr>
            <w:tcW w:w="1701" w:type="dxa"/>
          </w:tcPr>
          <w:p w14:paraId="7BEE8D4C" w14:textId="77777777" w:rsidR="004C2BFC" w:rsidRPr="004C2BFC" w:rsidRDefault="004C2BFC" w:rsidP="004C2BFC">
            <w:pPr>
              <w:pStyle w:val="TableText"/>
              <w:jc w:val="right"/>
            </w:pPr>
            <w:r w:rsidRPr="004C2BFC">
              <w:t>504,779</w:t>
            </w:r>
          </w:p>
        </w:tc>
        <w:tc>
          <w:tcPr>
            <w:tcW w:w="1701" w:type="dxa"/>
          </w:tcPr>
          <w:p w14:paraId="09AFA0F0" w14:textId="77777777" w:rsidR="004C2BFC" w:rsidRPr="004C2BFC" w:rsidRDefault="004C2BFC" w:rsidP="004C2BFC">
            <w:pPr>
              <w:pStyle w:val="TableText"/>
              <w:jc w:val="right"/>
            </w:pPr>
            <w:r w:rsidRPr="004C2BFC">
              <w:t>(2,000)</w:t>
            </w:r>
          </w:p>
        </w:tc>
        <w:tc>
          <w:tcPr>
            <w:tcW w:w="1701" w:type="dxa"/>
          </w:tcPr>
          <w:p w14:paraId="31BDC246" w14:textId="77777777" w:rsidR="004C2BFC" w:rsidRPr="004C2BFC" w:rsidRDefault="004C2BFC" w:rsidP="004C2BFC">
            <w:pPr>
              <w:pStyle w:val="TableText"/>
              <w:jc w:val="right"/>
            </w:pPr>
            <w:r w:rsidRPr="004C2BFC">
              <w:t>502,779</w:t>
            </w:r>
          </w:p>
        </w:tc>
      </w:tr>
      <w:tr w:rsidR="004C2BFC" w:rsidRPr="004C2BFC" w14:paraId="2543E18D" w14:textId="77777777" w:rsidTr="00873222">
        <w:trPr>
          <w:trHeight w:val="340"/>
        </w:trPr>
        <w:tc>
          <w:tcPr>
            <w:tcW w:w="2977" w:type="dxa"/>
            <w:tcBorders>
              <w:bottom w:val="single" w:sz="4" w:space="0" w:color="A6A6A6" w:themeColor="background1" w:themeShade="A6"/>
            </w:tcBorders>
          </w:tcPr>
          <w:p w14:paraId="4A7FDA99" w14:textId="77777777" w:rsidR="004C2BFC" w:rsidRPr="004C2BFC" w:rsidRDefault="004C2BFC" w:rsidP="004C2BFC">
            <w:pPr>
              <w:pStyle w:val="TableText"/>
            </w:pPr>
            <w:r w:rsidRPr="004C2BFC">
              <w:t>National personal health services</w:t>
            </w:r>
          </w:p>
        </w:tc>
        <w:tc>
          <w:tcPr>
            <w:tcW w:w="1701" w:type="dxa"/>
            <w:tcBorders>
              <w:bottom w:val="single" w:sz="4" w:space="0" w:color="A6A6A6" w:themeColor="background1" w:themeShade="A6"/>
            </w:tcBorders>
          </w:tcPr>
          <w:p w14:paraId="25F1EA36" w14:textId="77777777" w:rsidR="004C2BFC" w:rsidRPr="004C2BFC" w:rsidRDefault="004C2BFC" w:rsidP="004C2BFC">
            <w:pPr>
              <w:pStyle w:val="TableText"/>
              <w:jc w:val="right"/>
            </w:pPr>
            <w:r w:rsidRPr="004C2BFC">
              <w:t>77,551</w:t>
            </w:r>
          </w:p>
        </w:tc>
        <w:tc>
          <w:tcPr>
            <w:tcW w:w="1701" w:type="dxa"/>
            <w:tcBorders>
              <w:bottom w:val="single" w:sz="4" w:space="0" w:color="A6A6A6" w:themeColor="background1" w:themeShade="A6"/>
            </w:tcBorders>
          </w:tcPr>
          <w:p w14:paraId="4CB2F029" w14:textId="77777777" w:rsidR="004C2BFC" w:rsidRPr="004C2BFC" w:rsidRDefault="004C2BFC" w:rsidP="004C2BFC">
            <w:pPr>
              <w:pStyle w:val="TableText"/>
              <w:jc w:val="right"/>
            </w:pPr>
            <w:r w:rsidRPr="004C2BFC">
              <w:t>(5,000)</w:t>
            </w:r>
          </w:p>
        </w:tc>
        <w:tc>
          <w:tcPr>
            <w:tcW w:w="1701" w:type="dxa"/>
            <w:tcBorders>
              <w:bottom w:val="single" w:sz="4" w:space="0" w:color="A6A6A6" w:themeColor="background1" w:themeShade="A6"/>
            </w:tcBorders>
          </w:tcPr>
          <w:p w14:paraId="07B426DF" w14:textId="77777777" w:rsidR="004C2BFC" w:rsidRPr="004C2BFC" w:rsidRDefault="004C2BFC" w:rsidP="004C2BFC">
            <w:pPr>
              <w:pStyle w:val="TableText"/>
              <w:jc w:val="right"/>
            </w:pPr>
            <w:r w:rsidRPr="004C2BFC">
              <w:t>72,551</w:t>
            </w:r>
          </w:p>
        </w:tc>
      </w:tr>
    </w:tbl>
    <w:p w14:paraId="579A7607" w14:textId="77777777" w:rsidR="004C2BFC" w:rsidRDefault="004C2BFC" w:rsidP="004C2BFC">
      <w:pPr>
        <w:rPr>
          <w:rFonts w:eastAsia="Arial Unicode MS"/>
        </w:rPr>
      </w:pPr>
    </w:p>
    <w:p w14:paraId="604695BD" w14:textId="77777777" w:rsidR="004C2BFC" w:rsidRDefault="004C2BFC" w:rsidP="004C2BFC">
      <w:pPr>
        <w:rPr>
          <w:rFonts w:eastAsia="Arial Unicode MS"/>
        </w:rPr>
      </w:pPr>
    </w:p>
    <w:p w14:paraId="2BC9F8B0" w14:textId="77777777" w:rsidR="00A4083D" w:rsidRDefault="00A4083D" w:rsidP="004C2BFC">
      <w:pPr>
        <w:rPr>
          <w:rFonts w:eastAsia="Arial Unicode MS"/>
        </w:rPr>
        <w:sectPr w:rsidR="00A4083D" w:rsidSect="00C26282">
          <w:pgSz w:w="11907" w:h="16840" w:code="9"/>
          <w:pgMar w:top="1418" w:right="1701" w:bottom="1134" w:left="1843" w:header="284" w:footer="425" w:gutter="284"/>
          <w:cols w:space="720"/>
        </w:sectPr>
      </w:pPr>
    </w:p>
    <w:p w14:paraId="14BA0F22" w14:textId="77777777" w:rsidR="00A4083D" w:rsidRPr="00A4083D" w:rsidRDefault="00A4083D" w:rsidP="00A4083D">
      <w:pPr>
        <w:pStyle w:val="Heading3"/>
        <w:spacing w:before="0"/>
      </w:pPr>
      <w:bookmarkStart w:id="72" w:name="_Toc117264978"/>
      <w:r w:rsidRPr="00A4083D">
        <w:lastRenderedPageBreak/>
        <w:t>Statement of expenses and capital expenditure incurred without, or in excess of, appropriation or other authority for the year ended 30 June 2022</w:t>
      </w:r>
      <w:bookmarkEnd w:id="72"/>
    </w:p>
    <w:p w14:paraId="40E33829" w14:textId="77777777" w:rsidR="00A4083D" w:rsidRPr="00A4083D" w:rsidRDefault="00A4083D" w:rsidP="00A4083D">
      <w:pPr>
        <w:rPr>
          <w:rFonts w:eastAsia="Arial Unicode MS"/>
        </w:rPr>
      </w:pPr>
      <w:r w:rsidRPr="00A4083D">
        <w:rPr>
          <w:rFonts w:eastAsia="Arial Unicode MS"/>
        </w:rPr>
        <w:t>The Ministry has no expenses and capital expenditure incurred without, or in excess of, appropriation or other authority for the year ended 30 June 2022.</w:t>
      </w:r>
    </w:p>
    <w:p w14:paraId="67EE4832" w14:textId="77777777" w:rsidR="00A4083D" w:rsidRPr="00A4083D" w:rsidRDefault="00A4083D" w:rsidP="00A4083D">
      <w:pPr>
        <w:pStyle w:val="Heading5"/>
      </w:pPr>
      <w:r w:rsidRPr="00A4083D">
        <w:t>Expenses and capital expenditure incurred in excess of appropriation</w:t>
      </w:r>
    </w:p>
    <w:p w14:paraId="3B54950F" w14:textId="77777777" w:rsidR="00A4083D" w:rsidRPr="00A4083D" w:rsidRDefault="00A4083D" w:rsidP="00A4083D">
      <w:pPr>
        <w:rPr>
          <w:rFonts w:eastAsia="Arial Unicode MS"/>
        </w:rPr>
      </w:pPr>
      <w:r w:rsidRPr="00A4083D">
        <w:rPr>
          <w:rFonts w:eastAsia="Arial Unicode MS"/>
        </w:rPr>
        <w:t>Nil.</w:t>
      </w:r>
    </w:p>
    <w:p w14:paraId="36E733B2" w14:textId="77777777" w:rsidR="00A4083D" w:rsidRPr="00A4083D" w:rsidRDefault="00A4083D" w:rsidP="00A4083D">
      <w:pPr>
        <w:pStyle w:val="Heading5"/>
      </w:pPr>
      <w:r w:rsidRPr="00A4083D">
        <w:t>Expenses and capital expenditure incurred without appropriation or outside scope or period of appropriation</w:t>
      </w:r>
    </w:p>
    <w:p w14:paraId="5EB705EF" w14:textId="6F502207" w:rsidR="00A4083D" w:rsidRDefault="00A4083D" w:rsidP="00A4083D">
      <w:pPr>
        <w:rPr>
          <w:rFonts w:eastAsia="Arial Unicode MS"/>
        </w:rPr>
      </w:pPr>
      <w:r w:rsidRPr="00A4083D">
        <w:rPr>
          <w:rFonts w:eastAsia="Arial Unicode MS"/>
        </w:rPr>
        <w:t>Nil.</w:t>
      </w:r>
    </w:p>
    <w:p w14:paraId="477206ED" w14:textId="413158C9" w:rsidR="004C2BFC" w:rsidRDefault="00A4083D" w:rsidP="00A4083D">
      <w:pPr>
        <w:pStyle w:val="Heading3"/>
      </w:pPr>
      <w:bookmarkStart w:id="73" w:name="_Toc117264979"/>
      <w:r w:rsidRPr="00A4083D">
        <w:t>Statement of departmental capital injections for the year ended 30 June 2022</w:t>
      </w:r>
      <w:bookmarkEnd w:id="73"/>
    </w:p>
    <w:tbl>
      <w:tblPr>
        <w:tblW w:w="8217" w:type="dxa"/>
        <w:tblLayout w:type="fixed"/>
        <w:tblCellMar>
          <w:left w:w="0" w:type="dxa"/>
          <w:right w:w="0" w:type="dxa"/>
        </w:tblCellMar>
        <w:tblLook w:val="01E0" w:firstRow="1" w:lastRow="1" w:firstColumn="1" w:lastColumn="1" w:noHBand="0" w:noVBand="0"/>
      </w:tblPr>
      <w:tblGrid>
        <w:gridCol w:w="1271"/>
        <w:gridCol w:w="3544"/>
        <w:gridCol w:w="1701"/>
        <w:gridCol w:w="1701"/>
      </w:tblGrid>
      <w:tr w:rsidR="00A4083D" w:rsidRPr="004C2BFC" w14:paraId="64352EED" w14:textId="77777777" w:rsidTr="00A4083D">
        <w:trPr>
          <w:trHeight w:val="1069"/>
        </w:trPr>
        <w:tc>
          <w:tcPr>
            <w:tcW w:w="1271" w:type="dxa"/>
            <w:shd w:val="clear" w:color="auto" w:fill="D9D9D9" w:themeFill="background1" w:themeFillShade="D9"/>
          </w:tcPr>
          <w:p w14:paraId="25CF67B7" w14:textId="4E16831B" w:rsidR="00A4083D" w:rsidRPr="00A4083D" w:rsidRDefault="00A4083D" w:rsidP="00A4083D">
            <w:pPr>
              <w:pStyle w:val="TableText"/>
              <w:jc w:val="right"/>
              <w:rPr>
                <w:b/>
                <w:bCs/>
              </w:rPr>
            </w:pPr>
            <w:r w:rsidRPr="00A4083D">
              <w:rPr>
                <w:b/>
                <w:bCs/>
              </w:rPr>
              <w:t xml:space="preserve">Actual </w:t>
            </w:r>
            <w:r>
              <w:rPr>
                <w:b/>
                <w:bCs/>
              </w:rPr>
              <w:br/>
            </w:r>
            <w:r w:rsidRPr="00A4083D">
              <w:rPr>
                <w:b/>
                <w:bCs/>
              </w:rPr>
              <w:t>capital</w:t>
            </w:r>
            <w:r>
              <w:rPr>
                <w:b/>
                <w:bCs/>
              </w:rPr>
              <w:br/>
            </w:r>
            <w:r w:rsidRPr="00A4083D">
              <w:rPr>
                <w:b/>
                <w:bCs/>
              </w:rPr>
              <w:t>injections</w:t>
            </w:r>
          </w:p>
          <w:p w14:paraId="20CAA0B0" w14:textId="77777777" w:rsidR="00A4083D" w:rsidRPr="00A4083D" w:rsidRDefault="00A4083D" w:rsidP="00A4083D">
            <w:pPr>
              <w:pStyle w:val="TableText"/>
              <w:jc w:val="right"/>
              <w:rPr>
                <w:b/>
                <w:bCs/>
              </w:rPr>
            </w:pPr>
            <w:r w:rsidRPr="00A4083D">
              <w:rPr>
                <w:b/>
                <w:bCs/>
              </w:rPr>
              <w:t>2021</w:t>
            </w:r>
          </w:p>
          <w:p w14:paraId="372C6A48" w14:textId="1883452D" w:rsidR="00A4083D" w:rsidRPr="004C2BFC" w:rsidRDefault="00A4083D" w:rsidP="00A4083D">
            <w:pPr>
              <w:pStyle w:val="TableText"/>
              <w:jc w:val="right"/>
              <w:rPr>
                <w:b/>
                <w:bCs/>
              </w:rPr>
            </w:pPr>
            <w:r w:rsidRPr="00A4083D">
              <w:rPr>
                <w:b/>
                <w:bCs/>
              </w:rPr>
              <w:t>$000</w:t>
            </w:r>
          </w:p>
        </w:tc>
        <w:tc>
          <w:tcPr>
            <w:tcW w:w="3544" w:type="dxa"/>
            <w:shd w:val="clear" w:color="auto" w:fill="D9D9D9" w:themeFill="background1" w:themeFillShade="D9"/>
          </w:tcPr>
          <w:p w14:paraId="144670BB" w14:textId="08BA1800" w:rsidR="00A4083D" w:rsidRPr="004C2BFC" w:rsidRDefault="00A4083D" w:rsidP="00E1477E">
            <w:pPr>
              <w:pStyle w:val="TableText"/>
              <w:jc w:val="right"/>
              <w:rPr>
                <w:b/>
                <w:bCs/>
              </w:rPr>
            </w:pPr>
          </w:p>
        </w:tc>
        <w:tc>
          <w:tcPr>
            <w:tcW w:w="1701" w:type="dxa"/>
            <w:shd w:val="clear" w:color="auto" w:fill="D9D9D9" w:themeFill="background1" w:themeFillShade="D9"/>
          </w:tcPr>
          <w:p w14:paraId="4AED11A0" w14:textId="4FA6669C" w:rsidR="00A4083D" w:rsidRDefault="00A4083D" w:rsidP="00A4083D">
            <w:pPr>
              <w:pStyle w:val="TableText"/>
              <w:jc w:val="right"/>
              <w:rPr>
                <w:b/>
                <w:bCs/>
              </w:rPr>
            </w:pPr>
            <w:r w:rsidRPr="00A4083D">
              <w:rPr>
                <w:b/>
                <w:bCs/>
              </w:rPr>
              <w:t>Actual capital</w:t>
            </w:r>
            <w:r>
              <w:rPr>
                <w:b/>
                <w:bCs/>
              </w:rPr>
              <w:br/>
            </w:r>
            <w:r w:rsidRPr="00A4083D">
              <w:rPr>
                <w:b/>
                <w:bCs/>
              </w:rPr>
              <w:t>injections</w:t>
            </w:r>
          </w:p>
          <w:p w14:paraId="3DBB47C3" w14:textId="77777777" w:rsidR="00A4083D" w:rsidRPr="00A4083D" w:rsidRDefault="00A4083D" w:rsidP="00A4083D">
            <w:pPr>
              <w:pStyle w:val="TableText"/>
              <w:jc w:val="right"/>
              <w:rPr>
                <w:b/>
                <w:bCs/>
              </w:rPr>
            </w:pPr>
          </w:p>
          <w:p w14:paraId="03C9FCC6" w14:textId="77777777" w:rsidR="00A4083D" w:rsidRPr="00A4083D" w:rsidRDefault="00A4083D" w:rsidP="00A4083D">
            <w:pPr>
              <w:pStyle w:val="TableText"/>
              <w:jc w:val="right"/>
              <w:rPr>
                <w:b/>
                <w:bCs/>
              </w:rPr>
            </w:pPr>
            <w:r w:rsidRPr="00A4083D">
              <w:rPr>
                <w:b/>
                <w:bCs/>
              </w:rPr>
              <w:t>2022</w:t>
            </w:r>
          </w:p>
          <w:p w14:paraId="52787A7B" w14:textId="76F2DCA4" w:rsidR="00A4083D" w:rsidRPr="004C2BFC" w:rsidRDefault="00A4083D" w:rsidP="00A4083D">
            <w:pPr>
              <w:pStyle w:val="TableText"/>
              <w:jc w:val="right"/>
              <w:rPr>
                <w:b/>
                <w:bCs/>
              </w:rPr>
            </w:pPr>
            <w:r w:rsidRPr="00A4083D">
              <w:rPr>
                <w:b/>
                <w:bCs/>
              </w:rPr>
              <w:t>$000</w:t>
            </w:r>
          </w:p>
        </w:tc>
        <w:tc>
          <w:tcPr>
            <w:tcW w:w="1701" w:type="dxa"/>
            <w:shd w:val="clear" w:color="auto" w:fill="D9D9D9" w:themeFill="background1" w:themeFillShade="D9"/>
          </w:tcPr>
          <w:p w14:paraId="7B460027" w14:textId="54BCDC8E" w:rsidR="00A4083D" w:rsidRDefault="00A4083D" w:rsidP="00A4083D">
            <w:pPr>
              <w:pStyle w:val="TableText"/>
              <w:jc w:val="right"/>
              <w:rPr>
                <w:b/>
                <w:bCs/>
              </w:rPr>
            </w:pPr>
            <w:r w:rsidRPr="00A4083D">
              <w:rPr>
                <w:b/>
                <w:bCs/>
              </w:rPr>
              <w:t>Approved appropriation</w:t>
            </w:r>
          </w:p>
          <w:p w14:paraId="6C660FD2" w14:textId="77777777" w:rsidR="00A4083D" w:rsidRPr="00A4083D" w:rsidRDefault="00A4083D" w:rsidP="00A4083D">
            <w:pPr>
              <w:pStyle w:val="TableText"/>
              <w:jc w:val="right"/>
              <w:rPr>
                <w:b/>
                <w:bCs/>
              </w:rPr>
            </w:pPr>
          </w:p>
          <w:p w14:paraId="4780D8D2" w14:textId="77777777" w:rsidR="00A4083D" w:rsidRPr="00A4083D" w:rsidRDefault="00A4083D" w:rsidP="00A4083D">
            <w:pPr>
              <w:pStyle w:val="TableText"/>
              <w:jc w:val="right"/>
              <w:rPr>
                <w:b/>
                <w:bCs/>
              </w:rPr>
            </w:pPr>
            <w:r w:rsidRPr="00A4083D">
              <w:rPr>
                <w:b/>
                <w:bCs/>
              </w:rPr>
              <w:t>2022</w:t>
            </w:r>
          </w:p>
          <w:p w14:paraId="3F1D5AE7" w14:textId="350AC57C" w:rsidR="00A4083D" w:rsidRPr="004C2BFC" w:rsidRDefault="00A4083D" w:rsidP="00A4083D">
            <w:pPr>
              <w:pStyle w:val="TableText"/>
              <w:jc w:val="right"/>
              <w:rPr>
                <w:b/>
                <w:bCs/>
              </w:rPr>
            </w:pPr>
            <w:r w:rsidRPr="00A4083D">
              <w:rPr>
                <w:b/>
                <w:bCs/>
              </w:rPr>
              <w:t>$000</w:t>
            </w:r>
          </w:p>
        </w:tc>
      </w:tr>
      <w:tr w:rsidR="00A4083D" w:rsidRPr="004C2BFC" w14:paraId="6E59481C" w14:textId="77777777" w:rsidTr="00A4083D">
        <w:trPr>
          <w:trHeight w:val="340"/>
        </w:trPr>
        <w:tc>
          <w:tcPr>
            <w:tcW w:w="1271" w:type="dxa"/>
          </w:tcPr>
          <w:p w14:paraId="54ACFE05" w14:textId="5DAA526F" w:rsidR="00A4083D" w:rsidRPr="004C2BFC" w:rsidRDefault="00A4083D" w:rsidP="00A4083D">
            <w:pPr>
              <w:pStyle w:val="TableText"/>
              <w:jc w:val="right"/>
            </w:pPr>
          </w:p>
        </w:tc>
        <w:tc>
          <w:tcPr>
            <w:tcW w:w="3544" w:type="dxa"/>
          </w:tcPr>
          <w:p w14:paraId="0B99F0BE" w14:textId="7016E5D2" w:rsidR="00A4083D" w:rsidRPr="00A4083D" w:rsidRDefault="00A4083D" w:rsidP="00A4083D">
            <w:pPr>
              <w:pStyle w:val="TableText"/>
            </w:pPr>
            <w:r w:rsidRPr="00A4083D">
              <w:t>Vote: Health</w:t>
            </w:r>
          </w:p>
        </w:tc>
        <w:tc>
          <w:tcPr>
            <w:tcW w:w="1701" w:type="dxa"/>
          </w:tcPr>
          <w:p w14:paraId="2BB56438" w14:textId="34443E01" w:rsidR="00A4083D" w:rsidRPr="004C2BFC" w:rsidRDefault="00A4083D" w:rsidP="00A4083D">
            <w:pPr>
              <w:pStyle w:val="TableText"/>
              <w:jc w:val="right"/>
            </w:pPr>
          </w:p>
        </w:tc>
        <w:tc>
          <w:tcPr>
            <w:tcW w:w="1701" w:type="dxa"/>
          </w:tcPr>
          <w:p w14:paraId="68D27ED9" w14:textId="45C867D5" w:rsidR="00A4083D" w:rsidRPr="004C2BFC" w:rsidRDefault="00A4083D" w:rsidP="00A4083D">
            <w:pPr>
              <w:pStyle w:val="TableText"/>
              <w:jc w:val="right"/>
            </w:pPr>
          </w:p>
        </w:tc>
      </w:tr>
      <w:tr w:rsidR="00A4083D" w:rsidRPr="004C2BFC" w14:paraId="4A6DAFB8" w14:textId="77777777" w:rsidTr="00A4083D">
        <w:trPr>
          <w:trHeight w:val="340"/>
        </w:trPr>
        <w:tc>
          <w:tcPr>
            <w:tcW w:w="1271" w:type="dxa"/>
            <w:tcBorders>
              <w:bottom w:val="single" w:sz="4" w:space="0" w:color="A6A6A6" w:themeColor="background1" w:themeShade="A6"/>
            </w:tcBorders>
          </w:tcPr>
          <w:p w14:paraId="5EBD911B" w14:textId="3F5AA796" w:rsidR="00A4083D" w:rsidRPr="004C2BFC" w:rsidRDefault="00A4083D" w:rsidP="00A4083D">
            <w:pPr>
              <w:pStyle w:val="TableText"/>
              <w:jc w:val="right"/>
            </w:pPr>
            <w:r>
              <w:t>12,509</w:t>
            </w:r>
          </w:p>
        </w:tc>
        <w:tc>
          <w:tcPr>
            <w:tcW w:w="3544" w:type="dxa"/>
            <w:tcBorders>
              <w:bottom w:val="single" w:sz="4" w:space="0" w:color="A6A6A6" w:themeColor="background1" w:themeShade="A6"/>
            </w:tcBorders>
          </w:tcPr>
          <w:p w14:paraId="29748F47" w14:textId="51AB5A22" w:rsidR="00A4083D" w:rsidRPr="00A4083D" w:rsidRDefault="00A4083D" w:rsidP="00A4083D">
            <w:pPr>
              <w:pStyle w:val="TableText"/>
            </w:pPr>
            <w:r w:rsidRPr="00A4083D">
              <w:t>Ministry of Health – Capital injection</w:t>
            </w:r>
          </w:p>
        </w:tc>
        <w:tc>
          <w:tcPr>
            <w:tcW w:w="1701" w:type="dxa"/>
            <w:tcBorders>
              <w:bottom w:val="single" w:sz="4" w:space="0" w:color="A6A6A6" w:themeColor="background1" w:themeShade="A6"/>
            </w:tcBorders>
          </w:tcPr>
          <w:p w14:paraId="77A961CB" w14:textId="35ADB3DA" w:rsidR="00A4083D" w:rsidRPr="0059660E" w:rsidRDefault="00A4083D" w:rsidP="00A4083D">
            <w:pPr>
              <w:pStyle w:val="TableText"/>
              <w:jc w:val="right"/>
            </w:pPr>
            <w:r w:rsidRPr="0059660E">
              <w:t>4,349</w:t>
            </w:r>
          </w:p>
        </w:tc>
        <w:tc>
          <w:tcPr>
            <w:tcW w:w="1701" w:type="dxa"/>
            <w:tcBorders>
              <w:bottom w:val="single" w:sz="4" w:space="0" w:color="A6A6A6" w:themeColor="background1" w:themeShade="A6"/>
            </w:tcBorders>
          </w:tcPr>
          <w:p w14:paraId="3819A221" w14:textId="63D98271" w:rsidR="00A4083D" w:rsidRPr="0059660E" w:rsidRDefault="00A4083D" w:rsidP="00A4083D">
            <w:pPr>
              <w:pStyle w:val="TableText"/>
              <w:jc w:val="right"/>
            </w:pPr>
            <w:r w:rsidRPr="0059660E">
              <w:t>10,013</w:t>
            </w:r>
          </w:p>
        </w:tc>
      </w:tr>
    </w:tbl>
    <w:p w14:paraId="111A8E08" w14:textId="77777777" w:rsidR="00A4083D" w:rsidRPr="00A4083D" w:rsidRDefault="00A4083D" w:rsidP="00A4083D">
      <w:pPr>
        <w:pStyle w:val="Heading5"/>
      </w:pPr>
      <w:r w:rsidRPr="00A4083D">
        <w:t>Statement of departmental capital injections without, or in excess of, authority for the year ended 30 June 2022</w:t>
      </w:r>
    </w:p>
    <w:p w14:paraId="054C09DC" w14:textId="42C78C6B" w:rsidR="00A4083D" w:rsidRDefault="00A4083D" w:rsidP="00A4083D">
      <w:pPr>
        <w:rPr>
          <w:rFonts w:eastAsia="Arial Unicode MS"/>
        </w:rPr>
      </w:pPr>
      <w:r w:rsidRPr="00A4083D">
        <w:rPr>
          <w:rFonts w:eastAsia="Arial Unicode MS"/>
        </w:rPr>
        <w:t>The Ministry has not received any capital injections during the year without, or in excess, of authority.</w:t>
      </w:r>
    </w:p>
    <w:p w14:paraId="43F77007" w14:textId="77777777" w:rsidR="00A4083D" w:rsidRDefault="00A4083D" w:rsidP="00A4083D">
      <w:pPr>
        <w:rPr>
          <w:rFonts w:eastAsia="Arial Unicode MS"/>
        </w:rPr>
      </w:pPr>
    </w:p>
    <w:p w14:paraId="3AE57BB5" w14:textId="5122ED53" w:rsidR="00A4083D" w:rsidRPr="00A4083D" w:rsidRDefault="00A4083D" w:rsidP="00A4083D">
      <w:pPr>
        <w:rPr>
          <w:rFonts w:eastAsia="Arial Unicode MS"/>
        </w:rPr>
        <w:sectPr w:rsidR="00A4083D" w:rsidRPr="00A4083D" w:rsidSect="00C26282">
          <w:pgSz w:w="11907" w:h="16840" w:code="9"/>
          <w:pgMar w:top="1418" w:right="1701" w:bottom="1134" w:left="1843" w:header="284" w:footer="425" w:gutter="284"/>
          <w:cols w:space="720"/>
        </w:sectPr>
      </w:pPr>
    </w:p>
    <w:p w14:paraId="03A7FFFE" w14:textId="38BEC603" w:rsidR="00851B45" w:rsidRDefault="00B70733" w:rsidP="00B70733">
      <w:pPr>
        <w:pStyle w:val="Heading1"/>
        <w:spacing w:before="0"/>
        <w:rPr>
          <w:rFonts w:eastAsia="Arial Unicode MS"/>
          <w:b w:val="0"/>
          <w:bCs/>
        </w:rPr>
      </w:pPr>
      <w:bookmarkStart w:id="74" w:name="_Toc117264980"/>
      <w:r w:rsidRPr="00B70733">
        <w:rPr>
          <w:rFonts w:eastAsia="Arial Unicode MS"/>
        </w:rPr>
        <w:lastRenderedPageBreak/>
        <w:t xml:space="preserve">Appendices | </w:t>
      </w:r>
      <w:r w:rsidRPr="00B70733">
        <w:rPr>
          <w:rFonts w:eastAsia="Arial Unicode MS"/>
          <w:b w:val="0"/>
          <w:bCs/>
        </w:rPr>
        <w:t>Ngā āpi</w:t>
      </w:r>
      <w:r w:rsidR="00191F23">
        <w:rPr>
          <w:rFonts w:eastAsia="Arial Unicode MS"/>
          <w:b w:val="0"/>
          <w:bCs/>
        </w:rPr>
        <w:t>tihanga</w:t>
      </w:r>
      <w:bookmarkEnd w:id="74"/>
    </w:p>
    <w:p w14:paraId="058D47F3" w14:textId="77777777" w:rsidR="00E1477E" w:rsidRDefault="00E1477E" w:rsidP="00E1477E">
      <w:pPr>
        <w:pStyle w:val="Heading2"/>
        <w:rPr>
          <w:rFonts w:eastAsia="Arial Unicode MS"/>
        </w:rPr>
      </w:pPr>
      <w:bookmarkStart w:id="75" w:name="_Toc117264981"/>
      <w:r w:rsidRPr="00E1477E">
        <w:rPr>
          <w:rFonts w:eastAsia="Arial Unicode MS"/>
        </w:rPr>
        <w:t>Appendix 1:</w:t>
      </w:r>
      <w:r>
        <w:rPr>
          <w:rFonts w:eastAsia="Arial Unicode MS"/>
        </w:rPr>
        <w:t xml:space="preserve"> </w:t>
      </w:r>
      <w:r w:rsidRPr="00E1477E">
        <w:rPr>
          <w:rFonts w:eastAsia="Arial Unicode MS"/>
        </w:rPr>
        <w:t>Statement of strategic intentions (2021-2025) – Outcome measure results</w:t>
      </w:r>
      <w:bookmarkEnd w:id="75"/>
    </w:p>
    <w:p w14:paraId="6922A039" w14:textId="77777777" w:rsidR="00E1477E" w:rsidRDefault="00E1477E" w:rsidP="00E1477E">
      <w:pPr>
        <w:rPr>
          <w:rFonts w:eastAsia="Arial Unicode MS"/>
        </w:rPr>
      </w:pPr>
    </w:p>
    <w:p w14:paraId="2A0D2A9F" w14:textId="54FB5A05" w:rsidR="00E1477E" w:rsidRDefault="00E1477E" w:rsidP="00E1477E">
      <w:pPr>
        <w:rPr>
          <w:rFonts w:eastAsia="Arial Unicode MS"/>
        </w:rPr>
      </w:pPr>
      <w:r w:rsidRPr="00E1477E">
        <w:rPr>
          <w:rFonts w:eastAsia="Arial Unicode MS"/>
        </w:rPr>
        <w:t>While the actions and directions of the entities within the public health system of New Zealand are developed and progressed in the short-term, the reformation changes to the system will require us to develop a new set of strategic intentions to guide the mahi during this transitional period.</w:t>
      </w:r>
    </w:p>
    <w:p w14:paraId="49B9589E" w14:textId="77777777" w:rsidR="00E1477E" w:rsidRPr="00E1477E" w:rsidRDefault="00E1477E" w:rsidP="00E1477E">
      <w:pPr>
        <w:rPr>
          <w:rFonts w:eastAsia="Arial Unicode MS"/>
        </w:rPr>
      </w:pPr>
    </w:p>
    <w:p w14:paraId="5628ECC1" w14:textId="77777777" w:rsidR="00E1477E" w:rsidRPr="00E1477E" w:rsidRDefault="00E1477E" w:rsidP="00E1477E">
      <w:pPr>
        <w:rPr>
          <w:rFonts w:eastAsia="Arial Unicode MS"/>
        </w:rPr>
      </w:pPr>
      <w:r w:rsidRPr="00E1477E">
        <w:rPr>
          <w:rFonts w:eastAsia="Arial Unicode MS"/>
        </w:rPr>
        <w:t>The new strategic intentions must be produced no later than six months after 01 July 2022, when the new health system structure came into effect. After presenting to the House of Representatives, these will be available on our website, health.govt.nz.</w:t>
      </w:r>
    </w:p>
    <w:p w14:paraId="7B0F7D87" w14:textId="77777777" w:rsidR="00E1477E" w:rsidRPr="00E1477E" w:rsidRDefault="00E1477E" w:rsidP="00E1477E">
      <w:pPr>
        <w:pStyle w:val="Heading4"/>
      </w:pPr>
      <w:r w:rsidRPr="00E1477E">
        <w:t>Outcome measures</w:t>
      </w:r>
    </w:p>
    <w:p w14:paraId="1C4FA6F2" w14:textId="66898754" w:rsidR="00E1477E" w:rsidRDefault="00E1477E" w:rsidP="00E1477E">
      <w:pPr>
        <w:rPr>
          <w:rFonts w:eastAsia="Arial Unicode MS"/>
        </w:rPr>
      </w:pPr>
      <w:r w:rsidRPr="00E1477E">
        <w:rPr>
          <w:rFonts w:eastAsia="Arial Unicode MS"/>
        </w:rPr>
        <w:t>Please note, the outcome measure ‘independent life expectancy’ has not been reported because results are dependent on data gathered in the Disability Survey which was last undertaken in 2013.</w:t>
      </w:r>
    </w:p>
    <w:p w14:paraId="45198ADD" w14:textId="77777777" w:rsidR="00E1477E" w:rsidRPr="00E1477E" w:rsidRDefault="00E1477E" w:rsidP="00E1477E">
      <w:pPr>
        <w:rPr>
          <w:rFonts w:eastAsia="Arial Unicode MS"/>
        </w:rPr>
      </w:pPr>
    </w:p>
    <w:p w14:paraId="36C451FB" w14:textId="77777777" w:rsidR="00E1477E" w:rsidRPr="00E1477E" w:rsidRDefault="00E1477E" w:rsidP="00E1477E">
      <w:pPr>
        <w:rPr>
          <w:rFonts w:eastAsia="Arial Unicode MS"/>
        </w:rPr>
      </w:pPr>
      <w:r w:rsidRPr="00E1477E">
        <w:rPr>
          <w:rFonts w:eastAsia="Arial Unicode MS"/>
        </w:rPr>
        <w:t>Additionally, the outcome measure for decrease in the ‘rate of growth in health spending over time’ has been removed due to changes in the Government priorities and strategic focus for the health sector.</w:t>
      </w:r>
    </w:p>
    <w:p w14:paraId="61BD35B0" w14:textId="41D656F5" w:rsidR="00E1477E" w:rsidRDefault="00E1477E" w:rsidP="00E1477E">
      <w:pPr>
        <w:pStyle w:val="Heading5"/>
      </w:pPr>
      <w:r w:rsidRPr="00E1477E">
        <w:t>Health-adjusted life expectancy improves over time</w:t>
      </w:r>
    </w:p>
    <w:tbl>
      <w:tblPr>
        <w:tblStyle w:val="TableGrid"/>
        <w:tblW w:w="0" w:type="auto"/>
        <w:tblLook w:val="04A0" w:firstRow="1" w:lastRow="0" w:firstColumn="1" w:lastColumn="0" w:noHBand="0" w:noVBand="1"/>
      </w:tblPr>
      <w:tblGrid>
        <w:gridCol w:w="8069"/>
      </w:tblGrid>
      <w:tr w:rsidR="00E1477E" w14:paraId="41146190" w14:textId="77777777" w:rsidTr="00E1477E">
        <w:tc>
          <w:tcPr>
            <w:tcW w:w="8069" w:type="dxa"/>
            <w:tcBorders>
              <w:top w:val="single" w:sz="4" w:space="0" w:color="A6A6A6" w:themeColor="background1" w:themeShade="A6"/>
              <w:left w:val="nil"/>
              <w:bottom w:val="single" w:sz="4" w:space="0" w:color="A6A6A6" w:themeColor="background1" w:themeShade="A6"/>
              <w:right w:val="nil"/>
            </w:tcBorders>
          </w:tcPr>
          <w:p w14:paraId="335A7297" w14:textId="77777777" w:rsidR="00E1477E" w:rsidRPr="00E1477E" w:rsidRDefault="00E1477E" w:rsidP="00E1477E">
            <w:pPr>
              <w:rPr>
                <w:rFonts w:eastAsia="Arial Unicode MS"/>
                <w:b/>
                <w:bCs/>
              </w:rPr>
            </w:pPr>
            <w:r w:rsidRPr="00E1477E">
              <w:rPr>
                <w:rFonts w:eastAsia="Arial Unicode MS"/>
                <w:b/>
                <w:bCs/>
              </w:rPr>
              <w:t>Measures</w:t>
            </w:r>
          </w:p>
          <w:p w14:paraId="4A6C8AC4" w14:textId="2FEADC27" w:rsidR="00E1477E" w:rsidRDefault="00E1477E" w:rsidP="00E1477E">
            <w:pPr>
              <w:rPr>
                <w:rFonts w:eastAsia="Arial Unicode MS"/>
              </w:rPr>
            </w:pPr>
            <w:r w:rsidRPr="00E1477E">
              <w:rPr>
                <w:rFonts w:eastAsia="Arial Unicode MS"/>
              </w:rPr>
              <w:t>Health-adjusted life expectancy is the number of years a person at birth can expect to live at a given age in good health taking into account mortality and disability.</w:t>
            </w:r>
          </w:p>
        </w:tc>
      </w:tr>
      <w:tr w:rsidR="00E1477E" w14:paraId="27290BF7" w14:textId="77777777" w:rsidTr="00E1477E">
        <w:tc>
          <w:tcPr>
            <w:tcW w:w="8069" w:type="dxa"/>
            <w:tcBorders>
              <w:top w:val="single" w:sz="4" w:space="0" w:color="A6A6A6" w:themeColor="background1" w:themeShade="A6"/>
              <w:left w:val="nil"/>
              <w:bottom w:val="single" w:sz="4" w:space="0" w:color="A6A6A6" w:themeColor="background1" w:themeShade="A6"/>
              <w:right w:val="nil"/>
            </w:tcBorders>
          </w:tcPr>
          <w:p w14:paraId="21436C54" w14:textId="77777777" w:rsidR="00E1477E" w:rsidRPr="00E1477E" w:rsidRDefault="00E1477E" w:rsidP="00E1477E">
            <w:pPr>
              <w:rPr>
                <w:rFonts w:eastAsia="Arial Unicode MS"/>
                <w:b/>
                <w:bCs/>
              </w:rPr>
            </w:pPr>
            <w:r w:rsidRPr="00E1477E">
              <w:rPr>
                <w:rFonts w:eastAsia="Arial Unicode MS"/>
                <w:b/>
                <w:bCs/>
              </w:rPr>
              <w:t>Target</w:t>
            </w:r>
          </w:p>
          <w:p w14:paraId="5F8C5F18" w14:textId="329F99C6" w:rsidR="00E1477E" w:rsidRPr="00E1477E" w:rsidRDefault="00E1477E" w:rsidP="00E1477E">
            <w:pPr>
              <w:rPr>
                <w:rFonts w:eastAsia="Arial Unicode MS"/>
              </w:rPr>
            </w:pPr>
            <w:r w:rsidRPr="00E1477E">
              <w:rPr>
                <w:rFonts w:eastAsia="Arial Unicode MS"/>
              </w:rPr>
              <w:t>Improved results for male/female</w:t>
            </w:r>
          </w:p>
        </w:tc>
      </w:tr>
      <w:tr w:rsidR="00E1477E" w14:paraId="3305FF18" w14:textId="77777777" w:rsidTr="00E1477E">
        <w:tc>
          <w:tcPr>
            <w:tcW w:w="8069" w:type="dxa"/>
            <w:tcBorders>
              <w:top w:val="single" w:sz="4" w:space="0" w:color="A6A6A6" w:themeColor="background1" w:themeShade="A6"/>
              <w:left w:val="nil"/>
              <w:bottom w:val="single" w:sz="4" w:space="0" w:color="A6A6A6" w:themeColor="background1" w:themeShade="A6"/>
              <w:right w:val="nil"/>
            </w:tcBorders>
          </w:tcPr>
          <w:p w14:paraId="45C211CB" w14:textId="77777777" w:rsidR="00E1477E" w:rsidRPr="00E1477E" w:rsidRDefault="00E1477E" w:rsidP="00E1477E">
            <w:pPr>
              <w:rPr>
                <w:rFonts w:eastAsia="Arial Unicode MS"/>
                <w:b/>
                <w:bCs/>
              </w:rPr>
            </w:pPr>
            <w:r w:rsidRPr="00E1477E">
              <w:rPr>
                <w:rFonts w:eastAsia="Arial Unicode MS"/>
                <w:b/>
                <w:bCs/>
              </w:rPr>
              <w:t>Results</w:t>
            </w:r>
          </w:p>
          <w:p w14:paraId="02207A71" w14:textId="20F19712" w:rsidR="00E1477E" w:rsidRPr="00E1477E" w:rsidRDefault="00E1477E" w:rsidP="00E1477E">
            <w:pPr>
              <w:rPr>
                <w:rFonts w:eastAsia="Arial Unicode MS"/>
              </w:rPr>
            </w:pPr>
            <w:r w:rsidRPr="00E1477E">
              <w:rPr>
                <w:rFonts w:eastAsia="Arial Unicode MS"/>
              </w:rPr>
              <w:t>People in New Zealand live longer in good health but spend a higher proportion of their lives with disability</w:t>
            </w:r>
            <w:r>
              <w:rPr>
                <w:rFonts w:eastAsia="Arial Unicode MS"/>
              </w:rPr>
              <w:t>.</w:t>
            </w:r>
          </w:p>
        </w:tc>
      </w:tr>
      <w:tr w:rsidR="00E1477E" w14:paraId="3E2751A7" w14:textId="77777777" w:rsidTr="00E1477E">
        <w:tc>
          <w:tcPr>
            <w:tcW w:w="8069" w:type="dxa"/>
            <w:tcBorders>
              <w:top w:val="single" w:sz="4" w:space="0" w:color="A6A6A6" w:themeColor="background1" w:themeShade="A6"/>
              <w:left w:val="nil"/>
              <w:bottom w:val="nil"/>
              <w:right w:val="nil"/>
            </w:tcBorders>
          </w:tcPr>
          <w:p w14:paraId="39565FEB" w14:textId="77777777" w:rsidR="00E1477E" w:rsidRPr="00E1477E" w:rsidRDefault="00E1477E" w:rsidP="00E1477E">
            <w:pPr>
              <w:keepNext/>
              <w:rPr>
                <w:rFonts w:eastAsia="Arial Unicode MS"/>
                <w:b/>
                <w:bCs/>
              </w:rPr>
            </w:pPr>
            <w:r w:rsidRPr="00E1477E">
              <w:rPr>
                <w:rFonts w:eastAsia="Arial Unicode MS"/>
                <w:b/>
                <w:bCs/>
              </w:rPr>
              <w:lastRenderedPageBreak/>
              <w:t>Health-adjusted life expectancy</w:t>
            </w:r>
            <w:r w:rsidRPr="00E1477E">
              <w:rPr>
                <w:rStyle w:val="FootnoteReference"/>
                <w:rFonts w:eastAsia="Arial Unicode MS"/>
                <w:b/>
                <w:bCs/>
              </w:rPr>
              <w:footnoteReference w:id="51"/>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897"/>
              <w:gridCol w:w="883"/>
              <w:gridCol w:w="867"/>
              <w:gridCol w:w="867"/>
              <w:gridCol w:w="867"/>
              <w:gridCol w:w="868"/>
              <w:gridCol w:w="868"/>
              <w:gridCol w:w="868"/>
              <w:gridCol w:w="868"/>
            </w:tblGrid>
            <w:tr w:rsidR="00E1477E" w14:paraId="6C530E9A" w14:textId="77777777" w:rsidTr="00E1477E">
              <w:tc>
                <w:tcPr>
                  <w:tcW w:w="877" w:type="dxa"/>
                </w:tcPr>
                <w:p w14:paraId="0C20331F" w14:textId="77777777" w:rsidR="00E1477E" w:rsidRPr="00E1477E" w:rsidRDefault="00E1477E" w:rsidP="00E1477E">
                  <w:pPr>
                    <w:pStyle w:val="TableText"/>
                    <w:rPr>
                      <w:rFonts w:eastAsia="Arial Unicode MS"/>
                      <w:b/>
                      <w:bCs/>
                    </w:rPr>
                  </w:pPr>
                </w:p>
              </w:tc>
              <w:tc>
                <w:tcPr>
                  <w:tcW w:w="871" w:type="dxa"/>
                </w:tcPr>
                <w:p w14:paraId="4A55E296" w14:textId="00CF9AD2" w:rsidR="00E1477E" w:rsidRPr="00E1477E" w:rsidRDefault="00E1477E" w:rsidP="00E1477E">
                  <w:pPr>
                    <w:pStyle w:val="TableText"/>
                    <w:jc w:val="right"/>
                    <w:rPr>
                      <w:rFonts w:eastAsia="Arial Unicode MS"/>
                      <w:b/>
                      <w:bCs/>
                    </w:rPr>
                  </w:pPr>
                  <w:r w:rsidRPr="00E1477E">
                    <w:rPr>
                      <w:b/>
                      <w:bCs/>
                    </w:rPr>
                    <w:t>2019</w:t>
                  </w:r>
                  <w:r w:rsidRPr="00E1477E">
                    <w:rPr>
                      <w:rStyle w:val="FootnoteReference"/>
                      <w:b/>
                      <w:bCs/>
                    </w:rPr>
                    <w:footnoteReference w:id="52"/>
                  </w:r>
                </w:p>
              </w:tc>
              <w:tc>
                <w:tcPr>
                  <w:tcW w:w="871" w:type="dxa"/>
                </w:tcPr>
                <w:p w14:paraId="5BE2626B" w14:textId="4E4108B6" w:rsidR="00E1477E" w:rsidRPr="00E1477E" w:rsidRDefault="00E1477E" w:rsidP="00E1477E">
                  <w:pPr>
                    <w:pStyle w:val="TableText"/>
                    <w:jc w:val="right"/>
                    <w:rPr>
                      <w:rFonts w:eastAsia="Arial Unicode MS"/>
                      <w:b/>
                      <w:bCs/>
                    </w:rPr>
                  </w:pPr>
                  <w:r w:rsidRPr="00E1477E">
                    <w:rPr>
                      <w:b/>
                      <w:bCs/>
                    </w:rPr>
                    <w:t>2018</w:t>
                  </w:r>
                </w:p>
              </w:tc>
              <w:tc>
                <w:tcPr>
                  <w:tcW w:w="871" w:type="dxa"/>
                </w:tcPr>
                <w:p w14:paraId="16E6791E" w14:textId="2FF804E3" w:rsidR="00E1477E" w:rsidRPr="00E1477E" w:rsidRDefault="00E1477E" w:rsidP="00E1477E">
                  <w:pPr>
                    <w:pStyle w:val="TableText"/>
                    <w:jc w:val="right"/>
                    <w:rPr>
                      <w:rFonts w:eastAsia="Arial Unicode MS"/>
                      <w:b/>
                      <w:bCs/>
                    </w:rPr>
                  </w:pPr>
                  <w:r w:rsidRPr="00E1477E">
                    <w:rPr>
                      <w:b/>
                      <w:bCs/>
                    </w:rPr>
                    <w:t>2017</w:t>
                  </w:r>
                </w:p>
              </w:tc>
              <w:tc>
                <w:tcPr>
                  <w:tcW w:w="871" w:type="dxa"/>
                </w:tcPr>
                <w:p w14:paraId="22C12A00" w14:textId="58E038FA" w:rsidR="00E1477E" w:rsidRPr="00E1477E" w:rsidRDefault="00E1477E" w:rsidP="00E1477E">
                  <w:pPr>
                    <w:pStyle w:val="TableText"/>
                    <w:jc w:val="right"/>
                    <w:rPr>
                      <w:rFonts w:eastAsia="Arial Unicode MS"/>
                      <w:b/>
                      <w:bCs/>
                    </w:rPr>
                  </w:pPr>
                  <w:r w:rsidRPr="00E1477E">
                    <w:rPr>
                      <w:b/>
                      <w:bCs/>
                    </w:rPr>
                    <w:t>2016</w:t>
                  </w:r>
                </w:p>
              </w:tc>
              <w:tc>
                <w:tcPr>
                  <w:tcW w:w="872" w:type="dxa"/>
                </w:tcPr>
                <w:p w14:paraId="6774FB05" w14:textId="2CF6B7B9" w:rsidR="00E1477E" w:rsidRPr="00E1477E" w:rsidRDefault="00E1477E" w:rsidP="00E1477E">
                  <w:pPr>
                    <w:pStyle w:val="TableText"/>
                    <w:jc w:val="right"/>
                    <w:rPr>
                      <w:rFonts w:eastAsia="Arial Unicode MS"/>
                      <w:b/>
                      <w:bCs/>
                    </w:rPr>
                  </w:pPr>
                  <w:r w:rsidRPr="00E1477E">
                    <w:rPr>
                      <w:b/>
                      <w:bCs/>
                    </w:rPr>
                    <w:t>2015</w:t>
                  </w:r>
                </w:p>
              </w:tc>
              <w:tc>
                <w:tcPr>
                  <w:tcW w:w="872" w:type="dxa"/>
                </w:tcPr>
                <w:p w14:paraId="0DCED16D" w14:textId="0FF2F313" w:rsidR="00E1477E" w:rsidRPr="00E1477E" w:rsidRDefault="00E1477E" w:rsidP="00E1477E">
                  <w:pPr>
                    <w:pStyle w:val="TableText"/>
                    <w:jc w:val="right"/>
                    <w:rPr>
                      <w:rFonts w:eastAsia="Arial Unicode MS"/>
                      <w:b/>
                      <w:bCs/>
                    </w:rPr>
                  </w:pPr>
                  <w:r w:rsidRPr="00E1477E">
                    <w:rPr>
                      <w:b/>
                      <w:bCs/>
                    </w:rPr>
                    <w:t>2010</w:t>
                  </w:r>
                </w:p>
              </w:tc>
              <w:tc>
                <w:tcPr>
                  <w:tcW w:w="872" w:type="dxa"/>
                </w:tcPr>
                <w:p w14:paraId="5244F792" w14:textId="7663E296" w:rsidR="00E1477E" w:rsidRPr="00E1477E" w:rsidRDefault="00E1477E" w:rsidP="00E1477E">
                  <w:pPr>
                    <w:pStyle w:val="TableText"/>
                    <w:jc w:val="right"/>
                    <w:rPr>
                      <w:rFonts w:eastAsia="Arial Unicode MS"/>
                      <w:b/>
                      <w:bCs/>
                    </w:rPr>
                  </w:pPr>
                  <w:r w:rsidRPr="00E1477E">
                    <w:rPr>
                      <w:b/>
                      <w:bCs/>
                    </w:rPr>
                    <w:t>2000</w:t>
                  </w:r>
                </w:p>
              </w:tc>
              <w:tc>
                <w:tcPr>
                  <w:tcW w:w="872" w:type="dxa"/>
                </w:tcPr>
                <w:p w14:paraId="3ADA85FD" w14:textId="70F887A8" w:rsidR="00E1477E" w:rsidRPr="00E1477E" w:rsidRDefault="00E1477E" w:rsidP="00E1477E">
                  <w:pPr>
                    <w:pStyle w:val="TableText"/>
                    <w:jc w:val="right"/>
                    <w:rPr>
                      <w:rFonts w:eastAsia="Arial Unicode MS"/>
                      <w:b/>
                      <w:bCs/>
                    </w:rPr>
                  </w:pPr>
                  <w:r w:rsidRPr="00E1477E">
                    <w:rPr>
                      <w:b/>
                      <w:bCs/>
                    </w:rPr>
                    <w:t>1990</w:t>
                  </w:r>
                </w:p>
              </w:tc>
            </w:tr>
            <w:tr w:rsidR="00E1477E" w14:paraId="2AF96AF5" w14:textId="77777777" w:rsidTr="00E1477E">
              <w:tc>
                <w:tcPr>
                  <w:tcW w:w="877" w:type="dxa"/>
                </w:tcPr>
                <w:p w14:paraId="49642607" w14:textId="54195455" w:rsidR="00E1477E" w:rsidRDefault="00E1477E" w:rsidP="00E1477E">
                  <w:pPr>
                    <w:pStyle w:val="TableText"/>
                    <w:rPr>
                      <w:rFonts w:eastAsia="Arial Unicode MS"/>
                    </w:rPr>
                  </w:pPr>
                  <w:r w:rsidRPr="002D0AFD">
                    <w:t>Female</w:t>
                  </w:r>
                </w:p>
              </w:tc>
              <w:tc>
                <w:tcPr>
                  <w:tcW w:w="871" w:type="dxa"/>
                </w:tcPr>
                <w:p w14:paraId="2213AC97" w14:textId="097918EB" w:rsidR="00E1477E" w:rsidRDefault="00E1477E" w:rsidP="00E1477E">
                  <w:pPr>
                    <w:pStyle w:val="TableText"/>
                    <w:jc w:val="right"/>
                    <w:rPr>
                      <w:rFonts w:eastAsia="Arial Unicode MS"/>
                    </w:rPr>
                  </w:pPr>
                  <w:r w:rsidRPr="00030C74">
                    <w:t>70.3</w:t>
                  </w:r>
                </w:p>
              </w:tc>
              <w:tc>
                <w:tcPr>
                  <w:tcW w:w="871" w:type="dxa"/>
                </w:tcPr>
                <w:p w14:paraId="67D0F2B9" w14:textId="05BD9D9B" w:rsidR="00E1477E" w:rsidRDefault="00E1477E" w:rsidP="00E1477E">
                  <w:pPr>
                    <w:pStyle w:val="TableText"/>
                    <w:jc w:val="right"/>
                    <w:rPr>
                      <w:rFonts w:eastAsia="Arial Unicode MS"/>
                    </w:rPr>
                  </w:pPr>
                  <w:r w:rsidRPr="00030C74">
                    <w:t>70.3</w:t>
                  </w:r>
                </w:p>
              </w:tc>
              <w:tc>
                <w:tcPr>
                  <w:tcW w:w="871" w:type="dxa"/>
                </w:tcPr>
                <w:p w14:paraId="55FC8330" w14:textId="5653F98E" w:rsidR="00E1477E" w:rsidRDefault="00E1477E" w:rsidP="00E1477E">
                  <w:pPr>
                    <w:pStyle w:val="TableText"/>
                    <w:jc w:val="right"/>
                    <w:rPr>
                      <w:rFonts w:eastAsia="Arial Unicode MS"/>
                    </w:rPr>
                  </w:pPr>
                  <w:r w:rsidRPr="00030C74">
                    <w:t>70.4</w:t>
                  </w:r>
                </w:p>
              </w:tc>
              <w:tc>
                <w:tcPr>
                  <w:tcW w:w="871" w:type="dxa"/>
                </w:tcPr>
                <w:p w14:paraId="5341BC6D" w14:textId="6E99A9E7" w:rsidR="00E1477E" w:rsidRDefault="00E1477E" w:rsidP="00E1477E">
                  <w:pPr>
                    <w:pStyle w:val="TableText"/>
                    <w:jc w:val="right"/>
                    <w:rPr>
                      <w:rFonts w:eastAsia="Arial Unicode MS"/>
                    </w:rPr>
                  </w:pPr>
                  <w:r w:rsidRPr="00030C74">
                    <w:t>70.4</w:t>
                  </w:r>
                </w:p>
              </w:tc>
              <w:tc>
                <w:tcPr>
                  <w:tcW w:w="872" w:type="dxa"/>
                </w:tcPr>
                <w:p w14:paraId="1BE68255" w14:textId="181803A6" w:rsidR="00E1477E" w:rsidRDefault="00E1477E" w:rsidP="00E1477E">
                  <w:pPr>
                    <w:pStyle w:val="TableText"/>
                    <w:jc w:val="right"/>
                    <w:rPr>
                      <w:rFonts w:eastAsia="Arial Unicode MS"/>
                    </w:rPr>
                  </w:pPr>
                  <w:r w:rsidRPr="00030C74">
                    <w:t>70.3</w:t>
                  </w:r>
                </w:p>
              </w:tc>
              <w:tc>
                <w:tcPr>
                  <w:tcW w:w="872" w:type="dxa"/>
                </w:tcPr>
                <w:p w14:paraId="7522BD75" w14:textId="6C50AD2D" w:rsidR="00E1477E" w:rsidRDefault="00E1477E" w:rsidP="00E1477E">
                  <w:pPr>
                    <w:pStyle w:val="TableText"/>
                    <w:jc w:val="right"/>
                    <w:rPr>
                      <w:rFonts w:eastAsia="Arial Unicode MS"/>
                    </w:rPr>
                  </w:pPr>
                  <w:r w:rsidRPr="00030C74">
                    <w:t>70.0</w:t>
                  </w:r>
                </w:p>
              </w:tc>
              <w:tc>
                <w:tcPr>
                  <w:tcW w:w="872" w:type="dxa"/>
                </w:tcPr>
                <w:p w14:paraId="50CB35C0" w14:textId="6E108830" w:rsidR="00E1477E" w:rsidRDefault="00E1477E" w:rsidP="00E1477E">
                  <w:pPr>
                    <w:pStyle w:val="TableText"/>
                    <w:jc w:val="right"/>
                    <w:rPr>
                      <w:rFonts w:eastAsia="Arial Unicode MS"/>
                    </w:rPr>
                  </w:pPr>
                  <w:r w:rsidRPr="00030C74">
                    <w:t>68.3</w:t>
                  </w:r>
                </w:p>
              </w:tc>
              <w:tc>
                <w:tcPr>
                  <w:tcW w:w="872" w:type="dxa"/>
                </w:tcPr>
                <w:p w14:paraId="1ED9F785" w14:textId="0B45888F" w:rsidR="00E1477E" w:rsidRDefault="00E1477E" w:rsidP="00E1477E">
                  <w:pPr>
                    <w:pStyle w:val="TableText"/>
                    <w:jc w:val="right"/>
                    <w:rPr>
                      <w:rFonts w:eastAsia="Arial Unicode MS"/>
                    </w:rPr>
                  </w:pPr>
                  <w:r w:rsidRPr="00030C74">
                    <w:t>66.1</w:t>
                  </w:r>
                </w:p>
              </w:tc>
            </w:tr>
            <w:tr w:rsidR="00E1477E" w14:paraId="5D1098A0" w14:textId="77777777" w:rsidTr="00E1477E">
              <w:tc>
                <w:tcPr>
                  <w:tcW w:w="877" w:type="dxa"/>
                </w:tcPr>
                <w:p w14:paraId="3D88F0FA" w14:textId="6AC515C5" w:rsidR="00E1477E" w:rsidRDefault="00E1477E" w:rsidP="00E1477E">
                  <w:pPr>
                    <w:pStyle w:val="TableText"/>
                    <w:rPr>
                      <w:rFonts w:eastAsia="Arial Unicode MS"/>
                    </w:rPr>
                  </w:pPr>
                  <w:r w:rsidRPr="002D0AFD">
                    <w:t>Male</w:t>
                  </w:r>
                </w:p>
              </w:tc>
              <w:tc>
                <w:tcPr>
                  <w:tcW w:w="871" w:type="dxa"/>
                </w:tcPr>
                <w:p w14:paraId="49917498" w14:textId="059497D1" w:rsidR="00E1477E" w:rsidRDefault="00E1477E" w:rsidP="00E1477E">
                  <w:pPr>
                    <w:pStyle w:val="TableText"/>
                    <w:jc w:val="right"/>
                    <w:rPr>
                      <w:rFonts w:eastAsia="Arial Unicode MS"/>
                    </w:rPr>
                  </w:pPr>
                  <w:r w:rsidRPr="00030C74">
                    <w:t>68.9</w:t>
                  </w:r>
                </w:p>
              </w:tc>
              <w:tc>
                <w:tcPr>
                  <w:tcW w:w="871" w:type="dxa"/>
                </w:tcPr>
                <w:p w14:paraId="6C32D9E3" w14:textId="3090D371" w:rsidR="00E1477E" w:rsidRDefault="00E1477E" w:rsidP="00E1477E">
                  <w:pPr>
                    <w:pStyle w:val="TableText"/>
                    <w:jc w:val="right"/>
                    <w:rPr>
                      <w:rFonts w:eastAsia="Arial Unicode MS"/>
                    </w:rPr>
                  </w:pPr>
                  <w:r w:rsidRPr="00030C74">
                    <w:t>68.9</w:t>
                  </w:r>
                </w:p>
              </w:tc>
              <w:tc>
                <w:tcPr>
                  <w:tcW w:w="871" w:type="dxa"/>
                </w:tcPr>
                <w:p w14:paraId="75DDBE2A" w14:textId="3F0C5777" w:rsidR="00E1477E" w:rsidRDefault="00E1477E" w:rsidP="00E1477E">
                  <w:pPr>
                    <w:pStyle w:val="TableText"/>
                    <w:jc w:val="right"/>
                    <w:rPr>
                      <w:rFonts w:eastAsia="Arial Unicode MS"/>
                    </w:rPr>
                  </w:pPr>
                  <w:r w:rsidRPr="00030C74">
                    <w:t>69.1</w:t>
                  </w:r>
                </w:p>
              </w:tc>
              <w:tc>
                <w:tcPr>
                  <w:tcW w:w="871" w:type="dxa"/>
                </w:tcPr>
                <w:p w14:paraId="56D55641" w14:textId="578439A9" w:rsidR="00E1477E" w:rsidRDefault="00E1477E" w:rsidP="00E1477E">
                  <w:pPr>
                    <w:pStyle w:val="TableText"/>
                    <w:jc w:val="right"/>
                    <w:rPr>
                      <w:rFonts w:eastAsia="Arial Unicode MS"/>
                    </w:rPr>
                  </w:pPr>
                  <w:r w:rsidRPr="00030C74">
                    <w:t>69.1</w:t>
                  </w:r>
                </w:p>
              </w:tc>
              <w:tc>
                <w:tcPr>
                  <w:tcW w:w="872" w:type="dxa"/>
                </w:tcPr>
                <w:p w14:paraId="515AE556" w14:textId="06A4E289" w:rsidR="00E1477E" w:rsidRDefault="00E1477E" w:rsidP="00E1477E">
                  <w:pPr>
                    <w:pStyle w:val="TableText"/>
                    <w:jc w:val="right"/>
                    <w:rPr>
                      <w:rFonts w:eastAsia="Arial Unicode MS"/>
                    </w:rPr>
                  </w:pPr>
                  <w:r w:rsidRPr="00030C74">
                    <w:t>69.0</w:t>
                  </w:r>
                </w:p>
              </w:tc>
              <w:tc>
                <w:tcPr>
                  <w:tcW w:w="872" w:type="dxa"/>
                </w:tcPr>
                <w:p w14:paraId="271CF966" w14:textId="7E9368F3" w:rsidR="00E1477E" w:rsidRDefault="00E1477E" w:rsidP="00E1477E">
                  <w:pPr>
                    <w:pStyle w:val="TableText"/>
                    <w:jc w:val="right"/>
                    <w:rPr>
                      <w:rFonts w:eastAsia="Arial Unicode MS"/>
                    </w:rPr>
                  </w:pPr>
                  <w:r w:rsidRPr="00030C74">
                    <w:t>68.4</w:t>
                  </w:r>
                </w:p>
              </w:tc>
              <w:tc>
                <w:tcPr>
                  <w:tcW w:w="872" w:type="dxa"/>
                </w:tcPr>
                <w:p w14:paraId="1D9879C6" w14:textId="782E218B" w:rsidR="00E1477E" w:rsidRDefault="00E1477E" w:rsidP="00E1477E">
                  <w:pPr>
                    <w:pStyle w:val="TableText"/>
                    <w:jc w:val="right"/>
                    <w:rPr>
                      <w:rFonts w:eastAsia="Arial Unicode MS"/>
                    </w:rPr>
                  </w:pPr>
                  <w:r w:rsidRPr="00030C74">
                    <w:t>65.9</w:t>
                  </w:r>
                </w:p>
              </w:tc>
              <w:tc>
                <w:tcPr>
                  <w:tcW w:w="872" w:type="dxa"/>
                </w:tcPr>
                <w:p w14:paraId="7D8471D9" w14:textId="1CC9C7A9" w:rsidR="00E1477E" w:rsidRDefault="00E1477E" w:rsidP="00E1477E">
                  <w:pPr>
                    <w:pStyle w:val="TableText"/>
                    <w:jc w:val="right"/>
                    <w:rPr>
                      <w:rFonts w:eastAsia="Arial Unicode MS"/>
                    </w:rPr>
                  </w:pPr>
                  <w:r w:rsidRPr="00030C74">
                    <w:t>63.3</w:t>
                  </w:r>
                </w:p>
              </w:tc>
            </w:tr>
          </w:tbl>
          <w:p w14:paraId="2035771D" w14:textId="13A2269E" w:rsidR="00E1477E" w:rsidRPr="00E1477E" w:rsidRDefault="00E1477E" w:rsidP="00E1477E">
            <w:pPr>
              <w:keepNext/>
              <w:rPr>
                <w:rFonts w:eastAsia="Arial Unicode MS"/>
              </w:rPr>
            </w:pPr>
          </w:p>
        </w:tc>
      </w:tr>
    </w:tbl>
    <w:p w14:paraId="22E33362" w14:textId="7092636C" w:rsidR="00E1477E" w:rsidRDefault="00E1477E" w:rsidP="00E1477E">
      <w:pPr>
        <w:pStyle w:val="Heading5"/>
      </w:pPr>
      <w:r w:rsidRPr="00E1477E">
        <w:t>Life expectancy increases over time</w:t>
      </w:r>
    </w:p>
    <w:tbl>
      <w:tblPr>
        <w:tblStyle w:val="TableGrid"/>
        <w:tblW w:w="0" w:type="auto"/>
        <w:tblInd w:w="-142" w:type="dxa"/>
        <w:tblLook w:val="04A0" w:firstRow="1" w:lastRow="0" w:firstColumn="1" w:lastColumn="0" w:noHBand="0" w:noVBand="1"/>
      </w:tblPr>
      <w:tblGrid>
        <w:gridCol w:w="8221"/>
      </w:tblGrid>
      <w:tr w:rsidR="00E1477E" w14:paraId="6B7BCB73" w14:textId="77777777" w:rsidTr="004C12AB">
        <w:tc>
          <w:tcPr>
            <w:tcW w:w="8221" w:type="dxa"/>
            <w:tcBorders>
              <w:top w:val="single" w:sz="4" w:space="0" w:color="A6A6A6" w:themeColor="background1" w:themeShade="A6"/>
              <w:left w:val="nil"/>
              <w:bottom w:val="single" w:sz="4" w:space="0" w:color="A6A6A6" w:themeColor="background1" w:themeShade="A6"/>
              <w:right w:val="nil"/>
            </w:tcBorders>
          </w:tcPr>
          <w:p w14:paraId="0136E97B" w14:textId="4918CF9F" w:rsidR="00E1477E" w:rsidRPr="00E1477E" w:rsidRDefault="00E1477E" w:rsidP="00E1477E">
            <w:pPr>
              <w:rPr>
                <w:rFonts w:eastAsia="Arial Unicode MS"/>
                <w:b/>
                <w:bCs/>
              </w:rPr>
            </w:pPr>
            <w:r w:rsidRPr="00E1477E">
              <w:rPr>
                <w:rFonts w:eastAsia="Arial Unicode MS"/>
                <w:b/>
                <w:bCs/>
              </w:rPr>
              <w:t>Measure</w:t>
            </w:r>
          </w:p>
          <w:p w14:paraId="32A7D3F9" w14:textId="754A93E6" w:rsidR="00E1477E" w:rsidRDefault="00E1477E" w:rsidP="00E1477E">
            <w:pPr>
              <w:rPr>
                <w:rFonts w:eastAsia="Arial Unicode MS"/>
              </w:rPr>
            </w:pPr>
            <w:r w:rsidRPr="00E1477E">
              <w:rPr>
                <w:rFonts w:eastAsia="Arial Unicode MS"/>
              </w:rPr>
              <w:t>Life expectancy at birth as an indicator of the number of years a person can expect to live, based on population mortality rates at each age in a given year/period.</w:t>
            </w:r>
          </w:p>
        </w:tc>
      </w:tr>
      <w:tr w:rsidR="00E1477E" w14:paraId="5AB9306B" w14:textId="77777777" w:rsidTr="004C12AB">
        <w:tc>
          <w:tcPr>
            <w:tcW w:w="8221" w:type="dxa"/>
            <w:tcBorders>
              <w:top w:val="single" w:sz="4" w:space="0" w:color="A6A6A6" w:themeColor="background1" w:themeShade="A6"/>
              <w:left w:val="nil"/>
              <w:bottom w:val="single" w:sz="4" w:space="0" w:color="A6A6A6" w:themeColor="background1" w:themeShade="A6"/>
              <w:right w:val="nil"/>
            </w:tcBorders>
          </w:tcPr>
          <w:p w14:paraId="0738F7E0" w14:textId="77777777" w:rsidR="00E1477E" w:rsidRPr="00E1477E" w:rsidRDefault="00E1477E" w:rsidP="00E1477E">
            <w:pPr>
              <w:rPr>
                <w:rFonts w:eastAsia="Arial Unicode MS"/>
                <w:b/>
                <w:bCs/>
              </w:rPr>
            </w:pPr>
            <w:r w:rsidRPr="00E1477E">
              <w:rPr>
                <w:rFonts w:eastAsia="Arial Unicode MS"/>
                <w:b/>
                <w:bCs/>
              </w:rPr>
              <w:t>Target</w:t>
            </w:r>
          </w:p>
          <w:p w14:paraId="2F89F643" w14:textId="498B0F28" w:rsidR="00E1477E" w:rsidRPr="00E1477E" w:rsidRDefault="00E1477E" w:rsidP="00E1477E">
            <w:pPr>
              <w:rPr>
                <w:rFonts w:eastAsia="Arial Unicode MS"/>
              </w:rPr>
            </w:pPr>
            <w:r w:rsidRPr="00E1477E">
              <w:rPr>
                <w:rFonts w:eastAsia="Arial Unicode MS"/>
              </w:rPr>
              <w:t>Improved results for male/female and Māori/non-Māori</w:t>
            </w:r>
            <w:r>
              <w:rPr>
                <w:rFonts w:eastAsia="Arial Unicode MS"/>
              </w:rPr>
              <w:t>.</w:t>
            </w:r>
          </w:p>
        </w:tc>
      </w:tr>
      <w:tr w:rsidR="00E1477E" w14:paraId="7DC33671" w14:textId="77777777" w:rsidTr="004C12AB">
        <w:tc>
          <w:tcPr>
            <w:tcW w:w="8221" w:type="dxa"/>
            <w:tcBorders>
              <w:top w:val="single" w:sz="4" w:space="0" w:color="A6A6A6" w:themeColor="background1" w:themeShade="A6"/>
              <w:left w:val="nil"/>
              <w:bottom w:val="single" w:sz="4" w:space="0" w:color="A6A6A6" w:themeColor="background1" w:themeShade="A6"/>
              <w:right w:val="nil"/>
            </w:tcBorders>
          </w:tcPr>
          <w:p w14:paraId="0D836F09" w14:textId="76D15555" w:rsidR="00E1477E" w:rsidRPr="00E1477E" w:rsidRDefault="00E1477E" w:rsidP="00E1477E">
            <w:pPr>
              <w:rPr>
                <w:rFonts w:eastAsia="Arial Unicode MS"/>
                <w:b/>
                <w:bCs/>
              </w:rPr>
            </w:pPr>
            <w:r w:rsidRPr="00E1477E">
              <w:rPr>
                <w:rFonts w:eastAsia="Arial Unicode MS"/>
                <w:b/>
                <w:bCs/>
              </w:rPr>
              <w:t>Result</w:t>
            </w:r>
          </w:p>
          <w:p w14:paraId="012D8D63" w14:textId="77777777" w:rsidR="00E1477E" w:rsidRPr="00E1477E" w:rsidRDefault="00E1477E" w:rsidP="00E1477E">
            <w:pPr>
              <w:rPr>
                <w:rFonts w:eastAsia="Arial Unicode MS"/>
              </w:rPr>
            </w:pPr>
            <w:r w:rsidRPr="00E1477E">
              <w:rPr>
                <w:rFonts w:eastAsia="Arial Unicode MS"/>
              </w:rPr>
              <w:t>Life expectancy is a summary measure of mortality and the trend shows New Zealanders are living longer than ever before.</w:t>
            </w:r>
          </w:p>
          <w:p w14:paraId="064770E8" w14:textId="4B95B69A" w:rsidR="00E1477E" w:rsidRPr="00E1477E" w:rsidRDefault="00E1477E" w:rsidP="004C12AB">
            <w:pPr>
              <w:spacing w:after="60"/>
              <w:rPr>
                <w:rFonts w:eastAsia="Arial Unicode MS"/>
              </w:rPr>
            </w:pPr>
            <w:r w:rsidRPr="00E1477E">
              <w:rPr>
                <w:rFonts w:eastAsia="Arial Unicode MS"/>
              </w:rPr>
              <w:t>Improvements in Māori life expectancy at birth since 1995–97 have narrowed the gap between Māori and non-Māori.</w:t>
            </w:r>
          </w:p>
        </w:tc>
      </w:tr>
      <w:tr w:rsidR="00E1477E" w14:paraId="75698960" w14:textId="77777777" w:rsidTr="004C12AB">
        <w:tc>
          <w:tcPr>
            <w:tcW w:w="8221" w:type="dxa"/>
            <w:tcBorders>
              <w:top w:val="single" w:sz="4" w:space="0" w:color="A6A6A6" w:themeColor="background1" w:themeShade="A6"/>
              <w:left w:val="nil"/>
              <w:bottom w:val="nil"/>
              <w:right w:val="nil"/>
            </w:tcBorders>
          </w:tcPr>
          <w:p w14:paraId="5AF30535" w14:textId="604A1C82" w:rsidR="00E1477E" w:rsidRPr="00E1477E" w:rsidRDefault="00E1477E" w:rsidP="00E1477E">
            <w:pPr>
              <w:keepNext/>
              <w:rPr>
                <w:rFonts w:eastAsia="Arial Unicode MS"/>
                <w:b/>
                <w:bCs/>
              </w:rPr>
            </w:pPr>
            <w:r>
              <w:rPr>
                <w:rFonts w:eastAsia="Arial Unicode MS"/>
                <w:b/>
                <w:bCs/>
              </w:rPr>
              <w:t>Life expectancy at birth (years of life)</w:t>
            </w:r>
            <w:r>
              <w:rPr>
                <w:rStyle w:val="FootnoteReference"/>
                <w:rFonts w:eastAsia="Arial Unicode MS"/>
                <w:b/>
                <w:bCs/>
              </w:rPr>
              <w:footnoteReference w:id="53"/>
            </w:r>
          </w:p>
          <w:tbl>
            <w:tblPr>
              <w:tblStyle w:val="TableGrid"/>
              <w:tblW w:w="7976"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897"/>
              <w:gridCol w:w="1179"/>
              <w:gridCol w:w="1180"/>
              <w:gridCol w:w="1180"/>
              <w:gridCol w:w="1180"/>
              <w:gridCol w:w="1180"/>
              <w:gridCol w:w="1180"/>
            </w:tblGrid>
            <w:tr w:rsidR="004C12AB" w14:paraId="4F983371" w14:textId="77777777" w:rsidTr="004C12AB">
              <w:tc>
                <w:tcPr>
                  <w:tcW w:w="897" w:type="dxa"/>
                </w:tcPr>
                <w:p w14:paraId="381B9BF2" w14:textId="77777777" w:rsidR="004C12AB" w:rsidRPr="00E1477E" w:rsidRDefault="004C12AB" w:rsidP="004C12AB">
                  <w:pPr>
                    <w:pStyle w:val="TableText"/>
                    <w:rPr>
                      <w:rFonts w:eastAsia="Arial Unicode MS"/>
                      <w:b/>
                      <w:bCs/>
                    </w:rPr>
                  </w:pPr>
                </w:p>
              </w:tc>
              <w:tc>
                <w:tcPr>
                  <w:tcW w:w="1179" w:type="dxa"/>
                </w:tcPr>
                <w:p w14:paraId="163A56A7" w14:textId="7A72DE9A" w:rsidR="004C12AB" w:rsidRPr="004C12AB" w:rsidRDefault="004C12AB" w:rsidP="004C12AB">
                  <w:pPr>
                    <w:pStyle w:val="TableText"/>
                    <w:jc w:val="right"/>
                    <w:rPr>
                      <w:rFonts w:eastAsia="Arial Unicode MS"/>
                      <w:b/>
                      <w:bCs/>
                    </w:rPr>
                  </w:pPr>
                  <w:r w:rsidRPr="004C12AB">
                    <w:rPr>
                      <w:b/>
                      <w:bCs/>
                    </w:rPr>
                    <w:t>2019-21</w:t>
                  </w:r>
                </w:p>
              </w:tc>
              <w:tc>
                <w:tcPr>
                  <w:tcW w:w="1180" w:type="dxa"/>
                </w:tcPr>
                <w:p w14:paraId="571AFFEF" w14:textId="6408AEE6" w:rsidR="004C12AB" w:rsidRPr="004C12AB" w:rsidRDefault="004C12AB" w:rsidP="004C12AB">
                  <w:pPr>
                    <w:pStyle w:val="TableText"/>
                    <w:jc w:val="right"/>
                    <w:rPr>
                      <w:rFonts w:eastAsia="Arial Unicode MS"/>
                      <w:b/>
                      <w:bCs/>
                    </w:rPr>
                  </w:pPr>
                  <w:r w:rsidRPr="004C12AB">
                    <w:rPr>
                      <w:b/>
                      <w:bCs/>
                    </w:rPr>
                    <w:t>2017-19</w:t>
                  </w:r>
                </w:p>
              </w:tc>
              <w:tc>
                <w:tcPr>
                  <w:tcW w:w="1180" w:type="dxa"/>
                </w:tcPr>
                <w:p w14:paraId="41D967AA" w14:textId="47E3907E" w:rsidR="004C12AB" w:rsidRPr="004C12AB" w:rsidRDefault="004C12AB" w:rsidP="004C12AB">
                  <w:pPr>
                    <w:pStyle w:val="TableText"/>
                    <w:jc w:val="right"/>
                    <w:rPr>
                      <w:rFonts w:eastAsia="Arial Unicode MS"/>
                      <w:b/>
                      <w:bCs/>
                    </w:rPr>
                  </w:pPr>
                  <w:r w:rsidRPr="004C12AB">
                    <w:rPr>
                      <w:b/>
                      <w:bCs/>
                    </w:rPr>
                    <w:t>2012-14</w:t>
                  </w:r>
                </w:p>
              </w:tc>
              <w:tc>
                <w:tcPr>
                  <w:tcW w:w="1180" w:type="dxa"/>
                </w:tcPr>
                <w:p w14:paraId="4C6AB78E" w14:textId="0C4FCFE5" w:rsidR="004C12AB" w:rsidRPr="004C12AB" w:rsidRDefault="004C12AB" w:rsidP="004C12AB">
                  <w:pPr>
                    <w:pStyle w:val="TableText"/>
                    <w:jc w:val="right"/>
                    <w:rPr>
                      <w:rFonts w:eastAsia="Arial Unicode MS"/>
                      <w:b/>
                      <w:bCs/>
                    </w:rPr>
                  </w:pPr>
                  <w:r w:rsidRPr="004C12AB">
                    <w:rPr>
                      <w:b/>
                      <w:bCs/>
                    </w:rPr>
                    <w:t>2005–07</w:t>
                  </w:r>
                </w:p>
              </w:tc>
              <w:tc>
                <w:tcPr>
                  <w:tcW w:w="1180" w:type="dxa"/>
                </w:tcPr>
                <w:p w14:paraId="35109169" w14:textId="7DBF961F" w:rsidR="004C12AB" w:rsidRPr="004C12AB" w:rsidRDefault="004C12AB" w:rsidP="004C12AB">
                  <w:pPr>
                    <w:pStyle w:val="TableText"/>
                    <w:jc w:val="right"/>
                    <w:rPr>
                      <w:rFonts w:eastAsia="Arial Unicode MS"/>
                      <w:b/>
                      <w:bCs/>
                    </w:rPr>
                  </w:pPr>
                  <w:r w:rsidRPr="004C12AB">
                    <w:rPr>
                      <w:b/>
                      <w:bCs/>
                    </w:rPr>
                    <w:t>2000–02</w:t>
                  </w:r>
                </w:p>
              </w:tc>
              <w:tc>
                <w:tcPr>
                  <w:tcW w:w="1180" w:type="dxa"/>
                </w:tcPr>
                <w:p w14:paraId="57A74647" w14:textId="27C88B9D" w:rsidR="004C12AB" w:rsidRPr="004C12AB" w:rsidRDefault="004C12AB" w:rsidP="004C12AB">
                  <w:pPr>
                    <w:pStyle w:val="TableText"/>
                    <w:jc w:val="right"/>
                    <w:rPr>
                      <w:rFonts w:eastAsia="Arial Unicode MS"/>
                      <w:b/>
                      <w:bCs/>
                    </w:rPr>
                  </w:pPr>
                  <w:r w:rsidRPr="004C12AB">
                    <w:rPr>
                      <w:b/>
                      <w:bCs/>
                    </w:rPr>
                    <w:t>1995–97</w:t>
                  </w:r>
                </w:p>
              </w:tc>
            </w:tr>
            <w:tr w:rsidR="004C12AB" w14:paraId="26958788" w14:textId="77777777" w:rsidTr="004C12AB">
              <w:tc>
                <w:tcPr>
                  <w:tcW w:w="897" w:type="dxa"/>
                </w:tcPr>
                <w:p w14:paraId="1CFA66AC" w14:textId="77777777" w:rsidR="004C12AB" w:rsidRDefault="004C12AB" w:rsidP="004C12AB">
                  <w:pPr>
                    <w:pStyle w:val="TableText"/>
                    <w:rPr>
                      <w:rFonts w:eastAsia="Arial Unicode MS"/>
                    </w:rPr>
                  </w:pPr>
                  <w:r w:rsidRPr="002D0AFD">
                    <w:t>Female</w:t>
                  </w:r>
                </w:p>
              </w:tc>
              <w:tc>
                <w:tcPr>
                  <w:tcW w:w="1179" w:type="dxa"/>
                </w:tcPr>
                <w:p w14:paraId="4D41882F" w14:textId="67038A58" w:rsidR="004C12AB" w:rsidRDefault="004C12AB" w:rsidP="004C12AB">
                  <w:pPr>
                    <w:pStyle w:val="TableText"/>
                    <w:jc w:val="right"/>
                    <w:rPr>
                      <w:rFonts w:eastAsia="Arial Unicode MS"/>
                    </w:rPr>
                  </w:pPr>
                  <w:r w:rsidRPr="00056901">
                    <w:t>84.1</w:t>
                  </w:r>
                </w:p>
              </w:tc>
              <w:tc>
                <w:tcPr>
                  <w:tcW w:w="1180" w:type="dxa"/>
                </w:tcPr>
                <w:p w14:paraId="661259A6" w14:textId="47A2FEB9" w:rsidR="004C12AB" w:rsidRDefault="004C12AB" w:rsidP="004C12AB">
                  <w:pPr>
                    <w:pStyle w:val="TableText"/>
                    <w:jc w:val="right"/>
                    <w:rPr>
                      <w:rFonts w:eastAsia="Arial Unicode MS"/>
                    </w:rPr>
                  </w:pPr>
                  <w:r w:rsidRPr="00056901">
                    <w:t>83.5</w:t>
                  </w:r>
                </w:p>
              </w:tc>
              <w:tc>
                <w:tcPr>
                  <w:tcW w:w="1180" w:type="dxa"/>
                </w:tcPr>
                <w:p w14:paraId="690628B1" w14:textId="13BBE2F1" w:rsidR="004C12AB" w:rsidRDefault="004C12AB" w:rsidP="004C12AB">
                  <w:pPr>
                    <w:pStyle w:val="TableText"/>
                    <w:jc w:val="right"/>
                    <w:rPr>
                      <w:rFonts w:eastAsia="Arial Unicode MS"/>
                    </w:rPr>
                  </w:pPr>
                  <w:r w:rsidRPr="00056901">
                    <w:t>83.2</w:t>
                  </w:r>
                </w:p>
              </w:tc>
              <w:tc>
                <w:tcPr>
                  <w:tcW w:w="1180" w:type="dxa"/>
                </w:tcPr>
                <w:p w14:paraId="2C540404" w14:textId="0E564FE6" w:rsidR="004C12AB" w:rsidRDefault="004C12AB" w:rsidP="004C12AB">
                  <w:pPr>
                    <w:pStyle w:val="TableText"/>
                    <w:jc w:val="right"/>
                    <w:rPr>
                      <w:rFonts w:eastAsia="Arial Unicode MS"/>
                    </w:rPr>
                  </w:pPr>
                  <w:r w:rsidRPr="00056901">
                    <w:t>82.2</w:t>
                  </w:r>
                </w:p>
              </w:tc>
              <w:tc>
                <w:tcPr>
                  <w:tcW w:w="1180" w:type="dxa"/>
                </w:tcPr>
                <w:p w14:paraId="2E2ACEA4" w14:textId="66398F9F" w:rsidR="004C12AB" w:rsidRDefault="004C12AB" w:rsidP="004C12AB">
                  <w:pPr>
                    <w:pStyle w:val="TableText"/>
                    <w:jc w:val="right"/>
                    <w:rPr>
                      <w:rFonts w:eastAsia="Arial Unicode MS"/>
                    </w:rPr>
                  </w:pPr>
                  <w:r w:rsidRPr="00056901">
                    <w:t>81.1</w:t>
                  </w:r>
                </w:p>
              </w:tc>
              <w:tc>
                <w:tcPr>
                  <w:tcW w:w="1180" w:type="dxa"/>
                </w:tcPr>
                <w:p w14:paraId="3B464477" w14:textId="5CEE99D9" w:rsidR="004C12AB" w:rsidRDefault="004C12AB" w:rsidP="004C12AB">
                  <w:pPr>
                    <w:pStyle w:val="TableText"/>
                    <w:jc w:val="right"/>
                    <w:rPr>
                      <w:rFonts w:eastAsia="Arial Unicode MS"/>
                    </w:rPr>
                  </w:pPr>
                  <w:r w:rsidRPr="00056901">
                    <w:t>79.7</w:t>
                  </w:r>
                </w:p>
              </w:tc>
            </w:tr>
            <w:tr w:rsidR="004C12AB" w14:paraId="4C2F42BA" w14:textId="77777777" w:rsidTr="004C12AB">
              <w:tc>
                <w:tcPr>
                  <w:tcW w:w="897" w:type="dxa"/>
                </w:tcPr>
                <w:p w14:paraId="517D2D38" w14:textId="77777777" w:rsidR="004C12AB" w:rsidRDefault="004C12AB" w:rsidP="004C12AB">
                  <w:pPr>
                    <w:pStyle w:val="TableText"/>
                    <w:rPr>
                      <w:rFonts w:eastAsia="Arial Unicode MS"/>
                    </w:rPr>
                  </w:pPr>
                  <w:r w:rsidRPr="002D0AFD">
                    <w:t>Male</w:t>
                  </w:r>
                </w:p>
              </w:tc>
              <w:tc>
                <w:tcPr>
                  <w:tcW w:w="1179" w:type="dxa"/>
                </w:tcPr>
                <w:p w14:paraId="4A3C9BC1" w14:textId="7D1A310E" w:rsidR="004C12AB" w:rsidRDefault="004C12AB" w:rsidP="004C12AB">
                  <w:pPr>
                    <w:pStyle w:val="TableText"/>
                    <w:jc w:val="right"/>
                    <w:rPr>
                      <w:rFonts w:eastAsia="Arial Unicode MS"/>
                    </w:rPr>
                  </w:pPr>
                  <w:r w:rsidRPr="00056901">
                    <w:t>80.5</w:t>
                  </w:r>
                </w:p>
              </w:tc>
              <w:tc>
                <w:tcPr>
                  <w:tcW w:w="1180" w:type="dxa"/>
                </w:tcPr>
                <w:p w14:paraId="12300FDC" w14:textId="4DA28436" w:rsidR="004C12AB" w:rsidRDefault="004C12AB" w:rsidP="004C12AB">
                  <w:pPr>
                    <w:pStyle w:val="TableText"/>
                    <w:jc w:val="right"/>
                    <w:rPr>
                      <w:rFonts w:eastAsia="Arial Unicode MS"/>
                    </w:rPr>
                  </w:pPr>
                  <w:r w:rsidRPr="00056901">
                    <w:t>80.0</w:t>
                  </w:r>
                </w:p>
              </w:tc>
              <w:tc>
                <w:tcPr>
                  <w:tcW w:w="1180" w:type="dxa"/>
                </w:tcPr>
                <w:p w14:paraId="58DD2F1B" w14:textId="79820BB1" w:rsidR="004C12AB" w:rsidRDefault="004C12AB" w:rsidP="004C12AB">
                  <w:pPr>
                    <w:pStyle w:val="TableText"/>
                    <w:jc w:val="right"/>
                    <w:rPr>
                      <w:rFonts w:eastAsia="Arial Unicode MS"/>
                    </w:rPr>
                  </w:pPr>
                  <w:r w:rsidRPr="00056901">
                    <w:t>79.5</w:t>
                  </w:r>
                </w:p>
              </w:tc>
              <w:tc>
                <w:tcPr>
                  <w:tcW w:w="1180" w:type="dxa"/>
                </w:tcPr>
                <w:p w14:paraId="386503E3" w14:textId="71469DE3" w:rsidR="004C12AB" w:rsidRDefault="004C12AB" w:rsidP="004C12AB">
                  <w:pPr>
                    <w:pStyle w:val="TableText"/>
                    <w:jc w:val="right"/>
                    <w:rPr>
                      <w:rFonts w:eastAsia="Arial Unicode MS"/>
                    </w:rPr>
                  </w:pPr>
                  <w:r w:rsidRPr="00056901">
                    <w:t>78.0</w:t>
                  </w:r>
                </w:p>
              </w:tc>
              <w:tc>
                <w:tcPr>
                  <w:tcW w:w="1180" w:type="dxa"/>
                </w:tcPr>
                <w:p w14:paraId="1652F695" w14:textId="2AFC4D25" w:rsidR="004C12AB" w:rsidRDefault="004C12AB" w:rsidP="004C12AB">
                  <w:pPr>
                    <w:pStyle w:val="TableText"/>
                    <w:jc w:val="right"/>
                    <w:rPr>
                      <w:rFonts w:eastAsia="Arial Unicode MS"/>
                    </w:rPr>
                  </w:pPr>
                  <w:r w:rsidRPr="00056901">
                    <w:t>76.3</w:t>
                  </w:r>
                </w:p>
              </w:tc>
              <w:tc>
                <w:tcPr>
                  <w:tcW w:w="1180" w:type="dxa"/>
                </w:tcPr>
                <w:p w14:paraId="07CA60D0" w14:textId="1EFB9847" w:rsidR="004C12AB" w:rsidRDefault="004C12AB" w:rsidP="004C12AB">
                  <w:pPr>
                    <w:pStyle w:val="TableText"/>
                    <w:jc w:val="right"/>
                    <w:rPr>
                      <w:rFonts w:eastAsia="Arial Unicode MS"/>
                    </w:rPr>
                  </w:pPr>
                  <w:r w:rsidRPr="00056901">
                    <w:t>74.4</w:t>
                  </w:r>
                </w:p>
              </w:tc>
            </w:tr>
          </w:tbl>
          <w:p w14:paraId="4C1FA77F" w14:textId="77777777" w:rsidR="00E1477E" w:rsidRPr="00E1477E" w:rsidRDefault="00E1477E" w:rsidP="00E1477E">
            <w:pPr>
              <w:keepNext/>
              <w:rPr>
                <w:rFonts w:eastAsia="Arial Unicode MS"/>
              </w:rPr>
            </w:pPr>
          </w:p>
        </w:tc>
      </w:tr>
      <w:tr w:rsidR="004C12AB" w14:paraId="1C1685D5" w14:textId="77777777" w:rsidTr="004C12AB">
        <w:tc>
          <w:tcPr>
            <w:tcW w:w="8221" w:type="dxa"/>
            <w:tcBorders>
              <w:top w:val="nil"/>
              <w:left w:val="nil"/>
              <w:bottom w:val="nil"/>
              <w:right w:val="nil"/>
            </w:tcBorders>
          </w:tcPr>
          <w:p w14:paraId="5D7B0720" w14:textId="6C37BB40" w:rsidR="004C12AB" w:rsidRPr="00E1477E" w:rsidRDefault="004C12AB" w:rsidP="004C12AB">
            <w:pPr>
              <w:keepNext/>
              <w:spacing w:before="120"/>
              <w:rPr>
                <w:rFonts w:eastAsia="Arial Unicode MS"/>
                <w:b/>
                <w:bCs/>
              </w:rPr>
            </w:pPr>
            <w:r>
              <w:rPr>
                <w:rFonts w:eastAsia="Arial Unicode MS"/>
                <w:b/>
                <w:bCs/>
              </w:rPr>
              <w:t>Ethnicity and sex</w:t>
            </w:r>
          </w:p>
          <w:tbl>
            <w:tblPr>
              <w:tblStyle w:val="TableGrid"/>
              <w:tblW w:w="7931"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814"/>
              <w:gridCol w:w="1019"/>
              <w:gridCol w:w="1020"/>
              <w:gridCol w:w="1019"/>
              <w:gridCol w:w="1020"/>
              <w:gridCol w:w="1019"/>
              <w:gridCol w:w="1020"/>
            </w:tblGrid>
            <w:tr w:rsidR="004C12AB" w14:paraId="6CAF2277" w14:textId="77777777" w:rsidTr="004C12AB">
              <w:tc>
                <w:tcPr>
                  <w:tcW w:w="1814" w:type="dxa"/>
                </w:tcPr>
                <w:p w14:paraId="53CD38EE" w14:textId="77777777" w:rsidR="004C12AB" w:rsidRPr="00E1477E" w:rsidRDefault="004C12AB" w:rsidP="0066594A">
                  <w:pPr>
                    <w:pStyle w:val="TableText"/>
                    <w:rPr>
                      <w:rFonts w:eastAsia="Arial Unicode MS"/>
                      <w:b/>
                      <w:bCs/>
                    </w:rPr>
                  </w:pPr>
                </w:p>
              </w:tc>
              <w:tc>
                <w:tcPr>
                  <w:tcW w:w="1019" w:type="dxa"/>
                </w:tcPr>
                <w:p w14:paraId="030DE84B" w14:textId="77777777" w:rsidR="004C12AB" w:rsidRPr="004C12AB" w:rsidRDefault="004C12AB" w:rsidP="004C12AB">
                  <w:pPr>
                    <w:pStyle w:val="TableText"/>
                    <w:ind w:left="0" w:right="0"/>
                    <w:jc w:val="right"/>
                    <w:rPr>
                      <w:rFonts w:eastAsia="Arial Unicode MS"/>
                      <w:b/>
                      <w:bCs/>
                    </w:rPr>
                  </w:pPr>
                  <w:r w:rsidRPr="004C12AB">
                    <w:rPr>
                      <w:b/>
                      <w:bCs/>
                    </w:rPr>
                    <w:t>2019-21</w:t>
                  </w:r>
                </w:p>
              </w:tc>
              <w:tc>
                <w:tcPr>
                  <w:tcW w:w="1020" w:type="dxa"/>
                </w:tcPr>
                <w:p w14:paraId="479532F4" w14:textId="77777777" w:rsidR="004C12AB" w:rsidRPr="004C12AB" w:rsidRDefault="004C12AB" w:rsidP="004C12AB">
                  <w:pPr>
                    <w:pStyle w:val="TableText"/>
                    <w:ind w:left="0" w:right="0"/>
                    <w:jc w:val="right"/>
                    <w:rPr>
                      <w:rFonts w:eastAsia="Arial Unicode MS"/>
                      <w:b/>
                      <w:bCs/>
                    </w:rPr>
                  </w:pPr>
                  <w:r w:rsidRPr="004C12AB">
                    <w:rPr>
                      <w:b/>
                      <w:bCs/>
                    </w:rPr>
                    <w:t>2017-19</w:t>
                  </w:r>
                </w:p>
              </w:tc>
              <w:tc>
                <w:tcPr>
                  <w:tcW w:w="1019" w:type="dxa"/>
                </w:tcPr>
                <w:p w14:paraId="41D08CD7" w14:textId="77777777" w:rsidR="004C12AB" w:rsidRPr="004C12AB" w:rsidRDefault="004C12AB" w:rsidP="004C12AB">
                  <w:pPr>
                    <w:pStyle w:val="TableText"/>
                    <w:ind w:left="0" w:right="0"/>
                    <w:jc w:val="right"/>
                    <w:rPr>
                      <w:rFonts w:eastAsia="Arial Unicode MS"/>
                      <w:b/>
                      <w:bCs/>
                    </w:rPr>
                  </w:pPr>
                  <w:r w:rsidRPr="004C12AB">
                    <w:rPr>
                      <w:b/>
                      <w:bCs/>
                    </w:rPr>
                    <w:t>2012-14</w:t>
                  </w:r>
                </w:p>
              </w:tc>
              <w:tc>
                <w:tcPr>
                  <w:tcW w:w="1020" w:type="dxa"/>
                </w:tcPr>
                <w:p w14:paraId="78B7E88C" w14:textId="77777777" w:rsidR="004C12AB" w:rsidRPr="004C12AB" w:rsidRDefault="004C12AB" w:rsidP="004C12AB">
                  <w:pPr>
                    <w:pStyle w:val="TableText"/>
                    <w:ind w:left="0" w:right="0"/>
                    <w:jc w:val="right"/>
                    <w:rPr>
                      <w:rFonts w:eastAsia="Arial Unicode MS"/>
                      <w:b/>
                      <w:bCs/>
                    </w:rPr>
                  </w:pPr>
                  <w:r w:rsidRPr="004C12AB">
                    <w:rPr>
                      <w:b/>
                      <w:bCs/>
                    </w:rPr>
                    <w:t>2005–07</w:t>
                  </w:r>
                </w:p>
              </w:tc>
              <w:tc>
                <w:tcPr>
                  <w:tcW w:w="1019" w:type="dxa"/>
                </w:tcPr>
                <w:p w14:paraId="426137E6" w14:textId="77777777" w:rsidR="004C12AB" w:rsidRPr="004C12AB" w:rsidRDefault="004C12AB" w:rsidP="004C12AB">
                  <w:pPr>
                    <w:pStyle w:val="TableText"/>
                    <w:ind w:left="0" w:right="0"/>
                    <w:jc w:val="right"/>
                    <w:rPr>
                      <w:rFonts w:eastAsia="Arial Unicode MS"/>
                      <w:b/>
                      <w:bCs/>
                    </w:rPr>
                  </w:pPr>
                  <w:r w:rsidRPr="004C12AB">
                    <w:rPr>
                      <w:b/>
                      <w:bCs/>
                    </w:rPr>
                    <w:t>2000–02</w:t>
                  </w:r>
                </w:p>
              </w:tc>
              <w:tc>
                <w:tcPr>
                  <w:tcW w:w="1020" w:type="dxa"/>
                </w:tcPr>
                <w:p w14:paraId="26AA41E8" w14:textId="77777777" w:rsidR="004C12AB" w:rsidRPr="004C12AB" w:rsidRDefault="004C12AB" w:rsidP="004C12AB">
                  <w:pPr>
                    <w:pStyle w:val="TableText"/>
                    <w:ind w:left="0" w:right="0"/>
                    <w:jc w:val="right"/>
                    <w:rPr>
                      <w:rFonts w:eastAsia="Arial Unicode MS"/>
                      <w:b/>
                      <w:bCs/>
                    </w:rPr>
                  </w:pPr>
                  <w:r w:rsidRPr="004C12AB">
                    <w:rPr>
                      <w:b/>
                      <w:bCs/>
                    </w:rPr>
                    <w:t>1995–97</w:t>
                  </w:r>
                </w:p>
              </w:tc>
            </w:tr>
            <w:tr w:rsidR="004C12AB" w14:paraId="1C998797" w14:textId="77777777" w:rsidTr="004C12AB">
              <w:tc>
                <w:tcPr>
                  <w:tcW w:w="1814" w:type="dxa"/>
                </w:tcPr>
                <w:p w14:paraId="15CA307C" w14:textId="580CC29A" w:rsidR="004C12AB" w:rsidRPr="004C12AB" w:rsidRDefault="004C12AB" w:rsidP="004C12AB">
                  <w:pPr>
                    <w:pStyle w:val="TableText"/>
                    <w:rPr>
                      <w:rFonts w:eastAsia="Arial Unicode MS"/>
                    </w:rPr>
                  </w:pPr>
                  <w:r w:rsidRPr="004C12AB">
                    <w:t>Māori female</w:t>
                  </w:r>
                </w:p>
              </w:tc>
              <w:tc>
                <w:tcPr>
                  <w:tcW w:w="1019" w:type="dxa"/>
                </w:tcPr>
                <w:p w14:paraId="08B2C544" w14:textId="07DD2743" w:rsidR="004C12AB" w:rsidRPr="004C12AB" w:rsidRDefault="004C12AB" w:rsidP="004C12AB">
                  <w:pPr>
                    <w:pStyle w:val="TableText"/>
                    <w:jc w:val="right"/>
                    <w:rPr>
                      <w:rFonts w:eastAsia="Arial Unicode MS"/>
                    </w:rPr>
                  </w:pPr>
                  <w:r w:rsidRPr="004C12AB">
                    <w:t>N/A</w:t>
                  </w:r>
                </w:p>
              </w:tc>
              <w:tc>
                <w:tcPr>
                  <w:tcW w:w="1020" w:type="dxa"/>
                </w:tcPr>
                <w:p w14:paraId="4D46685E" w14:textId="5B7E8788" w:rsidR="004C12AB" w:rsidRPr="004C12AB" w:rsidRDefault="004C12AB" w:rsidP="004C12AB">
                  <w:pPr>
                    <w:pStyle w:val="TableText"/>
                    <w:jc w:val="right"/>
                    <w:rPr>
                      <w:rFonts w:eastAsia="Arial Unicode MS"/>
                    </w:rPr>
                  </w:pPr>
                  <w:r w:rsidRPr="004C12AB">
                    <w:t>77.1</w:t>
                  </w:r>
                </w:p>
              </w:tc>
              <w:tc>
                <w:tcPr>
                  <w:tcW w:w="1019" w:type="dxa"/>
                </w:tcPr>
                <w:p w14:paraId="211EAD80" w14:textId="5F0763E2" w:rsidR="004C12AB" w:rsidRPr="004C12AB" w:rsidRDefault="004C12AB" w:rsidP="004C12AB">
                  <w:pPr>
                    <w:pStyle w:val="TableText"/>
                    <w:jc w:val="right"/>
                    <w:rPr>
                      <w:rFonts w:eastAsia="Arial Unicode MS"/>
                    </w:rPr>
                  </w:pPr>
                  <w:r w:rsidRPr="004C12AB">
                    <w:t>77.1</w:t>
                  </w:r>
                </w:p>
              </w:tc>
              <w:tc>
                <w:tcPr>
                  <w:tcW w:w="1020" w:type="dxa"/>
                </w:tcPr>
                <w:p w14:paraId="30F2C8B0" w14:textId="5ADD86B3" w:rsidR="004C12AB" w:rsidRPr="004C12AB" w:rsidRDefault="004C12AB" w:rsidP="004C12AB">
                  <w:pPr>
                    <w:pStyle w:val="TableText"/>
                    <w:jc w:val="right"/>
                    <w:rPr>
                      <w:rFonts w:eastAsia="Arial Unicode MS"/>
                    </w:rPr>
                  </w:pPr>
                  <w:r w:rsidRPr="004C12AB">
                    <w:t>75.1</w:t>
                  </w:r>
                </w:p>
              </w:tc>
              <w:tc>
                <w:tcPr>
                  <w:tcW w:w="1019" w:type="dxa"/>
                </w:tcPr>
                <w:p w14:paraId="6D09E2D3" w14:textId="3DA4DE29" w:rsidR="004C12AB" w:rsidRPr="004C12AB" w:rsidRDefault="004C12AB" w:rsidP="004C12AB">
                  <w:pPr>
                    <w:pStyle w:val="TableText"/>
                    <w:jc w:val="right"/>
                    <w:rPr>
                      <w:rFonts w:eastAsia="Arial Unicode MS"/>
                    </w:rPr>
                  </w:pPr>
                  <w:r w:rsidRPr="004C12AB">
                    <w:t>73.2</w:t>
                  </w:r>
                </w:p>
              </w:tc>
              <w:tc>
                <w:tcPr>
                  <w:tcW w:w="1020" w:type="dxa"/>
                </w:tcPr>
                <w:p w14:paraId="2F4F9F28" w14:textId="02ED940B" w:rsidR="004C12AB" w:rsidRPr="004C12AB" w:rsidRDefault="004C12AB" w:rsidP="004C12AB">
                  <w:pPr>
                    <w:pStyle w:val="TableText"/>
                    <w:jc w:val="right"/>
                    <w:rPr>
                      <w:rFonts w:eastAsia="Arial Unicode MS"/>
                    </w:rPr>
                  </w:pPr>
                  <w:r w:rsidRPr="004C12AB">
                    <w:t>71.3</w:t>
                  </w:r>
                </w:p>
              </w:tc>
            </w:tr>
            <w:tr w:rsidR="004C12AB" w14:paraId="17AF0EDF" w14:textId="77777777" w:rsidTr="004C12AB">
              <w:tc>
                <w:tcPr>
                  <w:tcW w:w="1814" w:type="dxa"/>
                </w:tcPr>
                <w:p w14:paraId="48F37F53" w14:textId="170922AE" w:rsidR="004C12AB" w:rsidRPr="004C12AB" w:rsidRDefault="004C12AB" w:rsidP="004C12AB">
                  <w:pPr>
                    <w:pStyle w:val="TableText"/>
                    <w:rPr>
                      <w:rFonts w:eastAsia="Arial Unicode MS"/>
                    </w:rPr>
                  </w:pPr>
                  <w:r w:rsidRPr="004C12AB">
                    <w:t>Māori male</w:t>
                  </w:r>
                </w:p>
              </w:tc>
              <w:tc>
                <w:tcPr>
                  <w:tcW w:w="1019" w:type="dxa"/>
                </w:tcPr>
                <w:p w14:paraId="40687A54" w14:textId="2DAF0FC6" w:rsidR="004C12AB" w:rsidRPr="004C12AB" w:rsidRDefault="004C12AB" w:rsidP="004C12AB">
                  <w:pPr>
                    <w:pStyle w:val="TableText"/>
                    <w:jc w:val="right"/>
                    <w:rPr>
                      <w:rFonts w:eastAsia="Arial Unicode MS"/>
                    </w:rPr>
                  </w:pPr>
                  <w:r w:rsidRPr="004C12AB">
                    <w:t>N/A</w:t>
                  </w:r>
                </w:p>
              </w:tc>
              <w:tc>
                <w:tcPr>
                  <w:tcW w:w="1020" w:type="dxa"/>
                </w:tcPr>
                <w:p w14:paraId="0329C6EE" w14:textId="13EF5120" w:rsidR="004C12AB" w:rsidRPr="004C12AB" w:rsidRDefault="004C12AB" w:rsidP="004C12AB">
                  <w:pPr>
                    <w:pStyle w:val="TableText"/>
                    <w:jc w:val="right"/>
                    <w:rPr>
                      <w:rFonts w:eastAsia="Arial Unicode MS"/>
                    </w:rPr>
                  </w:pPr>
                  <w:r w:rsidRPr="004C12AB">
                    <w:t>73.4</w:t>
                  </w:r>
                </w:p>
              </w:tc>
              <w:tc>
                <w:tcPr>
                  <w:tcW w:w="1019" w:type="dxa"/>
                </w:tcPr>
                <w:p w14:paraId="74C146D7" w14:textId="4EBCEA53" w:rsidR="004C12AB" w:rsidRPr="004C12AB" w:rsidRDefault="004C12AB" w:rsidP="004C12AB">
                  <w:pPr>
                    <w:pStyle w:val="TableText"/>
                    <w:jc w:val="right"/>
                    <w:rPr>
                      <w:rFonts w:eastAsia="Arial Unicode MS"/>
                    </w:rPr>
                  </w:pPr>
                  <w:r w:rsidRPr="004C12AB">
                    <w:t>73.0</w:t>
                  </w:r>
                </w:p>
              </w:tc>
              <w:tc>
                <w:tcPr>
                  <w:tcW w:w="1020" w:type="dxa"/>
                </w:tcPr>
                <w:p w14:paraId="35C790A8" w14:textId="137C75E6" w:rsidR="004C12AB" w:rsidRPr="004C12AB" w:rsidRDefault="004C12AB" w:rsidP="004C12AB">
                  <w:pPr>
                    <w:pStyle w:val="TableText"/>
                    <w:jc w:val="right"/>
                    <w:rPr>
                      <w:rFonts w:eastAsia="Arial Unicode MS"/>
                    </w:rPr>
                  </w:pPr>
                  <w:r w:rsidRPr="004C12AB">
                    <w:t>70.4</w:t>
                  </w:r>
                </w:p>
              </w:tc>
              <w:tc>
                <w:tcPr>
                  <w:tcW w:w="1019" w:type="dxa"/>
                </w:tcPr>
                <w:p w14:paraId="440552D3" w14:textId="77EA66B6" w:rsidR="004C12AB" w:rsidRPr="004C12AB" w:rsidRDefault="004C12AB" w:rsidP="004C12AB">
                  <w:pPr>
                    <w:pStyle w:val="TableText"/>
                    <w:jc w:val="right"/>
                    <w:rPr>
                      <w:rFonts w:eastAsia="Arial Unicode MS"/>
                    </w:rPr>
                  </w:pPr>
                  <w:r w:rsidRPr="004C12AB">
                    <w:t>69.0</w:t>
                  </w:r>
                </w:p>
              </w:tc>
              <w:tc>
                <w:tcPr>
                  <w:tcW w:w="1020" w:type="dxa"/>
                </w:tcPr>
                <w:p w14:paraId="1B4741AB" w14:textId="3E9C8063" w:rsidR="004C12AB" w:rsidRPr="004C12AB" w:rsidRDefault="004C12AB" w:rsidP="004C12AB">
                  <w:pPr>
                    <w:pStyle w:val="TableText"/>
                    <w:jc w:val="right"/>
                    <w:rPr>
                      <w:rFonts w:eastAsia="Arial Unicode MS"/>
                    </w:rPr>
                  </w:pPr>
                  <w:r w:rsidRPr="004C12AB">
                    <w:t>66.6</w:t>
                  </w:r>
                </w:p>
              </w:tc>
            </w:tr>
            <w:tr w:rsidR="004C12AB" w14:paraId="58C9ADF2" w14:textId="77777777" w:rsidTr="004C12AB">
              <w:tc>
                <w:tcPr>
                  <w:tcW w:w="1814" w:type="dxa"/>
                </w:tcPr>
                <w:p w14:paraId="72C8FDFC" w14:textId="54841898" w:rsidR="004C12AB" w:rsidRPr="004C12AB" w:rsidRDefault="004C12AB" w:rsidP="004C12AB">
                  <w:pPr>
                    <w:pStyle w:val="TableText"/>
                  </w:pPr>
                  <w:r w:rsidRPr="004C12AB">
                    <w:t>Non-Māori female</w:t>
                  </w:r>
                </w:p>
              </w:tc>
              <w:tc>
                <w:tcPr>
                  <w:tcW w:w="1019" w:type="dxa"/>
                </w:tcPr>
                <w:p w14:paraId="23C4B01F" w14:textId="14F61AFA" w:rsidR="004C12AB" w:rsidRPr="004C12AB" w:rsidRDefault="004C12AB" w:rsidP="004C12AB">
                  <w:pPr>
                    <w:pStyle w:val="TableText"/>
                    <w:jc w:val="right"/>
                  </w:pPr>
                  <w:r w:rsidRPr="004C12AB">
                    <w:t>N/A</w:t>
                  </w:r>
                </w:p>
              </w:tc>
              <w:tc>
                <w:tcPr>
                  <w:tcW w:w="1020" w:type="dxa"/>
                </w:tcPr>
                <w:p w14:paraId="4BA56D9A" w14:textId="4075A776" w:rsidR="004C12AB" w:rsidRPr="004C12AB" w:rsidRDefault="004C12AB" w:rsidP="004C12AB">
                  <w:pPr>
                    <w:pStyle w:val="TableText"/>
                    <w:jc w:val="right"/>
                  </w:pPr>
                  <w:r w:rsidRPr="004C12AB">
                    <w:t>84.4</w:t>
                  </w:r>
                </w:p>
              </w:tc>
              <w:tc>
                <w:tcPr>
                  <w:tcW w:w="1019" w:type="dxa"/>
                </w:tcPr>
                <w:p w14:paraId="246A8CB5" w14:textId="7CA62E02" w:rsidR="004C12AB" w:rsidRPr="004C12AB" w:rsidRDefault="004C12AB" w:rsidP="004C12AB">
                  <w:pPr>
                    <w:pStyle w:val="TableText"/>
                    <w:jc w:val="right"/>
                  </w:pPr>
                  <w:r w:rsidRPr="004C12AB">
                    <w:t>83.9</w:t>
                  </w:r>
                </w:p>
              </w:tc>
              <w:tc>
                <w:tcPr>
                  <w:tcW w:w="1020" w:type="dxa"/>
                </w:tcPr>
                <w:p w14:paraId="26A4B47A" w14:textId="0E400242" w:rsidR="004C12AB" w:rsidRPr="004C12AB" w:rsidRDefault="004C12AB" w:rsidP="004C12AB">
                  <w:pPr>
                    <w:pStyle w:val="TableText"/>
                    <w:jc w:val="right"/>
                  </w:pPr>
                  <w:r w:rsidRPr="004C12AB">
                    <w:t>83.0</w:t>
                  </w:r>
                </w:p>
              </w:tc>
              <w:tc>
                <w:tcPr>
                  <w:tcW w:w="1019" w:type="dxa"/>
                </w:tcPr>
                <w:p w14:paraId="17AC730E" w14:textId="48A35772" w:rsidR="004C12AB" w:rsidRPr="004C12AB" w:rsidRDefault="004C12AB" w:rsidP="004C12AB">
                  <w:pPr>
                    <w:pStyle w:val="TableText"/>
                    <w:jc w:val="right"/>
                  </w:pPr>
                  <w:r w:rsidRPr="004C12AB">
                    <w:t>81.9</w:t>
                  </w:r>
                </w:p>
              </w:tc>
              <w:tc>
                <w:tcPr>
                  <w:tcW w:w="1020" w:type="dxa"/>
                </w:tcPr>
                <w:p w14:paraId="4DC6A58B" w14:textId="3D5E9678" w:rsidR="004C12AB" w:rsidRPr="004C12AB" w:rsidRDefault="004C12AB" w:rsidP="004C12AB">
                  <w:pPr>
                    <w:pStyle w:val="TableText"/>
                    <w:jc w:val="right"/>
                  </w:pPr>
                  <w:r w:rsidRPr="004C12AB">
                    <w:t>80.6</w:t>
                  </w:r>
                </w:p>
              </w:tc>
            </w:tr>
            <w:tr w:rsidR="004C12AB" w14:paraId="3925258D" w14:textId="77777777" w:rsidTr="004C12AB">
              <w:tc>
                <w:tcPr>
                  <w:tcW w:w="1814" w:type="dxa"/>
                </w:tcPr>
                <w:p w14:paraId="4C22FEB2" w14:textId="6AB05F93" w:rsidR="004C12AB" w:rsidRPr="004C12AB" w:rsidRDefault="004C12AB" w:rsidP="004C12AB">
                  <w:pPr>
                    <w:pStyle w:val="TableText"/>
                  </w:pPr>
                  <w:r w:rsidRPr="004C12AB">
                    <w:t>Non-Māori male</w:t>
                  </w:r>
                </w:p>
              </w:tc>
              <w:tc>
                <w:tcPr>
                  <w:tcW w:w="1019" w:type="dxa"/>
                </w:tcPr>
                <w:p w14:paraId="7591CE13" w14:textId="70BF3C34" w:rsidR="004C12AB" w:rsidRPr="004C12AB" w:rsidRDefault="004C12AB" w:rsidP="004C12AB">
                  <w:pPr>
                    <w:pStyle w:val="TableText"/>
                    <w:jc w:val="right"/>
                  </w:pPr>
                  <w:r w:rsidRPr="004C12AB">
                    <w:t>N/A</w:t>
                  </w:r>
                </w:p>
              </w:tc>
              <w:tc>
                <w:tcPr>
                  <w:tcW w:w="1020" w:type="dxa"/>
                </w:tcPr>
                <w:p w14:paraId="759B9FD1" w14:textId="73758316" w:rsidR="004C12AB" w:rsidRPr="004C12AB" w:rsidRDefault="004C12AB" w:rsidP="004C12AB">
                  <w:pPr>
                    <w:pStyle w:val="TableText"/>
                    <w:jc w:val="right"/>
                  </w:pPr>
                  <w:r w:rsidRPr="004C12AB">
                    <w:t>80.9</w:t>
                  </w:r>
                </w:p>
              </w:tc>
              <w:tc>
                <w:tcPr>
                  <w:tcW w:w="1019" w:type="dxa"/>
                </w:tcPr>
                <w:p w14:paraId="6E4F0AEF" w14:textId="7E32C7EB" w:rsidR="004C12AB" w:rsidRPr="004C12AB" w:rsidRDefault="004C12AB" w:rsidP="004C12AB">
                  <w:pPr>
                    <w:pStyle w:val="TableText"/>
                    <w:jc w:val="right"/>
                  </w:pPr>
                  <w:r w:rsidRPr="004C12AB">
                    <w:t>80.3</w:t>
                  </w:r>
                </w:p>
              </w:tc>
              <w:tc>
                <w:tcPr>
                  <w:tcW w:w="1020" w:type="dxa"/>
                </w:tcPr>
                <w:p w14:paraId="69637652" w14:textId="7D2C75FB" w:rsidR="004C12AB" w:rsidRPr="004C12AB" w:rsidRDefault="004C12AB" w:rsidP="004C12AB">
                  <w:pPr>
                    <w:pStyle w:val="TableText"/>
                    <w:jc w:val="right"/>
                  </w:pPr>
                  <w:r w:rsidRPr="004C12AB">
                    <w:t>79.0</w:t>
                  </w:r>
                </w:p>
              </w:tc>
              <w:tc>
                <w:tcPr>
                  <w:tcW w:w="1019" w:type="dxa"/>
                </w:tcPr>
                <w:p w14:paraId="27BF1F9A" w14:textId="2DB728E1" w:rsidR="004C12AB" w:rsidRPr="004C12AB" w:rsidRDefault="004C12AB" w:rsidP="004C12AB">
                  <w:pPr>
                    <w:pStyle w:val="TableText"/>
                    <w:jc w:val="right"/>
                  </w:pPr>
                  <w:r w:rsidRPr="004C12AB">
                    <w:t>77.2</w:t>
                  </w:r>
                </w:p>
              </w:tc>
              <w:tc>
                <w:tcPr>
                  <w:tcW w:w="1020" w:type="dxa"/>
                </w:tcPr>
                <w:p w14:paraId="6A2C1B6D" w14:textId="66A7FB9B" w:rsidR="004C12AB" w:rsidRPr="004C12AB" w:rsidRDefault="004C12AB" w:rsidP="004C12AB">
                  <w:pPr>
                    <w:pStyle w:val="TableText"/>
                    <w:jc w:val="right"/>
                  </w:pPr>
                  <w:r w:rsidRPr="004C12AB">
                    <w:t>75.4</w:t>
                  </w:r>
                </w:p>
              </w:tc>
            </w:tr>
          </w:tbl>
          <w:p w14:paraId="31DA3B02" w14:textId="77777777" w:rsidR="004C12AB" w:rsidRPr="00E1477E" w:rsidRDefault="004C12AB" w:rsidP="0066594A">
            <w:pPr>
              <w:keepNext/>
              <w:rPr>
                <w:rFonts w:eastAsia="Arial Unicode MS"/>
              </w:rPr>
            </w:pPr>
          </w:p>
        </w:tc>
      </w:tr>
    </w:tbl>
    <w:p w14:paraId="7E80713D" w14:textId="77777777" w:rsidR="004C12AB" w:rsidRPr="004C12AB" w:rsidRDefault="004C12AB" w:rsidP="004C12AB">
      <w:pPr>
        <w:pStyle w:val="Note"/>
        <w:rPr>
          <w:rFonts w:eastAsia="Arial Unicode MS"/>
        </w:rPr>
      </w:pPr>
      <w:r w:rsidRPr="004C12AB">
        <w:rPr>
          <w:rFonts w:eastAsia="Arial Unicode MS"/>
        </w:rPr>
        <w:t>Please note, caution should be taken with comparisons to 2012–2014 period life tables, particularly for the Māori ethnic group due to apparent under-estimation of the Māori ethnic group suggested by the revised Māori population estimates.</w:t>
      </w:r>
    </w:p>
    <w:p w14:paraId="43C3B9E8" w14:textId="77777777" w:rsidR="00933381" w:rsidRDefault="004C12AB" w:rsidP="004C12AB">
      <w:pPr>
        <w:pStyle w:val="Note"/>
        <w:rPr>
          <w:rFonts w:eastAsia="Arial Unicode MS"/>
        </w:rPr>
        <w:sectPr w:rsidR="00933381" w:rsidSect="00C26282">
          <w:pgSz w:w="11907" w:h="16840" w:code="9"/>
          <w:pgMar w:top="1418" w:right="1701" w:bottom="1134" w:left="1843" w:header="284" w:footer="425" w:gutter="284"/>
          <w:cols w:space="720"/>
        </w:sectPr>
      </w:pPr>
      <w:r w:rsidRPr="004C12AB">
        <w:rPr>
          <w:rFonts w:eastAsia="Arial Unicode MS"/>
        </w:rPr>
        <w:t>Life expectancy figures for 2019–2021 are an interim indication of trends from abridged period life tables. All other figures are based on complete period life tables.</w:t>
      </w:r>
    </w:p>
    <w:p w14:paraId="3026CB20" w14:textId="77777777" w:rsidR="00E1477E" w:rsidRDefault="00933381" w:rsidP="009E3BCA">
      <w:pPr>
        <w:pStyle w:val="Heading5"/>
        <w:spacing w:before="0"/>
      </w:pPr>
      <w:r w:rsidRPr="00933381">
        <w:lastRenderedPageBreak/>
        <w:t>Decrease age-standardised disability-adjusted life years (DALYs) per 1,000 people</w:t>
      </w:r>
    </w:p>
    <w:tbl>
      <w:tblPr>
        <w:tblStyle w:val="TableGrid"/>
        <w:tblW w:w="0" w:type="auto"/>
        <w:tblLook w:val="04A0" w:firstRow="1" w:lastRow="0" w:firstColumn="1" w:lastColumn="0" w:noHBand="0" w:noVBand="1"/>
      </w:tblPr>
      <w:tblGrid>
        <w:gridCol w:w="8069"/>
      </w:tblGrid>
      <w:tr w:rsidR="00BB0690" w14:paraId="0E0E0111" w14:textId="77777777" w:rsidTr="0066594A">
        <w:tc>
          <w:tcPr>
            <w:tcW w:w="8069" w:type="dxa"/>
            <w:tcBorders>
              <w:top w:val="single" w:sz="4" w:space="0" w:color="A6A6A6" w:themeColor="background1" w:themeShade="A6"/>
              <w:left w:val="nil"/>
              <w:bottom w:val="single" w:sz="4" w:space="0" w:color="A6A6A6" w:themeColor="background1" w:themeShade="A6"/>
              <w:right w:val="nil"/>
            </w:tcBorders>
          </w:tcPr>
          <w:p w14:paraId="093230A3" w14:textId="1B274089" w:rsidR="00BB0690" w:rsidRPr="00E1477E" w:rsidRDefault="00BB0690" w:rsidP="004A25CE">
            <w:pPr>
              <w:spacing w:before="60" w:after="60"/>
              <w:rPr>
                <w:rFonts w:eastAsia="Arial Unicode MS"/>
                <w:b/>
                <w:bCs/>
              </w:rPr>
            </w:pPr>
            <w:r w:rsidRPr="00E1477E">
              <w:rPr>
                <w:rFonts w:eastAsia="Arial Unicode MS"/>
                <w:b/>
                <w:bCs/>
              </w:rPr>
              <w:t>Measure</w:t>
            </w:r>
          </w:p>
          <w:p w14:paraId="6E9B0C2C" w14:textId="4BE383DD" w:rsidR="00BB0690" w:rsidRDefault="00BB0690" w:rsidP="004A25CE">
            <w:pPr>
              <w:spacing w:before="60" w:after="60"/>
              <w:rPr>
                <w:rFonts w:eastAsia="Arial Unicode MS"/>
              </w:rPr>
            </w:pPr>
            <w:r w:rsidRPr="00BB0690">
              <w:rPr>
                <w:rFonts w:eastAsia="Arial Unicode MS"/>
              </w:rPr>
              <w:t>DALY is an abbreviation for disability-adjusted life year. One DALY represents the loss of one year lived in full health. DALYs include health losses from premature mortality and years lived with a disability based on severity. It allows policymakers, researchers and others to compare very different populations and health conditions across time. DALYs allow us to estimate the total number of years lost due to specific causes and risk factors.</w:t>
            </w:r>
          </w:p>
          <w:p w14:paraId="65808227" w14:textId="4D2EE580" w:rsidR="00BB0690" w:rsidRDefault="00BB0690" w:rsidP="004A25CE">
            <w:pPr>
              <w:spacing w:before="60" w:after="60"/>
              <w:rPr>
                <w:rFonts w:eastAsia="Arial Unicode MS"/>
              </w:rPr>
            </w:pPr>
            <w:r w:rsidRPr="00BB0690">
              <w:rPr>
                <w:rFonts w:eastAsia="Arial Unicode MS"/>
              </w:rPr>
              <w:t>Age standardised DALY rate is the DALY adjusted for differences in the age distribution and size of different populations and is used usually for populations comparisons (for example, between different periods or different countries)</w:t>
            </w:r>
            <w:r w:rsidRPr="00E1477E">
              <w:rPr>
                <w:rFonts w:eastAsia="Arial Unicode MS"/>
              </w:rPr>
              <w:t>.</w:t>
            </w:r>
          </w:p>
        </w:tc>
      </w:tr>
      <w:tr w:rsidR="00BB0690" w14:paraId="393E709E" w14:textId="77777777" w:rsidTr="0066594A">
        <w:tc>
          <w:tcPr>
            <w:tcW w:w="8069" w:type="dxa"/>
            <w:tcBorders>
              <w:top w:val="single" w:sz="4" w:space="0" w:color="A6A6A6" w:themeColor="background1" w:themeShade="A6"/>
              <w:left w:val="nil"/>
              <w:bottom w:val="single" w:sz="4" w:space="0" w:color="A6A6A6" w:themeColor="background1" w:themeShade="A6"/>
              <w:right w:val="nil"/>
            </w:tcBorders>
          </w:tcPr>
          <w:p w14:paraId="4A4B960F" w14:textId="77777777" w:rsidR="00BB0690" w:rsidRPr="00E1477E" w:rsidRDefault="00BB0690" w:rsidP="004A25CE">
            <w:pPr>
              <w:spacing w:before="60" w:after="60"/>
              <w:rPr>
                <w:rFonts w:eastAsia="Arial Unicode MS"/>
                <w:b/>
                <w:bCs/>
              </w:rPr>
            </w:pPr>
            <w:r w:rsidRPr="00E1477E">
              <w:rPr>
                <w:rFonts w:eastAsia="Arial Unicode MS"/>
                <w:b/>
                <w:bCs/>
              </w:rPr>
              <w:t>Target</w:t>
            </w:r>
          </w:p>
          <w:p w14:paraId="50C88FB8" w14:textId="2BAD0A46" w:rsidR="00BB0690" w:rsidRPr="00E1477E" w:rsidRDefault="00BB0690" w:rsidP="004A25CE">
            <w:pPr>
              <w:spacing w:before="60" w:after="60"/>
              <w:rPr>
                <w:rFonts w:eastAsia="Arial Unicode MS"/>
              </w:rPr>
            </w:pPr>
            <w:r>
              <w:rPr>
                <w:rFonts w:eastAsia="Arial Unicode MS"/>
              </w:rPr>
              <w:t>Decrease</w:t>
            </w:r>
          </w:p>
        </w:tc>
      </w:tr>
      <w:tr w:rsidR="00BB0690" w14:paraId="29C19FD8" w14:textId="77777777" w:rsidTr="0066594A">
        <w:tc>
          <w:tcPr>
            <w:tcW w:w="8069" w:type="dxa"/>
            <w:tcBorders>
              <w:top w:val="single" w:sz="4" w:space="0" w:color="A6A6A6" w:themeColor="background1" w:themeShade="A6"/>
              <w:left w:val="nil"/>
              <w:bottom w:val="single" w:sz="4" w:space="0" w:color="A6A6A6" w:themeColor="background1" w:themeShade="A6"/>
              <w:right w:val="nil"/>
            </w:tcBorders>
          </w:tcPr>
          <w:p w14:paraId="2B733105" w14:textId="06281F26" w:rsidR="00BB0690" w:rsidRPr="00E1477E" w:rsidRDefault="00BB0690" w:rsidP="004A25CE">
            <w:pPr>
              <w:spacing w:before="60" w:after="60"/>
              <w:rPr>
                <w:rFonts w:eastAsia="Arial Unicode MS"/>
                <w:b/>
                <w:bCs/>
              </w:rPr>
            </w:pPr>
            <w:r w:rsidRPr="00E1477E">
              <w:rPr>
                <w:rFonts w:eastAsia="Arial Unicode MS"/>
                <w:b/>
                <w:bCs/>
              </w:rPr>
              <w:t>Result</w:t>
            </w:r>
          </w:p>
          <w:p w14:paraId="7D2C5B90" w14:textId="4C3F9E9E" w:rsidR="00BB0690" w:rsidRPr="00E1477E" w:rsidRDefault="00BB0690" w:rsidP="004A25CE">
            <w:pPr>
              <w:spacing w:before="60" w:after="60"/>
              <w:rPr>
                <w:rFonts w:eastAsia="Arial Unicode MS"/>
              </w:rPr>
            </w:pPr>
            <w:r w:rsidRPr="00BB0690">
              <w:rPr>
                <w:rFonts w:eastAsia="Arial Unicode MS"/>
              </w:rPr>
              <w:t>Age-standardised DALY rates per 1,000 decreased from 1990 until 2019. As the population is growing and ageing, the absolute number of DALYs has slowly increased from 1,039,768 in 1990 to 1,215,774 in 2019</w:t>
            </w:r>
            <w:r>
              <w:rPr>
                <w:rFonts w:eastAsia="Arial Unicode MS"/>
              </w:rPr>
              <w:t>.</w:t>
            </w:r>
          </w:p>
        </w:tc>
      </w:tr>
      <w:tr w:rsidR="00BB0690" w14:paraId="7D3CAC73" w14:textId="77777777" w:rsidTr="0066594A">
        <w:tc>
          <w:tcPr>
            <w:tcW w:w="8069" w:type="dxa"/>
            <w:tcBorders>
              <w:top w:val="single" w:sz="4" w:space="0" w:color="A6A6A6" w:themeColor="background1" w:themeShade="A6"/>
              <w:left w:val="nil"/>
              <w:bottom w:val="nil"/>
              <w:right w:val="nil"/>
            </w:tcBorders>
          </w:tcPr>
          <w:p w14:paraId="041DF71E" w14:textId="667589CD" w:rsidR="00BB0690" w:rsidRPr="00E1477E" w:rsidRDefault="00BB0690" w:rsidP="004A25CE">
            <w:pPr>
              <w:keepNext/>
              <w:spacing w:before="60" w:after="60"/>
              <w:rPr>
                <w:rFonts w:eastAsia="Arial Unicode MS"/>
                <w:b/>
                <w:bCs/>
              </w:rPr>
            </w:pPr>
            <w:r w:rsidRPr="00BB0690">
              <w:rPr>
                <w:rFonts w:eastAsia="Arial Unicode MS"/>
                <w:b/>
                <w:bCs/>
              </w:rPr>
              <w:t>Disability-adjusted life years (DALYs) per 1,000 people</w:t>
            </w:r>
            <w:r>
              <w:rPr>
                <w:rStyle w:val="FootnoteReference"/>
                <w:rFonts w:eastAsia="Arial Unicode MS"/>
                <w:b/>
                <w:bCs/>
              </w:rPr>
              <w:footnoteReference w:id="54"/>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897"/>
              <w:gridCol w:w="883"/>
              <w:gridCol w:w="867"/>
              <w:gridCol w:w="867"/>
              <w:gridCol w:w="867"/>
              <w:gridCol w:w="868"/>
              <w:gridCol w:w="868"/>
              <w:gridCol w:w="868"/>
              <w:gridCol w:w="868"/>
            </w:tblGrid>
            <w:tr w:rsidR="00BB0690" w14:paraId="678E25E0" w14:textId="77777777" w:rsidTr="00BB0690">
              <w:tc>
                <w:tcPr>
                  <w:tcW w:w="897" w:type="dxa"/>
                </w:tcPr>
                <w:p w14:paraId="0C9DDE9E" w14:textId="77777777" w:rsidR="00BB0690" w:rsidRPr="00E1477E" w:rsidRDefault="00BB0690" w:rsidP="004A25CE">
                  <w:pPr>
                    <w:pStyle w:val="TableText"/>
                    <w:rPr>
                      <w:rFonts w:eastAsia="Arial Unicode MS"/>
                      <w:b/>
                      <w:bCs/>
                    </w:rPr>
                  </w:pPr>
                </w:p>
              </w:tc>
              <w:tc>
                <w:tcPr>
                  <w:tcW w:w="883" w:type="dxa"/>
                </w:tcPr>
                <w:p w14:paraId="1F720707" w14:textId="77777777" w:rsidR="00BB0690" w:rsidRPr="00E1477E" w:rsidRDefault="00BB0690" w:rsidP="004A25CE">
                  <w:pPr>
                    <w:pStyle w:val="TableText"/>
                    <w:jc w:val="right"/>
                    <w:rPr>
                      <w:rFonts w:eastAsia="Arial Unicode MS"/>
                      <w:b/>
                      <w:bCs/>
                    </w:rPr>
                  </w:pPr>
                  <w:r w:rsidRPr="00E1477E">
                    <w:rPr>
                      <w:b/>
                      <w:bCs/>
                    </w:rPr>
                    <w:t>2019</w:t>
                  </w:r>
                  <w:r w:rsidRPr="00E1477E">
                    <w:rPr>
                      <w:rStyle w:val="FootnoteReference"/>
                      <w:b/>
                      <w:bCs/>
                    </w:rPr>
                    <w:footnoteReference w:id="55"/>
                  </w:r>
                </w:p>
              </w:tc>
              <w:tc>
                <w:tcPr>
                  <w:tcW w:w="867" w:type="dxa"/>
                </w:tcPr>
                <w:p w14:paraId="748450C9" w14:textId="77777777" w:rsidR="00BB0690" w:rsidRPr="00E1477E" w:rsidRDefault="00BB0690" w:rsidP="004A25CE">
                  <w:pPr>
                    <w:pStyle w:val="TableText"/>
                    <w:jc w:val="right"/>
                    <w:rPr>
                      <w:rFonts w:eastAsia="Arial Unicode MS"/>
                      <w:b/>
                      <w:bCs/>
                    </w:rPr>
                  </w:pPr>
                  <w:r w:rsidRPr="00E1477E">
                    <w:rPr>
                      <w:b/>
                      <w:bCs/>
                    </w:rPr>
                    <w:t>2018</w:t>
                  </w:r>
                </w:p>
              </w:tc>
              <w:tc>
                <w:tcPr>
                  <w:tcW w:w="867" w:type="dxa"/>
                </w:tcPr>
                <w:p w14:paraId="131C2689" w14:textId="77777777" w:rsidR="00BB0690" w:rsidRPr="00E1477E" w:rsidRDefault="00BB0690" w:rsidP="004A25CE">
                  <w:pPr>
                    <w:pStyle w:val="TableText"/>
                    <w:jc w:val="right"/>
                    <w:rPr>
                      <w:rFonts w:eastAsia="Arial Unicode MS"/>
                      <w:b/>
                      <w:bCs/>
                    </w:rPr>
                  </w:pPr>
                  <w:r w:rsidRPr="00E1477E">
                    <w:rPr>
                      <w:b/>
                      <w:bCs/>
                    </w:rPr>
                    <w:t>2017</w:t>
                  </w:r>
                </w:p>
              </w:tc>
              <w:tc>
                <w:tcPr>
                  <w:tcW w:w="867" w:type="dxa"/>
                </w:tcPr>
                <w:p w14:paraId="39FEFE75" w14:textId="77777777" w:rsidR="00BB0690" w:rsidRPr="00E1477E" w:rsidRDefault="00BB0690" w:rsidP="004A25CE">
                  <w:pPr>
                    <w:pStyle w:val="TableText"/>
                    <w:jc w:val="right"/>
                    <w:rPr>
                      <w:rFonts w:eastAsia="Arial Unicode MS"/>
                      <w:b/>
                      <w:bCs/>
                    </w:rPr>
                  </w:pPr>
                  <w:r w:rsidRPr="00E1477E">
                    <w:rPr>
                      <w:b/>
                      <w:bCs/>
                    </w:rPr>
                    <w:t>2016</w:t>
                  </w:r>
                </w:p>
              </w:tc>
              <w:tc>
                <w:tcPr>
                  <w:tcW w:w="868" w:type="dxa"/>
                </w:tcPr>
                <w:p w14:paraId="06749A2F" w14:textId="77777777" w:rsidR="00BB0690" w:rsidRPr="00E1477E" w:rsidRDefault="00BB0690" w:rsidP="004A25CE">
                  <w:pPr>
                    <w:pStyle w:val="TableText"/>
                    <w:jc w:val="right"/>
                    <w:rPr>
                      <w:rFonts w:eastAsia="Arial Unicode MS"/>
                      <w:b/>
                      <w:bCs/>
                    </w:rPr>
                  </w:pPr>
                  <w:r w:rsidRPr="00E1477E">
                    <w:rPr>
                      <w:b/>
                      <w:bCs/>
                    </w:rPr>
                    <w:t>2015</w:t>
                  </w:r>
                </w:p>
              </w:tc>
              <w:tc>
                <w:tcPr>
                  <w:tcW w:w="868" w:type="dxa"/>
                </w:tcPr>
                <w:p w14:paraId="424BC215" w14:textId="77777777" w:rsidR="00BB0690" w:rsidRPr="00E1477E" w:rsidRDefault="00BB0690" w:rsidP="004A25CE">
                  <w:pPr>
                    <w:pStyle w:val="TableText"/>
                    <w:jc w:val="right"/>
                    <w:rPr>
                      <w:rFonts w:eastAsia="Arial Unicode MS"/>
                      <w:b/>
                      <w:bCs/>
                    </w:rPr>
                  </w:pPr>
                  <w:r w:rsidRPr="00E1477E">
                    <w:rPr>
                      <w:b/>
                      <w:bCs/>
                    </w:rPr>
                    <w:t>2010</w:t>
                  </w:r>
                </w:p>
              </w:tc>
              <w:tc>
                <w:tcPr>
                  <w:tcW w:w="868" w:type="dxa"/>
                </w:tcPr>
                <w:p w14:paraId="6F6184A1" w14:textId="77777777" w:rsidR="00BB0690" w:rsidRPr="00E1477E" w:rsidRDefault="00BB0690" w:rsidP="004A25CE">
                  <w:pPr>
                    <w:pStyle w:val="TableText"/>
                    <w:jc w:val="right"/>
                    <w:rPr>
                      <w:rFonts w:eastAsia="Arial Unicode MS"/>
                      <w:b/>
                      <w:bCs/>
                    </w:rPr>
                  </w:pPr>
                  <w:r w:rsidRPr="00E1477E">
                    <w:rPr>
                      <w:b/>
                      <w:bCs/>
                    </w:rPr>
                    <w:t>2000</w:t>
                  </w:r>
                </w:p>
              </w:tc>
              <w:tc>
                <w:tcPr>
                  <w:tcW w:w="868" w:type="dxa"/>
                </w:tcPr>
                <w:p w14:paraId="0B2A0F00" w14:textId="77777777" w:rsidR="00BB0690" w:rsidRPr="00E1477E" w:rsidRDefault="00BB0690" w:rsidP="004A25CE">
                  <w:pPr>
                    <w:pStyle w:val="TableText"/>
                    <w:jc w:val="right"/>
                    <w:rPr>
                      <w:rFonts w:eastAsia="Arial Unicode MS"/>
                      <w:b/>
                      <w:bCs/>
                    </w:rPr>
                  </w:pPr>
                  <w:r w:rsidRPr="00E1477E">
                    <w:rPr>
                      <w:b/>
                      <w:bCs/>
                    </w:rPr>
                    <w:t>1990</w:t>
                  </w:r>
                </w:p>
              </w:tc>
            </w:tr>
            <w:tr w:rsidR="00BB0690" w14:paraId="1C986908" w14:textId="77777777" w:rsidTr="00BB0690">
              <w:tc>
                <w:tcPr>
                  <w:tcW w:w="897" w:type="dxa"/>
                </w:tcPr>
                <w:p w14:paraId="534FE907" w14:textId="77777777" w:rsidR="00BB0690" w:rsidRDefault="00BB0690" w:rsidP="004A25CE">
                  <w:pPr>
                    <w:pStyle w:val="TableText"/>
                    <w:rPr>
                      <w:rFonts w:eastAsia="Arial Unicode MS"/>
                    </w:rPr>
                  </w:pPr>
                  <w:r w:rsidRPr="002D0AFD">
                    <w:t>Female</w:t>
                  </w:r>
                </w:p>
              </w:tc>
              <w:tc>
                <w:tcPr>
                  <w:tcW w:w="883" w:type="dxa"/>
                </w:tcPr>
                <w:p w14:paraId="3BAB858A" w14:textId="3EB9569B" w:rsidR="00BB0690" w:rsidRDefault="00BB0690" w:rsidP="004A25CE">
                  <w:pPr>
                    <w:pStyle w:val="TableText"/>
                    <w:jc w:val="right"/>
                    <w:rPr>
                      <w:rFonts w:eastAsia="Arial Unicode MS"/>
                    </w:rPr>
                  </w:pPr>
                  <w:r w:rsidRPr="008C600B">
                    <w:t>198</w:t>
                  </w:r>
                </w:p>
              </w:tc>
              <w:tc>
                <w:tcPr>
                  <w:tcW w:w="867" w:type="dxa"/>
                </w:tcPr>
                <w:p w14:paraId="3E2ECA5C" w14:textId="0F1FD961" w:rsidR="00BB0690" w:rsidRDefault="00BB0690" w:rsidP="004A25CE">
                  <w:pPr>
                    <w:pStyle w:val="TableText"/>
                    <w:jc w:val="right"/>
                    <w:rPr>
                      <w:rFonts w:eastAsia="Arial Unicode MS"/>
                    </w:rPr>
                  </w:pPr>
                  <w:r w:rsidRPr="008C600B">
                    <w:t>197</w:t>
                  </w:r>
                </w:p>
              </w:tc>
              <w:tc>
                <w:tcPr>
                  <w:tcW w:w="867" w:type="dxa"/>
                </w:tcPr>
                <w:p w14:paraId="24161359" w14:textId="486DB3B0" w:rsidR="00BB0690" w:rsidRDefault="00BB0690" w:rsidP="004A25CE">
                  <w:pPr>
                    <w:pStyle w:val="TableText"/>
                    <w:jc w:val="right"/>
                    <w:rPr>
                      <w:rFonts w:eastAsia="Arial Unicode MS"/>
                    </w:rPr>
                  </w:pPr>
                  <w:r w:rsidRPr="008C600B">
                    <w:t>197</w:t>
                  </w:r>
                </w:p>
              </w:tc>
              <w:tc>
                <w:tcPr>
                  <w:tcW w:w="867" w:type="dxa"/>
                </w:tcPr>
                <w:p w14:paraId="7DF114B2" w14:textId="339BDECB" w:rsidR="00BB0690" w:rsidRDefault="00BB0690" w:rsidP="004A25CE">
                  <w:pPr>
                    <w:pStyle w:val="TableText"/>
                    <w:jc w:val="right"/>
                    <w:rPr>
                      <w:rFonts w:eastAsia="Arial Unicode MS"/>
                    </w:rPr>
                  </w:pPr>
                  <w:r w:rsidRPr="008C600B">
                    <w:t>196</w:t>
                  </w:r>
                </w:p>
              </w:tc>
              <w:tc>
                <w:tcPr>
                  <w:tcW w:w="868" w:type="dxa"/>
                </w:tcPr>
                <w:p w14:paraId="24B3E8ED" w14:textId="1E9A7F9A" w:rsidR="00BB0690" w:rsidRDefault="00BB0690" w:rsidP="004A25CE">
                  <w:pPr>
                    <w:pStyle w:val="TableText"/>
                    <w:jc w:val="right"/>
                    <w:rPr>
                      <w:rFonts w:eastAsia="Arial Unicode MS"/>
                    </w:rPr>
                  </w:pPr>
                  <w:r w:rsidRPr="008C600B">
                    <w:t>198</w:t>
                  </w:r>
                </w:p>
              </w:tc>
              <w:tc>
                <w:tcPr>
                  <w:tcW w:w="868" w:type="dxa"/>
                </w:tcPr>
                <w:p w14:paraId="24FB941B" w14:textId="1E7D857F" w:rsidR="00BB0690" w:rsidRDefault="00BB0690" w:rsidP="004A25CE">
                  <w:pPr>
                    <w:pStyle w:val="TableText"/>
                    <w:jc w:val="right"/>
                    <w:rPr>
                      <w:rFonts w:eastAsia="Arial Unicode MS"/>
                    </w:rPr>
                  </w:pPr>
                  <w:r w:rsidRPr="008C600B">
                    <w:t>204</w:t>
                  </w:r>
                </w:p>
              </w:tc>
              <w:tc>
                <w:tcPr>
                  <w:tcW w:w="868" w:type="dxa"/>
                </w:tcPr>
                <w:p w14:paraId="626D98A3" w14:textId="02F4EBA9" w:rsidR="00BB0690" w:rsidRDefault="00BB0690" w:rsidP="004A25CE">
                  <w:pPr>
                    <w:pStyle w:val="TableText"/>
                    <w:jc w:val="right"/>
                    <w:rPr>
                      <w:rFonts w:eastAsia="Arial Unicode MS"/>
                    </w:rPr>
                  </w:pPr>
                  <w:r w:rsidRPr="008C600B">
                    <w:t>224</w:t>
                  </w:r>
                </w:p>
              </w:tc>
              <w:tc>
                <w:tcPr>
                  <w:tcW w:w="868" w:type="dxa"/>
                </w:tcPr>
                <w:p w14:paraId="21859456" w14:textId="12A010DE" w:rsidR="00BB0690" w:rsidRDefault="00BB0690" w:rsidP="004A25CE">
                  <w:pPr>
                    <w:pStyle w:val="TableText"/>
                    <w:jc w:val="right"/>
                    <w:rPr>
                      <w:rFonts w:eastAsia="Arial Unicode MS"/>
                    </w:rPr>
                  </w:pPr>
                  <w:r w:rsidRPr="008C600B">
                    <w:t>257</w:t>
                  </w:r>
                </w:p>
              </w:tc>
            </w:tr>
            <w:tr w:rsidR="00BB0690" w14:paraId="59CC908D" w14:textId="77777777" w:rsidTr="00BB0690">
              <w:tc>
                <w:tcPr>
                  <w:tcW w:w="897" w:type="dxa"/>
                </w:tcPr>
                <w:p w14:paraId="1E021DD1" w14:textId="77777777" w:rsidR="00BB0690" w:rsidRDefault="00BB0690" w:rsidP="004A25CE">
                  <w:pPr>
                    <w:pStyle w:val="TableText"/>
                    <w:rPr>
                      <w:rFonts w:eastAsia="Arial Unicode MS"/>
                    </w:rPr>
                  </w:pPr>
                  <w:r w:rsidRPr="002D0AFD">
                    <w:t>Male</w:t>
                  </w:r>
                </w:p>
              </w:tc>
              <w:tc>
                <w:tcPr>
                  <w:tcW w:w="883" w:type="dxa"/>
                </w:tcPr>
                <w:p w14:paraId="523EA075" w14:textId="07F45621" w:rsidR="00BB0690" w:rsidRDefault="00BB0690" w:rsidP="004A25CE">
                  <w:pPr>
                    <w:pStyle w:val="TableText"/>
                    <w:jc w:val="right"/>
                    <w:rPr>
                      <w:rFonts w:eastAsia="Arial Unicode MS"/>
                    </w:rPr>
                  </w:pPr>
                  <w:r w:rsidRPr="008C600B">
                    <w:t>217</w:t>
                  </w:r>
                </w:p>
              </w:tc>
              <w:tc>
                <w:tcPr>
                  <w:tcW w:w="867" w:type="dxa"/>
                </w:tcPr>
                <w:p w14:paraId="479E97EC" w14:textId="5C45635C" w:rsidR="00BB0690" w:rsidRDefault="00BB0690" w:rsidP="004A25CE">
                  <w:pPr>
                    <w:pStyle w:val="TableText"/>
                    <w:jc w:val="right"/>
                    <w:rPr>
                      <w:rFonts w:eastAsia="Arial Unicode MS"/>
                    </w:rPr>
                  </w:pPr>
                  <w:r w:rsidRPr="008C600B">
                    <w:t>217</w:t>
                  </w:r>
                </w:p>
              </w:tc>
              <w:tc>
                <w:tcPr>
                  <w:tcW w:w="867" w:type="dxa"/>
                </w:tcPr>
                <w:p w14:paraId="2A371665" w14:textId="75BDBD83" w:rsidR="00BB0690" w:rsidRDefault="00BB0690" w:rsidP="004A25CE">
                  <w:pPr>
                    <w:pStyle w:val="TableText"/>
                    <w:jc w:val="right"/>
                    <w:rPr>
                      <w:rFonts w:eastAsia="Arial Unicode MS"/>
                    </w:rPr>
                  </w:pPr>
                  <w:r w:rsidRPr="008C600B">
                    <w:t>215</w:t>
                  </w:r>
                </w:p>
              </w:tc>
              <w:tc>
                <w:tcPr>
                  <w:tcW w:w="867" w:type="dxa"/>
                </w:tcPr>
                <w:p w14:paraId="1E62FC7B" w14:textId="55BEF2E4" w:rsidR="00BB0690" w:rsidRDefault="00BB0690" w:rsidP="004A25CE">
                  <w:pPr>
                    <w:pStyle w:val="TableText"/>
                    <w:jc w:val="right"/>
                    <w:rPr>
                      <w:rFonts w:eastAsia="Arial Unicode MS"/>
                    </w:rPr>
                  </w:pPr>
                  <w:r w:rsidRPr="008C600B">
                    <w:t>215</w:t>
                  </w:r>
                </w:p>
              </w:tc>
              <w:tc>
                <w:tcPr>
                  <w:tcW w:w="868" w:type="dxa"/>
                </w:tcPr>
                <w:p w14:paraId="567CC1B7" w14:textId="5109B50A" w:rsidR="00BB0690" w:rsidRDefault="00BB0690" w:rsidP="004A25CE">
                  <w:pPr>
                    <w:pStyle w:val="TableText"/>
                    <w:jc w:val="right"/>
                    <w:rPr>
                      <w:rFonts w:eastAsia="Arial Unicode MS"/>
                    </w:rPr>
                  </w:pPr>
                  <w:r w:rsidRPr="008C600B">
                    <w:t>217</w:t>
                  </w:r>
                </w:p>
              </w:tc>
              <w:tc>
                <w:tcPr>
                  <w:tcW w:w="868" w:type="dxa"/>
                </w:tcPr>
                <w:p w14:paraId="0B206AD1" w14:textId="6929EA57" w:rsidR="00BB0690" w:rsidRDefault="00BB0690" w:rsidP="004A25CE">
                  <w:pPr>
                    <w:pStyle w:val="TableText"/>
                    <w:jc w:val="right"/>
                    <w:rPr>
                      <w:rFonts w:eastAsia="Arial Unicode MS"/>
                    </w:rPr>
                  </w:pPr>
                  <w:r w:rsidRPr="008C600B">
                    <w:t>227</w:t>
                  </w:r>
                </w:p>
              </w:tc>
              <w:tc>
                <w:tcPr>
                  <w:tcW w:w="868" w:type="dxa"/>
                </w:tcPr>
                <w:p w14:paraId="75AE8586" w14:textId="66BF429E" w:rsidR="00BB0690" w:rsidRDefault="00BB0690" w:rsidP="004A25CE">
                  <w:pPr>
                    <w:pStyle w:val="TableText"/>
                    <w:jc w:val="right"/>
                    <w:rPr>
                      <w:rFonts w:eastAsia="Arial Unicode MS"/>
                    </w:rPr>
                  </w:pPr>
                  <w:r w:rsidRPr="008C600B">
                    <w:t>267</w:t>
                  </w:r>
                </w:p>
              </w:tc>
              <w:tc>
                <w:tcPr>
                  <w:tcW w:w="868" w:type="dxa"/>
                </w:tcPr>
                <w:p w14:paraId="43456F53" w14:textId="022FC87D" w:rsidR="00BB0690" w:rsidRDefault="00BB0690" w:rsidP="004A25CE">
                  <w:pPr>
                    <w:pStyle w:val="TableText"/>
                    <w:jc w:val="right"/>
                    <w:rPr>
                      <w:rFonts w:eastAsia="Arial Unicode MS"/>
                    </w:rPr>
                  </w:pPr>
                  <w:r w:rsidRPr="008C600B">
                    <w:t>319</w:t>
                  </w:r>
                </w:p>
              </w:tc>
            </w:tr>
            <w:tr w:rsidR="00BB0690" w14:paraId="6D257806" w14:textId="77777777" w:rsidTr="00BB0690">
              <w:tc>
                <w:tcPr>
                  <w:tcW w:w="897" w:type="dxa"/>
                </w:tcPr>
                <w:p w14:paraId="03BDD156" w14:textId="5E8E8A9C" w:rsidR="00BB0690" w:rsidRPr="002D0AFD" w:rsidRDefault="00BB0690" w:rsidP="004A25CE">
                  <w:pPr>
                    <w:pStyle w:val="TableText"/>
                  </w:pPr>
                  <w:r w:rsidRPr="00BB0690">
                    <w:t>Total</w:t>
                  </w:r>
                </w:p>
              </w:tc>
              <w:tc>
                <w:tcPr>
                  <w:tcW w:w="883" w:type="dxa"/>
                </w:tcPr>
                <w:p w14:paraId="24147EED" w14:textId="7E2B2605" w:rsidR="00BB0690" w:rsidRPr="00030C74" w:rsidRDefault="00BB0690" w:rsidP="004A25CE">
                  <w:pPr>
                    <w:pStyle w:val="TableText"/>
                    <w:jc w:val="right"/>
                  </w:pPr>
                  <w:r w:rsidRPr="008C600B">
                    <w:t>207</w:t>
                  </w:r>
                </w:p>
              </w:tc>
              <w:tc>
                <w:tcPr>
                  <w:tcW w:w="867" w:type="dxa"/>
                </w:tcPr>
                <w:p w14:paraId="415603CB" w14:textId="585E7A04" w:rsidR="00BB0690" w:rsidRPr="00030C74" w:rsidRDefault="00BB0690" w:rsidP="004A25CE">
                  <w:pPr>
                    <w:pStyle w:val="TableText"/>
                    <w:jc w:val="right"/>
                  </w:pPr>
                  <w:r w:rsidRPr="008C600B">
                    <w:t>207</w:t>
                  </w:r>
                </w:p>
              </w:tc>
              <w:tc>
                <w:tcPr>
                  <w:tcW w:w="867" w:type="dxa"/>
                </w:tcPr>
                <w:p w14:paraId="1BDC5758" w14:textId="3B7BC119" w:rsidR="00BB0690" w:rsidRPr="00030C74" w:rsidRDefault="00BB0690" w:rsidP="004A25CE">
                  <w:pPr>
                    <w:pStyle w:val="TableText"/>
                    <w:jc w:val="right"/>
                  </w:pPr>
                  <w:r w:rsidRPr="008C600B">
                    <w:t>205</w:t>
                  </w:r>
                </w:p>
              </w:tc>
              <w:tc>
                <w:tcPr>
                  <w:tcW w:w="867" w:type="dxa"/>
                </w:tcPr>
                <w:p w14:paraId="6F0F8137" w14:textId="15ABA72A" w:rsidR="00BB0690" w:rsidRPr="00030C74" w:rsidRDefault="00BB0690" w:rsidP="004A25CE">
                  <w:pPr>
                    <w:pStyle w:val="TableText"/>
                    <w:jc w:val="right"/>
                  </w:pPr>
                  <w:r w:rsidRPr="008C600B">
                    <w:t>205</w:t>
                  </w:r>
                </w:p>
              </w:tc>
              <w:tc>
                <w:tcPr>
                  <w:tcW w:w="868" w:type="dxa"/>
                </w:tcPr>
                <w:p w14:paraId="40DD084D" w14:textId="7538A9E1" w:rsidR="00BB0690" w:rsidRPr="00030C74" w:rsidRDefault="00BB0690" w:rsidP="004A25CE">
                  <w:pPr>
                    <w:pStyle w:val="TableText"/>
                    <w:jc w:val="right"/>
                  </w:pPr>
                  <w:r w:rsidRPr="008C600B">
                    <w:t>207</w:t>
                  </w:r>
                </w:p>
              </w:tc>
              <w:tc>
                <w:tcPr>
                  <w:tcW w:w="868" w:type="dxa"/>
                </w:tcPr>
                <w:p w14:paraId="7A944C68" w14:textId="19DA22B6" w:rsidR="00BB0690" w:rsidRPr="00030C74" w:rsidRDefault="00BB0690" w:rsidP="004A25CE">
                  <w:pPr>
                    <w:pStyle w:val="TableText"/>
                    <w:jc w:val="right"/>
                  </w:pPr>
                  <w:r w:rsidRPr="008C600B">
                    <w:t>215</w:t>
                  </w:r>
                </w:p>
              </w:tc>
              <w:tc>
                <w:tcPr>
                  <w:tcW w:w="868" w:type="dxa"/>
                </w:tcPr>
                <w:p w14:paraId="26443B34" w14:textId="60727143" w:rsidR="00BB0690" w:rsidRPr="00030C74" w:rsidRDefault="00BB0690" w:rsidP="004A25CE">
                  <w:pPr>
                    <w:pStyle w:val="TableText"/>
                    <w:jc w:val="right"/>
                  </w:pPr>
                  <w:r w:rsidRPr="008C600B">
                    <w:t>244</w:t>
                  </w:r>
                </w:p>
              </w:tc>
              <w:tc>
                <w:tcPr>
                  <w:tcW w:w="868" w:type="dxa"/>
                </w:tcPr>
                <w:p w14:paraId="229FF277" w14:textId="21700CAE" w:rsidR="00BB0690" w:rsidRPr="00030C74" w:rsidRDefault="00BB0690" w:rsidP="004A25CE">
                  <w:pPr>
                    <w:pStyle w:val="TableText"/>
                    <w:jc w:val="right"/>
                  </w:pPr>
                  <w:r w:rsidRPr="008C600B">
                    <w:t>286</w:t>
                  </w:r>
                </w:p>
              </w:tc>
            </w:tr>
          </w:tbl>
          <w:p w14:paraId="17D2636B" w14:textId="77777777" w:rsidR="00BB0690" w:rsidRPr="00E1477E" w:rsidRDefault="00BB0690" w:rsidP="004A25CE">
            <w:pPr>
              <w:keepNext/>
              <w:spacing w:before="60" w:after="60"/>
              <w:rPr>
                <w:rFonts w:eastAsia="Arial Unicode MS"/>
              </w:rPr>
            </w:pPr>
          </w:p>
        </w:tc>
      </w:tr>
    </w:tbl>
    <w:p w14:paraId="3D807AD3" w14:textId="77777777" w:rsidR="004A25CE" w:rsidRDefault="004A25CE" w:rsidP="00BB0690">
      <w:pPr>
        <w:pStyle w:val="Heading5"/>
        <w:sectPr w:rsidR="004A25CE" w:rsidSect="00C26282">
          <w:pgSz w:w="11907" w:h="16840" w:code="9"/>
          <w:pgMar w:top="1418" w:right="1701" w:bottom="1134" w:left="1843" w:header="284" w:footer="425" w:gutter="284"/>
          <w:cols w:space="720"/>
        </w:sectPr>
      </w:pPr>
    </w:p>
    <w:p w14:paraId="415A0721" w14:textId="04B56215" w:rsidR="00BB0690" w:rsidRDefault="00BB0690" w:rsidP="007924C7">
      <w:pPr>
        <w:pStyle w:val="Heading5"/>
        <w:spacing w:before="0"/>
      </w:pPr>
      <w:r w:rsidRPr="00BB0690">
        <w:lastRenderedPageBreak/>
        <w:t>Life expectancy by health spending per capita compares well within the OECD</w:t>
      </w:r>
    </w:p>
    <w:tbl>
      <w:tblPr>
        <w:tblStyle w:val="TableGrid"/>
        <w:tblW w:w="0" w:type="auto"/>
        <w:tblLook w:val="04A0" w:firstRow="1" w:lastRow="0" w:firstColumn="1" w:lastColumn="0" w:noHBand="0" w:noVBand="1"/>
      </w:tblPr>
      <w:tblGrid>
        <w:gridCol w:w="8079"/>
      </w:tblGrid>
      <w:tr w:rsidR="00BB0690" w14:paraId="77AF7BD9" w14:textId="77777777" w:rsidTr="0066594A">
        <w:tc>
          <w:tcPr>
            <w:tcW w:w="8069" w:type="dxa"/>
            <w:tcBorders>
              <w:top w:val="single" w:sz="4" w:space="0" w:color="A6A6A6" w:themeColor="background1" w:themeShade="A6"/>
              <w:left w:val="nil"/>
              <w:bottom w:val="single" w:sz="4" w:space="0" w:color="A6A6A6" w:themeColor="background1" w:themeShade="A6"/>
              <w:right w:val="nil"/>
            </w:tcBorders>
          </w:tcPr>
          <w:p w14:paraId="0A35C0AE" w14:textId="77777777" w:rsidR="00BB0690" w:rsidRPr="00E1477E" w:rsidRDefault="00BB0690" w:rsidP="004A25CE">
            <w:pPr>
              <w:spacing w:before="60" w:after="60"/>
              <w:rPr>
                <w:rFonts w:eastAsia="Arial Unicode MS"/>
                <w:b/>
                <w:bCs/>
              </w:rPr>
            </w:pPr>
            <w:r w:rsidRPr="00E1477E">
              <w:rPr>
                <w:rFonts w:eastAsia="Arial Unicode MS"/>
                <w:b/>
                <w:bCs/>
              </w:rPr>
              <w:t>Measure</w:t>
            </w:r>
          </w:p>
          <w:p w14:paraId="2EC28686" w14:textId="63FD46E0" w:rsidR="00BB0690" w:rsidRDefault="00BB0690" w:rsidP="004A25CE">
            <w:pPr>
              <w:spacing w:before="60" w:after="60"/>
              <w:rPr>
                <w:rFonts w:eastAsia="Arial Unicode MS"/>
              </w:rPr>
            </w:pPr>
            <w:r w:rsidRPr="00BB0690">
              <w:rPr>
                <w:rFonts w:eastAsia="Arial Unicode MS"/>
              </w:rPr>
              <w:t>New Zealand maintains its position within the Organisation for Economic Co-operation and Development (OECD), balancing relatively high life expectancy outcomes with relatively modest health expenditure.</w:t>
            </w:r>
          </w:p>
        </w:tc>
      </w:tr>
      <w:tr w:rsidR="00BB0690" w14:paraId="7E8F5988" w14:textId="77777777" w:rsidTr="0066594A">
        <w:tc>
          <w:tcPr>
            <w:tcW w:w="8069" w:type="dxa"/>
            <w:tcBorders>
              <w:top w:val="single" w:sz="4" w:space="0" w:color="A6A6A6" w:themeColor="background1" w:themeShade="A6"/>
              <w:left w:val="nil"/>
              <w:bottom w:val="single" w:sz="4" w:space="0" w:color="A6A6A6" w:themeColor="background1" w:themeShade="A6"/>
              <w:right w:val="nil"/>
            </w:tcBorders>
          </w:tcPr>
          <w:p w14:paraId="222F2460" w14:textId="77777777" w:rsidR="00BB0690" w:rsidRPr="00E1477E" w:rsidRDefault="00BB0690" w:rsidP="004A25CE">
            <w:pPr>
              <w:spacing w:before="60" w:after="60"/>
              <w:rPr>
                <w:rFonts w:eastAsia="Arial Unicode MS"/>
                <w:b/>
                <w:bCs/>
              </w:rPr>
            </w:pPr>
            <w:r w:rsidRPr="00E1477E">
              <w:rPr>
                <w:rFonts w:eastAsia="Arial Unicode MS"/>
                <w:b/>
                <w:bCs/>
              </w:rPr>
              <w:t>Target</w:t>
            </w:r>
          </w:p>
          <w:p w14:paraId="05934A20" w14:textId="18E13FF5" w:rsidR="00BB0690" w:rsidRPr="00E1477E" w:rsidRDefault="00BB0690" w:rsidP="004A25CE">
            <w:pPr>
              <w:spacing w:before="60" w:after="60"/>
              <w:rPr>
                <w:rFonts w:eastAsia="Arial Unicode MS"/>
              </w:rPr>
            </w:pPr>
            <w:r w:rsidRPr="00BB0690">
              <w:rPr>
                <w:rFonts w:eastAsia="Arial Unicode MS"/>
              </w:rPr>
              <w:t>Maintain OECD position</w:t>
            </w:r>
          </w:p>
        </w:tc>
      </w:tr>
      <w:tr w:rsidR="00BB0690" w14:paraId="462BAC80" w14:textId="77777777" w:rsidTr="0066594A">
        <w:tc>
          <w:tcPr>
            <w:tcW w:w="8069" w:type="dxa"/>
            <w:tcBorders>
              <w:top w:val="single" w:sz="4" w:space="0" w:color="A6A6A6" w:themeColor="background1" w:themeShade="A6"/>
              <w:left w:val="nil"/>
              <w:bottom w:val="single" w:sz="4" w:space="0" w:color="A6A6A6" w:themeColor="background1" w:themeShade="A6"/>
              <w:right w:val="nil"/>
            </w:tcBorders>
          </w:tcPr>
          <w:p w14:paraId="5C6AA12D" w14:textId="77777777" w:rsidR="00BB0690" w:rsidRPr="00E1477E" w:rsidRDefault="00BB0690" w:rsidP="004A25CE">
            <w:pPr>
              <w:spacing w:before="60" w:after="60"/>
              <w:rPr>
                <w:rFonts w:eastAsia="Arial Unicode MS"/>
                <w:b/>
                <w:bCs/>
              </w:rPr>
            </w:pPr>
            <w:r w:rsidRPr="00E1477E">
              <w:rPr>
                <w:rFonts w:eastAsia="Arial Unicode MS"/>
                <w:b/>
                <w:bCs/>
              </w:rPr>
              <w:t>Result</w:t>
            </w:r>
          </w:p>
          <w:p w14:paraId="01B63569" w14:textId="36CF9BFC" w:rsidR="00BB0690" w:rsidRPr="00E1477E" w:rsidRDefault="00BB0690" w:rsidP="004A25CE">
            <w:pPr>
              <w:spacing w:before="60" w:after="60"/>
              <w:rPr>
                <w:rFonts w:eastAsia="Arial Unicode MS"/>
              </w:rPr>
            </w:pPr>
            <w:r w:rsidRPr="00BB0690">
              <w:rPr>
                <w:rFonts w:eastAsia="Arial Unicode MS"/>
              </w:rPr>
              <w:t>New Zealand has improved its position within the OECD as having relatively high life expectancy for relatively modest expenditure on health. New Zealand performs well internationally with the 11th equal-highest life expectancy out of 37 OECD countries while expenditure was only 19th highest of 38 in 2020. New Zealand’s improved life expectancy position reflects that many OECD countries saw reductions in life expectancy due to the COVID-19 pandemic. In contrast, New Zealand saw an increase in life expectancy, due in part to our COVID-19 response.</w:t>
            </w:r>
          </w:p>
        </w:tc>
      </w:tr>
      <w:tr w:rsidR="00BB0690" w14:paraId="466A7E44" w14:textId="77777777" w:rsidTr="0066594A">
        <w:tc>
          <w:tcPr>
            <w:tcW w:w="8069" w:type="dxa"/>
            <w:tcBorders>
              <w:top w:val="single" w:sz="4" w:space="0" w:color="A6A6A6" w:themeColor="background1" w:themeShade="A6"/>
              <w:left w:val="nil"/>
              <w:bottom w:val="nil"/>
              <w:right w:val="nil"/>
            </w:tcBorders>
          </w:tcPr>
          <w:p w14:paraId="14857C8D" w14:textId="16BF4189" w:rsidR="00BB0690" w:rsidRPr="00E1477E" w:rsidRDefault="00BB0690" w:rsidP="004A25CE">
            <w:pPr>
              <w:keepNext/>
              <w:spacing w:before="60" w:after="60"/>
              <w:rPr>
                <w:rFonts w:eastAsia="Arial Unicode MS"/>
                <w:b/>
                <w:bCs/>
              </w:rPr>
            </w:pPr>
            <w:r w:rsidRPr="00BB0690">
              <w:rPr>
                <w:rFonts w:eastAsia="Arial Unicode MS"/>
                <w:b/>
                <w:bCs/>
              </w:rPr>
              <w:t>OECD life expectancy and health expenditure – position out of OECD countries</w:t>
            </w:r>
            <w:r>
              <w:rPr>
                <w:rStyle w:val="FootnoteReference"/>
                <w:rFonts w:eastAsia="Arial Unicode MS"/>
                <w:b/>
                <w:bCs/>
              </w:rPr>
              <w:footnoteReference w:id="56"/>
            </w:r>
          </w:p>
          <w:tbl>
            <w:tblPr>
              <w:tblStyle w:val="TableGrid"/>
              <w:tblW w:w="7968"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880"/>
              <w:gridCol w:w="883"/>
              <w:gridCol w:w="867"/>
              <w:gridCol w:w="867"/>
              <w:gridCol w:w="867"/>
              <w:gridCol w:w="868"/>
              <w:gridCol w:w="868"/>
              <w:gridCol w:w="868"/>
            </w:tblGrid>
            <w:tr w:rsidR="00BB0690" w14:paraId="5C6CF493" w14:textId="77777777" w:rsidTr="00BB0690">
              <w:tc>
                <w:tcPr>
                  <w:tcW w:w="1880" w:type="dxa"/>
                </w:tcPr>
                <w:p w14:paraId="6007F3BB" w14:textId="77777777" w:rsidR="00BB0690" w:rsidRPr="00E1477E" w:rsidRDefault="00BB0690" w:rsidP="004A25CE">
                  <w:pPr>
                    <w:pStyle w:val="TableText"/>
                    <w:rPr>
                      <w:rFonts w:eastAsia="Arial Unicode MS"/>
                      <w:b/>
                      <w:bCs/>
                    </w:rPr>
                  </w:pPr>
                </w:p>
              </w:tc>
              <w:tc>
                <w:tcPr>
                  <w:tcW w:w="883" w:type="dxa"/>
                </w:tcPr>
                <w:p w14:paraId="2C1E23DA" w14:textId="72141674" w:rsidR="00BB0690" w:rsidRPr="00F4468D" w:rsidRDefault="00BB0690" w:rsidP="004A25CE">
                  <w:pPr>
                    <w:pStyle w:val="TableText"/>
                    <w:jc w:val="right"/>
                    <w:rPr>
                      <w:rFonts w:eastAsia="Arial Unicode MS"/>
                      <w:b/>
                      <w:bCs/>
                    </w:rPr>
                  </w:pPr>
                  <w:r w:rsidRPr="00F4468D">
                    <w:rPr>
                      <w:b/>
                      <w:bCs/>
                    </w:rPr>
                    <w:t>2020</w:t>
                  </w:r>
                </w:p>
              </w:tc>
              <w:tc>
                <w:tcPr>
                  <w:tcW w:w="867" w:type="dxa"/>
                </w:tcPr>
                <w:p w14:paraId="1B5230A6" w14:textId="07AE4EE4" w:rsidR="00BB0690" w:rsidRPr="00F4468D" w:rsidRDefault="00BB0690" w:rsidP="004A25CE">
                  <w:pPr>
                    <w:pStyle w:val="TableText"/>
                    <w:jc w:val="right"/>
                    <w:rPr>
                      <w:rFonts w:eastAsia="Arial Unicode MS"/>
                      <w:b/>
                      <w:bCs/>
                    </w:rPr>
                  </w:pPr>
                  <w:r w:rsidRPr="00F4468D">
                    <w:rPr>
                      <w:b/>
                      <w:bCs/>
                    </w:rPr>
                    <w:t>2019</w:t>
                  </w:r>
                </w:p>
              </w:tc>
              <w:tc>
                <w:tcPr>
                  <w:tcW w:w="867" w:type="dxa"/>
                </w:tcPr>
                <w:p w14:paraId="3B210A99" w14:textId="451536DA" w:rsidR="00BB0690" w:rsidRPr="00F4468D" w:rsidRDefault="00BB0690" w:rsidP="004A25CE">
                  <w:pPr>
                    <w:pStyle w:val="TableText"/>
                    <w:jc w:val="right"/>
                    <w:rPr>
                      <w:rFonts w:eastAsia="Arial Unicode MS"/>
                      <w:b/>
                      <w:bCs/>
                    </w:rPr>
                  </w:pPr>
                  <w:r w:rsidRPr="00F4468D">
                    <w:rPr>
                      <w:b/>
                      <w:bCs/>
                    </w:rPr>
                    <w:t>2018</w:t>
                  </w:r>
                </w:p>
              </w:tc>
              <w:tc>
                <w:tcPr>
                  <w:tcW w:w="867" w:type="dxa"/>
                </w:tcPr>
                <w:p w14:paraId="7DA0758E" w14:textId="59E6219C" w:rsidR="00BB0690" w:rsidRPr="00F4468D" w:rsidRDefault="00BB0690" w:rsidP="004A25CE">
                  <w:pPr>
                    <w:pStyle w:val="TableText"/>
                    <w:jc w:val="right"/>
                    <w:rPr>
                      <w:rFonts w:eastAsia="Arial Unicode MS"/>
                      <w:b/>
                      <w:bCs/>
                    </w:rPr>
                  </w:pPr>
                  <w:r w:rsidRPr="00F4468D">
                    <w:rPr>
                      <w:b/>
                      <w:bCs/>
                    </w:rPr>
                    <w:t>2017</w:t>
                  </w:r>
                </w:p>
              </w:tc>
              <w:tc>
                <w:tcPr>
                  <w:tcW w:w="868" w:type="dxa"/>
                </w:tcPr>
                <w:p w14:paraId="0FCAD0F5" w14:textId="6CA44465" w:rsidR="00BB0690" w:rsidRPr="00F4468D" w:rsidRDefault="00BB0690" w:rsidP="004A25CE">
                  <w:pPr>
                    <w:pStyle w:val="TableText"/>
                    <w:jc w:val="right"/>
                    <w:rPr>
                      <w:rFonts w:eastAsia="Arial Unicode MS"/>
                      <w:b/>
                      <w:bCs/>
                    </w:rPr>
                  </w:pPr>
                  <w:r w:rsidRPr="00F4468D">
                    <w:rPr>
                      <w:b/>
                      <w:bCs/>
                    </w:rPr>
                    <w:t>2015</w:t>
                  </w:r>
                </w:p>
              </w:tc>
              <w:tc>
                <w:tcPr>
                  <w:tcW w:w="868" w:type="dxa"/>
                </w:tcPr>
                <w:p w14:paraId="72BF10F5" w14:textId="74E0D804" w:rsidR="00BB0690" w:rsidRPr="00F4468D" w:rsidRDefault="00BB0690" w:rsidP="004A25CE">
                  <w:pPr>
                    <w:pStyle w:val="TableText"/>
                    <w:jc w:val="right"/>
                    <w:rPr>
                      <w:rFonts w:eastAsia="Arial Unicode MS"/>
                      <w:b/>
                      <w:bCs/>
                    </w:rPr>
                  </w:pPr>
                  <w:r w:rsidRPr="00F4468D">
                    <w:rPr>
                      <w:b/>
                      <w:bCs/>
                    </w:rPr>
                    <w:t>2010</w:t>
                  </w:r>
                </w:p>
              </w:tc>
              <w:tc>
                <w:tcPr>
                  <w:tcW w:w="868" w:type="dxa"/>
                </w:tcPr>
                <w:p w14:paraId="26FA6B8F" w14:textId="70CBFF12" w:rsidR="00BB0690" w:rsidRPr="00F4468D" w:rsidRDefault="00BB0690" w:rsidP="004A25CE">
                  <w:pPr>
                    <w:pStyle w:val="TableText"/>
                    <w:jc w:val="right"/>
                    <w:rPr>
                      <w:rFonts w:eastAsia="Arial Unicode MS"/>
                      <w:b/>
                      <w:bCs/>
                    </w:rPr>
                  </w:pPr>
                  <w:r w:rsidRPr="00F4468D">
                    <w:rPr>
                      <w:b/>
                      <w:bCs/>
                    </w:rPr>
                    <w:t>2005</w:t>
                  </w:r>
                </w:p>
              </w:tc>
            </w:tr>
            <w:tr w:rsidR="00BB0690" w14:paraId="5AD5476C" w14:textId="77777777" w:rsidTr="00BB0690">
              <w:tc>
                <w:tcPr>
                  <w:tcW w:w="1880" w:type="dxa"/>
                </w:tcPr>
                <w:p w14:paraId="5AEF80BF" w14:textId="5D054BD9" w:rsidR="00BB0690" w:rsidRDefault="00BB0690" w:rsidP="004A25CE">
                  <w:pPr>
                    <w:pStyle w:val="TableText"/>
                    <w:rPr>
                      <w:rFonts w:eastAsia="Arial Unicode MS"/>
                    </w:rPr>
                  </w:pPr>
                  <w:r w:rsidRPr="00820677">
                    <w:t>Life expectancy</w:t>
                  </w:r>
                </w:p>
              </w:tc>
              <w:tc>
                <w:tcPr>
                  <w:tcW w:w="883" w:type="dxa"/>
                </w:tcPr>
                <w:p w14:paraId="312AF4F5" w14:textId="2B50CEFC" w:rsidR="00BB0690" w:rsidRDefault="00BB0690" w:rsidP="004A25CE">
                  <w:pPr>
                    <w:pStyle w:val="TableText"/>
                    <w:jc w:val="right"/>
                    <w:rPr>
                      <w:rFonts w:eastAsia="Arial Unicode MS"/>
                    </w:rPr>
                  </w:pPr>
                  <w:r>
                    <w:t>11th equal of 37</w:t>
                  </w:r>
                </w:p>
              </w:tc>
              <w:tc>
                <w:tcPr>
                  <w:tcW w:w="867" w:type="dxa"/>
                </w:tcPr>
                <w:p w14:paraId="58041F1D" w14:textId="59C22C40" w:rsidR="00BB0690" w:rsidRDefault="00BB0690" w:rsidP="004A25CE">
                  <w:pPr>
                    <w:pStyle w:val="TableText"/>
                    <w:jc w:val="right"/>
                    <w:rPr>
                      <w:rFonts w:eastAsia="Arial Unicode MS"/>
                    </w:rPr>
                  </w:pPr>
                  <w:r w:rsidRPr="00BB0690">
                    <w:rPr>
                      <w:rFonts w:eastAsia="Arial Unicode MS"/>
                    </w:rPr>
                    <w:t>16th equal of</w:t>
                  </w:r>
                  <w:r>
                    <w:rPr>
                      <w:rFonts w:eastAsia="Arial Unicode MS"/>
                    </w:rPr>
                    <w:t xml:space="preserve"> </w:t>
                  </w:r>
                  <w:r w:rsidRPr="00BB0690">
                    <w:rPr>
                      <w:rFonts w:eastAsia="Arial Unicode MS"/>
                    </w:rPr>
                    <w:t>38</w:t>
                  </w:r>
                </w:p>
              </w:tc>
              <w:tc>
                <w:tcPr>
                  <w:tcW w:w="867" w:type="dxa"/>
                </w:tcPr>
                <w:p w14:paraId="312A79A5" w14:textId="724F1619" w:rsidR="00BB0690" w:rsidRDefault="00BB0690" w:rsidP="004A25CE">
                  <w:pPr>
                    <w:pStyle w:val="TableText"/>
                    <w:jc w:val="right"/>
                    <w:rPr>
                      <w:rFonts w:eastAsia="Arial Unicode MS"/>
                    </w:rPr>
                  </w:pPr>
                  <w:r w:rsidRPr="00BB0690">
                    <w:rPr>
                      <w:rFonts w:eastAsia="Arial Unicode MS"/>
                    </w:rPr>
                    <w:t>19th equal of</w:t>
                  </w:r>
                  <w:r>
                    <w:rPr>
                      <w:rFonts w:eastAsia="Arial Unicode MS"/>
                    </w:rPr>
                    <w:t xml:space="preserve"> </w:t>
                  </w:r>
                  <w:r w:rsidRPr="00BB0690">
                    <w:rPr>
                      <w:rFonts w:eastAsia="Arial Unicode MS"/>
                    </w:rPr>
                    <w:t>38</w:t>
                  </w:r>
                </w:p>
              </w:tc>
              <w:tc>
                <w:tcPr>
                  <w:tcW w:w="867" w:type="dxa"/>
                </w:tcPr>
                <w:p w14:paraId="45898E2D" w14:textId="77E0A23B" w:rsidR="00BB0690" w:rsidRDefault="00BB0690" w:rsidP="004A25CE">
                  <w:pPr>
                    <w:pStyle w:val="TableText"/>
                    <w:jc w:val="right"/>
                    <w:rPr>
                      <w:rFonts w:eastAsia="Arial Unicode MS"/>
                    </w:rPr>
                  </w:pPr>
                  <w:r w:rsidRPr="00BB0690">
                    <w:rPr>
                      <w:rFonts w:eastAsia="Arial Unicode MS"/>
                    </w:rPr>
                    <w:t>14th equal of</w:t>
                  </w:r>
                  <w:r>
                    <w:rPr>
                      <w:rFonts w:eastAsia="Arial Unicode MS"/>
                    </w:rPr>
                    <w:t xml:space="preserve"> </w:t>
                  </w:r>
                  <w:r w:rsidRPr="00BB0690">
                    <w:rPr>
                      <w:rFonts w:eastAsia="Arial Unicode MS"/>
                    </w:rPr>
                    <w:t>38</w:t>
                  </w:r>
                </w:p>
              </w:tc>
              <w:tc>
                <w:tcPr>
                  <w:tcW w:w="868" w:type="dxa"/>
                </w:tcPr>
                <w:p w14:paraId="49202904" w14:textId="01515612" w:rsidR="00BB0690" w:rsidRDefault="00BB0690" w:rsidP="004A25CE">
                  <w:pPr>
                    <w:pStyle w:val="TableText"/>
                    <w:jc w:val="right"/>
                    <w:rPr>
                      <w:rFonts w:eastAsia="Arial Unicode MS"/>
                    </w:rPr>
                  </w:pPr>
                  <w:r w:rsidRPr="00BB0690">
                    <w:rPr>
                      <w:rFonts w:eastAsia="Arial Unicode MS"/>
                    </w:rPr>
                    <w:t>14th of</w:t>
                  </w:r>
                  <w:r>
                    <w:rPr>
                      <w:rFonts w:eastAsia="Arial Unicode MS"/>
                    </w:rPr>
                    <w:t xml:space="preserve"> </w:t>
                  </w:r>
                  <w:r w:rsidRPr="00BB0690">
                    <w:rPr>
                      <w:rFonts w:eastAsia="Arial Unicode MS"/>
                    </w:rPr>
                    <w:t>38</w:t>
                  </w:r>
                </w:p>
              </w:tc>
              <w:tc>
                <w:tcPr>
                  <w:tcW w:w="868" w:type="dxa"/>
                </w:tcPr>
                <w:p w14:paraId="71D26208" w14:textId="79AAED89" w:rsidR="00BB0690" w:rsidRDefault="00BB0690" w:rsidP="004A25CE">
                  <w:pPr>
                    <w:pStyle w:val="TableText"/>
                    <w:jc w:val="right"/>
                    <w:rPr>
                      <w:rFonts w:eastAsia="Arial Unicode MS"/>
                    </w:rPr>
                  </w:pPr>
                  <w:r w:rsidRPr="00BB0690">
                    <w:rPr>
                      <w:rFonts w:eastAsia="Arial Unicode MS"/>
                    </w:rPr>
                    <w:t>13th equal of</w:t>
                  </w:r>
                  <w:r>
                    <w:rPr>
                      <w:rFonts w:eastAsia="Arial Unicode MS"/>
                    </w:rPr>
                    <w:t xml:space="preserve"> </w:t>
                  </w:r>
                  <w:r w:rsidRPr="00BB0690">
                    <w:rPr>
                      <w:rFonts w:eastAsia="Arial Unicode MS"/>
                    </w:rPr>
                    <w:t>38</w:t>
                  </w:r>
                </w:p>
              </w:tc>
              <w:tc>
                <w:tcPr>
                  <w:tcW w:w="868" w:type="dxa"/>
                </w:tcPr>
                <w:p w14:paraId="2F07B61B" w14:textId="7C89F5C5" w:rsidR="00BB0690" w:rsidRDefault="00BB0690" w:rsidP="004A25CE">
                  <w:pPr>
                    <w:pStyle w:val="TableText"/>
                    <w:jc w:val="right"/>
                    <w:rPr>
                      <w:rFonts w:eastAsia="Arial Unicode MS"/>
                    </w:rPr>
                  </w:pPr>
                  <w:r w:rsidRPr="002D5F2A">
                    <w:t>12th of</w:t>
                  </w:r>
                  <w:r>
                    <w:t xml:space="preserve"> 38</w:t>
                  </w:r>
                </w:p>
              </w:tc>
            </w:tr>
            <w:tr w:rsidR="00BB0690" w14:paraId="16FF1C27" w14:textId="77777777" w:rsidTr="00BB0690">
              <w:tc>
                <w:tcPr>
                  <w:tcW w:w="1880" w:type="dxa"/>
                </w:tcPr>
                <w:p w14:paraId="4321EEE6" w14:textId="07C1CCFD" w:rsidR="00BB0690" w:rsidRDefault="00BB0690" w:rsidP="004A25CE">
                  <w:pPr>
                    <w:pStyle w:val="TableText"/>
                    <w:rPr>
                      <w:rFonts w:eastAsia="Arial Unicode MS"/>
                    </w:rPr>
                  </w:pPr>
                  <w:r w:rsidRPr="00BB0690">
                    <w:t>Health expenditure</w:t>
                  </w:r>
                </w:p>
              </w:tc>
              <w:tc>
                <w:tcPr>
                  <w:tcW w:w="883" w:type="dxa"/>
                </w:tcPr>
                <w:p w14:paraId="07D6C047" w14:textId="62BE2B0E" w:rsidR="00BB0690" w:rsidRDefault="00BB0690" w:rsidP="004A25CE">
                  <w:pPr>
                    <w:pStyle w:val="TableText"/>
                    <w:jc w:val="right"/>
                    <w:rPr>
                      <w:rFonts w:eastAsia="Arial Unicode MS"/>
                    </w:rPr>
                  </w:pPr>
                  <w:r w:rsidRPr="006C33A3">
                    <w:t>19th of</w:t>
                  </w:r>
                  <w:r>
                    <w:t xml:space="preserve"> 38</w:t>
                  </w:r>
                </w:p>
              </w:tc>
              <w:tc>
                <w:tcPr>
                  <w:tcW w:w="867" w:type="dxa"/>
                </w:tcPr>
                <w:p w14:paraId="549B2BA6" w14:textId="79BE6783" w:rsidR="00BB0690" w:rsidRDefault="00BB0690" w:rsidP="004A25CE">
                  <w:pPr>
                    <w:pStyle w:val="TableText"/>
                    <w:jc w:val="right"/>
                    <w:rPr>
                      <w:rFonts w:eastAsia="Arial Unicode MS"/>
                    </w:rPr>
                  </w:pPr>
                  <w:r w:rsidRPr="006C33A3">
                    <w:t>19th of</w:t>
                  </w:r>
                  <w:r>
                    <w:t xml:space="preserve"> 38</w:t>
                  </w:r>
                </w:p>
              </w:tc>
              <w:tc>
                <w:tcPr>
                  <w:tcW w:w="867" w:type="dxa"/>
                </w:tcPr>
                <w:p w14:paraId="5FE6608F" w14:textId="4F10FDF2" w:rsidR="00BB0690" w:rsidRDefault="00BB0690" w:rsidP="004A25CE">
                  <w:pPr>
                    <w:pStyle w:val="TableText"/>
                    <w:jc w:val="right"/>
                    <w:rPr>
                      <w:rFonts w:eastAsia="Arial Unicode MS"/>
                    </w:rPr>
                  </w:pPr>
                  <w:r w:rsidRPr="006C33A3">
                    <w:t>19th of</w:t>
                  </w:r>
                  <w:r>
                    <w:t xml:space="preserve"> 38</w:t>
                  </w:r>
                </w:p>
              </w:tc>
              <w:tc>
                <w:tcPr>
                  <w:tcW w:w="867" w:type="dxa"/>
                </w:tcPr>
                <w:p w14:paraId="24134550" w14:textId="59EAFD16" w:rsidR="00BB0690" w:rsidRDefault="00BB0690" w:rsidP="004A25CE">
                  <w:pPr>
                    <w:pStyle w:val="TableText"/>
                    <w:jc w:val="right"/>
                    <w:rPr>
                      <w:rFonts w:eastAsia="Arial Unicode MS"/>
                    </w:rPr>
                  </w:pPr>
                  <w:r w:rsidRPr="006C33A3">
                    <w:t>19th of</w:t>
                  </w:r>
                  <w:r>
                    <w:t xml:space="preserve"> 38</w:t>
                  </w:r>
                </w:p>
              </w:tc>
              <w:tc>
                <w:tcPr>
                  <w:tcW w:w="868" w:type="dxa"/>
                </w:tcPr>
                <w:p w14:paraId="1256CF1A" w14:textId="30DCFB84" w:rsidR="00BB0690" w:rsidRDefault="00BB0690" w:rsidP="004A25CE">
                  <w:pPr>
                    <w:pStyle w:val="TableText"/>
                    <w:jc w:val="right"/>
                    <w:rPr>
                      <w:rFonts w:eastAsia="Arial Unicode MS"/>
                    </w:rPr>
                  </w:pPr>
                  <w:r w:rsidRPr="006C33A3">
                    <w:t>19th of</w:t>
                  </w:r>
                  <w:r>
                    <w:t xml:space="preserve"> 38</w:t>
                  </w:r>
                </w:p>
              </w:tc>
              <w:tc>
                <w:tcPr>
                  <w:tcW w:w="868" w:type="dxa"/>
                </w:tcPr>
                <w:p w14:paraId="2753E566" w14:textId="642C2F96" w:rsidR="00BB0690" w:rsidRDefault="00BB0690" w:rsidP="004A25CE">
                  <w:pPr>
                    <w:pStyle w:val="TableText"/>
                    <w:jc w:val="right"/>
                    <w:rPr>
                      <w:rFonts w:eastAsia="Arial Unicode MS"/>
                    </w:rPr>
                  </w:pPr>
                  <w:r>
                    <w:t>20</w:t>
                  </w:r>
                  <w:r w:rsidRPr="006C33A3">
                    <w:t>th of</w:t>
                  </w:r>
                  <w:r>
                    <w:t xml:space="preserve"> 36</w:t>
                  </w:r>
                </w:p>
              </w:tc>
              <w:tc>
                <w:tcPr>
                  <w:tcW w:w="868" w:type="dxa"/>
                </w:tcPr>
                <w:p w14:paraId="5894426F" w14:textId="33FAA9F0" w:rsidR="00BB0690" w:rsidRDefault="00BB0690" w:rsidP="004A25CE">
                  <w:pPr>
                    <w:pStyle w:val="TableText"/>
                    <w:jc w:val="right"/>
                    <w:rPr>
                      <w:rFonts w:eastAsia="Arial Unicode MS"/>
                    </w:rPr>
                  </w:pPr>
                  <w:r>
                    <w:t>21</w:t>
                  </w:r>
                  <w:r w:rsidRPr="00BB0690">
                    <w:rPr>
                      <w:vertAlign w:val="superscript"/>
                    </w:rPr>
                    <w:t>st</w:t>
                  </w:r>
                  <w:r>
                    <w:t xml:space="preserve"> </w:t>
                  </w:r>
                  <w:r w:rsidR="00F11A3D">
                    <w:br/>
                  </w:r>
                  <w:r>
                    <w:t>of 36</w:t>
                  </w:r>
                </w:p>
              </w:tc>
            </w:tr>
          </w:tbl>
          <w:p w14:paraId="1BF2A32C" w14:textId="77777777" w:rsidR="00BB0690" w:rsidRPr="00E1477E" w:rsidRDefault="00BB0690" w:rsidP="004A25CE">
            <w:pPr>
              <w:keepNext/>
              <w:spacing w:before="60" w:after="60"/>
              <w:rPr>
                <w:rFonts w:eastAsia="Arial Unicode MS"/>
              </w:rPr>
            </w:pPr>
          </w:p>
        </w:tc>
      </w:tr>
    </w:tbl>
    <w:p w14:paraId="5FC38C1E" w14:textId="77777777" w:rsidR="00BB0690" w:rsidRPr="00BB0690" w:rsidRDefault="00BB0690" w:rsidP="00BB0690">
      <w:pPr>
        <w:rPr>
          <w:rFonts w:eastAsia="Arial Unicode MS"/>
        </w:rPr>
      </w:pPr>
    </w:p>
    <w:p w14:paraId="16660042" w14:textId="77777777" w:rsidR="00BB0690" w:rsidRDefault="00BB0690" w:rsidP="00BB0690">
      <w:pPr>
        <w:rPr>
          <w:rFonts w:eastAsia="Arial Unicode MS"/>
        </w:rPr>
      </w:pPr>
    </w:p>
    <w:p w14:paraId="743AFF67" w14:textId="77777777" w:rsidR="00D82FFA" w:rsidRDefault="00D82FFA" w:rsidP="00BB0690">
      <w:pPr>
        <w:rPr>
          <w:rFonts w:eastAsia="Arial Unicode MS"/>
        </w:rPr>
        <w:sectPr w:rsidR="00D82FFA" w:rsidSect="00C26282">
          <w:pgSz w:w="11907" w:h="16840" w:code="9"/>
          <w:pgMar w:top="1418" w:right="1701" w:bottom="1134" w:left="1843" w:header="284" w:footer="425" w:gutter="284"/>
          <w:cols w:space="720"/>
        </w:sectPr>
      </w:pPr>
    </w:p>
    <w:p w14:paraId="0B955B4A" w14:textId="6C491CE4" w:rsidR="00D82FFA" w:rsidRPr="00D82FFA" w:rsidRDefault="00D82FFA" w:rsidP="00D82FFA">
      <w:pPr>
        <w:pStyle w:val="Heading2"/>
        <w:spacing w:before="0"/>
        <w:rPr>
          <w:rFonts w:eastAsia="Arial Unicode MS"/>
        </w:rPr>
      </w:pPr>
      <w:bookmarkStart w:id="76" w:name="_Toc117264982"/>
      <w:r w:rsidRPr="00D82FFA">
        <w:rPr>
          <w:rFonts w:eastAsia="Arial Unicode MS"/>
        </w:rPr>
        <w:lastRenderedPageBreak/>
        <w:t>Appendix 2:</w:t>
      </w:r>
      <w:r>
        <w:rPr>
          <w:rFonts w:eastAsia="Arial Unicode MS"/>
        </w:rPr>
        <w:t xml:space="preserve"> </w:t>
      </w:r>
      <w:r w:rsidRPr="00D82FFA">
        <w:rPr>
          <w:rFonts w:eastAsia="Arial Unicode MS"/>
        </w:rPr>
        <w:t>Health system indicator framework – High-level indicators</w:t>
      </w:r>
      <w:bookmarkEnd w:id="76"/>
    </w:p>
    <w:p w14:paraId="7BDBE319" w14:textId="77777777" w:rsidR="00D82FFA" w:rsidRPr="00D82FFA" w:rsidRDefault="00D82FFA" w:rsidP="00D82FFA">
      <w:pPr>
        <w:rPr>
          <w:rFonts w:eastAsia="Arial Unicode MS"/>
        </w:rPr>
      </w:pPr>
      <w:r w:rsidRPr="00D82FFA">
        <w:rPr>
          <w:rFonts w:eastAsia="Arial Unicode MS"/>
        </w:rPr>
        <w:t>In August 2021, the Government announced a set of health indicators that will be used to hold the new health system to account, ensuring it delivers more equitable health care for all New Zealanders.</w:t>
      </w:r>
    </w:p>
    <w:p w14:paraId="3DA41F48" w14:textId="77777777" w:rsidR="00D82FFA" w:rsidRPr="00D82FFA" w:rsidRDefault="00D82FFA" w:rsidP="00D82FFA">
      <w:pPr>
        <w:pStyle w:val="Heading4"/>
      </w:pPr>
      <w:r w:rsidRPr="00D82FFA">
        <w:t>Health system indicator framework: High- level indicators</w:t>
      </w:r>
    </w:p>
    <w:p w14:paraId="5C50E7E5" w14:textId="47DBC117" w:rsidR="00D82FFA" w:rsidRPr="00D82FFA" w:rsidRDefault="00D82FFA" w:rsidP="00D82FFA">
      <w:pPr>
        <w:rPr>
          <w:rFonts w:eastAsia="Arial Unicode MS"/>
        </w:rPr>
      </w:pPr>
      <w:r w:rsidRPr="00D82FFA">
        <w:rPr>
          <w:rFonts w:eastAsia="Arial Unicode MS"/>
        </w:rPr>
        <w:t>The following indicators will be used by us to monitor the performance of the reformed health and disability system. While the reforms were not implemented until after the end of the financial year reported within this document, we are providing these indicators proactively.</w:t>
      </w:r>
      <w:r>
        <w:rPr>
          <w:rStyle w:val="FootnoteReference"/>
          <w:rFonts w:eastAsia="Arial Unicode MS"/>
        </w:rPr>
        <w:footnoteReference w:id="57"/>
      </w:r>
    </w:p>
    <w:p w14:paraId="0C270D2F" w14:textId="77777777" w:rsidR="00D82FFA" w:rsidRDefault="00D82FFA" w:rsidP="00D82FFA">
      <w:pPr>
        <w:rPr>
          <w:rFonts w:eastAsia="Arial Unicode MS"/>
        </w:rPr>
      </w:pPr>
    </w:p>
    <w:p w14:paraId="26DD14C2" w14:textId="631DDFFE" w:rsidR="00D82FFA" w:rsidRPr="00D82FFA" w:rsidRDefault="00D82FFA" w:rsidP="00D82FFA">
      <w:pPr>
        <w:rPr>
          <w:rFonts w:eastAsia="Arial Unicode MS"/>
        </w:rPr>
      </w:pPr>
      <w:r w:rsidRPr="00D82FFA">
        <w:rPr>
          <w:rFonts w:eastAsia="Arial Unicode MS"/>
        </w:rPr>
        <w:t>The following high-level indicators are broken down by Government priority:</w:t>
      </w:r>
    </w:p>
    <w:p w14:paraId="0A7224C8" w14:textId="74C00FC6" w:rsidR="00D82FFA" w:rsidRPr="00D82FFA" w:rsidRDefault="00D82FFA" w:rsidP="00D82FFA">
      <w:pPr>
        <w:pStyle w:val="Bullet"/>
        <w:rPr>
          <w:rFonts w:eastAsia="Arial Unicode MS"/>
        </w:rPr>
      </w:pPr>
      <w:r w:rsidRPr="00D82FFA">
        <w:rPr>
          <w:rFonts w:eastAsia="Arial Unicode MS"/>
        </w:rPr>
        <w:t>improving child wellbeing</w:t>
      </w:r>
    </w:p>
    <w:p w14:paraId="57F9B903" w14:textId="74D11A57" w:rsidR="00D82FFA" w:rsidRPr="00D82FFA" w:rsidRDefault="00D82FFA" w:rsidP="00D82FFA">
      <w:pPr>
        <w:pStyle w:val="Bullet"/>
        <w:rPr>
          <w:rFonts w:eastAsia="Arial Unicode MS"/>
        </w:rPr>
      </w:pPr>
      <w:r w:rsidRPr="00D82FFA">
        <w:rPr>
          <w:rFonts w:eastAsia="Arial Unicode MS"/>
        </w:rPr>
        <w:t>improving mental wellbeing</w:t>
      </w:r>
    </w:p>
    <w:p w14:paraId="223B9650" w14:textId="4FA42287" w:rsidR="00D82FFA" w:rsidRPr="00D82FFA" w:rsidRDefault="00D82FFA" w:rsidP="00D82FFA">
      <w:pPr>
        <w:pStyle w:val="Bullet"/>
        <w:rPr>
          <w:rFonts w:eastAsia="Arial Unicode MS"/>
        </w:rPr>
      </w:pPr>
      <w:r w:rsidRPr="00D82FFA">
        <w:rPr>
          <w:rFonts w:eastAsia="Arial Unicode MS"/>
        </w:rPr>
        <w:t>improving wellbeing through prevention measures</w:t>
      </w:r>
    </w:p>
    <w:p w14:paraId="630235F4" w14:textId="74BBA7E5" w:rsidR="00D82FFA" w:rsidRPr="00D82FFA" w:rsidRDefault="00D82FFA" w:rsidP="00D82FFA">
      <w:pPr>
        <w:pStyle w:val="Bullet"/>
        <w:rPr>
          <w:rFonts w:eastAsia="Arial Unicode MS"/>
        </w:rPr>
      </w:pPr>
      <w:r w:rsidRPr="00D82FFA">
        <w:rPr>
          <w:rFonts w:eastAsia="Arial Unicode MS"/>
        </w:rPr>
        <w:t>creating a strong and equitable public health system</w:t>
      </w:r>
    </w:p>
    <w:p w14:paraId="66DCC900" w14:textId="4CF354DA" w:rsidR="00D82FFA" w:rsidRPr="00D82FFA" w:rsidRDefault="00D82FFA" w:rsidP="00D82FFA">
      <w:pPr>
        <w:pStyle w:val="Bullet"/>
        <w:rPr>
          <w:rFonts w:eastAsia="Arial Unicode MS"/>
        </w:rPr>
      </w:pPr>
      <w:r w:rsidRPr="00D82FFA">
        <w:rPr>
          <w:rFonts w:eastAsia="Arial Unicode MS"/>
        </w:rPr>
        <w:t>providing better primary health care</w:t>
      </w:r>
    </w:p>
    <w:p w14:paraId="63BCD1FA" w14:textId="77777777" w:rsidR="00BB0690" w:rsidRDefault="00D82FFA" w:rsidP="00D82FFA">
      <w:pPr>
        <w:pStyle w:val="Bullet"/>
        <w:rPr>
          <w:rFonts w:eastAsia="Arial Unicode MS"/>
        </w:rPr>
      </w:pPr>
      <w:r w:rsidRPr="00D82FFA">
        <w:rPr>
          <w:rFonts w:eastAsia="Arial Unicode MS"/>
        </w:rPr>
        <w:t>ensuring a financially sustainable health system.</w:t>
      </w:r>
    </w:p>
    <w:p w14:paraId="61648E5F" w14:textId="77777777" w:rsidR="00D82FFA" w:rsidRPr="00D82FFA" w:rsidRDefault="00D82FFA" w:rsidP="00D82FFA">
      <w:pPr>
        <w:pStyle w:val="Heading4"/>
      </w:pPr>
      <w:r w:rsidRPr="00D82FFA">
        <w:t>Improving child wellbeing</w:t>
      </w:r>
    </w:p>
    <w:p w14:paraId="74025D30" w14:textId="2379E247" w:rsidR="00D82FFA" w:rsidRDefault="00D82FFA" w:rsidP="00D82FFA">
      <w:pPr>
        <w:pStyle w:val="Heading5"/>
      </w:pPr>
      <w:r w:rsidRPr="00D82FFA">
        <w:t>Indicator results</w:t>
      </w: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D82FFA" w14:paraId="43566DB7" w14:textId="77777777" w:rsidTr="004A25CE">
        <w:tc>
          <w:tcPr>
            <w:tcW w:w="8079" w:type="dxa"/>
            <w:shd w:val="clear" w:color="auto" w:fill="D9D9D9" w:themeFill="background1" w:themeFillShade="D9"/>
          </w:tcPr>
          <w:p w14:paraId="676C5DC6" w14:textId="31845003" w:rsidR="00D82FFA" w:rsidRPr="00464B95" w:rsidRDefault="00D82FFA" w:rsidP="00464B95">
            <w:pPr>
              <w:spacing w:before="60" w:after="60"/>
              <w:rPr>
                <w:rFonts w:eastAsia="Arial Unicode MS"/>
                <w:b/>
                <w:bCs/>
                <w:sz w:val="18"/>
                <w:szCs w:val="18"/>
              </w:rPr>
            </w:pPr>
            <w:r w:rsidRPr="00464B95">
              <w:rPr>
                <w:rFonts w:eastAsia="Arial Unicode MS"/>
                <w:b/>
                <w:bCs/>
                <w:sz w:val="18"/>
                <w:szCs w:val="18"/>
              </w:rPr>
              <w:t>Immunisation rates for children at 24 months of age</w:t>
            </w:r>
          </w:p>
        </w:tc>
      </w:tr>
      <w:tr w:rsidR="00D82FFA" w14:paraId="65A35883" w14:textId="77777777" w:rsidTr="004A25CE">
        <w:tc>
          <w:tcPr>
            <w:tcW w:w="8079" w:type="dxa"/>
            <w:tcBorders>
              <w:bottom w:val="single" w:sz="4" w:space="0" w:color="A6A6A6" w:themeColor="background1" w:themeShade="A6"/>
            </w:tcBorders>
          </w:tcPr>
          <w:p w14:paraId="5945691B" w14:textId="77777777" w:rsidR="00D82FFA" w:rsidRPr="00464B95" w:rsidRDefault="00D82FFA" w:rsidP="00464B95">
            <w:pPr>
              <w:spacing w:before="60" w:after="60"/>
              <w:rPr>
                <w:rFonts w:eastAsia="Arial Unicode MS"/>
                <w:b/>
                <w:bCs/>
                <w:sz w:val="18"/>
                <w:szCs w:val="18"/>
              </w:rPr>
            </w:pPr>
            <w:r w:rsidRPr="00464B95">
              <w:rPr>
                <w:rFonts w:eastAsia="Arial Unicode MS"/>
                <w:b/>
                <w:bCs/>
                <w:sz w:val="18"/>
                <w:szCs w:val="18"/>
              </w:rPr>
              <w:t>Indicator description</w:t>
            </w:r>
          </w:p>
          <w:p w14:paraId="33BFF193" w14:textId="2F1AEFFD" w:rsidR="00D82FFA" w:rsidRPr="00464B95" w:rsidRDefault="00D82FFA" w:rsidP="00464B95">
            <w:pPr>
              <w:spacing w:before="60" w:after="60"/>
              <w:rPr>
                <w:rFonts w:eastAsia="Arial Unicode MS"/>
                <w:sz w:val="18"/>
                <w:szCs w:val="18"/>
              </w:rPr>
            </w:pPr>
            <w:r w:rsidRPr="00464B95">
              <w:rPr>
                <w:rFonts w:eastAsia="Arial Unicode MS"/>
                <w:sz w:val="18"/>
                <w:szCs w:val="18"/>
              </w:rPr>
              <w:t>Percentage of children who have had all their age-appropriate scheduled vaccinations by the time they are 2 years old</w:t>
            </w:r>
            <w:r w:rsidRPr="00464B95">
              <w:rPr>
                <w:rFonts w:eastAsia="Arial Unicode MS"/>
                <w:b/>
                <w:bCs/>
                <w:sz w:val="18"/>
                <w:szCs w:val="18"/>
              </w:rPr>
              <w:t>.</w:t>
            </w:r>
          </w:p>
        </w:tc>
      </w:tr>
      <w:tr w:rsidR="00D82FFA" w14:paraId="0925F803" w14:textId="77777777" w:rsidTr="004A25CE">
        <w:tc>
          <w:tcPr>
            <w:tcW w:w="8079" w:type="dxa"/>
            <w:tcBorders>
              <w:top w:val="single" w:sz="4" w:space="0" w:color="A6A6A6" w:themeColor="background1" w:themeShade="A6"/>
              <w:bottom w:val="nil"/>
            </w:tcBorders>
          </w:tcPr>
          <w:p w14:paraId="43499EFA" w14:textId="77777777" w:rsidR="00D82FFA" w:rsidRPr="00464B95" w:rsidRDefault="00D82FFA" w:rsidP="00464B95">
            <w:pPr>
              <w:spacing w:before="60" w:after="60"/>
              <w:rPr>
                <w:rFonts w:eastAsia="Arial Unicode MS"/>
                <w:b/>
                <w:bCs/>
                <w:sz w:val="18"/>
                <w:szCs w:val="18"/>
              </w:rPr>
            </w:pPr>
            <w:r w:rsidRPr="00464B95">
              <w:rPr>
                <w:rFonts w:eastAsia="Arial Unicode MS"/>
                <w:b/>
                <w:bCs/>
                <w:sz w:val="18"/>
                <w:szCs w:val="18"/>
              </w:rPr>
              <w:t>Baseline data</w:t>
            </w:r>
          </w:p>
          <w:p w14:paraId="5607ED43" w14:textId="123EB817" w:rsidR="00D82FFA" w:rsidRPr="00464B95" w:rsidRDefault="00D82FFA" w:rsidP="00464B95">
            <w:pPr>
              <w:spacing w:before="60" w:after="60"/>
              <w:rPr>
                <w:rFonts w:eastAsia="Arial Unicode MS"/>
                <w:sz w:val="18"/>
                <w:szCs w:val="18"/>
              </w:rPr>
            </w:pPr>
            <w:r w:rsidRPr="00464B95">
              <w:rPr>
                <w:rFonts w:eastAsia="Arial Unicode MS"/>
                <w:sz w:val="18"/>
                <w:szCs w:val="18"/>
              </w:rPr>
              <w:t>14,146 2-year-old children fully immunised (91.9% of children).</w:t>
            </w:r>
          </w:p>
        </w:tc>
      </w:tr>
      <w:tr w:rsidR="00D82FFA" w14:paraId="230F7F83" w14:textId="77777777" w:rsidTr="004A25CE">
        <w:tc>
          <w:tcPr>
            <w:tcW w:w="8079" w:type="dxa"/>
            <w:tcBorders>
              <w:top w:val="nil"/>
              <w:bottom w:val="single" w:sz="4" w:space="0" w:color="A6A6A6" w:themeColor="background1" w:themeShade="A6"/>
            </w:tcBorders>
          </w:tcPr>
          <w:p w14:paraId="313C703B" w14:textId="44A8282C" w:rsidR="00D82FFA" w:rsidRPr="00464B95" w:rsidRDefault="00D82FFA" w:rsidP="00464B95">
            <w:pPr>
              <w:pBdr>
                <w:top w:val="single" w:sz="4" w:space="1" w:color="A6A6A6" w:themeColor="background1" w:themeShade="A6"/>
              </w:pBdr>
              <w:spacing w:before="60" w:after="60"/>
              <w:rPr>
                <w:rFonts w:eastAsia="Arial Unicode MS"/>
                <w:sz w:val="18"/>
                <w:szCs w:val="18"/>
              </w:rPr>
            </w:pPr>
            <w:r w:rsidRPr="00464B95">
              <w:rPr>
                <w:rFonts w:eastAsia="Arial Unicode MS"/>
                <w:b/>
                <w:bCs/>
                <w:sz w:val="18"/>
                <w:szCs w:val="18"/>
              </w:rPr>
              <w:t>Results</w:t>
            </w:r>
            <w:r w:rsidR="004A25CE" w:rsidRPr="00464B95">
              <w:rPr>
                <w:rFonts w:eastAsia="Arial Unicode MS"/>
                <w:b/>
                <w:bCs/>
                <w:sz w:val="18"/>
                <w:szCs w:val="18"/>
              </w:rPr>
              <w:t xml:space="preserve"> </w:t>
            </w:r>
            <w:r w:rsidRPr="00464B95">
              <w:rPr>
                <w:rFonts w:eastAsia="Arial Unicode MS"/>
                <w:sz w:val="18"/>
                <w:szCs w:val="18"/>
              </w:rPr>
              <w:t>(Percent of children fully immunised at age 24 months for the quarter ending 31 December)</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963"/>
              <w:gridCol w:w="1963"/>
              <w:gridCol w:w="1963"/>
              <w:gridCol w:w="1963"/>
            </w:tblGrid>
            <w:tr w:rsidR="00D82FFA" w:rsidRPr="00464B95" w14:paraId="1AF40FD6" w14:textId="77777777" w:rsidTr="004A25CE">
              <w:tc>
                <w:tcPr>
                  <w:tcW w:w="1963" w:type="dxa"/>
                </w:tcPr>
                <w:p w14:paraId="7886C418" w14:textId="77777777" w:rsidR="00D82FFA" w:rsidRPr="00464B95" w:rsidRDefault="00D82FFA" w:rsidP="00464B95">
                  <w:pPr>
                    <w:pStyle w:val="TableText"/>
                    <w:spacing w:after="40"/>
                    <w:rPr>
                      <w:rFonts w:eastAsia="Arial Unicode MS"/>
                      <w:szCs w:val="18"/>
                    </w:rPr>
                  </w:pPr>
                </w:p>
              </w:tc>
              <w:tc>
                <w:tcPr>
                  <w:tcW w:w="1963" w:type="dxa"/>
                </w:tcPr>
                <w:p w14:paraId="735C73CE" w14:textId="15E41C22" w:rsidR="00D82FFA" w:rsidRPr="00464B95" w:rsidRDefault="00D82FFA" w:rsidP="00464B95">
                  <w:pPr>
                    <w:pStyle w:val="TableText"/>
                    <w:spacing w:after="40"/>
                    <w:jc w:val="right"/>
                    <w:rPr>
                      <w:rFonts w:eastAsia="Arial Unicode MS"/>
                      <w:b/>
                      <w:bCs/>
                      <w:szCs w:val="18"/>
                    </w:rPr>
                  </w:pPr>
                  <w:r w:rsidRPr="00464B95">
                    <w:rPr>
                      <w:b/>
                      <w:bCs/>
                      <w:szCs w:val="18"/>
                    </w:rPr>
                    <w:t>2019</w:t>
                  </w:r>
                </w:p>
              </w:tc>
              <w:tc>
                <w:tcPr>
                  <w:tcW w:w="1963" w:type="dxa"/>
                </w:tcPr>
                <w:p w14:paraId="3CD38D8A" w14:textId="6B181340" w:rsidR="00D82FFA" w:rsidRPr="00464B95" w:rsidRDefault="00D82FFA" w:rsidP="00464B95">
                  <w:pPr>
                    <w:pStyle w:val="TableText"/>
                    <w:spacing w:after="40"/>
                    <w:jc w:val="right"/>
                    <w:rPr>
                      <w:rFonts w:eastAsia="Arial Unicode MS"/>
                      <w:b/>
                      <w:bCs/>
                      <w:szCs w:val="18"/>
                    </w:rPr>
                  </w:pPr>
                  <w:r w:rsidRPr="00464B95">
                    <w:rPr>
                      <w:b/>
                      <w:bCs/>
                      <w:szCs w:val="18"/>
                    </w:rPr>
                    <w:t>2020</w:t>
                  </w:r>
                </w:p>
              </w:tc>
              <w:tc>
                <w:tcPr>
                  <w:tcW w:w="1963" w:type="dxa"/>
                </w:tcPr>
                <w:p w14:paraId="651DD084" w14:textId="0E178C54" w:rsidR="00D82FFA" w:rsidRPr="00464B95" w:rsidRDefault="00D82FFA" w:rsidP="00464B95">
                  <w:pPr>
                    <w:pStyle w:val="TableText"/>
                    <w:spacing w:after="40"/>
                    <w:jc w:val="right"/>
                    <w:rPr>
                      <w:rFonts w:eastAsia="Arial Unicode MS"/>
                      <w:b/>
                      <w:bCs/>
                      <w:szCs w:val="18"/>
                    </w:rPr>
                  </w:pPr>
                  <w:r w:rsidRPr="00464B95">
                    <w:rPr>
                      <w:b/>
                      <w:bCs/>
                      <w:szCs w:val="18"/>
                    </w:rPr>
                    <w:t>2021</w:t>
                  </w:r>
                </w:p>
              </w:tc>
            </w:tr>
            <w:tr w:rsidR="00D82FFA" w:rsidRPr="00464B95" w14:paraId="59368810" w14:textId="77777777" w:rsidTr="004A25CE">
              <w:tc>
                <w:tcPr>
                  <w:tcW w:w="1963" w:type="dxa"/>
                </w:tcPr>
                <w:p w14:paraId="20104149" w14:textId="31A993AF" w:rsidR="00D82FFA" w:rsidRPr="00464B95" w:rsidRDefault="00D82FFA" w:rsidP="00464B95">
                  <w:pPr>
                    <w:pStyle w:val="TableText"/>
                    <w:spacing w:after="40"/>
                    <w:rPr>
                      <w:rFonts w:eastAsia="Arial Unicode MS"/>
                      <w:szCs w:val="18"/>
                    </w:rPr>
                  </w:pPr>
                  <w:r w:rsidRPr="00464B95">
                    <w:rPr>
                      <w:szCs w:val="18"/>
                    </w:rPr>
                    <w:t>All Ethnicities</w:t>
                  </w:r>
                </w:p>
              </w:tc>
              <w:tc>
                <w:tcPr>
                  <w:tcW w:w="1963" w:type="dxa"/>
                </w:tcPr>
                <w:p w14:paraId="111C0A7B" w14:textId="15A7625B" w:rsidR="00D82FFA" w:rsidRPr="00464B95" w:rsidRDefault="00D82FFA" w:rsidP="00464B95">
                  <w:pPr>
                    <w:pStyle w:val="TableText"/>
                    <w:spacing w:after="40"/>
                    <w:jc w:val="right"/>
                    <w:rPr>
                      <w:rFonts w:eastAsia="Arial Unicode MS"/>
                      <w:szCs w:val="18"/>
                    </w:rPr>
                  </w:pPr>
                  <w:r w:rsidRPr="00464B95">
                    <w:rPr>
                      <w:szCs w:val="18"/>
                    </w:rPr>
                    <w:t>91.9%</w:t>
                  </w:r>
                </w:p>
              </w:tc>
              <w:tc>
                <w:tcPr>
                  <w:tcW w:w="1963" w:type="dxa"/>
                </w:tcPr>
                <w:p w14:paraId="7BCAD77D" w14:textId="51750A4F" w:rsidR="00D82FFA" w:rsidRPr="00464B95" w:rsidRDefault="00D82FFA" w:rsidP="00464B95">
                  <w:pPr>
                    <w:pStyle w:val="TableText"/>
                    <w:spacing w:after="40"/>
                    <w:jc w:val="right"/>
                    <w:rPr>
                      <w:rFonts w:eastAsia="Arial Unicode MS"/>
                      <w:szCs w:val="18"/>
                    </w:rPr>
                  </w:pPr>
                  <w:r w:rsidRPr="00464B95">
                    <w:rPr>
                      <w:szCs w:val="18"/>
                    </w:rPr>
                    <w:t>89.6%</w:t>
                  </w:r>
                </w:p>
              </w:tc>
              <w:tc>
                <w:tcPr>
                  <w:tcW w:w="1963" w:type="dxa"/>
                </w:tcPr>
                <w:p w14:paraId="2AA55E5E" w14:textId="386F1908" w:rsidR="00D82FFA" w:rsidRPr="00464B95" w:rsidRDefault="00D82FFA" w:rsidP="00464B95">
                  <w:pPr>
                    <w:pStyle w:val="TableText"/>
                    <w:spacing w:after="40"/>
                    <w:jc w:val="right"/>
                    <w:rPr>
                      <w:rFonts w:eastAsia="Arial Unicode MS"/>
                      <w:szCs w:val="18"/>
                    </w:rPr>
                  </w:pPr>
                  <w:r w:rsidRPr="00464B95">
                    <w:rPr>
                      <w:szCs w:val="18"/>
                    </w:rPr>
                    <w:t>83.9%</w:t>
                  </w:r>
                </w:p>
              </w:tc>
            </w:tr>
            <w:tr w:rsidR="00D82FFA" w:rsidRPr="00464B95" w14:paraId="76B98D69" w14:textId="77777777" w:rsidTr="004A25CE">
              <w:tc>
                <w:tcPr>
                  <w:tcW w:w="1963" w:type="dxa"/>
                </w:tcPr>
                <w:p w14:paraId="1C0EC088" w14:textId="5256E072" w:rsidR="00D82FFA" w:rsidRPr="00464B95" w:rsidRDefault="00D82FFA" w:rsidP="00464B95">
                  <w:pPr>
                    <w:pStyle w:val="TableText"/>
                    <w:spacing w:after="40"/>
                    <w:rPr>
                      <w:rFonts w:eastAsia="Arial Unicode MS"/>
                      <w:szCs w:val="18"/>
                    </w:rPr>
                  </w:pPr>
                  <w:r w:rsidRPr="00464B95">
                    <w:rPr>
                      <w:szCs w:val="18"/>
                    </w:rPr>
                    <w:t>Māori</w:t>
                  </w:r>
                </w:p>
              </w:tc>
              <w:tc>
                <w:tcPr>
                  <w:tcW w:w="1963" w:type="dxa"/>
                </w:tcPr>
                <w:p w14:paraId="05688DDC" w14:textId="12195CF5" w:rsidR="00D82FFA" w:rsidRPr="00464B95" w:rsidRDefault="00D82FFA" w:rsidP="00464B95">
                  <w:pPr>
                    <w:pStyle w:val="TableText"/>
                    <w:spacing w:after="40"/>
                    <w:jc w:val="right"/>
                    <w:rPr>
                      <w:rFonts w:eastAsia="Arial Unicode MS"/>
                      <w:szCs w:val="18"/>
                    </w:rPr>
                  </w:pPr>
                  <w:r w:rsidRPr="00464B95">
                    <w:rPr>
                      <w:szCs w:val="18"/>
                    </w:rPr>
                    <w:t>87.5%</w:t>
                  </w:r>
                </w:p>
              </w:tc>
              <w:tc>
                <w:tcPr>
                  <w:tcW w:w="1963" w:type="dxa"/>
                </w:tcPr>
                <w:p w14:paraId="1716ECB8" w14:textId="720FD7D3" w:rsidR="00D82FFA" w:rsidRPr="00464B95" w:rsidRDefault="00D82FFA" w:rsidP="00464B95">
                  <w:pPr>
                    <w:pStyle w:val="TableText"/>
                    <w:spacing w:after="40"/>
                    <w:jc w:val="right"/>
                    <w:rPr>
                      <w:rFonts w:eastAsia="Arial Unicode MS"/>
                      <w:szCs w:val="18"/>
                    </w:rPr>
                  </w:pPr>
                  <w:r w:rsidRPr="00464B95">
                    <w:rPr>
                      <w:szCs w:val="18"/>
                    </w:rPr>
                    <w:t>81.9%</w:t>
                  </w:r>
                </w:p>
              </w:tc>
              <w:tc>
                <w:tcPr>
                  <w:tcW w:w="1963" w:type="dxa"/>
                </w:tcPr>
                <w:p w14:paraId="7CFCD866" w14:textId="19200952" w:rsidR="00D82FFA" w:rsidRPr="00464B95" w:rsidRDefault="00D82FFA" w:rsidP="00464B95">
                  <w:pPr>
                    <w:pStyle w:val="TableText"/>
                    <w:spacing w:after="40"/>
                    <w:jc w:val="right"/>
                    <w:rPr>
                      <w:rFonts w:eastAsia="Arial Unicode MS"/>
                      <w:szCs w:val="18"/>
                    </w:rPr>
                  </w:pPr>
                  <w:r w:rsidRPr="00464B95">
                    <w:rPr>
                      <w:szCs w:val="18"/>
                    </w:rPr>
                    <w:t>69.7%</w:t>
                  </w:r>
                </w:p>
              </w:tc>
            </w:tr>
            <w:tr w:rsidR="00D82FFA" w:rsidRPr="00464B95" w14:paraId="34AC976A" w14:textId="77777777" w:rsidTr="004A25CE">
              <w:tc>
                <w:tcPr>
                  <w:tcW w:w="1963" w:type="dxa"/>
                </w:tcPr>
                <w:p w14:paraId="4772FD70" w14:textId="1ACC6C97" w:rsidR="00D82FFA" w:rsidRPr="00464B95" w:rsidRDefault="00D82FFA" w:rsidP="00464B95">
                  <w:pPr>
                    <w:pStyle w:val="TableText"/>
                    <w:spacing w:after="40"/>
                    <w:rPr>
                      <w:rFonts w:eastAsia="Arial Unicode MS"/>
                      <w:szCs w:val="18"/>
                    </w:rPr>
                  </w:pPr>
                  <w:r w:rsidRPr="00464B95">
                    <w:rPr>
                      <w:szCs w:val="18"/>
                    </w:rPr>
                    <w:t>Pacific</w:t>
                  </w:r>
                </w:p>
              </w:tc>
              <w:tc>
                <w:tcPr>
                  <w:tcW w:w="1963" w:type="dxa"/>
                </w:tcPr>
                <w:p w14:paraId="140F18D4" w14:textId="64D7BC07" w:rsidR="00D82FFA" w:rsidRPr="00464B95" w:rsidRDefault="00D82FFA" w:rsidP="00464B95">
                  <w:pPr>
                    <w:pStyle w:val="TableText"/>
                    <w:spacing w:after="40"/>
                    <w:jc w:val="right"/>
                    <w:rPr>
                      <w:rFonts w:eastAsia="Arial Unicode MS"/>
                      <w:szCs w:val="18"/>
                    </w:rPr>
                  </w:pPr>
                  <w:r w:rsidRPr="00464B95">
                    <w:rPr>
                      <w:szCs w:val="18"/>
                    </w:rPr>
                    <w:t>93.8%</w:t>
                  </w:r>
                </w:p>
              </w:tc>
              <w:tc>
                <w:tcPr>
                  <w:tcW w:w="1963" w:type="dxa"/>
                </w:tcPr>
                <w:p w14:paraId="2238281A" w14:textId="4355347B" w:rsidR="00D82FFA" w:rsidRPr="00464B95" w:rsidRDefault="00D82FFA" w:rsidP="00464B95">
                  <w:pPr>
                    <w:pStyle w:val="TableText"/>
                    <w:spacing w:after="40"/>
                    <w:jc w:val="right"/>
                    <w:rPr>
                      <w:rFonts w:eastAsia="Arial Unicode MS"/>
                      <w:szCs w:val="18"/>
                    </w:rPr>
                  </w:pPr>
                  <w:r w:rsidRPr="00464B95">
                    <w:rPr>
                      <w:szCs w:val="18"/>
                    </w:rPr>
                    <w:t>90.4%</w:t>
                  </w:r>
                </w:p>
              </w:tc>
              <w:tc>
                <w:tcPr>
                  <w:tcW w:w="1963" w:type="dxa"/>
                </w:tcPr>
                <w:p w14:paraId="21719B1D" w14:textId="7D125837" w:rsidR="00D82FFA" w:rsidRPr="00464B95" w:rsidRDefault="00D82FFA" w:rsidP="00464B95">
                  <w:pPr>
                    <w:pStyle w:val="TableText"/>
                    <w:spacing w:after="40"/>
                    <w:jc w:val="right"/>
                    <w:rPr>
                      <w:rFonts w:eastAsia="Arial Unicode MS"/>
                      <w:szCs w:val="18"/>
                    </w:rPr>
                  </w:pPr>
                  <w:r w:rsidRPr="00464B95">
                    <w:rPr>
                      <w:szCs w:val="18"/>
                    </w:rPr>
                    <w:t>83.6%</w:t>
                  </w:r>
                </w:p>
              </w:tc>
            </w:tr>
          </w:tbl>
          <w:p w14:paraId="1A01BACF" w14:textId="0219FC26" w:rsidR="00D82FFA" w:rsidRPr="00464B95" w:rsidRDefault="00D82FFA" w:rsidP="00464B95">
            <w:pPr>
              <w:spacing w:before="60"/>
              <w:rPr>
                <w:rFonts w:eastAsia="Arial Unicode MS"/>
                <w:sz w:val="18"/>
                <w:szCs w:val="18"/>
              </w:rPr>
            </w:pPr>
          </w:p>
          <w:p w14:paraId="39EB0151" w14:textId="77777777" w:rsidR="004A25CE" w:rsidRPr="00464B95" w:rsidRDefault="004A25CE" w:rsidP="00464B95">
            <w:pPr>
              <w:spacing w:before="60"/>
              <w:rPr>
                <w:rFonts w:eastAsia="Arial Unicode MS"/>
                <w:sz w:val="18"/>
                <w:szCs w:val="18"/>
              </w:rPr>
            </w:pPr>
          </w:p>
          <w:p w14:paraId="3C7F55C6" w14:textId="77777777" w:rsidR="004A25CE" w:rsidRPr="00464B95" w:rsidRDefault="004A25CE" w:rsidP="00464B95">
            <w:pPr>
              <w:spacing w:before="60"/>
              <w:rPr>
                <w:rFonts w:eastAsia="Arial Unicode MS"/>
                <w:b/>
                <w:bCs/>
                <w:sz w:val="18"/>
                <w:szCs w:val="18"/>
              </w:rPr>
            </w:pPr>
            <w:r w:rsidRPr="00464B95">
              <w:rPr>
                <w:rFonts w:eastAsia="Arial Unicode MS"/>
                <w:b/>
                <w:bCs/>
                <w:sz w:val="18"/>
                <w:szCs w:val="18"/>
              </w:rPr>
              <w:lastRenderedPageBreak/>
              <w:t>Comment</w:t>
            </w:r>
          </w:p>
          <w:p w14:paraId="7C0A6B69" w14:textId="623FA168" w:rsidR="004A25CE" w:rsidRPr="00464B95" w:rsidRDefault="004A25CE" w:rsidP="00464B95">
            <w:pPr>
              <w:spacing w:before="60"/>
              <w:rPr>
                <w:rFonts w:eastAsia="Arial Unicode MS"/>
                <w:sz w:val="18"/>
                <w:szCs w:val="18"/>
              </w:rPr>
            </w:pPr>
            <w:r w:rsidRPr="00464B95">
              <w:rPr>
                <w:rFonts w:eastAsia="Arial Unicode MS"/>
                <w:sz w:val="18"/>
                <w:szCs w:val="18"/>
              </w:rPr>
              <w:t>Timely immunisations ensure children are protected against harmful and avoidable diseases. When community immunisation coverage is below 95%, the risk of vaccine-preventable diseases increases, particularly measles and pertussis (whooping cough). The National Immunisation Schedule (the Schedule) is a series of vaccines offered free as part of the National Immunisation Programme, with the aim of protecting children from serious diseases when they are most vulnerable.</w:t>
            </w:r>
          </w:p>
          <w:p w14:paraId="36C79D39" w14:textId="6BB6AB0F" w:rsidR="004A25CE" w:rsidRPr="00464B95" w:rsidRDefault="004A25CE" w:rsidP="00464B95">
            <w:pPr>
              <w:spacing w:before="60"/>
              <w:rPr>
                <w:rFonts w:eastAsia="Arial Unicode MS"/>
                <w:sz w:val="18"/>
                <w:szCs w:val="18"/>
              </w:rPr>
            </w:pPr>
            <w:r w:rsidRPr="00464B95">
              <w:rPr>
                <w:rFonts w:eastAsia="Arial Unicode MS"/>
                <w:sz w:val="18"/>
                <w:szCs w:val="18"/>
              </w:rPr>
              <w:t>This indicator counts those children enrolled on the National Immunisation Register (NIR) who turn 24 months old during the reporting period, that have completed all age-appropriate immunisations according to the Schedule (events currently at 6 weeks, 3 months, 5 months, 12 months and 15 months) by the age of 24 months.</w:t>
            </w:r>
          </w:p>
          <w:p w14:paraId="22E753C6" w14:textId="334845EF" w:rsidR="004A25CE" w:rsidRPr="00464B95" w:rsidRDefault="004A25CE" w:rsidP="00464B95">
            <w:pPr>
              <w:spacing w:before="60"/>
              <w:rPr>
                <w:rFonts w:eastAsia="Arial Unicode MS"/>
                <w:sz w:val="18"/>
                <w:szCs w:val="18"/>
              </w:rPr>
            </w:pPr>
            <w:r w:rsidRPr="00464B95">
              <w:rPr>
                <w:rFonts w:eastAsia="Arial Unicode MS"/>
                <w:sz w:val="18"/>
                <w:szCs w:val="18"/>
              </w:rPr>
              <w:t>Note: Immunisation status does not indicate whether the vaccinations were given on time, only if a child has had all the vaccinations they should have had by that age.</w:t>
            </w:r>
          </w:p>
          <w:p w14:paraId="22EAC18A" w14:textId="10DFFB9B" w:rsidR="004A25CE" w:rsidRPr="00464B95" w:rsidRDefault="004A25CE" w:rsidP="00464B95">
            <w:pPr>
              <w:spacing w:before="60"/>
              <w:rPr>
                <w:rFonts w:eastAsia="Arial Unicode MS"/>
                <w:sz w:val="18"/>
                <w:szCs w:val="18"/>
              </w:rPr>
            </w:pPr>
            <w:r w:rsidRPr="00464B95">
              <w:rPr>
                <w:rFonts w:eastAsia="Arial Unicode MS"/>
                <w:sz w:val="18"/>
                <w:szCs w:val="18"/>
              </w:rPr>
              <w:t>The drop in coverage seen in the indicator between the baseline 2019 figure and the 2020 and 2021 results shows the impact of changes to the Schedule in late 2020, which included adding the 12-month event and bringing the second dose of MMR forward to 15 months, as well as disruption from COVID-19.</w:t>
            </w:r>
          </w:p>
        </w:tc>
      </w:tr>
    </w:tbl>
    <w:p w14:paraId="15EA8BA5" w14:textId="77777777" w:rsidR="00D82FFA" w:rsidRPr="00D82FFA" w:rsidRDefault="00D82FFA" w:rsidP="00D82FFA">
      <w:pPr>
        <w:rPr>
          <w:rFonts w:eastAsia="Arial Unicode MS"/>
        </w:rPr>
      </w:pP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4A25CE" w14:paraId="2F5D7BB6" w14:textId="77777777" w:rsidTr="0066594A">
        <w:tc>
          <w:tcPr>
            <w:tcW w:w="8079" w:type="dxa"/>
            <w:shd w:val="clear" w:color="auto" w:fill="D9D9D9" w:themeFill="background1" w:themeFillShade="D9"/>
          </w:tcPr>
          <w:p w14:paraId="533EE82A" w14:textId="6D94895C" w:rsidR="004A25CE" w:rsidRPr="00464B95" w:rsidRDefault="004A25CE" w:rsidP="00464B95">
            <w:pPr>
              <w:spacing w:before="60" w:after="60"/>
              <w:rPr>
                <w:rFonts w:eastAsia="Arial Unicode MS"/>
                <w:b/>
                <w:bCs/>
                <w:sz w:val="18"/>
                <w:szCs w:val="18"/>
              </w:rPr>
            </w:pPr>
            <w:r w:rsidRPr="00464B95">
              <w:rPr>
                <w:rFonts w:eastAsia="Arial Unicode MS"/>
                <w:b/>
                <w:bCs/>
                <w:sz w:val="18"/>
                <w:szCs w:val="18"/>
              </w:rPr>
              <w:t>Ambulatory sensitive hospitalisations (ASH) for children (age range 0–4 years)</w:t>
            </w:r>
          </w:p>
        </w:tc>
      </w:tr>
      <w:tr w:rsidR="004A25CE" w14:paraId="5AF7FCA0" w14:textId="77777777" w:rsidTr="0066594A">
        <w:tc>
          <w:tcPr>
            <w:tcW w:w="8079" w:type="dxa"/>
            <w:tcBorders>
              <w:bottom w:val="single" w:sz="4" w:space="0" w:color="A6A6A6" w:themeColor="background1" w:themeShade="A6"/>
            </w:tcBorders>
          </w:tcPr>
          <w:p w14:paraId="305FB089" w14:textId="77777777" w:rsidR="004A25CE" w:rsidRPr="00464B95" w:rsidRDefault="004A25CE" w:rsidP="00464B95">
            <w:pPr>
              <w:spacing w:before="60" w:after="60"/>
              <w:rPr>
                <w:rFonts w:eastAsia="Arial Unicode MS"/>
                <w:b/>
                <w:bCs/>
                <w:sz w:val="18"/>
                <w:szCs w:val="18"/>
              </w:rPr>
            </w:pPr>
            <w:r w:rsidRPr="00464B95">
              <w:rPr>
                <w:rFonts w:eastAsia="Arial Unicode MS"/>
                <w:b/>
                <w:bCs/>
                <w:sz w:val="18"/>
                <w:szCs w:val="18"/>
              </w:rPr>
              <w:t>Indicator description</w:t>
            </w:r>
          </w:p>
          <w:p w14:paraId="6204532E" w14:textId="30C890E3" w:rsidR="004A25CE" w:rsidRPr="00464B95" w:rsidRDefault="004A25CE" w:rsidP="00464B95">
            <w:pPr>
              <w:spacing w:before="60" w:after="60"/>
              <w:rPr>
                <w:rFonts w:eastAsia="Arial Unicode MS"/>
                <w:sz w:val="18"/>
                <w:szCs w:val="18"/>
              </w:rPr>
            </w:pPr>
            <w:r w:rsidRPr="00464B95">
              <w:rPr>
                <w:rFonts w:eastAsia="Arial Unicode MS"/>
                <w:sz w:val="18"/>
                <w:szCs w:val="18"/>
              </w:rPr>
              <w:t>Rate of hospital admissions for children under 5 years old for an illness that might have been prevented or better managed in the community.</w:t>
            </w:r>
          </w:p>
        </w:tc>
      </w:tr>
      <w:tr w:rsidR="004A25CE" w14:paraId="0F625DE2" w14:textId="77777777" w:rsidTr="0066594A">
        <w:tc>
          <w:tcPr>
            <w:tcW w:w="8079" w:type="dxa"/>
            <w:tcBorders>
              <w:top w:val="single" w:sz="4" w:space="0" w:color="A6A6A6" w:themeColor="background1" w:themeShade="A6"/>
              <w:bottom w:val="nil"/>
            </w:tcBorders>
          </w:tcPr>
          <w:p w14:paraId="76A37C0F" w14:textId="77777777" w:rsidR="004A25CE" w:rsidRPr="00464B95" w:rsidRDefault="004A25CE" w:rsidP="00464B95">
            <w:pPr>
              <w:spacing w:before="60" w:after="60"/>
              <w:rPr>
                <w:rFonts w:eastAsia="Arial Unicode MS"/>
                <w:b/>
                <w:bCs/>
                <w:sz w:val="18"/>
                <w:szCs w:val="18"/>
              </w:rPr>
            </w:pPr>
            <w:r w:rsidRPr="00464B95">
              <w:rPr>
                <w:rFonts w:eastAsia="Arial Unicode MS"/>
                <w:b/>
                <w:bCs/>
                <w:sz w:val="18"/>
                <w:szCs w:val="18"/>
              </w:rPr>
              <w:t>Baseline data</w:t>
            </w:r>
          </w:p>
          <w:p w14:paraId="78DB47E7" w14:textId="17C9ACDE" w:rsidR="004A25CE" w:rsidRPr="00464B95" w:rsidRDefault="004A25CE" w:rsidP="00464B95">
            <w:pPr>
              <w:spacing w:before="60" w:after="60"/>
              <w:rPr>
                <w:rFonts w:eastAsia="Arial Unicode MS"/>
                <w:sz w:val="18"/>
                <w:szCs w:val="18"/>
              </w:rPr>
            </w:pPr>
            <w:r w:rsidRPr="00464B95">
              <w:rPr>
                <w:rFonts w:eastAsia="Arial Unicode MS"/>
                <w:sz w:val="18"/>
                <w:szCs w:val="18"/>
              </w:rPr>
              <w:t>20,240 potentially avoidable stays in hospital for children under 5 years old (6,615 per 100,000 children).</w:t>
            </w:r>
          </w:p>
        </w:tc>
      </w:tr>
      <w:tr w:rsidR="004A25CE" w14:paraId="20E37904" w14:textId="77777777" w:rsidTr="0066594A">
        <w:tc>
          <w:tcPr>
            <w:tcW w:w="8079" w:type="dxa"/>
            <w:tcBorders>
              <w:top w:val="nil"/>
            </w:tcBorders>
          </w:tcPr>
          <w:p w14:paraId="7D96CD7B" w14:textId="073B3ED5" w:rsidR="004A25CE" w:rsidRPr="00464B95" w:rsidRDefault="004A25CE" w:rsidP="00464B95">
            <w:pPr>
              <w:pBdr>
                <w:top w:val="single" w:sz="4" w:space="1" w:color="A6A6A6" w:themeColor="background1" w:themeShade="A6"/>
              </w:pBdr>
              <w:spacing w:before="60" w:after="60"/>
              <w:rPr>
                <w:rFonts w:eastAsia="Arial Unicode MS"/>
                <w:b/>
                <w:bCs/>
                <w:sz w:val="18"/>
                <w:szCs w:val="18"/>
              </w:rPr>
            </w:pPr>
            <w:r w:rsidRPr="00464B95">
              <w:rPr>
                <w:rFonts w:eastAsia="Arial Unicode MS"/>
                <w:b/>
                <w:bCs/>
                <w:sz w:val="18"/>
                <w:szCs w:val="18"/>
              </w:rPr>
              <w:t xml:space="preserve">Results </w:t>
            </w:r>
            <w:r w:rsidRPr="00464B95">
              <w:rPr>
                <w:rFonts w:eastAsia="Arial Unicode MS"/>
                <w:sz w:val="18"/>
                <w:szCs w:val="18"/>
              </w:rPr>
              <w:t>(ASH rate per 100,000 children 0 to 4-year-olds for 12-months ending 31 December)</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963"/>
              <w:gridCol w:w="1963"/>
              <w:gridCol w:w="1963"/>
              <w:gridCol w:w="1963"/>
            </w:tblGrid>
            <w:tr w:rsidR="004A25CE" w:rsidRPr="00464B95" w14:paraId="05251BD8" w14:textId="77777777" w:rsidTr="0066594A">
              <w:tc>
                <w:tcPr>
                  <w:tcW w:w="1963" w:type="dxa"/>
                </w:tcPr>
                <w:p w14:paraId="1D55ECAF" w14:textId="77777777" w:rsidR="004A25CE" w:rsidRPr="00464B95" w:rsidRDefault="004A25CE" w:rsidP="00464B95">
                  <w:pPr>
                    <w:pStyle w:val="TableText"/>
                    <w:rPr>
                      <w:rFonts w:eastAsia="Arial Unicode MS"/>
                      <w:szCs w:val="18"/>
                    </w:rPr>
                  </w:pPr>
                </w:p>
              </w:tc>
              <w:tc>
                <w:tcPr>
                  <w:tcW w:w="1963" w:type="dxa"/>
                </w:tcPr>
                <w:p w14:paraId="0465B8F0" w14:textId="77777777" w:rsidR="004A25CE" w:rsidRPr="00464B95" w:rsidRDefault="004A25CE" w:rsidP="00464B95">
                  <w:pPr>
                    <w:pStyle w:val="TableText"/>
                    <w:jc w:val="right"/>
                    <w:rPr>
                      <w:rFonts w:eastAsia="Arial Unicode MS"/>
                      <w:b/>
                      <w:bCs/>
                      <w:szCs w:val="18"/>
                    </w:rPr>
                  </w:pPr>
                  <w:r w:rsidRPr="00464B95">
                    <w:rPr>
                      <w:b/>
                      <w:bCs/>
                      <w:szCs w:val="18"/>
                    </w:rPr>
                    <w:t>2019</w:t>
                  </w:r>
                </w:p>
              </w:tc>
              <w:tc>
                <w:tcPr>
                  <w:tcW w:w="1963" w:type="dxa"/>
                </w:tcPr>
                <w:p w14:paraId="4D748DFA" w14:textId="77777777" w:rsidR="004A25CE" w:rsidRPr="00464B95" w:rsidRDefault="004A25CE" w:rsidP="00464B95">
                  <w:pPr>
                    <w:pStyle w:val="TableText"/>
                    <w:jc w:val="right"/>
                    <w:rPr>
                      <w:rFonts w:eastAsia="Arial Unicode MS"/>
                      <w:b/>
                      <w:bCs/>
                      <w:szCs w:val="18"/>
                    </w:rPr>
                  </w:pPr>
                  <w:r w:rsidRPr="00464B95">
                    <w:rPr>
                      <w:b/>
                      <w:bCs/>
                      <w:szCs w:val="18"/>
                    </w:rPr>
                    <w:t>2020</w:t>
                  </w:r>
                </w:p>
              </w:tc>
              <w:tc>
                <w:tcPr>
                  <w:tcW w:w="1963" w:type="dxa"/>
                </w:tcPr>
                <w:p w14:paraId="0B7791E8" w14:textId="77777777" w:rsidR="004A25CE" w:rsidRPr="00464B95" w:rsidRDefault="004A25CE" w:rsidP="00464B95">
                  <w:pPr>
                    <w:pStyle w:val="TableText"/>
                    <w:jc w:val="right"/>
                    <w:rPr>
                      <w:rFonts w:eastAsia="Arial Unicode MS"/>
                      <w:b/>
                      <w:bCs/>
                      <w:szCs w:val="18"/>
                    </w:rPr>
                  </w:pPr>
                  <w:r w:rsidRPr="00464B95">
                    <w:rPr>
                      <w:b/>
                      <w:bCs/>
                      <w:szCs w:val="18"/>
                    </w:rPr>
                    <w:t>2021</w:t>
                  </w:r>
                </w:p>
              </w:tc>
            </w:tr>
            <w:tr w:rsidR="004A25CE" w:rsidRPr="00464B95" w14:paraId="5A9D2E85" w14:textId="77777777" w:rsidTr="0066594A">
              <w:tc>
                <w:tcPr>
                  <w:tcW w:w="1963" w:type="dxa"/>
                </w:tcPr>
                <w:p w14:paraId="7BA9E789" w14:textId="1B98E291" w:rsidR="004A25CE" w:rsidRPr="00464B95" w:rsidRDefault="004A25CE" w:rsidP="00464B95">
                  <w:pPr>
                    <w:pStyle w:val="TableText"/>
                    <w:rPr>
                      <w:rFonts w:eastAsia="Arial Unicode MS"/>
                      <w:szCs w:val="18"/>
                    </w:rPr>
                  </w:pPr>
                  <w:r w:rsidRPr="00464B95">
                    <w:rPr>
                      <w:szCs w:val="18"/>
                    </w:rPr>
                    <w:t>All Ethnicities</w:t>
                  </w:r>
                </w:p>
              </w:tc>
              <w:tc>
                <w:tcPr>
                  <w:tcW w:w="1963" w:type="dxa"/>
                </w:tcPr>
                <w:p w14:paraId="40246A35" w14:textId="5338A453" w:rsidR="004A25CE" w:rsidRPr="00464B95" w:rsidRDefault="004A25CE" w:rsidP="00464B95">
                  <w:pPr>
                    <w:pStyle w:val="TableText"/>
                    <w:jc w:val="right"/>
                    <w:rPr>
                      <w:rFonts w:eastAsia="Arial Unicode MS"/>
                      <w:szCs w:val="18"/>
                    </w:rPr>
                  </w:pPr>
                  <w:r w:rsidRPr="00464B95">
                    <w:rPr>
                      <w:szCs w:val="18"/>
                    </w:rPr>
                    <w:t>6,615</w:t>
                  </w:r>
                </w:p>
              </w:tc>
              <w:tc>
                <w:tcPr>
                  <w:tcW w:w="1963" w:type="dxa"/>
                </w:tcPr>
                <w:p w14:paraId="500B3B69" w14:textId="3F04E137" w:rsidR="004A25CE" w:rsidRPr="00464B95" w:rsidRDefault="004A25CE" w:rsidP="00464B95">
                  <w:pPr>
                    <w:pStyle w:val="TableText"/>
                    <w:jc w:val="right"/>
                    <w:rPr>
                      <w:rFonts w:eastAsia="Arial Unicode MS"/>
                      <w:szCs w:val="18"/>
                    </w:rPr>
                  </w:pPr>
                  <w:r w:rsidRPr="00464B95">
                    <w:rPr>
                      <w:szCs w:val="18"/>
                    </w:rPr>
                    <w:t>4,315</w:t>
                  </w:r>
                </w:p>
              </w:tc>
              <w:tc>
                <w:tcPr>
                  <w:tcW w:w="1963" w:type="dxa"/>
                </w:tcPr>
                <w:p w14:paraId="59F301E9" w14:textId="3940C563" w:rsidR="004A25CE" w:rsidRPr="00464B95" w:rsidRDefault="004A25CE" w:rsidP="00464B95">
                  <w:pPr>
                    <w:pStyle w:val="TableText"/>
                    <w:jc w:val="right"/>
                    <w:rPr>
                      <w:rFonts w:eastAsia="Arial Unicode MS"/>
                      <w:szCs w:val="18"/>
                    </w:rPr>
                  </w:pPr>
                  <w:r w:rsidRPr="00464B95">
                    <w:rPr>
                      <w:szCs w:val="18"/>
                    </w:rPr>
                    <w:t>6,079</w:t>
                  </w:r>
                </w:p>
              </w:tc>
            </w:tr>
            <w:tr w:rsidR="004A25CE" w:rsidRPr="00464B95" w14:paraId="19347E86" w14:textId="77777777" w:rsidTr="0066594A">
              <w:tc>
                <w:tcPr>
                  <w:tcW w:w="1963" w:type="dxa"/>
                </w:tcPr>
                <w:p w14:paraId="5B0E8D37" w14:textId="04E1289B" w:rsidR="004A25CE" w:rsidRPr="00464B95" w:rsidRDefault="004A25CE" w:rsidP="00464B95">
                  <w:pPr>
                    <w:pStyle w:val="TableText"/>
                    <w:rPr>
                      <w:rFonts w:eastAsia="Arial Unicode MS"/>
                      <w:szCs w:val="18"/>
                    </w:rPr>
                  </w:pPr>
                  <w:r w:rsidRPr="00464B95">
                    <w:rPr>
                      <w:szCs w:val="18"/>
                    </w:rPr>
                    <w:t>Māori</w:t>
                  </w:r>
                </w:p>
              </w:tc>
              <w:tc>
                <w:tcPr>
                  <w:tcW w:w="1963" w:type="dxa"/>
                </w:tcPr>
                <w:p w14:paraId="584C5C35" w14:textId="4CDF7A48" w:rsidR="004A25CE" w:rsidRPr="00464B95" w:rsidRDefault="004A25CE" w:rsidP="00464B95">
                  <w:pPr>
                    <w:pStyle w:val="TableText"/>
                    <w:jc w:val="right"/>
                    <w:rPr>
                      <w:rFonts w:eastAsia="Arial Unicode MS"/>
                      <w:szCs w:val="18"/>
                    </w:rPr>
                  </w:pPr>
                  <w:r w:rsidRPr="00464B95">
                    <w:rPr>
                      <w:szCs w:val="18"/>
                    </w:rPr>
                    <w:t>7,950</w:t>
                  </w:r>
                </w:p>
              </w:tc>
              <w:tc>
                <w:tcPr>
                  <w:tcW w:w="1963" w:type="dxa"/>
                </w:tcPr>
                <w:p w14:paraId="047A464F" w14:textId="3462E9EF" w:rsidR="004A25CE" w:rsidRPr="00464B95" w:rsidRDefault="004A25CE" w:rsidP="00464B95">
                  <w:pPr>
                    <w:pStyle w:val="TableText"/>
                    <w:jc w:val="right"/>
                    <w:rPr>
                      <w:rFonts w:eastAsia="Arial Unicode MS"/>
                      <w:szCs w:val="18"/>
                    </w:rPr>
                  </w:pPr>
                  <w:r w:rsidRPr="00464B95">
                    <w:rPr>
                      <w:szCs w:val="18"/>
                    </w:rPr>
                    <w:t>5,044</w:t>
                  </w:r>
                </w:p>
              </w:tc>
              <w:tc>
                <w:tcPr>
                  <w:tcW w:w="1963" w:type="dxa"/>
                </w:tcPr>
                <w:p w14:paraId="61E7EB23" w14:textId="51B53E21" w:rsidR="004A25CE" w:rsidRPr="00464B95" w:rsidRDefault="004A25CE" w:rsidP="00464B95">
                  <w:pPr>
                    <w:pStyle w:val="TableText"/>
                    <w:jc w:val="right"/>
                    <w:rPr>
                      <w:rFonts w:eastAsia="Arial Unicode MS"/>
                      <w:szCs w:val="18"/>
                    </w:rPr>
                  </w:pPr>
                  <w:r w:rsidRPr="00464B95">
                    <w:rPr>
                      <w:szCs w:val="18"/>
                    </w:rPr>
                    <w:t>6,837</w:t>
                  </w:r>
                </w:p>
              </w:tc>
            </w:tr>
            <w:tr w:rsidR="004A25CE" w:rsidRPr="00464B95" w14:paraId="586539C3" w14:textId="77777777" w:rsidTr="0066594A">
              <w:tc>
                <w:tcPr>
                  <w:tcW w:w="1963" w:type="dxa"/>
                </w:tcPr>
                <w:p w14:paraId="0DE6A83C" w14:textId="311D5CB1" w:rsidR="004A25CE" w:rsidRPr="00464B95" w:rsidRDefault="004A25CE" w:rsidP="00464B95">
                  <w:pPr>
                    <w:pStyle w:val="TableText"/>
                    <w:rPr>
                      <w:rFonts w:eastAsia="Arial Unicode MS"/>
                      <w:szCs w:val="18"/>
                    </w:rPr>
                  </w:pPr>
                  <w:r w:rsidRPr="00464B95">
                    <w:rPr>
                      <w:szCs w:val="18"/>
                    </w:rPr>
                    <w:t>Pacific</w:t>
                  </w:r>
                </w:p>
              </w:tc>
              <w:tc>
                <w:tcPr>
                  <w:tcW w:w="1963" w:type="dxa"/>
                </w:tcPr>
                <w:p w14:paraId="64D0B932" w14:textId="4E79D0EF" w:rsidR="004A25CE" w:rsidRPr="00464B95" w:rsidRDefault="004A25CE" w:rsidP="00464B95">
                  <w:pPr>
                    <w:pStyle w:val="TableText"/>
                    <w:jc w:val="right"/>
                    <w:rPr>
                      <w:rFonts w:eastAsia="Arial Unicode MS"/>
                      <w:szCs w:val="18"/>
                    </w:rPr>
                  </w:pPr>
                  <w:r w:rsidRPr="00464B95">
                    <w:rPr>
                      <w:szCs w:val="18"/>
                    </w:rPr>
                    <w:t>12,145</w:t>
                  </w:r>
                </w:p>
              </w:tc>
              <w:tc>
                <w:tcPr>
                  <w:tcW w:w="1963" w:type="dxa"/>
                </w:tcPr>
                <w:p w14:paraId="365DA43B" w14:textId="32514A79" w:rsidR="004A25CE" w:rsidRPr="00464B95" w:rsidRDefault="004A25CE" w:rsidP="00464B95">
                  <w:pPr>
                    <w:pStyle w:val="TableText"/>
                    <w:jc w:val="right"/>
                    <w:rPr>
                      <w:rFonts w:eastAsia="Arial Unicode MS"/>
                      <w:szCs w:val="18"/>
                    </w:rPr>
                  </w:pPr>
                  <w:r w:rsidRPr="00464B95">
                    <w:rPr>
                      <w:szCs w:val="18"/>
                    </w:rPr>
                    <w:t>7,133</w:t>
                  </w:r>
                </w:p>
              </w:tc>
              <w:tc>
                <w:tcPr>
                  <w:tcW w:w="1963" w:type="dxa"/>
                </w:tcPr>
                <w:p w14:paraId="417248F2" w14:textId="73A2E224" w:rsidR="004A25CE" w:rsidRPr="00464B95" w:rsidRDefault="004A25CE" w:rsidP="00464B95">
                  <w:pPr>
                    <w:pStyle w:val="TableText"/>
                    <w:jc w:val="right"/>
                    <w:rPr>
                      <w:rFonts w:eastAsia="Arial Unicode MS"/>
                      <w:szCs w:val="18"/>
                    </w:rPr>
                  </w:pPr>
                  <w:r w:rsidRPr="00464B95">
                    <w:rPr>
                      <w:szCs w:val="18"/>
                    </w:rPr>
                    <w:t>10,716</w:t>
                  </w:r>
                </w:p>
              </w:tc>
            </w:tr>
          </w:tbl>
          <w:p w14:paraId="65D49FE7" w14:textId="77777777" w:rsidR="004A25CE" w:rsidRPr="00464B95" w:rsidRDefault="004A25CE" w:rsidP="00464B95">
            <w:pPr>
              <w:spacing w:before="60" w:after="60"/>
              <w:rPr>
                <w:rFonts w:eastAsia="Arial Unicode MS"/>
                <w:b/>
                <w:bCs/>
                <w:sz w:val="18"/>
                <w:szCs w:val="18"/>
              </w:rPr>
            </w:pPr>
            <w:r w:rsidRPr="00464B95">
              <w:rPr>
                <w:rFonts w:eastAsia="Arial Unicode MS"/>
                <w:b/>
                <w:bCs/>
                <w:sz w:val="18"/>
                <w:szCs w:val="18"/>
              </w:rPr>
              <w:t>Comment</w:t>
            </w:r>
          </w:p>
          <w:p w14:paraId="3F698D5C" w14:textId="77777777" w:rsidR="004A25CE" w:rsidRPr="00464B95" w:rsidRDefault="004A25CE" w:rsidP="00464B95">
            <w:pPr>
              <w:spacing w:before="60" w:after="60"/>
              <w:rPr>
                <w:rFonts w:eastAsia="Arial Unicode MS"/>
                <w:sz w:val="18"/>
                <w:szCs w:val="18"/>
              </w:rPr>
            </w:pPr>
            <w:r w:rsidRPr="00464B95">
              <w:rPr>
                <w:rFonts w:eastAsia="Arial Unicode MS"/>
                <w:sz w:val="18"/>
                <w:szCs w:val="18"/>
              </w:rPr>
              <w:t>This indicator looks at hospital admissions for a specific set of conditions that could have potentially been avoided through changes in primary, community and hospital ED settings.</w:t>
            </w:r>
          </w:p>
          <w:p w14:paraId="58A72FD9" w14:textId="4F60EB3F" w:rsidR="004A25CE" w:rsidRPr="00464B95" w:rsidRDefault="004A25CE" w:rsidP="00464B95">
            <w:pPr>
              <w:spacing w:before="60" w:after="60"/>
              <w:rPr>
                <w:rFonts w:eastAsia="Arial Unicode MS"/>
                <w:sz w:val="18"/>
                <w:szCs w:val="18"/>
              </w:rPr>
            </w:pPr>
            <w:r w:rsidRPr="00464B95">
              <w:rPr>
                <w:rFonts w:eastAsia="Arial Unicode MS"/>
                <w:sz w:val="18"/>
                <w:szCs w:val="18"/>
              </w:rPr>
              <w:t>As a likely consequence of COVID-19, there was a reduction in the number of ASH events during 2020. To December 2021, there has been an increase in child ASH events across all ethnicities although not to 2019 levels. Inequities for Māori and Pacific populations remain concerning and is a key focus for improvement.</w:t>
            </w:r>
          </w:p>
        </w:tc>
      </w:tr>
    </w:tbl>
    <w:p w14:paraId="52E14BD3" w14:textId="19BDFA6B" w:rsidR="00D82FFA" w:rsidRPr="00D82FFA" w:rsidRDefault="00D82FFA" w:rsidP="00D82FFA">
      <w:pPr>
        <w:rPr>
          <w:rFonts w:eastAsia="Arial Unicode MS"/>
        </w:rPr>
        <w:sectPr w:rsidR="00D82FFA" w:rsidRPr="00D82FFA" w:rsidSect="00C26282">
          <w:pgSz w:w="11907" w:h="16840" w:code="9"/>
          <w:pgMar w:top="1418" w:right="1701" w:bottom="1134" w:left="1843" w:header="284" w:footer="425" w:gutter="284"/>
          <w:cols w:space="720"/>
        </w:sectPr>
      </w:pPr>
    </w:p>
    <w:p w14:paraId="43C2B584" w14:textId="77777777" w:rsidR="004A25CE" w:rsidRDefault="004A25CE" w:rsidP="004A25CE">
      <w:pPr>
        <w:pStyle w:val="Heading5"/>
        <w:spacing w:before="0"/>
        <w:rPr>
          <w:sz w:val="28"/>
        </w:rPr>
      </w:pPr>
      <w:r w:rsidRPr="004A25CE">
        <w:rPr>
          <w:sz w:val="28"/>
        </w:rPr>
        <w:lastRenderedPageBreak/>
        <w:t>Improving mental wellbeing</w:t>
      </w:r>
    </w:p>
    <w:p w14:paraId="6107A0DF" w14:textId="473B29E3" w:rsidR="004A25CE" w:rsidRDefault="004A25CE" w:rsidP="004A25CE">
      <w:pPr>
        <w:pStyle w:val="Heading5"/>
      </w:pPr>
      <w:r w:rsidRPr="00D82FFA">
        <w:t>Indicator results</w:t>
      </w: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4A25CE" w14:paraId="6F8207A6" w14:textId="77777777" w:rsidTr="0066594A">
        <w:tc>
          <w:tcPr>
            <w:tcW w:w="8079" w:type="dxa"/>
            <w:shd w:val="clear" w:color="auto" w:fill="D9D9D9" w:themeFill="background1" w:themeFillShade="D9"/>
          </w:tcPr>
          <w:p w14:paraId="1435D03A" w14:textId="36232F0D" w:rsidR="004A25CE" w:rsidRPr="00464B95" w:rsidRDefault="004A25CE" w:rsidP="00464B95">
            <w:pPr>
              <w:spacing w:before="60" w:after="60"/>
              <w:rPr>
                <w:rFonts w:eastAsia="Arial Unicode MS"/>
                <w:b/>
                <w:bCs/>
                <w:sz w:val="18"/>
                <w:szCs w:val="18"/>
              </w:rPr>
            </w:pPr>
            <w:r w:rsidRPr="00464B95">
              <w:rPr>
                <w:rFonts w:eastAsia="Arial Unicode MS"/>
                <w:b/>
                <w:bCs/>
                <w:sz w:val="18"/>
                <w:szCs w:val="18"/>
              </w:rPr>
              <w:t>Under 25-year-olds able to access specialist mental health services within 3 weeks of referral</w:t>
            </w:r>
          </w:p>
        </w:tc>
      </w:tr>
      <w:tr w:rsidR="004A25CE" w14:paraId="732F25E8" w14:textId="77777777" w:rsidTr="0066594A">
        <w:tc>
          <w:tcPr>
            <w:tcW w:w="8079" w:type="dxa"/>
            <w:tcBorders>
              <w:bottom w:val="single" w:sz="4" w:space="0" w:color="A6A6A6" w:themeColor="background1" w:themeShade="A6"/>
            </w:tcBorders>
          </w:tcPr>
          <w:p w14:paraId="6A6C6F8D" w14:textId="77777777" w:rsidR="004A25CE" w:rsidRPr="00464B95" w:rsidRDefault="004A25CE" w:rsidP="00464B95">
            <w:pPr>
              <w:spacing w:before="60" w:after="60"/>
              <w:rPr>
                <w:rFonts w:eastAsia="Arial Unicode MS"/>
                <w:b/>
                <w:bCs/>
                <w:sz w:val="18"/>
                <w:szCs w:val="18"/>
              </w:rPr>
            </w:pPr>
            <w:r w:rsidRPr="00464B95">
              <w:rPr>
                <w:rFonts w:eastAsia="Arial Unicode MS"/>
                <w:b/>
                <w:bCs/>
                <w:sz w:val="18"/>
                <w:szCs w:val="18"/>
              </w:rPr>
              <w:t>Indicator description</w:t>
            </w:r>
          </w:p>
          <w:p w14:paraId="5D0064FD" w14:textId="0801160B" w:rsidR="004A25CE" w:rsidRPr="00464B95" w:rsidRDefault="00464B95" w:rsidP="00464B95">
            <w:pPr>
              <w:spacing w:before="60" w:after="60"/>
              <w:rPr>
                <w:rFonts w:eastAsia="Arial Unicode MS"/>
                <w:sz w:val="18"/>
                <w:szCs w:val="18"/>
              </w:rPr>
            </w:pPr>
            <w:r w:rsidRPr="00464B95">
              <w:rPr>
                <w:rFonts w:eastAsia="Arial Unicode MS"/>
                <w:sz w:val="18"/>
                <w:szCs w:val="18"/>
              </w:rPr>
              <w:t>Percentage of child and youth accessing mental health services within 3 weeks of referral.</w:t>
            </w:r>
          </w:p>
        </w:tc>
      </w:tr>
      <w:tr w:rsidR="004A25CE" w14:paraId="6340C89E" w14:textId="77777777" w:rsidTr="0066594A">
        <w:tc>
          <w:tcPr>
            <w:tcW w:w="8079" w:type="dxa"/>
            <w:tcBorders>
              <w:top w:val="single" w:sz="4" w:space="0" w:color="A6A6A6" w:themeColor="background1" w:themeShade="A6"/>
              <w:bottom w:val="nil"/>
            </w:tcBorders>
          </w:tcPr>
          <w:p w14:paraId="72CE39FA" w14:textId="77777777" w:rsidR="004A25CE" w:rsidRPr="00464B95" w:rsidRDefault="004A25CE" w:rsidP="00464B95">
            <w:pPr>
              <w:spacing w:before="60" w:after="60"/>
              <w:rPr>
                <w:rFonts w:eastAsia="Arial Unicode MS"/>
                <w:b/>
                <w:bCs/>
                <w:sz w:val="18"/>
                <w:szCs w:val="18"/>
              </w:rPr>
            </w:pPr>
            <w:r w:rsidRPr="00464B95">
              <w:rPr>
                <w:rFonts w:eastAsia="Arial Unicode MS"/>
                <w:b/>
                <w:bCs/>
                <w:sz w:val="18"/>
                <w:szCs w:val="18"/>
              </w:rPr>
              <w:t>Baseline data</w:t>
            </w:r>
          </w:p>
          <w:p w14:paraId="6C932008" w14:textId="28545D5A" w:rsidR="004A25CE" w:rsidRPr="00464B95" w:rsidRDefault="00464B95" w:rsidP="00464B95">
            <w:pPr>
              <w:spacing w:before="60" w:after="60"/>
              <w:rPr>
                <w:rFonts w:eastAsia="Arial Unicode MS"/>
                <w:sz w:val="18"/>
                <w:szCs w:val="18"/>
              </w:rPr>
            </w:pPr>
            <w:r w:rsidRPr="00464B95">
              <w:rPr>
                <w:rFonts w:eastAsia="Arial Unicode MS"/>
                <w:sz w:val="18"/>
                <w:szCs w:val="18"/>
              </w:rPr>
              <w:t>69.4% of under-25-year-olds able to access specialist mental health services within 3 weeks of   referral.</w:t>
            </w:r>
          </w:p>
        </w:tc>
      </w:tr>
      <w:tr w:rsidR="004A25CE" w14:paraId="591791CA" w14:textId="77777777" w:rsidTr="0066594A">
        <w:tc>
          <w:tcPr>
            <w:tcW w:w="8079" w:type="dxa"/>
            <w:tcBorders>
              <w:top w:val="nil"/>
            </w:tcBorders>
          </w:tcPr>
          <w:p w14:paraId="475D3D06" w14:textId="5918173A" w:rsidR="004A25CE" w:rsidRPr="00464B95" w:rsidRDefault="004A25CE" w:rsidP="00464B95">
            <w:pPr>
              <w:pBdr>
                <w:top w:val="single" w:sz="4" w:space="1" w:color="A6A6A6" w:themeColor="background1" w:themeShade="A6"/>
              </w:pBdr>
              <w:spacing w:before="60" w:after="60"/>
              <w:rPr>
                <w:rFonts w:eastAsia="Arial Unicode MS"/>
                <w:b/>
                <w:bCs/>
                <w:sz w:val="18"/>
                <w:szCs w:val="18"/>
              </w:rPr>
            </w:pPr>
            <w:r w:rsidRPr="00464B95">
              <w:rPr>
                <w:rFonts w:eastAsia="Arial Unicode MS"/>
                <w:b/>
                <w:bCs/>
                <w:sz w:val="18"/>
                <w:szCs w:val="18"/>
              </w:rPr>
              <w:t xml:space="preserve">Results </w:t>
            </w:r>
            <w:r w:rsidR="00464B95" w:rsidRPr="00464B95">
              <w:rPr>
                <w:rFonts w:eastAsia="Arial Unicode MS"/>
                <w:sz w:val="18"/>
                <w:szCs w:val="18"/>
              </w:rPr>
              <w:t>(Percentage of people being able to access services for the 12 months ending 31 December)</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963"/>
              <w:gridCol w:w="1963"/>
              <w:gridCol w:w="1963"/>
              <w:gridCol w:w="1963"/>
            </w:tblGrid>
            <w:tr w:rsidR="004A25CE" w:rsidRPr="00464B95" w14:paraId="7F479342" w14:textId="77777777" w:rsidTr="0066594A">
              <w:tc>
                <w:tcPr>
                  <w:tcW w:w="1963" w:type="dxa"/>
                </w:tcPr>
                <w:p w14:paraId="5EFAF109" w14:textId="77777777" w:rsidR="004A25CE" w:rsidRPr="00464B95" w:rsidRDefault="004A25CE" w:rsidP="00464B95">
                  <w:pPr>
                    <w:pStyle w:val="TableText"/>
                    <w:rPr>
                      <w:rFonts w:eastAsia="Arial Unicode MS"/>
                      <w:szCs w:val="18"/>
                    </w:rPr>
                  </w:pPr>
                </w:p>
              </w:tc>
              <w:tc>
                <w:tcPr>
                  <w:tcW w:w="1963" w:type="dxa"/>
                </w:tcPr>
                <w:p w14:paraId="5BFDC8A6" w14:textId="77777777" w:rsidR="004A25CE" w:rsidRPr="00464B95" w:rsidRDefault="004A25CE" w:rsidP="00464B95">
                  <w:pPr>
                    <w:pStyle w:val="TableText"/>
                    <w:jc w:val="right"/>
                    <w:rPr>
                      <w:rFonts w:eastAsia="Arial Unicode MS"/>
                      <w:b/>
                      <w:bCs/>
                      <w:szCs w:val="18"/>
                    </w:rPr>
                  </w:pPr>
                  <w:r w:rsidRPr="00464B95">
                    <w:rPr>
                      <w:b/>
                      <w:bCs/>
                      <w:szCs w:val="18"/>
                    </w:rPr>
                    <w:t>2019</w:t>
                  </w:r>
                </w:p>
              </w:tc>
              <w:tc>
                <w:tcPr>
                  <w:tcW w:w="1963" w:type="dxa"/>
                </w:tcPr>
                <w:p w14:paraId="3207751A" w14:textId="77777777" w:rsidR="004A25CE" w:rsidRPr="00464B95" w:rsidRDefault="004A25CE" w:rsidP="00464B95">
                  <w:pPr>
                    <w:pStyle w:val="TableText"/>
                    <w:jc w:val="right"/>
                    <w:rPr>
                      <w:rFonts w:eastAsia="Arial Unicode MS"/>
                      <w:b/>
                      <w:bCs/>
                      <w:szCs w:val="18"/>
                    </w:rPr>
                  </w:pPr>
                  <w:r w:rsidRPr="00464B95">
                    <w:rPr>
                      <w:b/>
                      <w:bCs/>
                      <w:szCs w:val="18"/>
                    </w:rPr>
                    <w:t>2020</w:t>
                  </w:r>
                </w:p>
              </w:tc>
              <w:tc>
                <w:tcPr>
                  <w:tcW w:w="1963" w:type="dxa"/>
                </w:tcPr>
                <w:p w14:paraId="63243664" w14:textId="77777777" w:rsidR="004A25CE" w:rsidRPr="00464B95" w:rsidRDefault="004A25CE" w:rsidP="00464B95">
                  <w:pPr>
                    <w:pStyle w:val="TableText"/>
                    <w:jc w:val="right"/>
                    <w:rPr>
                      <w:rFonts w:eastAsia="Arial Unicode MS"/>
                      <w:b/>
                      <w:bCs/>
                      <w:szCs w:val="18"/>
                    </w:rPr>
                  </w:pPr>
                  <w:r w:rsidRPr="00464B95">
                    <w:rPr>
                      <w:b/>
                      <w:bCs/>
                      <w:szCs w:val="18"/>
                    </w:rPr>
                    <w:t>2021</w:t>
                  </w:r>
                </w:p>
              </w:tc>
            </w:tr>
            <w:tr w:rsidR="00464B95" w:rsidRPr="00464B95" w14:paraId="5B654514" w14:textId="77777777" w:rsidTr="0066594A">
              <w:tc>
                <w:tcPr>
                  <w:tcW w:w="1963" w:type="dxa"/>
                </w:tcPr>
                <w:p w14:paraId="77E9519F" w14:textId="779763E2" w:rsidR="00464B95" w:rsidRPr="00464B95" w:rsidRDefault="00464B95" w:rsidP="00464B95">
                  <w:pPr>
                    <w:pStyle w:val="TableText"/>
                    <w:rPr>
                      <w:rFonts w:eastAsia="Arial Unicode MS"/>
                      <w:szCs w:val="18"/>
                    </w:rPr>
                  </w:pPr>
                  <w:r w:rsidRPr="00464B95">
                    <w:rPr>
                      <w:szCs w:val="18"/>
                    </w:rPr>
                    <w:t>All Ethnicities</w:t>
                  </w:r>
                </w:p>
              </w:tc>
              <w:tc>
                <w:tcPr>
                  <w:tcW w:w="1963" w:type="dxa"/>
                </w:tcPr>
                <w:p w14:paraId="4CED2A56" w14:textId="769C87F1" w:rsidR="00464B95" w:rsidRPr="00464B95" w:rsidRDefault="00464B95" w:rsidP="00464B95">
                  <w:pPr>
                    <w:pStyle w:val="TableText"/>
                    <w:jc w:val="right"/>
                    <w:rPr>
                      <w:rFonts w:eastAsia="Arial Unicode MS"/>
                      <w:szCs w:val="18"/>
                    </w:rPr>
                  </w:pPr>
                  <w:r w:rsidRPr="00464B95">
                    <w:rPr>
                      <w:szCs w:val="18"/>
                    </w:rPr>
                    <w:t>69.4%</w:t>
                  </w:r>
                </w:p>
              </w:tc>
              <w:tc>
                <w:tcPr>
                  <w:tcW w:w="1963" w:type="dxa"/>
                </w:tcPr>
                <w:p w14:paraId="417DFC89" w14:textId="2C00928E" w:rsidR="00464B95" w:rsidRPr="00464B95" w:rsidRDefault="00464B95" w:rsidP="00464B95">
                  <w:pPr>
                    <w:pStyle w:val="TableText"/>
                    <w:jc w:val="right"/>
                    <w:rPr>
                      <w:rFonts w:eastAsia="Arial Unicode MS"/>
                      <w:szCs w:val="18"/>
                    </w:rPr>
                  </w:pPr>
                  <w:r w:rsidRPr="00464B95">
                    <w:rPr>
                      <w:szCs w:val="18"/>
                    </w:rPr>
                    <w:t>67.0%</w:t>
                  </w:r>
                </w:p>
              </w:tc>
              <w:tc>
                <w:tcPr>
                  <w:tcW w:w="1963" w:type="dxa"/>
                </w:tcPr>
                <w:p w14:paraId="194DDEB3" w14:textId="6A476D11" w:rsidR="00464B95" w:rsidRPr="00464B95" w:rsidRDefault="00464B95" w:rsidP="00464B95">
                  <w:pPr>
                    <w:pStyle w:val="TableText"/>
                    <w:jc w:val="right"/>
                    <w:rPr>
                      <w:rFonts w:eastAsia="Arial Unicode MS"/>
                      <w:szCs w:val="18"/>
                    </w:rPr>
                  </w:pPr>
                  <w:r w:rsidRPr="00464B95">
                    <w:rPr>
                      <w:szCs w:val="18"/>
                    </w:rPr>
                    <w:t>72.7%</w:t>
                  </w:r>
                </w:p>
              </w:tc>
            </w:tr>
            <w:tr w:rsidR="00464B95" w:rsidRPr="00464B95" w14:paraId="0A689DBF" w14:textId="77777777" w:rsidTr="0066594A">
              <w:tc>
                <w:tcPr>
                  <w:tcW w:w="1963" w:type="dxa"/>
                </w:tcPr>
                <w:p w14:paraId="5717F81D" w14:textId="3A933FE6" w:rsidR="00464B95" w:rsidRPr="00464B95" w:rsidRDefault="00464B95" w:rsidP="00464B95">
                  <w:pPr>
                    <w:pStyle w:val="TableText"/>
                    <w:rPr>
                      <w:rFonts w:eastAsia="Arial Unicode MS"/>
                      <w:szCs w:val="18"/>
                    </w:rPr>
                  </w:pPr>
                  <w:r w:rsidRPr="00464B95">
                    <w:rPr>
                      <w:szCs w:val="18"/>
                    </w:rPr>
                    <w:t>Māori</w:t>
                  </w:r>
                </w:p>
              </w:tc>
              <w:tc>
                <w:tcPr>
                  <w:tcW w:w="1963" w:type="dxa"/>
                </w:tcPr>
                <w:p w14:paraId="4D96674C" w14:textId="366ECCFC" w:rsidR="00464B95" w:rsidRPr="00464B95" w:rsidRDefault="00464B95" w:rsidP="00464B95">
                  <w:pPr>
                    <w:pStyle w:val="TableText"/>
                    <w:jc w:val="right"/>
                    <w:rPr>
                      <w:rFonts w:eastAsia="Arial Unicode MS"/>
                      <w:szCs w:val="18"/>
                    </w:rPr>
                  </w:pPr>
                  <w:r w:rsidRPr="00464B95">
                    <w:rPr>
                      <w:szCs w:val="18"/>
                    </w:rPr>
                    <w:t>73.7%</w:t>
                  </w:r>
                </w:p>
              </w:tc>
              <w:tc>
                <w:tcPr>
                  <w:tcW w:w="1963" w:type="dxa"/>
                </w:tcPr>
                <w:p w14:paraId="1E05A4A1" w14:textId="3ABABB6B" w:rsidR="00464B95" w:rsidRPr="00464B95" w:rsidRDefault="00464B95" w:rsidP="00464B95">
                  <w:pPr>
                    <w:pStyle w:val="TableText"/>
                    <w:jc w:val="right"/>
                    <w:rPr>
                      <w:rFonts w:eastAsia="Arial Unicode MS"/>
                      <w:szCs w:val="18"/>
                    </w:rPr>
                  </w:pPr>
                  <w:r w:rsidRPr="00464B95">
                    <w:rPr>
                      <w:szCs w:val="18"/>
                    </w:rPr>
                    <w:t>73.4%</w:t>
                  </w:r>
                </w:p>
              </w:tc>
              <w:tc>
                <w:tcPr>
                  <w:tcW w:w="1963" w:type="dxa"/>
                </w:tcPr>
                <w:p w14:paraId="59897C0B" w14:textId="394EA247" w:rsidR="00464B95" w:rsidRPr="00464B95" w:rsidRDefault="00464B95" w:rsidP="00464B95">
                  <w:pPr>
                    <w:pStyle w:val="TableText"/>
                    <w:jc w:val="right"/>
                    <w:rPr>
                      <w:rFonts w:eastAsia="Arial Unicode MS"/>
                      <w:szCs w:val="18"/>
                    </w:rPr>
                  </w:pPr>
                  <w:r w:rsidRPr="00464B95">
                    <w:rPr>
                      <w:szCs w:val="18"/>
                    </w:rPr>
                    <w:t>79.6%</w:t>
                  </w:r>
                </w:p>
              </w:tc>
            </w:tr>
            <w:tr w:rsidR="00464B95" w:rsidRPr="00464B95" w14:paraId="3FC308C3" w14:textId="77777777" w:rsidTr="0066594A">
              <w:tc>
                <w:tcPr>
                  <w:tcW w:w="1963" w:type="dxa"/>
                </w:tcPr>
                <w:p w14:paraId="6A786381" w14:textId="569615EC" w:rsidR="00464B95" w:rsidRPr="00464B95" w:rsidRDefault="00464B95" w:rsidP="00464B95">
                  <w:pPr>
                    <w:pStyle w:val="TableText"/>
                    <w:rPr>
                      <w:rFonts w:eastAsia="Arial Unicode MS"/>
                      <w:szCs w:val="18"/>
                    </w:rPr>
                  </w:pPr>
                  <w:r w:rsidRPr="00464B95">
                    <w:rPr>
                      <w:szCs w:val="18"/>
                    </w:rPr>
                    <w:t>Pacific</w:t>
                  </w:r>
                </w:p>
              </w:tc>
              <w:tc>
                <w:tcPr>
                  <w:tcW w:w="1963" w:type="dxa"/>
                </w:tcPr>
                <w:p w14:paraId="278E31C4" w14:textId="1B642BD5" w:rsidR="00464B95" w:rsidRPr="00464B95" w:rsidRDefault="00464B95" w:rsidP="00464B95">
                  <w:pPr>
                    <w:pStyle w:val="TableText"/>
                    <w:jc w:val="right"/>
                    <w:rPr>
                      <w:rFonts w:eastAsia="Arial Unicode MS"/>
                      <w:szCs w:val="18"/>
                    </w:rPr>
                  </w:pPr>
                  <w:r w:rsidRPr="00464B95">
                    <w:rPr>
                      <w:szCs w:val="18"/>
                    </w:rPr>
                    <w:t>77.7%</w:t>
                  </w:r>
                </w:p>
              </w:tc>
              <w:tc>
                <w:tcPr>
                  <w:tcW w:w="1963" w:type="dxa"/>
                </w:tcPr>
                <w:p w14:paraId="1518073E" w14:textId="248688DF" w:rsidR="00464B95" w:rsidRPr="00464B95" w:rsidRDefault="00464B95" w:rsidP="00464B95">
                  <w:pPr>
                    <w:pStyle w:val="TableText"/>
                    <w:jc w:val="right"/>
                    <w:rPr>
                      <w:rFonts w:eastAsia="Arial Unicode MS"/>
                      <w:szCs w:val="18"/>
                    </w:rPr>
                  </w:pPr>
                  <w:r w:rsidRPr="00464B95">
                    <w:rPr>
                      <w:szCs w:val="18"/>
                    </w:rPr>
                    <w:t>77.1%</w:t>
                  </w:r>
                </w:p>
              </w:tc>
              <w:tc>
                <w:tcPr>
                  <w:tcW w:w="1963" w:type="dxa"/>
                </w:tcPr>
                <w:p w14:paraId="55DAA399" w14:textId="4C7CAE26" w:rsidR="00464B95" w:rsidRPr="00464B95" w:rsidRDefault="00464B95" w:rsidP="00464B95">
                  <w:pPr>
                    <w:pStyle w:val="TableText"/>
                    <w:jc w:val="right"/>
                    <w:rPr>
                      <w:rFonts w:eastAsia="Arial Unicode MS"/>
                      <w:szCs w:val="18"/>
                    </w:rPr>
                  </w:pPr>
                  <w:r w:rsidRPr="00464B95">
                    <w:rPr>
                      <w:szCs w:val="18"/>
                    </w:rPr>
                    <w:t>86.1%</w:t>
                  </w:r>
                </w:p>
              </w:tc>
            </w:tr>
          </w:tbl>
          <w:p w14:paraId="3833F50F" w14:textId="77777777" w:rsidR="004A25CE" w:rsidRPr="00464B95" w:rsidRDefault="004A25CE" w:rsidP="00464B95">
            <w:pPr>
              <w:spacing w:before="60" w:after="60"/>
              <w:rPr>
                <w:rFonts w:eastAsia="Arial Unicode MS"/>
                <w:b/>
                <w:bCs/>
                <w:sz w:val="18"/>
                <w:szCs w:val="18"/>
              </w:rPr>
            </w:pPr>
            <w:r w:rsidRPr="00464B95">
              <w:rPr>
                <w:rFonts w:eastAsia="Arial Unicode MS"/>
                <w:b/>
                <w:bCs/>
                <w:sz w:val="18"/>
                <w:szCs w:val="18"/>
              </w:rPr>
              <w:t>Comment</w:t>
            </w:r>
          </w:p>
          <w:p w14:paraId="3D837951" w14:textId="4B58628A" w:rsidR="00464B95" w:rsidRPr="00464B95" w:rsidRDefault="00464B95" w:rsidP="00464B95">
            <w:pPr>
              <w:spacing w:before="60" w:after="60"/>
              <w:rPr>
                <w:rFonts w:eastAsia="Arial Unicode MS"/>
                <w:sz w:val="18"/>
                <w:szCs w:val="18"/>
              </w:rPr>
            </w:pPr>
            <w:r w:rsidRPr="00464B95">
              <w:rPr>
                <w:rFonts w:eastAsia="Arial Unicode MS"/>
                <w:sz w:val="18"/>
                <w:szCs w:val="18"/>
              </w:rPr>
              <w:t>Accessing help for mental health issues for young people is associated with better outcomes and reduced disruption to important developmental tasks such as engagement in education and employment, developing and maintaining supportive peer relationships and taking on the tasks of increasing autonomy.</w:t>
            </w:r>
          </w:p>
          <w:p w14:paraId="4C0B8F17" w14:textId="1E091C95" w:rsidR="00464B95" w:rsidRPr="00464B95" w:rsidRDefault="00464B95" w:rsidP="00464B95">
            <w:pPr>
              <w:spacing w:before="60" w:after="60"/>
              <w:rPr>
                <w:rFonts w:eastAsia="Arial Unicode MS"/>
                <w:sz w:val="18"/>
                <w:szCs w:val="18"/>
              </w:rPr>
            </w:pPr>
            <w:r w:rsidRPr="00464B95">
              <w:rPr>
                <w:rFonts w:eastAsia="Arial Unicode MS"/>
                <w:sz w:val="18"/>
                <w:szCs w:val="18"/>
              </w:rPr>
              <w:t>The indicator measures the time from referral to first in-scope contact with specialist mental health services and so relates to those young people who have the most severe mental health or substance harm issues. Whilst not all young people need to be seen urgently, the measure provides a view of service responsiveness to young people’s needs within the resources they have available. Performance against the measure is impacted by a range of factors including workforce supply and capability, funding of services, services connection to other providers in their community and a range of other factors.</w:t>
            </w:r>
          </w:p>
          <w:p w14:paraId="75E7CFB0" w14:textId="06F89B62" w:rsidR="004A25CE" w:rsidRPr="00464B95" w:rsidRDefault="00464B95" w:rsidP="00464B95">
            <w:pPr>
              <w:spacing w:before="60" w:after="60"/>
              <w:rPr>
                <w:rFonts w:eastAsia="Arial Unicode MS"/>
                <w:sz w:val="18"/>
                <w:szCs w:val="18"/>
              </w:rPr>
            </w:pPr>
            <w:r w:rsidRPr="00464B95">
              <w:rPr>
                <w:rFonts w:eastAsia="Arial Unicode MS"/>
                <w:sz w:val="18"/>
                <w:szCs w:val="18"/>
              </w:rPr>
              <w:t>Improvement in the overall performance against the measure from 69.4% at 2019 baseline to 72.7% in 2021 is unlikely to be statistically significant for all ethnicities. However, the improvement of 5.9% for Māori and 8.4% for Pacific young people between 2019 – 2021 is encouraging. However, caution should be exercised when considering the implication of these data. The national impacts of the COVID-19 pandemic had impacts on factors such as service provision and young people’s reduced school attendance (where mental health issues are often identified). It is therefore likely that some of the improvement is due to fewer young people being seen.</w:t>
            </w:r>
          </w:p>
        </w:tc>
      </w:tr>
    </w:tbl>
    <w:p w14:paraId="22AAF997" w14:textId="77777777" w:rsidR="004A25CE" w:rsidRDefault="004A25CE" w:rsidP="00851B45">
      <w:pPr>
        <w:rPr>
          <w:rFonts w:eastAsia="Arial Unicode MS"/>
        </w:rPr>
      </w:pP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75217A" w14:paraId="3CE1F68C" w14:textId="77777777" w:rsidTr="0066594A">
        <w:tc>
          <w:tcPr>
            <w:tcW w:w="8079" w:type="dxa"/>
            <w:shd w:val="clear" w:color="auto" w:fill="D9D9D9" w:themeFill="background1" w:themeFillShade="D9"/>
          </w:tcPr>
          <w:p w14:paraId="4EDAD9CA" w14:textId="4690E341" w:rsidR="0075217A" w:rsidRPr="00464B95" w:rsidRDefault="0075217A" w:rsidP="0066594A">
            <w:pPr>
              <w:spacing w:before="60" w:after="60"/>
              <w:rPr>
                <w:rFonts w:eastAsia="Arial Unicode MS"/>
                <w:b/>
                <w:bCs/>
                <w:sz w:val="18"/>
                <w:szCs w:val="18"/>
              </w:rPr>
            </w:pPr>
            <w:r w:rsidRPr="0075217A">
              <w:rPr>
                <w:rFonts w:eastAsia="Arial Unicode MS"/>
                <w:b/>
                <w:bCs/>
                <w:sz w:val="18"/>
                <w:szCs w:val="18"/>
              </w:rPr>
              <w:t>Access to primary mental health and addiction services</w:t>
            </w:r>
          </w:p>
        </w:tc>
      </w:tr>
      <w:tr w:rsidR="0075217A" w14:paraId="6A9C3EFF" w14:textId="77777777" w:rsidTr="0066594A">
        <w:tc>
          <w:tcPr>
            <w:tcW w:w="8079" w:type="dxa"/>
            <w:tcBorders>
              <w:bottom w:val="single" w:sz="4" w:space="0" w:color="A6A6A6" w:themeColor="background1" w:themeShade="A6"/>
            </w:tcBorders>
          </w:tcPr>
          <w:p w14:paraId="43BC1C5F" w14:textId="77777777" w:rsidR="0075217A" w:rsidRPr="00464B95" w:rsidRDefault="0075217A" w:rsidP="0066594A">
            <w:pPr>
              <w:spacing w:before="60" w:after="60"/>
              <w:rPr>
                <w:rFonts w:eastAsia="Arial Unicode MS"/>
                <w:b/>
                <w:bCs/>
                <w:sz w:val="18"/>
                <w:szCs w:val="18"/>
              </w:rPr>
            </w:pPr>
            <w:r w:rsidRPr="00464B95">
              <w:rPr>
                <w:rFonts w:eastAsia="Arial Unicode MS"/>
                <w:b/>
                <w:bCs/>
                <w:sz w:val="18"/>
                <w:szCs w:val="18"/>
              </w:rPr>
              <w:t>Indicator description</w:t>
            </w:r>
          </w:p>
          <w:p w14:paraId="2299353E" w14:textId="6714F1B2" w:rsidR="0075217A" w:rsidRPr="00464B95" w:rsidRDefault="0075217A" w:rsidP="0066594A">
            <w:pPr>
              <w:spacing w:before="60" w:after="60"/>
              <w:rPr>
                <w:rFonts w:eastAsia="Arial Unicode MS"/>
                <w:sz w:val="18"/>
                <w:szCs w:val="18"/>
              </w:rPr>
            </w:pPr>
            <w:r w:rsidRPr="0075217A">
              <w:rPr>
                <w:rFonts w:eastAsia="Arial Unicode MS"/>
                <w:sz w:val="18"/>
                <w:szCs w:val="18"/>
              </w:rPr>
              <w:t>In development.</w:t>
            </w:r>
          </w:p>
        </w:tc>
      </w:tr>
      <w:tr w:rsidR="0075217A" w14:paraId="69727699" w14:textId="77777777" w:rsidTr="00F11A3D">
        <w:tc>
          <w:tcPr>
            <w:tcW w:w="8079" w:type="dxa"/>
            <w:tcBorders>
              <w:top w:val="single" w:sz="4" w:space="0" w:color="A6A6A6" w:themeColor="background1" w:themeShade="A6"/>
              <w:bottom w:val="nil"/>
            </w:tcBorders>
          </w:tcPr>
          <w:p w14:paraId="0729B4AD" w14:textId="77777777" w:rsidR="0075217A" w:rsidRPr="00464B95" w:rsidRDefault="0075217A" w:rsidP="0066594A">
            <w:pPr>
              <w:spacing w:before="60" w:after="60"/>
              <w:rPr>
                <w:rFonts w:eastAsia="Arial Unicode MS"/>
                <w:b/>
                <w:bCs/>
                <w:sz w:val="18"/>
                <w:szCs w:val="18"/>
              </w:rPr>
            </w:pPr>
            <w:r w:rsidRPr="00464B95">
              <w:rPr>
                <w:rFonts w:eastAsia="Arial Unicode MS"/>
                <w:b/>
                <w:bCs/>
                <w:sz w:val="18"/>
                <w:szCs w:val="18"/>
              </w:rPr>
              <w:t>Baseline data</w:t>
            </w:r>
          </w:p>
          <w:p w14:paraId="660503DF" w14:textId="1D0C25E2" w:rsidR="0075217A" w:rsidRPr="00464B95" w:rsidRDefault="0075217A" w:rsidP="0066594A">
            <w:pPr>
              <w:spacing w:before="60" w:after="60"/>
              <w:rPr>
                <w:rFonts w:eastAsia="Arial Unicode MS"/>
                <w:sz w:val="18"/>
                <w:szCs w:val="18"/>
              </w:rPr>
            </w:pPr>
            <w:r w:rsidRPr="0075217A">
              <w:rPr>
                <w:rFonts w:eastAsia="Arial Unicode MS"/>
                <w:sz w:val="18"/>
                <w:szCs w:val="18"/>
              </w:rPr>
              <w:t>In development.</w:t>
            </w:r>
          </w:p>
        </w:tc>
      </w:tr>
      <w:tr w:rsidR="0075217A" w14:paraId="5753680C" w14:textId="77777777" w:rsidTr="00F11A3D">
        <w:tc>
          <w:tcPr>
            <w:tcW w:w="8079" w:type="dxa"/>
            <w:tcBorders>
              <w:top w:val="nil"/>
              <w:bottom w:val="nil"/>
            </w:tcBorders>
          </w:tcPr>
          <w:p w14:paraId="673CBDB2" w14:textId="3F7BF1EC" w:rsidR="0075217A" w:rsidRPr="00464B95" w:rsidRDefault="0075217A" w:rsidP="0066594A">
            <w:pPr>
              <w:pBdr>
                <w:top w:val="single" w:sz="4" w:space="1" w:color="A6A6A6" w:themeColor="background1" w:themeShade="A6"/>
              </w:pBdr>
              <w:spacing w:before="60" w:after="60"/>
              <w:rPr>
                <w:rFonts w:eastAsia="Arial Unicode MS"/>
                <w:b/>
                <w:bCs/>
                <w:sz w:val="18"/>
                <w:szCs w:val="18"/>
              </w:rPr>
            </w:pPr>
            <w:r w:rsidRPr="00464B95">
              <w:rPr>
                <w:rFonts w:eastAsia="Arial Unicode MS"/>
                <w:b/>
                <w:bCs/>
                <w:sz w:val="18"/>
                <w:szCs w:val="18"/>
              </w:rPr>
              <w:t xml:space="preserve">Results </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963"/>
              <w:gridCol w:w="1963"/>
              <w:gridCol w:w="1963"/>
              <w:gridCol w:w="1964"/>
            </w:tblGrid>
            <w:tr w:rsidR="0075217A" w:rsidRPr="00464B95" w14:paraId="76D117AC" w14:textId="77777777" w:rsidTr="0066594A">
              <w:trPr>
                <w:gridAfter w:val="1"/>
                <w:wAfter w:w="1964" w:type="dxa"/>
              </w:trPr>
              <w:tc>
                <w:tcPr>
                  <w:tcW w:w="1963" w:type="dxa"/>
                </w:tcPr>
                <w:p w14:paraId="43452F3F" w14:textId="77777777" w:rsidR="0075217A" w:rsidRPr="00464B95" w:rsidRDefault="0075217A" w:rsidP="0066594A">
                  <w:pPr>
                    <w:pStyle w:val="TableText"/>
                    <w:jc w:val="right"/>
                    <w:rPr>
                      <w:rFonts w:eastAsia="Arial Unicode MS"/>
                      <w:b/>
                      <w:bCs/>
                      <w:szCs w:val="18"/>
                    </w:rPr>
                  </w:pPr>
                  <w:r w:rsidRPr="00464B95">
                    <w:rPr>
                      <w:b/>
                      <w:bCs/>
                      <w:szCs w:val="18"/>
                    </w:rPr>
                    <w:t>2019</w:t>
                  </w:r>
                </w:p>
              </w:tc>
              <w:tc>
                <w:tcPr>
                  <w:tcW w:w="1963" w:type="dxa"/>
                </w:tcPr>
                <w:p w14:paraId="50325868" w14:textId="77777777" w:rsidR="0075217A" w:rsidRPr="00464B95" w:rsidRDefault="0075217A" w:rsidP="0066594A">
                  <w:pPr>
                    <w:pStyle w:val="TableText"/>
                    <w:jc w:val="right"/>
                    <w:rPr>
                      <w:rFonts w:eastAsia="Arial Unicode MS"/>
                      <w:b/>
                      <w:bCs/>
                      <w:szCs w:val="18"/>
                    </w:rPr>
                  </w:pPr>
                  <w:r w:rsidRPr="00464B95">
                    <w:rPr>
                      <w:b/>
                      <w:bCs/>
                      <w:szCs w:val="18"/>
                    </w:rPr>
                    <w:t>2020</w:t>
                  </w:r>
                </w:p>
              </w:tc>
              <w:tc>
                <w:tcPr>
                  <w:tcW w:w="1963" w:type="dxa"/>
                </w:tcPr>
                <w:p w14:paraId="3676636D" w14:textId="77777777" w:rsidR="0075217A" w:rsidRPr="00464B95" w:rsidRDefault="0075217A" w:rsidP="0066594A">
                  <w:pPr>
                    <w:pStyle w:val="TableText"/>
                    <w:jc w:val="right"/>
                    <w:rPr>
                      <w:rFonts w:eastAsia="Arial Unicode MS"/>
                      <w:b/>
                      <w:bCs/>
                      <w:szCs w:val="18"/>
                    </w:rPr>
                  </w:pPr>
                  <w:r w:rsidRPr="00464B95">
                    <w:rPr>
                      <w:b/>
                      <w:bCs/>
                      <w:szCs w:val="18"/>
                    </w:rPr>
                    <w:t>2021</w:t>
                  </w:r>
                </w:p>
              </w:tc>
            </w:tr>
            <w:tr w:rsidR="0075217A" w:rsidRPr="00464B95" w14:paraId="51F19E66" w14:textId="77777777" w:rsidTr="0066594A">
              <w:trPr>
                <w:gridAfter w:val="1"/>
                <w:wAfter w:w="1964" w:type="dxa"/>
              </w:trPr>
              <w:tc>
                <w:tcPr>
                  <w:tcW w:w="1963" w:type="dxa"/>
                </w:tcPr>
                <w:p w14:paraId="0ACCEE6E" w14:textId="1646DCE7" w:rsidR="0075217A" w:rsidRPr="00464B95" w:rsidRDefault="0075217A" w:rsidP="0075217A">
                  <w:pPr>
                    <w:pStyle w:val="TableText"/>
                    <w:jc w:val="right"/>
                    <w:rPr>
                      <w:rFonts w:eastAsia="Arial Unicode MS"/>
                      <w:szCs w:val="18"/>
                    </w:rPr>
                  </w:pPr>
                  <w:r w:rsidRPr="002E270F">
                    <w:t>N/A</w:t>
                  </w:r>
                </w:p>
              </w:tc>
              <w:tc>
                <w:tcPr>
                  <w:tcW w:w="1963" w:type="dxa"/>
                </w:tcPr>
                <w:p w14:paraId="72E3A3B6" w14:textId="7749705B" w:rsidR="0075217A" w:rsidRPr="00464B95" w:rsidRDefault="0075217A" w:rsidP="0075217A">
                  <w:pPr>
                    <w:pStyle w:val="TableText"/>
                    <w:jc w:val="right"/>
                    <w:rPr>
                      <w:rFonts w:eastAsia="Arial Unicode MS"/>
                      <w:szCs w:val="18"/>
                    </w:rPr>
                  </w:pPr>
                  <w:r w:rsidRPr="002E270F">
                    <w:t>N/A</w:t>
                  </w:r>
                </w:p>
              </w:tc>
              <w:tc>
                <w:tcPr>
                  <w:tcW w:w="1963" w:type="dxa"/>
                </w:tcPr>
                <w:p w14:paraId="220C6E56" w14:textId="560A5D36" w:rsidR="0075217A" w:rsidRPr="00464B95" w:rsidRDefault="0075217A" w:rsidP="0075217A">
                  <w:pPr>
                    <w:pStyle w:val="TableText"/>
                    <w:jc w:val="right"/>
                    <w:rPr>
                      <w:rFonts w:eastAsia="Arial Unicode MS"/>
                      <w:szCs w:val="18"/>
                    </w:rPr>
                  </w:pPr>
                  <w:r w:rsidRPr="002E270F">
                    <w:t>N/A</w:t>
                  </w:r>
                </w:p>
              </w:tc>
            </w:tr>
            <w:tr w:rsidR="00F11A3D" w14:paraId="752B7438" w14:textId="77777777" w:rsidTr="00F11A3D">
              <w:tblPrEx>
                <w:tblBorders>
                  <w:top w:val="none" w:sz="0" w:space="0" w:color="auto"/>
                  <w:insideH w:val="none" w:sz="0" w:space="0" w:color="auto"/>
                </w:tblBorders>
              </w:tblPrEx>
              <w:tc>
                <w:tcPr>
                  <w:tcW w:w="7853" w:type="dxa"/>
                  <w:gridSpan w:val="4"/>
                </w:tcPr>
                <w:p w14:paraId="0B0ECB5F" w14:textId="77777777" w:rsidR="00F11A3D" w:rsidRPr="00464B95" w:rsidRDefault="00F11A3D" w:rsidP="00F11A3D">
                  <w:pPr>
                    <w:spacing w:before="60" w:after="60"/>
                    <w:rPr>
                      <w:rFonts w:eastAsia="Arial Unicode MS"/>
                      <w:b/>
                      <w:bCs/>
                      <w:sz w:val="18"/>
                      <w:szCs w:val="18"/>
                    </w:rPr>
                  </w:pPr>
                  <w:r w:rsidRPr="00464B95">
                    <w:rPr>
                      <w:rFonts w:eastAsia="Arial Unicode MS"/>
                      <w:b/>
                      <w:bCs/>
                      <w:sz w:val="18"/>
                      <w:szCs w:val="18"/>
                    </w:rPr>
                    <w:lastRenderedPageBreak/>
                    <w:t>Comment</w:t>
                  </w:r>
                </w:p>
                <w:p w14:paraId="57A878B4" w14:textId="519CBAE6" w:rsidR="00F11A3D" w:rsidRDefault="00F11A3D" w:rsidP="00F11A3D">
                  <w:pPr>
                    <w:spacing w:before="60" w:after="60"/>
                    <w:rPr>
                      <w:rFonts w:eastAsia="Arial Unicode MS"/>
                      <w:sz w:val="18"/>
                      <w:szCs w:val="18"/>
                    </w:rPr>
                  </w:pPr>
                  <w:r w:rsidRPr="0075217A">
                    <w:rPr>
                      <w:rFonts w:eastAsia="Arial Unicode MS"/>
                      <w:sz w:val="18"/>
                      <w:szCs w:val="18"/>
                    </w:rPr>
                    <w:t>This measure is in development. Baseline data is being captured during 2023/24. There is now comprehensive reporting by providers and work is under way to improve data reliability by automating validation processes.</w:t>
                  </w:r>
                </w:p>
              </w:tc>
            </w:tr>
          </w:tbl>
          <w:p w14:paraId="6CA37F31" w14:textId="32562CF7" w:rsidR="00F11A3D" w:rsidRPr="00464B95" w:rsidRDefault="00F11A3D" w:rsidP="0066594A">
            <w:pPr>
              <w:spacing w:before="60" w:after="60"/>
              <w:rPr>
                <w:rFonts w:eastAsia="Arial Unicode MS"/>
                <w:sz w:val="18"/>
                <w:szCs w:val="18"/>
              </w:rPr>
            </w:pPr>
          </w:p>
        </w:tc>
      </w:tr>
    </w:tbl>
    <w:p w14:paraId="6D66A76A" w14:textId="77777777" w:rsidR="0075217A" w:rsidRDefault="0075217A" w:rsidP="0075217A">
      <w:pPr>
        <w:pStyle w:val="Heading5"/>
        <w:rPr>
          <w:sz w:val="28"/>
        </w:rPr>
      </w:pPr>
      <w:r w:rsidRPr="0075217A">
        <w:rPr>
          <w:sz w:val="28"/>
        </w:rPr>
        <w:lastRenderedPageBreak/>
        <w:t>Improving wellbeing through prevention measures</w:t>
      </w:r>
    </w:p>
    <w:p w14:paraId="608E6B9E" w14:textId="3E0F5618" w:rsidR="0075217A" w:rsidRDefault="0075217A" w:rsidP="0075217A">
      <w:pPr>
        <w:pStyle w:val="Heading5"/>
      </w:pPr>
      <w:r w:rsidRPr="00D82FFA">
        <w:t>Indicator results</w:t>
      </w: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75217A" w14:paraId="2F720A19" w14:textId="77777777" w:rsidTr="0066594A">
        <w:tc>
          <w:tcPr>
            <w:tcW w:w="8079" w:type="dxa"/>
            <w:shd w:val="clear" w:color="auto" w:fill="D9D9D9" w:themeFill="background1" w:themeFillShade="D9"/>
          </w:tcPr>
          <w:p w14:paraId="52C37526" w14:textId="33A9BCF5" w:rsidR="0075217A" w:rsidRPr="00464B95" w:rsidRDefault="0075217A" w:rsidP="0066594A">
            <w:pPr>
              <w:spacing w:before="60" w:after="60"/>
              <w:rPr>
                <w:rFonts w:eastAsia="Arial Unicode MS"/>
                <w:b/>
                <w:bCs/>
                <w:sz w:val="18"/>
                <w:szCs w:val="18"/>
              </w:rPr>
            </w:pPr>
            <w:r w:rsidRPr="0075217A">
              <w:rPr>
                <w:rFonts w:eastAsia="Arial Unicode MS"/>
                <w:b/>
                <w:bCs/>
                <w:sz w:val="18"/>
                <w:szCs w:val="18"/>
              </w:rPr>
              <w:t>Ambulatory sensitive hospitalisations (ASH) for adults (age range 45–64 years)</w:t>
            </w:r>
          </w:p>
        </w:tc>
      </w:tr>
      <w:tr w:rsidR="0075217A" w14:paraId="1524BBEF" w14:textId="77777777" w:rsidTr="0066594A">
        <w:tc>
          <w:tcPr>
            <w:tcW w:w="8079" w:type="dxa"/>
            <w:tcBorders>
              <w:bottom w:val="single" w:sz="4" w:space="0" w:color="A6A6A6" w:themeColor="background1" w:themeShade="A6"/>
            </w:tcBorders>
          </w:tcPr>
          <w:p w14:paraId="44FA2C03" w14:textId="77777777" w:rsidR="0075217A" w:rsidRPr="00464B95" w:rsidRDefault="0075217A" w:rsidP="0066594A">
            <w:pPr>
              <w:spacing w:before="60" w:after="60"/>
              <w:rPr>
                <w:rFonts w:eastAsia="Arial Unicode MS"/>
                <w:b/>
                <w:bCs/>
                <w:sz w:val="18"/>
                <w:szCs w:val="18"/>
              </w:rPr>
            </w:pPr>
            <w:r w:rsidRPr="00464B95">
              <w:rPr>
                <w:rFonts w:eastAsia="Arial Unicode MS"/>
                <w:b/>
                <w:bCs/>
                <w:sz w:val="18"/>
                <w:szCs w:val="18"/>
              </w:rPr>
              <w:t>Indicator description</w:t>
            </w:r>
          </w:p>
          <w:p w14:paraId="4C773B24" w14:textId="38776000" w:rsidR="0075217A" w:rsidRPr="00464B95" w:rsidRDefault="0075217A" w:rsidP="0075217A">
            <w:pPr>
              <w:spacing w:before="60" w:after="60"/>
              <w:rPr>
                <w:rFonts w:eastAsia="Arial Unicode MS"/>
                <w:sz w:val="18"/>
                <w:szCs w:val="18"/>
              </w:rPr>
            </w:pPr>
            <w:r w:rsidRPr="0075217A">
              <w:rPr>
                <w:rFonts w:eastAsia="Arial Unicode MS"/>
                <w:sz w:val="18"/>
                <w:szCs w:val="18"/>
              </w:rPr>
              <w:t>Rate of hospital admissions for people aged 45–64 years for an illness that might have been</w:t>
            </w:r>
            <w:r>
              <w:rPr>
                <w:rFonts w:eastAsia="Arial Unicode MS"/>
                <w:sz w:val="18"/>
                <w:szCs w:val="18"/>
              </w:rPr>
              <w:t xml:space="preserve"> </w:t>
            </w:r>
            <w:r w:rsidRPr="0075217A">
              <w:rPr>
                <w:rFonts w:eastAsia="Arial Unicode MS"/>
                <w:sz w:val="18"/>
                <w:szCs w:val="18"/>
              </w:rPr>
              <w:t xml:space="preserve">  prevented or better managed in the community.</w:t>
            </w:r>
          </w:p>
        </w:tc>
      </w:tr>
      <w:tr w:rsidR="0075217A" w14:paraId="2D33CF1C" w14:textId="77777777" w:rsidTr="0066594A">
        <w:tc>
          <w:tcPr>
            <w:tcW w:w="8079" w:type="dxa"/>
            <w:tcBorders>
              <w:top w:val="single" w:sz="4" w:space="0" w:color="A6A6A6" w:themeColor="background1" w:themeShade="A6"/>
              <w:bottom w:val="nil"/>
            </w:tcBorders>
          </w:tcPr>
          <w:p w14:paraId="3D4A69DC" w14:textId="77777777" w:rsidR="0075217A" w:rsidRPr="00464B95" w:rsidRDefault="0075217A" w:rsidP="0066594A">
            <w:pPr>
              <w:spacing w:before="60" w:after="60"/>
              <w:rPr>
                <w:rFonts w:eastAsia="Arial Unicode MS"/>
                <w:b/>
                <w:bCs/>
                <w:sz w:val="18"/>
                <w:szCs w:val="18"/>
              </w:rPr>
            </w:pPr>
            <w:r w:rsidRPr="00464B95">
              <w:rPr>
                <w:rFonts w:eastAsia="Arial Unicode MS"/>
                <w:b/>
                <w:bCs/>
                <w:sz w:val="18"/>
                <w:szCs w:val="18"/>
              </w:rPr>
              <w:t>Baseline data</w:t>
            </w:r>
          </w:p>
          <w:p w14:paraId="6ACBF2F0" w14:textId="56CC91A3" w:rsidR="0075217A" w:rsidRPr="00464B95" w:rsidRDefault="0075217A" w:rsidP="0075217A">
            <w:pPr>
              <w:spacing w:before="60" w:after="60"/>
              <w:rPr>
                <w:rFonts w:eastAsia="Arial Unicode MS"/>
                <w:sz w:val="18"/>
                <w:szCs w:val="18"/>
              </w:rPr>
            </w:pPr>
            <w:r w:rsidRPr="0075217A">
              <w:rPr>
                <w:rFonts w:eastAsia="Arial Unicode MS"/>
                <w:sz w:val="18"/>
                <w:szCs w:val="18"/>
              </w:rPr>
              <w:t>48,217 potentially avoidable stays in hospital for people aged 45–64 years (3,864 per 100,000</w:t>
            </w:r>
            <w:r>
              <w:rPr>
                <w:rFonts w:eastAsia="Arial Unicode MS"/>
                <w:sz w:val="18"/>
                <w:szCs w:val="18"/>
              </w:rPr>
              <w:t xml:space="preserve"> </w:t>
            </w:r>
            <w:r w:rsidRPr="0075217A">
              <w:rPr>
                <w:rFonts w:eastAsia="Arial Unicode MS"/>
                <w:sz w:val="18"/>
                <w:szCs w:val="18"/>
              </w:rPr>
              <w:t xml:space="preserve">  people).</w:t>
            </w:r>
          </w:p>
        </w:tc>
      </w:tr>
      <w:tr w:rsidR="0075217A" w14:paraId="2D40DC98" w14:textId="77777777" w:rsidTr="0066594A">
        <w:tc>
          <w:tcPr>
            <w:tcW w:w="8079" w:type="dxa"/>
            <w:tcBorders>
              <w:top w:val="nil"/>
            </w:tcBorders>
          </w:tcPr>
          <w:p w14:paraId="379D2AA2" w14:textId="650D9CC8" w:rsidR="0075217A" w:rsidRPr="00464B95" w:rsidRDefault="0075217A" w:rsidP="0066594A">
            <w:pPr>
              <w:pBdr>
                <w:top w:val="single" w:sz="4" w:space="1" w:color="A6A6A6" w:themeColor="background1" w:themeShade="A6"/>
              </w:pBdr>
              <w:spacing w:before="60" w:after="60"/>
              <w:rPr>
                <w:rFonts w:eastAsia="Arial Unicode MS"/>
                <w:b/>
                <w:bCs/>
                <w:sz w:val="18"/>
                <w:szCs w:val="18"/>
              </w:rPr>
            </w:pPr>
            <w:r w:rsidRPr="00464B95">
              <w:rPr>
                <w:rFonts w:eastAsia="Arial Unicode MS"/>
                <w:b/>
                <w:bCs/>
                <w:sz w:val="18"/>
                <w:szCs w:val="18"/>
              </w:rPr>
              <w:t xml:space="preserve">Results </w:t>
            </w:r>
            <w:r w:rsidRPr="0075217A">
              <w:rPr>
                <w:rFonts w:eastAsia="Arial Unicode MS"/>
                <w:sz w:val="18"/>
                <w:szCs w:val="18"/>
              </w:rPr>
              <w:t>(Age standardised ASH rate per 100,000 people 45 to 64-year-olds for 12-months ending 31 December)</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963"/>
              <w:gridCol w:w="1963"/>
              <w:gridCol w:w="1963"/>
              <w:gridCol w:w="1963"/>
            </w:tblGrid>
            <w:tr w:rsidR="0075217A" w:rsidRPr="00464B95" w14:paraId="7E98683A" w14:textId="77777777" w:rsidTr="0066594A">
              <w:tc>
                <w:tcPr>
                  <w:tcW w:w="1963" w:type="dxa"/>
                </w:tcPr>
                <w:p w14:paraId="23794AF1" w14:textId="77777777" w:rsidR="0075217A" w:rsidRPr="00464B95" w:rsidRDefault="0075217A" w:rsidP="0066594A">
                  <w:pPr>
                    <w:pStyle w:val="TableText"/>
                    <w:rPr>
                      <w:rFonts w:eastAsia="Arial Unicode MS"/>
                      <w:szCs w:val="18"/>
                    </w:rPr>
                  </w:pPr>
                </w:p>
              </w:tc>
              <w:tc>
                <w:tcPr>
                  <w:tcW w:w="1963" w:type="dxa"/>
                </w:tcPr>
                <w:p w14:paraId="7F3CBAF7" w14:textId="77777777" w:rsidR="0075217A" w:rsidRPr="00464B95" w:rsidRDefault="0075217A" w:rsidP="0066594A">
                  <w:pPr>
                    <w:pStyle w:val="TableText"/>
                    <w:jc w:val="right"/>
                    <w:rPr>
                      <w:rFonts w:eastAsia="Arial Unicode MS"/>
                      <w:b/>
                      <w:bCs/>
                      <w:szCs w:val="18"/>
                    </w:rPr>
                  </w:pPr>
                  <w:r w:rsidRPr="00464B95">
                    <w:rPr>
                      <w:b/>
                      <w:bCs/>
                      <w:szCs w:val="18"/>
                    </w:rPr>
                    <w:t>2019</w:t>
                  </w:r>
                </w:p>
              </w:tc>
              <w:tc>
                <w:tcPr>
                  <w:tcW w:w="1963" w:type="dxa"/>
                </w:tcPr>
                <w:p w14:paraId="57DD9781" w14:textId="77777777" w:rsidR="0075217A" w:rsidRPr="00464B95" w:rsidRDefault="0075217A" w:rsidP="0066594A">
                  <w:pPr>
                    <w:pStyle w:val="TableText"/>
                    <w:jc w:val="right"/>
                    <w:rPr>
                      <w:rFonts w:eastAsia="Arial Unicode MS"/>
                      <w:b/>
                      <w:bCs/>
                      <w:szCs w:val="18"/>
                    </w:rPr>
                  </w:pPr>
                  <w:r w:rsidRPr="00464B95">
                    <w:rPr>
                      <w:b/>
                      <w:bCs/>
                      <w:szCs w:val="18"/>
                    </w:rPr>
                    <w:t>2020</w:t>
                  </w:r>
                </w:p>
              </w:tc>
              <w:tc>
                <w:tcPr>
                  <w:tcW w:w="1963" w:type="dxa"/>
                </w:tcPr>
                <w:p w14:paraId="6B0A20C7" w14:textId="77777777" w:rsidR="0075217A" w:rsidRPr="00464B95" w:rsidRDefault="0075217A" w:rsidP="0066594A">
                  <w:pPr>
                    <w:pStyle w:val="TableText"/>
                    <w:jc w:val="right"/>
                    <w:rPr>
                      <w:rFonts w:eastAsia="Arial Unicode MS"/>
                      <w:b/>
                      <w:bCs/>
                      <w:szCs w:val="18"/>
                    </w:rPr>
                  </w:pPr>
                  <w:r w:rsidRPr="00464B95">
                    <w:rPr>
                      <w:b/>
                      <w:bCs/>
                      <w:szCs w:val="18"/>
                    </w:rPr>
                    <w:t>2021</w:t>
                  </w:r>
                </w:p>
              </w:tc>
            </w:tr>
            <w:tr w:rsidR="0075217A" w:rsidRPr="00464B95" w14:paraId="67B96956" w14:textId="77777777" w:rsidTr="0066594A">
              <w:tc>
                <w:tcPr>
                  <w:tcW w:w="1963" w:type="dxa"/>
                </w:tcPr>
                <w:p w14:paraId="37E375AD" w14:textId="77777777" w:rsidR="0075217A" w:rsidRPr="00464B95" w:rsidRDefault="0075217A" w:rsidP="0075217A">
                  <w:pPr>
                    <w:pStyle w:val="TableText"/>
                    <w:rPr>
                      <w:rFonts w:eastAsia="Arial Unicode MS"/>
                      <w:szCs w:val="18"/>
                    </w:rPr>
                  </w:pPr>
                  <w:r w:rsidRPr="00464B95">
                    <w:rPr>
                      <w:szCs w:val="18"/>
                    </w:rPr>
                    <w:t>All Ethnicities</w:t>
                  </w:r>
                </w:p>
              </w:tc>
              <w:tc>
                <w:tcPr>
                  <w:tcW w:w="1963" w:type="dxa"/>
                </w:tcPr>
                <w:p w14:paraId="2C264A63" w14:textId="3E660798" w:rsidR="0075217A" w:rsidRPr="00464B95" w:rsidRDefault="0075217A" w:rsidP="0075217A">
                  <w:pPr>
                    <w:pStyle w:val="TableText"/>
                    <w:jc w:val="right"/>
                    <w:rPr>
                      <w:rFonts w:eastAsia="Arial Unicode MS"/>
                      <w:szCs w:val="18"/>
                    </w:rPr>
                  </w:pPr>
                  <w:r w:rsidRPr="008F18BF">
                    <w:t>3,864</w:t>
                  </w:r>
                </w:p>
              </w:tc>
              <w:tc>
                <w:tcPr>
                  <w:tcW w:w="1963" w:type="dxa"/>
                </w:tcPr>
                <w:p w14:paraId="540077F4" w14:textId="4D189702" w:rsidR="0075217A" w:rsidRPr="00464B95" w:rsidRDefault="0075217A" w:rsidP="0075217A">
                  <w:pPr>
                    <w:pStyle w:val="TableText"/>
                    <w:jc w:val="right"/>
                    <w:rPr>
                      <w:rFonts w:eastAsia="Arial Unicode MS"/>
                      <w:szCs w:val="18"/>
                    </w:rPr>
                  </w:pPr>
                  <w:r w:rsidRPr="008F18BF">
                    <w:t>3,567</w:t>
                  </w:r>
                </w:p>
              </w:tc>
              <w:tc>
                <w:tcPr>
                  <w:tcW w:w="1963" w:type="dxa"/>
                </w:tcPr>
                <w:p w14:paraId="3106AA20" w14:textId="39294270" w:rsidR="0075217A" w:rsidRPr="00464B95" w:rsidRDefault="0075217A" w:rsidP="0075217A">
                  <w:pPr>
                    <w:pStyle w:val="TableText"/>
                    <w:jc w:val="right"/>
                    <w:rPr>
                      <w:rFonts w:eastAsia="Arial Unicode MS"/>
                      <w:szCs w:val="18"/>
                    </w:rPr>
                  </w:pPr>
                  <w:r w:rsidRPr="008F18BF">
                    <w:t>3,602</w:t>
                  </w:r>
                </w:p>
              </w:tc>
            </w:tr>
            <w:tr w:rsidR="0075217A" w:rsidRPr="00464B95" w14:paraId="27DD8AB5" w14:textId="77777777" w:rsidTr="0066594A">
              <w:tc>
                <w:tcPr>
                  <w:tcW w:w="1963" w:type="dxa"/>
                </w:tcPr>
                <w:p w14:paraId="4F0AEEAB" w14:textId="77777777" w:rsidR="0075217A" w:rsidRPr="00464B95" w:rsidRDefault="0075217A" w:rsidP="0075217A">
                  <w:pPr>
                    <w:pStyle w:val="TableText"/>
                    <w:rPr>
                      <w:rFonts w:eastAsia="Arial Unicode MS"/>
                      <w:szCs w:val="18"/>
                    </w:rPr>
                  </w:pPr>
                  <w:r w:rsidRPr="00464B95">
                    <w:rPr>
                      <w:szCs w:val="18"/>
                    </w:rPr>
                    <w:t>Māori</w:t>
                  </w:r>
                </w:p>
              </w:tc>
              <w:tc>
                <w:tcPr>
                  <w:tcW w:w="1963" w:type="dxa"/>
                </w:tcPr>
                <w:p w14:paraId="7172FB92" w14:textId="6F12C418" w:rsidR="0075217A" w:rsidRPr="00464B95" w:rsidRDefault="0075217A" w:rsidP="0075217A">
                  <w:pPr>
                    <w:pStyle w:val="TableText"/>
                    <w:jc w:val="right"/>
                    <w:rPr>
                      <w:rFonts w:eastAsia="Arial Unicode MS"/>
                      <w:szCs w:val="18"/>
                    </w:rPr>
                  </w:pPr>
                  <w:r w:rsidRPr="008F18BF">
                    <w:t>7,578</w:t>
                  </w:r>
                </w:p>
              </w:tc>
              <w:tc>
                <w:tcPr>
                  <w:tcW w:w="1963" w:type="dxa"/>
                </w:tcPr>
                <w:p w14:paraId="632A0DFE" w14:textId="3006F036" w:rsidR="0075217A" w:rsidRPr="00464B95" w:rsidRDefault="0075217A" w:rsidP="0075217A">
                  <w:pPr>
                    <w:pStyle w:val="TableText"/>
                    <w:jc w:val="right"/>
                    <w:rPr>
                      <w:rFonts w:eastAsia="Arial Unicode MS"/>
                      <w:szCs w:val="18"/>
                    </w:rPr>
                  </w:pPr>
                  <w:r w:rsidRPr="008F18BF">
                    <w:t>6,915</w:t>
                  </w:r>
                </w:p>
              </w:tc>
              <w:tc>
                <w:tcPr>
                  <w:tcW w:w="1963" w:type="dxa"/>
                </w:tcPr>
                <w:p w14:paraId="5F67B026" w14:textId="70480C83" w:rsidR="0075217A" w:rsidRPr="00464B95" w:rsidRDefault="0075217A" w:rsidP="0075217A">
                  <w:pPr>
                    <w:pStyle w:val="TableText"/>
                    <w:jc w:val="right"/>
                    <w:rPr>
                      <w:rFonts w:eastAsia="Arial Unicode MS"/>
                      <w:szCs w:val="18"/>
                    </w:rPr>
                  </w:pPr>
                  <w:r w:rsidRPr="008F18BF">
                    <w:t>6,707</w:t>
                  </w:r>
                </w:p>
              </w:tc>
            </w:tr>
            <w:tr w:rsidR="0075217A" w:rsidRPr="00464B95" w14:paraId="1031F4BD" w14:textId="77777777" w:rsidTr="0066594A">
              <w:tc>
                <w:tcPr>
                  <w:tcW w:w="1963" w:type="dxa"/>
                </w:tcPr>
                <w:p w14:paraId="791F009E" w14:textId="77777777" w:rsidR="0075217A" w:rsidRPr="00464B95" w:rsidRDefault="0075217A" w:rsidP="0075217A">
                  <w:pPr>
                    <w:pStyle w:val="TableText"/>
                    <w:rPr>
                      <w:rFonts w:eastAsia="Arial Unicode MS"/>
                      <w:szCs w:val="18"/>
                    </w:rPr>
                  </w:pPr>
                  <w:r w:rsidRPr="00464B95">
                    <w:rPr>
                      <w:szCs w:val="18"/>
                    </w:rPr>
                    <w:t>Pacific</w:t>
                  </w:r>
                </w:p>
              </w:tc>
              <w:tc>
                <w:tcPr>
                  <w:tcW w:w="1963" w:type="dxa"/>
                </w:tcPr>
                <w:p w14:paraId="35679673" w14:textId="19B2996E" w:rsidR="0075217A" w:rsidRPr="00464B95" w:rsidRDefault="0075217A" w:rsidP="0075217A">
                  <w:pPr>
                    <w:pStyle w:val="TableText"/>
                    <w:jc w:val="right"/>
                    <w:rPr>
                      <w:rFonts w:eastAsia="Arial Unicode MS"/>
                      <w:szCs w:val="18"/>
                    </w:rPr>
                  </w:pPr>
                  <w:r w:rsidRPr="008F18BF">
                    <w:t>9,118</w:t>
                  </w:r>
                </w:p>
              </w:tc>
              <w:tc>
                <w:tcPr>
                  <w:tcW w:w="1963" w:type="dxa"/>
                </w:tcPr>
                <w:p w14:paraId="620386BA" w14:textId="7D5BBAC1" w:rsidR="0075217A" w:rsidRPr="00464B95" w:rsidRDefault="0075217A" w:rsidP="0075217A">
                  <w:pPr>
                    <w:pStyle w:val="TableText"/>
                    <w:jc w:val="right"/>
                    <w:rPr>
                      <w:rFonts w:eastAsia="Arial Unicode MS"/>
                      <w:szCs w:val="18"/>
                    </w:rPr>
                  </w:pPr>
                  <w:r w:rsidRPr="008F18BF">
                    <w:t>7,975</w:t>
                  </w:r>
                </w:p>
              </w:tc>
              <w:tc>
                <w:tcPr>
                  <w:tcW w:w="1963" w:type="dxa"/>
                </w:tcPr>
                <w:p w14:paraId="3C547C51" w14:textId="1E7072A4" w:rsidR="0075217A" w:rsidRPr="00464B95" w:rsidRDefault="0075217A" w:rsidP="0075217A">
                  <w:pPr>
                    <w:pStyle w:val="TableText"/>
                    <w:jc w:val="right"/>
                    <w:rPr>
                      <w:rFonts w:eastAsia="Arial Unicode MS"/>
                      <w:szCs w:val="18"/>
                    </w:rPr>
                  </w:pPr>
                  <w:r w:rsidRPr="008F18BF">
                    <w:t>7,569</w:t>
                  </w:r>
                </w:p>
              </w:tc>
            </w:tr>
          </w:tbl>
          <w:p w14:paraId="6786AACF" w14:textId="77777777" w:rsidR="0075217A" w:rsidRPr="00464B95" w:rsidRDefault="0075217A" w:rsidP="0066594A">
            <w:pPr>
              <w:spacing w:before="60" w:after="60"/>
              <w:rPr>
                <w:rFonts w:eastAsia="Arial Unicode MS"/>
                <w:b/>
                <w:bCs/>
                <w:sz w:val="18"/>
                <w:szCs w:val="18"/>
              </w:rPr>
            </w:pPr>
            <w:r w:rsidRPr="00464B95">
              <w:rPr>
                <w:rFonts w:eastAsia="Arial Unicode MS"/>
                <w:b/>
                <w:bCs/>
                <w:sz w:val="18"/>
                <w:szCs w:val="18"/>
              </w:rPr>
              <w:t>Comment</w:t>
            </w:r>
          </w:p>
          <w:p w14:paraId="686977A4" w14:textId="77777777" w:rsidR="0075217A" w:rsidRPr="0075217A" w:rsidRDefault="0075217A" w:rsidP="0075217A">
            <w:pPr>
              <w:spacing w:before="60" w:after="60"/>
              <w:rPr>
                <w:rFonts w:eastAsia="Arial Unicode MS"/>
                <w:sz w:val="18"/>
                <w:szCs w:val="18"/>
              </w:rPr>
            </w:pPr>
            <w:r w:rsidRPr="0075217A">
              <w:rPr>
                <w:rFonts w:eastAsia="Arial Unicode MS"/>
                <w:sz w:val="18"/>
                <w:szCs w:val="18"/>
              </w:rPr>
              <w:t>This indicator looks at hospital admissions for a specific set of conditions that could have potentially been avoided through changes in primary, community and hospital ED settings.</w:t>
            </w:r>
          </w:p>
          <w:p w14:paraId="0D41B81D" w14:textId="20C30E02" w:rsidR="0075217A" w:rsidRPr="00464B95" w:rsidRDefault="0075217A" w:rsidP="0075217A">
            <w:pPr>
              <w:spacing w:before="60" w:after="60"/>
              <w:rPr>
                <w:rFonts w:eastAsia="Arial Unicode MS"/>
                <w:sz w:val="18"/>
                <w:szCs w:val="18"/>
              </w:rPr>
            </w:pPr>
            <w:r w:rsidRPr="0075217A">
              <w:rPr>
                <w:rFonts w:eastAsia="Arial Unicode MS"/>
                <w:sz w:val="18"/>
                <w:szCs w:val="18"/>
              </w:rPr>
              <w:t>As a likely consequence of COVID-19, there was a reduction in the number of ASH events during 2020. To December 2021, there has been an increase in adult ASH events although not to 2019 levels. Inequities for Māori and Pacific populations remain concerning and is a key focus for</w:t>
            </w:r>
            <w:r>
              <w:rPr>
                <w:rFonts w:eastAsia="Arial Unicode MS"/>
                <w:sz w:val="18"/>
                <w:szCs w:val="18"/>
              </w:rPr>
              <w:t xml:space="preserve"> </w:t>
            </w:r>
            <w:r w:rsidRPr="0075217A">
              <w:rPr>
                <w:rFonts w:eastAsia="Arial Unicode MS"/>
                <w:sz w:val="18"/>
                <w:szCs w:val="18"/>
              </w:rPr>
              <w:t xml:space="preserve">  improvement.</w:t>
            </w:r>
          </w:p>
        </w:tc>
      </w:tr>
    </w:tbl>
    <w:p w14:paraId="3F5C24C1" w14:textId="7C697A26" w:rsidR="004A25CE" w:rsidRDefault="004A25CE" w:rsidP="00851B45">
      <w:pPr>
        <w:rPr>
          <w:rFonts w:eastAsia="Arial Unicode MS"/>
        </w:rPr>
      </w:pP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75217A" w14:paraId="6B17BD51" w14:textId="77777777" w:rsidTr="0066594A">
        <w:tc>
          <w:tcPr>
            <w:tcW w:w="8079" w:type="dxa"/>
            <w:shd w:val="clear" w:color="auto" w:fill="D9D9D9" w:themeFill="background1" w:themeFillShade="D9"/>
          </w:tcPr>
          <w:p w14:paraId="48972FF6" w14:textId="20267CBC" w:rsidR="0075217A" w:rsidRPr="00464B95" w:rsidRDefault="0075217A" w:rsidP="0066594A">
            <w:pPr>
              <w:spacing w:before="60" w:after="60"/>
              <w:rPr>
                <w:rFonts w:eastAsia="Arial Unicode MS"/>
                <w:b/>
                <w:bCs/>
                <w:sz w:val="18"/>
                <w:szCs w:val="18"/>
              </w:rPr>
            </w:pPr>
            <w:r w:rsidRPr="0075217A">
              <w:rPr>
                <w:rFonts w:eastAsia="Arial Unicode MS"/>
                <w:b/>
                <w:bCs/>
                <w:sz w:val="18"/>
                <w:szCs w:val="18"/>
              </w:rPr>
              <w:t>Participation in the bowel screening programme</w:t>
            </w:r>
          </w:p>
        </w:tc>
      </w:tr>
      <w:tr w:rsidR="0075217A" w14:paraId="720C7380" w14:textId="77777777" w:rsidTr="0066594A">
        <w:tc>
          <w:tcPr>
            <w:tcW w:w="8079" w:type="dxa"/>
            <w:tcBorders>
              <w:bottom w:val="single" w:sz="4" w:space="0" w:color="A6A6A6" w:themeColor="background1" w:themeShade="A6"/>
            </w:tcBorders>
          </w:tcPr>
          <w:p w14:paraId="08C6BB2C" w14:textId="77777777" w:rsidR="0075217A" w:rsidRPr="00464B95" w:rsidRDefault="0075217A" w:rsidP="0066594A">
            <w:pPr>
              <w:spacing w:before="60" w:after="60"/>
              <w:rPr>
                <w:rFonts w:eastAsia="Arial Unicode MS"/>
                <w:b/>
                <w:bCs/>
                <w:sz w:val="18"/>
                <w:szCs w:val="18"/>
              </w:rPr>
            </w:pPr>
            <w:r w:rsidRPr="00464B95">
              <w:rPr>
                <w:rFonts w:eastAsia="Arial Unicode MS"/>
                <w:b/>
                <w:bCs/>
                <w:sz w:val="18"/>
                <w:szCs w:val="18"/>
              </w:rPr>
              <w:t>Indicator description</w:t>
            </w:r>
          </w:p>
          <w:p w14:paraId="58333E11" w14:textId="77777777" w:rsidR="0075217A" w:rsidRPr="0075217A" w:rsidRDefault="0075217A" w:rsidP="0075217A">
            <w:pPr>
              <w:spacing w:before="60" w:after="60"/>
              <w:rPr>
                <w:rFonts w:eastAsia="Arial Unicode MS"/>
                <w:sz w:val="18"/>
                <w:szCs w:val="18"/>
              </w:rPr>
            </w:pPr>
            <w:r w:rsidRPr="0075217A">
              <w:rPr>
                <w:rFonts w:eastAsia="Arial Unicode MS"/>
                <w:sz w:val="18"/>
                <w:szCs w:val="18"/>
              </w:rPr>
              <w:t>Participation is an important measure for determining the acceptability and reach of a screening programme. Participation is the proportion of invited people during a timeframe that were screened.</w:t>
            </w:r>
          </w:p>
          <w:p w14:paraId="40E10651" w14:textId="77777777" w:rsidR="0075217A" w:rsidRPr="0075217A" w:rsidRDefault="0075217A" w:rsidP="0075217A">
            <w:pPr>
              <w:spacing w:before="60" w:after="60"/>
              <w:rPr>
                <w:rFonts w:eastAsia="Arial Unicode MS"/>
                <w:sz w:val="18"/>
                <w:szCs w:val="18"/>
              </w:rPr>
            </w:pPr>
            <w:r w:rsidRPr="0075217A">
              <w:rPr>
                <w:rFonts w:eastAsia="Arial Unicode MS"/>
                <w:sz w:val="18"/>
                <w:szCs w:val="18"/>
              </w:rPr>
              <w:t>As the bowel screening programme invites participants back every two years, participation counts invitations over a two-year period. The invitation period is a rolling 2-year period up to the reporting end date.</w:t>
            </w:r>
          </w:p>
          <w:p w14:paraId="4B074C71" w14:textId="4DD720DE" w:rsidR="0075217A" w:rsidRPr="00464B95" w:rsidRDefault="0075217A" w:rsidP="0075217A">
            <w:pPr>
              <w:spacing w:before="60" w:after="60"/>
              <w:rPr>
                <w:rFonts w:eastAsia="Arial Unicode MS"/>
                <w:sz w:val="18"/>
                <w:szCs w:val="18"/>
              </w:rPr>
            </w:pPr>
            <w:r w:rsidRPr="0075217A">
              <w:rPr>
                <w:rFonts w:eastAsia="Arial Unicode MS"/>
                <w:sz w:val="18"/>
                <w:szCs w:val="18"/>
              </w:rPr>
              <w:t>The results presented in the table below have yet to be included in the official health system</w:t>
            </w:r>
            <w:r>
              <w:rPr>
                <w:rFonts w:eastAsia="Arial Unicode MS"/>
                <w:sz w:val="18"/>
                <w:szCs w:val="18"/>
              </w:rPr>
              <w:t xml:space="preserve"> </w:t>
            </w:r>
            <w:r w:rsidRPr="0075217A">
              <w:rPr>
                <w:rFonts w:eastAsia="Arial Unicode MS"/>
                <w:sz w:val="18"/>
                <w:szCs w:val="18"/>
              </w:rPr>
              <w:t xml:space="preserve">  indicator suite/dashboard.</w:t>
            </w:r>
          </w:p>
        </w:tc>
      </w:tr>
      <w:tr w:rsidR="0075217A" w14:paraId="1A4D4B77" w14:textId="77777777" w:rsidTr="0066594A">
        <w:tc>
          <w:tcPr>
            <w:tcW w:w="8079" w:type="dxa"/>
            <w:tcBorders>
              <w:top w:val="single" w:sz="4" w:space="0" w:color="A6A6A6" w:themeColor="background1" w:themeShade="A6"/>
              <w:bottom w:val="nil"/>
            </w:tcBorders>
          </w:tcPr>
          <w:p w14:paraId="62B7D748" w14:textId="7BB61264" w:rsidR="0075217A" w:rsidRPr="00464B95" w:rsidRDefault="0075217A" w:rsidP="0066594A">
            <w:pPr>
              <w:spacing w:before="60" w:after="60"/>
              <w:rPr>
                <w:rFonts w:eastAsia="Arial Unicode MS"/>
                <w:b/>
                <w:bCs/>
                <w:sz w:val="18"/>
                <w:szCs w:val="18"/>
              </w:rPr>
            </w:pPr>
            <w:r>
              <w:rPr>
                <w:rFonts w:eastAsia="Arial Unicode MS"/>
                <w:b/>
                <w:bCs/>
                <w:sz w:val="18"/>
                <w:szCs w:val="18"/>
              </w:rPr>
              <w:t>Target</w:t>
            </w:r>
          </w:p>
          <w:p w14:paraId="41CAC0A5" w14:textId="15DDED92" w:rsidR="0075217A" w:rsidRPr="00464B95" w:rsidRDefault="0075217A" w:rsidP="0075217A">
            <w:pPr>
              <w:spacing w:before="60" w:after="60"/>
              <w:rPr>
                <w:rFonts w:eastAsia="Arial Unicode MS"/>
                <w:sz w:val="18"/>
                <w:szCs w:val="18"/>
              </w:rPr>
            </w:pPr>
            <w:r w:rsidRPr="0075217A">
              <w:rPr>
                <w:rFonts w:eastAsia="Arial Unicode MS"/>
                <w:sz w:val="18"/>
                <w:szCs w:val="18"/>
              </w:rPr>
              <w:t>The bowel screening programme’s target is to achieve 60% of eligible people invited return a</w:t>
            </w:r>
            <w:r>
              <w:rPr>
                <w:rFonts w:eastAsia="Arial Unicode MS"/>
                <w:sz w:val="18"/>
                <w:szCs w:val="18"/>
              </w:rPr>
              <w:t xml:space="preserve"> </w:t>
            </w:r>
            <w:r w:rsidRPr="0075217A">
              <w:rPr>
                <w:rFonts w:eastAsia="Arial Unicode MS"/>
                <w:sz w:val="18"/>
                <w:szCs w:val="18"/>
              </w:rPr>
              <w:t xml:space="preserve">  completed FIT kit and to achieve equitable outcomes for Māori and Pacific peoples.</w:t>
            </w:r>
          </w:p>
        </w:tc>
      </w:tr>
      <w:tr w:rsidR="0075217A" w14:paraId="18558F7A" w14:textId="77777777" w:rsidTr="0066594A">
        <w:tc>
          <w:tcPr>
            <w:tcW w:w="8079" w:type="dxa"/>
            <w:tcBorders>
              <w:top w:val="nil"/>
            </w:tcBorders>
          </w:tcPr>
          <w:p w14:paraId="2254DFAF" w14:textId="702EFF90" w:rsidR="0075217A" w:rsidRPr="00464B95" w:rsidRDefault="0075217A" w:rsidP="0075217A">
            <w:pPr>
              <w:keepNext/>
              <w:pBdr>
                <w:top w:val="single" w:sz="4" w:space="1" w:color="A6A6A6" w:themeColor="background1" w:themeShade="A6"/>
              </w:pBdr>
              <w:spacing w:before="60" w:after="60"/>
              <w:rPr>
                <w:rFonts w:eastAsia="Arial Unicode MS"/>
                <w:b/>
                <w:bCs/>
                <w:sz w:val="18"/>
                <w:szCs w:val="18"/>
              </w:rPr>
            </w:pPr>
            <w:r w:rsidRPr="00464B95">
              <w:rPr>
                <w:rFonts w:eastAsia="Arial Unicode MS"/>
                <w:b/>
                <w:bCs/>
                <w:sz w:val="18"/>
                <w:szCs w:val="18"/>
              </w:rPr>
              <w:lastRenderedPageBreak/>
              <w:t xml:space="preserve">Results </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963"/>
              <w:gridCol w:w="1963"/>
              <w:gridCol w:w="1963"/>
              <w:gridCol w:w="1963"/>
            </w:tblGrid>
            <w:tr w:rsidR="0075217A" w:rsidRPr="00464B95" w14:paraId="1A5B65B6" w14:textId="77777777" w:rsidTr="0066594A">
              <w:tc>
                <w:tcPr>
                  <w:tcW w:w="1963" w:type="dxa"/>
                </w:tcPr>
                <w:p w14:paraId="2D16130B" w14:textId="77777777" w:rsidR="0075217A" w:rsidRPr="00464B95" w:rsidRDefault="0075217A" w:rsidP="0066594A">
                  <w:pPr>
                    <w:pStyle w:val="TableText"/>
                    <w:rPr>
                      <w:rFonts w:eastAsia="Arial Unicode MS"/>
                      <w:szCs w:val="18"/>
                    </w:rPr>
                  </w:pPr>
                </w:p>
              </w:tc>
              <w:tc>
                <w:tcPr>
                  <w:tcW w:w="1963" w:type="dxa"/>
                </w:tcPr>
                <w:p w14:paraId="42E55800" w14:textId="77777777" w:rsidR="0075217A" w:rsidRPr="00464B95" w:rsidRDefault="0075217A" w:rsidP="0066594A">
                  <w:pPr>
                    <w:pStyle w:val="TableText"/>
                    <w:jc w:val="right"/>
                    <w:rPr>
                      <w:rFonts w:eastAsia="Arial Unicode MS"/>
                      <w:b/>
                      <w:bCs/>
                      <w:szCs w:val="18"/>
                    </w:rPr>
                  </w:pPr>
                  <w:r w:rsidRPr="00464B95">
                    <w:rPr>
                      <w:b/>
                      <w:bCs/>
                      <w:szCs w:val="18"/>
                    </w:rPr>
                    <w:t>2019</w:t>
                  </w:r>
                </w:p>
              </w:tc>
              <w:tc>
                <w:tcPr>
                  <w:tcW w:w="1963" w:type="dxa"/>
                </w:tcPr>
                <w:p w14:paraId="736DCB05" w14:textId="77777777" w:rsidR="0075217A" w:rsidRPr="00464B95" w:rsidRDefault="0075217A" w:rsidP="0066594A">
                  <w:pPr>
                    <w:pStyle w:val="TableText"/>
                    <w:jc w:val="right"/>
                    <w:rPr>
                      <w:rFonts w:eastAsia="Arial Unicode MS"/>
                      <w:b/>
                      <w:bCs/>
                      <w:szCs w:val="18"/>
                    </w:rPr>
                  </w:pPr>
                  <w:r w:rsidRPr="00464B95">
                    <w:rPr>
                      <w:b/>
                      <w:bCs/>
                      <w:szCs w:val="18"/>
                    </w:rPr>
                    <w:t>2020</w:t>
                  </w:r>
                </w:p>
              </w:tc>
              <w:tc>
                <w:tcPr>
                  <w:tcW w:w="1963" w:type="dxa"/>
                </w:tcPr>
                <w:p w14:paraId="5612628C" w14:textId="77777777" w:rsidR="0075217A" w:rsidRPr="00464B95" w:rsidRDefault="0075217A" w:rsidP="0066594A">
                  <w:pPr>
                    <w:pStyle w:val="TableText"/>
                    <w:jc w:val="right"/>
                    <w:rPr>
                      <w:rFonts w:eastAsia="Arial Unicode MS"/>
                      <w:b/>
                      <w:bCs/>
                      <w:szCs w:val="18"/>
                    </w:rPr>
                  </w:pPr>
                  <w:r w:rsidRPr="00464B95">
                    <w:rPr>
                      <w:b/>
                      <w:bCs/>
                      <w:szCs w:val="18"/>
                    </w:rPr>
                    <w:t>2021</w:t>
                  </w:r>
                </w:p>
              </w:tc>
            </w:tr>
            <w:tr w:rsidR="0075217A" w:rsidRPr="00464B95" w14:paraId="2A0787F3" w14:textId="77777777" w:rsidTr="0066594A">
              <w:tc>
                <w:tcPr>
                  <w:tcW w:w="1963" w:type="dxa"/>
                </w:tcPr>
                <w:p w14:paraId="3F59AA38" w14:textId="77777777" w:rsidR="0075217A" w:rsidRPr="00464B95" w:rsidRDefault="0075217A" w:rsidP="0075217A">
                  <w:pPr>
                    <w:pStyle w:val="TableText"/>
                    <w:rPr>
                      <w:rFonts w:eastAsia="Arial Unicode MS"/>
                      <w:szCs w:val="18"/>
                    </w:rPr>
                  </w:pPr>
                  <w:r w:rsidRPr="00464B95">
                    <w:rPr>
                      <w:szCs w:val="18"/>
                    </w:rPr>
                    <w:t>All Ethnicities</w:t>
                  </w:r>
                </w:p>
              </w:tc>
              <w:tc>
                <w:tcPr>
                  <w:tcW w:w="1963" w:type="dxa"/>
                </w:tcPr>
                <w:p w14:paraId="6DE3FB89" w14:textId="339026B8" w:rsidR="0075217A" w:rsidRPr="00464B95" w:rsidRDefault="0075217A" w:rsidP="0075217A">
                  <w:pPr>
                    <w:pStyle w:val="TableText"/>
                    <w:jc w:val="right"/>
                    <w:rPr>
                      <w:rFonts w:eastAsia="Arial Unicode MS"/>
                      <w:szCs w:val="18"/>
                    </w:rPr>
                  </w:pPr>
                  <w:r>
                    <w:t>61.9%</w:t>
                  </w:r>
                </w:p>
              </w:tc>
              <w:tc>
                <w:tcPr>
                  <w:tcW w:w="1963" w:type="dxa"/>
                </w:tcPr>
                <w:p w14:paraId="5E35A4C3" w14:textId="4BDE3F67" w:rsidR="0075217A" w:rsidRPr="00464B95" w:rsidRDefault="0075217A" w:rsidP="0075217A">
                  <w:pPr>
                    <w:pStyle w:val="TableText"/>
                    <w:jc w:val="right"/>
                    <w:rPr>
                      <w:rFonts w:eastAsia="Arial Unicode MS"/>
                      <w:szCs w:val="18"/>
                    </w:rPr>
                  </w:pPr>
                  <w:r w:rsidRPr="002E156B">
                    <w:t>62.1%</w:t>
                  </w:r>
                </w:p>
              </w:tc>
              <w:tc>
                <w:tcPr>
                  <w:tcW w:w="1963" w:type="dxa"/>
                </w:tcPr>
                <w:p w14:paraId="4AFEBF8E" w14:textId="4DBFD6F3" w:rsidR="0075217A" w:rsidRPr="00464B95" w:rsidRDefault="0075217A" w:rsidP="0075217A">
                  <w:pPr>
                    <w:pStyle w:val="TableText"/>
                    <w:jc w:val="right"/>
                    <w:rPr>
                      <w:rFonts w:eastAsia="Arial Unicode MS"/>
                      <w:szCs w:val="18"/>
                    </w:rPr>
                  </w:pPr>
                  <w:r w:rsidRPr="002E156B">
                    <w:t>61.3%</w:t>
                  </w:r>
                </w:p>
              </w:tc>
            </w:tr>
            <w:tr w:rsidR="0075217A" w:rsidRPr="00464B95" w14:paraId="456DE284" w14:textId="77777777" w:rsidTr="0066594A">
              <w:tc>
                <w:tcPr>
                  <w:tcW w:w="1963" w:type="dxa"/>
                </w:tcPr>
                <w:p w14:paraId="7DF73530" w14:textId="77777777" w:rsidR="0075217A" w:rsidRPr="00464B95" w:rsidRDefault="0075217A" w:rsidP="0075217A">
                  <w:pPr>
                    <w:pStyle w:val="TableText"/>
                    <w:rPr>
                      <w:rFonts w:eastAsia="Arial Unicode MS"/>
                      <w:szCs w:val="18"/>
                    </w:rPr>
                  </w:pPr>
                  <w:r w:rsidRPr="00464B95">
                    <w:rPr>
                      <w:szCs w:val="18"/>
                    </w:rPr>
                    <w:t>Māori</w:t>
                  </w:r>
                </w:p>
              </w:tc>
              <w:tc>
                <w:tcPr>
                  <w:tcW w:w="1963" w:type="dxa"/>
                </w:tcPr>
                <w:p w14:paraId="0FC07052" w14:textId="4F365939" w:rsidR="0075217A" w:rsidRPr="00464B95" w:rsidRDefault="0075217A" w:rsidP="0075217A">
                  <w:pPr>
                    <w:pStyle w:val="TableText"/>
                    <w:jc w:val="right"/>
                    <w:rPr>
                      <w:rFonts w:eastAsia="Arial Unicode MS"/>
                      <w:szCs w:val="18"/>
                    </w:rPr>
                  </w:pPr>
                  <w:r>
                    <w:t>54.9%</w:t>
                  </w:r>
                </w:p>
              </w:tc>
              <w:tc>
                <w:tcPr>
                  <w:tcW w:w="1963" w:type="dxa"/>
                </w:tcPr>
                <w:p w14:paraId="64A1B342" w14:textId="24EDD094" w:rsidR="0075217A" w:rsidRPr="00464B95" w:rsidRDefault="0075217A" w:rsidP="0075217A">
                  <w:pPr>
                    <w:pStyle w:val="TableText"/>
                    <w:jc w:val="right"/>
                    <w:rPr>
                      <w:rFonts w:eastAsia="Arial Unicode MS"/>
                      <w:szCs w:val="18"/>
                    </w:rPr>
                  </w:pPr>
                  <w:r w:rsidRPr="002E156B">
                    <w:t>54.4%</w:t>
                  </w:r>
                </w:p>
              </w:tc>
              <w:tc>
                <w:tcPr>
                  <w:tcW w:w="1963" w:type="dxa"/>
                </w:tcPr>
                <w:p w14:paraId="2A66D108" w14:textId="67B7AEF1" w:rsidR="0075217A" w:rsidRPr="00464B95" w:rsidRDefault="0075217A" w:rsidP="0075217A">
                  <w:pPr>
                    <w:pStyle w:val="TableText"/>
                    <w:jc w:val="right"/>
                    <w:rPr>
                      <w:rFonts w:eastAsia="Arial Unicode MS"/>
                      <w:szCs w:val="18"/>
                    </w:rPr>
                  </w:pPr>
                  <w:r w:rsidRPr="002E156B">
                    <w:t>52.9%</w:t>
                  </w:r>
                </w:p>
              </w:tc>
            </w:tr>
            <w:tr w:rsidR="0075217A" w:rsidRPr="00464B95" w14:paraId="7A9169D4" w14:textId="77777777" w:rsidTr="0066594A">
              <w:tc>
                <w:tcPr>
                  <w:tcW w:w="1963" w:type="dxa"/>
                </w:tcPr>
                <w:p w14:paraId="2397CE27" w14:textId="77777777" w:rsidR="0075217A" w:rsidRPr="00464B95" w:rsidRDefault="0075217A" w:rsidP="0075217A">
                  <w:pPr>
                    <w:pStyle w:val="TableText"/>
                    <w:rPr>
                      <w:rFonts w:eastAsia="Arial Unicode MS"/>
                      <w:szCs w:val="18"/>
                    </w:rPr>
                  </w:pPr>
                  <w:r w:rsidRPr="00464B95">
                    <w:rPr>
                      <w:szCs w:val="18"/>
                    </w:rPr>
                    <w:t>Pacific</w:t>
                  </w:r>
                </w:p>
              </w:tc>
              <w:tc>
                <w:tcPr>
                  <w:tcW w:w="1963" w:type="dxa"/>
                </w:tcPr>
                <w:p w14:paraId="11CC6CBC" w14:textId="5D067EDB" w:rsidR="0075217A" w:rsidRPr="00464B95" w:rsidRDefault="0075217A" w:rsidP="0075217A">
                  <w:pPr>
                    <w:pStyle w:val="TableText"/>
                    <w:jc w:val="right"/>
                    <w:rPr>
                      <w:rFonts w:eastAsia="Arial Unicode MS"/>
                      <w:szCs w:val="18"/>
                    </w:rPr>
                  </w:pPr>
                  <w:r>
                    <w:t>41.6%</w:t>
                  </w:r>
                </w:p>
              </w:tc>
              <w:tc>
                <w:tcPr>
                  <w:tcW w:w="1963" w:type="dxa"/>
                </w:tcPr>
                <w:p w14:paraId="6A743579" w14:textId="1E487AFA" w:rsidR="0075217A" w:rsidRPr="00464B95" w:rsidRDefault="0075217A" w:rsidP="0075217A">
                  <w:pPr>
                    <w:pStyle w:val="TableText"/>
                    <w:jc w:val="right"/>
                    <w:rPr>
                      <w:rFonts w:eastAsia="Arial Unicode MS"/>
                      <w:szCs w:val="18"/>
                    </w:rPr>
                  </w:pPr>
                  <w:r w:rsidRPr="002E156B">
                    <w:t>41.9%</w:t>
                  </w:r>
                </w:p>
              </w:tc>
              <w:tc>
                <w:tcPr>
                  <w:tcW w:w="1963" w:type="dxa"/>
                </w:tcPr>
                <w:p w14:paraId="0734403F" w14:textId="3D846169" w:rsidR="0075217A" w:rsidRPr="00464B95" w:rsidRDefault="0075217A" w:rsidP="0075217A">
                  <w:pPr>
                    <w:pStyle w:val="TableText"/>
                    <w:jc w:val="right"/>
                    <w:rPr>
                      <w:rFonts w:eastAsia="Arial Unicode MS"/>
                      <w:szCs w:val="18"/>
                    </w:rPr>
                  </w:pPr>
                  <w:r w:rsidRPr="002E156B">
                    <w:t>41.7%</w:t>
                  </w:r>
                </w:p>
              </w:tc>
            </w:tr>
          </w:tbl>
          <w:p w14:paraId="3795EC04" w14:textId="77777777" w:rsidR="0075217A" w:rsidRPr="00464B95" w:rsidRDefault="0075217A" w:rsidP="0066594A">
            <w:pPr>
              <w:spacing w:before="60" w:after="60"/>
              <w:rPr>
                <w:rFonts w:eastAsia="Arial Unicode MS"/>
                <w:b/>
                <w:bCs/>
                <w:sz w:val="18"/>
                <w:szCs w:val="18"/>
              </w:rPr>
            </w:pPr>
            <w:r w:rsidRPr="00464B95">
              <w:rPr>
                <w:rFonts w:eastAsia="Arial Unicode MS"/>
                <w:b/>
                <w:bCs/>
                <w:sz w:val="18"/>
                <w:szCs w:val="18"/>
              </w:rPr>
              <w:t>Comment</w:t>
            </w:r>
          </w:p>
          <w:p w14:paraId="77D40C7B" w14:textId="77777777" w:rsidR="0075217A" w:rsidRPr="0075217A" w:rsidRDefault="0075217A" w:rsidP="0075217A">
            <w:pPr>
              <w:spacing w:before="60" w:after="60"/>
              <w:rPr>
                <w:rFonts w:eastAsia="Arial Unicode MS"/>
                <w:sz w:val="18"/>
                <w:szCs w:val="18"/>
              </w:rPr>
            </w:pPr>
            <w:r w:rsidRPr="0075217A">
              <w:rPr>
                <w:rFonts w:eastAsia="Arial Unicode MS"/>
                <w:sz w:val="18"/>
                <w:szCs w:val="18"/>
              </w:rPr>
              <w:t>The National Bowel Screening Programme (NBSP) was rolled out progressively across 20 Districts between 2017 and May 2022. The NBSP is now being offered nationwide. The participation rates provided are overall figures amongst the districts offering bowel screening at the end of May of each year.</w:t>
            </w:r>
          </w:p>
          <w:p w14:paraId="1CEFBA1B" w14:textId="77777777" w:rsidR="0075217A" w:rsidRPr="0075217A" w:rsidRDefault="0075217A" w:rsidP="0075217A">
            <w:pPr>
              <w:spacing w:before="60" w:after="60"/>
              <w:rPr>
                <w:rFonts w:eastAsia="Arial Unicode MS"/>
                <w:sz w:val="18"/>
                <w:szCs w:val="18"/>
              </w:rPr>
            </w:pPr>
            <w:r w:rsidRPr="0075217A">
              <w:rPr>
                <w:rFonts w:eastAsia="Arial Unicode MS"/>
                <w:sz w:val="18"/>
                <w:szCs w:val="18"/>
              </w:rPr>
              <w:t>The overall participation rate has consistently been above the target of 60% during the period 2019- 2021. The participation rates for Māori and Pacific peoples, however, have been lower and have not yet reached the target level and so are an ongoing focus of the programme.</w:t>
            </w:r>
          </w:p>
          <w:p w14:paraId="33C3552F" w14:textId="77777777" w:rsidR="0075217A" w:rsidRPr="0075217A" w:rsidRDefault="0075217A" w:rsidP="0075217A">
            <w:pPr>
              <w:spacing w:before="60" w:after="60"/>
              <w:rPr>
                <w:rFonts w:eastAsia="Arial Unicode MS"/>
                <w:sz w:val="18"/>
                <w:szCs w:val="18"/>
              </w:rPr>
            </w:pPr>
            <w:r w:rsidRPr="0075217A">
              <w:rPr>
                <w:rFonts w:eastAsia="Arial Unicode MS"/>
                <w:sz w:val="18"/>
                <w:szCs w:val="18"/>
              </w:rPr>
              <w:t>The NBSP has also detected a downward trend in participation rates over the past two years, due to the impact of COVID-19.</w:t>
            </w:r>
          </w:p>
          <w:p w14:paraId="67A7A877" w14:textId="77777777" w:rsidR="0075217A" w:rsidRPr="0075217A" w:rsidRDefault="0075217A" w:rsidP="0075217A">
            <w:pPr>
              <w:spacing w:before="60" w:after="60"/>
              <w:rPr>
                <w:rFonts w:eastAsia="Arial Unicode MS"/>
                <w:sz w:val="18"/>
                <w:szCs w:val="18"/>
              </w:rPr>
            </w:pPr>
            <w:r w:rsidRPr="0075217A">
              <w:rPr>
                <w:rFonts w:eastAsia="Arial Unicode MS"/>
                <w:sz w:val="18"/>
                <w:szCs w:val="18"/>
              </w:rPr>
              <w:t>To address the impact of COVID-19, and the lower rate of participation amongst Māori and Pacific peoples, the NBSP has several initiatives currently underway. This includes:</w:t>
            </w:r>
          </w:p>
          <w:p w14:paraId="25F6C682" w14:textId="3A8DDE31" w:rsidR="0075217A" w:rsidRPr="0075217A" w:rsidRDefault="0075217A" w:rsidP="0075217A">
            <w:pPr>
              <w:pStyle w:val="TableBullet"/>
              <w:rPr>
                <w:rFonts w:eastAsia="Arial Unicode MS"/>
              </w:rPr>
            </w:pPr>
            <w:r w:rsidRPr="0075217A">
              <w:rPr>
                <w:rFonts w:eastAsia="Arial Unicode MS"/>
              </w:rPr>
              <w:t>Further refining active follow-up processes with priority populations</w:t>
            </w:r>
          </w:p>
          <w:p w14:paraId="072A2493" w14:textId="3B7FE21B" w:rsidR="0075217A" w:rsidRPr="0075217A" w:rsidRDefault="0075217A" w:rsidP="0075217A">
            <w:pPr>
              <w:pStyle w:val="TableBullet"/>
              <w:rPr>
                <w:rFonts w:eastAsia="Arial Unicode MS"/>
              </w:rPr>
            </w:pPr>
            <w:r w:rsidRPr="0075217A">
              <w:rPr>
                <w:rFonts w:eastAsia="Arial Unicode MS"/>
              </w:rPr>
              <w:t>A new community invitation strategy in Tairāwhiti</w:t>
            </w:r>
          </w:p>
          <w:p w14:paraId="76C9C97B" w14:textId="2DDA7F66" w:rsidR="0075217A" w:rsidRPr="0075217A" w:rsidRDefault="0075217A" w:rsidP="0075217A">
            <w:pPr>
              <w:pStyle w:val="TableBullet"/>
              <w:rPr>
                <w:rFonts w:eastAsia="Arial Unicode MS"/>
              </w:rPr>
            </w:pPr>
            <w:r w:rsidRPr="0075217A">
              <w:rPr>
                <w:rFonts w:eastAsia="Arial Unicode MS"/>
              </w:rPr>
              <w:t>An ongoing national awareness raising media campaign</w:t>
            </w:r>
          </w:p>
          <w:p w14:paraId="364368B9" w14:textId="2E4C2756" w:rsidR="0075217A" w:rsidRPr="0075217A" w:rsidRDefault="0075217A" w:rsidP="0075217A">
            <w:pPr>
              <w:pStyle w:val="TableBullet"/>
              <w:rPr>
                <w:rFonts w:eastAsia="Arial Unicode MS"/>
              </w:rPr>
            </w:pPr>
            <w:r w:rsidRPr="0075217A">
              <w:rPr>
                <w:rFonts w:eastAsia="Arial Unicode MS"/>
              </w:rPr>
              <w:t>Use of a recently redesigned bowel screening kit.</w:t>
            </w:r>
          </w:p>
          <w:p w14:paraId="74AC7D73" w14:textId="47F3ACCB" w:rsidR="0075217A" w:rsidRPr="00464B95" w:rsidRDefault="0075217A" w:rsidP="0075217A">
            <w:pPr>
              <w:spacing w:before="60" w:after="60"/>
              <w:rPr>
                <w:rFonts w:eastAsia="Arial Unicode MS"/>
                <w:sz w:val="18"/>
                <w:szCs w:val="18"/>
              </w:rPr>
            </w:pPr>
            <w:r w:rsidRPr="0075217A">
              <w:rPr>
                <w:rFonts w:eastAsia="Arial Unicode MS"/>
                <w:sz w:val="18"/>
                <w:szCs w:val="18"/>
              </w:rPr>
              <w:t>All these initiatives, which are intended to improve participation rates, have been designed with a specific focus on improving the equitability of the programme through addressing the lower rates</w:t>
            </w:r>
            <w:r>
              <w:rPr>
                <w:rFonts w:eastAsia="Arial Unicode MS"/>
                <w:sz w:val="18"/>
                <w:szCs w:val="18"/>
              </w:rPr>
              <w:t xml:space="preserve"> </w:t>
            </w:r>
            <w:r w:rsidRPr="0075217A">
              <w:rPr>
                <w:rFonts w:eastAsia="Arial Unicode MS"/>
                <w:sz w:val="18"/>
                <w:szCs w:val="18"/>
              </w:rPr>
              <w:t xml:space="preserve">  of participation amongst Māori and Pacific peoples.</w:t>
            </w:r>
          </w:p>
        </w:tc>
      </w:tr>
    </w:tbl>
    <w:p w14:paraId="04ABDC29" w14:textId="78B31781" w:rsidR="0066594A" w:rsidRDefault="0066594A" w:rsidP="0066594A">
      <w:pPr>
        <w:pStyle w:val="Heading4"/>
      </w:pPr>
      <w:r>
        <w:t>Creating a strong and equitable public health system</w:t>
      </w:r>
    </w:p>
    <w:p w14:paraId="585A0DF4" w14:textId="77777777" w:rsidR="004A25CE" w:rsidRDefault="0066594A" w:rsidP="0066594A">
      <w:pPr>
        <w:pStyle w:val="Heading5"/>
      </w:pPr>
      <w:r>
        <w:t>Indicator results</w:t>
      </w: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66594A" w14:paraId="56817A7A" w14:textId="77777777" w:rsidTr="0066594A">
        <w:tc>
          <w:tcPr>
            <w:tcW w:w="8079" w:type="dxa"/>
            <w:shd w:val="clear" w:color="auto" w:fill="D9D9D9" w:themeFill="background1" w:themeFillShade="D9"/>
          </w:tcPr>
          <w:p w14:paraId="705A627E" w14:textId="7D17762A" w:rsidR="0066594A" w:rsidRPr="00464B95" w:rsidRDefault="0066594A" w:rsidP="0066594A">
            <w:pPr>
              <w:spacing w:before="60" w:after="60"/>
              <w:rPr>
                <w:rFonts w:eastAsia="Arial Unicode MS"/>
                <w:b/>
                <w:bCs/>
                <w:sz w:val="18"/>
                <w:szCs w:val="18"/>
              </w:rPr>
            </w:pPr>
            <w:r w:rsidRPr="0066594A">
              <w:rPr>
                <w:rFonts w:eastAsia="Arial Unicode MS"/>
                <w:b/>
                <w:bCs/>
                <w:sz w:val="18"/>
                <w:szCs w:val="18"/>
              </w:rPr>
              <w:t>Acute hospital bed day rate</w:t>
            </w:r>
          </w:p>
        </w:tc>
      </w:tr>
      <w:tr w:rsidR="0066594A" w14:paraId="26D6F0B1" w14:textId="77777777" w:rsidTr="0066594A">
        <w:tc>
          <w:tcPr>
            <w:tcW w:w="8079" w:type="dxa"/>
            <w:tcBorders>
              <w:bottom w:val="single" w:sz="4" w:space="0" w:color="A6A6A6" w:themeColor="background1" w:themeShade="A6"/>
            </w:tcBorders>
          </w:tcPr>
          <w:p w14:paraId="40447A27" w14:textId="77777777" w:rsidR="0066594A" w:rsidRPr="00464B95" w:rsidRDefault="0066594A" w:rsidP="0066594A">
            <w:pPr>
              <w:spacing w:before="60" w:after="60"/>
              <w:rPr>
                <w:rFonts w:eastAsia="Arial Unicode MS"/>
                <w:b/>
                <w:bCs/>
                <w:sz w:val="18"/>
                <w:szCs w:val="18"/>
              </w:rPr>
            </w:pPr>
            <w:r w:rsidRPr="00464B95">
              <w:rPr>
                <w:rFonts w:eastAsia="Arial Unicode MS"/>
                <w:b/>
                <w:bCs/>
                <w:sz w:val="18"/>
                <w:szCs w:val="18"/>
              </w:rPr>
              <w:t>Indicator description</w:t>
            </w:r>
          </w:p>
          <w:p w14:paraId="43E7989F" w14:textId="6B77C7F4" w:rsidR="0066594A" w:rsidRPr="00464B95" w:rsidRDefault="0066594A" w:rsidP="0066594A">
            <w:pPr>
              <w:spacing w:before="60" w:after="60"/>
              <w:rPr>
                <w:rFonts w:eastAsia="Arial Unicode MS"/>
                <w:sz w:val="18"/>
                <w:szCs w:val="18"/>
              </w:rPr>
            </w:pPr>
            <w:r w:rsidRPr="0066594A">
              <w:rPr>
                <w:rFonts w:eastAsia="Arial Unicode MS"/>
                <w:sz w:val="18"/>
                <w:szCs w:val="18"/>
              </w:rPr>
              <w:t>Number of days spent in hospital for unplanned care, including emergencies.</w:t>
            </w:r>
          </w:p>
        </w:tc>
      </w:tr>
      <w:tr w:rsidR="0066594A" w14:paraId="59CC659E" w14:textId="77777777" w:rsidTr="0066594A">
        <w:tc>
          <w:tcPr>
            <w:tcW w:w="8079" w:type="dxa"/>
            <w:tcBorders>
              <w:top w:val="single" w:sz="4" w:space="0" w:color="A6A6A6" w:themeColor="background1" w:themeShade="A6"/>
              <w:bottom w:val="nil"/>
            </w:tcBorders>
          </w:tcPr>
          <w:p w14:paraId="6123FE73" w14:textId="77777777" w:rsidR="0066594A" w:rsidRDefault="0066594A" w:rsidP="0066594A">
            <w:pPr>
              <w:spacing w:before="60" w:after="60"/>
              <w:rPr>
                <w:rFonts w:eastAsia="Arial Unicode MS"/>
                <w:b/>
                <w:bCs/>
                <w:sz w:val="18"/>
                <w:szCs w:val="18"/>
              </w:rPr>
            </w:pPr>
            <w:r w:rsidRPr="0066594A">
              <w:rPr>
                <w:rFonts w:eastAsia="Arial Unicode MS"/>
                <w:b/>
                <w:bCs/>
                <w:sz w:val="18"/>
                <w:szCs w:val="18"/>
              </w:rPr>
              <w:t>Baseline data</w:t>
            </w:r>
          </w:p>
          <w:p w14:paraId="0CACBC9C" w14:textId="6421974F" w:rsidR="0066594A" w:rsidRPr="00464B95" w:rsidRDefault="0066594A" w:rsidP="0066594A">
            <w:pPr>
              <w:spacing w:before="60" w:after="60"/>
              <w:rPr>
                <w:rFonts w:eastAsia="Arial Unicode MS"/>
                <w:sz w:val="18"/>
                <w:szCs w:val="18"/>
              </w:rPr>
            </w:pPr>
            <w:r w:rsidRPr="0066594A">
              <w:rPr>
                <w:rFonts w:eastAsia="Arial Unicode MS"/>
                <w:sz w:val="18"/>
                <w:szCs w:val="18"/>
              </w:rPr>
              <w:t>2,067,733 days were spent in hospital for unplanned care, including emergencies (398.6 bed days</w:t>
            </w:r>
            <w:r>
              <w:rPr>
                <w:rFonts w:eastAsia="Arial Unicode MS"/>
                <w:sz w:val="18"/>
                <w:szCs w:val="18"/>
              </w:rPr>
              <w:t xml:space="preserve"> </w:t>
            </w:r>
            <w:r w:rsidRPr="0066594A">
              <w:rPr>
                <w:rFonts w:eastAsia="Arial Unicode MS"/>
                <w:sz w:val="18"/>
                <w:szCs w:val="18"/>
              </w:rPr>
              <w:t xml:space="preserve">  per 1,000 population).</w:t>
            </w:r>
          </w:p>
        </w:tc>
      </w:tr>
      <w:tr w:rsidR="0066594A" w14:paraId="647FE9BA" w14:textId="77777777" w:rsidTr="0066594A">
        <w:tc>
          <w:tcPr>
            <w:tcW w:w="8079" w:type="dxa"/>
            <w:tcBorders>
              <w:top w:val="nil"/>
            </w:tcBorders>
          </w:tcPr>
          <w:p w14:paraId="11633A0A" w14:textId="29D3518B" w:rsidR="0066594A" w:rsidRPr="0066594A" w:rsidRDefault="0066594A" w:rsidP="0066594A">
            <w:pPr>
              <w:pBdr>
                <w:top w:val="single" w:sz="4" w:space="1" w:color="A6A6A6" w:themeColor="background1" w:themeShade="A6"/>
              </w:pBdr>
              <w:spacing w:before="60" w:after="60"/>
              <w:rPr>
                <w:rFonts w:eastAsia="Arial Unicode MS"/>
                <w:sz w:val="18"/>
                <w:szCs w:val="18"/>
              </w:rPr>
            </w:pPr>
            <w:r w:rsidRPr="00464B95">
              <w:rPr>
                <w:rFonts w:eastAsia="Arial Unicode MS"/>
                <w:b/>
                <w:bCs/>
                <w:sz w:val="18"/>
                <w:szCs w:val="18"/>
              </w:rPr>
              <w:t xml:space="preserve">Results </w:t>
            </w:r>
            <w:r w:rsidRPr="0066594A">
              <w:rPr>
                <w:rFonts w:eastAsia="Arial Unicode MS"/>
                <w:sz w:val="18"/>
                <w:szCs w:val="18"/>
              </w:rPr>
              <w:t>(Age standardised rate of acute hospital bed days per 1,000 population for 12-months ending December)</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1963"/>
              <w:gridCol w:w="1963"/>
              <w:gridCol w:w="1963"/>
              <w:gridCol w:w="1963"/>
            </w:tblGrid>
            <w:tr w:rsidR="0066594A" w:rsidRPr="00464B95" w14:paraId="5390173B" w14:textId="77777777" w:rsidTr="0066594A">
              <w:tc>
                <w:tcPr>
                  <w:tcW w:w="1963" w:type="dxa"/>
                </w:tcPr>
                <w:p w14:paraId="26B64ABB" w14:textId="77777777" w:rsidR="0066594A" w:rsidRPr="00464B95" w:rsidRDefault="0066594A" w:rsidP="0066594A">
                  <w:pPr>
                    <w:pStyle w:val="TableText"/>
                    <w:rPr>
                      <w:rFonts w:eastAsia="Arial Unicode MS"/>
                      <w:szCs w:val="18"/>
                    </w:rPr>
                  </w:pPr>
                </w:p>
              </w:tc>
              <w:tc>
                <w:tcPr>
                  <w:tcW w:w="1963" w:type="dxa"/>
                </w:tcPr>
                <w:p w14:paraId="3A5DAB25" w14:textId="77777777" w:rsidR="0066594A" w:rsidRPr="00464B95" w:rsidRDefault="0066594A" w:rsidP="0066594A">
                  <w:pPr>
                    <w:pStyle w:val="TableText"/>
                    <w:jc w:val="right"/>
                    <w:rPr>
                      <w:rFonts w:eastAsia="Arial Unicode MS"/>
                      <w:b/>
                      <w:bCs/>
                      <w:szCs w:val="18"/>
                    </w:rPr>
                  </w:pPr>
                  <w:r w:rsidRPr="00464B95">
                    <w:rPr>
                      <w:b/>
                      <w:bCs/>
                      <w:szCs w:val="18"/>
                    </w:rPr>
                    <w:t>2019</w:t>
                  </w:r>
                </w:p>
              </w:tc>
              <w:tc>
                <w:tcPr>
                  <w:tcW w:w="1963" w:type="dxa"/>
                </w:tcPr>
                <w:p w14:paraId="367B81A9" w14:textId="77777777" w:rsidR="0066594A" w:rsidRPr="00464B95" w:rsidRDefault="0066594A" w:rsidP="0066594A">
                  <w:pPr>
                    <w:pStyle w:val="TableText"/>
                    <w:jc w:val="right"/>
                    <w:rPr>
                      <w:rFonts w:eastAsia="Arial Unicode MS"/>
                      <w:b/>
                      <w:bCs/>
                      <w:szCs w:val="18"/>
                    </w:rPr>
                  </w:pPr>
                  <w:r w:rsidRPr="00464B95">
                    <w:rPr>
                      <w:b/>
                      <w:bCs/>
                      <w:szCs w:val="18"/>
                    </w:rPr>
                    <w:t>2020</w:t>
                  </w:r>
                </w:p>
              </w:tc>
              <w:tc>
                <w:tcPr>
                  <w:tcW w:w="1963" w:type="dxa"/>
                </w:tcPr>
                <w:p w14:paraId="3B29F45B" w14:textId="77777777" w:rsidR="0066594A" w:rsidRPr="00464B95" w:rsidRDefault="0066594A" w:rsidP="0066594A">
                  <w:pPr>
                    <w:pStyle w:val="TableText"/>
                    <w:jc w:val="right"/>
                    <w:rPr>
                      <w:rFonts w:eastAsia="Arial Unicode MS"/>
                      <w:b/>
                      <w:bCs/>
                      <w:szCs w:val="18"/>
                    </w:rPr>
                  </w:pPr>
                  <w:r w:rsidRPr="00464B95">
                    <w:rPr>
                      <w:b/>
                      <w:bCs/>
                      <w:szCs w:val="18"/>
                    </w:rPr>
                    <w:t>2021</w:t>
                  </w:r>
                </w:p>
              </w:tc>
            </w:tr>
            <w:tr w:rsidR="0066594A" w:rsidRPr="00464B95" w14:paraId="58BF9B01" w14:textId="77777777" w:rsidTr="0066594A">
              <w:tc>
                <w:tcPr>
                  <w:tcW w:w="1963" w:type="dxa"/>
                </w:tcPr>
                <w:p w14:paraId="59D819E9" w14:textId="77777777" w:rsidR="0066594A" w:rsidRPr="00464B95" w:rsidRDefault="0066594A" w:rsidP="0066594A">
                  <w:pPr>
                    <w:pStyle w:val="TableText"/>
                    <w:rPr>
                      <w:rFonts w:eastAsia="Arial Unicode MS"/>
                      <w:szCs w:val="18"/>
                    </w:rPr>
                  </w:pPr>
                  <w:r w:rsidRPr="00464B95">
                    <w:rPr>
                      <w:szCs w:val="18"/>
                    </w:rPr>
                    <w:t>All Ethnicities</w:t>
                  </w:r>
                </w:p>
              </w:tc>
              <w:tc>
                <w:tcPr>
                  <w:tcW w:w="1963" w:type="dxa"/>
                </w:tcPr>
                <w:p w14:paraId="5266D390" w14:textId="69D8881A" w:rsidR="0066594A" w:rsidRPr="00464B95" w:rsidRDefault="0066594A" w:rsidP="0066594A">
                  <w:pPr>
                    <w:pStyle w:val="TableText"/>
                    <w:jc w:val="right"/>
                    <w:rPr>
                      <w:rFonts w:eastAsia="Arial Unicode MS"/>
                      <w:szCs w:val="18"/>
                    </w:rPr>
                  </w:pPr>
                  <w:r w:rsidRPr="00280F8C">
                    <w:t>398.6</w:t>
                  </w:r>
                </w:p>
              </w:tc>
              <w:tc>
                <w:tcPr>
                  <w:tcW w:w="1963" w:type="dxa"/>
                </w:tcPr>
                <w:p w14:paraId="4DCF25EF" w14:textId="5D257F5A" w:rsidR="0066594A" w:rsidRPr="00464B95" w:rsidRDefault="0066594A" w:rsidP="0066594A">
                  <w:pPr>
                    <w:pStyle w:val="TableText"/>
                    <w:jc w:val="right"/>
                    <w:rPr>
                      <w:rFonts w:eastAsia="Arial Unicode MS"/>
                      <w:szCs w:val="18"/>
                    </w:rPr>
                  </w:pPr>
                  <w:r w:rsidRPr="00280F8C">
                    <w:t>363.3</w:t>
                  </w:r>
                </w:p>
              </w:tc>
              <w:tc>
                <w:tcPr>
                  <w:tcW w:w="1963" w:type="dxa"/>
                </w:tcPr>
                <w:p w14:paraId="1EEF2DE0" w14:textId="71818DB8" w:rsidR="0066594A" w:rsidRPr="00464B95" w:rsidRDefault="0066594A" w:rsidP="0066594A">
                  <w:pPr>
                    <w:pStyle w:val="TableText"/>
                    <w:jc w:val="right"/>
                    <w:rPr>
                      <w:rFonts w:eastAsia="Arial Unicode MS"/>
                      <w:szCs w:val="18"/>
                    </w:rPr>
                  </w:pPr>
                  <w:r w:rsidRPr="00280F8C">
                    <w:t>397.8</w:t>
                  </w:r>
                </w:p>
              </w:tc>
            </w:tr>
            <w:tr w:rsidR="0066594A" w:rsidRPr="00464B95" w14:paraId="23AB4162" w14:textId="77777777" w:rsidTr="0066594A">
              <w:tc>
                <w:tcPr>
                  <w:tcW w:w="1963" w:type="dxa"/>
                </w:tcPr>
                <w:p w14:paraId="49AA4AC8" w14:textId="77777777" w:rsidR="0066594A" w:rsidRPr="00464B95" w:rsidRDefault="0066594A" w:rsidP="0066594A">
                  <w:pPr>
                    <w:pStyle w:val="TableText"/>
                    <w:rPr>
                      <w:rFonts w:eastAsia="Arial Unicode MS"/>
                      <w:szCs w:val="18"/>
                    </w:rPr>
                  </w:pPr>
                  <w:r w:rsidRPr="00464B95">
                    <w:rPr>
                      <w:szCs w:val="18"/>
                    </w:rPr>
                    <w:t>Māori</w:t>
                  </w:r>
                </w:p>
              </w:tc>
              <w:tc>
                <w:tcPr>
                  <w:tcW w:w="1963" w:type="dxa"/>
                </w:tcPr>
                <w:p w14:paraId="2503B732" w14:textId="7457FDA7" w:rsidR="0066594A" w:rsidRPr="00464B95" w:rsidRDefault="0066594A" w:rsidP="0066594A">
                  <w:pPr>
                    <w:pStyle w:val="TableText"/>
                    <w:jc w:val="right"/>
                    <w:rPr>
                      <w:rFonts w:eastAsia="Arial Unicode MS"/>
                      <w:szCs w:val="18"/>
                    </w:rPr>
                  </w:pPr>
                  <w:r w:rsidRPr="00280F8C">
                    <w:t>562.9</w:t>
                  </w:r>
                </w:p>
              </w:tc>
              <w:tc>
                <w:tcPr>
                  <w:tcW w:w="1963" w:type="dxa"/>
                </w:tcPr>
                <w:p w14:paraId="1A97B928" w14:textId="2B099A7E" w:rsidR="0066594A" w:rsidRPr="00464B95" w:rsidRDefault="0066594A" w:rsidP="0066594A">
                  <w:pPr>
                    <w:pStyle w:val="TableText"/>
                    <w:jc w:val="right"/>
                    <w:rPr>
                      <w:rFonts w:eastAsia="Arial Unicode MS"/>
                      <w:szCs w:val="18"/>
                    </w:rPr>
                  </w:pPr>
                  <w:r w:rsidRPr="00280F8C">
                    <w:t>519.7</w:t>
                  </w:r>
                </w:p>
              </w:tc>
              <w:tc>
                <w:tcPr>
                  <w:tcW w:w="1963" w:type="dxa"/>
                </w:tcPr>
                <w:p w14:paraId="49A6EBA7" w14:textId="700E4FB5" w:rsidR="0066594A" w:rsidRPr="00464B95" w:rsidRDefault="0066594A" w:rsidP="0066594A">
                  <w:pPr>
                    <w:pStyle w:val="TableText"/>
                    <w:jc w:val="right"/>
                    <w:rPr>
                      <w:rFonts w:eastAsia="Arial Unicode MS"/>
                      <w:szCs w:val="18"/>
                    </w:rPr>
                  </w:pPr>
                  <w:r w:rsidRPr="00280F8C">
                    <w:t>560.7</w:t>
                  </w:r>
                </w:p>
              </w:tc>
            </w:tr>
            <w:tr w:rsidR="0066594A" w:rsidRPr="00464B95" w14:paraId="407174AB" w14:textId="77777777" w:rsidTr="0066594A">
              <w:tc>
                <w:tcPr>
                  <w:tcW w:w="1963" w:type="dxa"/>
                </w:tcPr>
                <w:p w14:paraId="7BF80CA9" w14:textId="77777777" w:rsidR="0066594A" w:rsidRPr="00464B95" w:rsidRDefault="0066594A" w:rsidP="0066594A">
                  <w:pPr>
                    <w:pStyle w:val="TableText"/>
                    <w:rPr>
                      <w:rFonts w:eastAsia="Arial Unicode MS"/>
                      <w:szCs w:val="18"/>
                    </w:rPr>
                  </w:pPr>
                  <w:r w:rsidRPr="00464B95">
                    <w:rPr>
                      <w:szCs w:val="18"/>
                    </w:rPr>
                    <w:t>Pacific</w:t>
                  </w:r>
                </w:p>
              </w:tc>
              <w:tc>
                <w:tcPr>
                  <w:tcW w:w="1963" w:type="dxa"/>
                </w:tcPr>
                <w:p w14:paraId="760ABB35" w14:textId="696998B3" w:rsidR="0066594A" w:rsidRPr="00464B95" w:rsidRDefault="0066594A" w:rsidP="0066594A">
                  <w:pPr>
                    <w:pStyle w:val="TableText"/>
                    <w:jc w:val="right"/>
                    <w:rPr>
                      <w:rFonts w:eastAsia="Arial Unicode MS"/>
                      <w:szCs w:val="18"/>
                    </w:rPr>
                  </w:pPr>
                  <w:r w:rsidRPr="00280F8C">
                    <w:t>689.0</w:t>
                  </w:r>
                </w:p>
              </w:tc>
              <w:tc>
                <w:tcPr>
                  <w:tcW w:w="1963" w:type="dxa"/>
                </w:tcPr>
                <w:p w14:paraId="14BCDE5C" w14:textId="7DE6A2D1" w:rsidR="0066594A" w:rsidRPr="00464B95" w:rsidRDefault="0066594A" w:rsidP="0066594A">
                  <w:pPr>
                    <w:pStyle w:val="TableText"/>
                    <w:jc w:val="right"/>
                    <w:rPr>
                      <w:rFonts w:eastAsia="Arial Unicode MS"/>
                      <w:szCs w:val="18"/>
                    </w:rPr>
                  </w:pPr>
                  <w:r w:rsidRPr="00280F8C">
                    <w:t>621.2</w:t>
                  </w:r>
                </w:p>
              </w:tc>
              <w:tc>
                <w:tcPr>
                  <w:tcW w:w="1963" w:type="dxa"/>
                </w:tcPr>
                <w:p w14:paraId="2CAB3DE0" w14:textId="0AA24FC6" w:rsidR="0066594A" w:rsidRPr="00464B95" w:rsidRDefault="0066594A" w:rsidP="0066594A">
                  <w:pPr>
                    <w:pStyle w:val="TableText"/>
                    <w:jc w:val="right"/>
                    <w:rPr>
                      <w:rFonts w:eastAsia="Arial Unicode MS"/>
                      <w:szCs w:val="18"/>
                    </w:rPr>
                  </w:pPr>
                  <w:r w:rsidRPr="00280F8C">
                    <w:t>646.2</w:t>
                  </w:r>
                </w:p>
              </w:tc>
            </w:tr>
          </w:tbl>
          <w:p w14:paraId="5B95AA19" w14:textId="77777777" w:rsidR="0066594A" w:rsidRPr="00464B95" w:rsidRDefault="0066594A" w:rsidP="0066594A">
            <w:pPr>
              <w:keepNext/>
              <w:spacing w:before="60" w:after="60"/>
              <w:rPr>
                <w:rFonts w:eastAsia="Arial Unicode MS"/>
                <w:b/>
                <w:bCs/>
                <w:sz w:val="18"/>
                <w:szCs w:val="18"/>
              </w:rPr>
            </w:pPr>
            <w:r w:rsidRPr="00464B95">
              <w:rPr>
                <w:rFonts w:eastAsia="Arial Unicode MS"/>
                <w:b/>
                <w:bCs/>
                <w:sz w:val="18"/>
                <w:szCs w:val="18"/>
              </w:rPr>
              <w:lastRenderedPageBreak/>
              <w:t>Comment</w:t>
            </w:r>
          </w:p>
          <w:p w14:paraId="7CE1E205" w14:textId="77777777" w:rsidR="0066594A" w:rsidRPr="0066594A" w:rsidRDefault="0066594A" w:rsidP="0066594A">
            <w:pPr>
              <w:spacing w:before="60" w:after="60"/>
              <w:rPr>
                <w:rFonts w:eastAsia="Arial Unicode MS"/>
                <w:sz w:val="18"/>
                <w:szCs w:val="18"/>
              </w:rPr>
            </w:pPr>
            <w:r w:rsidRPr="0066594A">
              <w:rPr>
                <w:rFonts w:eastAsia="Arial Unicode MS"/>
                <w:sz w:val="18"/>
                <w:szCs w:val="18"/>
              </w:rPr>
              <w:t>This indicator looks at the demand for acute inpatient services and the burden experienced by our secondary health system. COVID-19 has resulted in a reduction in the number of acute hospital bed days during 2020, however, we have seen an increase in 2021 despite various lockdowns.</w:t>
            </w:r>
          </w:p>
          <w:p w14:paraId="751FEACE" w14:textId="00A8DAB2" w:rsidR="0066594A" w:rsidRPr="00464B95" w:rsidRDefault="0066594A" w:rsidP="0066594A">
            <w:pPr>
              <w:spacing w:before="60" w:after="60"/>
              <w:rPr>
                <w:rFonts w:eastAsia="Arial Unicode MS"/>
                <w:sz w:val="18"/>
                <w:szCs w:val="18"/>
              </w:rPr>
            </w:pPr>
            <w:r w:rsidRPr="0066594A">
              <w:rPr>
                <w:rFonts w:eastAsia="Arial Unicode MS"/>
                <w:sz w:val="18"/>
                <w:szCs w:val="18"/>
              </w:rPr>
              <w:t>We are continuing to monitor this to assess health system performance as well as the degree of integration between community, primary and secondary care.</w:t>
            </w:r>
          </w:p>
        </w:tc>
      </w:tr>
    </w:tbl>
    <w:p w14:paraId="0CB03786" w14:textId="77777777" w:rsidR="0066594A" w:rsidRDefault="0066594A" w:rsidP="0066594A"/>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66594A" w14:paraId="207AE08B" w14:textId="77777777" w:rsidTr="0066594A">
        <w:tc>
          <w:tcPr>
            <w:tcW w:w="8079" w:type="dxa"/>
            <w:shd w:val="clear" w:color="auto" w:fill="D9D9D9" w:themeFill="background1" w:themeFillShade="D9"/>
          </w:tcPr>
          <w:p w14:paraId="30A40C5C" w14:textId="17D3A04E" w:rsidR="0066594A" w:rsidRPr="00464B95" w:rsidRDefault="0066594A" w:rsidP="0066594A">
            <w:pPr>
              <w:spacing w:before="60" w:after="60"/>
              <w:rPr>
                <w:rFonts w:eastAsia="Arial Unicode MS"/>
                <w:b/>
                <w:bCs/>
                <w:sz w:val="18"/>
                <w:szCs w:val="18"/>
              </w:rPr>
            </w:pPr>
            <w:r w:rsidRPr="0066594A">
              <w:rPr>
                <w:rFonts w:eastAsia="Arial Unicode MS"/>
                <w:b/>
                <w:bCs/>
                <w:sz w:val="18"/>
                <w:szCs w:val="18"/>
              </w:rPr>
              <w:t>Access to planned care</w:t>
            </w:r>
          </w:p>
        </w:tc>
      </w:tr>
      <w:tr w:rsidR="0066594A" w14:paraId="50011CC6" w14:textId="77777777" w:rsidTr="0066594A">
        <w:tc>
          <w:tcPr>
            <w:tcW w:w="8079" w:type="dxa"/>
            <w:tcBorders>
              <w:bottom w:val="single" w:sz="4" w:space="0" w:color="A6A6A6" w:themeColor="background1" w:themeShade="A6"/>
            </w:tcBorders>
          </w:tcPr>
          <w:p w14:paraId="2504F40A" w14:textId="77777777" w:rsidR="0066594A" w:rsidRPr="00464B95" w:rsidRDefault="0066594A" w:rsidP="0066594A">
            <w:pPr>
              <w:spacing w:before="60" w:after="60"/>
              <w:rPr>
                <w:rFonts w:eastAsia="Arial Unicode MS"/>
                <w:b/>
                <w:bCs/>
                <w:sz w:val="18"/>
                <w:szCs w:val="18"/>
              </w:rPr>
            </w:pPr>
            <w:r w:rsidRPr="00464B95">
              <w:rPr>
                <w:rFonts w:eastAsia="Arial Unicode MS"/>
                <w:b/>
                <w:bCs/>
                <w:sz w:val="18"/>
                <w:szCs w:val="18"/>
              </w:rPr>
              <w:t>Indicator description</w:t>
            </w:r>
          </w:p>
          <w:p w14:paraId="13D124C8" w14:textId="23173C30" w:rsidR="0066594A" w:rsidRDefault="0066594A" w:rsidP="0066594A">
            <w:pPr>
              <w:spacing w:before="60" w:after="60"/>
              <w:rPr>
                <w:rFonts w:eastAsia="Arial Unicode MS"/>
                <w:sz w:val="18"/>
                <w:szCs w:val="18"/>
              </w:rPr>
            </w:pPr>
            <w:r w:rsidRPr="0066594A">
              <w:rPr>
                <w:rFonts w:eastAsia="Arial Unicode MS"/>
                <w:sz w:val="18"/>
                <w:szCs w:val="18"/>
              </w:rPr>
              <w:t>People who had surgery or care that was planned in advance, as a percentage of the agreed number of events in the delivery plan.</w:t>
            </w:r>
          </w:p>
          <w:p w14:paraId="4A12D84F" w14:textId="6AF4DCF0" w:rsidR="0066594A" w:rsidRPr="00464B95" w:rsidRDefault="0066594A" w:rsidP="0066594A">
            <w:pPr>
              <w:spacing w:before="60" w:after="60"/>
              <w:rPr>
                <w:rFonts w:eastAsia="Arial Unicode MS"/>
                <w:sz w:val="18"/>
                <w:szCs w:val="18"/>
              </w:rPr>
            </w:pPr>
            <w:r w:rsidRPr="0066594A">
              <w:rPr>
                <w:rFonts w:eastAsia="Arial Unicode MS"/>
                <w:sz w:val="18"/>
                <w:szCs w:val="18"/>
              </w:rPr>
              <w:t>72,931 people had surgery or care as planned (5.2% more than planned).</w:t>
            </w:r>
          </w:p>
        </w:tc>
      </w:tr>
      <w:tr w:rsidR="0066594A" w14:paraId="659B8601" w14:textId="77777777" w:rsidTr="0066594A">
        <w:tc>
          <w:tcPr>
            <w:tcW w:w="8079" w:type="dxa"/>
            <w:tcBorders>
              <w:top w:val="nil"/>
            </w:tcBorders>
          </w:tcPr>
          <w:p w14:paraId="1E31D86F" w14:textId="571D4C04" w:rsidR="0066594A" w:rsidRPr="0066594A" w:rsidRDefault="0066594A" w:rsidP="0066594A">
            <w:pPr>
              <w:spacing w:before="60" w:after="60"/>
              <w:rPr>
                <w:rFonts w:eastAsia="Arial Unicode MS"/>
                <w:sz w:val="18"/>
                <w:szCs w:val="18"/>
              </w:rPr>
            </w:pPr>
            <w:r w:rsidRPr="00464B95">
              <w:rPr>
                <w:rFonts w:eastAsia="Arial Unicode MS"/>
                <w:b/>
                <w:bCs/>
                <w:sz w:val="18"/>
                <w:szCs w:val="18"/>
              </w:rPr>
              <w:t>Results</w:t>
            </w:r>
            <w:r w:rsidRPr="0066594A">
              <w:rPr>
                <w:rFonts w:eastAsia="Arial Unicode MS"/>
                <w:sz w:val="18"/>
                <w:szCs w:val="18"/>
              </w:rPr>
              <w:t xml:space="preserve"> (Number of surgery or planned care for the quarter ending December)</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36"/>
              <w:gridCol w:w="1963"/>
              <w:gridCol w:w="1963"/>
              <w:gridCol w:w="1963"/>
            </w:tblGrid>
            <w:tr w:rsidR="0066594A" w:rsidRPr="00464B95" w14:paraId="5065894A" w14:textId="77777777" w:rsidTr="0066594A">
              <w:tc>
                <w:tcPr>
                  <w:tcW w:w="236" w:type="dxa"/>
                </w:tcPr>
                <w:p w14:paraId="7948CC73" w14:textId="77777777" w:rsidR="0066594A" w:rsidRPr="00464B95" w:rsidRDefault="0066594A" w:rsidP="0066594A">
                  <w:pPr>
                    <w:pStyle w:val="TableText"/>
                    <w:rPr>
                      <w:rFonts w:eastAsia="Arial Unicode MS"/>
                      <w:szCs w:val="18"/>
                    </w:rPr>
                  </w:pPr>
                </w:p>
              </w:tc>
              <w:tc>
                <w:tcPr>
                  <w:tcW w:w="1963" w:type="dxa"/>
                </w:tcPr>
                <w:p w14:paraId="78D84578" w14:textId="77777777" w:rsidR="0066594A" w:rsidRPr="00464B95" w:rsidRDefault="0066594A" w:rsidP="0066594A">
                  <w:pPr>
                    <w:pStyle w:val="TableText"/>
                    <w:jc w:val="right"/>
                    <w:rPr>
                      <w:rFonts w:eastAsia="Arial Unicode MS"/>
                      <w:b/>
                      <w:bCs/>
                      <w:szCs w:val="18"/>
                    </w:rPr>
                  </w:pPr>
                  <w:r w:rsidRPr="00464B95">
                    <w:rPr>
                      <w:b/>
                      <w:bCs/>
                      <w:szCs w:val="18"/>
                    </w:rPr>
                    <w:t>2019</w:t>
                  </w:r>
                </w:p>
              </w:tc>
              <w:tc>
                <w:tcPr>
                  <w:tcW w:w="1963" w:type="dxa"/>
                </w:tcPr>
                <w:p w14:paraId="1BEE09CD" w14:textId="77777777" w:rsidR="0066594A" w:rsidRPr="00464B95" w:rsidRDefault="0066594A" w:rsidP="0066594A">
                  <w:pPr>
                    <w:pStyle w:val="TableText"/>
                    <w:jc w:val="right"/>
                    <w:rPr>
                      <w:rFonts w:eastAsia="Arial Unicode MS"/>
                      <w:b/>
                      <w:bCs/>
                      <w:szCs w:val="18"/>
                    </w:rPr>
                  </w:pPr>
                  <w:r w:rsidRPr="00464B95">
                    <w:rPr>
                      <w:b/>
                      <w:bCs/>
                      <w:szCs w:val="18"/>
                    </w:rPr>
                    <w:t>2020</w:t>
                  </w:r>
                </w:p>
              </w:tc>
              <w:tc>
                <w:tcPr>
                  <w:tcW w:w="1963" w:type="dxa"/>
                </w:tcPr>
                <w:p w14:paraId="15FAC508" w14:textId="77777777" w:rsidR="0066594A" w:rsidRPr="00464B95" w:rsidRDefault="0066594A" w:rsidP="0066594A">
                  <w:pPr>
                    <w:pStyle w:val="TableText"/>
                    <w:jc w:val="right"/>
                    <w:rPr>
                      <w:rFonts w:eastAsia="Arial Unicode MS"/>
                      <w:b/>
                      <w:bCs/>
                      <w:szCs w:val="18"/>
                    </w:rPr>
                  </w:pPr>
                  <w:r w:rsidRPr="00464B95">
                    <w:rPr>
                      <w:b/>
                      <w:bCs/>
                      <w:szCs w:val="18"/>
                    </w:rPr>
                    <w:t>2021</w:t>
                  </w:r>
                </w:p>
              </w:tc>
            </w:tr>
            <w:tr w:rsidR="0066594A" w:rsidRPr="00464B95" w14:paraId="6D0BE95E" w14:textId="77777777" w:rsidTr="0066594A">
              <w:tc>
                <w:tcPr>
                  <w:tcW w:w="236" w:type="dxa"/>
                </w:tcPr>
                <w:p w14:paraId="6250BD5D" w14:textId="49551BB1" w:rsidR="0066594A" w:rsidRPr="00464B95" w:rsidRDefault="0066594A" w:rsidP="0066594A">
                  <w:pPr>
                    <w:pStyle w:val="TableText"/>
                    <w:rPr>
                      <w:rFonts w:eastAsia="Arial Unicode MS"/>
                      <w:szCs w:val="18"/>
                    </w:rPr>
                  </w:pPr>
                </w:p>
              </w:tc>
              <w:tc>
                <w:tcPr>
                  <w:tcW w:w="1963" w:type="dxa"/>
                </w:tcPr>
                <w:p w14:paraId="4E7D7EB0" w14:textId="20654F81" w:rsidR="0066594A" w:rsidRPr="00464B95" w:rsidRDefault="0066594A" w:rsidP="0066594A">
                  <w:pPr>
                    <w:pStyle w:val="TableText"/>
                    <w:jc w:val="right"/>
                    <w:rPr>
                      <w:rFonts w:eastAsia="Arial Unicode MS"/>
                      <w:szCs w:val="18"/>
                    </w:rPr>
                  </w:pPr>
                  <w:r w:rsidRPr="008A659D">
                    <w:t xml:space="preserve">72,931 </w:t>
                  </w:r>
                  <w:r w:rsidR="00F11A3D">
                    <w:br/>
                  </w:r>
                  <w:r w:rsidRPr="008A659D">
                    <w:t>(+5.2%)</w:t>
                  </w:r>
                </w:p>
              </w:tc>
              <w:tc>
                <w:tcPr>
                  <w:tcW w:w="1963" w:type="dxa"/>
                </w:tcPr>
                <w:p w14:paraId="3F7200FA" w14:textId="7FACB9EA" w:rsidR="0066594A" w:rsidRPr="00464B95" w:rsidRDefault="0066594A" w:rsidP="0066594A">
                  <w:pPr>
                    <w:pStyle w:val="TableText"/>
                    <w:jc w:val="right"/>
                    <w:rPr>
                      <w:rFonts w:eastAsia="Arial Unicode MS"/>
                      <w:szCs w:val="18"/>
                    </w:rPr>
                  </w:pPr>
                  <w:r w:rsidRPr="008A659D">
                    <w:t>81,885</w:t>
                  </w:r>
                  <w:r w:rsidR="00F11A3D">
                    <w:br/>
                  </w:r>
                  <w:r w:rsidR="00F11A3D" w:rsidRPr="00F11A3D">
                    <w:rPr>
                      <w:rFonts w:eastAsia="Arial Unicode MS"/>
                      <w:szCs w:val="18"/>
                    </w:rPr>
                    <w:t>(+14.8%)</w:t>
                  </w:r>
                </w:p>
              </w:tc>
              <w:tc>
                <w:tcPr>
                  <w:tcW w:w="1963" w:type="dxa"/>
                </w:tcPr>
                <w:p w14:paraId="139C44E6" w14:textId="69A7C753" w:rsidR="0066594A" w:rsidRPr="00464B95" w:rsidRDefault="0066594A" w:rsidP="0066594A">
                  <w:pPr>
                    <w:pStyle w:val="TableText"/>
                    <w:jc w:val="right"/>
                    <w:rPr>
                      <w:rFonts w:eastAsia="Arial Unicode MS"/>
                      <w:szCs w:val="18"/>
                    </w:rPr>
                  </w:pPr>
                  <w:r w:rsidRPr="0066594A">
                    <w:t>79,211</w:t>
                  </w:r>
                  <w:r w:rsidR="00F11A3D">
                    <w:br/>
                  </w:r>
                  <w:r w:rsidRPr="0066594A">
                    <w:t xml:space="preserve"> (+10.0%)</w:t>
                  </w:r>
                </w:p>
              </w:tc>
            </w:tr>
          </w:tbl>
          <w:p w14:paraId="512F4308" w14:textId="77777777" w:rsidR="0066594A" w:rsidRPr="00464B95" w:rsidRDefault="0066594A" w:rsidP="0066594A">
            <w:pPr>
              <w:keepNext/>
              <w:spacing w:before="60" w:after="60"/>
              <w:rPr>
                <w:rFonts w:eastAsia="Arial Unicode MS"/>
                <w:b/>
                <w:bCs/>
                <w:sz w:val="18"/>
                <w:szCs w:val="18"/>
              </w:rPr>
            </w:pPr>
            <w:r w:rsidRPr="00464B95">
              <w:rPr>
                <w:rFonts w:eastAsia="Arial Unicode MS"/>
                <w:b/>
                <w:bCs/>
                <w:sz w:val="18"/>
                <w:szCs w:val="18"/>
              </w:rPr>
              <w:t>Comment</w:t>
            </w:r>
          </w:p>
          <w:p w14:paraId="25BE3713" w14:textId="77777777" w:rsidR="0066594A" w:rsidRPr="0066594A" w:rsidRDefault="0066594A" w:rsidP="0066594A">
            <w:pPr>
              <w:spacing w:before="60" w:after="60"/>
              <w:rPr>
                <w:rFonts w:eastAsia="Arial Unicode MS"/>
                <w:sz w:val="18"/>
                <w:szCs w:val="18"/>
              </w:rPr>
            </w:pPr>
            <w:r w:rsidRPr="0066594A">
              <w:rPr>
                <w:rFonts w:eastAsia="Arial Unicode MS"/>
                <w:sz w:val="18"/>
                <w:szCs w:val="18"/>
              </w:rPr>
              <w:t>Planned care reporting includes both inpatient surgeries and minor procedures which are provided in inpatient and outpatient hospital and community settings.</w:t>
            </w:r>
          </w:p>
          <w:p w14:paraId="0D538CA1" w14:textId="77777777" w:rsidR="0066594A" w:rsidRPr="0066594A" w:rsidRDefault="0066594A" w:rsidP="0066594A">
            <w:pPr>
              <w:spacing w:before="60" w:after="60"/>
              <w:rPr>
                <w:rFonts w:eastAsia="Arial Unicode MS"/>
                <w:sz w:val="18"/>
                <w:szCs w:val="18"/>
              </w:rPr>
            </w:pPr>
            <w:r w:rsidRPr="0066594A">
              <w:rPr>
                <w:rFonts w:eastAsia="Arial Unicode MS"/>
                <w:sz w:val="18"/>
                <w:szCs w:val="18"/>
              </w:rPr>
              <w:t>The COVID-19 lockdown periods and those following were marked by rapid and radical changes in the number of planned care admissions, caused by the necessary postponement of planned care at higher Alert Levels.</w:t>
            </w:r>
          </w:p>
          <w:p w14:paraId="5946A85C" w14:textId="77777777" w:rsidR="0066594A" w:rsidRPr="0066594A" w:rsidRDefault="0066594A" w:rsidP="0066594A">
            <w:pPr>
              <w:spacing w:before="60" w:after="60"/>
              <w:rPr>
                <w:rFonts w:eastAsia="Arial Unicode MS"/>
                <w:sz w:val="18"/>
                <w:szCs w:val="18"/>
              </w:rPr>
            </w:pPr>
            <w:r w:rsidRPr="0066594A">
              <w:rPr>
                <w:rFonts w:eastAsia="Arial Unicode MS"/>
                <w:sz w:val="18"/>
                <w:szCs w:val="18"/>
              </w:rPr>
              <w:t>As a result of significant deferrals due to COVID-19 cases in the community and in hospitals district health boards (DHBs) under-delivered on planned inpatient surgical discharges. This was primarily a consequence of COVID-19 management including lockdowns, a reduction in planned delivery due to COVID-19 cases in hospital and workforce pressures. Urgent and non-deferrable care continued during lockdown periods.</w:t>
            </w:r>
          </w:p>
          <w:p w14:paraId="27C90397" w14:textId="019C14F2" w:rsidR="0066594A" w:rsidRPr="00464B95" w:rsidRDefault="0066594A" w:rsidP="0066594A">
            <w:pPr>
              <w:spacing w:before="60" w:after="60"/>
              <w:rPr>
                <w:rFonts w:eastAsia="Arial Unicode MS"/>
                <w:sz w:val="18"/>
                <w:szCs w:val="18"/>
              </w:rPr>
            </w:pPr>
            <w:r w:rsidRPr="0066594A">
              <w:rPr>
                <w:rFonts w:eastAsia="Arial Unicode MS"/>
                <w:sz w:val="18"/>
                <w:szCs w:val="18"/>
              </w:rPr>
              <w:t>Reporting indicates there was an over-delivery of minor procedures. While this has skewed overall performance, this is typical and is not a cause for concern. Minor procedures tend to be of low acuity, low complexity and can be undertaken in alternate settings (such as outpatient or community settings).</w:t>
            </w:r>
          </w:p>
        </w:tc>
      </w:tr>
    </w:tbl>
    <w:p w14:paraId="4774D89B" w14:textId="77777777" w:rsidR="0066594A" w:rsidRDefault="0066594A" w:rsidP="0066594A">
      <w:pPr>
        <w:pStyle w:val="Heading4"/>
      </w:pPr>
      <w:r>
        <w:t>Providing better primary health care</w:t>
      </w:r>
    </w:p>
    <w:p w14:paraId="4A53EF96" w14:textId="592A562A" w:rsidR="0066594A" w:rsidRDefault="0066594A" w:rsidP="0066594A">
      <w:pPr>
        <w:pStyle w:val="Heading5"/>
      </w:pPr>
      <w:r>
        <w:t>Indicator results</w:t>
      </w: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66594A" w14:paraId="4A7D3F8F" w14:textId="77777777" w:rsidTr="0066594A">
        <w:tc>
          <w:tcPr>
            <w:tcW w:w="8079" w:type="dxa"/>
            <w:shd w:val="clear" w:color="auto" w:fill="D9D9D9" w:themeFill="background1" w:themeFillShade="D9"/>
          </w:tcPr>
          <w:p w14:paraId="4FE62098" w14:textId="2E495999" w:rsidR="0066594A" w:rsidRPr="00464B95" w:rsidRDefault="0066594A" w:rsidP="0066594A">
            <w:pPr>
              <w:spacing w:before="60" w:after="60"/>
              <w:rPr>
                <w:rFonts w:eastAsia="Arial Unicode MS"/>
                <w:b/>
                <w:bCs/>
                <w:sz w:val="18"/>
                <w:szCs w:val="18"/>
              </w:rPr>
            </w:pPr>
            <w:r w:rsidRPr="0066594A">
              <w:rPr>
                <w:rFonts w:eastAsia="Arial Unicode MS"/>
                <w:b/>
                <w:bCs/>
                <w:sz w:val="18"/>
                <w:szCs w:val="18"/>
              </w:rPr>
              <w:t>People report they can get primary health care when they need it</w:t>
            </w:r>
          </w:p>
        </w:tc>
      </w:tr>
      <w:tr w:rsidR="0066594A" w14:paraId="2E4D10C4" w14:textId="77777777" w:rsidTr="0066594A">
        <w:tc>
          <w:tcPr>
            <w:tcW w:w="8079" w:type="dxa"/>
            <w:tcBorders>
              <w:bottom w:val="single" w:sz="4" w:space="0" w:color="A6A6A6" w:themeColor="background1" w:themeShade="A6"/>
            </w:tcBorders>
          </w:tcPr>
          <w:p w14:paraId="41FC30B5" w14:textId="77777777" w:rsidR="0066594A" w:rsidRPr="00464B95" w:rsidRDefault="0066594A" w:rsidP="0066594A">
            <w:pPr>
              <w:spacing w:before="60" w:after="60"/>
              <w:rPr>
                <w:rFonts w:eastAsia="Arial Unicode MS"/>
                <w:b/>
                <w:bCs/>
                <w:sz w:val="18"/>
                <w:szCs w:val="18"/>
              </w:rPr>
            </w:pPr>
            <w:r w:rsidRPr="00464B95">
              <w:rPr>
                <w:rFonts w:eastAsia="Arial Unicode MS"/>
                <w:b/>
                <w:bCs/>
                <w:sz w:val="18"/>
                <w:szCs w:val="18"/>
              </w:rPr>
              <w:t>Indicator description</w:t>
            </w:r>
          </w:p>
          <w:p w14:paraId="6292A191" w14:textId="6A3185A2" w:rsidR="0066594A" w:rsidRPr="00464B95" w:rsidRDefault="0066594A" w:rsidP="0066594A">
            <w:pPr>
              <w:spacing w:before="60" w:after="60"/>
              <w:rPr>
                <w:rFonts w:eastAsia="Arial Unicode MS"/>
                <w:sz w:val="18"/>
                <w:szCs w:val="18"/>
              </w:rPr>
            </w:pPr>
            <w:r w:rsidRPr="0066594A">
              <w:rPr>
                <w:rFonts w:eastAsia="Arial Unicode MS"/>
                <w:sz w:val="18"/>
                <w:szCs w:val="18"/>
              </w:rPr>
              <w:t>Percentage of people who say they can always get primary health care from a GP or nurse when</w:t>
            </w:r>
            <w:r>
              <w:rPr>
                <w:rFonts w:eastAsia="Arial Unicode MS"/>
                <w:sz w:val="18"/>
                <w:szCs w:val="18"/>
              </w:rPr>
              <w:t xml:space="preserve"> </w:t>
            </w:r>
            <w:r w:rsidRPr="0066594A">
              <w:rPr>
                <w:rFonts w:eastAsia="Arial Unicode MS"/>
                <w:sz w:val="18"/>
                <w:szCs w:val="18"/>
              </w:rPr>
              <w:t xml:space="preserve">  they needed it in the last 12 months.</w:t>
            </w:r>
          </w:p>
        </w:tc>
      </w:tr>
      <w:tr w:rsidR="0066594A" w14:paraId="722E9126" w14:textId="77777777" w:rsidTr="0066594A">
        <w:tc>
          <w:tcPr>
            <w:tcW w:w="8079" w:type="dxa"/>
            <w:tcBorders>
              <w:top w:val="single" w:sz="4" w:space="0" w:color="A6A6A6" w:themeColor="background1" w:themeShade="A6"/>
              <w:bottom w:val="nil"/>
            </w:tcBorders>
          </w:tcPr>
          <w:p w14:paraId="3D7C9965" w14:textId="77777777" w:rsidR="0066594A" w:rsidRPr="0066594A" w:rsidRDefault="0066594A" w:rsidP="0066594A">
            <w:pPr>
              <w:spacing w:before="60" w:after="60"/>
              <w:rPr>
                <w:rFonts w:eastAsia="Arial Unicode MS"/>
                <w:b/>
                <w:bCs/>
                <w:sz w:val="18"/>
                <w:szCs w:val="18"/>
              </w:rPr>
            </w:pPr>
            <w:r w:rsidRPr="0066594A">
              <w:rPr>
                <w:rFonts w:eastAsia="Arial Unicode MS"/>
                <w:b/>
                <w:bCs/>
                <w:sz w:val="18"/>
                <w:szCs w:val="18"/>
              </w:rPr>
              <w:t xml:space="preserve">Baseline data </w:t>
            </w:r>
            <w:r w:rsidRPr="00813662">
              <w:rPr>
                <w:rFonts w:eastAsia="Arial Unicode MS"/>
                <w:sz w:val="18"/>
                <w:szCs w:val="18"/>
              </w:rPr>
              <w:t>(12 months to June 2021)</w:t>
            </w:r>
          </w:p>
          <w:p w14:paraId="6D019E9B" w14:textId="235E9F3D" w:rsidR="0066594A" w:rsidRPr="0066594A" w:rsidRDefault="0066594A" w:rsidP="0066594A">
            <w:pPr>
              <w:spacing w:before="60" w:after="60"/>
              <w:rPr>
                <w:rFonts w:eastAsia="Arial Unicode MS"/>
                <w:sz w:val="18"/>
                <w:szCs w:val="18"/>
              </w:rPr>
            </w:pPr>
            <w:r w:rsidRPr="0066594A">
              <w:rPr>
                <w:rFonts w:eastAsia="Arial Unicode MS"/>
                <w:sz w:val="18"/>
                <w:szCs w:val="18"/>
              </w:rPr>
              <w:t>81% of people reported they could always get health care from a GP or nurse when they needed it.</w:t>
            </w:r>
          </w:p>
        </w:tc>
      </w:tr>
      <w:tr w:rsidR="0066594A" w14:paraId="7A33400F" w14:textId="77777777" w:rsidTr="0066594A">
        <w:tc>
          <w:tcPr>
            <w:tcW w:w="8079" w:type="dxa"/>
            <w:tcBorders>
              <w:top w:val="nil"/>
            </w:tcBorders>
          </w:tcPr>
          <w:p w14:paraId="7F834DEB" w14:textId="77777777" w:rsidR="0066594A" w:rsidRPr="00464B95" w:rsidRDefault="0066594A" w:rsidP="0066594A">
            <w:pPr>
              <w:keepNext/>
              <w:pBdr>
                <w:top w:val="single" w:sz="4" w:space="1" w:color="A6A6A6" w:themeColor="background1" w:themeShade="A6"/>
              </w:pBdr>
              <w:spacing w:before="60" w:after="60"/>
              <w:rPr>
                <w:rFonts w:eastAsia="Arial Unicode MS"/>
                <w:b/>
                <w:bCs/>
                <w:sz w:val="18"/>
                <w:szCs w:val="18"/>
              </w:rPr>
            </w:pPr>
            <w:r w:rsidRPr="00464B95">
              <w:rPr>
                <w:rFonts w:eastAsia="Arial Unicode MS"/>
                <w:b/>
                <w:bCs/>
                <w:sz w:val="18"/>
                <w:szCs w:val="18"/>
              </w:rPr>
              <w:lastRenderedPageBreak/>
              <w:t xml:space="preserve">Results </w:t>
            </w:r>
          </w:p>
          <w:tbl>
            <w:tblPr>
              <w:tblStyle w:val="TableGrid"/>
              <w:tblW w:w="765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164"/>
              <w:gridCol w:w="1560"/>
              <w:gridCol w:w="1963"/>
              <w:gridCol w:w="1963"/>
            </w:tblGrid>
            <w:tr w:rsidR="00813662" w:rsidRPr="00464B95" w14:paraId="763C5CA6" w14:textId="77777777" w:rsidTr="00813662">
              <w:tc>
                <w:tcPr>
                  <w:tcW w:w="2164" w:type="dxa"/>
                </w:tcPr>
                <w:p w14:paraId="6B513EF5" w14:textId="77777777" w:rsidR="00813662" w:rsidRPr="00464B95" w:rsidRDefault="00813662" w:rsidP="00813662">
                  <w:pPr>
                    <w:pStyle w:val="TableText"/>
                    <w:rPr>
                      <w:rFonts w:eastAsia="Arial Unicode MS"/>
                      <w:szCs w:val="18"/>
                    </w:rPr>
                  </w:pPr>
                </w:p>
              </w:tc>
              <w:tc>
                <w:tcPr>
                  <w:tcW w:w="1560" w:type="dxa"/>
                </w:tcPr>
                <w:p w14:paraId="26E93052" w14:textId="3D6F988E" w:rsidR="00813662" w:rsidRPr="00813662" w:rsidRDefault="00813662" w:rsidP="00813662">
                  <w:pPr>
                    <w:pStyle w:val="TableText"/>
                    <w:jc w:val="right"/>
                    <w:rPr>
                      <w:rFonts w:eastAsia="Arial Unicode MS"/>
                      <w:b/>
                      <w:bCs/>
                      <w:szCs w:val="18"/>
                    </w:rPr>
                  </w:pPr>
                  <w:r w:rsidRPr="00813662">
                    <w:rPr>
                      <w:b/>
                      <w:bCs/>
                    </w:rPr>
                    <w:t>June 2021 (Baseline)</w:t>
                  </w:r>
                </w:p>
              </w:tc>
              <w:tc>
                <w:tcPr>
                  <w:tcW w:w="1963" w:type="dxa"/>
                </w:tcPr>
                <w:p w14:paraId="5AEF823E" w14:textId="0F50BB7F" w:rsidR="00813662" w:rsidRPr="00813662" w:rsidRDefault="00813662" w:rsidP="00813662">
                  <w:pPr>
                    <w:pStyle w:val="TableText"/>
                    <w:jc w:val="right"/>
                    <w:rPr>
                      <w:rFonts w:eastAsia="Arial Unicode MS"/>
                      <w:b/>
                      <w:bCs/>
                      <w:szCs w:val="18"/>
                    </w:rPr>
                  </w:pPr>
                  <w:r w:rsidRPr="00813662">
                    <w:rPr>
                      <w:b/>
                      <w:bCs/>
                    </w:rPr>
                    <w:t>Jul-Sep 2021</w:t>
                  </w:r>
                </w:p>
              </w:tc>
              <w:tc>
                <w:tcPr>
                  <w:tcW w:w="1963" w:type="dxa"/>
                </w:tcPr>
                <w:p w14:paraId="3164772A" w14:textId="52D903F2" w:rsidR="00813662" w:rsidRPr="00813662" w:rsidRDefault="00813662" w:rsidP="00813662">
                  <w:pPr>
                    <w:pStyle w:val="TableText"/>
                    <w:jc w:val="right"/>
                    <w:rPr>
                      <w:rFonts w:eastAsia="Arial Unicode MS"/>
                      <w:b/>
                      <w:bCs/>
                      <w:szCs w:val="18"/>
                    </w:rPr>
                  </w:pPr>
                  <w:r w:rsidRPr="00813662">
                    <w:rPr>
                      <w:b/>
                      <w:bCs/>
                    </w:rPr>
                    <w:t>Oct-Dec 2021</w:t>
                  </w:r>
                </w:p>
              </w:tc>
            </w:tr>
            <w:tr w:rsidR="00813662" w:rsidRPr="00464B95" w14:paraId="51714274" w14:textId="77777777" w:rsidTr="00813662">
              <w:tc>
                <w:tcPr>
                  <w:tcW w:w="2164" w:type="dxa"/>
                </w:tcPr>
                <w:p w14:paraId="04BB36B5" w14:textId="77777777" w:rsidR="00813662" w:rsidRPr="00464B95" w:rsidRDefault="00813662" w:rsidP="00813662">
                  <w:pPr>
                    <w:pStyle w:val="TableText"/>
                    <w:rPr>
                      <w:rFonts w:eastAsia="Arial Unicode MS"/>
                      <w:szCs w:val="18"/>
                    </w:rPr>
                  </w:pPr>
                  <w:r w:rsidRPr="00464B95">
                    <w:rPr>
                      <w:szCs w:val="18"/>
                    </w:rPr>
                    <w:t>All Ethnicities</w:t>
                  </w:r>
                </w:p>
              </w:tc>
              <w:tc>
                <w:tcPr>
                  <w:tcW w:w="1560" w:type="dxa"/>
                </w:tcPr>
                <w:p w14:paraId="1D2E6E89" w14:textId="468DEFB5" w:rsidR="00813662" w:rsidRPr="00464B95" w:rsidRDefault="00813662" w:rsidP="00813662">
                  <w:pPr>
                    <w:pStyle w:val="TableText"/>
                    <w:jc w:val="right"/>
                    <w:rPr>
                      <w:rFonts w:eastAsia="Arial Unicode MS"/>
                      <w:szCs w:val="18"/>
                    </w:rPr>
                  </w:pPr>
                  <w:r w:rsidRPr="00556703">
                    <w:t>81%</w:t>
                  </w:r>
                </w:p>
              </w:tc>
              <w:tc>
                <w:tcPr>
                  <w:tcW w:w="1963" w:type="dxa"/>
                </w:tcPr>
                <w:p w14:paraId="19533AC4" w14:textId="64CDF40E" w:rsidR="00813662" w:rsidRPr="00464B95" w:rsidRDefault="00813662" w:rsidP="00813662">
                  <w:pPr>
                    <w:pStyle w:val="TableText"/>
                    <w:jc w:val="right"/>
                    <w:rPr>
                      <w:rFonts w:eastAsia="Arial Unicode MS"/>
                      <w:szCs w:val="18"/>
                    </w:rPr>
                  </w:pPr>
                  <w:r w:rsidRPr="00556703">
                    <w:t>80%</w:t>
                  </w:r>
                </w:p>
              </w:tc>
              <w:tc>
                <w:tcPr>
                  <w:tcW w:w="1963" w:type="dxa"/>
                </w:tcPr>
                <w:p w14:paraId="29021F23" w14:textId="6B6D79B3" w:rsidR="00813662" w:rsidRPr="00464B95" w:rsidRDefault="00813662" w:rsidP="00813662">
                  <w:pPr>
                    <w:pStyle w:val="TableText"/>
                    <w:jc w:val="right"/>
                    <w:rPr>
                      <w:rFonts w:eastAsia="Arial Unicode MS"/>
                      <w:szCs w:val="18"/>
                    </w:rPr>
                  </w:pPr>
                  <w:r w:rsidRPr="00556703">
                    <w:t>80%</w:t>
                  </w:r>
                </w:p>
              </w:tc>
            </w:tr>
            <w:tr w:rsidR="00813662" w:rsidRPr="00464B95" w14:paraId="0EF43E06" w14:textId="77777777" w:rsidTr="00813662">
              <w:tc>
                <w:tcPr>
                  <w:tcW w:w="2164" w:type="dxa"/>
                </w:tcPr>
                <w:p w14:paraId="010F3396" w14:textId="77777777" w:rsidR="00813662" w:rsidRPr="00464B95" w:rsidRDefault="00813662" w:rsidP="00813662">
                  <w:pPr>
                    <w:pStyle w:val="TableText"/>
                    <w:rPr>
                      <w:rFonts w:eastAsia="Arial Unicode MS"/>
                      <w:szCs w:val="18"/>
                    </w:rPr>
                  </w:pPr>
                  <w:r w:rsidRPr="00464B95">
                    <w:rPr>
                      <w:szCs w:val="18"/>
                    </w:rPr>
                    <w:t>Māori</w:t>
                  </w:r>
                </w:p>
              </w:tc>
              <w:tc>
                <w:tcPr>
                  <w:tcW w:w="1560" w:type="dxa"/>
                </w:tcPr>
                <w:p w14:paraId="3F3AB3FF" w14:textId="52C1016C" w:rsidR="00813662" w:rsidRPr="00464B95" w:rsidRDefault="00813662" w:rsidP="00813662">
                  <w:pPr>
                    <w:pStyle w:val="TableText"/>
                    <w:jc w:val="right"/>
                    <w:rPr>
                      <w:rFonts w:eastAsia="Arial Unicode MS"/>
                      <w:szCs w:val="18"/>
                    </w:rPr>
                  </w:pPr>
                  <w:r w:rsidRPr="00556703">
                    <w:t>75%</w:t>
                  </w:r>
                </w:p>
              </w:tc>
              <w:tc>
                <w:tcPr>
                  <w:tcW w:w="1963" w:type="dxa"/>
                </w:tcPr>
                <w:p w14:paraId="4A180173" w14:textId="78F3E72F" w:rsidR="00813662" w:rsidRPr="00464B95" w:rsidRDefault="00813662" w:rsidP="00813662">
                  <w:pPr>
                    <w:pStyle w:val="TableText"/>
                    <w:jc w:val="right"/>
                    <w:rPr>
                      <w:rFonts w:eastAsia="Arial Unicode MS"/>
                      <w:szCs w:val="18"/>
                    </w:rPr>
                  </w:pPr>
                  <w:r w:rsidRPr="00556703">
                    <w:t>74%</w:t>
                  </w:r>
                </w:p>
              </w:tc>
              <w:tc>
                <w:tcPr>
                  <w:tcW w:w="1963" w:type="dxa"/>
                </w:tcPr>
                <w:p w14:paraId="15FC667B" w14:textId="4DC7AB0F" w:rsidR="00813662" w:rsidRPr="00464B95" w:rsidRDefault="00813662" w:rsidP="00813662">
                  <w:pPr>
                    <w:pStyle w:val="TableText"/>
                    <w:jc w:val="right"/>
                    <w:rPr>
                      <w:rFonts w:eastAsia="Arial Unicode MS"/>
                      <w:szCs w:val="18"/>
                    </w:rPr>
                  </w:pPr>
                  <w:r w:rsidRPr="00556703">
                    <w:t>76%</w:t>
                  </w:r>
                </w:p>
              </w:tc>
            </w:tr>
            <w:tr w:rsidR="00813662" w:rsidRPr="00464B95" w14:paraId="7F8F00A6" w14:textId="77777777" w:rsidTr="00813662">
              <w:tc>
                <w:tcPr>
                  <w:tcW w:w="2164" w:type="dxa"/>
                </w:tcPr>
                <w:p w14:paraId="4AFC2EA4" w14:textId="77777777" w:rsidR="00813662" w:rsidRPr="00464B95" w:rsidRDefault="00813662" w:rsidP="00813662">
                  <w:pPr>
                    <w:pStyle w:val="TableText"/>
                    <w:rPr>
                      <w:rFonts w:eastAsia="Arial Unicode MS"/>
                      <w:szCs w:val="18"/>
                    </w:rPr>
                  </w:pPr>
                  <w:r w:rsidRPr="00464B95">
                    <w:rPr>
                      <w:szCs w:val="18"/>
                    </w:rPr>
                    <w:t>Pacific</w:t>
                  </w:r>
                </w:p>
              </w:tc>
              <w:tc>
                <w:tcPr>
                  <w:tcW w:w="1560" w:type="dxa"/>
                </w:tcPr>
                <w:p w14:paraId="479627D6" w14:textId="3D56E02B" w:rsidR="00813662" w:rsidRPr="00464B95" w:rsidRDefault="00813662" w:rsidP="00813662">
                  <w:pPr>
                    <w:pStyle w:val="TableText"/>
                    <w:jc w:val="right"/>
                    <w:rPr>
                      <w:rFonts w:eastAsia="Arial Unicode MS"/>
                      <w:szCs w:val="18"/>
                    </w:rPr>
                  </w:pPr>
                  <w:r w:rsidRPr="00556703">
                    <w:t>78%</w:t>
                  </w:r>
                </w:p>
              </w:tc>
              <w:tc>
                <w:tcPr>
                  <w:tcW w:w="1963" w:type="dxa"/>
                </w:tcPr>
                <w:p w14:paraId="668329E9" w14:textId="38EFF586" w:rsidR="00813662" w:rsidRPr="00464B95" w:rsidRDefault="00813662" w:rsidP="00813662">
                  <w:pPr>
                    <w:pStyle w:val="TableText"/>
                    <w:jc w:val="right"/>
                    <w:rPr>
                      <w:rFonts w:eastAsia="Arial Unicode MS"/>
                      <w:szCs w:val="18"/>
                    </w:rPr>
                  </w:pPr>
                  <w:r w:rsidRPr="00556703">
                    <w:t>78%</w:t>
                  </w:r>
                </w:p>
              </w:tc>
              <w:tc>
                <w:tcPr>
                  <w:tcW w:w="1963" w:type="dxa"/>
                </w:tcPr>
                <w:p w14:paraId="50EBC26F" w14:textId="02238270" w:rsidR="00813662" w:rsidRPr="00464B95" w:rsidRDefault="00813662" w:rsidP="00813662">
                  <w:pPr>
                    <w:pStyle w:val="TableText"/>
                    <w:jc w:val="right"/>
                    <w:rPr>
                      <w:rFonts w:eastAsia="Arial Unicode MS"/>
                      <w:szCs w:val="18"/>
                    </w:rPr>
                  </w:pPr>
                  <w:r w:rsidRPr="00556703">
                    <w:t>79%</w:t>
                  </w:r>
                </w:p>
              </w:tc>
            </w:tr>
            <w:tr w:rsidR="00813662" w:rsidRPr="00464B95" w14:paraId="65DDFCF3" w14:textId="77777777" w:rsidTr="00813662">
              <w:tc>
                <w:tcPr>
                  <w:tcW w:w="2164" w:type="dxa"/>
                </w:tcPr>
                <w:p w14:paraId="42D635DD" w14:textId="5068B2A1" w:rsidR="00813662" w:rsidRPr="00464B95" w:rsidRDefault="00813662" w:rsidP="00813662">
                  <w:pPr>
                    <w:pStyle w:val="TableText"/>
                    <w:rPr>
                      <w:szCs w:val="18"/>
                    </w:rPr>
                  </w:pPr>
                  <w:r w:rsidRPr="00813662">
                    <w:rPr>
                      <w:szCs w:val="18"/>
                    </w:rPr>
                    <w:t>Non-Māori non-Pacific</w:t>
                  </w:r>
                </w:p>
              </w:tc>
              <w:tc>
                <w:tcPr>
                  <w:tcW w:w="1560" w:type="dxa"/>
                </w:tcPr>
                <w:p w14:paraId="2EDD3A79" w14:textId="274FBF4E" w:rsidR="00813662" w:rsidRDefault="00813662" w:rsidP="00813662">
                  <w:pPr>
                    <w:pStyle w:val="TableText"/>
                    <w:jc w:val="right"/>
                  </w:pPr>
                  <w:r w:rsidRPr="00556703">
                    <w:t>83%</w:t>
                  </w:r>
                </w:p>
              </w:tc>
              <w:tc>
                <w:tcPr>
                  <w:tcW w:w="1963" w:type="dxa"/>
                </w:tcPr>
                <w:p w14:paraId="78190FF7" w14:textId="396AEB28" w:rsidR="00813662" w:rsidRPr="002E156B" w:rsidRDefault="00813662" w:rsidP="00813662">
                  <w:pPr>
                    <w:pStyle w:val="TableText"/>
                    <w:jc w:val="right"/>
                  </w:pPr>
                  <w:r w:rsidRPr="00556703">
                    <w:t>81%</w:t>
                  </w:r>
                </w:p>
              </w:tc>
              <w:tc>
                <w:tcPr>
                  <w:tcW w:w="1963" w:type="dxa"/>
                </w:tcPr>
                <w:p w14:paraId="74867907" w14:textId="55CC2383" w:rsidR="00813662" w:rsidRPr="002E156B" w:rsidRDefault="00813662" w:rsidP="00813662">
                  <w:pPr>
                    <w:pStyle w:val="TableText"/>
                    <w:jc w:val="right"/>
                  </w:pPr>
                  <w:r w:rsidRPr="00556703">
                    <w:t>81%</w:t>
                  </w:r>
                </w:p>
              </w:tc>
            </w:tr>
          </w:tbl>
          <w:p w14:paraId="2C18E8D3" w14:textId="77777777" w:rsidR="0066594A" w:rsidRPr="00464B95" w:rsidRDefault="0066594A" w:rsidP="0066594A">
            <w:pPr>
              <w:spacing w:before="60" w:after="60"/>
              <w:rPr>
                <w:rFonts w:eastAsia="Arial Unicode MS"/>
                <w:b/>
                <w:bCs/>
                <w:sz w:val="18"/>
                <w:szCs w:val="18"/>
              </w:rPr>
            </w:pPr>
            <w:r w:rsidRPr="00464B95">
              <w:rPr>
                <w:rFonts w:eastAsia="Arial Unicode MS"/>
                <w:b/>
                <w:bCs/>
                <w:sz w:val="18"/>
                <w:szCs w:val="18"/>
              </w:rPr>
              <w:t>Comment</w:t>
            </w:r>
          </w:p>
          <w:p w14:paraId="072C9362" w14:textId="300DDEA1" w:rsidR="00813662" w:rsidRPr="00813662" w:rsidRDefault="00813662" w:rsidP="00813662">
            <w:pPr>
              <w:spacing w:before="60" w:after="60"/>
              <w:rPr>
                <w:rFonts w:eastAsia="Arial Unicode MS"/>
                <w:sz w:val="18"/>
                <w:szCs w:val="18"/>
              </w:rPr>
            </w:pPr>
            <w:r w:rsidRPr="00813662">
              <w:rPr>
                <w:rFonts w:eastAsia="Arial Unicode MS"/>
                <w:sz w:val="18"/>
                <w:szCs w:val="18"/>
              </w:rPr>
              <w:t>Over the last two quarters of 2021, there was no significant difference from baseline in the percent of people reporting they can get care when they needed it. All of the time periods include the COVID-19 pandemic and periods in level 4 lockdown. We know that COVID-19 disrupted normal general practice services, so it is pleasing to see no significant reduction in the percent of patients being able to get care when needed.</w:t>
            </w:r>
          </w:p>
          <w:p w14:paraId="336664BC" w14:textId="541EBF70" w:rsidR="0066594A" w:rsidRPr="00464B95" w:rsidRDefault="00813662" w:rsidP="00813662">
            <w:pPr>
              <w:spacing w:before="60" w:after="60"/>
              <w:rPr>
                <w:rFonts w:eastAsia="Arial Unicode MS"/>
                <w:sz w:val="18"/>
                <w:szCs w:val="18"/>
              </w:rPr>
            </w:pPr>
            <w:r w:rsidRPr="00813662">
              <w:rPr>
                <w:rFonts w:eastAsia="Arial Unicode MS"/>
                <w:sz w:val="18"/>
                <w:szCs w:val="18"/>
              </w:rPr>
              <w:t>There was no significant change in responses by ethnicity from baseline. Māori remain least likely to report being able to access care (76%), followed by Pacific (78%) and non-Māori, non-Pacific (83%).</w:t>
            </w:r>
          </w:p>
        </w:tc>
      </w:tr>
    </w:tbl>
    <w:p w14:paraId="4DE04834" w14:textId="77777777" w:rsidR="00813662" w:rsidRDefault="00813662" w:rsidP="00813662"/>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813662" w14:paraId="0B630C29" w14:textId="77777777" w:rsidTr="009824C8">
        <w:tc>
          <w:tcPr>
            <w:tcW w:w="8079" w:type="dxa"/>
            <w:shd w:val="clear" w:color="auto" w:fill="D9D9D9" w:themeFill="background1" w:themeFillShade="D9"/>
          </w:tcPr>
          <w:p w14:paraId="0C754EF7" w14:textId="7F155388" w:rsidR="00813662" w:rsidRPr="00464B95" w:rsidRDefault="00813662" w:rsidP="009824C8">
            <w:pPr>
              <w:spacing w:before="60" w:after="60"/>
              <w:rPr>
                <w:rFonts w:eastAsia="Arial Unicode MS"/>
                <w:b/>
                <w:bCs/>
                <w:sz w:val="18"/>
                <w:szCs w:val="18"/>
              </w:rPr>
            </w:pPr>
            <w:r w:rsidRPr="00813662">
              <w:rPr>
                <w:rFonts w:eastAsia="Arial Unicode MS"/>
                <w:b/>
                <w:bCs/>
                <w:sz w:val="18"/>
                <w:szCs w:val="18"/>
              </w:rPr>
              <w:t>People report being involved in the decisions about their health care and treatment</w:t>
            </w:r>
          </w:p>
        </w:tc>
      </w:tr>
      <w:tr w:rsidR="00813662" w14:paraId="21F082E0" w14:textId="77777777" w:rsidTr="009824C8">
        <w:tc>
          <w:tcPr>
            <w:tcW w:w="8079" w:type="dxa"/>
            <w:tcBorders>
              <w:bottom w:val="single" w:sz="4" w:space="0" w:color="A6A6A6" w:themeColor="background1" w:themeShade="A6"/>
            </w:tcBorders>
          </w:tcPr>
          <w:p w14:paraId="71D63DBC" w14:textId="77777777" w:rsidR="00813662" w:rsidRPr="00464B95" w:rsidRDefault="00813662" w:rsidP="009824C8">
            <w:pPr>
              <w:spacing w:before="60" w:after="60"/>
              <w:rPr>
                <w:rFonts w:eastAsia="Arial Unicode MS"/>
                <w:b/>
                <w:bCs/>
                <w:sz w:val="18"/>
                <w:szCs w:val="18"/>
              </w:rPr>
            </w:pPr>
            <w:r w:rsidRPr="00464B95">
              <w:rPr>
                <w:rFonts w:eastAsia="Arial Unicode MS"/>
                <w:b/>
                <w:bCs/>
                <w:sz w:val="18"/>
                <w:szCs w:val="18"/>
              </w:rPr>
              <w:t>Indicator description</w:t>
            </w:r>
          </w:p>
          <w:p w14:paraId="430B4205" w14:textId="4D05236F" w:rsidR="00813662" w:rsidRPr="00464B95" w:rsidRDefault="00813662" w:rsidP="00813662">
            <w:pPr>
              <w:spacing w:before="60" w:after="60"/>
              <w:rPr>
                <w:rFonts w:eastAsia="Arial Unicode MS"/>
                <w:sz w:val="18"/>
                <w:szCs w:val="18"/>
              </w:rPr>
            </w:pPr>
            <w:r w:rsidRPr="00813662">
              <w:rPr>
                <w:rFonts w:eastAsia="Arial Unicode MS"/>
                <w:sz w:val="18"/>
                <w:szCs w:val="18"/>
              </w:rPr>
              <w:t>Percentage of people who say they feel involved in their own care and treatment with their GP or</w:t>
            </w:r>
            <w:r>
              <w:rPr>
                <w:rFonts w:eastAsia="Arial Unicode MS"/>
                <w:sz w:val="18"/>
                <w:szCs w:val="18"/>
              </w:rPr>
              <w:t xml:space="preserve"> </w:t>
            </w:r>
            <w:r w:rsidRPr="00813662">
              <w:rPr>
                <w:rFonts w:eastAsia="Arial Unicode MS"/>
                <w:sz w:val="18"/>
                <w:szCs w:val="18"/>
              </w:rPr>
              <w:t xml:space="preserve">  nurse.</w:t>
            </w:r>
          </w:p>
        </w:tc>
      </w:tr>
      <w:tr w:rsidR="00813662" w14:paraId="23ED3077" w14:textId="77777777" w:rsidTr="009824C8">
        <w:tc>
          <w:tcPr>
            <w:tcW w:w="8079" w:type="dxa"/>
            <w:tcBorders>
              <w:top w:val="single" w:sz="4" w:space="0" w:color="A6A6A6" w:themeColor="background1" w:themeShade="A6"/>
              <w:bottom w:val="nil"/>
            </w:tcBorders>
          </w:tcPr>
          <w:p w14:paraId="22D982AD" w14:textId="77777777" w:rsidR="00813662" w:rsidRPr="0066594A" w:rsidRDefault="00813662" w:rsidP="009824C8">
            <w:pPr>
              <w:spacing w:before="60" w:after="60"/>
              <w:rPr>
                <w:rFonts w:eastAsia="Arial Unicode MS"/>
                <w:b/>
                <w:bCs/>
                <w:sz w:val="18"/>
                <w:szCs w:val="18"/>
              </w:rPr>
            </w:pPr>
            <w:r w:rsidRPr="0066594A">
              <w:rPr>
                <w:rFonts w:eastAsia="Arial Unicode MS"/>
                <w:b/>
                <w:bCs/>
                <w:sz w:val="18"/>
                <w:szCs w:val="18"/>
              </w:rPr>
              <w:t xml:space="preserve">Baseline data </w:t>
            </w:r>
            <w:r w:rsidRPr="00813662">
              <w:rPr>
                <w:rFonts w:eastAsia="Arial Unicode MS"/>
                <w:sz w:val="18"/>
                <w:szCs w:val="18"/>
              </w:rPr>
              <w:t>(12 months to June 2021)</w:t>
            </w:r>
          </w:p>
          <w:p w14:paraId="0D76DC46" w14:textId="2688EE0D" w:rsidR="00813662" w:rsidRPr="0066594A" w:rsidRDefault="00813662" w:rsidP="009824C8">
            <w:pPr>
              <w:spacing w:before="60" w:after="60"/>
              <w:rPr>
                <w:rFonts w:eastAsia="Arial Unicode MS"/>
                <w:sz w:val="18"/>
                <w:szCs w:val="18"/>
              </w:rPr>
            </w:pPr>
            <w:r w:rsidRPr="00813662">
              <w:rPr>
                <w:rFonts w:eastAsia="Arial Unicode MS"/>
                <w:sz w:val="18"/>
                <w:szCs w:val="18"/>
              </w:rPr>
              <w:t>86% of people report they feel involved in their health care and treatment.</w:t>
            </w:r>
          </w:p>
        </w:tc>
      </w:tr>
      <w:tr w:rsidR="00813662" w14:paraId="7E0DC453" w14:textId="77777777" w:rsidTr="009824C8">
        <w:tc>
          <w:tcPr>
            <w:tcW w:w="8079" w:type="dxa"/>
            <w:tcBorders>
              <w:top w:val="nil"/>
            </w:tcBorders>
          </w:tcPr>
          <w:p w14:paraId="5D690033" w14:textId="77777777" w:rsidR="00813662" w:rsidRPr="00464B95" w:rsidRDefault="00813662" w:rsidP="009824C8">
            <w:pPr>
              <w:keepNext/>
              <w:pBdr>
                <w:top w:val="single" w:sz="4" w:space="1" w:color="A6A6A6" w:themeColor="background1" w:themeShade="A6"/>
              </w:pBdr>
              <w:spacing w:before="60" w:after="60"/>
              <w:rPr>
                <w:rFonts w:eastAsia="Arial Unicode MS"/>
                <w:b/>
                <w:bCs/>
                <w:sz w:val="18"/>
                <w:szCs w:val="18"/>
              </w:rPr>
            </w:pPr>
            <w:r w:rsidRPr="00464B95">
              <w:rPr>
                <w:rFonts w:eastAsia="Arial Unicode MS"/>
                <w:b/>
                <w:bCs/>
                <w:sz w:val="18"/>
                <w:szCs w:val="18"/>
              </w:rPr>
              <w:t xml:space="preserve">Results </w:t>
            </w:r>
          </w:p>
          <w:tbl>
            <w:tblPr>
              <w:tblStyle w:val="TableGrid"/>
              <w:tblW w:w="7650"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164"/>
              <w:gridCol w:w="1560"/>
              <w:gridCol w:w="1963"/>
              <w:gridCol w:w="1963"/>
            </w:tblGrid>
            <w:tr w:rsidR="00813662" w:rsidRPr="00464B95" w14:paraId="3627434A" w14:textId="77777777" w:rsidTr="009824C8">
              <w:tc>
                <w:tcPr>
                  <w:tcW w:w="2164" w:type="dxa"/>
                </w:tcPr>
                <w:p w14:paraId="20397C7F" w14:textId="77777777" w:rsidR="00813662" w:rsidRPr="00464B95" w:rsidRDefault="00813662" w:rsidP="009824C8">
                  <w:pPr>
                    <w:pStyle w:val="TableText"/>
                    <w:rPr>
                      <w:rFonts w:eastAsia="Arial Unicode MS"/>
                      <w:szCs w:val="18"/>
                    </w:rPr>
                  </w:pPr>
                </w:p>
              </w:tc>
              <w:tc>
                <w:tcPr>
                  <w:tcW w:w="1560" w:type="dxa"/>
                </w:tcPr>
                <w:p w14:paraId="5869D10D" w14:textId="77777777" w:rsidR="00813662" w:rsidRPr="00813662" w:rsidRDefault="00813662" w:rsidP="009824C8">
                  <w:pPr>
                    <w:pStyle w:val="TableText"/>
                    <w:jc w:val="right"/>
                    <w:rPr>
                      <w:rFonts w:eastAsia="Arial Unicode MS"/>
                      <w:b/>
                      <w:bCs/>
                      <w:szCs w:val="18"/>
                    </w:rPr>
                  </w:pPr>
                  <w:r w:rsidRPr="00813662">
                    <w:rPr>
                      <w:b/>
                      <w:bCs/>
                    </w:rPr>
                    <w:t>June 2021 (Baseline)</w:t>
                  </w:r>
                </w:p>
              </w:tc>
              <w:tc>
                <w:tcPr>
                  <w:tcW w:w="1963" w:type="dxa"/>
                </w:tcPr>
                <w:p w14:paraId="6E85D369" w14:textId="77777777" w:rsidR="00813662" w:rsidRPr="00813662" w:rsidRDefault="00813662" w:rsidP="009824C8">
                  <w:pPr>
                    <w:pStyle w:val="TableText"/>
                    <w:jc w:val="right"/>
                    <w:rPr>
                      <w:rFonts w:eastAsia="Arial Unicode MS"/>
                      <w:b/>
                      <w:bCs/>
                      <w:szCs w:val="18"/>
                    </w:rPr>
                  </w:pPr>
                  <w:r w:rsidRPr="00813662">
                    <w:rPr>
                      <w:b/>
                      <w:bCs/>
                    </w:rPr>
                    <w:t>Jul-Sep 2021</w:t>
                  </w:r>
                </w:p>
              </w:tc>
              <w:tc>
                <w:tcPr>
                  <w:tcW w:w="1963" w:type="dxa"/>
                </w:tcPr>
                <w:p w14:paraId="1F0C4E5F" w14:textId="77777777" w:rsidR="00813662" w:rsidRPr="00813662" w:rsidRDefault="00813662" w:rsidP="009824C8">
                  <w:pPr>
                    <w:pStyle w:val="TableText"/>
                    <w:jc w:val="right"/>
                    <w:rPr>
                      <w:rFonts w:eastAsia="Arial Unicode MS"/>
                      <w:b/>
                      <w:bCs/>
                      <w:szCs w:val="18"/>
                    </w:rPr>
                  </w:pPr>
                  <w:r w:rsidRPr="00813662">
                    <w:rPr>
                      <w:b/>
                      <w:bCs/>
                    </w:rPr>
                    <w:t>Oct-Dec 2021</w:t>
                  </w:r>
                </w:p>
              </w:tc>
            </w:tr>
            <w:tr w:rsidR="00813662" w:rsidRPr="00464B95" w14:paraId="77B231FB" w14:textId="77777777" w:rsidTr="009824C8">
              <w:tc>
                <w:tcPr>
                  <w:tcW w:w="2164" w:type="dxa"/>
                </w:tcPr>
                <w:p w14:paraId="1B4D513E" w14:textId="77777777" w:rsidR="00813662" w:rsidRPr="00464B95" w:rsidRDefault="00813662" w:rsidP="00813662">
                  <w:pPr>
                    <w:pStyle w:val="TableText"/>
                    <w:rPr>
                      <w:rFonts w:eastAsia="Arial Unicode MS"/>
                      <w:szCs w:val="18"/>
                    </w:rPr>
                  </w:pPr>
                  <w:r w:rsidRPr="00464B95">
                    <w:rPr>
                      <w:szCs w:val="18"/>
                    </w:rPr>
                    <w:t>All Ethnicities</w:t>
                  </w:r>
                </w:p>
              </w:tc>
              <w:tc>
                <w:tcPr>
                  <w:tcW w:w="1560" w:type="dxa"/>
                </w:tcPr>
                <w:p w14:paraId="00326575" w14:textId="78AA8ACB" w:rsidR="00813662" w:rsidRPr="00464B95" w:rsidRDefault="00813662" w:rsidP="00813662">
                  <w:pPr>
                    <w:pStyle w:val="TableText"/>
                    <w:jc w:val="right"/>
                    <w:rPr>
                      <w:rFonts w:eastAsia="Arial Unicode MS"/>
                      <w:szCs w:val="18"/>
                    </w:rPr>
                  </w:pPr>
                  <w:r w:rsidRPr="003A1FE2">
                    <w:t>86%</w:t>
                  </w:r>
                </w:p>
              </w:tc>
              <w:tc>
                <w:tcPr>
                  <w:tcW w:w="1963" w:type="dxa"/>
                </w:tcPr>
                <w:p w14:paraId="286AFA3E" w14:textId="0939A2AA" w:rsidR="00813662" w:rsidRPr="00464B95" w:rsidRDefault="00813662" w:rsidP="00813662">
                  <w:pPr>
                    <w:pStyle w:val="TableText"/>
                    <w:jc w:val="right"/>
                    <w:rPr>
                      <w:rFonts w:eastAsia="Arial Unicode MS"/>
                      <w:szCs w:val="18"/>
                    </w:rPr>
                  </w:pPr>
                  <w:r w:rsidRPr="003A1FE2">
                    <w:t>87%</w:t>
                  </w:r>
                </w:p>
              </w:tc>
              <w:tc>
                <w:tcPr>
                  <w:tcW w:w="1963" w:type="dxa"/>
                </w:tcPr>
                <w:p w14:paraId="2B0EF3F8" w14:textId="4B00C008" w:rsidR="00813662" w:rsidRPr="00464B95" w:rsidRDefault="00813662" w:rsidP="00813662">
                  <w:pPr>
                    <w:pStyle w:val="TableText"/>
                    <w:jc w:val="right"/>
                    <w:rPr>
                      <w:rFonts w:eastAsia="Arial Unicode MS"/>
                      <w:szCs w:val="18"/>
                    </w:rPr>
                  </w:pPr>
                  <w:r w:rsidRPr="003A1FE2">
                    <w:t>86%</w:t>
                  </w:r>
                </w:p>
              </w:tc>
            </w:tr>
            <w:tr w:rsidR="00813662" w:rsidRPr="00464B95" w14:paraId="102C20A1" w14:textId="77777777" w:rsidTr="009824C8">
              <w:tc>
                <w:tcPr>
                  <w:tcW w:w="2164" w:type="dxa"/>
                </w:tcPr>
                <w:p w14:paraId="0A344F91" w14:textId="77777777" w:rsidR="00813662" w:rsidRPr="00464B95" w:rsidRDefault="00813662" w:rsidP="00813662">
                  <w:pPr>
                    <w:pStyle w:val="TableText"/>
                    <w:rPr>
                      <w:rFonts w:eastAsia="Arial Unicode MS"/>
                      <w:szCs w:val="18"/>
                    </w:rPr>
                  </w:pPr>
                  <w:r w:rsidRPr="00464B95">
                    <w:rPr>
                      <w:szCs w:val="18"/>
                    </w:rPr>
                    <w:t>Māori</w:t>
                  </w:r>
                </w:p>
              </w:tc>
              <w:tc>
                <w:tcPr>
                  <w:tcW w:w="1560" w:type="dxa"/>
                </w:tcPr>
                <w:p w14:paraId="13DD1803" w14:textId="3420DE0F" w:rsidR="00813662" w:rsidRPr="00464B95" w:rsidRDefault="00813662" w:rsidP="00813662">
                  <w:pPr>
                    <w:pStyle w:val="TableText"/>
                    <w:jc w:val="right"/>
                    <w:rPr>
                      <w:rFonts w:eastAsia="Arial Unicode MS"/>
                      <w:szCs w:val="18"/>
                    </w:rPr>
                  </w:pPr>
                  <w:r w:rsidRPr="003A1FE2">
                    <w:t>84%</w:t>
                  </w:r>
                </w:p>
              </w:tc>
              <w:tc>
                <w:tcPr>
                  <w:tcW w:w="1963" w:type="dxa"/>
                </w:tcPr>
                <w:p w14:paraId="23EEF69F" w14:textId="7D387701" w:rsidR="00813662" w:rsidRPr="00464B95" w:rsidRDefault="00813662" w:rsidP="00813662">
                  <w:pPr>
                    <w:pStyle w:val="TableText"/>
                    <w:jc w:val="right"/>
                    <w:rPr>
                      <w:rFonts w:eastAsia="Arial Unicode MS"/>
                      <w:szCs w:val="18"/>
                    </w:rPr>
                  </w:pPr>
                  <w:r w:rsidRPr="003A1FE2">
                    <w:t>86%</w:t>
                  </w:r>
                </w:p>
              </w:tc>
              <w:tc>
                <w:tcPr>
                  <w:tcW w:w="1963" w:type="dxa"/>
                </w:tcPr>
                <w:p w14:paraId="2177E8D6" w14:textId="2D3C43BC" w:rsidR="00813662" w:rsidRPr="00464B95" w:rsidRDefault="00813662" w:rsidP="00813662">
                  <w:pPr>
                    <w:pStyle w:val="TableText"/>
                    <w:jc w:val="right"/>
                    <w:rPr>
                      <w:rFonts w:eastAsia="Arial Unicode MS"/>
                      <w:szCs w:val="18"/>
                    </w:rPr>
                  </w:pPr>
                  <w:r w:rsidRPr="003A1FE2">
                    <w:t>85%</w:t>
                  </w:r>
                </w:p>
              </w:tc>
            </w:tr>
            <w:tr w:rsidR="00813662" w:rsidRPr="00464B95" w14:paraId="235F02C5" w14:textId="77777777" w:rsidTr="009824C8">
              <w:tc>
                <w:tcPr>
                  <w:tcW w:w="2164" w:type="dxa"/>
                </w:tcPr>
                <w:p w14:paraId="07EC6D86" w14:textId="77777777" w:rsidR="00813662" w:rsidRPr="00464B95" w:rsidRDefault="00813662" w:rsidP="00813662">
                  <w:pPr>
                    <w:pStyle w:val="TableText"/>
                    <w:rPr>
                      <w:rFonts w:eastAsia="Arial Unicode MS"/>
                      <w:szCs w:val="18"/>
                    </w:rPr>
                  </w:pPr>
                  <w:r w:rsidRPr="00464B95">
                    <w:rPr>
                      <w:szCs w:val="18"/>
                    </w:rPr>
                    <w:t>Pacific</w:t>
                  </w:r>
                </w:p>
              </w:tc>
              <w:tc>
                <w:tcPr>
                  <w:tcW w:w="1560" w:type="dxa"/>
                </w:tcPr>
                <w:p w14:paraId="14326787" w14:textId="0B747E1E" w:rsidR="00813662" w:rsidRPr="00464B95" w:rsidRDefault="00813662" w:rsidP="00813662">
                  <w:pPr>
                    <w:pStyle w:val="TableText"/>
                    <w:jc w:val="right"/>
                    <w:rPr>
                      <w:rFonts w:eastAsia="Arial Unicode MS"/>
                      <w:szCs w:val="18"/>
                    </w:rPr>
                  </w:pPr>
                  <w:r w:rsidRPr="003A1FE2">
                    <w:t>85%</w:t>
                  </w:r>
                </w:p>
              </w:tc>
              <w:tc>
                <w:tcPr>
                  <w:tcW w:w="1963" w:type="dxa"/>
                </w:tcPr>
                <w:p w14:paraId="6CBA6235" w14:textId="02232B72" w:rsidR="00813662" w:rsidRPr="00464B95" w:rsidRDefault="00813662" w:rsidP="00813662">
                  <w:pPr>
                    <w:pStyle w:val="TableText"/>
                    <w:jc w:val="right"/>
                    <w:rPr>
                      <w:rFonts w:eastAsia="Arial Unicode MS"/>
                      <w:szCs w:val="18"/>
                    </w:rPr>
                  </w:pPr>
                  <w:r w:rsidRPr="003A1FE2">
                    <w:t>86%</w:t>
                  </w:r>
                </w:p>
              </w:tc>
              <w:tc>
                <w:tcPr>
                  <w:tcW w:w="1963" w:type="dxa"/>
                </w:tcPr>
                <w:p w14:paraId="455685FD" w14:textId="171B4963" w:rsidR="00813662" w:rsidRPr="00464B95" w:rsidRDefault="00813662" w:rsidP="00813662">
                  <w:pPr>
                    <w:pStyle w:val="TableText"/>
                    <w:jc w:val="right"/>
                    <w:rPr>
                      <w:rFonts w:eastAsia="Arial Unicode MS"/>
                      <w:szCs w:val="18"/>
                    </w:rPr>
                  </w:pPr>
                  <w:r w:rsidRPr="003A1FE2">
                    <w:t>88%</w:t>
                  </w:r>
                </w:p>
              </w:tc>
            </w:tr>
            <w:tr w:rsidR="00813662" w:rsidRPr="00464B95" w14:paraId="6A407135" w14:textId="77777777" w:rsidTr="009824C8">
              <w:tc>
                <w:tcPr>
                  <w:tcW w:w="2164" w:type="dxa"/>
                </w:tcPr>
                <w:p w14:paraId="0EF9FA77" w14:textId="77777777" w:rsidR="00813662" w:rsidRPr="00464B95" w:rsidRDefault="00813662" w:rsidP="00813662">
                  <w:pPr>
                    <w:pStyle w:val="TableText"/>
                    <w:rPr>
                      <w:szCs w:val="18"/>
                    </w:rPr>
                  </w:pPr>
                  <w:r w:rsidRPr="00813662">
                    <w:rPr>
                      <w:szCs w:val="18"/>
                    </w:rPr>
                    <w:t>Non-Māori non-Pacific</w:t>
                  </w:r>
                </w:p>
              </w:tc>
              <w:tc>
                <w:tcPr>
                  <w:tcW w:w="1560" w:type="dxa"/>
                </w:tcPr>
                <w:p w14:paraId="270A51DE" w14:textId="4EFBC63A" w:rsidR="00813662" w:rsidRDefault="00813662" w:rsidP="00813662">
                  <w:pPr>
                    <w:pStyle w:val="TableText"/>
                    <w:jc w:val="right"/>
                  </w:pPr>
                  <w:r w:rsidRPr="003A1FE2">
                    <w:t>87%</w:t>
                  </w:r>
                </w:p>
              </w:tc>
              <w:tc>
                <w:tcPr>
                  <w:tcW w:w="1963" w:type="dxa"/>
                </w:tcPr>
                <w:p w14:paraId="51F372AF" w14:textId="41A947D8" w:rsidR="00813662" w:rsidRPr="002E156B" w:rsidRDefault="00813662" w:rsidP="00813662">
                  <w:pPr>
                    <w:pStyle w:val="TableText"/>
                    <w:jc w:val="right"/>
                  </w:pPr>
                  <w:r w:rsidRPr="003A1FE2">
                    <w:t>87%</w:t>
                  </w:r>
                </w:p>
              </w:tc>
              <w:tc>
                <w:tcPr>
                  <w:tcW w:w="1963" w:type="dxa"/>
                </w:tcPr>
                <w:p w14:paraId="038396E5" w14:textId="325D5189" w:rsidR="00813662" w:rsidRPr="002E156B" w:rsidRDefault="00813662" w:rsidP="00813662">
                  <w:pPr>
                    <w:pStyle w:val="TableText"/>
                    <w:jc w:val="right"/>
                  </w:pPr>
                  <w:r w:rsidRPr="003A1FE2">
                    <w:t>86%</w:t>
                  </w:r>
                </w:p>
              </w:tc>
            </w:tr>
          </w:tbl>
          <w:p w14:paraId="4543E9ED" w14:textId="77777777" w:rsidR="00813662" w:rsidRPr="00464B95" w:rsidRDefault="00813662" w:rsidP="009824C8">
            <w:pPr>
              <w:spacing w:before="60" w:after="60"/>
              <w:rPr>
                <w:rFonts w:eastAsia="Arial Unicode MS"/>
                <w:b/>
                <w:bCs/>
                <w:sz w:val="18"/>
                <w:szCs w:val="18"/>
              </w:rPr>
            </w:pPr>
            <w:r w:rsidRPr="00464B95">
              <w:rPr>
                <w:rFonts w:eastAsia="Arial Unicode MS"/>
                <w:b/>
                <w:bCs/>
                <w:sz w:val="18"/>
                <w:szCs w:val="18"/>
              </w:rPr>
              <w:t>Comment</w:t>
            </w:r>
          </w:p>
          <w:p w14:paraId="59227E7B" w14:textId="77777777" w:rsidR="00813662" w:rsidRPr="00813662" w:rsidRDefault="00813662" w:rsidP="00813662">
            <w:pPr>
              <w:spacing w:before="60" w:after="60"/>
              <w:rPr>
                <w:rFonts w:eastAsia="Arial Unicode MS"/>
                <w:sz w:val="18"/>
                <w:szCs w:val="18"/>
              </w:rPr>
            </w:pPr>
            <w:r w:rsidRPr="00813662">
              <w:rPr>
                <w:rFonts w:eastAsia="Arial Unicode MS"/>
                <w:sz w:val="18"/>
                <w:szCs w:val="18"/>
              </w:rPr>
              <w:t>Over the last two quarters of 2021, there was no significant difference from baseline in the percent of people reporting being involved in decisions about their care and treatment as much as they wanted to be. This suggests that despite general practice being under pressure during COVID-19, patients’ experience of care has not changed.</w:t>
            </w:r>
          </w:p>
          <w:p w14:paraId="060161B3" w14:textId="1B5B2B39" w:rsidR="00813662" w:rsidRPr="00464B95" w:rsidRDefault="00813662" w:rsidP="00813662">
            <w:pPr>
              <w:spacing w:before="60" w:after="60"/>
              <w:rPr>
                <w:rFonts w:eastAsia="Arial Unicode MS"/>
                <w:sz w:val="18"/>
                <w:szCs w:val="18"/>
              </w:rPr>
            </w:pPr>
            <w:r w:rsidRPr="00813662">
              <w:rPr>
                <w:rFonts w:eastAsia="Arial Unicode MS"/>
                <w:sz w:val="18"/>
                <w:szCs w:val="18"/>
              </w:rPr>
              <w:t>There was no significant difference by ethnicity from baseline.</w:t>
            </w:r>
          </w:p>
        </w:tc>
      </w:tr>
    </w:tbl>
    <w:p w14:paraId="726C68AF" w14:textId="77777777" w:rsidR="00813662" w:rsidRDefault="00813662" w:rsidP="00813662"/>
    <w:p w14:paraId="3034F3C6" w14:textId="77777777" w:rsidR="00813662" w:rsidRDefault="00813662" w:rsidP="00813662">
      <w:pPr>
        <w:pStyle w:val="Heading4"/>
        <w:sectPr w:rsidR="00813662" w:rsidSect="00C26282">
          <w:pgSz w:w="11907" w:h="16840" w:code="9"/>
          <w:pgMar w:top="1418" w:right="1701" w:bottom="1134" w:left="1843" w:header="284" w:footer="425" w:gutter="284"/>
          <w:cols w:space="720"/>
        </w:sectPr>
      </w:pPr>
    </w:p>
    <w:p w14:paraId="4FBA5F40" w14:textId="587233AA" w:rsidR="00813662" w:rsidRDefault="00813662" w:rsidP="006F4827">
      <w:pPr>
        <w:pStyle w:val="Heading4"/>
        <w:spacing w:before="0"/>
      </w:pPr>
      <w:r>
        <w:lastRenderedPageBreak/>
        <w:t>Ensuring a financially sustainable health system</w:t>
      </w:r>
    </w:p>
    <w:p w14:paraId="3FE3425A" w14:textId="0388E638" w:rsidR="00813662" w:rsidRDefault="00813662" w:rsidP="00813662">
      <w:pPr>
        <w:pStyle w:val="Heading5"/>
      </w:pPr>
      <w:r>
        <w:t>Indicator results</w:t>
      </w: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813662" w14:paraId="09AFA265" w14:textId="77777777" w:rsidTr="009824C8">
        <w:tc>
          <w:tcPr>
            <w:tcW w:w="8079" w:type="dxa"/>
            <w:shd w:val="clear" w:color="auto" w:fill="D9D9D9" w:themeFill="background1" w:themeFillShade="D9"/>
          </w:tcPr>
          <w:p w14:paraId="03EF2D75" w14:textId="2F5D0A0B" w:rsidR="00813662" w:rsidRPr="00464B95" w:rsidRDefault="00813662" w:rsidP="009824C8">
            <w:pPr>
              <w:spacing w:before="60" w:after="60"/>
              <w:rPr>
                <w:rFonts w:eastAsia="Arial Unicode MS"/>
                <w:b/>
                <w:bCs/>
                <w:sz w:val="18"/>
                <w:szCs w:val="18"/>
              </w:rPr>
            </w:pPr>
            <w:r w:rsidRPr="00813662">
              <w:rPr>
                <w:rFonts w:eastAsia="Arial Unicode MS"/>
                <w:b/>
                <w:bCs/>
                <w:sz w:val="18"/>
                <w:szCs w:val="18"/>
              </w:rPr>
              <w:t>Annual surplus/deficit at financial year end</w:t>
            </w:r>
          </w:p>
        </w:tc>
      </w:tr>
      <w:tr w:rsidR="00813662" w14:paraId="74F483AA" w14:textId="77777777" w:rsidTr="009824C8">
        <w:tc>
          <w:tcPr>
            <w:tcW w:w="8079" w:type="dxa"/>
            <w:tcBorders>
              <w:bottom w:val="single" w:sz="4" w:space="0" w:color="A6A6A6" w:themeColor="background1" w:themeShade="A6"/>
            </w:tcBorders>
          </w:tcPr>
          <w:p w14:paraId="31F5BBB5" w14:textId="77777777" w:rsidR="00813662" w:rsidRPr="00464B95" w:rsidRDefault="00813662" w:rsidP="009824C8">
            <w:pPr>
              <w:spacing w:before="60" w:after="60"/>
              <w:rPr>
                <w:rFonts w:eastAsia="Arial Unicode MS"/>
                <w:b/>
                <w:bCs/>
                <w:sz w:val="18"/>
                <w:szCs w:val="18"/>
              </w:rPr>
            </w:pPr>
            <w:r w:rsidRPr="00464B95">
              <w:rPr>
                <w:rFonts w:eastAsia="Arial Unicode MS"/>
                <w:b/>
                <w:bCs/>
                <w:sz w:val="18"/>
                <w:szCs w:val="18"/>
              </w:rPr>
              <w:t>Indicator description</w:t>
            </w:r>
          </w:p>
          <w:p w14:paraId="103C50CD" w14:textId="640FB5FB" w:rsidR="00813662" w:rsidRPr="00464B95" w:rsidRDefault="00813662" w:rsidP="009824C8">
            <w:pPr>
              <w:spacing w:before="60" w:after="60"/>
              <w:rPr>
                <w:rFonts w:eastAsia="Arial Unicode MS"/>
                <w:sz w:val="18"/>
                <w:szCs w:val="18"/>
              </w:rPr>
            </w:pPr>
            <w:r w:rsidRPr="00813662">
              <w:rPr>
                <w:rFonts w:eastAsia="Arial Unicode MS"/>
                <w:sz w:val="18"/>
                <w:szCs w:val="18"/>
              </w:rPr>
              <w:t>Net surplus/deficit as a percentage of total revenue.</w:t>
            </w:r>
          </w:p>
        </w:tc>
      </w:tr>
      <w:tr w:rsidR="00813662" w14:paraId="131EFC38" w14:textId="77777777" w:rsidTr="009824C8">
        <w:tc>
          <w:tcPr>
            <w:tcW w:w="8079" w:type="dxa"/>
            <w:tcBorders>
              <w:bottom w:val="single" w:sz="4" w:space="0" w:color="A6A6A6" w:themeColor="background1" w:themeShade="A6"/>
            </w:tcBorders>
          </w:tcPr>
          <w:p w14:paraId="0824C4F3" w14:textId="77777777" w:rsidR="00813662" w:rsidRPr="00813662" w:rsidRDefault="00813662" w:rsidP="00813662">
            <w:pPr>
              <w:spacing w:before="60" w:after="60"/>
              <w:rPr>
                <w:rFonts w:eastAsia="Arial Unicode MS"/>
                <w:b/>
                <w:bCs/>
                <w:sz w:val="18"/>
                <w:szCs w:val="18"/>
              </w:rPr>
            </w:pPr>
            <w:r w:rsidRPr="00813662">
              <w:rPr>
                <w:rFonts w:eastAsia="Arial Unicode MS"/>
                <w:b/>
                <w:bCs/>
                <w:sz w:val="18"/>
                <w:szCs w:val="18"/>
              </w:rPr>
              <w:t>Baseline data</w:t>
            </w:r>
          </w:p>
          <w:p w14:paraId="2F2E0267" w14:textId="05A444CB" w:rsidR="00813662" w:rsidRPr="00813662" w:rsidRDefault="00813662" w:rsidP="00813662">
            <w:pPr>
              <w:spacing w:before="60" w:after="60"/>
              <w:rPr>
                <w:rFonts w:eastAsia="Arial Unicode MS"/>
                <w:sz w:val="18"/>
                <w:szCs w:val="18"/>
              </w:rPr>
            </w:pPr>
            <w:r w:rsidRPr="00813662">
              <w:rPr>
                <w:rFonts w:eastAsia="Arial Unicode MS"/>
                <w:sz w:val="18"/>
                <w:szCs w:val="18"/>
              </w:rPr>
              <w:t>Annual deficit is 2.2% of revenue excluding one-offs, 3.4% of revenue including one-offs.</w:t>
            </w:r>
          </w:p>
        </w:tc>
      </w:tr>
      <w:tr w:rsidR="00813662" w14:paraId="68979F08" w14:textId="77777777" w:rsidTr="009824C8">
        <w:tc>
          <w:tcPr>
            <w:tcW w:w="8079" w:type="dxa"/>
            <w:tcBorders>
              <w:top w:val="nil"/>
            </w:tcBorders>
          </w:tcPr>
          <w:p w14:paraId="636BFDA0" w14:textId="2A87E003" w:rsidR="00813662" w:rsidRPr="0066594A" w:rsidRDefault="00813662" w:rsidP="009824C8">
            <w:pPr>
              <w:spacing w:before="60" w:after="60"/>
              <w:rPr>
                <w:rFonts w:eastAsia="Arial Unicode MS"/>
                <w:sz w:val="18"/>
                <w:szCs w:val="18"/>
              </w:rPr>
            </w:pPr>
            <w:r w:rsidRPr="00464B95">
              <w:rPr>
                <w:rFonts w:eastAsia="Arial Unicode MS"/>
                <w:b/>
                <w:bCs/>
                <w:sz w:val="18"/>
                <w:szCs w:val="18"/>
              </w:rPr>
              <w:t>Results</w:t>
            </w:r>
            <w:r w:rsidRPr="0066594A">
              <w:rPr>
                <w:rFonts w:eastAsia="Arial Unicode MS"/>
                <w:sz w:val="18"/>
                <w:szCs w:val="18"/>
              </w:rPr>
              <w:t xml:space="preserve"> </w:t>
            </w:r>
            <w:r w:rsidRPr="00813662">
              <w:rPr>
                <w:rFonts w:eastAsia="Arial Unicode MS"/>
                <w:sz w:val="18"/>
                <w:szCs w:val="18"/>
              </w:rPr>
              <w:t>(Net surplus/deficit excluding unbudgeted one-offs for the financial year ended)</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36"/>
              <w:gridCol w:w="1963"/>
              <w:gridCol w:w="1963"/>
              <w:gridCol w:w="1963"/>
            </w:tblGrid>
            <w:tr w:rsidR="00813662" w:rsidRPr="00464B95" w14:paraId="51A1C5B8" w14:textId="77777777" w:rsidTr="009824C8">
              <w:tc>
                <w:tcPr>
                  <w:tcW w:w="236" w:type="dxa"/>
                </w:tcPr>
                <w:p w14:paraId="40EDE07B" w14:textId="77777777" w:rsidR="00813662" w:rsidRPr="00464B95" w:rsidRDefault="00813662" w:rsidP="00813662">
                  <w:pPr>
                    <w:pStyle w:val="TableText"/>
                    <w:rPr>
                      <w:rFonts w:eastAsia="Arial Unicode MS"/>
                      <w:szCs w:val="18"/>
                    </w:rPr>
                  </w:pPr>
                </w:p>
              </w:tc>
              <w:tc>
                <w:tcPr>
                  <w:tcW w:w="1963" w:type="dxa"/>
                </w:tcPr>
                <w:p w14:paraId="00C9A41B" w14:textId="2A960CFA" w:rsidR="00813662" w:rsidRPr="00813662" w:rsidRDefault="00813662" w:rsidP="00813662">
                  <w:pPr>
                    <w:pStyle w:val="TableText"/>
                    <w:jc w:val="right"/>
                    <w:rPr>
                      <w:rFonts w:eastAsia="Arial Unicode MS"/>
                      <w:b/>
                      <w:bCs/>
                      <w:szCs w:val="18"/>
                    </w:rPr>
                  </w:pPr>
                  <w:r w:rsidRPr="00813662">
                    <w:rPr>
                      <w:b/>
                      <w:bCs/>
                    </w:rPr>
                    <w:t>2018/19</w:t>
                  </w:r>
                </w:p>
              </w:tc>
              <w:tc>
                <w:tcPr>
                  <w:tcW w:w="1963" w:type="dxa"/>
                </w:tcPr>
                <w:p w14:paraId="52A955FB" w14:textId="1EBF23A8" w:rsidR="00813662" w:rsidRPr="00813662" w:rsidRDefault="00813662" w:rsidP="00813662">
                  <w:pPr>
                    <w:pStyle w:val="TableText"/>
                    <w:jc w:val="right"/>
                    <w:rPr>
                      <w:rFonts w:eastAsia="Arial Unicode MS"/>
                      <w:b/>
                      <w:bCs/>
                      <w:szCs w:val="18"/>
                    </w:rPr>
                  </w:pPr>
                  <w:r w:rsidRPr="00813662">
                    <w:rPr>
                      <w:b/>
                      <w:bCs/>
                    </w:rPr>
                    <w:t>2019/20</w:t>
                  </w:r>
                </w:p>
              </w:tc>
              <w:tc>
                <w:tcPr>
                  <w:tcW w:w="1963" w:type="dxa"/>
                </w:tcPr>
                <w:p w14:paraId="45546489" w14:textId="75D55ED8" w:rsidR="00813662" w:rsidRPr="00813662" w:rsidRDefault="00813662" w:rsidP="00813662">
                  <w:pPr>
                    <w:pStyle w:val="TableText"/>
                    <w:jc w:val="right"/>
                    <w:rPr>
                      <w:rFonts w:eastAsia="Arial Unicode MS"/>
                      <w:b/>
                      <w:bCs/>
                      <w:szCs w:val="18"/>
                    </w:rPr>
                  </w:pPr>
                  <w:r w:rsidRPr="00813662">
                    <w:rPr>
                      <w:b/>
                      <w:bCs/>
                    </w:rPr>
                    <w:t>2020/21</w:t>
                  </w:r>
                </w:p>
              </w:tc>
            </w:tr>
            <w:tr w:rsidR="00813662" w:rsidRPr="00464B95" w14:paraId="0B5CB72F" w14:textId="77777777" w:rsidTr="009824C8">
              <w:tc>
                <w:tcPr>
                  <w:tcW w:w="236" w:type="dxa"/>
                </w:tcPr>
                <w:p w14:paraId="462AF78A" w14:textId="77777777" w:rsidR="00813662" w:rsidRPr="00464B95" w:rsidRDefault="00813662" w:rsidP="00813662">
                  <w:pPr>
                    <w:pStyle w:val="TableText"/>
                    <w:rPr>
                      <w:rFonts w:eastAsia="Arial Unicode MS"/>
                      <w:szCs w:val="18"/>
                    </w:rPr>
                  </w:pPr>
                </w:p>
              </w:tc>
              <w:tc>
                <w:tcPr>
                  <w:tcW w:w="1963" w:type="dxa"/>
                </w:tcPr>
                <w:p w14:paraId="79673ED9" w14:textId="6074AF68" w:rsidR="00813662" w:rsidRPr="00464B95" w:rsidRDefault="00813662" w:rsidP="00813662">
                  <w:pPr>
                    <w:pStyle w:val="TableText"/>
                    <w:jc w:val="right"/>
                    <w:rPr>
                      <w:rFonts w:eastAsia="Arial Unicode MS"/>
                      <w:szCs w:val="18"/>
                    </w:rPr>
                  </w:pPr>
                  <w:r w:rsidRPr="00A21617">
                    <w:t>-2.5%</w:t>
                  </w:r>
                </w:p>
              </w:tc>
              <w:tc>
                <w:tcPr>
                  <w:tcW w:w="1963" w:type="dxa"/>
                </w:tcPr>
                <w:p w14:paraId="08E3033F" w14:textId="20FF65B3" w:rsidR="00813662" w:rsidRPr="00464B95" w:rsidRDefault="00813662" w:rsidP="00813662">
                  <w:pPr>
                    <w:pStyle w:val="TableText"/>
                    <w:jc w:val="right"/>
                    <w:rPr>
                      <w:rFonts w:eastAsia="Arial Unicode MS"/>
                      <w:szCs w:val="18"/>
                    </w:rPr>
                  </w:pPr>
                  <w:r w:rsidRPr="00A21617">
                    <w:t>-2.8%</w:t>
                  </w:r>
                </w:p>
              </w:tc>
              <w:tc>
                <w:tcPr>
                  <w:tcW w:w="1963" w:type="dxa"/>
                </w:tcPr>
                <w:p w14:paraId="08003778" w14:textId="2AFDB8EE" w:rsidR="00813662" w:rsidRPr="00464B95" w:rsidRDefault="00813662" w:rsidP="00813662">
                  <w:pPr>
                    <w:pStyle w:val="TableText"/>
                    <w:jc w:val="right"/>
                    <w:rPr>
                      <w:rFonts w:eastAsia="Arial Unicode MS"/>
                      <w:szCs w:val="18"/>
                    </w:rPr>
                  </w:pPr>
                  <w:r w:rsidRPr="00A21617">
                    <w:t>-2.2%</w:t>
                  </w:r>
                </w:p>
              </w:tc>
            </w:tr>
          </w:tbl>
          <w:p w14:paraId="7EEC4F93" w14:textId="77777777" w:rsidR="00813662" w:rsidRPr="00464B95" w:rsidRDefault="00813662" w:rsidP="009824C8">
            <w:pPr>
              <w:keepNext/>
              <w:spacing w:before="60" w:after="60"/>
              <w:rPr>
                <w:rFonts w:eastAsia="Arial Unicode MS"/>
                <w:b/>
                <w:bCs/>
                <w:sz w:val="18"/>
                <w:szCs w:val="18"/>
              </w:rPr>
            </w:pPr>
            <w:r w:rsidRPr="00464B95">
              <w:rPr>
                <w:rFonts w:eastAsia="Arial Unicode MS"/>
                <w:b/>
                <w:bCs/>
                <w:sz w:val="18"/>
                <w:szCs w:val="18"/>
              </w:rPr>
              <w:t>Comment</w:t>
            </w:r>
          </w:p>
          <w:p w14:paraId="172E5C4C" w14:textId="0B7D6F51" w:rsidR="00813662" w:rsidRPr="00464B95" w:rsidRDefault="00813662" w:rsidP="009824C8">
            <w:pPr>
              <w:spacing w:before="60" w:after="60"/>
              <w:rPr>
                <w:rFonts w:eastAsia="Arial Unicode MS"/>
                <w:sz w:val="18"/>
                <w:szCs w:val="18"/>
              </w:rPr>
            </w:pPr>
            <w:r w:rsidRPr="00813662">
              <w:rPr>
                <w:rFonts w:eastAsia="Arial Unicode MS"/>
                <w:sz w:val="18"/>
                <w:szCs w:val="18"/>
              </w:rPr>
              <w:t>One-offs are Holidays Act 2003 provisions and unfunded COVID-19 impacts. This shows how well the health and disability sector has managed the annual cost for providing services relative to revenue. In 2020/21, the sector spent 2.2% more than revenue. When one-off costs associated with the Holidays Act 2003 and COVID-19 that weren’t planned for are included, the overspend increased to 3.4% of revenue. This is an improvement on the results for the previous two years.</w:t>
            </w:r>
          </w:p>
        </w:tc>
      </w:tr>
    </w:tbl>
    <w:p w14:paraId="16817A50" w14:textId="77777777" w:rsidR="00813662" w:rsidRPr="00813662" w:rsidRDefault="00813662" w:rsidP="00813662">
      <w:pPr>
        <w:tabs>
          <w:tab w:val="left" w:pos="576"/>
        </w:tabs>
      </w:pPr>
      <w:r>
        <w:tab/>
      </w: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8079"/>
      </w:tblGrid>
      <w:tr w:rsidR="00813662" w14:paraId="6589DE96" w14:textId="77777777" w:rsidTr="009824C8">
        <w:tc>
          <w:tcPr>
            <w:tcW w:w="8079" w:type="dxa"/>
            <w:shd w:val="clear" w:color="auto" w:fill="D9D9D9" w:themeFill="background1" w:themeFillShade="D9"/>
          </w:tcPr>
          <w:p w14:paraId="003DFFC5" w14:textId="373BABB1" w:rsidR="00813662" w:rsidRPr="00464B95" w:rsidRDefault="00813662" w:rsidP="009824C8">
            <w:pPr>
              <w:spacing w:before="60" w:after="60"/>
              <w:rPr>
                <w:rFonts w:eastAsia="Arial Unicode MS"/>
                <w:b/>
                <w:bCs/>
                <w:sz w:val="18"/>
                <w:szCs w:val="18"/>
              </w:rPr>
            </w:pPr>
            <w:r w:rsidRPr="00813662">
              <w:rPr>
                <w:rFonts w:eastAsia="Arial Unicode MS"/>
                <w:b/>
                <w:bCs/>
                <w:sz w:val="18"/>
                <w:szCs w:val="18"/>
              </w:rPr>
              <w:t>Variance between planned budget and year-end actuals</w:t>
            </w:r>
          </w:p>
        </w:tc>
      </w:tr>
      <w:tr w:rsidR="00813662" w14:paraId="5922ADF4" w14:textId="77777777" w:rsidTr="009824C8">
        <w:tc>
          <w:tcPr>
            <w:tcW w:w="8079" w:type="dxa"/>
            <w:tcBorders>
              <w:bottom w:val="single" w:sz="4" w:space="0" w:color="A6A6A6" w:themeColor="background1" w:themeShade="A6"/>
            </w:tcBorders>
          </w:tcPr>
          <w:p w14:paraId="752D1F45" w14:textId="77777777" w:rsidR="00813662" w:rsidRPr="00464B95" w:rsidRDefault="00813662" w:rsidP="009824C8">
            <w:pPr>
              <w:spacing w:before="60" w:after="60"/>
              <w:rPr>
                <w:rFonts w:eastAsia="Arial Unicode MS"/>
                <w:b/>
                <w:bCs/>
                <w:sz w:val="18"/>
                <w:szCs w:val="18"/>
              </w:rPr>
            </w:pPr>
            <w:r w:rsidRPr="00464B95">
              <w:rPr>
                <w:rFonts w:eastAsia="Arial Unicode MS"/>
                <w:b/>
                <w:bCs/>
                <w:sz w:val="18"/>
                <w:szCs w:val="18"/>
              </w:rPr>
              <w:t>Indicator description</w:t>
            </w:r>
          </w:p>
          <w:p w14:paraId="5F158F2E" w14:textId="32321C94" w:rsidR="00813662" w:rsidRPr="00464B95" w:rsidRDefault="00813662" w:rsidP="009824C8">
            <w:pPr>
              <w:spacing w:before="60" w:after="60"/>
              <w:rPr>
                <w:rFonts w:eastAsia="Arial Unicode MS"/>
                <w:sz w:val="18"/>
                <w:szCs w:val="18"/>
              </w:rPr>
            </w:pPr>
            <w:r w:rsidRPr="00813662">
              <w:rPr>
                <w:rFonts w:eastAsia="Arial Unicode MS"/>
                <w:sz w:val="18"/>
                <w:szCs w:val="18"/>
              </w:rPr>
              <w:t>Budget versus actuals variance as a percentage of budget.</w:t>
            </w:r>
          </w:p>
        </w:tc>
      </w:tr>
      <w:tr w:rsidR="00813662" w14:paraId="0378D1A0" w14:textId="77777777" w:rsidTr="009824C8">
        <w:tc>
          <w:tcPr>
            <w:tcW w:w="8079" w:type="dxa"/>
            <w:tcBorders>
              <w:bottom w:val="single" w:sz="4" w:space="0" w:color="A6A6A6" w:themeColor="background1" w:themeShade="A6"/>
            </w:tcBorders>
          </w:tcPr>
          <w:p w14:paraId="2278461B" w14:textId="77777777" w:rsidR="00813662" w:rsidRPr="00813662" w:rsidRDefault="00813662" w:rsidP="009824C8">
            <w:pPr>
              <w:spacing w:before="60" w:after="60"/>
              <w:rPr>
                <w:rFonts w:eastAsia="Arial Unicode MS"/>
                <w:b/>
                <w:bCs/>
                <w:sz w:val="18"/>
                <w:szCs w:val="18"/>
              </w:rPr>
            </w:pPr>
            <w:r w:rsidRPr="00813662">
              <w:rPr>
                <w:rFonts w:eastAsia="Arial Unicode MS"/>
                <w:b/>
                <w:bCs/>
                <w:sz w:val="18"/>
                <w:szCs w:val="18"/>
              </w:rPr>
              <w:t>Baseline data</w:t>
            </w:r>
          </w:p>
          <w:p w14:paraId="7B2632D3" w14:textId="00C21143" w:rsidR="00813662" w:rsidRPr="00813662" w:rsidRDefault="00813662" w:rsidP="009824C8">
            <w:pPr>
              <w:spacing w:before="60" w:after="60"/>
              <w:rPr>
                <w:rFonts w:eastAsia="Arial Unicode MS"/>
                <w:sz w:val="18"/>
                <w:szCs w:val="18"/>
              </w:rPr>
            </w:pPr>
            <w:r w:rsidRPr="00813662">
              <w:rPr>
                <w:rFonts w:eastAsia="Arial Unicode MS"/>
                <w:sz w:val="18"/>
                <w:szCs w:val="18"/>
              </w:rPr>
              <w:t>Actual deficit result is worse than the approved plan/budget by $28 million (11.0%) excluding unbudgeted one-offs and by $245 million (96.9%) including one offs.</w:t>
            </w:r>
          </w:p>
        </w:tc>
      </w:tr>
      <w:tr w:rsidR="00813662" w14:paraId="02A8690A" w14:textId="77777777" w:rsidTr="009824C8">
        <w:tc>
          <w:tcPr>
            <w:tcW w:w="8079" w:type="dxa"/>
            <w:tcBorders>
              <w:top w:val="nil"/>
            </w:tcBorders>
          </w:tcPr>
          <w:p w14:paraId="4D0E9C19" w14:textId="5AD9B2CE" w:rsidR="00813662" w:rsidRPr="0066594A" w:rsidRDefault="00813662" w:rsidP="009824C8">
            <w:pPr>
              <w:spacing w:before="60" w:after="60"/>
              <w:rPr>
                <w:rFonts w:eastAsia="Arial Unicode MS"/>
                <w:sz w:val="18"/>
                <w:szCs w:val="18"/>
              </w:rPr>
            </w:pPr>
            <w:r w:rsidRPr="00464B95">
              <w:rPr>
                <w:rFonts w:eastAsia="Arial Unicode MS"/>
                <w:b/>
                <w:bCs/>
                <w:sz w:val="18"/>
                <w:szCs w:val="18"/>
              </w:rPr>
              <w:t>Results</w:t>
            </w:r>
            <w:r w:rsidRPr="0066594A">
              <w:rPr>
                <w:rFonts w:eastAsia="Arial Unicode MS"/>
                <w:sz w:val="18"/>
                <w:szCs w:val="18"/>
              </w:rPr>
              <w:t xml:space="preserve"> </w:t>
            </w:r>
            <w:r w:rsidRPr="00813662">
              <w:rPr>
                <w:rFonts w:eastAsia="Arial Unicode MS"/>
                <w:sz w:val="18"/>
                <w:szCs w:val="18"/>
              </w:rPr>
              <w:t>(Variance against planned budget for the financial year ended, excluding unbudgeted one-offs)</w:t>
            </w:r>
          </w:p>
          <w:tbl>
            <w:tblPr>
              <w:tblStyle w:val="TableGrid"/>
              <w:tblW w:w="0" w:type="auto"/>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ook w:val="04A0" w:firstRow="1" w:lastRow="0" w:firstColumn="1" w:lastColumn="0" w:noHBand="0" w:noVBand="1"/>
            </w:tblPr>
            <w:tblGrid>
              <w:gridCol w:w="236"/>
              <w:gridCol w:w="1963"/>
              <w:gridCol w:w="1963"/>
              <w:gridCol w:w="1963"/>
            </w:tblGrid>
            <w:tr w:rsidR="00813662" w:rsidRPr="00464B95" w14:paraId="441367B4" w14:textId="77777777" w:rsidTr="009824C8">
              <w:tc>
                <w:tcPr>
                  <w:tcW w:w="236" w:type="dxa"/>
                </w:tcPr>
                <w:p w14:paraId="44875508" w14:textId="77777777" w:rsidR="00813662" w:rsidRPr="00464B95" w:rsidRDefault="00813662" w:rsidP="009824C8">
                  <w:pPr>
                    <w:pStyle w:val="TableText"/>
                    <w:rPr>
                      <w:rFonts w:eastAsia="Arial Unicode MS"/>
                      <w:szCs w:val="18"/>
                    </w:rPr>
                  </w:pPr>
                </w:p>
              </w:tc>
              <w:tc>
                <w:tcPr>
                  <w:tcW w:w="1963" w:type="dxa"/>
                </w:tcPr>
                <w:p w14:paraId="16D5E79B" w14:textId="77777777" w:rsidR="00813662" w:rsidRPr="00813662" w:rsidRDefault="00813662" w:rsidP="009824C8">
                  <w:pPr>
                    <w:pStyle w:val="TableText"/>
                    <w:jc w:val="right"/>
                    <w:rPr>
                      <w:rFonts w:eastAsia="Arial Unicode MS"/>
                      <w:b/>
                      <w:bCs/>
                      <w:szCs w:val="18"/>
                    </w:rPr>
                  </w:pPr>
                  <w:r w:rsidRPr="00813662">
                    <w:rPr>
                      <w:b/>
                      <w:bCs/>
                    </w:rPr>
                    <w:t>2018/19</w:t>
                  </w:r>
                </w:p>
              </w:tc>
              <w:tc>
                <w:tcPr>
                  <w:tcW w:w="1963" w:type="dxa"/>
                </w:tcPr>
                <w:p w14:paraId="2722D4AA" w14:textId="77777777" w:rsidR="00813662" w:rsidRPr="00813662" w:rsidRDefault="00813662" w:rsidP="009824C8">
                  <w:pPr>
                    <w:pStyle w:val="TableText"/>
                    <w:jc w:val="right"/>
                    <w:rPr>
                      <w:rFonts w:eastAsia="Arial Unicode MS"/>
                      <w:b/>
                      <w:bCs/>
                      <w:szCs w:val="18"/>
                    </w:rPr>
                  </w:pPr>
                  <w:r w:rsidRPr="00813662">
                    <w:rPr>
                      <w:b/>
                      <w:bCs/>
                    </w:rPr>
                    <w:t>2019/20</w:t>
                  </w:r>
                </w:p>
              </w:tc>
              <w:tc>
                <w:tcPr>
                  <w:tcW w:w="1963" w:type="dxa"/>
                </w:tcPr>
                <w:p w14:paraId="7E454FCD" w14:textId="77777777" w:rsidR="00813662" w:rsidRPr="00813662" w:rsidRDefault="00813662" w:rsidP="009824C8">
                  <w:pPr>
                    <w:pStyle w:val="TableText"/>
                    <w:jc w:val="right"/>
                    <w:rPr>
                      <w:rFonts w:eastAsia="Arial Unicode MS"/>
                      <w:b/>
                      <w:bCs/>
                      <w:szCs w:val="18"/>
                    </w:rPr>
                  </w:pPr>
                  <w:r w:rsidRPr="00813662">
                    <w:rPr>
                      <w:b/>
                      <w:bCs/>
                    </w:rPr>
                    <w:t>2020/21</w:t>
                  </w:r>
                </w:p>
              </w:tc>
            </w:tr>
            <w:tr w:rsidR="00813662" w:rsidRPr="00464B95" w14:paraId="53159BDD" w14:textId="77777777" w:rsidTr="009824C8">
              <w:tc>
                <w:tcPr>
                  <w:tcW w:w="236" w:type="dxa"/>
                </w:tcPr>
                <w:p w14:paraId="377E4486" w14:textId="77777777" w:rsidR="00813662" w:rsidRPr="00464B95" w:rsidRDefault="00813662" w:rsidP="00813662">
                  <w:pPr>
                    <w:pStyle w:val="TableText"/>
                    <w:rPr>
                      <w:rFonts w:eastAsia="Arial Unicode MS"/>
                      <w:szCs w:val="18"/>
                    </w:rPr>
                  </w:pPr>
                </w:p>
              </w:tc>
              <w:tc>
                <w:tcPr>
                  <w:tcW w:w="1963" w:type="dxa"/>
                </w:tcPr>
                <w:p w14:paraId="0217A43F" w14:textId="2BFEBAB8" w:rsidR="00813662" w:rsidRPr="00464B95" w:rsidRDefault="00813662" w:rsidP="00813662">
                  <w:pPr>
                    <w:pStyle w:val="TableText"/>
                    <w:jc w:val="right"/>
                    <w:rPr>
                      <w:rFonts w:eastAsia="Arial Unicode MS"/>
                      <w:szCs w:val="18"/>
                    </w:rPr>
                  </w:pPr>
                  <w:r w:rsidRPr="00AC29A4">
                    <w:t>-54.1%</w:t>
                  </w:r>
                </w:p>
              </w:tc>
              <w:tc>
                <w:tcPr>
                  <w:tcW w:w="1963" w:type="dxa"/>
                </w:tcPr>
                <w:p w14:paraId="6004B703" w14:textId="547BE76F" w:rsidR="00813662" w:rsidRPr="00464B95" w:rsidRDefault="00813662" w:rsidP="00813662">
                  <w:pPr>
                    <w:pStyle w:val="TableText"/>
                    <w:jc w:val="right"/>
                    <w:rPr>
                      <w:rFonts w:eastAsia="Arial Unicode MS"/>
                      <w:szCs w:val="18"/>
                    </w:rPr>
                  </w:pPr>
                  <w:r w:rsidRPr="00AC29A4">
                    <w:t>-12.0%</w:t>
                  </w:r>
                </w:p>
              </w:tc>
              <w:tc>
                <w:tcPr>
                  <w:tcW w:w="1963" w:type="dxa"/>
                </w:tcPr>
                <w:p w14:paraId="2FEDDBCA" w14:textId="7D01A80E" w:rsidR="00813662" w:rsidRPr="00464B95" w:rsidRDefault="00813662" w:rsidP="00813662">
                  <w:pPr>
                    <w:pStyle w:val="TableText"/>
                    <w:jc w:val="right"/>
                    <w:rPr>
                      <w:rFonts w:eastAsia="Arial Unicode MS"/>
                      <w:szCs w:val="18"/>
                    </w:rPr>
                  </w:pPr>
                  <w:r w:rsidRPr="00AC29A4">
                    <w:t>-11.0%</w:t>
                  </w:r>
                </w:p>
              </w:tc>
            </w:tr>
          </w:tbl>
          <w:p w14:paraId="7F09520F" w14:textId="77777777" w:rsidR="00813662" w:rsidRPr="00464B95" w:rsidRDefault="00813662" w:rsidP="009824C8">
            <w:pPr>
              <w:keepNext/>
              <w:spacing w:before="60" w:after="60"/>
              <w:rPr>
                <w:rFonts w:eastAsia="Arial Unicode MS"/>
                <w:b/>
                <w:bCs/>
                <w:sz w:val="18"/>
                <w:szCs w:val="18"/>
              </w:rPr>
            </w:pPr>
            <w:r w:rsidRPr="00464B95">
              <w:rPr>
                <w:rFonts w:eastAsia="Arial Unicode MS"/>
                <w:b/>
                <w:bCs/>
                <w:sz w:val="18"/>
                <w:szCs w:val="18"/>
              </w:rPr>
              <w:t>Comment</w:t>
            </w:r>
          </w:p>
          <w:p w14:paraId="239E156B" w14:textId="419F2E11" w:rsidR="00813662" w:rsidRPr="00464B95" w:rsidRDefault="00813662" w:rsidP="006A0B4A">
            <w:pPr>
              <w:spacing w:before="60" w:after="60"/>
              <w:rPr>
                <w:rFonts w:eastAsia="Arial Unicode MS"/>
                <w:sz w:val="18"/>
                <w:szCs w:val="18"/>
              </w:rPr>
            </w:pPr>
            <w:r w:rsidRPr="00813662">
              <w:rPr>
                <w:rFonts w:eastAsia="Arial Unicode MS"/>
                <w:sz w:val="18"/>
                <w:szCs w:val="18"/>
              </w:rPr>
              <w:t>The actual deficit result shows the difference against planned budget. This indicator is intended to show how well the health and disability sector performed against the planned budget for the year, that is, how well did it do what it said it would do. In 2020/21, the actual deficit was 11% worse than planned budget, and when one-off costs associated with Holidays Act 2003 provisions</w:t>
            </w:r>
            <w:r w:rsidR="006A0B4A">
              <w:rPr>
                <w:rFonts w:eastAsia="Arial Unicode MS"/>
                <w:sz w:val="18"/>
                <w:szCs w:val="18"/>
              </w:rPr>
              <w:t xml:space="preserve"> </w:t>
            </w:r>
            <w:r w:rsidRPr="00813662">
              <w:rPr>
                <w:rFonts w:eastAsia="Arial Unicode MS"/>
                <w:sz w:val="18"/>
                <w:szCs w:val="18"/>
              </w:rPr>
              <w:t>and COVID-19 were included, the deficit was 96.9% worse than planned. This indicator excludes Canterbury DHB, as that DHB’s plan/budget was not approved.</w:t>
            </w:r>
          </w:p>
        </w:tc>
      </w:tr>
    </w:tbl>
    <w:p w14:paraId="49286E71" w14:textId="77777777" w:rsidR="00813662" w:rsidRDefault="00813662" w:rsidP="00813662">
      <w:pPr>
        <w:tabs>
          <w:tab w:val="left" w:pos="576"/>
        </w:tabs>
      </w:pPr>
    </w:p>
    <w:p w14:paraId="3AF01628" w14:textId="77777777" w:rsidR="006F4827" w:rsidRDefault="006F4827" w:rsidP="006F4827"/>
    <w:p w14:paraId="0654459E" w14:textId="77777777" w:rsidR="006F4827" w:rsidRDefault="006F4827" w:rsidP="006F4827">
      <w:pPr>
        <w:ind w:firstLine="567"/>
        <w:sectPr w:rsidR="006F4827" w:rsidSect="00C26282">
          <w:pgSz w:w="11907" w:h="16840" w:code="9"/>
          <w:pgMar w:top="1418" w:right="1701" w:bottom="1134" w:left="1843" w:header="284" w:footer="425" w:gutter="284"/>
          <w:cols w:space="720"/>
        </w:sectPr>
      </w:pPr>
    </w:p>
    <w:p w14:paraId="6CDE4227" w14:textId="6A7B7287" w:rsidR="006F4827" w:rsidRDefault="006F4827" w:rsidP="006F4827">
      <w:pPr>
        <w:pStyle w:val="Heading2"/>
        <w:spacing w:before="0"/>
      </w:pPr>
      <w:bookmarkStart w:id="77" w:name="_Toc117264983"/>
      <w:r>
        <w:lastRenderedPageBreak/>
        <w:t>Appendix 3: Delegation of functions or powers</w:t>
      </w:r>
      <w:bookmarkEnd w:id="77"/>
    </w:p>
    <w:p w14:paraId="259CCF4D" w14:textId="1CE58301" w:rsidR="006F4827" w:rsidRDefault="006F4827" w:rsidP="006F4827">
      <w:r>
        <w:t>The Public Service Act 2020 requires departments to state where their chief executive’s functions or powers have been delegated to a person outside the public service.</w:t>
      </w:r>
    </w:p>
    <w:p w14:paraId="2BDF8EA9" w14:textId="77777777" w:rsidR="006F4827" w:rsidRDefault="006F4827" w:rsidP="006F4827"/>
    <w:p w14:paraId="0BC97DA4" w14:textId="3A70C64E" w:rsidR="006F4827" w:rsidRDefault="006F4827" w:rsidP="006F4827">
      <w:r>
        <w:t>In addition to disclosing any delegations of functions or duties, our annual report must give a detailed description and assessment of how effectively the delegated function or power was performed or exercised.</w:t>
      </w:r>
    </w:p>
    <w:p w14:paraId="1374812B" w14:textId="77777777" w:rsidR="006F4827" w:rsidRDefault="006F4827" w:rsidP="006F4827"/>
    <w:p w14:paraId="4BE5A6B0" w14:textId="77777777" w:rsidR="006F4827" w:rsidRDefault="006F4827" w:rsidP="006F4827">
      <w:r>
        <w:t>The following table provides the information and assessments that the legislation requires.</w:t>
      </w:r>
    </w:p>
    <w:p w14:paraId="5494C416" w14:textId="77777777" w:rsidR="006F4827" w:rsidRDefault="006F4827" w:rsidP="006F4827">
      <w:pPr>
        <w:pStyle w:val="Heading4"/>
      </w:pPr>
      <w:r>
        <w:t>Delegation of functions or powers</w:t>
      </w:r>
    </w:p>
    <w:tbl>
      <w:tblPr>
        <w:tblpPr w:leftFromText="180" w:rightFromText="180" w:vertAnchor="text" w:horzAnchor="margin" w:tblpY="-60"/>
        <w:tblW w:w="8080" w:type="dxa"/>
        <w:tblBorders>
          <w:bottom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644"/>
        <w:gridCol w:w="3218"/>
        <w:gridCol w:w="3218"/>
      </w:tblGrid>
      <w:tr w:rsidR="006F4827" w14:paraId="325BB5D6" w14:textId="77777777" w:rsidTr="006F4827">
        <w:trPr>
          <w:trHeight w:val="892"/>
        </w:trPr>
        <w:tc>
          <w:tcPr>
            <w:tcW w:w="1644" w:type="dxa"/>
            <w:shd w:val="clear" w:color="auto" w:fill="D9D9D9" w:themeFill="background1" w:themeFillShade="D9"/>
          </w:tcPr>
          <w:p w14:paraId="4299BEEA" w14:textId="73751E63" w:rsidR="006F4827" w:rsidRPr="006F4827" w:rsidRDefault="006F4827" w:rsidP="006F4827">
            <w:pPr>
              <w:pStyle w:val="TableText"/>
              <w:rPr>
                <w:b/>
                <w:bCs/>
              </w:rPr>
            </w:pPr>
            <w:r w:rsidRPr="006F4827">
              <w:rPr>
                <w:b/>
                <w:bCs/>
              </w:rPr>
              <w:t xml:space="preserve">Person </w:t>
            </w:r>
            <w:r w:rsidR="000F75CC">
              <w:rPr>
                <w:b/>
                <w:bCs/>
              </w:rPr>
              <w:br/>
            </w:r>
            <w:r w:rsidRPr="006F4827">
              <w:rPr>
                <w:b/>
                <w:bCs/>
              </w:rPr>
              <w:t>delegated to</w:t>
            </w:r>
          </w:p>
        </w:tc>
        <w:tc>
          <w:tcPr>
            <w:tcW w:w="3218" w:type="dxa"/>
            <w:shd w:val="clear" w:color="auto" w:fill="D9D9D9" w:themeFill="background1" w:themeFillShade="D9"/>
          </w:tcPr>
          <w:p w14:paraId="1F3DF69E" w14:textId="77777777" w:rsidR="006F4827" w:rsidRPr="006F4827" w:rsidRDefault="006F4827" w:rsidP="006F4827">
            <w:pPr>
              <w:pStyle w:val="TableText"/>
              <w:rPr>
                <w:b/>
                <w:bCs/>
              </w:rPr>
            </w:pPr>
            <w:r w:rsidRPr="006F4827">
              <w:rPr>
                <w:b/>
                <w:bCs/>
              </w:rPr>
              <w:t>Function or power delegated</w:t>
            </w:r>
          </w:p>
        </w:tc>
        <w:tc>
          <w:tcPr>
            <w:tcW w:w="3218" w:type="dxa"/>
            <w:shd w:val="clear" w:color="auto" w:fill="D9D9D9" w:themeFill="background1" w:themeFillShade="D9"/>
          </w:tcPr>
          <w:p w14:paraId="272ADC8C" w14:textId="77777777" w:rsidR="006F4827" w:rsidRPr="006F4827" w:rsidRDefault="006F4827" w:rsidP="006F4827">
            <w:pPr>
              <w:pStyle w:val="TableText"/>
              <w:rPr>
                <w:b/>
                <w:bCs/>
              </w:rPr>
            </w:pPr>
            <w:r w:rsidRPr="006F4827">
              <w:rPr>
                <w:b/>
                <w:bCs/>
              </w:rPr>
              <w:t>Assessment of how effectively the delegated function or power was performed or exercised</w:t>
            </w:r>
          </w:p>
        </w:tc>
      </w:tr>
      <w:tr w:rsidR="006F4827" w14:paraId="42769385" w14:textId="77777777" w:rsidTr="006F4827">
        <w:trPr>
          <w:trHeight w:val="3274"/>
        </w:trPr>
        <w:tc>
          <w:tcPr>
            <w:tcW w:w="1644" w:type="dxa"/>
          </w:tcPr>
          <w:p w14:paraId="035B9775" w14:textId="77777777" w:rsidR="006F4827" w:rsidRPr="006F4827" w:rsidRDefault="006F4827" w:rsidP="006F4827">
            <w:pPr>
              <w:pStyle w:val="TableText"/>
            </w:pPr>
            <w:r w:rsidRPr="006F4827">
              <w:t>Police Commissioner</w:t>
            </w:r>
          </w:p>
        </w:tc>
        <w:tc>
          <w:tcPr>
            <w:tcW w:w="3218" w:type="dxa"/>
          </w:tcPr>
          <w:p w14:paraId="6BCE0645" w14:textId="77777777" w:rsidR="006F4827" w:rsidRPr="006F4827" w:rsidRDefault="006F4827" w:rsidP="006F4827">
            <w:pPr>
              <w:pStyle w:val="TableText"/>
            </w:pPr>
            <w:r w:rsidRPr="006F4827">
              <w:t>The power to appoint enforcement officers at section 18 of the</w:t>
            </w:r>
          </w:p>
          <w:p w14:paraId="59D369B2" w14:textId="77777777" w:rsidR="006F4827" w:rsidRPr="006F4827" w:rsidRDefault="006F4827" w:rsidP="006F4827">
            <w:pPr>
              <w:pStyle w:val="TableText"/>
            </w:pPr>
            <w:r w:rsidRPr="006F4827">
              <w:t>COVID-19 Public Health Response Act 2020 (the Act).</w:t>
            </w:r>
          </w:p>
          <w:p w14:paraId="4891C928" w14:textId="14DA6137" w:rsidR="006F4827" w:rsidRPr="006F4827" w:rsidRDefault="006F4827" w:rsidP="006A0B4A">
            <w:pPr>
              <w:pStyle w:val="TableText"/>
            </w:pPr>
            <w:r w:rsidRPr="006F4827">
              <w:t>These appointments are only for the purpose of authorising</w:t>
            </w:r>
            <w:r w:rsidR="006A0B4A">
              <w:t xml:space="preserve"> </w:t>
            </w:r>
            <w:r w:rsidRPr="006F4827">
              <w:t>enforcement officers to assist with the enforcement of any Alert Level boundary mandated by Order made under the Act.</w:t>
            </w:r>
          </w:p>
        </w:tc>
        <w:tc>
          <w:tcPr>
            <w:tcW w:w="3218" w:type="dxa"/>
          </w:tcPr>
          <w:p w14:paraId="4FD99771" w14:textId="07AF77DE" w:rsidR="006F4827" w:rsidRPr="006F4827" w:rsidRDefault="006F4827" w:rsidP="006F4827">
            <w:pPr>
              <w:pStyle w:val="TableText"/>
            </w:pPr>
            <w:r w:rsidRPr="006F4827">
              <w:t>The delegation of power was used on 3 occasions in 2021/22: on 14, 16 and 17</w:t>
            </w:r>
            <w:r w:rsidR="006A0B4A">
              <w:t xml:space="preserve"> </w:t>
            </w:r>
            <w:r w:rsidRPr="006F4827">
              <w:t>December 2021.</w:t>
            </w:r>
          </w:p>
          <w:p w14:paraId="612E260C" w14:textId="77777777" w:rsidR="006F4827" w:rsidRPr="006F4827" w:rsidRDefault="006F4827" w:rsidP="006F4827">
            <w:pPr>
              <w:pStyle w:val="TableText"/>
            </w:pPr>
            <w:r w:rsidRPr="006F4827">
              <w:t>We have determined that the exercised delegation of power – to allow the Police Commissioner to authorise police officers as enforcement officers at section 18 of the Act – and the criteria followed by the Police Commissioner’s appointment documents were performed appropriately and in accordance with the requirements outlined in the Act.</w:t>
            </w:r>
          </w:p>
        </w:tc>
      </w:tr>
    </w:tbl>
    <w:p w14:paraId="4E4C5A96" w14:textId="77777777" w:rsidR="006F4827" w:rsidRDefault="006F4827" w:rsidP="006F4827"/>
    <w:p w14:paraId="33BF31F7" w14:textId="77777777" w:rsidR="006F4827" w:rsidRDefault="006F4827" w:rsidP="006F4827"/>
    <w:p w14:paraId="3B9A663A" w14:textId="77777777" w:rsidR="00A51DC4" w:rsidRPr="00A51DC4" w:rsidRDefault="00A51DC4" w:rsidP="00A51DC4"/>
    <w:p w14:paraId="07C7B72A" w14:textId="77777777" w:rsidR="00A51DC4" w:rsidRPr="00A51DC4" w:rsidRDefault="00A51DC4" w:rsidP="00A51DC4"/>
    <w:p w14:paraId="5BB25BB0" w14:textId="77777777" w:rsidR="00A51DC4" w:rsidRPr="00A51DC4" w:rsidRDefault="00A51DC4" w:rsidP="00A51DC4"/>
    <w:p w14:paraId="3622C3FD" w14:textId="77777777" w:rsidR="00A51DC4" w:rsidRDefault="00A51DC4" w:rsidP="00A51DC4">
      <w:pPr>
        <w:ind w:firstLine="567"/>
        <w:sectPr w:rsidR="00A51DC4" w:rsidSect="00C26282">
          <w:pgSz w:w="11907" w:h="16840" w:code="9"/>
          <w:pgMar w:top="1418" w:right="1701" w:bottom="1134" w:left="1843" w:header="284" w:footer="425" w:gutter="284"/>
          <w:cols w:space="720"/>
        </w:sectPr>
      </w:pPr>
    </w:p>
    <w:p w14:paraId="32F80145" w14:textId="04C3ADFE" w:rsidR="00A51DC4" w:rsidRDefault="00A51DC4" w:rsidP="00A51DC4">
      <w:pPr>
        <w:pStyle w:val="Heading2"/>
        <w:spacing w:before="0"/>
      </w:pPr>
      <w:bookmarkStart w:id="78" w:name="_Toc117264984"/>
      <w:r>
        <w:lastRenderedPageBreak/>
        <w:t>Appendix 4: Legal and regulatory framework</w:t>
      </w:r>
      <w:bookmarkEnd w:id="78"/>
    </w:p>
    <w:p w14:paraId="6F5572B4" w14:textId="61F691F5" w:rsidR="00A51DC4" w:rsidRDefault="00A51DC4" w:rsidP="00A51DC4">
      <w:r>
        <w:t>Manatū Hauora (the Ministry of Health) is responsible for overseeing the legal and regulatory framework of the health and disability system in Aotearoa New Zealand.</w:t>
      </w:r>
    </w:p>
    <w:p w14:paraId="4B4A560B" w14:textId="77777777" w:rsidR="00A51DC4" w:rsidRDefault="00A51DC4" w:rsidP="00A51DC4"/>
    <w:p w14:paraId="3C1E5DE6" w14:textId="7DD3CF5D" w:rsidR="00A51DC4" w:rsidRDefault="00A51DC4" w:rsidP="00A51DC4">
      <w:r>
        <w:t>By administering a wide range of Acts, regulations and other legislative tools (such as orders-in-council), we keep the system safe, equitable and relevant. Regulating the health and disability system helps provide assurance to all New Zealanders that the system is fair and that the services offered can be trusted.</w:t>
      </w:r>
    </w:p>
    <w:p w14:paraId="41C72E27" w14:textId="77777777" w:rsidR="00A51DC4" w:rsidRDefault="00A51DC4" w:rsidP="00A51DC4"/>
    <w:p w14:paraId="740519CB" w14:textId="77777777" w:rsidR="00A51DC4" w:rsidRDefault="00A51DC4" w:rsidP="00A51DC4">
      <w:r>
        <w:t>Here we summarise the main pieces of legislation we administer within the health and disability system.</w:t>
      </w:r>
    </w:p>
    <w:p w14:paraId="02BB6767" w14:textId="77777777" w:rsidR="00A51DC4" w:rsidRDefault="00A51DC4" w:rsidP="00A51DC4">
      <w:pPr>
        <w:pStyle w:val="Heading4"/>
      </w:pPr>
      <w:r>
        <w:t>Legislation administered by the Ministry of Health</w:t>
      </w:r>
    </w:p>
    <w:p w14:paraId="3AC2703A" w14:textId="71962B2E" w:rsidR="00A51DC4" w:rsidRDefault="00A51DC4" w:rsidP="00A51DC4">
      <w:r>
        <w:t>In 2021/22, our Ministry administered over 30 pieces of legislation, steering the national health and disability system:</w:t>
      </w:r>
    </w:p>
    <w:p w14:paraId="219CFD7D" w14:textId="77777777" w:rsidR="00A51DC4" w:rsidRDefault="00A51DC4" w:rsidP="00A51DC4">
      <w:pPr>
        <w:pStyle w:val="Bullet"/>
      </w:pPr>
      <w:r>
        <w:t>Burial and Cremation Act 1964</w:t>
      </w:r>
    </w:p>
    <w:p w14:paraId="1EB55AE3" w14:textId="77777777" w:rsidR="00A51DC4" w:rsidRDefault="00A51DC4" w:rsidP="00A51DC4">
      <w:pPr>
        <w:pStyle w:val="Bullet"/>
      </w:pPr>
      <w:r>
        <w:t>Cancer Registry Act 1993</w:t>
      </w:r>
    </w:p>
    <w:p w14:paraId="2E6C7777" w14:textId="77777777" w:rsidR="00A51DC4" w:rsidRDefault="00A51DC4" w:rsidP="00A51DC4">
      <w:pPr>
        <w:pStyle w:val="Bullet"/>
      </w:pPr>
      <w:r>
        <w:t>Contraception, Sterilisation, and Abortion Act 1977</w:t>
      </w:r>
    </w:p>
    <w:p w14:paraId="122FECE2" w14:textId="77777777" w:rsidR="00A51DC4" w:rsidRDefault="00A51DC4" w:rsidP="00A51DC4">
      <w:pPr>
        <w:pStyle w:val="Bullet"/>
      </w:pPr>
      <w:r>
        <w:t>Compensation for Live Organ Donors Act 2016</w:t>
      </w:r>
    </w:p>
    <w:p w14:paraId="539F515C" w14:textId="77777777" w:rsidR="00A51DC4" w:rsidRDefault="00A51DC4" w:rsidP="00A51DC4">
      <w:pPr>
        <w:pStyle w:val="Bullet"/>
      </w:pPr>
      <w:r>
        <w:t>COVID-19 Public Health Response Act 2020</w:t>
      </w:r>
    </w:p>
    <w:p w14:paraId="220121E9" w14:textId="4FCDBEDC" w:rsidR="00A51DC4" w:rsidRDefault="00A51DC4" w:rsidP="00A51DC4">
      <w:pPr>
        <w:pStyle w:val="Bullet"/>
      </w:pPr>
      <w:r>
        <w:t>Disabled Persons Community Welfare Act 1975 (Part 2A)</w:t>
      </w:r>
      <w:r>
        <w:rPr>
          <w:rStyle w:val="FootnoteReference"/>
        </w:rPr>
        <w:footnoteReference w:id="58"/>
      </w:r>
    </w:p>
    <w:p w14:paraId="207E9D98" w14:textId="77777777" w:rsidR="00A51DC4" w:rsidRDefault="00A51DC4" w:rsidP="00A51DC4">
      <w:pPr>
        <w:pStyle w:val="Bullet"/>
      </w:pPr>
      <w:r>
        <w:t>End of Life Choice Act 2019</w:t>
      </w:r>
    </w:p>
    <w:p w14:paraId="3470A1AB" w14:textId="77777777" w:rsidR="00A51DC4" w:rsidRDefault="00A51DC4" w:rsidP="00A51DC4">
      <w:pPr>
        <w:pStyle w:val="Bullet"/>
      </w:pPr>
      <w:r>
        <w:t>Epidemic Preparedness Act 2006</w:t>
      </w:r>
    </w:p>
    <w:p w14:paraId="5FF6E19B" w14:textId="77777777" w:rsidR="00A51DC4" w:rsidRDefault="00A51DC4" w:rsidP="00A51DC4">
      <w:pPr>
        <w:pStyle w:val="Bullet"/>
      </w:pPr>
      <w:r>
        <w:t>Health Act 1956</w:t>
      </w:r>
    </w:p>
    <w:p w14:paraId="1D39D1E6" w14:textId="77777777" w:rsidR="00A51DC4" w:rsidRDefault="00A51DC4" w:rsidP="00A51DC4">
      <w:pPr>
        <w:pStyle w:val="Bullet"/>
      </w:pPr>
      <w:r>
        <w:t>Health and Disability Commissioner Act 1994</w:t>
      </w:r>
    </w:p>
    <w:p w14:paraId="4E362F2F" w14:textId="77777777" w:rsidR="00A51DC4" w:rsidRDefault="00A51DC4" w:rsidP="00A51DC4">
      <w:pPr>
        <w:pStyle w:val="Bullet"/>
      </w:pPr>
      <w:r>
        <w:t>Health and Disability Services (Safety) Act 2001</w:t>
      </w:r>
    </w:p>
    <w:p w14:paraId="5F01235E" w14:textId="117BE10A" w:rsidR="00A51DC4" w:rsidRDefault="00A51DC4" w:rsidP="00A51DC4">
      <w:pPr>
        <w:pStyle w:val="Bullet"/>
      </w:pPr>
      <w:r>
        <w:t xml:space="preserve"> Health Benefits (Reciprocity with Australia) Act 1999</w:t>
      </w:r>
    </w:p>
    <w:p w14:paraId="49B6C269" w14:textId="77777777" w:rsidR="00A51DC4" w:rsidRDefault="00A51DC4" w:rsidP="00A51DC4">
      <w:pPr>
        <w:pStyle w:val="Bullet"/>
      </w:pPr>
      <w:r>
        <w:t>Health Benefits (Reciprocity with the United Kingdom) Act 1982</w:t>
      </w:r>
    </w:p>
    <w:p w14:paraId="034D1A41" w14:textId="77777777" w:rsidR="00A51DC4" w:rsidRDefault="00A51DC4" w:rsidP="00A51DC4">
      <w:pPr>
        <w:pStyle w:val="Bullet"/>
      </w:pPr>
      <w:r>
        <w:t>Health Practitioners Competence Assurance Act 2003</w:t>
      </w:r>
    </w:p>
    <w:p w14:paraId="3FF4D680" w14:textId="77777777" w:rsidR="00A51DC4" w:rsidRDefault="00A51DC4" w:rsidP="00A51DC4">
      <w:pPr>
        <w:pStyle w:val="Bullet"/>
      </w:pPr>
      <w:r>
        <w:t>Health Research Council Act 1990</w:t>
      </w:r>
    </w:p>
    <w:p w14:paraId="2ED5D0C2" w14:textId="77777777" w:rsidR="00A51DC4" w:rsidRDefault="00A51DC4" w:rsidP="00A51DC4">
      <w:pPr>
        <w:pStyle w:val="Bullet"/>
      </w:pPr>
      <w:r>
        <w:t>Health Sector (Transfers) Act 1993</w:t>
      </w:r>
    </w:p>
    <w:p w14:paraId="5BB66E4D" w14:textId="77777777" w:rsidR="00A51DC4" w:rsidRDefault="00A51DC4" w:rsidP="00A51DC4">
      <w:pPr>
        <w:pStyle w:val="Bullet"/>
      </w:pPr>
      <w:r>
        <w:t>Home and Community Support (Payment for Travel Between Clients) Settlement Act 2016</w:t>
      </w:r>
    </w:p>
    <w:p w14:paraId="00B27949" w14:textId="77777777" w:rsidR="00A51DC4" w:rsidRDefault="00A51DC4" w:rsidP="00A51DC4">
      <w:pPr>
        <w:pStyle w:val="Bullet"/>
      </w:pPr>
      <w:r>
        <w:t>Human Assisted Reproductive Technology Act 2004 (in conjunction with the Ministry of Justice)</w:t>
      </w:r>
    </w:p>
    <w:p w14:paraId="59E39BEB" w14:textId="77777777" w:rsidR="00A51DC4" w:rsidRDefault="00A51DC4" w:rsidP="00A51DC4">
      <w:pPr>
        <w:pStyle w:val="Bullet"/>
      </w:pPr>
      <w:r>
        <w:t>Human Tissue Act 2008</w:t>
      </w:r>
    </w:p>
    <w:p w14:paraId="0BE15B45" w14:textId="77777777" w:rsidR="00A51DC4" w:rsidRDefault="00A51DC4" w:rsidP="00A51DC4">
      <w:pPr>
        <w:pStyle w:val="Bullet"/>
      </w:pPr>
      <w:r>
        <w:t>Intellectual Disability (Compulsory Care and Rehabilitation) Act 2003</w:t>
      </w:r>
    </w:p>
    <w:p w14:paraId="5F771D49" w14:textId="184A66B0" w:rsidR="00A51DC4" w:rsidRDefault="00A51DC4" w:rsidP="00A51DC4">
      <w:pPr>
        <w:pStyle w:val="Bullet"/>
      </w:pPr>
      <w:r>
        <w:lastRenderedPageBreak/>
        <w:t>Medicines Act 1981</w:t>
      </w:r>
    </w:p>
    <w:p w14:paraId="57A9149B" w14:textId="77777777" w:rsidR="00A51DC4" w:rsidRDefault="00A51DC4" w:rsidP="00A51DC4">
      <w:pPr>
        <w:pStyle w:val="Bullet"/>
      </w:pPr>
      <w:r>
        <w:t>Mental Health (Compulsory Assessment and Treatment) Act 1992</w:t>
      </w:r>
    </w:p>
    <w:p w14:paraId="0C886D0E" w14:textId="77777777" w:rsidR="00A51DC4" w:rsidRDefault="00A51DC4" w:rsidP="00A51DC4">
      <w:pPr>
        <w:pStyle w:val="Bullet"/>
      </w:pPr>
      <w:r>
        <w:t>Mental Health and Wellbeing Commission Act 2020</w:t>
      </w:r>
    </w:p>
    <w:p w14:paraId="68CC7764" w14:textId="77777777" w:rsidR="00A51DC4" w:rsidRDefault="00A51DC4" w:rsidP="00A51DC4">
      <w:pPr>
        <w:pStyle w:val="Bullet"/>
      </w:pPr>
      <w:r>
        <w:t>Misuse of Drugs Act 1975</w:t>
      </w:r>
    </w:p>
    <w:p w14:paraId="070D3835" w14:textId="77777777" w:rsidR="00A51DC4" w:rsidRDefault="00A51DC4" w:rsidP="00A51DC4">
      <w:pPr>
        <w:pStyle w:val="Bullet"/>
      </w:pPr>
      <w:r>
        <w:t>New Zealand Public Health and Disability (Waikato DHB) Elections Act 2019</w:t>
      </w:r>
    </w:p>
    <w:p w14:paraId="21320CEB" w14:textId="77777777" w:rsidR="00A51DC4" w:rsidRDefault="00A51DC4" w:rsidP="00A51DC4">
      <w:pPr>
        <w:pStyle w:val="Bullet"/>
      </w:pPr>
      <w:r>
        <w:t>New Zealand Public Health and Disability Act 2000</w:t>
      </w:r>
    </w:p>
    <w:p w14:paraId="182647AC" w14:textId="77777777" w:rsidR="00A51DC4" w:rsidRDefault="00A51DC4" w:rsidP="00A51DC4">
      <w:pPr>
        <w:pStyle w:val="Bullet"/>
      </w:pPr>
      <w:r>
        <w:t>Psychoactive Substances Act 2013</w:t>
      </w:r>
    </w:p>
    <w:p w14:paraId="641DEF0C" w14:textId="1FE30F08" w:rsidR="00A51DC4" w:rsidRDefault="00A51DC4" w:rsidP="00A51DC4">
      <w:pPr>
        <w:pStyle w:val="Bullet"/>
      </w:pPr>
      <w:r>
        <w:t xml:space="preserve"> Radiation Safety Act 2016</w:t>
      </w:r>
    </w:p>
    <w:p w14:paraId="6B689811" w14:textId="77777777" w:rsidR="00A51DC4" w:rsidRDefault="00A51DC4" w:rsidP="00A51DC4">
      <w:pPr>
        <w:pStyle w:val="Bullet"/>
      </w:pPr>
      <w:r>
        <w:t>Residential Care and Disability Support Services Act 2018</w:t>
      </w:r>
    </w:p>
    <w:p w14:paraId="269EB5EB" w14:textId="77777777" w:rsidR="00A51DC4" w:rsidRDefault="00A51DC4" w:rsidP="00A51DC4">
      <w:pPr>
        <w:pStyle w:val="Bullet"/>
      </w:pPr>
      <w:r>
        <w:t>Smokefree Environments and Regulated Products Act 1990</w:t>
      </w:r>
    </w:p>
    <w:p w14:paraId="31B5C805" w14:textId="77777777" w:rsidR="00A51DC4" w:rsidRDefault="00A51DC4" w:rsidP="00A51DC4">
      <w:pPr>
        <w:pStyle w:val="Bullet"/>
      </w:pPr>
      <w:r>
        <w:t>Substance Addiction (Compulsory Assessment and Treatment) Act 2017</w:t>
      </w:r>
    </w:p>
    <w:p w14:paraId="25C744E1" w14:textId="77777777" w:rsidR="00A51DC4" w:rsidRDefault="00A51DC4" w:rsidP="00A51DC4">
      <w:pPr>
        <w:pStyle w:val="Bullet"/>
      </w:pPr>
      <w:r>
        <w:t>Support Workers (Pay Equity) Settlements Act 2017.</w:t>
      </w:r>
    </w:p>
    <w:p w14:paraId="3712CCCC" w14:textId="77777777" w:rsidR="00A51DC4" w:rsidRDefault="00A51DC4" w:rsidP="00A51DC4">
      <w:pPr>
        <w:pStyle w:val="Heading4"/>
      </w:pPr>
      <w:r>
        <w:t>Statutory reporting requirements</w:t>
      </w:r>
    </w:p>
    <w:p w14:paraId="6747772A" w14:textId="77777777" w:rsidR="00A51DC4" w:rsidRDefault="00A51DC4" w:rsidP="00A51DC4">
      <w:pPr>
        <w:pStyle w:val="Heading5"/>
      </w:pPr>
      <w:r>
        <w:t>Health Act 1956</w:t>
      </w:r>
    </w:p>
    <w:p w14:paraId="3BB363EB" w14:textId="3F5FD521" w:rsidR="00A51DC4" w:rsidRDefault="00A51DC4" w:rsidP="00A51DC4">
      <w:r>
        <w:t>The Health Act 1956 sets out the roles and responsibilities of individuals to safeguard public health, including the Minister of Health, the Director of Public Health and designated officers for public health. It contains provisions for environmental health, infectious diseases, health emergencies and the National Cervical Screening Programme.</w:t>
      </w:r>
    </w:p>
    <w:p w14:paraId="5A802B67" w14:textId="77777777" w:rsidR="00A51DC4" w:rsidRDefault="00A51DC4" w:rsidP="00A51DC4"/>
    <w:p w14:paraId="6C0D0A28" w14:textId="020DF526" w:rsidR="00A51DC4" w:rsidRDefault="00A51DC4" w:rsidP="00A51DC4">
      <w:r>
        <w:t>The Health Act 1956 requires the Director-General of Health to report every year on the current state of public health.</w:t>
      </w:r>
    </w:p>
    <w:p w14:paraId="6C826767" w14:textId="77777777" w:rsidR="00A51DC4" w:rsidRDefault="00A51DC4" w:rsidP="00A51DC4"/>
    <w:p w14:paraId="4B4B8DED" w14:textId="61C5C7E4" w:rsidR="00A51DC4" w:rsidRDefault="00A51DC4" w:rsidP="00A51DC4">
      <w:r>
        <w:t>The Minister of Health tables a Health and Independence Report each year in Parliament. The Minister must table the report by the 12th sitting day of the House of Representatives after the date on which the Minister received the report.</w:t>
      </w:r>
    </w:p>
    <w:p w14:paraId="7B924EC4" w14:textId="77777777" w:rsidR="00A51DC4" w:rsidRDefault="00A51DC4" w:rsidP="00A51DC4"/>
    <w:p w14:paraId="2C909E6E" w14:textId="77777777" w:rsidR="00A51DC4" w:rsidRDefault="00A51DC4" w:rsidP="00A51DC4">
      <w:r>
        <w:t>The Health Act 1956 also requires the Director-General to report before 1 July each year on the quality of drinking-water in Aotearoa. The public can access the most recent report through the Ministry’s website.</w:t>
      </w:r>
    </w:p>
    <w:p w14:paraId="431AB9ED" w14:textId="77777777" w:rsidR="00A51DC4" w:rsidRDefault="00A51DC4" w:rsidP="00A51DC4">
      <w:pPr>
        <w:pStyle w:val="Heading5"/>
      </w:pPr>
      <w:r>
        <w:t>New Zealand Public Health and Disability Act 2000</w:t>
      </w:r>
    </w:p>
    <w:p w14:paraId="735B9C60" w14:textId="77777777" w:rsidR="00A51DC4" w:rsidRDefault="00A51DC4" w:rsidP="00A51DC4">
      <w:r>
        <w:t>Please note, on 1 July 2022 the New Zealand Public Health and Disability Act 2000 (NZPHDA) was repealed and replaced by the Pae Ora (Healthy Futures) Act 2022. We have included the NZPHDA in this report as it was in effect during the reporting period 1 July 2021 – 30 June 2022. We will detail the obligations for Pae Ora (Healthy Futures) Act 2022 in the 2022/23 annual report.</w:t>
      </w:r>
    </w:p>
    <w:p w14:paraId="1C8B0291" w14:textId="77777777" w:rsidR="00A51DC4" w:rsidRDefault="00A51DC4" w:rsidP="00A51DC4"/>
    <w:p w14:paraId="1BEE398A" w14:textId="36E4A659" w:rsidR="00A51DC4" w:rsidRDefault="00A51DC4" w:rsidP="00A51DC4">
      <w:r>
        <w:t>The New Zealand Public Health and Disability Act 2000 establishes the structure underlying the public sector funding model and the organisation of health and disability services. It established district health boards (DHBs) and certain health Crown entities and sets out the duties and roles of key participants, including the Minister of Health and ministerial advisory committees.</w:t>
      </w:r>
    </w:p>
    <w:p w14:paraId="7CCE6298" w14:textId="77777777" w:rsidR="00A51DC4" w:rsidRDefault="00A51DC4" w:rsidP="00A51DC4"/>
    <w:p w14:paraId="60406140" w14:textId="0B2FE4F3" w:rsidR="00A51DC4" w:rsidRDefault="00A51DC4" w:rsidP="00A51DC4">
      <w:r>
        <w:lastRenderedPageBreak/>
        <w:t>The New Zealand Public Health and Disability Act 2000 required the Minister of Health to report every year on the implementation of the New Zealand Health Strategy, the New Zealand Disability Strategy and the National Strategy for Quality Improvement. The Minister must make the report public and present it to the House of Representatives as soon as practicable after the report has been made.</w:t>
      </w:r>
    </w:p>
    <w:p w14:paraId="3DB8D957" w14:textId="77777777" w:rsidR="00A51DC4" w:rsidRDefault="00A51DC4" w:rsidP="00A51DC4">
      <w:pPr>
        <w:pStyle w:val="Heading5"/>
      </w:pPr>
      <w:r>
        <w:t>Public Finance Act 1989</w:t>
      </w:r>
    </w:p>
    <w:p w14:paraId="7776BE49" w14:textId="235F2CC3" w:rsidR="00A51DC4" w:rsidRDefault="00A51DC4" w:rsidP="00A51DC4">
      <w:r>
        <w:t>Section 19B of the Public Finance Act 1989 requires the Minister of Health to report every year on end-of-year performance information on any Vote Health appropriations that third-party health sector service providers with direct funding from Manatū Hauora deliver, where that information is not covered in other reporting to Parliament.</w:t>
      </w:r>
    </w:p>
    <w:p w14:paraId="1544F881" w14:textId="77777777" w:rsidR="00A51DC4" w:rsidRDefault="00A51DC4" w:rsidP="00A51DC4"/>
    <w:p w14:paraId="216EF500" w14:textId="77777777" w:rsidR="00A51DC4" w:rsidRDefault="00A51DC4" w:rsidP="00A51DC4">
      <w:r>
        <w:t>The Minister of Health is responsible for presenting the Vote Health Report on selected non-departmental appropriations for the previous financial year (1 July – 30 June) to Parliament within 4 months of the end of the financial year. If Parliament is not in session during this time, the tabling process must occur as soon as possible after the start of the next session of Parliament.</w:t>
      </w:r>
    </w:p>
    <w:p w14:paraId="38B9CBDB" w14:textId="77777777" w:rsidR="00A51DC4" w:rsidRDefault="00A51DC4" w:rsidP="00A51DC4">
      <w:pPr>
        <w:pStyle w:val="Heading5"/>
      </w:pPr>
      <w:r>
        <w:t>Public Service Act 2020</w:t>
      </w:r>
    </w:p>
    <w:p w14:paraId="4ACE55A4" w14:textId="11FE212B" w:rsidR="00A51DC4" w:rsidRDefault="00A51DC4" w:rsidP="00A51DC4">
      <w:r>
        <w:t>The Border Executive Board was established under the Public Service Act 2020 as an Interdepartmental Executive Board. Its purpose is to ensure the delivery of a safe, integrated and effective border system for Aotearoa.</w:t>
      </w:r>
    </w:p>
    <w:p w14:paraId="5D4B19DA" w14:textId="77777777" w:rsidR="00A51DC4" w:rsidRDefault="00A51DC4" w:rsidP="00A51DC4"/>
    <w:p w14:paraId="68B8608C" w14:textId="77777777" w:rsidR="00A51DC4" w:rsidRDefault="00A51DC4" w:rsidP="00A51DC4">
      <w:r>
        <w:t>The New Zealand Customs Service hosts the Border Executive Board. the Ministry of Health’s Chief Executive is one of the Board’s 6 members. For more information about the Border Executive Board, including membership and publications, please visit customs.govt. nz/about-us/border-executive-board.</w:t>
      </w:r>
    </w:p>
    <w:p w14:paraId="045CD140" w14:textId="77777777" w:rsidR="00A51DC4" w:rsidRDefault="00A51DC4" w:rsidP="00A51DC4">
      <w:pPr>
        <w:pStyle w:val="Heading4"/>
      </w:pPr>
      <w:r>
        <w:t>Other regulatory roles and obligations</w:t>
      </w:r>
    </w:p>
    <w:p w14:paraId="4EE5AAAD" w14:textId="252BB8FB" w:rsidR="00A51DC4" w:rsidRDefault="00A51DC4" w:rsidP="00A51DC4">
      <w:r>
        <w:t>In addition to administering the legislation outlined above, key roles within our organisation (such as the Directors of Public Health and Mental Health) have specific statutory powers and functions contained in other pieces of legislation that we do not administer:</w:t>
      </w:r>
    </w:p>
    <w:p w14:paraId="449B799F" w14:textId="77777777" w:rsidR="00A51DC4" w:rsidRDefault="00A51DC4" w:rsidP="00A51DC4">
      <w:pPr>
        <w:pStyle w:val="Bullet"/>
      </w:pPr>
      <w:r>
        <w:t>Biosecurity Act 1993</w:t>
      </w:r>
    </w:p>
    <w:p w14:paraId="1B95A4A0" w14:textId="77777777" w:rsidR="00A51DC4" w:rsidRDefault="00A51DC4" w:rsidP="00A51DC4">
      <w:pPr>
        <w:pStyle w:val="Bullet"/>
      </w:pPr>
      <w:r>
        <w:t>Civil Defence Emergency Management Act 2002</w:t>
      </w:r>
    </w:p>
    <w:p w14:paraId="56D95C20" w14:textId="77777777" w:rsidR="00A51DC4" w:rsidRDefault="00A51DC4" w:rsidP="00A51DC4">
      <w:pPr>
        <w:pStyle w:val="Bullet"/>
      </w:pPr>
      <w:r>
        <w:t>Education and Training Act 2020</w:t>
      </w:r>
    </w:p>
    <w:p w14:paraId="6BB014D5" w14:textId="77777777" w:rsidR="00A51DC4" w:rsidRDefault="00A51DC4" w:rsidP="00A51DC4">
      <w:pPr>
        <w:pStyle w:val="Bullet"/>
      </w:pPr>
      <w:r>
        <w:t>Food Act 2014</w:t>
      </w:r>
    </w:p>
    <w:p w14:paraId="5D1C2E15" w14:textId="77777777" w:rsidR="00A51DC4" w:rsidRDefault="00A51DC4" w:rsidP="00A51DC4">
      <w:pPr>
        <w:pStyle w:val="Bullet"/>
      </w:pPr>
      <w:r>
        <w:t>Gambling Act 2003</w:t>
      </w:r>
    </w:p>
    <w:p w14:paraId="1D20BB77" w14:textId="77777777" w:rsidR="00A51DC4" w:rsidRDefault="00A51DC4" w:rsidP="00A51DC4">
      <w:pPr>
        <w:pStyle w:val="Bullet"/>
      </w:pPr>
      <w:r>
        <w:t>Hazardous Substances and New Organisms Act 1996</w:t>
      </w:r>
    </w:p>
    <w:p w14:paraId="0BC483EC" w14:textId="77777777" w:rsidR="00A51DC4" w:rsidRDefault="00A51DC4" w:rsidP="00A51DC4">
      <w:pPr>
        <w:pStyle w:val="Bullet"/>
      </w:pPr>
      <w:r>
        <w:t>Local Government Act 1974</w:t>
      </w:r>
    </w:p>
    <w:p w14:paraId="2F57972B" w14:textId="15393D10" w:rsidR="00A51DC4" w:rsidRDefault="00A51DC4" w:rsidP="00A51DC4">
      <w:pPr>
        <w:pStyle w:val="Bullet"/>
      </w:pPr>
      <w:r>
        <w:t xml:space="preserve"> Local Government Act 2002</w:t>
      </w:r>
    </w:p>
    <w:p w14:paraId="4E4F0B30" w14:textId="77777777" w:rsidR="00A51DC4" w:rsidRDefault="00A51DC4" w:rsidP="00A51DC4">
      <w:pPr>
        <w:pStyle w:val="Bullet"/>
      </w:pPr>
      <w:r>
        <w:t>Maritime Security Act 2004</w:t>
      </w:r>
    </w:p>
    <w:p w14:paraId="496CFD9D" w14:textId="77777777" w:rsidR="00A51DC4" w:rsidRDefault="00A51DC4" w:rsidP="00A51DC4">
      <w:pPr>
        <w:pStyle w:val="Bullet"/>
      </w:pPr>
      <w:r>
        <w:t>Prostitution Reform Act 2003</w:t>
      </w:r>
    </w:p>
    <w:p w14:paraId="754A4D51" w14:textId="77777777" w:rsidR="00A51DC4" w:rsidRDefault="00A51DC4" w:rsidP="00A51DC4">
      <w:pPr>
        <w:pStyle w:val="Bullet"/>
      </w:pPr>
      <w:r>
        <w:t>Public Service Act 2020</w:t>
      </w:r>
    </w:p>
    <w:p w14:paraId="3E852219" w14:textId="77777777" w:rsidR="00A51DC4" w:rsidRDefault="00A51DC4" w:rsidP="00A51DC4">
      <w:pPr>
        <w:pStyle w:val="Bullet"/>
      </w:pPr>
      <w:r>
        <w:lastRenderedPageBreak/>
        <w:t>Sale and Supply of Alcohol Act 2012</w:t>
      </w:r>
    </w:p>
    <w:p w14:paraId="1479F4B9" w14:textId="77777777" w:rsidR="00A51DC4" w:rsidRDefault="00A51DC4" w:rsidP="00A51DC4">
      <w:pPr>
        <w:pStyle w:val="Bullet"/>
      </w:pPr>
      <w:r>
        <w:t>Social Security Act 2018</w:t>
      </w:r>
    </w:p>
    <w:p w14:paraId="25AE164E" w14:textId="77777777" w:rsidR="00A51DC4" w:rsidRDefault="00A51DC4" w:rsidP="00A51DC4">
      <w:pPr>
        <w:pStyle w:val="Bullet"/>
      </w:pPr>
      <w:r>
        <w:t>Victims’ Rights Act 2002</w:t>
      </w:r>
    </w:p>
    <w:p w14:paraId="1A02DF14" w14:textId="77777777" w:rsidR="00A51DC4" w:rsidRDefault="00A51DC4" w:rsidP="00A51DC4">
      <w:pPr>
        <w:pStyle w:val="Bullet"/>
      </w:pPr>
      <w:r>
        <w:t>Waste Minimisation Act 2008.</w:t>
      </w:r>
    </w:p>
    <w:p w14:paraId="42E3C336" w14:textId="77777777" w:rsidR="00A51DC4" w:rsidRDefault="00A51DC4" w:rsidP="00A51DC4"/>
    <w:p w14:paraId="3D2D5EB4" w14:textId="77777777" w:rsidR="00A51DC4" w:rsidRDefault="00A51DC4" w:rsidP="00A51DC4">
      <w:r>
        <w:t>Please note, the legislation listed above are examples illustrating where these powers and functions can be found. This list may not be exhaustive.</w:t>
      </w:r>
    </w:p>
    <w:p w14:paraId="1096EDD8" w14:textId="77777777" w:rsidR="00A51DC4" w:rsidRDefault="00A51DC4" w:rsidP="00406B11">
      <w:pPr>
        <w:pStyle w:val="Heading4"/>
      </w:pPr>
      <w:r>
        <w:t>Additional statutory reporting requirements</w:t>
      </w:r>
    </w:p>
    <w:p w14:paraId="5DF9FC4E" w14:textId="77777777" w:rsidR="00A51DC4" w:rsidRDefault="00A51DC4" w:rsidP="00A51DC4">
      <w:r>
        <w:t>The Minister of Finance has not specified any additional reporting requirements.</w:t>
      </w:r>
    </w:p>
    <w:p w14:paraId="33DEEF2D" w14:textId="77777777" w:rsidR="00A51DC4" w:rsidRPr="00406B11" w:rsidRDefault="00A51DC4" w:rsidP="00406B11">
      <w:pPr>
        <w:pStyle w:val="Heading4"/>
      </w:pPr>
      <w:r w:rsidRPr="00406B11">
        <w:t>International compliance</w:t>
      </w:r>
    </w:p>
    <w:p w14:paraId="0A8A565C" w14:textId="63688F16" w:rsidR="00A51DC4" w:rsidRDefault="00A51DC4" w:rsidP="00A51DC4">
      <w:r>
        <w:t>The Ministry helps the New Zealand Government comply with international obligations by actively supporting and participating in international organisations (such as the World Health Organization).</w:t>
      </w:r>
    </w:p>
    <w:p w14:paraId="3D46274B" w14:textId="77777777" w:rsidR="00A51DC4" w:rsidRDefault="00A51DC4" w:rsidP="00A51DC4"/>
    <w:p w14:paraId="781FC60F" w14:textId="77777777" w:rsidR="00A51DC4" w:rsidRDefault="00A51DC4" w:rsidP="00A51DC4">
      <w:r>
        <w:t>The Ministry also ensures Aotearoa New Zealand complies with international requirements, such as the International Health Regulations (2005) and the Framework Convention on Tobacco Control, as well as a range of United Nations conventions.</w:t>
      </w:r>
    </w:p>
    <w:p w14:paraId="75FE27F4" w14:textId="77777777" w:rsidR="00A51DC4" w:rsidRPr="00406B11" w:rsidRDefault="00A51DC4" w:rsidP="00406B11">
      <w:pPr>
        <w:pStyle w:val="Heading4"/>
      </w:pPr>
      <w:r w:rsidRPr="00406B11">
        <w:t>Web resources</w:t>
      </w:r>
    </w:p>
    <w:p w14:paraId="324FBB3F" w14:textId="1B75D1A4" w:rsidR="00A51DC4" w:rsidRDefault="00A51DC4" w:rsidP="00A51DC4">
      <w:r>
        <w:t xml:space="preserve">To search and access publications we produce, please refer to </w:t>
      </w:r>
      <w:hyperlink r:id="rId43" w:history="1">
        <w:r w:rsidRPr="00A51DC4">
          <w:rPr>
            <w:rStyle w:val="Hyperlink"/>
          </w:rPr>
          <w:t>health.govt.nz/publications</w:t>
        </w:r>
      </w:hyperlink>
    </w:p>
    <w:p w14:paraId="79735472" w14:textId="77777777" w:rsidR="00A51DC4" w:rsidRDefault="00A51DC4" w:rsidP="00A51DC4"/>
    <w:p w14:paraId="37CF2040" w14:textId="30D759DF" w:rsidR="00A51DC4" w:rsidRDefault="00A51DC4" w:rsidP="00A51DC4">
      <w:r>
        <w:t xml:space="preserve">For information on regulations administered by the Ministry, please refer to </w:t>
      </w:r>
      <w:hyperlink r:id="rId44" w:history="1">
        <w:r w:rsidRPr="00A51DC4">
          <w:rPr>
            <w:rStyle w:val="Hyperlink"/>
          </w:rPr>
          <w:t>health.govt.nz/our-work/regulation-health-and-disability-system</w:t>
        </w:r>
      </w:hyperlink>
    </w:p>
    <w:p w14:paraId="171D6708" w14:textId="77777777" w:rsidR="00A51DC4" w:rsidRDefault="00A51DC4" w:rsidP="00A51DC4"/>
    <w:p w14:paraId="1EE19E6D" w14:textId="77777777" w:rsidR="00406B11" w:rsidRDefault="00A51DC4" w:rsidP="00A51DC4">
      <w:pPr>
        <w:sectPr w:rsidR="00406B11" w:rsidSect="00C26282">
          <w:pgSz w:w="11907" w:h="16840" w:code="9"/>
          <w:pgMar w:top="1418" w:right="1701" w:bottom="1134" w:left="1843" w:header="284" w:footer="425" w:gutter="284"/>
          <w:cols w:space="720"/>
        </w:sectPr>
      </w:pPr>
      <w:r>
        <w:t xml:space="preserve">To view a complete list of searchable copies of the Acts and associated regulations administered by the Ministry, please visit </w:t>
      </w:r>
      <w:hyperlink r:id="rId45" w:history="1">
        <w:r w:rsidRPr="00A51DC4">
          <w:rPr>
            <w:rStyle w:val="Hyperlink"/>
          </w:rPr>
          <w:t>legislation.govt.nz</w:t>
        </w:r>
      </w:hyperlink>
    </w:p>
    <w:p w14:paraId="2BDCFE5D" w14:textId="5D4AAD64" w:rsidR="00406B11" w:rsidRDefault="00406B11" w:rsidP="00406B11">
      <w:pPr>
        <w:pStyle w:val="Heading2"/>
        <w:spacing w:before="0"/>
      </w:pPr>
      <w:bookmarkStart w:id="79" w:name="_Toc117264985"/>
      <w:r>
        <w:lastRenderedPageBreak/>
        <w:t>Appendix 5: Asset performance indicators</w:t>
      </w:r>
      <w:bookmarkEnd w:id="79"/>
    </w:p>
    <w:p w14:paraId="581711DF" w14:textId="0D541382" w:rsidR="00406B11" w:rsidRDefault="00406B11" w:rsidP="00406B11">
      <w:r>
        <w:t>The Aotearoa New Zealand Government’s Cabinet Office Circular CO(19)6 outlines the expectations of government departments to monitor and report on asset performance indicators in their annual report.</w:t>
      </w:r>
    </w:p>
    <w:p w14:paraId="6D7D1939" w14:textId="77777777" w:rsidR="00406B11" w:rsidRDefault="00406B11" w:rsidP="00406B11"/>
    <w:p w14:paraId="08157AEC" w14:textId="77777777" w:rsidR="00406B11" w:rsidRDefault="00406B11" w:rsidP="00406B11">
      <w:r>
        <w:t>The following table outlines these indicators and provides additional information on the indicators, if applicable.</w:t>
      </w:r>
    </w:p>
    <w:p w14:paraId="1A49EC24" w14:textId="77777777" w:rsidR="00A51DC4" w:rsidRDefault="00406B11" w:rsidP="00406B11">
      <w:pPr>
        <w:pStyle w:val="Heading4"/>
      </w:pPr>
      <w:r>
        <w:t>Asset performance indicator results for property</w:t>
      </w:r>
    </w:p>
    <w:tbl>
      <w:tblPr>
        <w:tblpPr w:leftFromText="180" w:rightFromText="180" w:vertAnchor="text" w:horzAnchor="margin" w:tblpY="-62"/>
        <w:tblW w:w="836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410"/>
        <w:gridCol w:w="1276"/>
        <w:gridCol w:w="935"/>
        <w:gridCol w:w="936"/>
        <w:gridCol w:w="935"/>
        <w:gridCol w:w="936"/>
        <w:gridCol w:w="936"/>
      </w:tblGrid>
      <w:tr w:rsidR="00406B11" w14:paraId="648D1D7D" w14:textId="77777777" w:rsidTr="00406B11">
        <w:trPr>
          <w:trHeight w:val="589"/>
        </w:trPr>
        <w:tc>
          <w:tcPr>
            <w:tcW w:w="2410" w:type="dxa"/>
            <w:tcBorders>
              <w:top w:val="nil"/>
              <w:bottom w:val="nil"/>
            </w:tcBorders>
            <w:shd w:val="clear" w:color="auto" w:fill="D9D9D9" w:themeFill="background1" w:themeFillShade="D9"/>
          </w:tcPr>
          <w:p w14:paraId="29CC432F" w14:textId="77777777" w:rsidR="00406B11" w:rsidRPr="00406B11" w:rsidRDefault="00406B11" w:rsidP="00406B11">
            <w:pPr>
              <w:pStyle w:val="TableText"/>
              <w:rPr>
                <w:b/>
                <w:bCs/>
              </w:rPr>
            </w:pPr>
            <w:r w:rsidRPr="00406B11">
              <w:rPr>
                <w:b/>
                <w:bCs/>
                <w:w w:val="110"/>
              </w:rPr>
              <w:t>Indicator</w:t>
            </w:r>
          </w:p>
        </w:tc>
        <w:tc>
          <w:tcPr>
            <w:tcW w:w="1276" w:type="dxa"/>
            <w:tcBorders>
              <w:top w:val="nil"/>
              <w:bottom w:val="nil"/>
            </w:tcBorders>
            <w:shd w:val="clear" w:color="auto" w:fill="D9D9D9" w:themeFill="background1" w:themeFillShade="D9"/>
          </w:tcPr>
          <w:p w14:paraId="1C3A2A28" w14:textId="2C56477A" w:rsidR="00406B11" w:rsidRPr="00406B11" w:rsidRDefault="00406B11" w:rsidP="00406B11">
            <w:pPr>
              <w:pStyle w:val="TableText"/>
              <w:rPr>
                <w:b/>
                <w:bCs/>
              </w:rPr>
            </w:pPr>
            <w:r w:rsidRPr="00406B11">
              <w:rPr>
                <w:b/>
                <w:bCs/>
                <w:w w:val="110"/>
              </w:rPr>
              <w:t>Indicator</w:t>
            </w:r>
            <w:r w:rsidRPr="00406B11">
              <w:rPr>
                <w:b/>
                <w:bCs/>
                <w:spacing w:val="-53"/>
                <w:w w:val="110"/>
              </w:rPr>
              <w:t xml:space="preserve"> </w:t>
            </w:r>
            <w:r>
              <w:rPr>
                <w:b/>
                <w:bCs/>
                <w:spacing w:val="-53"/>
                <w:w w:val="110"/>
              </w:rPr>
              <w:br/>
            </w:r>
            <w:r w:rsidRPr="00406B11">
              <w:rPr>
                <w:b/>
                <w:bCs/>
                <w:w w:val="110"/>
              </w:rPr>
              <w:t>type</w:t>
            </w:r>
          </w:p>
        </w:tc>
        <w:tc>
          <w:tcPr>
            <w:tcW w:w="935" w:type="dxa"/>
            <w:tcBorders>
              <w:top w:val="nil"/>
              <w:bottom w:val="nil"/>
            </w:tcBorders>
            <w:shd w:val="clear" w:color="auto" w:fill="D9D9D9" w:themeFill="background1" w:themeFillShade="D9"/>
          </w:tcPr>
          <w:p w14:paraId="7E701054" w14:textId="77777777" w:rsidR="00406B11" w:rsidRPr="00406B11" w:rsidRDefault="00406B11" w:rsidP="00406B11">
            <w:pPr>
              <w:pStyle w:val="TableText"/>
              <w:jc w:val="right"/>
              <w:rPr>
                <w:b/>
                <w:bCs/>
              </w:rPr>
            </w:pPr>
            <w:r w:rsidRPr="00406B11">
              <w:rPr>
                <w:b/>
                <w:bCs/>
                <w:w w:val="110"/>
              </w:rPr>
              <w:t>Actual</w:t>
            </w:r>
            <w:r w:rsidRPr="00406B11">
              <w:rPr>
                <w:b/>
                <w:bCs/>
                <w:spacing w:val="-53"/>
                <w:w w:val="110"/>
              </w:rPr>
              <w:t xml:space="preserve"> </w:t>
            </w:r>
            <w:r w:rsidRPr="00406B11">
              <w:rPr>
                <w:b/>
                <w:bCs/>
                <w:w w:val="105"/>
              </w:rPr>
              <w:t>2019/20</w:t>
            </w:r>
          </w:p>
        </w:tc>
        <w:tc>
          <w:tcPr>
            <w:tcW w:w="936" w:type="dxa"/>
            <w:tcBorders>
              <w:top w:val="nil"/>
              <w:bottom w:val="nil"/>
            </w:tcBorders>
            <w:shd w:val="clear" w:color="auto" w:fill="D9D9D9" w:themeFill="background1" w:themeFillShade="D9"/>
          </w:tcPr>
          <w:p w14:paraId="2C2F5184" w14:textId="77777777" w:rsidR="00406B11" w:rsidRPr="00406B11" w:rsidRDefault="00406B11" w:rsidP="00406B11">
            <w:pPr>
              <w:pStyle w:val="TableText"/>
              <w:jc w:val="right"/>
              <w:rPr>
                <w:b/>
                <w:bCs/>
              </w:rPr>
            </w:pPr>
            <w:r w:rsidRPr="00406B11">
              <w:rPr>
                <w:b/>
                <w:bCs/>
                <w:w w:val="110"/>
              </w:rPr>
              <w:t>Actual</w:t>
            </w:r>
            <w:r w:rsidRPr="00406B11">
              <w:rPr>
                <w:b/>
                <w:bCs/>
                <w:spacing w:val="-53"/>
                <w:w w:val="110"/>
              </w:rPr>
              <w:t xml:space="preserve"> </w:t>
            </w:r>
            <w:r w:rsidRPr="00406B11">
              <w:rPr>
                <w:b/>
                <w:bCs/>
                <w:w w:val="105"/>
              </w:rPr>
              <w:t>2020/21</w:t>
            </w:r>
          </w:p>
        </w:tc>
        <w:tc>
          <w:tcPr>
            <w:tcW w:w="935" w:type="dxa"/>
            <w:tcBorders>
              <w:top w:val="nil"/>
              <w:bottom w:val="nil"/>
            </w:tcBorders>
            <w:shd w:val="clear" w:color="auto" w:fill="D9D9D9" w:themeFill="background1" w:themeFillShade="D9"/>
          </w:tcPr>
          <w:p w14:paraId="2E56F71E" w14:textId="77777777" w:rsidR="00406B11" w:rsidRPr="00406B11" w:rsidRDefault="00406B11" w:rsidP="00406B11">
            <w:pPr>
              <w:pStyle w:val="TableText"/>
              <w:jc w:val="right"/>
              <w:rPr>
                <w:b/>
                <w:bCs/>
              </w:rPr>
            </w:pPr>
            <w:r w:rsidRPr="00406B11">
              <w:rPr>
                <w:b/>
                <w:bCs/>
                <w:w w:val="105"/>
              </w:rPr>
              <w:t>Target</w:t>
            </w:r>
            <w:r w:rsidRPr="00406B11">
              <w:rPr>
                <w:b/>
                <w:bCs/>
                <w:spacing w:val="-50"/>
                <w:w w:val="105"/>
              </w:rPr>
              <w:t xml:space="preserve"> </w:t>
            </w:r>
            <w:r w:rsidRPr="00406B11">
              <w:rPr>
                <w:b/>
                <w:bCs/>
              </w:rPr>
              <w:t>2021/22</w:t>
            </w:r>
          </w:p>
        </w:tc>
        <w:tc>
          <w:tcPr>
            <w:tcW w:w="936" w:type="dxa"/>
            <w:tcBorders>
              <w:top w:val="nil"/>
              <w:bottom w:val="nil"/>
            </w:tcBorders>
            <w:shd w:val="clear" w:color="auto" w:fill="D9D9D9" w:themeFill="background1" w:themeFillShade="D9"/>
          </w:tcPr>
          <w:p w14:paraId="5952FC49" w14:textId="77777777" w:rsidR="00406B11" w:rsidRPr="00406B11" w:rsidRDefault="00406B11" w:rsidP="00406B11">
            <w:pPr>
              <w:pStyle w:val="TableText"/>
              <w:jc w:val="right"/>
              <w:rPr>
                <w:b/>
                <w:bCs/>
              </w:rPr>
            </w:pPr>
            <w:r w:rsidRPr="00406B11">
              <w:rPr>
                <w:b/>
                <w:bCs/>
                <w:w w:val="105"/>
              </w:rPr>
              <w:t>Actual</w:t>
            </w:r>
            <w:r w:rsidRPr="00406B11">
              <w:rPr>
                <w:b/>
                <w:bCs/>
                <w:spacing w:val="-50"/>
                <w:w w:val="105"/>
              </w:rPr>
              <w:t xml:space="preserve"> </w:t>
            </w:r>
            <w:r w:rsidRPr="00406B11">
              <w:rPr>
                <w:b/>
                <w:bCs/>
              </w:rPr>
              <w:t>2021/22</w:t>
            </w:r>
          </w:p>
        </w:tc>
        <w:tc>
          <w:tcPr>
            <w:tcW w:w="936" w:type="dxa"/>
            <w:tcBorders>
              <w:top w:val="nil"/>
              <w:bottom w:val="nil"/>
            </w:tcBorders>
            <w:shd w:val="clear" w:color="auto" w:fill="D9D9D9" w:themeFill="background1" w:themeFillShade="D9"/>
          </w:tcPr>
          <w:p w14:paraId="5FA553CF" w14:textId="77777777" w:rsidR="00406B11" w:rsidRPr="00406B11" w:rsidRDefault="00406B11" w:rsidP="00406B11">
            <w:pPr>
              <w:pStyle w:val="TableText"/>
              <w:jc w:val="right"/>
              <w:rPr>
                <w:b/>
                <w:bCs/>
              </w:rPr>
            </w:pPr>
            <w:r w:rsidRPr="00406B11">
              <w:rPr>
                <w:b/>
                <w:bCs/>
                <w:spacing w:val="-3"/>
                <w:w w:val="110"/>
              </w:rPr>
              <w:t xml:space="preserve">At </w:t>
            </w:r>
            <w:r w:rsidRPr="00406B11">
              <w:rPr>
                <w:b/>
                <w:bCs/>
                <w:spacing w:val="-2"/>
                <w:w w:val="110"/>
              </w:rPr>
              <w:t>a</w:t>
            </w:r>
            <w:r w:rsidRPr="00406B11">
              <w:rPr>
                <w:b/>
                <w:bCs/>
                <w:spacing w:val="-53"/>
                <w:w w:val="110"/>
              </w:rPr>
              <w:t xml:space="preserve"> </w:t>
            </w:r>
            <w:r w:rsidRPr="00406B11">
              <w:rPr>
                <w:b/>
                <w:bCs/>
                <w:w w:val="110"/>
              </w:rPr>
              <w:t>glance</w:t>
            </w:r>
          </w:p>
        </w:tc>
      </w:tr>
      <w:tr w:rsidR="003E61A2" w14:paraId="4AD01F01" w14:textId="77777777" w:rsidTr="00406B11">
        <w:trPr>
          <w:trHeight w:val="823"/>
        </w:trPr>
        <w:tc>
          <w:tcPr>
            <w:tcW w:w="2410" w:type="dxa"/>
            <w:tcBorders>
              <w:top w:val="nil"/>
            </w:tcBorders>
          </w:tcPr>
          <w:p w14:paraId="14B136D4" w14:textId="77777777" w:rsidR="003E61A2" w:rsidRDefault="003E61A2" w:rsidP="003E61A2">
            <w:pPr>
              <w:pStyle w:val="TableText"/>
            </w:pPr>
            <w:r>
              <w:t>Percentage</w:t>
            </w:r>
            <w:r>
              <w:rPr>
                <w:spacing w:val="4"/>
              </w:rPr>
              <w:t xml:space="preserve"> </w:t>
            </w:r>
            <w:r>
              <w:t>of</w:t>
            </w:r>
            <w:r>
              <w:rPr>
                <w:spacing w:val="5"/>
              </w:rPr>
              <w:t xml:space="preserve"> </w:t>
            </w:r>
            <w:r>
              <w:t>buildings</w:t>
            </w:r>
            <w:r>
              <w:rPr>
                <w:spacing w:val="5"/>
              </w:rPr>
              <w:t xml:space="preserve"> </w:t>
            </w:r>
            <w:r>
              <w:t>with</w:t>
            </w:r>
            <w:r>
              <w:rPr>
                <w:spacing w:val="5"/>
              </w:rPr>
              <w:t xml:space="preserve"> </w:t>
            </w:r>
            <w:r>
              <w:t>a</w:t>
            </w:r>
            <w:r>
              <w:rPr>
                <w:spacing w:val="1"/>
              </w:rPr>
              <w:t xml:space="preserve"> </w:t>
            </w:r>
            <w:r>
              <w:t>Property Council of NZ Grade of C</w:t>
            </w:r>
            <w:r>
              <w:rPr>
                <w:spacing w:val="-47"/>
              </w:rPr>
              <w:t xml:space="preserve"> </w:t>
            </w:r>
            <w:r>
              <w:t>or</w:t>
            </w:r>
            <w:r>
              <w:rPr>
                <w:spacing w:val="-3"/>
              </w:rPr>
              <w:t xml:space="preserve"> </w:t>
            </w:r>
            <w:r>
              <w:t>better</w:t>
            </w:r>
            <w:r>
              <w:rPr>
                <w:spacing w:val="-2"/>
              </w:rPr>
              <w:t xml:space="preserve"> </w:t>
            </w:r>
            <w:r>
              <w:t>(Note</w:t>
            </w:r>
            <w:r>
              <w:rPr>
                <w:spacing w:val="-2"/>
              </w:rPr>
              <w:t xml:space="preserve"> </w:t>
            </w:r>
            <w:r>
              <w:t>1)</w:t>
            </w:r>
          </w:p>
        </w:tc>
        <w:tc>
          <w:tcPr>
            <w:tcW w:w="1276" w:type="dxa"/>
            <w:tcBorders>
              <w:top w:val="nil"/>
            </w:tcBorders>
          </w:tcPr>
          <w:p w14:paraId="6D912480" w14:textId="77777777" w:rsidR="003E61A2" w:rsidRDefault="003E61A2" w:rsidP="003E61A2">
            <w:pPr>
              <w:pStyle w:val="TableText"/>
            </w:pPr>
            <w:r>
              <w:t>Condition</w:t>
            </w:r>
          </w:p>
        </w:tc>
        <w:tc>
          <w:tcPr>
            <w:tcW w:w="935" w:type="dxa"/>
            <w:tcBorders>
              <w:top w:val="nil"/>
            </w:tcBorders>
          </w:tcPr>
          <w:p w14:paraId="74323942" w14:textId="77777777" w:rsidR="003E61A2" w:rsidRDefault="003E61A2" w:rsidP="003E61A2">
            <w:pPr>
              <w:pStyle w:val="TableText"/>
              <w:jc w:val="right"/>
            </w:pPr>
            <w:r>
              <w:rPr>
                <w:w w:val="105"/>
              </w:rPr>
              <w:t>89%</w:t>
            </w:r>
          </w:p>
        </w:tc>
        <w:tc>
          <w:tcPr>
            <w:tcW w:w="936" w:type="dxa"/>
            <w:tcBorders>
              <w:top w:val="nil"/>
            </w:tcBorders>
          </w:tcPr>
          <w:p w14:paraId="45CB956F" w14:textId="77777777" w:rsidR="003E61A2" w:rsidRDefault="003E61A2" w:rsidP="003E61A2">
            <w:pPr>
              <w:pStyle w:val="TableText"/>
              <w:jc w:val="right"/>
            </w:pPr>
            <w:r>
              <w:t>91%</w:t>
            </w:r>
          </w:p>
        </w:tc>
        <w:tc>
          <w:tcPr>
            <w:tcW w:w="935" w:type="dxa"/>
            <w:tcBorders>
              <w:top w:val="nil"/>
            </w:tcBorders>
          </w:tcPr>
          <w:p w14:paraId="2E3091ED" w14:textId="77777777" w:rsidR="003E61A2" w:rsidRDefault="003E61A2" w:rsidP="003E61A2">
            <w:pPr>
              <w:pStyle w:val="TableText"/>
              <w:jc w:val="right"/>
            </w:pPr>
            <w:r>
              <w:rPr>
                <w:w w:val="105"/>
              </w:rPr>
              <w:t>&gt;80%</w:t>
            </w:r>
          </w:p>
        </w:tc>
        <w:tc>
          <w:tcPr>
            <w:tcW w:w="936" w:type="dxa"/>
            <w:tcBorders>
              <w:top w:val="nil"/>
            </w:tcBorders>
          </w:tcPr>
          <w:p w14:paraId="185AF955" w14:textId="77777777" w:rsidR="003E61A2" w:rsidRDefault="003E61A2" w:rsidP="003E61A2">
            <w:pPr>
              <w:pStyle w:val="TableText"/>
              <w:jc w:val="right"/>
            </w:pPr>
            <w:r>
              <w:t>91.7%</w:t>
            </w:r>
          </w:p>
        </w:tc>
        <w:tc>
          <w:tcPr>
            <w:tcW w:w="936" w:type="dxa"/>
            <w:tcBorders>
              <w:top w:val="nil"/>
            </w:tcBorders>
          </w:tcPr>
          <w:p w14:paraId="751BE93F" w14:textId="61E3FEDE" w:rsidR="003E61A2" w:rsidRPr="003E61A2" w:rsidRDefault="003E61A2" w:rsidP="003E61A2">
            <w:pPr>
              <w:pStyle w:val="TableText"/>
              <w:jc w:val="right"/>
            </w:pPr>
            <w:r w:rsidRPr="007D35C3">
              <w:rPr>
                <w:b/>
                <w:bCs/>
              </w:rPr>
              <w:sym w:font="Wingdings" w:char="F0FC"/>
            </w:r>
          </w:p>
        </w:tc>
      </w:tr>
      <w:tr w:rsidR="003E61A2" w14:paraId="5C228670" w14:textId="77777777" w:rsidTr="00406B11">
        <w:trPr>
          <w:trHeight w:val="1058"/>
        </w:trPr>
        <w:tc>
          <w:tcPr>
            <w:tcW w:w="2410" w:type="dxa"/>
          </w:tcPr>
          <w:p w14:paraId="2D4252CA" w14:textId="77777777" w:rsidR="003E61A2" w:rsidRDefault="003E61A2" w:rsidP="003E61A2">
            <w:pPr>
              <w:pStyle w:val="TableText"/>
            </w:pPr>
            <w:r>
              <w:rPr>
                <w:w w:val="105"/>
              </w:rPr>
              <w:t>Percentage of buildings with an</w:t>
            </w:r>
            <w:r>
              <w:rPr>
                <w:spacing w:val="1"/>
                <w:w w:val="105"/>
              </w:rPr>
              <w:t xml:space="preserve"> </w:t>
            </w:r>
            <w:r>
              <w:rPr>
                <w:w w:val="105"/>
              </w:rPr>
              <w:t>Initial Evaluation Process – New</w:t>
            </w:r>
            <w:r>
              <w:rPr>
                <w:spacing w:val="1"/>
                <w:w w:val="105"/>
              </w:rPr>
              <w:t xml:space="preserve"> </w:t>
            </w:r>
            <w:r>
              <w:rPr>
                <w:w w:val="105"/>
              </w:rPr>
              <w:t>Building</w:t>
            </w:r>
            <w:r>
              <w:rPr>
                <w:spacing w:val="-13"/>
                <w:w w:val="105"/>
              </w:rPr>
              <w:t xml:space="preserve"> </w:t>
            </w:r>
            <w:r>
              <w:rPr>
                <w:w w:val="105"/>
              </w:rPr>
              <w:t>Standard</w:t>
            </w:r>
            <w:r>
              <w:rPr>
                <w:spacing w:val="-13"/>
                <w:w w:val="105"/>
              </w:rPr>
              <w:t xml:space="preserve"> </w:t>
            </w:r>
            <w:r>
              <w:rPr>
                <w:w w:val="105"/>
              </w:rPr>
              <w:t>Seismic</w:t>
            </w:r>
            <w:r>
              <w:rPr>
                <w:spacing w:val="-12"/>
                <w:w w:val="105"/>
              </w:rPr>
              <w:t xml:space="preserve"> </w:t>
            </w:r>
            <w:r>
              <w:rPr>
                <w:w w:val="105"/>
              </w:rPr>
              <w:t>Grade</w:t>
            </w:r>
            <w:r>
              <w:rPr>
                <w:spacing w:val="-50"/>
                <w:w w:val="105"/>
              </w:rPr>
              <w:t xml:space="preserve"> </w:t>
            </w:r>
            <w:r>
              <w:rPr>
                <w:w w:val="105"/>
              </w:rPr>
              <w:t>of</w:t>
            </w:r>
            <w:r>
              <w:rPr>
                <w:spacing w:val="-6"/>
                <w:w w:val="105"/>
              </w:rPr>
              <w:t xml:space="preserve"> </w:t>
            </w:r>
            <w:r>
              <w:rPr>
                <w:w w:val="105"/>
              </w:rPr>
              <w:t>C</w:t>
            </w:r>
            <w:r>
              <w:rPr>
                <w:spacing w:val="-5"/>
                <w:w w:val="105"/>
              </w:rPr>
              <w:t xml:space="preserve"> </w:t>
            </w:r>
            <w:r>
              <w:rPr>
                <w:w w:val="105"/>
              </w:rPr>
              <w:t>or</w:t>
            </w:r>
            <w:r>
              <w:rPr>
                <w:spacing w:val="-6"/>
                <w:w w:val="105"/>
              </w:rPr>
              <w:t xml:space="preserve"> </w:t>
            </w:r>
            <w:r>
              <w:rPr>
                <w:w w:val="105"/>
              </w:rPr>
              <w:t>better</w:t>
            </w:r>
          </w:p>
        </w:tc>
        <w:tc>
          <w:tcPr>
            <w:tcW w:w="1276" w:type="dxa"/>
          </w:tcPr>
          <w:p w14:paraId="646ED8A9" w14:textId="77777777" w:rsidR="003E61A2" w:rsidRDefault="003E61A2" w:rsidP="003E61A2">
            <w:pPr>
              <w:pStyle w:val="TableText"/>
            </w:pPr>
            <w:r>
              <w:t>Condition</w:t>
            </w:r>
          </w:p>
        </w:tc>
        <w:tc>
          <w:tcPr>
            <w:tcW w:w="935" w:type="dxa"/>
          </w:tcPr>
          <w:p w14:paraId="0B7ABDF7" w14:textId="77777777" w:rsidR="003E61A2" w:rsidRDefault="003E61A2" w:rsidP="003E61A2">
            <w:pPr>
              <w:pStyle w:val="TableText"/>
              <w:jc w:val="right"/>
            </w:pPr>
            <w:r>
              <w:t>100%</w:t>
            </w:r>
          </w:p>
        </w:tc>
        <w:tc>
          <w:tcPr>
            <w:tcW w:w="936" w:type="dxa"/>
          </w:tcPr>
          <w:p w14:paraId="7ED655CA" w14:textId="77777777" w:rsidR="003E61A2" w:rsidRDefault="003E61A2" w:rsidP="003E61A2">
            <w:pPr>
              <w:pStyle w:val="TableText"/>
              <w:jc w:val="right"/>
            </w:pPr>
            <w:r>
              <w:t>100%</w:t>
            </w:r>
          </w:p>
        </w:tc>
        <w:tc>
          <w:tcPr>
            <w:tcW w:w="935" w:type="dxa"/>
          </w:tcPr>
          <w:p w14:paraId="7FA614E6" w14:textId="77777777" w:rsidR="003E61A2" w:rsidRDefault="003E61A2" w:rsidP="003E61A2">
            <w:pPr>
              <w:pStyle w:val="TableText"/>
              <w:jc w:val="right"/>
            </w:pPr>
            <w:r>
              <w:t>100%</w:t>
            </w:r>
          </w:p>
        </w:tc>
        <w:tc>
          <w:tcPr>
            <w:tcW w:w="936" w:type="dxa"/>
          </w:tcPr>
          <w:p w14:paraId="217CB8C3" w14:textId="77777777" w:rsidR="003E61A2" w:rsidRDefault="003E61A2" w:rsidP="003E61A2">
            <w:pPr>
              <w:pStyle w:val="TableText"/>
              <w:jc w:val="right"/>
            </w:pPr>
            <w:r>
              <w:t>100%</w:t>
            </w:r>
          </w:p>
        </w:tc>
        <w:tc>
          <w:tcPr>
            <w:tcW w:w="936" w:type="dxa"/>
          </w:tcPr>
          <w:p w14:paraId="48C8D865" w14:textId="03A363AC" w:rsidR="003E61A2" w:rsidRPr="003E61A2" w:rsidRDefault="003E61A2" w:rsidP="003E61A2">
            <w:pPr>
              <w:pStyle w:val="TableText"/>
              <w:jc w:val="right"/>
              <w:rPr>
                <w:b/>
                <w:bCs/>
              </w:rPr>
            </w:pPr>
            <w:r w:rsidRPr="007D35C3">
              <w:rPr>
                <w:b/>
                <w:bCs/>
              </w:rPr>
              <w:sym w:font="Wingdings" w:char="F0FC"/>
            </w:r>
          </w:p>
        </w:tc>
      </w:tr>
      <w:tr w:rsidR="003E61A2" w14:paraId="1A51C188" w14:textId="77777777" w:rsidTr="00406B11">
        <w:trPr>
          <w:trHeight w:val="578"/>
        </w:trPr>
        <w:tc>
          <w:tcPr>
            <w:tcW w:w="2410" w:type="dxa"/>
          </w:tcPr>
          <w:p w14:paraId="338C582C" w14:textId="77777777" w:rsidR="003E61A2" w:rsidRDefault="003E61A2" w:rsidP="003E61A2">
            <w:pPr>
              <w:pStyle w:val="TableText"/>
            </w:pPr>
            <w:r>
              <w:rPr>
                <w:w w:val="105"/>
              </w:rPr>
              <w:t>All building</w:t>
            </w:r>
            <w:r>
              <w:rPr>
                <w:spacing w:val="1"/>
                <w:w w:val="105"/>
              </w:rPr>
              <w:t xml:space="preserve"> </w:t>
            </w:r>
            <w:r>
              <w:rPr>
                <w:w w:val="105"/>
              </w:rPr>
              <w:t>warrants</w:t>
            </w:r>
            <w:r>
              <w:rPr>
                <w:spacing w:val="1"/>
                <w:w w:val="105"/>
              </w:rPr>
              <w:t xml:space="preserve"> </w:t>
            </w:r>
            <w:r>
              <w:rPr>
                <w:w w:val="105"/>
              </w:rPr>
              <w:t>of</w:t>
            </w:r>
            <w:r>
              <w:rPr>
                <w:spacing w:val="1"/>
                <w:w w:val="105"/>
              </w:rPr>
              <w:t xml:space="preserve"> </w:t>
            </w:r>
            <w:r>
              <w:rPr>
                <w:w w:val="105"/>
              </w:rPr>
              <w:t>fitness</w:t>
            </w:r>
            <w:r>
              <w:rPr>
                <w:spacing w:val="-49"/>
                <w:w w:val="105"/>
              </w:rPr>
              <w:t xml:space="preserve"> </w:t>
            </w:r>
            <w:r>
              <w:rPr>
                <w:w w:val="105"/>
              </w:rPr>
              <w:t>current</w:t>
            </w:r>
            <w:r>
              <w:rPr>
                <w:spacing w:val="-5"/>
                <w:w w:val="105"/>
              </w:rPr>
              <w:t xml:space="preserve"> </w:t>
            </w:r>
            <w:r>
              <w:rPr>
                <w:w w:val="105"/>
              </w:rPr>
              <w:t>(Note</w:t>
            </w:r>
            <w:r>
              <w:rPr>
                <w:spacing w:val="-5"/>
                <w:w w:val="105"/>
              </w:rPr>
              <w:t xml:space="preserve"> </w:t>
            </w:r>
            <w:r>
              <w:rPr>
                <w:w w:val="105"/>
              </w:rPr>
              <w:t>2)</w:t>
            </w:r>
          </w:p>
        </w:tc>
        <w:tc>
          <w:tcPr>
            <w:tcW w:w="1276" w:type="dxa"/>
          </w:tcPr>
          <w:p w14:paraId="2A1F4F86" w14:textId="77777777" w:rsidR="003E61A2" w:rsidRDefault="003E61A2" w:rsidP="003E61A2">
            <w:pPr>
              <w:pStyle w:val="TableText"/>
            </w:pPr>
            <w:r>
              <w:t>Condition</w:t>
            </w:r>
          </w:p>
        </w:tc>
        <w:tc>
          <w:tcPr>
            <w:tcW w:w="935" w:type="dxa"/>
          </w:tcPr>
          <w:p w14:paraId="0E3AA2B9" w14:textId="77777777" w:rsidR="003E61A2" w:rsidRDefault="003E61A2" w:rsidP="003E61A2">
            <w:pPr>
              <w:pStyle w:val="TableText"/>
              <w:jc w:val="right"/>
            </w:pPr>
            <w:r>
              <w:t>100%</w:t>
            </w:r>
          </w:p>
        </w:tc>
        <w:tc>
          <w:tcPr>
            <w:tcW w:w="936" w:type="dxa"/>
          </w:tcPr>
          <w:p w14:paraId="7A813AEA" w14:textId="77777777" w:rsidR="003E61A2" w:rsidRDefault="003E61A2" w:rsidP="003E61A2">
            <w:pPr>
              <w:pStyle w:val="TableText"/>
              <w:jc w:val="right"/>
            </w:pPr>
            <w:r>
              <w:t>100%</w:t>
            </w:r>
          </w:p>
        </w:tc>
        <w:tc>
          <w:tcPr>
            <w:tcW w:w="935" w:type="dxa"/>
          </w:tcPr>
          <w:p w14:paraId="4ABE2D8D" w14:textId="77777777" w:rsidR="003E61A2" w:rsidRDefault="003E61A2" w:rsidP="003E61A2">
            <w:pPr>
              <w:pStyle w:val="TableText"/>
              <w:jc w:val="right"/>
            </w:pPr>
            <w:r>
              <w:t>100%</w:t>
            </w:r>
          </w:p>
        </w:tc>
        <w:tc>
          <w:tcPr>
            <w:tcW w:w="936" w:type="dxa"/>
          </w:tcPr>
          <w:p w14:paraId="7CE64E83" w14:textId="77777777" w:rsidR="003E61A2" w:rsidRDefault="003E61A2" w:rsidP="003E61A2">
            <w:pPr>
              <w:pStyle w:val="TableText"/>
              <w:jc w:val="right"/>
            </w:pPr>
            <w:r>
              <w:t>100%</w:t>
            </w:r>
          </w:p>
        </w:tc>
        <w:tc>
          <w:tcPr>
            <w:tcW w:w="936" w:type="dxa"/>
          </w:tcPr>
          <w:p w14:paraId="2A5F050E" w14:textId="074AACFC" w:rsidR="003E61A2" w:rsidRPr="003E61A2" w:rsidRDefault="003E61A2" w:rsidP="003E61A2">
            <w:pPr>
              <w:pStyle w:val="TableText"/>
              <w:jc w:val="right"/>
            </w:pPr>
            <w:r w:rsidRPr="007D35C3">
              <w:rPr>
                <w:b/>
                <w:bCs/>
              </w:rPr>
              <w:sym w:font="Wingdings" w:char="F0FC"/>
            </w:r>
          </w:p>
        </w:tc>
      </w:tr>
      <w:tr w:rsidR="003E61A2" w14:paraId="3D8F3AF2" w14:textId="77777777" w:rsidTr="00406B11">
        <w:trPr>
          <w:trHeight w:val="365"/>
        </w:trPr>
        <w:tc>
          <w:tcPr>
            <w:tcW w:w="2410" w:type="dxa"/>
          </w:tcPr>
          <w:p w14:paraId="4D7A30E8" w14:textId="77777777" w:rsidR="003E61A2" w:rsidRDefault="003E61A2" w:rsidP="003E61A2">
            <w:pPr>
              <w:pStyle w:val="TableText"/>
            </w:pPr>
            <w:r>
              <w:t>Average</w:t>
            </w:r>
            <w:r>
              <w:rPr>
                <w:spacing w:val="-2"/>
              </w:rPr>
              <w:t xml:space="preserve"> </w:t>
            </w:r>
            <w:r>
              <w:t>occupancy</w:t>
            </w:r>
            <w:r>
              <w:rPr>
                <w:spacing w:val="-1"/>
              </w:rPr>
              <w:t xml:space="preserve"> </w:t>
            </w:r>
            <w:r>
              <w:t>m</w:t>
            </w:r>
            <w:r>
              <w:rPr>
                <w:position w:val="6"/>
                <w:sz w:val="10"/>
              </w:rPr>
              <w:t>2</w:t>
            </w:r>
            <w:r>
              <w:rPr>
                <w:spacing w:val="21"/>
                <w:position w:val="6"/>
                <w:sz w:val="10"/>
              </w:rPr>
              <w:t xml:space="preserve"> </w:t>
            </w:r>
            <w:r>
              <w:t>per</w:t>
            </w:r>
            <w:r>
              <w:rPr>
                <w:spacing w:val="-1"/>
              </w:rPr>
              <w:t xml:space="preserve"> </w:t>
            </w:r>
            <w:r>
              <w:t>head</w:t>
            </w:r>
          </w:p>
        </w:tc>
        <w:tc>
          <w:tcPr>
            <w:tcW w:w="1276" w:type="dxa"/>
          </w:tcPr>
          <w:p w14:paraId="63B31E74" w14:textId="77777777" w:rsidR="003E61A2" w:rsidRDefault="003E61A2" w:rsidP="003E61A2">
            <w:pPr>
              <w:pStyle w:val="TableText"/>
            </w:pPr>
            <w:r>
              <w:rPr>
                <w:w w:val="110"/>
              </w:rPr>
              <w:t>Utilisation</w:t>
            </w:r>
          </w:p>
        </w:tc>
        <w:tc>
          <w:tcPr>
            <w:tcW w:w="935" w:type="dxa"/>
          </w:tcPr>
          <w:p w14:paraId="69A430BD" w14:textId="77777777" w:rsidR="003E61A2" w:rsidRDefault="003E61A2" w:rsidP="003E61A2">
            <w:pPr>
              <w:pStyle w:val="TableText"/>
              <w:jc w:val="right"/>
            </w:pPr>
            <w:r>
              <w:t>14.62</w:t>
            </w:r>
          </w:p>
        </w:tc>
        <w:tc>
          <w:tcPr>
            <w:tcW w:w="936" w:type="dxa"/>
          </w:tcPr>
          <w:p w14:paraId="5AEEB260" w14:textId="77777777" w:rsidR="003E61A2" w:rsidRDefault="003E61A2" w:rsidP="003E61A2">
            <w:pPr>
              <w:pStyle w:val="TableText"/>
              <w:jc w:val="right"/>
            </w:pPr>
            <w:r>
              <w:rPr>
                <w:w w:val="90"/>
              </w:rPr>
              <w:t>11.33</w:t>
            </w:r>
          </w:p>
        </w:tc>
        <w:tc>
          <w:tcPr>
            <w:tcW w:w="935" w:type="dxa"/>
          </w:tcPr>
          <w:p w14:paraId="123E0669" w14:textId="77777777" w:rsidR="003E61A2" w:rsidRDefault="003E61A2" w:rsidP="003E61A2">
            <w:pPr>
              <w:pStyle w:val="TableText"/>
              <w:jc w:val="right"/>
              <w:rPr>
                <w:sz w:val="10"/>
              </w:rPr>
            </w:pPr>
            <w:r>
              <w:t>&lt;14</w:t>
            </w:r>
            <w:r>
              <w:rPr>
                <w:spacing w:val="-10"/>
              </w:rPr>
              <w:t xml:space="preserve"> </w:t>
            </w:r>
            <w:r>
              <w:t>m</w:t>
            </w:r>
            <w:r>
              <w:rPr>
                <w:position w:val="6"/>
                <w:sz w:val="10"/>
              </w:rPr>
              <w:t>2</w:t>
            </w:r>
          </w:p>
        </w:tc>
        <w:tc>
          <w:tcPr>
            <w:tcW w:w="936" w:type="dxa"/>
          </w:tcPr>
          <w:p w14:paraId="7088B572" w14:textId="77777777" w:rsidR="003E61A2" w:rsidRDefault="003E61A2" w:rsidP="003E61A2">
            <w:pPr>
              <w:pStyle w:val="TableText"/>
              <w:jc w:val="right"/>
            </w:pPr>
            <w:r>
              <w:rPr>
                <w:w w:val="95"/>
              </w:rPr>
              <w:t>11.39</w:t>
            </w:r>
          </w:p>
        </w:tc>
        <w:tc>
          <w:tcPr>
            <w:tcW w:w="936" w:type="dxa"/>
          </w:tcPr>
          <w:p w14:paraId="47A5C54F" w14:textId="27B719C8" w:rsidR="003E61A2" w:rsidRPr="003E61A2" w:rsidRDefault="003E61A2" w:rsidP="003E61A2">
            <w:pPr>
              <w:pStyle w:val="TableText"/>
              <w:jc w:val="right"/>
            </w:pPr>
            <w:r w:rsidRPr="007D35C3">
              <w:rPr>
                <w:b/>
                <w:bCs/>
              </w:rPr>
              <w:sym w:font="Wingdings" w:char="F0FC"/>
            </w:r>
          </w:p>
        </w:tc>
      </w:tr>
      <w:tr w:rsidR="003E61A2" w14:paraId="237A6E02" w14:textId="77777777" w:rsidTr="00406B11">
        <w:trPr>
          <w:trHeight w:val="818"/>
        </w:trPr>
        <w:tc>
          <w:tcPr>
            <w:tcW w:w="2410" w:type="dxa"/>
          </w:tcPr>
          <w:p w14:paraId="3AD52830" w14:textId="77777777" w:rsidR="003E61A2" w:rsidRDefault="003E61A2" w:rsidP="003E61A2">
            <w:pPr>
              <w:pStyle w:val="TableText"/>
            </w:pPr>
            <w:r>
              <w:rPr>
                <w:w w:val="105"/>
              </w:rPr>
              <w:t>Percentage of buildings with a</w:t>
            </w:r>
            <w:r>
              <w:rPr>
                <w:spacing w:val="1"/>
                <w:w w:val="105"/>
              </w:rPr>
              <w:t xml:space="preserve"> </w:t>
            </w:r>
            <w:r>
              <w:rPr>
                <w:w w:val="105"/>
              </w:rPr>
              <w:t>functionality</w:t>
            </w:r>
            <w:r>
              <w:rPr>
                <w:spacing w:val="-12"/>
                <w:w w:val="105"/>
              </w:rPr>
              <w:t xml:space="preserve"> </w:t>
            </w:r>
            <w:r>
              <w:rPr>
                <w:w w:val="105"/>
              </w:rPr>
              <w:t>rating</w:t>
            </w:r>
            <w:r>
              <w:rPr>
                <w:spacing w:val="-12"/>
                <w:w w:val="105"/>
              </w:rPr>
              <w:t xml:space="preserve"> </w:t>
            </w:r>
            <w:r>
              <w:rPr>
                <w:w w:val="105"/>
              </w:rPr>
              <w:t>of</w:t>
            </w:r>
            <w:r>
              <w:rPr>
                <w:spacing w:val="-12"/>
                <w:w w:val="105"/>
              </w:rPr>
              <w:t xml:space="preserve"> </w:t>
            </w:r>
            <w:r>
              <w:rPr>
                <w:w w:val="105"/>
              </w:rPr>
              <w:t>3</w:t>
            </w:r>
            <w:r>
              <w:rPr>
                <w:spacing w:val="-12"/>
                <w:w w:val="105"/>
              </w:rPr>
              <w:t xml:space="preserve"> </w:t>
            </w:r>
            <w:r>
              <w:rPr>
                <w:w w:val="105"/>
              </w:rPr>
              <w:t>or</w:t>
            </w:r>
            <w:r>
              <w:rPr>
                <w:spacing w:val="-11"/>
                <w:w w:val="105"/>
              </w:rPr>
              <w:t xml:space="preserve"> </w:t>
            </w:r>
            <w:r>
              <w:rPr>
                <w:w w:val="105"/>
              </w:rPr>
              <w:t>better</w:t>
            </w:r>
            <w:r>
              <w:rPr>
                <w:spacing w:val="-50"/>
                <w:w w:val="105"/>
              </w:rPr>
              <w:t xml:space="preserve"> </w:t>
            </w:r>
            <w:r>
              <w:rPr>
                <w:w w:val="105"/>
              </w:rPr>
              <w:t>(Note</w:t>
            </w:r>
            <w:r>
              <w:rPr>
                <w:spacing w:val="-5"/>
                <w:w w:val="105"/>
              </w:rPr>
              <w:t xml:space="preserve"> </w:t>
            </w:r>
            <w:r>
              <w:rPr>
                <w:w w:val="105"/>
              </w:rPr>
              <w:t>3)</w:t>
            </w:r>
          </w:p>
        </w:tc>
        <w:tc>
          <w:tcPr>
            <w:tcW w:w="1276" w:type="dxa"/>
          </w:tcPr>
          <w:p w14:paraId="1E737DD9" w14:textId="77777777" w:rsidR="003E61A2" w:rsidRDefault="003E61A2" w:rsidP="003E61A2">
            <w:pPr>
              <w:pStyle w:val="TableText"/>
            </w:pPr>
            <w:r>
              <w:rPr>
                <w:w w:val="105"/>
              </w:rPr>
              <w:t>Functionality</w:t>
            </w:r>
          </w:p>
        </w:tc>
        <w:tc>
          <w:tcPr>
            <w:tcW w:w="935" w:type="dxa"/>
          </w:tcPr>
          <w:p w14:paraId="4FAFC174" w14:textId="77777777" w:rsidR="003E61A2" w:rsidRDefault="003E61A2" w:rsidP="003E61A2">
            <w:pPr>
              <w:pStyle w:val="TableText"/>
              <w:jc w:val="right"/>
            </w:pPr>
            <w:r>
              <w:t>100%</w:t>
            </w:r>
          </w:p>
        </w:tc>
        <w:tc>
          <w:tcPr>
            <w:tcW w:w="936" w:type="dxa"/>
          </w:tcPr>
          <w:p w14:paraId="249D4DE4" w14:textId="77777777" w:rsidR="003E61A2" w:rsidRDefault="003E61A2" w:rsidP="003E61A2">
            <w:pPr>
              <w:pStyle w:val="TableText"/>
              <w:jc w:val="right"/>
            </w:pPr>
            <w:r>
              <w:t>100%</w:t>
            </w:r>
          </w:p>
        </w:tc>
        <w:tc>
          <w:tcPr>
            <w:tcW w:w="935" w:type="dxa"/>
          </w:tcPr>
          <w:p w14:paraId="41C1F9FF" w14:textId="77777777" w:rsidR="003E61A2" w:rsidRDefault="003E61A2" w:rsidP="003E61A2">
            <w:pPr>
              <w:pStyle w:val="TableText"/>
              <w:jc w:val="right"/>
            </w:pPr>
            <w:r>
              <w:t>100%</w:t>
            </w:r>
          </w:p>
        </w:tc>
        <w:tc>
          <w:tcPr>
            <w:tcW w:w="936" w:type="dxa"/>
          </w:tcPr>
          <w:p w14:paraId="49A08121" w14:textId="77777777" w:rsidR="003E61A2" w:rsidRDefault="003E61A2" w:rsidP="003E61A2">
            <w:pPr>
              <w:pStyle w:val="TableText"/>
              <w:jc w:val="right"/>
            </w:pPr>
            <w:r>
              <w:t>100%</w:t>
            </w:r>
          </w:p>
        </w:tc>
        <w:tc>
          <w:tcPr>
            <w:tcW w:w="936" w:type="dxa"/>
          </w:tcPr>
          <w:p w14:paraId="2D86B27F" w14:textId="5590C1A6" w:rsidR="003E61A2" w:rsidRPr="003E61A2" w:rsidRDefault="003E61A2" w:rsidP="003E61A2">
            <w:pPr>
              <w:pStyle w:val="TableText"/>
              <w:jc w:val="right"/>
            </w:pPr>
            <w:r w:rsidRPr="007D35C3">
              <w:rPr>
                <w:b/>
                <w:bCs/>
              </w:rPr>
              <w:sym w:font="Wingdings" w:char="F0FC"/>
            </w:r>
          </w:p>
        </w:tc>
      </w:tr>
      <w:tr w:rsidR="003E61A2" w14:paraId="37F2117E" w14:textId="77777777" w:rsidTr="00406B11">
        <w:trPr>
          <w:trHeight w:val="688"/>
        </w:trPr>
        <w:tc>
          <w:tcPr>
            <w:tcW w:w="2410" w:type="dxa"/>
          </w:tcPr>
          <w:p w14:paraId="2ADAFB39" w14:textId="77777777" w:rsidR="003E61A2" w:rsidRDefault="003E61A2" w:rsidP="003E61A2">
            <w:pPr>
              <w:pStyle w:val="TableText"/>
              <w:rPr>
                <w:sz w:val="10"/>
              </w:rPr>
            </w:pPr>
            <w:r>
              <w:t>Average</w:t>
            </w:r>
            <w:r>
              <w:rPr>
                <w:spacing w:val="10"/>
              </w:rPr>
              <w:t xml:space="preserve"> </w:t>
            </w:r>
            <w:r>
              <w:t>power</w:t>
            </w:r>
            <w:r>
              <w:rPr>
                <w:spacing w:val="11"/>
              </w:rPr>
              <w:t xml:space="preserve"> </w:t>
            </w:r>
            <w:r>
              <w:t>used</w:t>
            </w:r>
            <w:r>
              <w:rPr>
                <w:spacing w:val="10"/>
              </w:rPr>
              <w:t xml:space="preserve"> </w:t>
            </w:r>
            <w:r>
              <w:t>kWh/m</w:t>
            </w:r>
            <w:r>
              <w:rPr>
                <w:position w:val="6"/>
                <w:sz w:val="10"/>
              </w:rPr>
              <w:t>2</w:t>
            </w:r>
          </w:p>
        </w:tc>
        <w:tc>
          <w:tcPr>
            <w:tcW w:w="1276" w:type="dxa"/>
          </w:tcPr>
          <w:p w14:paraId="2DE491E6" w14:textId="77777777" w:rsidR="003E61A2" w:rsidRDefault="003E61A2" w:rsidP="003E61A2">
            <w:pPr>
              <w:pStyle w:val="TableText"/>
            </w:pPr>
            <w:r>
              <w:rPr>
                <w:w w:val="105"/>
              </w:rPr>
              <w:t>Functionality</w:t>
            </w:r>
          </w:p>
        </w:tc>
        <w:tc>
          <w:tcPr>
            <w:tcW w:w="935" w:type="dxa"/>
          </w:tcPr>
          <w:p w14:paraId="76A1A833" w14:textId="29006E90" w:rsidR="003E61A2" w:rsidRDefault="003E61A2" w:rsidP="003E61A2">
            <w:pPr>
              <w:pStyle w:val="TableText"/>
              <w:jc w:val="right"/>
              <w:rPr>
                <w:sz w:val="10"/>
              </w:rPr>
            </w:pPr>
            <w:r>
              <w:t>73</w:t>
            </w:r>
            <w:r>
              <w:rPr>
                <w:spacing w:val="20"/>
              </w:rPr>
              <w:t xml:space="preserve"> </w:t>
            </w:r>
            <w:r>
              <w:t>kWh/</w:t>
            </w:r>
            <w:r>
              <w:rPr>
                <w:w w:val="110"/>
                <w:position w:val="-5"/>
              </w:rPr>
              <w:t>m</w:t>
            </w:r>
            <w:r>
              <w:rPr>
                <w:w w:val="110"/>
                <w:sz w:val="10"/>
              </w:rPr>
              <w:t>2</w:t>
            </w:r>
          </w:p>
        </w:tc>
        <w:tc>
          <w:tcPr>
            <w:tcW w:w="936" w:type="dxa"/>
          </w:tcPr>
          <w:p w14:paraId="32BE98E0" w14:textId="77777777" w:rsidR="003E61A2" w:rsidRDefault="003E61A2" w:rsidP="003E61A2">
            <w:pPr>
              <w:pStyle w:val="TableText"/>
              <w:jc w:val="right"/>
            </w:pPr>
            <w:r>
              <w:rPr>
                <w:w w:val="105"/>
              </w:rPr>
              <w:t>84.78</w:t>
            </w:r>
          </w:p>
          <w:p w14:paraId="54FB9607" w14:textId="77777777" w:rsidR="003E61A2" w:rsidRDefault="003E61A2" w:rsidP="003E61A2">
            <w:pPr>
              <w:pStyle w:val="TableText"/>
              <w:jc w:val="right"/>
              <w:rPr>
                <w:sz w:val="10"/>
              </w:rPr>
            </w:pPr>
            <w:r>
              <w:rPr>
                <w:w w:val="105"/>
              </w:rPr>
              <w:t>kWh/m</w:t>
            </w:r>
            <w:r>
              <w:rPr>
                <w:w w:val="105"/>
                <w:position w:val="6"/>
                <w:sz w:val="10"/>
              </w:rPr>
              <w:t>2</w:t>
            </w:r>
          </w:p>
        </w:tc>
        <w:tc>
          <w:tcPr>
            <w:tcW w:w="935" w:type="dxa"/>
          </w:tcPr>
          <w:p w14:paraId="52B75D6A" w14:textId="77777777" w:rsidR="003E61A2" w:rsidRDefault="003E61A2" w:rsidP="003E61A2">
            <w:pPr>
              <w:pStyle w:val="TableText"/>
              <w:jc w:val="right"/>
            </w:pPr>
            <w:r>
              <w:rPr>
                <w:w w:val="105"/>
              </w:rPr>
              <w:t>&lt;80</w:t>
            </w:r>
          </w:p>
          <w:p w14:paraId="6C783FFC" w14:textId="109E46B5" w:rsidR="003E61A2" w:rsidRDefault="003E61A2" w:rsidP="003E61A2">
            <w:pPr>
              <w:pStyle w:val="TableText"/>
              <w:jc w:val="right"/>
              <w:rPr>
                <w:sz w:val="10"/>
              </w:rPr>
            </w:pPr>
            <w:r>
              <w:rPr>
                <w:w w:val="105"/>
              </w:rPr>
              <w:t>kWh/</w:t>
            </w:r>
            <w:r>
              <w:rPr>
                <w:w w:val="110"/>
                <w:position w:val="-5"/>
              </w:rPr>
              <w:t>m</w:t>
            </w:r>
            <w:r>
              <w:rPr>
                <w:w w:val="110"/>
                <w:sz w:val="10"/>
              </w:rPr>
              <w:t>2</w:t>
            </w:r>
          </w:p>
        </w:tc>
        <w:tc>
          <w:tcPr>
            <w:tcW w:w="936" w:type="dxa"/>
          </w:tcPr>
          <w:p w14:paraId="76427376" w14:textId="230B50AB" w:rsidR="003E61A2" w:rsidRDefault="003E61A2" w:rsidP="003E61A2">
            <w:pPr>
              <w:pStyle w:val="TableText"/>
              <w:jc w:val="right"/>
              <w:rPr>
                <w:sz w:val="10"/>
              </w:rPr>
            </w:pPr>
            <w:r>
              <w:t>73</w:t>
            </w:r>
            <w:r>
              <w:rPr>
                <w:spacing w:val="20"/>
              </w:rPr>
              <w:t xml:space="preserve"> </w:t>
            </w:r>
            <w:r>
              <w:t>kWh/</w:t>
            </w:r>
            <w:r>
              <w:rPr>
                <w:w w:val="110"/>
                <w:position w:val="-5"/>
              </w:rPr>
              <w:t>m</w:t>
            </w:r>
            <w:r>
              <w:rPr>
                <w:w w:val="110"/>
                <w:sz w:val="10"/>
              </w:rPr>
              <w:t>2</w:t>
            </w:r>
          </w:p>
        </w:tc>
        <w:tc>
          <w:tcPr>
            <w:tcW w:w="936" w:type="dxa"/>
          </w:tcPr>
          <w:p w14:paraId="6E546D4D" w14:textId="1D341BDE" w:rsidR="003E61A2" w:rsidRPr="003E61A2" w:rsidRDefault="003E61A2" w:rsidP="003E61A2">
            <w:pPr>
              <w:pStyle w:val="TableText"/>
              <w:jc w:val="right"/>
            </w:pPr>
            <w:r w:rsidRPr="007D35C3">
              <w:rPr>
                <w:b/>
                <w:bCs/>
              </w:rPr>
              <w:sym w:font="Wingdings" w:char="F0FC"/>
            </w:r>
          </w:p>
        </w:tc>
      </w:tr>
    </w:tbl>
    <w:p w14:paraId="77A5AA43" w14:textId="77777777" w:rsidR="00EE120C" w:rsidRDefault="00EE120C" w:rsidP="00EE120C">
      <w:pPr>
        <w:pStyle w:val="Note"/>
      </w:pPr>
      <w:r>
        <w:t>Note 1:    Property Council New Zealand’s quality grading matrix includes the following grades:</w:t>
      </w:r>
    </w:p>
    <w:p w14:paraId="2981B3E4" w14:textId="77777777" w:rsidR="00EE120C" w:rsidRDefault="00EE120C" w:rsidP="00EE120C">
      <w:pPr>
        <w:pStyle w:val="Note"/>
      </w:pPr>
      <w:r>
        <w:t>Grade A: A landmark office building located in major CBD office markets which is a pacesetters in establishing rents and includes ample natural lighting, good views and outlook, prestige lobby finish, on-site undercover parking, quality access to and from an attractive street setting, and premium presentation and maintenance.</w:t>
      </w:r>
    </w:p>
    <w:p w14:paraId="6FDF0CDD" w14:textId="77777777" w:rsidR="00EE120C" w:rsidRDefault="00EE120C" w:rsidP="00EE120C">
      <w:pPr>
        <w:pStyle w:val="Note"/>
      </w:pPr>
      <w:r>
        <w:t>Grade B: High-quality space including good views and outlook, quality lobby finish, on-site undercover parking, quality access to and from an attractive street setting, and quality presentation and maintenance.</w:t>
      </w:r>
    </w:p>
    <w:p w14:paraId="5AFD6EB9" w14:textId="77777777" w:rsidR="00EE120C" w:rsidRDefault="00EE120C" w:rsidP="00EE120C">
      <w:pPr>
        <w:pStyle w:val="Note"/>
      </w:pPr>
      <w:r>
        <w:t>Grade C: Good-quality space with a reasonable standard of finish and maintenance. Tenant car parking facilities should be available</w:t>
      </w:r>
    </w:p>
    <w:p w14:paraId="478D9389" w14:textId="77777777" w:rsidR="00EE120C" w:rsidRDefault="00EE120C" w:rsidP="00EE120C">
      <w:pPr>
        <w:pStyle w:val="Note"/>
      </w:pPr>
      <w:r>
        <w:t>Grade D: Office space with lower poor-quality finish. Services fall below the minimum set for a C grade</w:t>
      </w:r>
    </w:p>
    <w:p w14:paraId="4C98EBFD" w14:textId="77777777" w:rsidR="00EE120C" w:rsidRDefault="00EE120C" w:rsidP="00EE120C">
      <w:pPr>
        <w:pStyle w:val="Note"/>
      </w:pPr>
      <w:r>
        <w:t>Note 2: A building warrant of fitness is a building owner’s annual statement. It is used to confirm the specified systems in the compliance schedule for their building have been maintained, and checked, for the previous 12 months (in accordance with the compliance schedule). For more information, please visit building.govt.nz/building-officials/guides-for-building-officials/building-warrants-of-fitness.</w:t>
      </w:r>
    </w:p>
    <w:p w14:paraId="21A22539" w14:textId="561875BC" w:rsidR="00EE120C" w:rsidRDefault="00EE120C" w:rsidP="00EE120C">
      <w:pPr>
        <w:pStyle w:val="Note"/>
      </w:pPr>
      <w:r>
        <w:t>Note 3: Building functionality assesses how fit for purpose or suitable a building is to meet the service needs of its users. The rating scale for this measure is defined as:</w:t>
      </w:r>
    </w:p>
    <w:p w14:paraId="03699321" w14:textId="77777777" w:rsidR="00C25F69" w:rsidRPr="00C25F69" w:rsidRDefault="00C25F69" w:rsidP="00C25F69"/>
    <w:p w14:paraId="647ACD27" w14:textId="3F9EA1B7" w:rsidR="00EE120C" w:rsidRPr="00C25F69" w:rsidRDefault="00EE120C" w:rsidP="008A439D">
      <w:pPr>
        <w:pStyle w:val="Number"/>
        <w:numPr>
          <w:ilvl w:val="0"/>
          <w:numId w:val="16"/>
        </w:numPr>
        <w:rPr>
          <w:sz w:val="17"/>
          <w:szCs w:val="17"/>
        </w:rPr>
      </w:pPr>
      <w:r w:rsidRPr="00C25F69">
        <w:rPr>
          <w:sz w:val="17"/>
          <w:szCs w:val="17"/>
        </w:rPr>
        <w:lastRenderedPageBreak/>
        <w:t>actively hinders operation</w:t>
      </w:r>
    </w:p>
    <w:p w14:paraId="561D3C04" w14:textId="7D954AAA" w:rsidR="00EE120C" w:rsidRPr="00C25F69" w:rsidRDefault="00EE120C" w:rsidP="008A439D">
      <w:pPr>
        <w:pStyle w:val="Number"/>
        <w:numPr>
          <w:ilvl w:val="0"/>
          <w:numId w:val="16"/>
        </w:numPr>
        <w:rPr>
          <w:sz w:val="17"/>
          <w:szCs w:val="17"/>
        </w:rPr>
      </w:pPr>
      <w:r w:rsidRPr="00C25F69">
        <w:rPr>
          <w:sz w:val="17"/>
          <w:szCs w:val="17"/>
        </w:rPr>
        <w:t>not fit for purpose/significant issues</w:t>
      </w:r>
    </w:p>
    <w:p w14:paraId="3A94400B" w14:textId="6BB073BE" w:rsidR="00EE120C" w:rsidRPr="00C25F69" w:rsidRDefault="00EE120C" w:rsidP="008A439D">
      <w:pPr>
        <w:pStyle w:val="Number"/>
        <w:numPr>
          <w:ilvl w:val="0"/>
          <w:numId w:val="16"/>
        </w:numPr>
        <w:rPr>
          <w:sz w:val="17"/>
          <w:szCs w:val="17"/>
        </w:rPr>
      </w:pPr>
      <w:r w:rsidRPr="00C25F69">
        <w:rPr>
          <w:sz w:val="17"/>
          <w:szCs w:val="17"/>
        </w:rPr>
        <w:t>fit for purpose/generally fine</w:t>
      </w:r>
    </w:p>
    <w:p w14:paraId="5A93ACDC" w14:textId="77777777" w:rsidR="00C25F69" w:rsidRDefault="00EE120C" w:rsidP="008A439D">
      <w:pPr>
        <w:pStyle w:val="Number"/>
        <w:numPr>
          <w:ilvl w:val="0"/>
          <w:numId w:val="16"/>
        </w:numPr>
        <w:rPr>
          <w:sz w:val="17"/>
          <w:szCs w:val="17"/>
        </w:rPr>
        <w:sectPr w:rsidR="00C25F69" w:rsidSect="00C26282">
          <w:pgSz w:w="11907" w:h="16840" w:code="9"/>
          <w:pgMar w:top="1418" w:right="1701" w:bottom="1134" w:left="1843" w:header="284" w:footer="425" w:gutter="284"/>
          <w:cols w:space="720"/>
        </w:sectPr>
      </w:pPr>
      <w:r w:rsidRPr="00C25F69">
        <w:rPr>
          <w:sz w:val="17"/>
          <w:szCs w:val="17"/>
        </w:rPr>
        <w:t>ideal.</w:t>
      </w:r>
    </w:p>
    <w:p w14:paraId="63D95ACC" w14:textId="77777777" w:rsidR="00C25F69" w:rsidRDefault="00C25F69" w:rsidP="00C25F69">
      <w:pPr>
        <w:pStyle w:val="Heading2"/>
        <w:spacing w:before="0"/>
      </w:pPr>
      <w:bookmarkStart w:id="80" w:name="_Toc117264986"/>
      <w:r>
        <w:lastRenderedPageBreak/>
        <w:t>Appendix 6: Committees</w:t>
      </w:r>
      <w:bookmarkEnd w:id="80"/>
    </w:p>
    <w:p w14:paraId="247D333B" w14:textId="77777777" w:rsidR="00C25F69" w:rsidRDefault="00C25F69" w:rsidP="00C25F69">
      <w:pPr>
        <w:pStyle w:val="Heading4"/>
      </w:pPr>
      <w:r>
        <w:t>Section 11 committees</w:t>
      </w:r>
    </w:p>
    <w:p w14:paraId="72232038" w14:textId="4F03D024" w:rsidR="00C25F69" w:rsidRDefault="00C25F69" w:rsidP="00C25F69">
      <w:r>
        <w:t>Under section 11 of the New Zealand Public Health and Disability Act 2000 (the NZPHD Act), the Minister of Health had authority to establish any committee that the Minister considered necessary for any purpose relating to the Act, its administration or any services.</w:t>
      </w:r>
    </w:p>
    <w:p w14:paraId="6054D835" w14:textId="77777777" w:rsidR="00C25F69" w:rsidRDefault="00C25F69" w:rsidP="00C25F69"/>
    <w:p w14:paraId="4897F09D" w14:textId="77777777" w:rsidR="00C25F69" w:rsidRDefault="00C25F69" w:rsidP="00C25F69">
      <w:r>
        <w:t>For each committee established under section 11 of the NZPHD Act, Manatū Hauora (the Ministry of Health) was required to publish the following information in our annual reports:</w:t>
      </w:r>
    </w:p>
    <w:p w14:paraId="07F6A303" w14:textId="779ECCD3" w:rsidR="00C25F69" w:rsidRDefault="00C25F69" w:rsidP="00C25F69">
      <w:pPr>
        <w:pStyle w:val="Bullet"/>
      </w:pPr>
      <w:r>
        <w:t>the name of each committee</w:t>
      </w:r>
    </w:p>
    <w:p w14:paraId="1BD853C1" w14:textId="759A1B4E" w:rsidR="00C25F69" w:rsidRDefault="00C25F69" w:rsidP="00C25F69">
      <w:pPr>
        <w:pStyle w:val="Bullet"/>
      </w:pPr>
      <w:r>
        <w:t>the names of the chairperson and members of each committee</w:t>
      </w:r>
    </w:p>
    <w:p w14:paraId="5511C64A" w14:textId="5E5E407F" w:rsidR="00C25F69" w:rsidRDefault="00C25F69" w:rsidP="00C25F69">
      <w:pPr>
        <w:pStyle w:val="Bullet"/>
      </w:pPr>
      <w:r>
        <w:t>a declaration of whether any of the committees have not reported to the Minister in the period covered by the annual report.</w:t>
      </w:r>
    </w:p>
    <w:p w14:paraId="203650EE" w14:textId="77777777" w:rsidR="00C25F69" w:rsidRDefault="00C25F69" w:rsidP="00C25F69"/>
    <w:p w14:paraId="25F0E10C" w14:textId="60DD2DE3" w:rsidR="00C25F69" w:rsidRDefault="00C25F69" w:rsidP="00C25F69">
      <w:r>
        <w:t>Here we provide details to meet these requirements, covering 1 July 2021 to 30 June 2022.</w:t>
      </w:r>
    </w:p>
    <w:p w14:paraId="427E05B9" w14:textId="77777777" w:rsidR="00C25F69" w:rsidRDefault="00C25F69" w:rsidP="00C25F69"/>
    <w:p w14:paraId="24F64CDF" w14:textId="5ECB90C7" w:rsidR="00C25F69" w:rsidRDefault="00C25F69" w:rsidP="00C25F69">
      <w:r>
        <w:t>Please note, on 1 July 2022 the Pae Ora (Healthy Futures) Act 2022 (the Pae Ora Act) replaced the NZPHD Act. Section 87 of the Pae Ora Act replaces section 11 of the NZPHD Act, including the requirement to disclose the committee information in our annual report.</w:t>
      </w:r>
    </w:p>
    <w:p w14:paraId="17EFD3BE" w14:textId="77777777" w:rsidR="00C25F69" w:rsidRDefault="00C25F69" w:rsidP="00C25F69">
      <w:pPr>
        <w:pStyle w:val="Heading4"/>
      </w:pPr>
      <w:r>
        <w:t>Interim departmental agencies</w:t>
      </w:r>
    </w:p>
    <w:p w14:paraId="669AD37F" w14:textId="77777777" w:rsidR="00C25F69" w:rsidRDefault="00C25F69" w:rsidP="00C25F69">
      <w:r>
        <w:t>As part of the health and disability system reforms, the following interim agencies were established as section 11 committees to oversee the creation of the new permanent entities.</w:t>
      </w:r>
    </w:p>
    <w:p w14:paraId="5CB0A72C" w14:textId="77777777" w:rsidR="00C25F69" w:rsidRDefault="00C25F69" w:rsidP="00C25F69">
      <w:pPr>
        <w:pStyle w:val="Heading4"/>
      </w:pPr>
      <w:r>
        <w:t>Interim Health New Zealand</w:t>
      </w:r>
    </w:p>
    <w:p w14:paraId="1EEF5D1A" w14:textId="1DCBD24C" w:rsidR="00C25F69" w:rsidRDefault="00C25F69" w:rsidP="00C25F69">
      <w:r>
        <w:t>The Interim Health New Zealand Board was established on 23 September 2021 to provide independent advice on establishing the permanent entity Te Whatu Ora | Health New Zealand and support the transformation and transfer of functions as the health and disability system reforms take effect.</w:t>
      </w:r>
    </w:p>
    <w:p w14:paraId="2F4F63A2" w14:textId="77777777" w:rsidR="00C25F69" w:rsidRDefault="00C25F69" w:rsidP="00C25F69"/>
    <w:p w14:paraId="1899156F" w14:textId="6EB8DECF" w:rsidR="00406B11" w:rsidRDefault="00C25F69" w:rsidP="00C25F69">
      <w:r>
        <w:t>The interim board was disestablished on 30 June 2022.</w:t>
      </w:r>
    </w:p>
    <w:p w14:paraId="4F4F0634" w14:textId="6B85587F" w:rsidR="00C25F69" w:rsidRDefault="00C25F69" w:rsidP="00C75867">
      <w:pPr>
        <w:pStyle w:val="Heading5"/>
        <w:spacing w:after="0"/>
      </w:pPr>
      <w:r w:rsidRPr="00C25F69">
        <w:t>Membership</w:t>
      </w:r>
    </w:p>
    <w:tbl>
      <w:tblPr>
        <w:tblpPr w:leftFromText="180" w:rightFromText="180" w:vertAnchor="text" w:horzAnchor="margin" w:tblpY="178"/>
        <w:tblW w:w="8647" w:type="dxa"/>
        <w:tblLayout w:type="fixed"/>
        <w:tblCellMar>
          <w:left w:w="0" w:type="dxa"/>
          <w:right w:w="0" w:type="dxa"/>
        </w:tblCellMar>
        <w:tblLook w:val="01E0" w:firstRow="1" w:lastRow="1" w:firstColumn="1" w:lastColumn="1" w:noHBand="0" w:noVBand="0"/>
      </w:tblPr>
      <w:tblGrid>
        <w:gridCol w:w="2895"/>
        <w:gridCol w:w="3204"/>
        <w:gridCol w:w="2548"/>
      </w:tblGrid>
      <w:tr w:rsidR="00C25F69" w14:paraId="6B73A909" w14:textId="77777777" w:rsidTr="00C75867">
        <w:trPr>
          <w:trHeight w:val="227"/>
        </w:trPr>
        <w:tc>
          <w:tcPr>
            <w:tcW w:w="2895" w:type="dxa"/>
          </w:tcPr>
          <w:p w14:paraId="75BB93F3" w14:textId="77777777" w:rsidR="00C25F69" w:rsidRDefault="00C25F69" w:rsidP="00C25F69">
            <w:r>
              <w:t>Mr</w:t>
            </w:r>
            <w:r>
              <w:rPr>
                <w:spacing w:val="14"/>
              </w:rPr>
              <w:t xml:space="preserve"> </w:t>
            </w:r>
            <w:r>
              <w:t>Rob</w:t>
            </w:r>
            <w:r>
              <w:rPr>
                <w:spacing w:val="15"/>
              </w:rPr>
              <w:t xml:space="preserve"> </w:t>
            </w:r>
            <w:r>
              <w:t>Campbell</w:t>
            </w:r>
            <w:r>
              <w:rPr>
                <w:spacing w:val="15"/>
              </w:rPr>
              <w:t xml:space="preserve"> </w:t>
            </w:r>
            <w:r>
              <w:t>(chair)</w:t>
            </w:r>
          </w:p>
        </w:tc>
        <w:tc>
          <w:tcPr>
            <w:tcW w:w="3204" w:type="dxa"/>
          </w:tcPr>
          <w:p w14:paraId="3827BD06" w14:textId="77777777" w:rsidR="00C25F69" w:rsidRDefault="00C25F69" w:rsidP="00C25F69">
            <w:r>
              <w:t>Hon</w:t>
            </w:r>
            <w:r>
              <w:rPr>
                <w:spacing w:val="11"/>
              </w:rPr>
              <w:t xml:space="preserve"> </w:t>
            </w:r>
            <w:r>
              <w:t>Amy</w:t>
            </w:r>
            <w:r>
              <w:rPr>
                <w:spacing w:val="12"/>
              </w:rPr>
              <w:t xml:space="preserve"> </w:t>
            </w:r>
            <w:r>
              <w:t>Adams</w:t>
            </w:r>
          </w:p>
        </w:tc>
        <w:tc>
          <w:tcPr>
            <w:tcW w:w="2548" w:type="dxa"/>
          </w:tcPr>
          <w:p w14:paraId="678B70CF" w14:textId="77777777" w:rsidR="00C25F69" w:rsidRDefault="00C25F69" w:rsidP="00C25F69">
            <w:r>
              <w:t>Cassandra</w:t>
            </w:r>
            <w:r>
              <w:rPr>
                <w:spacing w:val="33"/>
              </w:rPr>
              <w:t xml:space="preserve"> </w:t>
            </w:r>
            <w:r>
              <w:t>Crowley</w:t>
            </w:r>
          </w:p>
        </w:tc>
      </w:tr>
      <w:tr w:rsidR="00C25F69" w14:paraId="18C372CC" w14:textId="77777777" w:rsidTr="00C75867">
        <w:trPr>
          <w:trHeight w:val="227"/>
        </w:trPr>
        <w:tc>
          <w:tcPr>
            <w:tcW w:w="2895" w:type="dxa"/>
          </w:tcPr>
          <w:p w14:paraId="4F28B76E" w14:textId="77777777" w:rsidR="00C25F69" w:rsidRDefault="00C25F69" w:rsidP="00C25F69">
            <w:r>
              <w:t>Vui</w:t>
            </w:r>
            <w:r>
              <w:rPr>
                <w:spacing w:val="1"/>
              </w:rPr>
              <w:t xml:space="preserve"> </w:t>
            </w:r>
            <w:r>
              <w:t>Mark</w:t>
            </w:r>
            <w:r>
              <w:rPr>
                <w:spacing w:val="2"/>
              </w:rPr>
              <w:t xml:space="preserve"> </w:t>
            </w:r>
            <w:r>
              <w:t>Gosche</w:t>
            </w:r>
          </w:p>
        </w:tc>
        <w:tc>
          <w:tcPr>
            <w:tcW w:w="3204" w:type="dxa"/>
          </w:tcPr>
          <w:p w14:paraId="6811C5DC" w14:textId="77777777" w:rsidR="00C25F69" w:rsidRDefault="00C25F69" w:rsidP="00C25F69">
            <w:r>
              <w:rPr>
                <w:w w:val="105"/>
              </w:rPr>
              <w:t>Dame</w:t>
            </w:r>
            <w:r>
              <w:rPr>
                <w:spacing w:val="-14"/>
                <w:w w:val="105"/>
              </w:rPr>
              <w:t xml:space="preserve"> </w:t>
            </w:r>
            <w:r>
              <w:rPr>
                <w:w w:val="105"/>
              </w:rPr>
              <w:t>Dr</w:t>
            </w:r>
            <w:r>
              <w:rPr>
                <w:spacing w:val="-14"/>
                <w:w w:val="105"/>
              </w:rPr>
              <w:t xml:space="preserve"> </w:t>
            </w:r>
            <w:r>
              <w:rPr>
                <w:w w:val="105"/>
              </w:rPr>
              <w:t>Karen</w:t>
            </w:r>
            <w:r>
              <w:rPr>
                <w:spacing w:val="-14"/>
                <w:w w:val="105"/>
              </w:rPr>
              <w:t xml:space="preserve"> </w:t>
            </w:r>
            <w:r>
              <w:rPr>
                <w:w w:val="105"/>
              </w:rPr>
              <w:t>Poutasi</w:t>
            </w:r>
          </w:p>
        </w:tc>
        <w:tc>
          <w:tcPr>
            <w:tcW w:w="2548" w:type="dxa"/>
          </w:tcPr>
          <w:p w14:paraId="0CE06D08" w14:textId="77777777" w:rsidR="00C25F69" w:rsidRDefault="00C25F69" w:rsidP="00C25F69">
            <w:r>
              <w:rPr>
                <w:w w:val="105"/>
              </w:rPr>
              <w:t>Vanessa</w:t>
            </w:r>
            <w:r>
              <w:rPr>
                <w:spacing w:val="-7"/>
                <w:w w:val="105"/>
              </w:rPr>
              <w:t xml:space="preserve"> </w:t>
            </w:r>
            <w:r>
              <w:rPr>
                <w:w w:val="105"/>
              </w:rPr>
              <w:t>Stoddart</w:t>
            </w:r>
          </w:p>
        </w:tc>
      </w:tr>
      <w:tr w:rsidR="00C25F69" w14:paraId="73E265B6" w14:textId="77777777" w:rsidTr="00C75867">
        <w:trPr>
          <w:trHeight w:val="227"/>
        </w:trPr>
        <w:tc>
          <w:tcPr>
            <w:tcW w:w="2895" w:type="dxa"/>
          </w:tcPr>
          <w:p w14:paraId="1D17BA01" w14:textId="77777777" w:rsidR="00C25F69" w:rsidRDefault="00C25F69" w:rsidP="00C25F69">
            <w:r>
              <w:rPr>
                <w:w w:val="105"/>
              </w:rPr>
              <w:t>Dr</w:t>
            </w:r>
            <w:r>
              <w:rPr>
                <w:spacing w:val="-1"/>
                <w:w w:val="105"/>
              </w:rPr>
              <w:t xml:space="preserve"> </w:t>
            </w:r>
            <w:r>
              <w:rPr>
                <w:w w:val="105"/>
              </w:rPr>
              <w:t>Curtis</w:t>
            </w:r>
            <w:r>
              <w:rPr>
                <w:spacing w:val="-1"/>
                <w:w w:val="105"/>
              </w:rPr>
              <w:t xml:space="preserve"> </w:t>
            </w:r>
            <w:r>
              <w:rPr>
                <w:w w:val="105"/>
              </w:rPr>
              <w:t>Walker</w:t>
            </w:r>
          </w:p>
        </w:tc>
        <w:tc>
          <w:tcPr>
            <w:tcW w:w="3204" w:type="dxa"/>
          </w:tcPr>
          <w:p w14:paraId="32476D30" w14:textId="77777777" w:rsidR="00C25F69" w:rsidRDefault="00C25F69" w:rsidP="00C25F69">
            <w:r>
              <w:rPr>
                <w:w w:val="105"/>
              </w:rPr>
              <w:t>Sharon</w:t>
            </w:r>
            <w:r>
              <w:rPr>
                <w:spacing w:val="-6"/>
                <w:w w:val="105"/>
              </w:rPr>
              <w:t xml:space="preserve"> </w:t>
            </w:r>
            <w:r>
              <w:rPr>
                <w:w w:val="105"/>
              </w:rPr>
              <w:t>Shea</w:t>
            </w:r>
          </w:p>
        </w:tc>
        <w:tc>
          <w:tcPr>
            <w:tcW w:w="2548" w:type="dxa"/>
          </w:tcPr>
          <w:p w14:paraId="7934A672" w14:textId="77777777" w:rsidR="00C25F69" w:rsidRDefault="00C25F69" w:rsidP="00C25F69">
            <w:pPr>
              <w:rPr>
                <w:rFonts w:ascii="Times New Roman"/>
              </w:rPr>
            </w:pPr>
          </w:p>
        </w:tc>
      </w:tr>
    </w:tbl>
    <w:p w14:paraId="1AA4E8A6" w14:textId="77777777" w:rsidR="00C25F69" w:rsidRDefault="00C25F69" w:rsidP="00C25F69"/>
    <w:p w14:paraId="66FC18ED" w14:textId="25ADE131" w:rsidR="00C25F69" w:rsidRPr="00C25F69" w:rsidRDefault="00C25F69" w:rsidP="00C25F69">
      <w:pPr>
        <w:sectPr w:rsidR="00C25F69" w:rsidRPr="00C25F69" w:rsidSect="00C26282">
          <w:pgSz w:w="11907" w:h="16840" w:code="9"/>
          <w:pgMar w:top="1418" w:right="1701" w:bottom="1134" w:left="1843" w:header="284" w:footer="425" w:gutter="284"/>
          <w:cols w:space="720"/>
        </w:sectPr>
      </w:pPr>
    </w:p>
    <w:p w14:paraId="2D4752A2" w14:textId="77777777" w:rsidR="00C25F69" w:rsidRDefault="00C25F69" w:rsidP="00C25F69">
      <w:pPr>
        <w:pStyle w:val="Heading4"/>
        <w:spacing w:before="0"/>
      </w:pPr>
      <w:r>
        <w:lastRenderedPageBreak/>
        <w:t>Te Mana Hauora Māori | Interim Māori Health Authority</w:t>
      </w:r>
    </w:p>
    <w:p w14:paraId="2439CC46" w14:textId="4B84E6BC" w:rsidR="00C25F69" w:rsidRDefault="00C25F69" w:rsidP="00C25F69">
      <w:r>
        <w:t>The Te Mana Hauora Māori | Interim Māori Health Authority Board was established on 23 September 2021 to help drive the development of the permanent entity Te Aka Whai Ora | Māori Health Authority and its role within a newly transformed system.</w:t>
      </w:r>
    </w:p>
    <w:p w14:paraId="44949064" w14:textId="77777777" w:rsidR="00C25F69" w:rsidRDefault="00C25F69" w:rsidP="00C25F69"/>
    <w:p w14:paraId="585E4E7A" w14:textId="77777777" w:rsidR="00C25F69" w:rsidRDefault="00C25F69" w:rsidP="00C25F69">
      <w:r>
        <w:t>The interim board was disestablished on 30 June 2022.</w:t>
      </w:r>
    </w:p>
    <w:p w14:paraId="0B3704D3" w14:textId="77777777" w:rsidR="00C25F69" w:rsidRDefault="00C25F69" w:rsidP="00C75867">
      <w:pPr>
        <w:pStyle w:val="Heading5"/>
        <w:spacing w:after="0"/>
      </w:pPr>
      <w:r>
        <w:t>Membership</w:t>
      </w:r>
    </w:p>
    <w:tbl>
      <w:tblPr>
        <w:tblpPr w:leftFromText="180" w:rightFromText="180" w:vertAnchor="text" w:horzAnchor="margin" w:tblpY="140"/>
        <w:tblW w:w="0" w:type="auto"/>
        <w:tblLayout w:type="fixed"/>
        <w:tblCellMar>
          <w:left w:w="0" w:type="dxa"/>
          <w:right w:w="0" w:type="dxa"/>
        </w:tblCellMar>
        <w:tblLook w:val="01E0" w:firstRow="1" w:lastRow="1" w:firstColumn="1" w:lastColumn="1" w:noHBand="0" w:noVBand="0"/>
      </w:tblPr>
      <w:tblGrid>
        <w:gridCol w:w="2836"/>
        <w:gridCol w:w="2952"/>
        <w:gridCol w:w="1714"/>
      </w:tblGrid>
      <w:tr w:rsidR="00C25F69" w14:paraId="4E4540D3" w14:textId="77777777" w:rsidTr="00C75867">
        <w:trPr>
          <w:trHeight w:val="227"/>
        </w:trPr>
        <w:tc>
          <w:tcPr>
            <w:tcW w:w="2836" w:type="dxa"/>
          </w:tcPr>
          <w:p w14:paraId="2E075FD3" w14:textId="77777777" w:rsidR="00C25F69" w:rsidRDefault="00C25F69" w:rsidP="00C25F69">
            <w:r>
              <w:rPr>
                <w:w w:val="105"/>
              </w:rPr>
              <w:t>Sharon</w:t>
            </w:r>
            <w:r>
              <w:rPr>
                <w:spacing w:val="6"/>
                <w:w w:val="105"/>
              </w:rPr>
              <w:t xml:space="preserve"> </w:t>
            </w:r>
            <w:r>
              <w:rPr>
                <w:w w:val="105"/>
              </w:rPr>
              <w:t>Shea</w:t>
            </w:r>
            <w:r>
              <w:rPr>
                <w:spacing w:val="7"/>
                <w:w w:val="105"/>
              </w:rPr>
              <w:t xml:space="preserve"> </w:t>
            </w:r>
            <w:r>
              <w:rPr>
                <w:w w:val="105"/>
              </w:rPr>
              <w:t>(co-chair)</w:t>
            </w:r>
          </w:p>
        </w:tc>
        <w:tc>
          <w:tcPr>
            <w:tcW w:w="2952" w:type="dxa"/>
          </w:tcPr>
          <w:p w14:paraId="6BF3F618" w14:textId="77777777" w:rsidR="00C25F69" w:rsidRDefault="00C25F69" w:rsidP="00C25F69">
            <w:r>
              <w:rPr>
                <w:w w:val="105"/>
              </w:rPr>
              <w:t>Tipa</w:t>
            </w:r>
            <w:r>
              <w:rPr>
                <w:spacing w:val="-1"/>
                <w:w w:val="105"/>
              </w:rPr>
              <w:t xml:space="preserve"> </w:t>
            </w:r>
            <w:r>
              <w:rPr>
                <w:w w:val="105"/>
              </w:rPr>
              <w:t>Mahuta</w:t>
            </w:r>
            <w:r>
              <w:rPr>
                <w:spacing w:val="-1"/>
                <w:w w:val="105"/>
              </w:rPr>
              <w:t xml:space="preserve"> </w:t>
            </w:r>
            <w:r>
              <w:rPr>
                <w:w w:val="105"/>
              </w:rPr>
              <w:t>(co-chair)</w:t>
            </w:r>
          </w:p>
        </w:tc>
        <w:tc>
          <w:tcPr>
            <w:tcW w:w="1714" w:type="dxa"/>
          </w:tcPr>
          <w:p w14:paraId="0934EBC3" w14:textId="77777777" w:rsidR="00C25F69" w:rsidRDefault="00C25F69" w:rsidP="00C25F69">
            <w:r>
              <w:t>Dr</w:t>
            </w:r>
            <w:r>
              <w:rPr>
                <w:spacing w:val="9"/>
              </w:rPr>
              <w:t xml:space="preserve"> </w:t>
            </w:r>
            <w:r>
              <w:t>Sue</w:t>
            </w:r>
            <w:r>
              <w:rPr>
                <w:spacing w:val="10"/>
              </w:rPr>
              <w:t xml:space="preserve"> </w:t>
            </w:r>
            <w:r>
              <w:t>Crengle</w:t>
            </w:r>
          </w:p>
        </w:tc>
      </w:tr>
      <w:tr w:rsidR="00C25F69" w14:paraId="72DE9B2A" w14:textId="77777777" w:rsidTr="00C75867">
        <w:trPr>
          <w:trHeight w:val="227"/>
        </w:trPr>
        <w:tc>
          <w:tcPr>
            <w:tcW w:w="2836" w:type="dxa"/>
          </w:tcPr>
          <w:p w14:paraId="51D4C634" w14:textId="77777777" w:rsidR="00C25F69" w:rsidRDefault="00C25F69" w:rsidP="00C25F69">
            <w:r>
              <w:t>Dr</w:t>
            </w:r>
            <w:r>
              <w:rPr>
                <w:spacing w:val="9"/>
              </w:rPr>
              <w:t xml:space="preserve"> </w:t>
            </w:r>
            <w:r>
              <w:t>Mataroria</w:t>
            </w:r>
            <w:r>
              <w:rPr>
                <w:spacing w:val="10"/>
              </w:rPr>
              <w:t xml:space="preserve"> </w:t>
            </w:r>
            <w:r>
              <w:t>Lyndon</w:t>
            </w:r>
          </w:p>
        </w:tc>
        <w:tc>
          <w:tcPr>
            <w:tcW w:w="2952" w:type="dxa"/>
          </w:tcPr>
          <w:p w14:paraId="6AC493C7" w14:textId="77777777" w:rsidR="00C25F69" w:rsidRDefault="00C25F69" w:rsidP="00C25F69">
            <w:r>
              <w:t>Lady</w:t>
            </w:r>
            <w:r>
              <w:rPr>
                <w:spacing w:val="12"/>
              </w:rPr>
              <w:t xml:space="preserve"> </w:t>
            </w:r>
            <w:r>
              <w:t>Tureiti</w:t>
            </w:r>
            <w:r>
              <w:rPr>
                <w:spacing w:val="12"/>
              </w:rPr>
              <w:t xml:space="preserve"> </w:t>
            </w:r>
            <w:r>
              <w:t>Moxon</w:t>
            </w:r>
          </w:p>
        </w:tc>
        <w:tc>
          <w:tcPr>
            <w:tcW w:w="1714" w:type="dxa"/>
          </w:tcPr>
          <w:p w14:paraId="12661FCC" w14:textId="77777777" w:rsidR="00C25F69" w:rsidRDefault="00C25F69" w:rsidP="00C25F69">
            <w:r>
              <w:rPr>
                <w:w w:val="105"/>
              </w:rPr>
              <w:t>Fiona</w:t>
            </w:r>
            <w:r>
              <w:rPr>
                <w:spacing w:val="-3"/>
                <w:w w:val="105"/>
              </w:rPr>
              <w:t xml:space="preserve"> </w:t>
            </w:r>
            <w:r>
              <w:rPr>
                <w:w w:val="105"/>
              </w:rPr>
              <w:t>Pimm</w:t>
            </w:r>
          </w:p>
        </w:tc>
      </w:tr>
      <w:tr w:rsidR="00C25F69" w14:paraId="2713A29A" w14:textId="77777777" w:rsidTr="00C75867">
        <w:trPr>
          <w:trHeight w:val="227"/>
        </w:trPr>
        <w:tc>
          <w:tcPr>
            <w:tcW w:w="2836" w:type="dxa"/>
          </w:tcPr>
          <w:p w14:paraId="60F39417" w14:textId="77777777" w:rsidR="00C25F69" w:rsidRDefault="00C25F69" w:rsidP="00C25F69">
            <w:r>
              <w:t>Awerangi</w:t>
            </w:r>
            <w:r>
              <w:rPr>
                <w:spacing w:val="26"/>
              </w:rPr>
              <w:t xml:space="preserve"> </w:t>
            </w:r>
            <w:r>
              <w:t>Tamihere</w:t>
            </w:r>
          </w:p>
        </w:tc>
        <w:tc>
          <w:tcPr>
            <w:tcW w:w="2952" w:type="dxa"/>
          </w:tcPr>
          <w:p w14:paraId="7B851DAE" w14:textId="77777777" w:rsidR="00C25F69" w:rsidRDefault="00C25F69" w:rsidP="00C25F69">
            <w:r>
              <w:rPr>
                <w:w w:val="105"/>
              </w:rPr>
              <w:t>Dr Chris Tooley</w:t>
            </w:r>
          </w:p>
        </w:tc>
        <w:tc>
          <w:tcPr>
            <w:tcW w:w="1714" w:type="dxa"/>
          </w:tcPr>
          <w:p w14:paraId="3CD0888F" w14:textId="77777777" w:rsidR="00C25F69" w:rsidRDefault="00C25F69" w:rsidP="00C25F69">
            <w:pPr>
              <w:rPr>
                <w:rFonts w:ascii="Times New Roman"/>
              </w:rPr>
            </w:pPr>
          </w:p>
        </w:tc>
      </w:tr>
    </w:tbl>
    <w:p w14:paraId="77B143D2" w14:textId="77777777" w:rsidR="00C25F69" w:rsidRDefault="00C25F69" w:rsidP="00C25F69"/>
    <w:p w14:paraId="03CDAEE0" w14:textId="77777777" w:rsidR="00C25F69" w:rsidRDefault="00C25F69" w:rsidP="00C25F69"/>
    <w:p w14:paraId="7E3C0F11" w14:textId="77777777" w:rsidR="00C25F69" w:rsidRPr="00C25F69" w:rsidRDefault="00C25F69" w:rsidP="00C25F69"/>
    <w:p w14:paraId="50D331A1" w14:textId="77777777" w:rsidR="00C25F69" w:rsidRDefault="00C25F69" w:rsidP="00C25F69">
      <w:pPr>
        <w:pStyle w:val="Heading4"/>
      </w:pPr>
      <w:r>
        <w:t>Pharmac Review Committee</w:t>
      </w:r>
    </w:p>
    <w:p w14:paraId="5123D3D7" w14:textId="77777777" w:rsidR="00C25F69" w:rsidRDefault="00C25F69" w:rsidP="00C25F69">
      <w:r>
        <w:t>The Pharmac Review Committee was established in March 2021. It examined:</w:t>
      </w:r>
    </w:p>
    <w:p w14:paraId="6682BD97" w14:textId="3F998DD0" w:rsidR="00C25F69" w:rsidRDefault="00C25F69" w:rsidP="00C25F69">
      <w:pPr>
        <w:pStyle w:val="Bullet"/>
      </w:pPr>
      <w:r>
        <w:t>how well Pharmac performs against its current objectives and whether (and how) its performance against these could be improved</w:t>
      </w:r>
    </w:p>
    <w:p w14:paraId="40B02591" w14:textId="033E7E8F" w:rsidR="00C25F69" w:rsidRDefault="00C25F69" w:rsidP="00C25F69">
      <w:pPr>
        <w:pStyle w:val="Bullet"/>
      </w:pPr>
      <w:r>
        <w:t>whether Pharmac’s current objectives maximise its potential to improve health outcomes for all New Zealanders as part of the wider health system, and whether and how these objectives could be changed.</w:t>
      </w:r>
    </w:p>
    <w:p w14:paraId="37EAA47F" w14:textId="77777777" w:rsidR="00C25F69" w:rsidRDefault="00C25F69" w:rsidP="00C25F69"/>
    <w:p w14:paraId="409E121A" w14:textId="0F89E388" w:rsidR="00C25F69" w:rsidRDefault="00C25F69" w:rsidP="00C25F69">
      <w:r>
        <w:t>The committee was disestablished at the end of March 2022, after completing the review.</w:t>
      </w:r>
    </w:p>
    <w:p w14:paraId="0B2954E7" w14:textId="77777777" w:rsidR="00C25F69" w:rsidRDefault="00C25F69" w:rsidP="00C25F69">
      <w:pPr>
        <w:pStyle w:val="Heading5"/>
      </w:pPr>
      <w:r>
        <w:t>Membership</w:t>
      </w:r>
    </w:p>
    <w:p w14:paraId="4BAAD325" w14:textId="77777777" w:rsidR="00C25F69" w:rsidRDefault="00C25F69" w:rsidP="00C25F69">
      <w:r>
        <w:t>NA (disestablished).</w:t>
      </w:r>
    </w:p>
    <w:p w14:paraId="7373193D" w14:textId="77777777" w:rsidR="00C25F69" w:rsidRDefault="00C25F69" w:rsidP="00C25F69">
      <w:pPr>
        <w:pStyle w:val="Heading4"/>
      </w:pPr>
      <w:r>
        <w:t>Capital Investment Committee</w:t>
      </w:r>
    </w:p>
    <w:p w14:paraId="219C4175" w14:textId="77777777" w:rsidR="00C25F69" w:rsidRDefault="00C25F69" w:rsidP="00C25F69">
      <w:r>
        <w:t>The Capital Investment Committee provides independent advice to the Director-General of Health and the Ministers of Health and Finance on capital investment and infrastructure in the public health sector in line with Government priorities. This work includes:</w:t>
      </w:r>
    </w:p>
    <w:p w14:paraId="0287E892" w14:textId="2BC8A412" w:rsidR="00C25F69" w:rsidRDefault="00C25F69" w:rsidP="00C25F69">
      <w:pPr>
        <w:pStyle w:val="Bullet"/>
      </w:pPr>
      <w:r>
        <w:t>working with district health boards to review their business case proposal</w:t>
      </w:r>
    </w:p>
    <w:p w14:paraId="32F1CBF5" w14:textId="181569BB" w:rsidR="00C25F69" w:rsidRDefault="00C25F69" w:rsidP="00C25F69">
      <w:pPr>
        <w:pStyle w:val="Bullet"/>
      </w:pPr>
      <w:r>
        <w:t>prioritising capital investment</w:t>
      </w:r>
    </w:p>
    <w:p w14:paraId="012A4236" w14:textId="11FA3C19" w:rsidR="00C25F69" w:rsidRDefault="00C25F69" w:rsidP="00C25F69">
      <w:pPr>
        <w:pStyle w:val="Bullet"/>
      </w:pPr>
      <w:r>
        <w:t>delivering a National Asset Management Plan</w:t>
      </w:r>
    </w:p>
    <w:p w14:paraId="4A34BE9D" w14:textId="238549CF" w:rsidR="00C25F69" w:rsidRDefault="00C25F69" w:rsidP="00C25F69">
      <w:pPr>
        <w:pStyle w:val="Bullet"/>
      </w:pPr>
      <w:r>
        <w:t>any other matters that the Minister may refer to the Committee.</w:t>
      </w:r>
    </w:p>
    <w:tbl>
      <w:tblPr>
        <w:tblW w:w="0" w:type="auto"/>
        <w:tblLayout w:type="fixed"/>
        <w:tblCellMar>
          <w:left w:w="0" w:type="dxa"/>
          <w:right w:w="0" w:type="dxa"/>
        </w:tblCellMar>
        <w:tblLook w:val="01E0" w:firstRow="1" w:lastRow="1" w:firstColumn="1" w:lastColumn="1" w:noHBand="0" w:noVBand="0"/>
      </w:tblPr>
      <w:tblGrid>
        <w:gridCol w:w="2772"/>
        <w:gridCol w:w="2513"/>
        <w:gridCol w:w="2606"/>
      </w:tblGrid>
      <w:tr w:rsidR="00C25F69" w14:paraId="413506BA" w14:textId="77777777" w:rsidTr="00C25F69">
        <w:trPr>
          <w:trHeight w:val="390"/>
        </w:trPr>
        <w:tc>
          <w:tcPr>
            <w:tcW w:w="2772" w:type="dxa"/>
          </w:tcPr>
          <w:p w14:paraId="00AF1DF4" w14:textId="77777777" w:rsidR="00C25F69" w:rsidRDefault="00C25F69" w:rsidP="00C25F69">
            <w:pPr>
              <w:pStyle w:val="Heading5"/>
            </w:pPr>
            <w:r>
              <w:rPr>
                <w:w w:val="105"/>
              </w:rPr>
              <w:t>Membership</w:t>
            </w:r>
          </w:p>
        </w:tc>
        <w:tc>
          <w:tcPr>
            <w:tcW w:w="5119" w:type="dxa"/>
            <w:gridSpan w:val="2"/>
          </w:tcPr>
          <w:p w14:paraId="591CCEC3" w14:textId="77777777" w:rsidR="00C25F69" w:rsidRDefault="00C25F69" w:rsidP="009824C8">
            <w:pPr>
              <w:pStyle w:val="TableParagraph"/>
              <w:jc w:val="left"/>
              <w:rPr>
                <w:rFonts w:ascii="Times New Roman"/>
                <w:sz w:val="20"/>
              </w:rPr>
            </w:pPr>
          </w:p>
        </w:tc>
      </w:tr>
      <w:tr w:rsidR="00C25F69" w14:paraId="3D7190BE" w14:textId="77777777" w:rsidTr="00C25F69">
        <w:trPr>
          <w:trHeight w:val="324"/>
        </w:trPr>
        <w:tc>
          <w:tcPr>
            <w:tcW w:w="2772" w:type="dxa"/>
          </w:tcPr>
          <w:p w14:paraId="2A4FE47D" w14:textId="77777777" w:rsidR="00C25F69" w:rsidRDefault="00C25F69" w:rsidP="00C25F69">
            <w:r>
              <w:rPr>
                <w:w w:val="105"/>
              </w:rPr>
              <w:t>Evan</w:t>
            </w:r>
            <w:r>
              <w:rPr>
                <w:spacing w:val="-8"/>
                <w:w w:val="105"/>
              </w:rPr>
              <w:t xml:space="preserve"> </w:t>
            </w:r>
            <w:r>
              <w:rPr>
                <w:w w:val="105"/>
              </w:rPr>
              <w:t>Davies</w:t>
            </w:r>
            <w:r>
              <w:rPr>
                <w:spacing w:val="-8"/>
                <w:w w:val="105"/>
              </w:rPr>
              <w:t xml:space="preserve"> </w:t>
            </w:r>
            <w:r>
              <w:rPr>
                <w:w w:val="105"/>
              </w:rPr>
              <w:t>(chair)</w:t>
            </w:r>
          </w:p>
        </w:tc>
        <w:tc>
          <w:tcPr>
            <w:tcW w:w="2513" w:type="dxa"/>
          </w:tcPr>
          <w:p w14:paraId="55FD5DDC" w14:textId="77777777" w:rsidR="00C25F69" w:rsidRDefault="00C25F69" w:rsidP="00C25F69">
            <w:r>
              <w:t>Paul</w:t>
            </w:r>
            <w:r>
              <w:rPr>
                <w:spacing w:val="17"/>
              </w:rPr>
              <w:t xml:space="preserve"> </w:t>
            </w:r>
            <w:r>
              <w:t>Carpinter</w:t>
            </w:r>
          </w:p>
        </w:tc>
        <w:tc>
          <w:tcPr>
            <w:tcW w:w="2606" w:type="dxa"/>
          </w:tcPr>
          <w:p w14:paraId="7406A194" w14:textId="77777777" w:rsidR="00C25F69" w:rsidRDefault="00C25F69" w:rsidP="00C25F69">
            <w:r>
              <w:t>Jan</w:t>
            </w:r>
            <w:r>
              <w:rPr>
                <w:spacing w:val="12"/>
              </w:rPr>
              <w:t xml:space="preserve"> </w:t>
            </w:r>
            <w:r>
              <w:t>Dawson</w:t>
            </w:r>
          </w:p>
        </w:tc>
      </w:tr>
      <w:tr w:rsidR="00C25F69" w14:paraId="14508839" w14:textId="77777777" w:rsidTr="00C25F69">
        <w:trPr>
          <w:trHeight w:val="332"/>
        </w:trPr>
        <w:tc>
          <w:tcPr>
            <w:tcW w:w="2772" w:type="dxa"/>
          </w:tcPr>
          <w:p w14:paraId="48CAAB1B" w14:textId="77777777" w:rsidR="00C25F69" w:rsidRDefault="00C25F69" w:rsidP="00C25F69">
            <w:r>
              <w:rPr>
                <w:w w:val="105"/>
              </w:rPr>
              <w:t>Professor</w:t>
            </w:r>
            <w:r>
              <w:rPr>
                <w:spacing w:val="-6"/>
                <w:w w:val="105"/>
              </w:rPr>
              <w:t xml:space="preserve"> </w:t>
            </w:r>
            <w:r>
              <w:rPr>
                <w:w w:val="105"/>
              </w:rPr>
              <w:t>Des</w:t>
            </w:r>
            <w:r>
              <w:rPr>
                <w:spacing w:val="-5"/>
                <w:w w:val="105"/>
              </w:rPr>
              <w:t xml:space="preserve"> </w:t>
            </w:r>
            <w:r>
              <w:rPr>
                <w:w w:val="105"/>
              </w:rPr>
              <w:t>Gorman</w:t>
            </w:r>
          </w:p>
        </w:tc>
        <w:tc>
          <w:tcPr>
            <w:tcW w:w="2513" w:type="dxa"/>
          </w:tcPr>
          <w:p w14:paraId="2212FBBC" w14:textId="77777777" w:rsidR="00C25F69" w:rsidRDefault="00C25F69" w:rsidP="00C25F69">
            <w:r>
              <w:rPr>
                <w:w w:val="105"/>
              </w:rPr>
              <w:t>Murray</w:t>
            </w:r>
            <w:r>
              <w:rPr>
                <w:spacing w:val="-11"/>
                <w:w w:val="105"/>
              </w:rPr>
              <w:t xml:space="preserve"> </w:t>
            </w:r>
            <w:r>
              <w:rPr>
                <w:w w:val="105"/>
              </w:rPr>
              <w:t>Milner</w:t>
            </w:r>
          </w:p>
        </w:tc>
        <w:tc>
          <w:tcPr>
            <w:tcW w:w="2606" w:type="dxa"/>
          </w:tcPr>
          <w:p w14:paraId="4D50155E" w14:textId="77777777" w:rsidR="00C25F69" w:rsidRDefault="00C25F69" w:rsidP="00C25F69">
            <w:r>
              <w:rPr>
                <w:w w:val="105"/>
              </w:rPr>
              <w:t>Dr</w:t>
            </w:r>
            <w:r>
              <w:rPr>
                <w:spacing w:val="-7"/>
                <w:w w:val="105"/>
              </w:rPr>
              <w:t xml:space="preserve"> </w:t>
            </w:r>
            <w:r>
              <w:rPr>
                <w:w w:val="105"/>
              </w:rPr>
              <w:t>Margaret</w:t>
            </w:r>
            <w:r>
              <w:rPr>
                <w:spacing w:val="-6"/>
                <w:w w:val="105"/>
              </w:rPr>
              <w:t xml:space="preserve"> </w:t>
            </w:r>
            <w:r>
              <w:rPr>
                <w:w w:val="105"/>
              </w:rPr>
              <w:t>Wilsher</w:t>
            </w:r>
          </w:p>
        </w:tc>
      </w:tr>
    </w:tbl>
    <w:p w14:paraId="2034F00B" w14:textId="77777777" w:rsidR="00C25F69" w:rsidRPr="00C25F69" w:rsidRDefault="00C25F69" w:rsidP="00C25F69">
      <w:pPr>
        <w:pStyle w:val="Bullet"/>
        <w:numPr>
          <w:ilvl w:val="0"/>
          <w:numId w:val="0"/>
        </w:numPr>
        <w:ind w:left="284" w:hanging="284"/>
      </w:pPr>
    </w:p>
    <w:p w14:paraId="553D1B0F" w14:textId="77777777" w:rsidR="00C25F69" w:rsidRDefault="00C25F69" w:rsidP="00C25F69"/>
    <w:p w14:paraId="3ED4376E" w14:textId="6481739C" w:rsidR="00C25F69" w:rsidRPr="00C25F69" w:rsidRDefault="00C25F69" w:rsidP="00C25F69">
      <w:pPr>
        <w:sectPr w:rsidR="00C25F69" w:rsidRPr="00C25F69" w:rsidSect="00C26282">
          <w:pgSz w:w="11907" w:h="16840" w:code="9"/>
          <w:pgMar w:top="1418" w:right="1701" w:bottom="1134" w:left="1843" w:header="284" w:footer="425" w:gutter="284"/>
          <w:cols w:space="720"/>
        </w:sectPr>
      </w:pPr>
    </w:p>
    <w:p w14:paraId="20EDCC13" w14:textId="77777777" w:rsidR="00C25F69" w:rsidRDefault="00C25F69" w:rsidP="00C75867">
      <w:pPr>
        <w:pStyle w:val="Heading4"/>
        <w:spacing w:before="0" w:after="200"/>
      </w:pPr>
      <w:r>
        <w:lastRenderedPageBreak/>
        <w:t>Health Workforce Advisory Board</w:t>
      </w:r>
    </w:p>
    <w:p w14:paraId="5DBABACF" w14:textId="610F387E" w:rsidR="00C25F69" w:rsidRDefault="00C25F69" w:rsidP="00C25F69">
      <w:r>
        <w:t>The Health Workforce Advisory Board was established under section 11 of the NZPHD Act. It provides advice to the Minister of Health on health workforce matters, including strategic direction, emerging issues and risks.</w:t>
      </w:r>
    </w:p>
    <w:p w14:paraId="1FF72692" w14:textId="77777777" w:rsidR="00C25F69" w:rsidRDefault="00C25F69" w:rsidP="00C25F69"/>
    <w:p w14:paraId="5F9D8318" w14:textId="77777777" w:rsidR="00C25F69" w:rsidRDefault="00C25F69" w:rsidP="00C25F69">
      <w:r>
        <w:t>Additionally, the Health Workforce Advisory Board acts as an advisory committee for the health workforce, under section 15 of the NZPHD Act.</w:t>
      </w:r>
    </w:p>
    <w:p w14:paraId="02110DCB" w14:textId="77777777" w:rsidR="00C25F69" w:rsidRDefault="00C25F69" w:rsidP="00C25F69">
      <w:pPr>
        <w:pStyle w:val="Heading5"/>
      </w:pPr>
      <w:r>
        <w:t>Membership</w:t>
      </w:r>
    </w:p>
    <w:p w14:paraId="2B93BEF3" w14:textId="678F7EFC" w:rsidR="00C25F69" w:rsidRDefault="00C25F69" w:rsidP="00C25F69">
      <w:r>
        <w:t xml:space="preserve">Dame Professor Judith McGregor (chair) </w:t>
      </w:r>
      <w:r>
        <w:tab/>
        <w:t>Dr Grace Wong</w:t>
      </w:r>
    </w:p>
    <w:p w14:paraId="5E1140E6" w14:textId="2904553B" w:rsidR="00C25F69" w:rsidRDefault="00C25F69" w:rsidP="00C25F69">
      <w:r>
        <w:t>Dr Andrew Connolly</w:t>
      </w:r>
      <w:r>
        <w:tab/>
      </w:r>
      <w:r>
        <w:tab/>
      </w:r>
      <w:r>
        <w:tab/>
      </w:r>
      <w:r>
        <w:tab/>
        <w:t>Ailsa Claire (ex officio)</w:t>
      </w:r>
    </w:p>
    <w:p w14:paraId="56F3A27A" w14:textId="7023147C" w:rsidR="00C25F69" w:rsidRDefault="00C25F69" w:rsidP="00C25F69">
      <w:pPr>
        <w:ind w:right="-426"/>
      </w:pPr>
      <w:r>
        <w:t>Karl Metzler</w:t>
      </w:r>
      <w:r>
        <w:tab/>
      </w:r>
      <w:r>
        <w:tab/>
      </w:r>
      <w:r>
        <w:tab/>
      </w:r>
      <w:r>
        <w:tab/>
      </w:r>
      <w:r>
        <w:tab/>
      </w:r>
      <w:r>
        <w:tab/>
        <w:t>Faumuina Associate Professor Fa’afetai Sopoaga</w:t>
      </w:r>
    </w:p>
    <w:p w14:paraId="0C97DA76" w14:textId="29037202" w:rsidR="00C25F69" w:rsidRDefault="00C25F69" w:rsidP="00C25F69">
      <w:r>
        <w:t>Tūraukawa Bartlett</w:t>
      </w:r>
      <w:r>
        <w:tab/>
      </w:r>
      <w:r>
        <w:tab/>
      </w:r>
      <w:r>
        <w:tab/>
      </w:r>
      <w:r>
        <w:tab/>
        <w:t>Wesley Pigg</w:t>
      </w:r>
    </w:p>
    <w:p w14:paraId="04397898" w14:textId="0582C850" w:rsidR="006A0B4A" w:rsidRDefault="006A0B4A" w:rsidP="00C25F69">
      <w:r w:rsidRPr="006A0B4A">
        <w:t>Dr Joanne Baxter</w:t>
      </w:r>
    </w:p>
    <w:p w14:paraId="154D1EE5" w14:textId="77777777" w:rsidR="00C25F69" w:rsidRDefault="00C25F69" w:rsidP="00C75867">
      <w:pPr>
        <w:pStyle w:val="Heading4"/>
        <w:spacing w:after="200"/>
      </w:pPr>
      <w:r>
        <w:t>Health and disability ethics committees</w:t>
      </w:r>
    </w:p>
    <w:p w14:paraId="4AA6E306" w14:textId="77777777" w:rsidR="00C25F69" w:rsidRDefault="00C25F69" w:rsidP="00C25F69">
      <w:r>
        <w:t>The health and disability ethics committees are a group of 4 regionally based ethics committees: Northern A, Northern B, Central and Southern. Their purpose is to check that health and disability research (such as clinical trials) being conducted meets, or exceeds, ethical standards established by the National Ethics Advisory Committee.</w:t>
      </w:r>
    </w:p>
    <w:p w14:paraId="7F6040FB" w14:textId="77777777" w:rsidR="00C25F69" w:rsidRDefault="00C25F69" w:rsidP="00C25F69">
      <w:pPr>
        <w:pStyle w:val="Heading5"/>
      </w:pPr>
      <w:r>
        <w:t>Membership: Northern A</w:t>
      </w:r>
    </w:p>
    <w:p w14:paraId="2AA9DB4A" w14:textId="77777777" w:rsidR="00C25F69" w:rsidRDefault="00C25F69" w:rsidP="00C25F69">
      <w:r>
        <w:t>Dr Kate Parker</w:t>
      </w:r>
    </w:p>
    <w:p w14:paraId="514E7455" w14:textId="77777777" w:rsidR="00C25F69" w:rsidRDefault="00C25F69" w:rsidP="00C25F69">
      <w:pPr>
        <w:pStyle w:val="Heading6"/>
      </w:pPr>
      <w:r>
        <w:t>Resigned (1 July 2021 – 30 June 2022):</w:t>
      </w:r>
    </w:p>
    <w:p w14:paraId="49D1C189" w14:textId="0623B8B5" w:rsidR="00C25F69" w:rsidRDefault="00C25F69" w:rsidP="00C25F69">
      <w:r>
        <w:t>Dr Michael Meyer</w:t>
      </w:r>
      <w:r>
        <w:tab/>
      </w:r>
      <w:r>
        <w:tab/>
      </w:r>
      <w:r>
        <w:tab/>
        <w:t>Dr Karen Bartholomew</w:t>
      </w:r>
    </w:p>
    <w:p w14:paraId="3CA9A365" w14:textId="77777777" w:rsidR="00C25F69" w:rsidRDefault="00C25F69" w:rsidP="00C25F69">
      <w:pPr>
        <w:pStyle w:val="Heading5"/>
      </w:pPr>
      <w:r>
        <w:t>Membership: Northern B</w:t>
      </w:r>
    </w:p>
    <w:p w14:paraId="7E5AC5C7" w14:textId="77777777" w:rsidR="006A0B4A" w:rsidRDefault="00C25F69" w:rsidP="00C25F69">
      <w:r>
        <w:t>Kate O’Connor (chair)</w:t>
      </w:r>
      <w:r>
        <w:tab/>
      </w:r>
      <w:r>
        <w:tab/>
        <w:t>Barry Taylor</w:t>
      </w:r>
      <w:r>
        <w:tab/>
      </w:r>
      <w:r w:rsidR="006A0B4A">
        <w:tab/>
      </w:r>
    </w:p>
    <w:p w14:paraId="52EE23A5" w14:textId="4D34BE39" w:rsidR="00C25F69" w:rsidRDefault="00C25F69" w:rsidP="00C25F69">
      <w:r>
        <w:t xml:space="preserve">Leesa Russell </w:t>
      </w:r>
      <w:r w:rsidR="006A0B4A">
        <w:tab/>
      </w:r>
      <w:r w:rsidR="006A0B4A">
        <w:tab/>
      </w:r>
      <w:r w:rsidR="006A0B4A">
        <w:tab/>
      </w:r>
      <w:r>
        <w:t>Alice McCarthy</w:t>
      </w:r>
    </w:p>
    <w:p w14:paraId="14DA5580" w14:textId="77777777" w:rsidR="00C25F69" w:rsidRDefault="00C25F69" w:rsidP="00C25F69">
      <w:pPr>
        <w:pStyle w:val="Heading6"/>
      </w:pPr>
      <w:r>
        <w:t>Resigned (1 July 2021 – 30 June 2022):</w:t>
      </w:r>
    </w:p>
    <w:p w14:paraId="72624C84" w14:textId="77777777" w:rsidR="006A0B4A" w:rsidRDefault="00C25F69" w:rsidP="00C25F69">
      <w:r>
        <w:t>Dr Gabrielle Jenkin</w:t>
      </w:r>
      <w:r>
        <w:tab/>
      </w:r>
      <w:r>
        <w:tab/>
        <w:t>Maxine Shortland</w:t>
      </w:r>
      <w:r>
        <w:tab/>
      </w:r>
      <w:r>
        <w:tab/>
      </w:r>
      <w:r>
        <w:tab/>
      </w:r>
    </w:p>
    <w:p w14:paraId="170EB9D6" w14:textId="7B727E40" w:rsidR="00C25F69" w:rsidRDefault="00C25F69" w:rsidP="00C25F69">
      <w:r>
        <w:t>Susan Sherrard</w:t>
      </w:r>
    </w:p>
    <w:p w14:paraId="2355BE81" w14:textId="77777777" w:rsidR="00C25F69" w:rsidRDefault="00C25F69" w:rsidP="00C25F69">
      <w:pPr>
        <w:pStyle w:val="Heading5"/>
      </w:pPr>
      <w:r>
        <w:t>Membership: Central</w:t>
      </w:r>
    </w:p>
    <w:p w14:paraId="2B7A21BF" w14:textId="6DF6CA28" w:rsidR="00C25F69" w:rsidRDefault="00C25F69" w:rsidP="00C25F69">
      <w:r>
        <w:t>Helen Walker (chair)</w:t>
      </w:r>
      <w:r>
        <w:tab/>
      </w:r>
      <w:r>
        <w:tab/>
        <w:t>Associate Professor Patries Herst</w:t>
      </w:r>
    </w:p>
    <w:p w14:paraId="6773F59B" w14:textId="77777777" w:rsidR="006A0B4A" w:rsidRDefault="00C25F69" w:rsidP="00C25F69">
      <w:r>
        <w:t>Albany Lucas</w:t>
      </w:r>
      <w:r>
        <w:tab/>
      </w:r>
      <w:r>
        <w:tab/>
      </w:r>
      <w:r>
        <w:tab/>
        <w:t>Dr Cordelia Thomas</w:t>
      </w:r>
      <w:r>
        <w:tab/>
      </w:r>
      <w:r>
        <w:tab/>
      </w:r>
    </w:p>
    <w:p w14:paraId="20998601" w14:textId="77777777" w:rsidR="006A0B4A" w:rsidRDefault="00C25F69" w:rsidP="00C25F69">
      <w:r>
        <w:t>Sandra Gill</w:t>
      </w:r>
      <w:r w:rsidR="006A0B4A">
        <w:tab/>
      </w:r>
      <w:r w:rsidR="006A0B4A">
        <w:tab/>
      </w:r>
      <w:r w:rsidR="006A0B4A">
        <w:tab/>
      </w:r>
      <w:r w:rsidR="006A0B4A">
        <w:tab/>
      </w:r>
      <w:r>
        <w:t>Jessie Lenagh-Glue</w:t>
      </w:r>
      <w:r>
        <w:tab/>
      </w:r>
    </w:p>
    <w:p w14:paraId="0C662BDE" w14:textId="343E8DEF" w:rsidR="00C25F69" w:rsidRDefault="006A0B4A" w:rsidP="00C25F69">
      <w:r>
        <w:t>J</w:t>
      </w:r>
      <w:r w:rsidR="00C25F69">
        <w:t>ulie Jones</w:t>
      </w:r>
    </w:p>
    <w:p w14:paraId="46AD9FD1" w14:textId="77777777" w:rsidR="00C25F69" w:rsidRDefault="00C25F69" w:rsidP="00C25F69">
      <w:pPr>
        <w:pStyle w:val="Heading6"/>
      </w:pPr>
      <w:r>
        <w:t>Resigned (1 July 2021 – 30 June 2022):</w:t>
      </w:r>
    </w:p>
    <w:p w14:paraId="0DD8E94C" w14:textId="77777777" w:rsidR="00C25F69" w:rsidRDefault="00C25F69" w:rsidP="00C25F69">
      <w:r>
        <w:t>Dr Peter Gallagher</w:t>
      </w:r>
    </w:p>
    <w:p w14:paraId="557AD051" w14:textId="77777777" w:rsidR="00C25F69" w:rsidRDefault="00C25F69" w:rsidP="00C25F69">
      <w:pPr>
        <w:pStyle w:val="Heading5"/>
      </w:pPr>
      <w:r>
        <w:lastRenderedPageBreak/>
        <w:t>Membership: Southern</w:t>
      </w:r>
    </w:p>
    <w:p w14:paraId="639686BF" w14:textId="7CAC392A" w:rsidR="00C25F69" w:rsidRDefault="00C25F69" w:rsidP="00C25F69">
      <w:r>
        <w:t>Anthony Fallon (chair)</w:t>
      </w:r>
      <w:r>
        <w:tab/>
      </w:r>
      <w:r>
        <w:tab/>
      </w:r>
      <w:r>
        <w:tab/>
        <w:t>Amy Henry</w:t>
      </w:r>
    </w:p>
    <w:p w14:paraId="1A6E2C22" w14:textId="77777777" w:rsidR="006A0B4A" w:rsidRDefault="00C25F69" w:rsidP="00C25F69">
      <w:r>
        <w:t xml:space="preserve">Associate Professor Nicola Swain  </w:t>
      </w:r>
      <w:r>
        <w:tab/>
        <w:t>Dominic Fitchett</w:t>
      </w:r>
      <w:r>
        <w:tab/>
      </w:r>
      <w:r>
        <w:tab/>
      </w:r>
    </w:p>
    <w:p w14:paraId="5461FF4B" w14:textId="77777777" w:rsidR="006A0B4A" w:rsidRDefault="00C25F69" w:rsidP="00C25F69">
      <w:r>
        <w:t xml:space="preserve">Dr Devonie Waaka </w:t>
      </w:r>
      <w:r w:rsidR="006A0B4A">
        <w:tab/>
      </w:r>
      <w:r w:rsidR="006A0B4A">
        <w:tab/>
      </w:r>
      <w:r w:rsidR="006A0B4A">
        <w:tab/>
      </w:r>
      <w:r>
        <w:t>Dr Sarah Gunningham</w:t>
      </w:r>
      <w:r>
        <w:tab/>
      </w:r>
      <w:r>
        <w:tab/>
      </w:r>
    </w:p>
    <w:p w14:paraId="20BC26A1" w14:textId="4E8BD043" w:rsidR="00C25F69" w:rsidRDefault="00C25F69" w:rsidP="00C25F69">
      <w:r>
        <w:t>Dr Mira Harrison-Woolrych</w:t>
      </w:r>
    </w:p>
    <w:p w14:paraId="6D22AEC6" w14:textId="77777777" w:rsidR="00C25F69" w:rsidRDefault="00C25F69" w:rsidP="00C25F69">
      <w:pPr>
        <w:pStyle w:val="Heading6"/>
      </w:pPr>
      <w:r>
        <w:t>Resigned (1 July 2021 – 30 June 2022):</w:t>
      </w:r>
    </w:p>
    <w:p w14:paraId="415D442B" w14:textId="77777777" w:rsidR="00C25F69" w:rsidRDefault="00C25F69" w:rsidP="00C25F69">
      <w:r>
        <w:t>Dr Sarah Gunningham</w:t>
      </w:r>
    </w:p>
    <w:p w14:paraId="5D13F825" w14:textId="77777777" w:rsidR="00C25F69" w:rsidRPr="00C75867" w:rsidRDefault="00C25F69" w:rsidP="00C75867">
      <w:pPr>
        <w:pStyle w:val="Heading4"/>
        <w:spacing w:before="300" w:after="200"/>
        <w:rPr>
          <w:sz w:val="32"/>
          <w:szCs w:val="22"/>
        </w:rPr>
      </w:pPr>
      <w:r w:rsidRPr="00C75867">
        <w:rPr>
          <w:sz w:val="32"/>
          <w:szCs w:val="22"/>
        </w:rPr>
        <w:t>Other committees</w:t>
      </w:r>
    </w:p>
    <w:p w14:paraId="62238D03" w14:textId="77777777" w:rsidR="00C25F69" w:rsidRDefault="00C25F69" w:rsidP="00C25F69">
      <w:r>
        <w:t>The Human Assisted Reproductive Technology Act 2004 requires that we publish the chair and membership of the committees associated to the Act in our annual reports.</w:t>
      </w:r>
    </w:p>
    <w:p w14:paraId="08E5A9AC" w14:textId="77777777" w:rsidR="00C25F69" w:rsidRDefault="00C25F69" w:rsidP="00C25F69">
      <w:r>
        <w:t>The following ethics committees have been established to provide advice to the Minister of Health.</w:t>
      </w:r>
    </w:p>
    <w:p w14:paraId="6DAAEF71" w14:textId="77777777" w:rsidR="00C25F69" w:rsidRDefault="00C25F69" w:rsidP="00C75867">
      <w:pPr>
        <w:pStyle w:val="Heading4"/>
        <w:spacing w:after="200"/>
      </w:pPr>
      <w:r>
        <w:t>Advisory Committee on Assisted Reproductive Technology</w:t>
      </w:r>
    </w:p>
    <w:p w14:paraId="51B0B896" w14:textId="0037CFEA" w:rsidR="00C25F69" w:rsidRDefault="00C25F69" w:rsidP="00C25F69">
      <w:r>
        <w:t>The Advisory Committee on Assisted Reproductive Technology (ACART) formulates policy and provides independent advice to the Minister of Health. It also issues guidelines and provides advice to the Ethics Committee on Assisted Reproductive Technology (ECART).</w:t>
      </w:r>
    </w:p>
    <w:p w14:paraId="782FE978" w14:textId="77777777" w:rsidR="00C25F69" w:rsidRDefault="00C25F69" w:rsidP="00C25F69"/>
    <w:p w14:paraId="03A63A1F" w14:textId="77777777" w:rsidR="00C25F69" w:rsidRDefault="00C25F69" w:rsidP="00C25F69">
      <w:r>
        <w:t>ACART is a ministerial committee established under section 32 of the Human Assisted Reproductive Technology Act 2004. The Minister of Health appoints members.</w:t>
      </w:r>
    </w:p>
    <w:p w14:paraId="21491E24" w14:textId="77777777" w:rsidR="00C25F69" w:rsidRDefault="00C25F69" w:rsidP="00C25F69">
      <w:pPr>
        <w:pStyle w:val="Heading5"/>
      </w:pPr>
      <w:r>
        <w:t>Membership</w:t>
      </w:r>
    </w:p>
    <w:tbl>
      <w:tblPr>
        <w:tblpPr w:leftFromText="180" w:rightFromText="180" w:vertAnchor="text" w:horzAnchor="margin" w:tblpY="22"/>
        <w:tblW w:w="0" w:type="auto"/>
        <w:tblLayout w:type="fixed"/>
        <w:tblCellMar>
          <w:left w:w="0" w:type="dxa"/>
          <w:right w:w="0" w:type="dxa"/>
        </w:tblCellMar>
        <w:tblLook w:val="01E0" w:firstRow="1" w:lastRow="1" w:firstColumn="1" w:lastColumn="1" w:noHBand="0" w:noVBand="0"/>
      </w:tblPr>
      <w:tblGrid>
        <w:gridCol w:w="2852"/>
        <w:gridCol w:w="3158"/>
        <w:gridCol w:w="2058"/>
      </w:tblGrid>
      <w:tr w:rsidR="00C25F69" w14:paraId="0769FA13" w14:textId="77777777" w:rsidTr="00C75867">
        <w:trPr>
          <w:trHeight w:val="227"/>
        </w:trPr>
        <w:tc>
          <w:tcPr>
            <w:tcW w:w="2852" w:type="dxa"/>
          </w:tcPr>
          <w:p w14:paraId="36396531" w14:textId="77777777" w:rsidR="00C25F69" w:rsidRDefault="00C25F69" w:rsidP="00C25F69">
            <w:r>
              <w:rPr>
                <w:w w:val="105"/>
              </w:rPr>
              <w:t>Calum</w:t>
            </w:r>
            <w:r>
              <w:rPr>
                <w:spacing w:val="1"/>
                <w:w w:val="105"/>
              </w:rPr>
              <w:t xml:space="preserve"> </w:t>
            </w:r>
            <w:r>
              <w:rPr>
                <w:w w:val="105"/>
              </w:rPr>
              <w:t>Barrett</w:t>
            </w:r>
            <w:r>
              <w:rPr>
                <w:spacing w:val="2"/>
                <w:w w:val="105"/>
              </w:rPr>
              <w:t xml:space="preserve"> </w:t>
            </w:r>
            <w:r>
              <w:rPr>
                <w:w w:val="105"/>
              </w:rPr>
              <w:t>(chair)</w:t>
            </w:r>
          </w:p>
        </w:tc>
        <w:tc>
          <w:tcPr>
            <w:tcW w:w="3158" w:type="dxa"/>
          </w:tcPr>
          <w:p w14:paraId="52EBD8C0" w14:textId="77777777" w:rsidR="00C25F69" w:rsidRDefault="00C25F69" w:rsidP="00C25F69">
            <w:r>
              <w:t>Dr</w:t>
            </w:r>
            <w:r>
              <w:rPr>
                <w:spacing w:val="8"/>
              </w:rPr>
              <w:t xml:space="preserve"> </w:t>
            </w:r>
            <w:r>
              <w:t>Rosemary</w:t>
            </w:r>
            <w:r>
              <w:rPr>
                <w:spacing w:val="9"/>
              </w:rPr>
              <w:t xml:space="preserve"> </w:t>
            </w:r>
            <w:r>
              <w:t>de</w:t>
            </w:r>
            <w:r>
              <w:rPr>
                <w:spacing w:val="8"/>
              </w:rPr>
              <w:t xml:space="preserve"> </w:t>
            </w:r>
            <w:r>
              <w:t>Luca</w:t>
            </w:r>
          </w:p>
        </w:tc>
        <w:tc>
          <w:tcPr>
            <w:tcW w:w="2058" w:type="dxa"/>
          </w:tcPr>
          <w:p w14:paraId="3CE71052" w14:textId="77777777" w:rsidR="00C25F69" w:rsidRDefault="00C25F69" w:rsidP="00C25F69">
            <w:r>
              <w:t>Dr</w:t>
            </w:r>
            <w:r>
              <w:rPr>
                <w:spacing w:val="5"/>
              </w:rPr>
              <w:t xml:space="preserve"> </w:t>
            </w:r>
            <w:r>
              <w:t>Karen</w:t>
            </w:r>
            <w:r>
              <w:rPr>
                <w:spacing w:val="5"/>
              </w:rPr>
              <w:t xml:space="preserve"> </w:t>
            </w:r>
            <w:r>
              <w:t>Reader</w:t>
            </w:r>
          </w:p>
        </w:tc>
      </w:tr>
      <w:tr w:rsidR="00C25F69" w14:paraId="658255DF" w14:textId="77777777" w:rsidTr="00C75867">
        <w:trPr>
          <w:trHeight w:val="227"/>
        </w:trPr>
        <w:tc>
          <w:tcPr>
            <w:tcW w:w="2852" w:type="dxa"/>
          </w:tcPr>
          <w:p w14:paraId="07AB6E0B" w14:textId="77777777" w:rsidR="00C25F69" w:rsidRDefault="00C25F69" w:rsidP="00C25F69">
            <w:r>
              <w:rPr>
                <w:w w:val="105"/>
              </w:rPr>
              <w:t>Karaitiana</w:t>
            </w:r>
            <w:r>
              <w:rPr>
                <w:spacing w:val="4"/>
                <w:w w:val="105"/>
              </w:rPr>
              <w:t xml:space="preserve"> </w:t>
            </w:r>
            <w:r>
              <w:rPr>
                <w:w w:val="105"/>
              </w:rPr>
              <w:t>Taiuru</w:t>
            </w:r>
          </w:p>
        </w:tc>
        <w:tc>
          <w:tcPr>
            <w:tcW w:w="3158" w:type="dxa"/>
          </w:tcPr>
          <w:p w14:paraId="56A945E1" w14:textId="77777777" w:rsidR="00C25F69" w:rsidRDefault="00C25F69" w:rsidP="00C25F69">
            <w:r>
              <w:rPr>
                <w:w w:val="105"/>
              </w:rPr>
              <w:t>Dr</w:t>
            </w:r>
            <w:r>
              <w:rPr>
                <w:spacing w:val="-13"/>
                <w:w w:val="105"/>
              </w:rPr>
              <w:t xml:space="preserve"> </w:t>
            </w:r>
            <w:r>
              <w:rPr>
                <w:w w:val="105"/>
              </w:rPr>
              <w:t>Sarah</w:t>
            </w:r>
            <w:r>
              <w:rPr>
                <w:spacing w:val="-12"/>
                <w:w w:val="105"/>
              </w:rPr>
              <w:t xml:space="preserve"> </w:t>
            </w:r>
            <w:r>
              <w:rPr>
                <w:w w:val="105"/>
              </w:rPr>
              <w:t>Wakeman</w:t>
            </w:r>
          </w:p>
        </w:tc>
        <w:tc>
          <w:tcPr>
            <w:tcW w:w="2058" w:type="dxa"/>
          </w:tcPr>
          <w:p w14:paraId="36EAB72F" w14:textId="77777777" w:rsidR="00C25F69" w:rsidRDefault="00C25F69" w:rsidP="00C25F69">
            <w:r>
              <w:rPr>
                <w:w w:val="105"/>
              </w:rPr>
              <w:t>Seth</w:t>
            </w:r>
            <w:r>
              <w:rPr>
                <w:spacing w:val="6"/>
                <w:w w:val="105"/>
              </w:rPr>
              <w:t xml:space="preserve"> </w:t>
            </w:r>
            <w:r>
              <w:rPr>
                <w:w w:val="105"/>
              </w:rPr>
              <w:t>Fraser</w:t>
            </w:r>
          </w:p>
        </w:tc>
      </w:tr>
      <w:tr w:rsidR="00C25F69" w14:paraId="5E6B074A" w14:textId="77777777" w:rsidTr="00C75867">
        <w:trPr>
          <w:trHeight w:val="227"/>
        </w:trPr>
        <w:tc>
          <w:tcPr>
            <w:tcW w:w="2852" w:type="dxa"/>
          </w:tcPr>
          <w:p w14:paraId="54253702" w14:textId="77777777" w:rsidR="00C25F69" w:rsidRDefault="00C25F69" w:rsidP="00C25F69">
            <w:r>
              <w:t>Catherine</w:t>
            </w:r>
            <w:r>
              <w:rPr>
                <w:spacing w:val="11"/>
              </w:rPr>
              <w:t xml:space="preserve"> </w:t>
            </w:r>
            <w:r>
              <w:t>Ryan</w:t>
            </w:r>
          </w:p>
        </w:tc>
        <w:tc>
          <w:tcPr>
            <w:tcW w:w="3158" w:type="dxa"/>
          </w:tcPr>
          <w:p w14:paraId="32BC3041" w14:textId="77777777" w:rsidR="00C25F69" w:rsidRDefault="00C25F69" w:rsidP="00C25F69">
            <w:r>
              <w:t>Edmond</w:t>
            </w:r>
            <w:r>
              <w:rPr>
                <w:spacing w:val="4"/>
              </w:rPr>
              <w:t xml:space="preserve"> </w:t>
            </w:r>
            <w:r>
              <w:t>Fehoko</w:t>
            </w:r>
          </w:p>
        </w:tc>
        <w:tc>
          <w:tcPr>
            <w:tcW w:w="2058" w:type="dxa"/>
          </w:tcPr>
          <w:p w14:paraId="7893EFFF" w14:textId="77777777" w:rsidR="00C25F69" w:rsidRDefault="00C25F69" w:rsidP="00C25F69">
            <w:r>
              <w:rPr>
                <w:w w:val="105"/>
              </w:rPr>
              <w:t>Dr</w:t>
            </w:r>
            <w:r>
              <w:rPr>
                <w:spacing w:val="-10"/>
                <w:w w:val="105"/>
              </w:rPr>
              <w:t xml:space="preserve"> </w:t>
            </w:r>
            <w:r>
              <w:rPr>
                <w:w w:val="105"/>
              </w:rPr>
              <w:t>Debra</w:t>
            </w:r>
            <w:r>
              <w:rPr>
                <w:spacing w:val="-9"/>
                <w:w w:val="105"/>
              </w:rPr>
              <w:t xml:space="preserve"> </w:t>
            </w:r>
            <w:r>
              <w:rPr>
                <w:w w:val="105"/>
              </w:rPr>
              <w:t>Wilson</w:t>
            </w:r>
          </w:p>
        </w:tc>
      </w:tr>
      <w:tr w:rsidR="00C25F69" w14:paraId="36FC8DE2" w14:textId="77777777" w:rsidTr="00C75867">
        <w:trPr>
          <w:trHeight w:val="227"/>
        </w:trPr>
        <w:tc>
          <w:tcPr>
            <w:tcW w:w="2852" w:type="dxa"/>
          </w:tcPr>
          <w:p w14:paraId="4B039340" w14:textId="77777777" w:rsidR="00C25F69" w:rsidRDefault="00C25F69" w:rsidP="00C25F69">
            <w:r>
              <w:t>Shannon</w:t>
            </w:r>
            <w:r>
              <w:rPr>
                <w:spacing w:val="27"/>
              </w:rPr>
              <w:t xml:space="preserve"> </w:t>
            </w:r>
            <w:r>
              <w:t>Hanrahan</w:t>
            </w:r>
          </w:p>
        </w:tc>
        <w:tc>
          <w:tcPr>
            <w:tcW w:w="3158" w:type="dxa"/>
          </w:tcPr>
          <w:p w14:paraId="6334D145" w14:textId="77777777" w:rsidR="00C25F69" w:rsidRDefault="00C25F69" w:rsidP="00C25F69">
            <w:pPr>
              <w:rPr>
                <w:rFonts w:ascii="Times New Roman"/>
              </w:rPr>
            </w:pPr>
          </w:p>
        </w:tc>
        <w:tc>
          <w:tcPr>
            <w:tcW w:w="2058" w:type="dxa"/>
          </w:tcPr>
          <w:p w14:paraId="7C4D27CB" w14:textId="77777777" w:rsidR="00C25F69" w:rsidRDefault="00C25F69" w:rsidP="00C25F69">
            <w:pPr>
              <w:rPr>
                <w:rFonts w:ascii="Times New Roman"/>
              </w:rPr>
            </w:pPr>
          </w:p>
        </w:tc>
      </w:tr>
    </w:tbl>
    <w:p w14:paraId="02F58935" w14:textId="77777777" w:rsidR="00C25F69" w:rsidRDefault="00C25F69" w:rsidP="00C25F69">
      <w:pPr>
        <w:pStyle w:val="Heading6"/>
      </w:pPr>
      <w:r>
        <w:t>Resigned (1 July 2021 – 30 June 2022):</w:t>
      </w:r>
    </w:p>
    <w:p w14:paraId="209D5ABF" w14:textId="4918181B" w:rsidR="00C25F69" w:rsidRDefault="00C25F69" w:rsidP="00C25F69">
      <w:r>
        <w:t>Dr Analosa Veukiso-Ulugia</w:t>
      </w:r>
      <w:r>
        <w:tab/>
        <w:t>Erin Gough</w:t>
      </w:r>
    </w:p>
    <w:p w14:paraId="4FAF1679" w14:textId="77777777" w:rsidR="00C25F69" w:rsidRDefault="00C25F69" w:rsidP="00C25F69">
      <w:r>
        <w:t>Kathleen Logan (resigned as Chair, continued as member)</w:t>
      </w:r>
    </w:p>
    <w:p w14:paraId="0AFDFC92" w14:textId="77777777" w:rsidR="00C25F69" w:rsidRDefault="00C25F69" w:rsidP="00C75867">
      <w:pPr>
        <w:pStyle w:val="Heading4"/>
        <w:spacing w:after="200"/>
      </w:pPr>
      <w:r>
        <w:t>Ethics Committee on Assisted Reproductive Technology</w:t>
      </w:r>
    </w:p>
    <w:p w14:paraId="4CCF33FF" w14:textId="3C61957B" w:rsidR="00C25F69" w:rsidRDefault="00C25F69" w:rsidP="00C25F69">
      <w:r>
        <w:t>The Ethics Committee on Assisted Reproductive Technology (ECART) considers, determines and monitors applications for assisted reproductive procedures and human reproductive research. The Committee can only consider applications for procedures that ACART has issued guidelines for.</w:t>
      </w:r>
    </w:p>
    <w:p w14:paraId="06B06914" w14:textId="77777777" w:rsidR="00C25F69" w:rsidRDefault="00C25F69" w:rsidP="00C25F69"/>
    <w:p w14:paraId="440A9800" w14:textId="77777777" w:rsidR="00C25F69" w:rsidRDefault="00C25F69" w:rsidP="00C25F69">
      <w:r>
        <w:t>ECART is a ministerial committee established under section 27 of the Human Assisted Reproductive Technology Act 2004. The Minister of Health appoints members.</w:t>
      </w:r>
    </w:p>
    <w:p w14:paraId="6FC055C8" w14:textId="77777777" w:rsidR="006A0B4A" w:rsidRDefault="006A0B4A" w:rsidP="00C25F69">
      <w:pPr>
        <w:pStyle w:val="Heading5"/>
        <w:sectPr w:rsidR="006A0B4A" w:rsidSect="00C26282">
          <w:pgSz w:w="11907" w:h="16840" w:code="9"/>
          <w:pgMar w:top="1418" w:right="1701" w:bottom="1134" w:left="1843" w:header="284" w:footer="425" w:gutter="284"/>
          <w:cols w:space="720"/>
        </w:sectPr>
      </w:pPr>
    </w:p>
    <w:p w14:paraId="65761416" w14:textId="64C18962" w:rsidR="00C25F69" w:rsidRDefault="00C25F69" w:rsidP="00C25F69">
      <w:pPr>
        <w:pStyle w:val="Heading5"/>
      </w:pPr>
      <w:r>
        <w:lastRenderedPageBreak/>
        <w:t>Membership</w:t>
      </w:r>
    </w:p>
    <w:p w14:paraId="77B819FF" w14:textId="77777777" w:rsidR="00C25F69" w:rsidRDefault="00C25F69" w:rsidP="00C25F69">
      <w:r>
        <w:t>Iris Reuvecamp (chair)</w:t>
      </w:r>
      <w:r>
        <w:tab/>
      </w:r>
      <w:r>
        <w:tab/>
        <w:t>Mania Maniapoto-Ngaia</w:t>
      </w:r>
      <w:r>
        <w:tab/>
        <w:t xml:space="preserve">Judith Charlton </w:t>
      </w:r>
    </w:p>
    <w:p w14:paraId="7DED72E5" w14:textId="7FFF19E1" w:rsidR="00C25F69" w:rsidRDefault="00C25F69" w:rsidP="00C25F69">
      <w:r>
        <w:t>Dr Jeanne Snelling</w:t>
      </w:r>
      <w:r>
        <w:tab/>
      </w:r>
      <w:r>
        <w:tab/>
        <w:t>Associate Professor Michael Legge</w:t>
      </w:r>
    </w:p>
    <w:p w14:paraId="64164243" w14:textId="77777777" w:rsidR="006A0B4A" w:rsidRDefault="00C25F69" w:rsidP="00C25F69">
      <w:r>
        <w:t>Dr Analosa Veukiso-Ulugia</w:t>
      </w:r>
      <w:r>
        <w:tab/>
        <w:t>Dr Emily Liu</w:t>
      </w:r>
      <w:r w:rsidR="00C75867">
        <w:tab/>
      </w:r>
      <w:r w:rsidR="00C75867">
        <w:tab/>
      </w:r>
      <w:r w:rsidR="00C75867">
        <w:tab/>
      </w:r>
      <w:r w:rsidR="00C75867">
        <w:tab/>
      </w:r>
    </w:p>
    <w:p w14:paraId="3A91F2F5" w14:textId="57489000" w:rsidR="00C25F69" w:rsidRDefault="00C75867" w:rsidP="00C25F69">
      <w:r>
        <w:t>Richard Ngatai</w:t>
      </w:r>
      <w:r w:rsidR="006A0B4A">
        <w:tab/>
      </w:r>
      <w:r w:rsidR="006A0B4A">
        <w:tab/>
      </w:r>
      <w:r w:rsidR="006A0B4A">
        <w:tab/>
      </w:r>
      <w:r w:rsidR="00C25F69">
        <w:t>Associate Professor Angela Ballantyne</w:t>
      </w:r>
      <w:r w:rsidR="00C25F69">
        <w:tab/>
      </w:r>
    </w:p>
    <w:p w14:paraId="0C227D2B" w14:textId="77777777" w:rsidR="00C25F69" w:rsidRDefault="00C25F69" w:rsidP="00C25F69">
      <w:pPr>
        <w:pStyle w:val="Heading6"/>
      </w:pPr>
      <w:r>
        <w:t>Resigned (1 July 2021 – 30 June 2022):</w:t>
      </w:r>
    </w:p>
    <w:p w14:paraId="7AB91057" w14:textId="601EDEB1" w:rsidR="00C25F69" w:rsidRPr="00C25F69" w:rsidRDefault="00C25F69" w:rsidP="00C25F69">
      <w:pPr>
        <w:sectPr w:rsidR="00C25F69" w:rsidRPr="00C25F69" w:rsidSect="00C26282">
          <w:pgSz w:w="11907" w:h="16840" w:code="9"/>
          <w:pgMar w:top="1418" w:right="1701" w:bottom="1134" w:left="1843" w:header="284" w:footer="425" w:gutter="284"/>
          <w:cols w:space="720"/>
        </w:sectPr>
      </w:pPr>
      <w:r>
        <w:t>Dr Mary Birdsall</w:t>
      </w:r>
      <w:r>
        <w:tab/>
      </w:r>
      <w:r w:rsidR="00C75867">
        <w:tab/>
      </w:r>
      <w:r w:rsidR="00C75867">
        <w:tab/>
      </w:r>
      <w:r>
        <w:t>Dr Tepory Emery</w:t>
      </w:r>
    </w:p>
    <w:p w14:paraId="300E11D4" w14:textId="013F0AD0" w:rsidR="009824C8" w:rsidRDefault="009824C8" w:rsidP="00175A9D">
      <w:pPr>
        <w:pStyle w:val="Heading2"/>
        <w:spacing w:before="0"/>
      </w:pPr>
      <w:bookmarkStart w:id="81" w:name="_Toc117264987"/>
      <w:r>
        <w:lastRenderedPageBreak/>
        <w:t>Appendix 7: Substance Addiction (Compulsory Assessment and Treatment) Act 2017</w:t>
      </w:r>
      <w:bookmarkEnd w:id="81"/>
    </w:p>
    <w:p w14:paraId="26CEB980" w14:textId="6A8E77D2" w:rsidR="009824C8" w:rsidRDefault="009824C8" w:rsidP="009824C8">
      <w:r>
        <w:t>In February 2018, the Substance Addiction (Compulsory Assessment and Treatment) Act 2017 came into effect, replacing the Alcoholism and Drug Addiction Act 1966.</w:t>
      </w:r>
    </w:p>
    <w:p w14:paraId="76979E36" w14:textId="77777777" w:rsidR="009824C8" w:rsidRDefault="009824C8" w:rsidP="009824C8"/>
    <w:p w14:paraId="63AF21EA" w14:textId="319D6AA4" w:rsidR="009824C8" w:rsidRDefault="009824C8" w:rsidP="009824C8">
      <w:r>
        <w:t>The purpose of the Substance Addiction Act (Compulsory Assessment and Treatment) Act 2017 (the Substance Addiction Act) helps people with a severe substance addiction (or addictions) who have an impaired decision-making capacity to engage in voluntary (or compulsory) addiction treatment services.</w:t>
      </w:r>
    </w:p>
    <w:p w14:paraId="7F10D424" w14:textId="77777777" w:rsidR="009824C8" w:rsidRDefault="009824C8" w:rsidP="009824C8"/>
    <w:p w14:paraId="50B4F39C" w14:textId="43A75C9E" w:rsidR="009824C8" w:rsidRDefault="009824C8" w:rsidP="009824C8">
      <w:r>
        <w:t>The Substance Addiction Act has been developed to be better equipped to protect the human rights and cultural needs of patients and their whānau. The Act places greater emphasis on a mana-enhancing and health-based approaches to substance addiction treatment.</w:t>
      </w:r>
    </w:p>
    <w:p w14:paraId="0698F6D6" w14:textId="77777777" w:rsidR="009824C8" w:rsidRDefault="009824C8" w:rsidP="009824C8"/>
    <w:p w14:paraId="48F28D33" w14:textId="354236A0" w:rsidR="009824C8" w:rsidRDefault="009824C8" w:rsidP="009824C8">
      <w:r>
        <w:t>Under section 119 of the Substance Addiction Act, we are required to disclose the following information relating to patients in our Annual Report.</w:t>
      </w:r>
    </w:p>
    <w:p w14:paraId="48366B85" w14:textId="77777777" w:rsidR="009824C8" w:rsidRDefault="009824C8" w:rsidP="009824C8"/>
    <w:p w14:paraId="1C1FBC17" w14:textId="07E2E491" w:rsidR="009824C8" w:rsidRDefault="009824C8" w:rsidP="009824C8">
      <w:r>
        <w:t>The data below has been extracted from PRIMHD</w:t>
      </w:r>
      <w:r>
        <w:rPr>
          <w:rStyle w:val="FootnoteReference"/>
        </w:rPr>
        <w:footnoteReference w:id="59"/>
      </w:r>
      <w:r>
        <w:t xml:space="preserve"> on 8 August 2022 and covers activities that occurred from 1 July 2021 to 30 June 2022.</w:t>
      </w:r>
      <w:r>
        <w:rPr>
          <w:rStyle w:val="FootnoteReference"/>
        </w:rPr>
        <w:footnoteReference w:id="60"/>
      </w:r>
    </w:p>
    <w:p w14:paraId="0958D037" w14:textId="77777777" w:rsidR="009824C8" w:rsidRDefault="009824C8" w:rsidP="009824C8"/>
    <w:p w14:paraId="087F7AAD" w14:textId="6AC7AD86" w:rsidR="009824C8" w:rsidRDefault="009824C8" w:rsidP="009824C8">
      <w:r>
        <w:t>Over this period:</w:t>
      </w:r>
    </w:p>
    <w:p w14:paraId="1D91FACB" w14:textId="24FC407D" w:rsidR="009824C8" w:rsidRDefault="009824C8" w:rsidP="009824C8">
      <w:pPr>
        <w:pStyle w:val="Bullet"/>
      </w:pPr>
      <w:r>
        <w:t>32 people were detained under the Substance Addiction Act</w:t>
      </w:r>
    </w:p>
    <w:p w14:paraId="044EFD37" w14:textId="29639C4A" w:rsidR="009824C8" w:rsidRDefault="009824C8" w:rsidP="009824C8">
      <w:pPr>
        <w:pStyle w:val="Bullet"/>
      </w:pPr>
      <w:r>
        <w:t>30 compulsory treatment orders were made</w:t>
      </w:r>
    </w:p>
    <w:p w14:paraId="6554D4AF" w14:textId="6980E90E" w:rsidR="009824C8" w:rsidRDefault="009824C8" w:rsidP="009824C8">
      <w:pPr>
        <w:pStyle w:val="Bullet"/>
      </w:pPr>
      <w:r>
        <w:t>22 compulsory treatment orders were extended</w:t>
      </w:r>
    </w:p>
    <w:p w14:paraId="1B8577AB" w14:textId="0E84ADBC" w:rsidR="009824C8" w:rsidRDefault="009824C8" w:rsidP="009824C8">
      <w:pPr>
        <w:pStyle w:val="Bullet"/>
      </w:pPr>
      <w:r>
        <w:t>28 discharged patients chose voluntary residential treatment and out-patient services for individuals who had compulsory treatment orders made (or extended), the average length of detention was 12 weeks (84 days).</w:t>
      </w:r>
    </w:p>
    <w:p w14:paraId="53494ED5" w14:textId="77777777" w:rsidR="00175A9D" w:rsidRDefault="00175A9D" w:rsidP="009824C8">
      <w:pPr>
        <w:pStyle w:val="Heading5"/>
        <w:sectPr w:rsidR="00175A9D" w:rsidSect="00C26282">
          <w:pgSz w:w="11907" w:h="16840" w:code="9"/>
          <w:pgMar w:top="1418" w:right="1701" w:bottom="1134" w:left="1843" w:header="284" w:footer="425" w:gutter="284"/>
          <w:cols w:space="720"/>
        </w:sectPr>
      </w:pPr>
    </w:p>
    <w:p w14:paraId="3B9FB841" w14:textId="13B64A33" w:rsidR="009824C8" w:rsidRDefault="009824C8" w:rsidP="009824C8">
      <w:pPr>
        <w:pStyle w:val="Heading5"/>
      </w:pPr>
      <w:r w:rsidRPr="009824C8">
        <w:lastRenderedPageBreak/>
        <w:t>The number of individuals detained under the Substance Addiction Act in 2021/22 by the duration of their detention (measured in weeks).</w:t>
      </w:r>
    </w:p>
    <w:tbl>
      <w:tblPr>
        <w:tblW w:w="0" w:type="auto"/>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969"/>
        <w:gridCol w:w="3969"/>
      </w:tblGrid>
      <w:tr w:rsidR="009824C8" w:rsidRPr="009824C8" w14:paraId="6FA21513" w14:textId="77777777" w:rsidTr="00175A9D">
        <w:trPr>
          <w:trHeight w:val="340"/>
        </w:trPr>
        <w:tc>
          <w:tcPr>
            <w:tcW w:w="3969" w:type="dxa"/>
            <w:tcBorders>
              <w:top w:val="nil"/>
              <w:bottom w:val="nil"/>
            </w:tcBorders>
            <w:shd w:val="clear" w:color="auto" w:fill="D9D9D9" w:themeFill="background1" w:themeFillShade="D9"/>
          </w:tcPr>
          <w:p w14:paraId="79F00FC5" w14:textId="13D69382" w:rsidR="009824C8" w:rsidRPr="009824C8" w:rsidRDefault="009824C8" w:rsidP="009824C8">
            <w:pPr>
              <w:pStyle w:val="TableText"/>
              <w:jc w:val="right"/>
              <w:rPr>
                <w:b/>
                <w:bCs/>
              </w:rPr>
            </w:pPr>
            <w:r w:rsidRPr="009824C8">
              <w:rPr>
                <w:b/>
                <w:bCs/>
              </w:rPr>
              <w:t>Number of weeks of detention</w:t>
            </w:r>
            <w:r>
              <w:rPr>
                <w:rStyle w:val="FootnoteReference"/>
                <w:b/>
                <w:bCs/>
              </w:rPr>
              <w:footnoteReference w:id="61"/>
            </w:r>
          </w:p>
        </w:tc>
        <w:tc>
          <w:tcPr>
            <w:tcW w:w="3969" w:type="dxa"/>
            <w:tcBorders>
              <w:top w:val="nil"/>
              <w:bottom w:val="nil"/>
            </w:tcBorders>
            <w:shd w:val="clear" w:color="auto" w:fill="D9D9D9" w:themeFill="background1" w:themeFillShade="D9"/>
          </w:tcPr>
          <w:p w14:paraId="0999E2E5" w14:textId="77777777" w:rsidR="009824C8" w:rsidRPr="009824C8" w:rsidRDefault="009824C8" w:rsidP="009824C8">
            <w:pPr>
              <w:pStyle w:val="TableText"/>
              <w:jc w:val="right"/>
              <w:rPr>
                <w:b/>
                <w:bCs/>
              </w:rPr>
            </w:pPr>
            <w:r w:rsidRPr="009824C8">
              <w:rPr>
                <w:b/>
                <w:bCs/>
              </w:rPr>
              <w:t>Number of individuals</w:t>
            </w:r>
          </w:p>
        </w:tc>
      </w:tr>
      <w:tr w:rsidR="009824C8" w:rsidRPr="009824C8" w14:paraId="511C12BA" w14:textId="77777777" w:rsidTr="00175A9D">
        <w:trPr>
          <w:trHeight w:val="343"/>
        </w:trPr>
        <w:tc>
          <w:tcPr>
            <w:tcW w:w="3969" w:type="dxa"/>
            <w:tcBorders>
              <w:top w:val="nil"/>
            </w:tcBorders>
          </w:tcPr>
          <w:p w14:paraId="380F6859" w14:textId="77777777" w:rsidR="009824C8" w:rsidRPr="009824C8" w:rsidRDefault="009824C8" w:rsidP="009824C8">
            <w:pPr>
              <w:pStyle w:val="TableText"/>
              <w:jc w:val="right"/>
            </w:pPr>
            <w:r w:rsidRPr="009824C8">
              <w:t>0</w:t>
            </w:r>
          </w:p>
        </w:tc>
        <w:tc>
          <w:tcPr>
            <w:tcW w:w="3969" w:type="dxa"/>
            <w:tcBorders>
              <w:top w:val="nil"/>
            </w:tcBorders>
          </w:tcPr>
          <w:p w14:paraId="4222EE48" w14:textId="77777777" w:rsidR="009824C8" w:rsidRPr="009824C8" w:rsidRDefault="009824C8" w:rsidP="009824C8">
            <w:pPr>
              <w:pStyle w:val="TableText"/>
              <w:jc w:val="right"/>
            </w:pPr>
            <w:r w:rsidRPr="009824C8">
              <w:t>0</w:t>
            </w:r>
          </w:p>
        </w:tc>
      </w:tr>
      <w:tr w:rsidR="009824C8" w:rsidRPr="009824C8" w14:paraId="014B91EB" w14:textId="77777777" w:rsidTr="00175A9D">
        <w:trPr>
          <w:trHeight w:val="338"/>
        </w:trPr>
        <w:tc>
          <w:tcPr>
            <w:tcW w:w="3969" w:type="dxa"/>
          </w:tcPr>
          <w:p w14:paraId="3D0749DB" w14:textId="77777777" w:rsidR="009824C8" w:rsidRPr="009824C8" w:rsidRDefault="009824C8" w:rsidP="009824C8">
            <w:pPr>
              <w:pStyle w:val="TableText"/>
              <w:jc w:val="right"/>
            </w:pPr>
            <w:r w:rsidRPr="009824C8">
              <w:t>0-1</w:t>
            </w:r>
          </w:p>
        </w:tc>
        <w:tc>
          <w:tcPr>
            <w:tcW w:w="3969" w:type="dxa"/>
          </w:tcPr>
          <w:p w14:paraId="5BA919B1" w14:textId="77777777" w:rsidR="009824C8" w:rsidRPr="009824C8" w:rsidRDefault="009824C8" w:rsidP="009824C8">
            <w:pPr>
              <w:pStyle w:val="TableText"/>
              <w:jc w:val="right"/>
            </w:pPr>
            <w:r w:rsidRPr="009824C8">
              <w:t>0</w:t>
            </w:r>
          </w:p>
        </w:tc>
      </w:tr>
      <w:tr w:rsidR="009824C8" w:rsidRPr="009824C8" w14:paraId="7F4EFEA0" w14:textId="77777777" w:rsidTr="00175A9D">
        <w:trPr>
          <w:trHeight w:val="338"/>
        </w:trPr>
        <w:tc>
          <w:tcPr>
            <w:tcW w:w="3969" w:type="dxa"/>
          </w:tcPr>
          <w:p w14:paraId="4B298617" w14:textId="77777777" w:rsidR="009824C8" w:rsidRPr="009824C8" w:rsidRDefault="009824C8" w:rsidP="009824C8">
            <w:pPr>
              <w:pStyle w:val="TableText"/>
              <w:jc w:val="right"/>
            </w:pPr>
            <w:r w:rsidRPr="009824C8">
              <w:t>1-2</w:t>
            </w:r>
          </w:p>
        </w:tc>
        <w:tc>
          <w:tcPr>
            <w:tcW w:w="3969" w:type="dxa"/>
          </w:tcPr>
          <w:p w14:paraId="1309F029" w14:textId="77777777" w:rsidR="009824C8" w:rsidRPr="009824C8" w:rsidRDefault="009824C8" w:rsidP="009824C8">
            <w:pPr>
              <w:pStyle w:val="TableText"/>
              <w:jc w:val="right"/>
            </w:pPr>
            <w:r w:rsidRPr="009824C8">
              <w:t>1</w:t>
            </w:r>
          </w:p>
        </w:tc>
      </w:tr>
      <w:tr w:rsidR="009824C8" w:rsidRPr="009824C8" w14:paraId="3ECEE319" w14:textId="77777777" w:rsidTr="00175A9D">
        <w:trPr>
          <w:trHeight w:val="338"/>
        </w:trPr>
        <w:tc>
          <w:tcPr>
            <w:tcW w:w="3969" w:type="dxa"/>
          </w:tcPr>
          <w:p w14:paraId="148B4700" w14:textId="77777777" w:rsidR="009824C8" w:rsidRPr="009824C8" w:rsidRDefault="009824C8" w:rsidP="009824C8">
            <w:pPr>
              <w:pStyle w:val="TableText"/>
              <w:jc w:val="right"/>
            </w:pPr>
            <w:r w:rsidRPr="009824C8">
              <w:t>2-3</w:t>
            </w:r>
          </w:p>
        </w:tc>
        <w:tc>
          <w:tcPr>
            <w:tcW w:w="3969" w:type="dxa"/>
          </w:tcPr>
          <w:p w14:paraId="3E2F7CAE" w14:textId="77777777" w:rsidR="009824C8" w:rsidRPr="009824C8" w:rsidRDefault="009824C8" w:rsidP="009824C8">
            <w:pPr>
              <w:pStyle w:val="TableText"/>
              <w:jc w:val="right"/>
            </w:pPr>
            <w:r w:rsidRPr="009824C8">
              <w:t>0</w:t>
            </w:r>
          </w:p>
        </w:tc>
      </w:tr>
      <w:tr w:rsidR="009824C8" w:rsidRPr="009824C8" w14:paraId="5E297571" w14:textId="77777777" w:rsidTr="00175A9D">
        <w:trPr>
          <w:trHeight w:val="338"/>
        </w:trPr>
        <w:tc>
          <w:tcPr>
            <w:tcW w:w="3969" w:type="dxa"/>
          </w:tcPr>
          <w:p w14:paraId="21EAFF4A" w14:textId="77777777" w:rsidR="009824C8" w:rsidRPr="009824C8" w:rsidRDefault="009824C8" w:rsidP="009824C8">
            <w:pPr>
              <w:pStyle w:val="TableText"/>
              <w:jc w:val="right"/>
            </w:pPr>
            <w:r w:rsidRPr="009824C8">
              <w:t>3-4</w:t>
            </w:r>
          </w:p>
        </w:tc>
        <w:tc>
          <w:tcPr>
            <w:tcW w:w="3969" w:type="dxa"/>
          </w:tcPr>
          <w:p w14:paraId="4F507F1E" w14:textId="77777777" w:rsidR="009824C8" w:rsidRPr="009824C8" w:rsidRDefault="009824C8" w:rsidP="009824C8">
            <w:pPr>
              <w:pStyle w:val="TableText"/>
              <w:jc w:val="right"/>
            </w:pPr>
            <w:r w:rsidRPr="009824C8">
              <w:t>0</w:t>
            </w:r>
          </w:p>
        </w:tc>
      </w:tr>
      <w:tr w:rsidR="009824C8" w:rsidRPr="009824C8" w14:paraId="5964FD55" w14:textId="77777777" w:rsidTr="00175A9D">
        <w:trPr>
          <w:trHeight w:val="338"/>
        </w:trPr>
        <w:tc>
          <w:tcPr>
            <w:tcW w:w="3969" w:type="dxa"/>
          </w:tcPr>
          <w:p w14:paraId="778B5E31" w14:textId="77777777" w:rsidR="009824C8" w:rsidRPr="009824C8" w:rsidRDefault="009824C8" w:rsidP="009824C8">
            <w:pPr>
              <w:pStyle w:val="TableText"/>
              <w:jc w:val="right"/>
            </w:pPr>
            <w:r w:rsidRPr="009824C8">
              <w:t>4-5</w:t>
            </w:r>
          </w:p>
        </w:tc>
        <w:tc>
          <w:tcPr>
            <w:tcW w:w="3969" w:type="dxa"/>
          </w:tcPr>
          <w:p w14:paraId="38A97E74" w14:textId="77777777" w:rsidR="009824C8" w:rsidRPr="009824C8" w:rsidRDefault="009824C8" w:rsidP="009824C8">
            <w:pPr>
              <w:pStyle w:val="TableText"/>
              <w:jc w:val="right"/>
            </w:pPr>
            <w:r w:rsidRPr="009824C8">
              <w:t>2</w:t>
            </w:r>
          </w:p>
        </w:tc>
      </w:tr>
      <w:tr w:rsidR="009824C8" w:rsidRPr="009824C8" w14:paraId="1817F0EF" w14:textId="77777777" w:rsidTr="00175A9D">
        <w:trPr>
          <w:trHeight w:val="338"/>
        </w:trPr>
        <w:tc>
          <w:tcPr>
            <w:tcW w:w="3969" w:type="dxa"/>
          </w:tcPr>
          <w:p w14:paraId="125793E0" w14:textId="77777777" w:rsidR="009824C8" w:rsidRPr="009824C8" w:rsidRDefault="009824C8" w:rsidP="009824C8">
            <w:pPr>
              <w:pStyle w:val="TableText"/>
              <w:jc w:val="right"/>
            </w:pPr>
            <w:r w:rsidRPr="009824C8">
              <w:t>5-6</w:t>
            </w:r>
          </w:p>
        </w:tc>
        <w:tc>
          <w:tcPr>
            <w:tcW w:w="3969" w:type="dxa"/>
          </w:tcPr>
          <w:p w14:paraId="44D0C4BA" w14:textId="77777777" w:rsidR="009824C8" w:rsidRPr="009824C8" w:rsidRDefault="009824C8" w:rsidP="009824C8">
            <w:pPr>
              <w:pStyle w:val="TableText"/>
              <w:jc w:val="right"/>
            </w:pPr>
            <w:r w:rsidRPr="009824C8">
              <w:t>0</w:t>
            </w:r>
          </w:p>
        </w:tc>
      </w:tr>
      <w:tr w:rsidR="009824C8" w:rsidRPr="009824C8" w14:paraId="34ACA02F" w14:textId="77777777" w:rsidTr="00175A9D">
        <w:trPr>
          <w:trHeight w:val="338"/>
        </w:trPr>
        <w:tc>
          <w:tcPr>
            <w:tcW w:w="3969" w:type="dxa"/>
          </w:tcPr>
          <w:p w14:paraId="6982C0BC" w14:textId="77777777" w:rsidR="009824C8" w:rsidRPr="009824C8" w:rsidRDefault="009824C8" w:rsidP="009824C8">
            <w:pPr>
              <w:pStyle w:val="TableText"/>
              <w:jc w:val="right"/>
            </w:pPr>
            <w:r w:rsidRPr="009824C8">
              <w:t>6-7</w:t>
            </w:r>
          </w:p>
        </w:tc>
        <w:tc>
          <w:tcPr>
            <w:tcW w:w="3969" w:type="dxa"/>
          </w:tcPr>
          <w:p w14:paraId="5828EA2D" w14:textId="77777777" w:rsidR="009824C8" w:rsidRPr="009824C8" w:rsidRDefault="009824C8" w:rsidP="009824C8">
            <w:pPr>
              <w:pStyle w:val="TableText"/>
              <w:jc w:val="right"/>
            </w:pPr>
            <w:r w:rsidRPr="009824C8">
              <w:t>1</w:t>
            </w:r>
          </w:p>
        </w:tc>
      </w:tr>
      <w:tr w:rsidR="009824C8" w:rsidRPr="009824C8" w14:paraId="136ACEC3" w14:textId="77777777" w:rsidTr="00175A9D">
        <w:trPr>
          <w:trHeight w:val="338"/>
        </w:trPr>
        <w:tc>
          <w:tcPr>
            <w:tcW w:w="3969" w:type="dxa"/>
          </w:tcPr>
          <w:p w14:paraId="5D89EAC3" w14:textId="77777777" w:rsidR="009824C8" w:rsidRPr="009824C8" w:rsidRDefault="009824C8" w:rsidP="009824C8">
            <w:pPr>
              <w:pStyle w:val="TableText"/>
              <w:jc w:val="right"/>
            </w:pPr>
            <w:r w:rsidRPr="009824C8">
              <w:t>7-8</w:t>
            </w:r>
          </w:p>
        </w:tc>
        <w:tc>
          <w:tcPr>
            <w:tcW w:w="3969" w:type="dxa"/>
          </w:tcPr>
          <w:p w14:paraId="0F0023D1" w14:textId="77777777" w:rsidR="009824C8" w:rsidRPr="009824C8" w:rsidRDefault="009824C8" w:rsidP="009824C8">
            <w:pPr>
              <w:pStyle w:val="TableText"/>
              <w:jc w:val="right"/>
            </w:pPr>
            <w:r w:rsidRPr="009824C8">
              <w:t>4</w:t>
            </w:r>
          </w:p>
        </w:tc>
      </w:tr>
      <w:tr w:rsidR="009824C8" w:rsidRPr="009824C8" w14:paraId="5F61234A" w14:textId="77777777" w:rsidTr="00175A9D">
        <w:trPr>
          <w:trHeight w:val="333"/>
        </w:trPr>
        <w:tc>
          <w:tcPr>
            <w:tcW w:w="3969" w:type="dxa"/>
          </w:tcPr>
          <w:p w14:paraId="038ACD69" w14:textId="77777777" w:rsidR="009824C8" w:rsidRPr="009824C8" w:rsidRDefault="009824C8" w:rsidP="009824C8">
            <w:pPr>
              <w:pStyle w:val="TableText"/>
              <w:jc w:val="right"/>
            </w:pPr>
            <w:r w:rsidRPr="009824C8">
              <w:t>(greater than) 8</w:t>
            </w:r>
          </w:p>
        </w:tc>
        <w:tc>
          <w:tcPr>
            <w:tcW w:w="3969" w:type="dxa"/>
          </w:tcPr>
          <w:p w14:paraId="7EF6DBF4" w14:textId="77777777" w:rsidR="009824C8" w:rsidRPr="009824C8" w:rsidRDefault="009824C8" w:rsidP="009824C8">
            <w:pPr>
              <w:pStyle w:val="TableText"/>
              <w:jc w:val="right"/>
            </w:pPr>
            <w:r w:rsidRPr="009824C8">
              <w:t>20</w:t>
            </w:r>
          </w:p>
        </w:tc>
      </w:tr>
    </w:tbl>
    <w:p w14:paraId="1663511E" w14:textId="77777777" w:rsidR="009824C8" w:rsidRDefault="009824C8" w:rsidP="009824C8"/>
    <w:p w14:paraId="78778F4C" w14:textId="77777777" w:rsidR="009824C8" w:rsidRDefault="009824C8" w:rsidP="009824C8">
      <w:pPr>
        <w:rPr>
          <w:lang w:eastAsia="en-US"/>
        </w:rPr>
      </w:pPr>
      <w:r>
        <w:rPr>
          <w:lang w:eastAsia="en-US"/>
        </w:rPr>
        <w:t>Among these patients:</w:t>
      </w:r>
    </w:p>
    <w:p w14:paraId="1DC151DE" w14:textId="0324B17C" w:rsidR="009824C8" w:rsidRDefault="009824C8" w:rsidP="009824C8">
      <w:pPr>
        <w:pStyle w:val="Bullet"/>
        <w:rPr>
          <w:lang w:eastAsia="en-US"/>
        </w:rPr>
      </w:pPr>
      <w:r>
        <w:rPr>
          <w:lang w:eastAsia="en-US"/>
        </w:rPr>
        <w:t>28.6% were detained for up to, and including, eight weeks, which is within the first period of compulsory treatment set out in the Act.</w:t>
      </w:r>
    </w:p>
    <w:p w14:paraId="1C6E83D9" w14:textId="39D7AE44" w:rsidR="009824C8" w:rsidRDefault="009824C8" w:rsidP="009824C8">
      <w:pPr>
        <w:pStyle w:val="Bullet"/>
        <w:rPr>
          <w:lang w:eastAsia="en-US"/>
        </w:rPr>
      </w:pPr>
      <w:r>
        <w:rPr>
          <w:lang w:eastAsia="en-US"/>
        </w:rPr>
        <w:t>71.4% of patients were detained for a period of between 8 and 16 weeks, requiring a compulsory treatment order extension.</w:t>
      </w:r>
    </w:p>
    <w:p w14:paraId="545716DA" w14:textId="77777777" w:rsidR="009824C8" w:rsidRDefault="009824C8" w:rsidP="009824C8">
      <w:pPr>
        <w:rPr>
          <w:lang w:eastAsia="en-US"/>
        </w:rPr>
      </w:pPr>
    </w:p>
    <w:p w14:paraId="56C4D946" w14:textId="224536E1" w:rsidR="009824C8" w:rsidRDefault="009824C8" w:rsidP="009824C8">
      <w:pPr>
        <w:rPr>
          <w:lang w:eastAsia="en-US"/>
        </w:rPr>
      </w:pPr>
      <w:r>
        <w:rPr>
          <w:lang w:eastAsia="en-US"/>
        </w:rPr>
        <w:t>Data extracted from PRIMHD shows that among service users who were discharged from the Substance Addiction Act during 1 July 2021 – 30 June 2022:</w:t>
      </w:r>
    </w:p>
    <w:p w14:paraId="58D02A2B" w14:textId="2910AC29" w:rsidR="009824C8" w:rsidRDefault="009824C8" w:rsidP="009824C8">
      <w:pPr>
        <w:pStyle w:val="Bullet"/>
        <w:rPr>
          <w:lang w:eastAsia="en-US"/>
        </w:rPr>
      </w:pPr>
      <w:r>
        <w:rPr>
          <w:lang w:eastAsia="en-US"/>
        </w:rPr>
        <w:t>23.5% received additional inpatient care</w:t>
      </w:r>
    </w:p>
    <w:p w14:paraId="44EEA85C" w14:textId="20D112C2" w:rsidR="009824C8" w:rsidRDefault="009824C8" w:rsidP="009824C8">
      <w:pPr>
        <w:pStyle w:val="Bullet"/>
        <w:rPr>
          <w:lang w:eastAsia="en-US"/>
        </w:rPr>
      </w:pPr>
      <w:r>
        <w:rPr>
          <w:lang w:eastAsia="en-US"/>
        </w:rPr>
        <w:t>82.4% engaged with individual treatments in outpatient services</w:t>
      </w:r>
    </w:p>
    <w:p w14:paraId="12BDAB1D" w14:textId="3E261A99" w:rsidR="009824C8" w:rsidRDefault="009824C8" w:rsidP="009824C8">
      <w:pPr>
        <w:pStyle w:val="Bullet"/>
        <w:rPr>
          <w:lang w:eastAsia="en-US"/>
        </w:rPr>
      </w:pPr>
      <w:r>
        <w:rPr>
          <w:lang w:eastAsia="en-US"/>
        </w:rPr>
        <w:t>44.1% had family meetings arranged</w:t>
      </w:r>
    </w:p>
    <w:p w14:paraId="115A3B46" w14:textId="1B04A76D" w:rsidR="009824C8" w:rsidRDefault="009824C8" w:rsidP="009824C8">
      <w:pPr>
        <w:pStyle w:val="Bullet"/>
        <w:rPr>
          <w:lang w:eastAsia="en-US"/>
        </w:rPr>
      </w:pPr>
      <w:r>
        <w:rPr>
          <w:lang w:eastAsia="en-US"/>
        </w:rPr>
        <w:t>76.5% had Supplementary Consumer Records</w:t>
      </w:r>
    </w:p>
    <w:p w14:paraId="4DA0A7B3" w14:textId="02A4D16C" w:rsidR="009824C8" w:rsidRDefault="009824C8" w:rsidP="009824C8">
      <w:pPr>
        <w:pStyle w:val="Bullet"/>
        <w:rPr>
          <w:lang w:eastAsia="en-US"/>
        </w:rPr>
      </w:pPr>
      <w:r>
        <w:rPr>
          <w:lang w:eastAsia="en-US"/>
        </w:rPr>
        <w:t>64.7% had wellness plans.</w:t>
      </w:r>
    </w:p>
    <w:p w14:paraId="70ECB383" w14:textId="77777777" w:rsidR="009824C8" w:rsidRDefault="009824C8" w:rsidP="009824C8">
      <w:pPr>
        <w:rPr>
          <w:lang w:eastAsia="en-US"/>
        </w:rPr>
      </w:pPr>
    </w:p>
    <w:p w14:paraId="274E4B81" w14:textId="0802DD33" w:rsidR="009824C8" w:rsidRDefault="009824C8" w:rsidP="009824C8">
      <w:pPr>
        <w:rPr>
          <w:lang w:eastAsia="en-US"/>
        </w:rPr>
      </w:pPr>
      <w:r>
        <w:rPr>
          <w:lang w:eastAsia="en-US"/>
        </w:rPr>
        <w:t>Please note, if an individual using these services was discharged in late June 2022, they are unlikely to have had enough time to engage with outpatient services during the reporting period.</w:t>
      </w:r>
    </w:p>
    <w:p w14:paraId="409DFB17" w14:textId="77777777" w:rsidR="009824C8" w:rsidRDefault="009824C8" w:rsidP="009824C8">
      <w:pPr>
        <w:rPr>
          <w:lang w:eastAsia="en-US"/>
        </w:rPr>
      </w:pPr>
    </w:p>
    <w:p w14:paraId="2BD9A1F8" w14:textId="43AF8C16" w:rsidR="009824C8" w:rsidRPr="009824C8" w:rsidRDefault="009824C8" w:rsidP="009824C8">
      <w:pPr>
        <w:rPr>
          <w:lang w:eastAsia="en-US"/>
        </w:rPr>
        <w:sectPr w:rsidR="009824C8" w:rsidRPr="009824C8" w:rsidSect="00C26282">
          <w:pgSz w:w="11907" w:h="16840" w:code="9"/>
          <w:pgMar w:top="1418" w:right="1701" w:bottom="1134" w:left="1843" w:header="284" w:footer="425" w:gutter="284"/>
          <w:cols w:space="720"/>
        </w:sectPr>
      </w:pPr>
      <w:r>
        <w:rPr>
          <w:lang w:eastAsia="en-US"/>
        </w:rPr>
        <w:t>For this reason, it may be difficult to draw meaningful conclusions about a service user’s recovery journey from the information above.</w:t>
      </w:r>
    </w:p>
    <w:p w14:paraId="2AAF2BDB" w14:textId="64EA72D4" w:rsidR="009824C8" w:rsidRDefault="009824C8" w:rsidP="009824C8">
      <w:pPr>
        <w:pStyle w:val="Heading2"/>
        <w:spacing w:before="0"/>
      </w:pPr>
      <w:bookmarkStart w:id="82" w:name="_Toc117264988"/>
      <w:r>
        <w:lastRenderedPageBreak/>
        <w:t>Appendix 8: Carbon Neutral Government Plan – Greenhouse gas emissions 2021/22</w:t>
      </w:r>
      <w:bookmarkEnd w:id="82"/>
    </w:p>
    <w:p w14:paraId="1D323652" w14:textId="77777777" w:rsidR="009824C8" w:rsidRDefault="009824C8" w:rsidP="009824C8">
      <w:r>
        <w:t>At Manatū Hauora, we are committed to playing our part in the Carbon Neutral Government Plan to minimise our environmental footprint by reducing our greenhouse gas emissions.</w:t>
      </w:r>
    </w:p>
    <w:p w14:paraId="2A5A9F63" w14:textId="77777777" w:rsidR="009824C8" w:rsidRDefault="009824C8" w:rsidP="009824C8">
      <w:pPr>
        <w:pStyle w:val="Heading4"/>
      </w:pPr>
      <w:r>
        <w:t>Moving to net zero Carbon emissions</w:t>
      </w:r>
    </w:p>
    <w:p w14:paraId="71A16A42" w14:textId="11442D20" w:rsidR="009824C8" w:rsidRDefault="009824C8" w:rsidP="009824C8">
      <w:r>
        <w:t>In January 2022, we released our Greenhouse Gas Emissions Base Year Report and Inventory. Due to the changing situation that COVID-19 has presented; we have selected 1 March 2019 – 29 February 2020 as our base year. This was determined to be the best representation of our ‘business as usual’ in recent years.</w:t>
      </w:r>
    </w:p>
    <w:p w14:paraId="7F83CCA2" w14:textId="77777777" w:rsidR="009824C8" w:rsidRDefault="009824C8" w:rsidP="009824C8"/>
    <w:p w14:paraId="58766940" w14:textId="52F235D7" w:rsidR="009824C8" w:rsidRDefault="009824C8" w:rsidP="009824C8">
      <w:r>
        <w:t>Our provisional and unverified data for 2021/22 shows we emitted 1147.21 tonnes of carbon dioxide equivalent (tCO2e)</w:t>
      </w:r>
      <w:r>
        <w:rPr>
          <w:rStyle w:val="FootnoteReference"/>
        </w:rPr>
        <w:footnoteReference w:id="62"/>
      </w:r>
      <w:r>
        <w:t>. These emissions equate to a 41.65 percent reduction from our base year emissions (1966.23 tCO2e).</w:t>
      </w:r>
      <w:r>
        <w:rPr>
          <w:rStyle w:val="FootnoteReference"/>
        </w:rPr>
        <w:footnoteReference w:id="63"/>
      </w:r>
    </w:p>
    <w:p w14:paraId="594B48C5" w14:textId="77777777" w:rsidR="009824C8" w:rsidRDefault="009824C8" w:rsidP="009824C8"/>
    <w:p w14:paraId="51B09F14" w14:textId="2919AE95" w:rsidR="009824C8" w:rsidRDefault="009824C8" w:rsidP="009824C8">
      <w:r>
        <w:t>The reduction in emissions can be directly attributed to:</w:t>
      </w:r>
    </w:p>
    <w:p w14:paraId="7FD3B281" w14:textId="704C0AC7" w:rsidR="009824C8" w:rsidRDefault="009824C8" w:rsidP="009824C8">
      <w:pPr>
        <w:pStyle w:val="Bullet"/>
      </w:pPr>
      <w:r>
        <w:t>Reduced domestic and international travel due to restrictions imposed by the COVID-19 pandemic.</w:t>
      </w:r>
    </w:p>
    <w:p w14:paraId="777402CF" w14:textId="19E47E67" w:rsidR="009824C8" w:rsidRDefault="009824C8" w:rsidP="009824C8">
      <w:pPr>
        <w:pStyle w:val="Bullet"/>
      </w:pPr>
      <w:r>
        <w:t>Transitioning our fleet to low emission vehicles (hybrid and electric). In the 2021/22 financial year, the Ministry began the electrification of its automobile fleet through the purchase of one electric vehicle and six hybrid vehicles.</w:t>
      </w:r>
    </w:p>
    <w:p w14:paraId="0F2D8BAA" w14:textId="77777777" w:rsidR="003E61A2" w:rsidRDefault="009824C8" w:rsidP="003E61A2">
      <w:pPr>
        <w:pStyle w:val="Bullet"/>
      </w:pPr>
      <w:r>
        <w:t>Modernising our technology platforms to enable our people to work anywhere, on any</w:t>
      </w:r>
      <w:r w:rsidR="003E61A2">
        <w:t xml:space="preserve"> device, at any time, reducing the need for travel and/or face to face meetings.</w:t>
      </w:r>
    </w:p>
    <w:p w14:paraId="6153AE7B" w14:textId="77777777" w:rsidR="003E61A2" w:rsidRDefault="003E61A2" w:rsidP="003E61A2">
      <w:pPr>
        <w:pStyle w:val="Bullet"/>
      </w:pPr>
      <w:r>
        <w:t>Improved data collection techniques for our waste stream, resulting in a significant drop in emissions.</w:t>
      </w:r>
    </w:p>
    <w:p w14:paraId="04CB5E43" w14:textId="77777777" w:rsidR="003E61A2" w:rsidRDefault="003E61A2" w:rsidP="003E61A2"/>
    <w:p w14:paraId="62598796" w14:textId="1746738B" w:rsidR="003E61A2" w:rsidRDefault="003E61A2" w:rsidP="003E61A2">
      <w:r>
        <w:t>The below figure provides an overview of emissions sources, broken down by source. The emissions in 2021/22 are compared against our base year figures.</w:t>
      </w:r>
    </w:p>
    <w:p w14:paraId="5BA6C512" w14:textId="77777777" w:rsidR="003E61A2" w:rsidRDefault="003E61A2" w:rsidP="003E61A2"/>
    <w:p w14:paraId="4C494CC0" w14:textId="08EBDDC0" w:rsidR="003E61A2" w:rsidRDefault="003E61A2" w:rsidP="003E61A2">
      <w:r>
        <w:t>In 2021/22 we saw a 33.5 percent increase in emissions derived from electricity. This was directly related to bringing on additional short-term accommodation to support a significant increase in our workforce, as part of our role in the COVID-19 response.</w:t>
      </w:r>
    </w:p>
    <w:p w14:paraId="52E19642" w14:textId="77777777" w:rsidR="003E61A2" w:rsidRDefault="003E61A2" w:rsidP="009824C8">
      <w:pPr>
        <w:sectPr w:rsidR="003E61A2" w:rsidSect="00C26282">
          <w:pgSz w:w="11907" w:h="16840" w:code="9"/>
          <w:pgMar w:top="1418" w:right="1701" w:bottom="1134" w:left="1843" w:header="284" w:footer="425" w:gutter="284"/>
          <w:cols w:space="720"/>
        </w:sectPr>
      </w:pPr>
    </w:p>
    <w:p w14:paraId="63E46B5F" w14:textId="3D04180A" w:rsidR="009824C8" w:rsidRDefault="003E61A2" w:rsidP="003E61A2">
      <w:pPr>
        <w:pStyle w:val="Figure"/>
      </w:pPr>
      <w:r w:rsidRPr="003E61A2">
        <w:lastRenderedPageBreak/>
        <w:t>Annual emissions by source: Base year (2019/20) compared to 2021/22.</w:t>
      </w:r>
    </w:p>
    <w:p w14:paraId="611B04F5" w14:textId="3C0CDE9C" w:rsidR="003E61A2" w:rsidRDefault="00117E78" w:rsidP="009824C8">
      <w:r>
        <w:rPr>
          <w:noProof/>
        </w:rPr>
        <w:drawing>
          <wp:inline distT="0" distB="0" distL="0" distR="0" wp14:anchorId="54C4CB01" wp14:editId="3159A430">
            <wp:extent cx="5130165" cy="2677160"/>
            <wp:effectExtent l="0" t="0" r="0" b="8890"/>
            <wp:docPr id="8" name="Picture 8" descr="Bar graph shows air travel with the greatest emissions by far in the base year (about 1,500) and also in the current year (just under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r graph shows air travel with the greatest emissions by far in the base year (about 1,500) and also in the current year (just under 800)"/>
                    <pic:cNvPicPr/>
                  </pic:nvPicPr>
                  <pic:blipFill>
                    <a:blip r:embed="rId46">
                      <a:extLst>
                        <a:ext uri="{28A0092B-C50C-407E-A947-70E740481C1C}">
                          <a14:useLocalDpi xmlns:a14="http://schemas.microsoft.com/office/drawing/2010/main" val="0"/>
                        </a:ext>
                      </a:extLst>
                    </a:blip>
                    <a:stretch>
                      <a:fillRect/>
                    </a:stretch>
                  </pic:blipFill>
                  <pic:spPr>
                    <a:xfrm>
                      <a:off x="0" y="0"/>
                      <a:ext cx="5130165" cy="2677160"/>
                    </a:xfrm>
                    <a:prstGeom prst="rect">
                      <a:avLst/>
                    </a:prstGeom>
                  </pic:spPr>
                </pic:pic>
              </a:graphicData>
            </a:graphic>
          </wp:inline>
        </w:drawing>
      </w:r>
    </w:p>
    <w:p w14:paraId="295E3159" w14:textId="77777777" w:rsidR="00117E78" w:rsidRDefault="00117E78" w:rsidP="00117E78">
      <w:pPr>
        <w:pStyle w:val="Heading4"/>
      </w:pPr>
      <w:r>
        <w:t>Progress towards our 2025 and 2030 targets</w:t>
      </w:r>
    </w:p>
    <w:p w14:paraId="1D97F24F" w14:textId="0AACB71E" w:rsidR="00117E78" w:rsidRDefault="00117E78" w:rsidP="00117E78">
      <w:r>
        <w:t>In line with the Carbon Neutral Government Programme target to achieve 42 percent reduction in gross emissions, the Ministry has set targets for emitting no more than 1553.3 tCO2e for the year 2025, and 1140.4 tCO2e for the year 2030.</w:t>
      </w:r>
    </w:p>
    <w:p w14:paraId="1EF9C14F" w14:textId="77777777" w:rsidR="00117E78" w:rsidRDefault="00117E78" w:rsidP="00117E78"/>
    <w:p w14:paraId="69378568" w14:textId="6E79AB25" w:rsidR="00117E78" w:rsidRDefault="00117E78" w:rsidP="00117E78">
      <w:r>
        <w:t>By 1 December 2022, we are required to publish the Ministry’s inaugural reduction plan. The plan will identify specific reduction initiatives, enabling the Ministry to effectively reach our 2025 reduction target.</w:t>
      </w:r>
    </w:p>
    <w:p w14:paraId="4CA7942A" w14:textId="77777777" w:rsidR="00117E78" w:rsidRDefault="00117E78" w:rsidP="00117E78"/>
    <w:p w14:paraId="1205D647" w14:textId="77777777" w:rsidR="00117E78" w:rsidRDefault="00117E78" w:rsidP="00117E78">
      <w:r>
        <w:t>During 2021/22, our executive leadership team have committed to focusing on areas where we can make the greatest impact to reduce emissions. The primary areas of focus include:</w:t>
      </w:r>
    </w:p>
    <w:p w14:paraId="428D3582" w14:textId="2807AFC5" w:rsidR="00117E78" w:rsidRDefault="00117E78" w:rsidP="00117E78">
      <w:pPr>
        <w:pStyle w:val="Bullet"/>
      </w:pPr>
      <w:r>
        <w:t>Review of internal policies and practices in relation to all modes of travel.</w:t>
      </w:r>
    </w:p>
    <w:p w14:paraId="140AC6F8" w14:textId="77777777" w:rsidR="00117E78" w:rsidRDefault="00117E78" w:rsidP="00117E78">
      <w:pPr>
        <w:pStyle w:val="Bullet"/>
      </w:pPr>
      <w:r>
        <w:t>Ongoing review of our fleet needs and the upgrade of any remaining fleet to electric/ hybrid by 2025.</w:t>
      </w:r>
    </w:p>
    <w:p w14:paraId="7C7FCD37" w14:textId="77777777" w:rsidR="00117E78" w:rsidRDefault="00117E78" w:rsidP="00117E78">
      <w:pPr>
        <w:pStyle w:val="Bullet"/>
      </w:pPr>
      <w:r>
        <w:t>Feasibility studies on systems that will improve our energy efficiency and reduce our waste streams.</w:t>
      </w:r>
    </w:p>
    <w:p w14:paraId="2590332B" w14:textId="3A984EBF" w:rsidR="00117E78" w:rsidRDefault="00117E78" w:rsidP="00117E78">
      <w:pPr>
        <w:pStyle w:val="Bullet"/>
      </w:pPr>
      <w:r>
        <w:t>Where financially prudent, increased capital investment in sustainable long-term initiatives.</w:t>
      </w:r>
    </w:p>
    <w:p w14:paraId="7B3AD491" w14:textId="77777777" w:rsidR="00E5743E" w:rsidRDefault="00E5743E" w:rsidP="00E5743E">
      <w:pPr>
        <w:sectPr w:rsidR="00E5743E" w:rsidSect="00C26282">
          <w:pgSz w:w="11907" w:h="16840" w:code="9"/>
          <w:pgMar w:top="1418" w:right="1701" w:bottom="1134" w:left="1843" w:header="284" w:footer="425" w:gutter="284"/>
          <w:cols w:space="720"/>
        </w:sectPr>
      </w:pPr>
    </w:p>
    <w:p w14:paraId="7B466BEE" w14:textId="77777777" w:rsidR="00117E78" w:rsidRDefault="00E5743E" w:rsidP="00C754CB">
      <w:pPr>
        <w:pStyle w:val="Heading1"/>
        <w:spacing w:before="0"/>
        <w:rPr>
          <w:b w:val="0"/>
          <w:bCs/>
          <w:lang w:eastAsia="en-US"/>
        </w:rPr>
      </w:pPr>
      <w:bookmarkStart w:id="83" w:name="_Toc117264989"/>
      <w:r w:rsidRPr="00E5743E">
        <w:rPr>
          <w:lang w:eastAsia="en-US"/>
        </w:rPr>
        <w:lastRenderedPageBreak/>
        <w:t xml:space="preserve">Te Aho o Te Kahu | </w:t>
      </w:r>
      <w:r w:rsidRPr="00E5743E">
        <w:rPr>
          <w:b w:val="0"/>
          <w:bCs/>
          <w:lang w:eastAsia="en-US"/>
        </w:rPr>
        <w:t>Cancer Control Agency Annual Report 2021/22</w:t>
      </w:r>
      <w:bookmarkEnd w:id="83"/>
    </w:p>
    <w:p w14:paraId="1F90D519" w14:textId="77777777" w:rsidR="00E5743E" w:rsidRDefault="00E5743E" w:rsidP="00E5743E">
      <w:pPr>
        <w:pStyle w:val="Heading4"/>
        <w:rPr>
          <w:lang w:eastAsia="en-US"/>
        </w:rPr>
      </w:pPr>
      <w:r>
        <w:rPr>
          <w:lang w:eastAsia="en-US"/>
        </w:rPr>
        <w:t>Our purpose</w:t>
      </w:r>
    </w:p>
    <w:p w14:paraId="2751C1B3" w14:textId="2017B8B4" w:rsidR="00E5743E" w:rsidRDefault="00E5743E" w:rsidP="00E5743E">
      <w:pPr>
        <w:rPr>
          <w:lang w:eastAsia="en-US"/>
        </w:rPr>
      </w:pPr>
      <w:r>
        <w:rPr>
          <w:lang w:eastAsia="en-US"/>
        </w:rPr>
        <w:t>We provide strong central leadership and oversight of cancer control.  We lead and unite efforts to deliver better cancer outcomes for Aotearoa New Zealand.</w:t>
      </w:r>
    </w:p>
    <w:p w14:paraId="5CBB9108" w14:textId="5CD00534" w:rsidR="00E5743E" w:rsidRDefault="00E5743E" w:rsidP="00E5743E">
      <w:pPr>
        <w:pStyle w:val="Heading4"/>
        <w:rPr>
          <w:lang w:eastAsia="en-US"/>
        </w:rPr>
      </w:pPr>
      <w:r w:rsidRPr="00E5743E">
        <w:rPr>
          <w:lang w:eastAsia="en-US"/>
        </w:rPr>
        <w:t>Our work is</w:t>
      </w:r>
    </w:p>
    <w:p w14:paraId="509DC016" w14:textId="30EE2E22" w:rsidR="00E5743E" w:rsidRDefault="00E5743E" w:rsidP="00E5743E">
      <w:pPr>
        <w:pStyle w:val="Bullet"/>
        <w:rPr>
          <w:lang w:eastAsia="en-US"/>
        </w:rPr>
      </w:pPr>
      <w:r>
        <w:rPr>
          <w:lang w:eastAsia="en-US"/>
        </w:rPr>
        <w:t xml:space="preserve"> equity led </w:t>
      </w:r>
    </w:p>
    <w:p w14:paraId="4EDEFC75" w14:textId="2B6400AE" w:rsidR="00E5743E" w:rsidRDefault="00E5743E" w:rsidP="00E5743E">
      <w:pPr>
        <w:pStyle w:val="Bullet"/>
        <w:rPr>
          <w:lang w:eastAsia="en-US"/>
        </w:rPr>
      </w:pPr>
      <w:r>
        <w:rPr>
          <w:lang w:eastAsia="en-US"/>
        </w:rPr>
        <w:t xml:space="preserve"> knowledge driven </w:t>
      </w:r>
    </w:p>
    <w:p w14:paraId="5B8806FE" w14:textId="2047728D" w:rsidR="00E5743E" w:rsidRDefault="00E5743E" w:rsidP="00E5743E">
      <w:pPr>
        <w:pStyle w:val="Bullet"/>
        <w:rPr>
          <w:lang w:eastAsia="en-US"/>
        </w:rPr>
      </w:pPr>
      <w:r>
        <w:rPr>
          <w:lang w:eastAsia="en-US"/>
        </w:rPr>
        <w:t xml:space="preserve"> outcomes focused</w:t>
      </w:r>
    </w:p>
    <w:p w14:paraId="21A4B608" w14:textId="21F84185" w:rsidR="00E5743E" w:rsidRDefault="00E5743E" w:rsidP="00E5743E">
      <w:pPr>
        <w:pStyle w:val="Bullet"/>
        <w:rPr>
          <w:lang w:eastAsia="en-US"/>
        </w:rPr>
      </w:pPr>
      <w:r>
        <w:rPr>
          <w:lang w:eastAsia="en-US"/>
        </w:rPr>
        <w:t xml:space="preserve"> person and whānau centred.</w:t>
      </w:r>
    </w:p>
    <w:p w14:paraId="3A7B0EA2" w14:textId="77777777" w:rsidR="00E5743E" w:rsidRDefault="00E5743E" w:rsidP="00E5743E">
      <w:pPr>
        <w:pStyle w:val="Heading4"/>
        <w:rPr>
          <w:lang w:eastAsia="en-US"/>
        </w:rPr>
      </w:pPr>
      <w:r w:rsidRPr="00E5743E">
        <w:rPr>
          <w:lang w:eastAsia="en-US"/>
        </w:rPr>
        <w:t>Who we are</w:t>
      </w:r>
    </w:p>
    <w:p w14:paraId="6562C57E" w14:textId="77777777" w:rsidR="00E5743E" w:rsidRDefault="00E5743E" w:rsidP="00E5743E">
      <w:pPr>
        <w:rPr>
          <w:lang w:eastAsia="en-US"/>
        </w:rPr>
      </w:pPr>
      <w:r>
        <w:rPr>
          <w:lang w:eastAsia="en-US"/>
        </w:rPr>
        <w:t xml:space="preserve">Te Aho o Te Kahu, the Cancer Control Agency is a departmental agency reporting </w:t>
      </w:r>
    </w:p>
    <w:p w14:paraId="193F6604" w14:textId="4BF64CBA" w:rsidR="00E5743E" w:rsidRDefault="00E5743E" w:rsidP="00E5743E">
      <w:pPr>
        <w:rPr>
          <w:lang w:eastAsia="en-US"/>
        </w:rPr>
      </w:pPr>
      <w:r>
        <w:rPr>
          <w:lang w:eastAsia="en-US"/>
        </w:rPr>
        <w:t xml:space="preserve">directly to the Minister of Health and hosted by the Ministry of Health. </w:t>
      </w:r>
    </w:p>
    <w:p w14:paraId="42EA6B5D" w14:textId="77777777" w:rsidR="00E5743E" w:rsidRDefault="00E5743E" w:rsidP="00E5743E">
      <w:pPr>
        <w:rPr>
          <w:lang w:eastAsia="en-US"/>
        </w:rPr>
      </w:pPr>
    </w:p>
    <w:p w14:paraId="303968DE" w14:textId="77777777" w:rsidR="00E5743E" w:rsidRDefault="00E5743E" w:rsidP="00E5743E">
      <w:pPr>
        <w:rPr>
          <w:lang w:eastAsia="en-US"/>
        </w:rPr>
      </w:pPr>
      <w:r>
        <w:rPr>
          <w:lang w:eastAsia="en-US"/>
        </w:rPr>
        <w:t xml:space="preserve">The agency was created in recognition of the impact cancer has on the lives of  </w:t>
      </w:r>
    </w:p>
    <w:p w14:paraId="2578D615" w14:textId="3625A8ED" w:rsidR="00E5743E" w:rsidRDefault="00E5743E" w:rsidP="00E5743E">
      <w:pPr>
        <w:rPr>
          <w:lang w:eastAsia="en-US"/>
        </w:rPr>
      </w:pPr>
      <w:r>
        <w:rPr>
          <w:lang w:eastAsia="en-US"/>
        </w:rPr>
        <w:t xml:space="preserve">New Zealanders and provides a sharp focus on this important health issue. </w:t>
      </w:r>
    </w:p>
    <w:p w14:paraId="5DCE5347" w14:textId="77777777" w:rsidR="00E5743E" w:rsidRDefault="00E5743E" w:rsidP="00E5743E">
      <w:pPr>
        <w:rPr>
          <w:lang w:eastAsia="en-US"/>
        </w:rPr>
      </w:pPr>
    </w:p>
    <w:p w14:paraId="27B99768" w14:textId="77777777" w:rsidR="00E5743E" w:rsidRDefault="00E5743E" w:rsidP="00E5743E">
      <w:pPr>
        <w:rPr>
          <w:lang w:eastAsia="en-US"/>
        </w:rPr>
      </w:pPr>
      <w:r>
        <w:rPr>
          <w:lang w:eastAsia="en-US"/>
        </w:rPr>
        <w:t xml:space="preserve">We have 60 people working for us across six Wellington-based teams and four </w:t>
      </w:r>
    </w:p>
    <w:p w14:paraId="59B7C789" w14:textId="77777777" w:rsidR="00E5743E" w:rsidRDefault="00E5743E" w:rsidP="00E5743E">
      <w:pPr>
        <w:rPr>
          <w:lang w:eastAsia="en-US"/>
        </w:rPr>
      </w:pPr>
      <w:r>
        <w:rPr>
          <w:lang w:eastAsia="en-US"/>
        </w:rPr>
        <w:t>regional hubs.</w:t>
      </w:r>
    </w:p>
    <w:p w14:paraId="08B87246" w14:textId="77777777" w:rsidR="0017021F" w:rsidRDefault="0017021F" w:rsidP="00E5743E">
      <w:pPr>
        <w:pStyle w:val="Heading2"/>
        <w:rPr>
          <w:lang w:eastAsia="en-US"/>
        </w:rPr>
        <w:sectPr w:rsidR="0017021F" w:rsidSect="00C26282">
          <w:footerReference w:type="even" r:id="rId47"/>
          <w:footerReference w:type="default" r:id="rId48"/>
          <w:pgSz w:w="11907" w:h="16840" w:code="9"/>
          <w:pgMar w:top="1418" w:right="1701" w:bottom="1134" w:left="1843" w:header="284" w:footer="425" w:gutter="284"/>
          <w:cols w:space="720"/>
        </w:sectPr>
      </w:pPr>
    </w:p>
    <w:p w14:paraId="3B97AD3D" w14:textId="27048EB2" w:rsidR="00E5743E" w:rsidRDefault="00E5743E" w:rsidP="0017021F">
      <w:pPr>
        <w:pStyle w:val="Heading2"/>
        <w:spacing w:before="0"/>
        <w:rPr>
          <w:b w:val="0"/>
          <w:bCs/>
          <w:lang w:eastAsia="en-US"/>
        </w:rPr>
      </w:pPr>
      <w:bookmarkStart w:id="84" w:name="_Toc117264990"/>
      <w:r>
        <w:rPr>
          <w:lang w:eastAsia="en-US"/>
        </w:rPr>
        <w:lastRenderedPageBreak/>
        <w:t xml:space="preserve">He mihi | </w:t>
      </w:r>
      <w:r w:rsidRPr="00E5743E">
        <w:rPr>
          <w:b w:val="0"/>
          <w:bCs/>
          <w:lang w:eastAsia="en-US"/>
        </w:rPr>
        <w:t>Chief Executive foreword</w:t>
      </w:r>
      <w:bookmarkEnd w:id="84"/>
    </w:p>
    <w:p w14:paraId="59B93E43" w14:textId="2A65247C" w:rsidR="0017021F" w:rsidRDefault="0017021F" w:rsidP="0017021F">
      <w:pPr>
        <w:rPr>
          <w:lang w:eastAsia="en-US"/>
        </w:rPr>
      </w:pPr>
      <w:r>
        <w:rPr>
          <w:lang w:eastAsia="en-US"/>
        </w:rPr>
        <w:t>I am very pleased to be able to present the third annual report for Te Aho o Te Kahu, the Cancer Control Agency.</w:t>
      </w:r>
    </w:p>
    <w:p w14:paraId="053562AC" w14:textId="77777777" w:rsidR="0017021F" w:rsidRDefault="0017021F" w:rsidP="0017021F">
      <w:pPr>
        <w:rPr>
          <w:lang w:eastAsia="en-US"/>
        </w:rPr>
      </w:pPr>
    </w:p>
    <w:p w14:paraId="32967977" w14:textId="6C1707BF" w:rsidR="0017021F" w:rsidRDefault="0017021F" w:rsidP="0017021F">
      <w:pPr>
        <w:rPr>
          <w:lang w:eastAsia="en-US"/>
        </w:rPr>
      </w:pPr>
      <w:r>
        <w:rPr>
          <w:lang w:eastAsia="en-US"/>
        </w:rPr>
        <w:t>Since the Agency was established, I have enjoyed taking stock of our achievements in each annual report. While there is still much to be done, I am extremely proud of our team and the work they have undertaken over the last 12 months.</w:t>
      </w:r>
    </w:p>
    <w:p w14:paraId="4A910B1E" w14:textId="77777777" w:rsidR="0017021F" w:rsidRDefault="0017021F" w:rsidP="0017021F">
      <w:pPr>
        <w:rPr>
          <w:lang w:eastAsia="en-US"/>
        </w:rPr>
      </w:pPr>
    </w:p>
    <w:p w14:paraId="51BE9E00" w14:textId="77777777" w:rsidR="0017021F" w:rsidRDefault="0017021F" w:rsidP="0017021F">
      <w:pPr>
        <w:rPr>
          <w:lang w:eastAsia="en-US"/>
        </w:rPr>
      </w:pPr>
      <w:r>
        <w:rPr>
          <w:lang w:eastAsia="en-US"/>
        </w:rPr>
        <w:t>We have remained as committed as ever to our vision of:</w:t>
      </w:r>
    </w:p>
    <w:p w14:paraId="52C5CE33" w14:textId="77777777" w:rsidR="0017021F" w:rsidRDefault="0017021F" w:rsidP="0017021F">
      <w:pPr>
        <w:spacing w:before="120" w:after="120"/>
        <w:rPr>
          <w:lang w:eastAsia="en-US"/>
        </w:rPr>
      </w:pPr>
      <w:r w:rsidRPr="0017021F">
        <w:rPr>
          <w:b/>
          <w:bCs/>
          <w:lang w:eastAsia="en-US"/>
        </w:rPr>
        <w:t>Fewer cancers</w:t>
      </w:r>
      <w:r>
        <w:rPr>
          <w:lang w:eastAsia="en-US"/>
        </w:rPr>
        <w:t xml:space="preserve"> Kia whakaiti iho te mate pukupuku </w:t>
      </w:r>
    </w:p>
    <w:p w14:paraId="3568E307" w14:textId="77777777" w:rsidR="0017021F" w:rsidRDefault="0017021F" w:rsidP="0017021F">
      <w:pPr>
        <w:spacing w:before="120" w:after="120"/>
        <w:rPr>
          <w:lang w:eastAsia="en-US"/>
        </w:rPr>
      </w:pPr>
      <w:r w:rsidRPr="0017021F">
        <w:rPr>
          <w:b/>
          <w:bCs/>
          <w:lang w:eastAsia="en-US"/>
        </w:rPr>
        <w:t>Better survival</w:t>
      </w:r>
      <w:r>
        <w:rPr>
          <w:lang w:eastAsia="en-US"/>
        </w:rPr>
        <w:t xml:space="preserve"> Kia runga noa ake te mataora </w:t>
      </w:r>
    </w:p>
    <w:p w14:paraId="18C042B0" w14:textId="09845977" w:rsidR="0017021F" w:rsidRDefault="0017021F" w:rsidP="0017021F">
      <w:pPr>
        <w:spacing w:before="120"/>
        <w:rPr>
          <w:lang w:eastAsia="en-US"/>
        </w:rPr>
      </w:pPr>
      <w:r w:rsidRPr="0017021F">
        <w:rPr>
          <w:b/>
          <w:bCs/>
          <w:lang w:eastAsia="en-US"/>
        </w:rPr>
        <w:t>Equity for all</w:t>
      </w:r>
      <w:r>
        <w:rPr>
          <w:lang w:eastAsia="en-US"/>
        </w:rPr>
        <w:t xml:space="preserve"> Kia taurite ngā huanga.</w:t>
      </w:r>
    </w:p>
    <w:p w14:paraId="396B9F3A" w14:textId="77777777" w:rsidR="0017021F" w:rsidRDefault="0017021F" w:rsidP="0017021F">
      <w:pPr>
        <w:rPr>
          <w:lang w:eastAsia="en-US"/>
        </w:rPr>
      </w:pPr>
    </w:p>
    <w:p w14:paraId="22CB27DD" w14:textId="13DA513F" w:rsidR="0017021F" w:rsidRDefault="0017021F" w:rsidP="0017021F">
      <w:pPr>
        <w:rPr>
          <w:lang w:eastAsia="en-US"/>
        </w:rPr>
      </w:pPr>
      <w:r>
        <w:rPr>
          <w:lang w:eastAsia="en-US"/>
        </w:rPr>
        <w:t>Over the last year, Te Aho o Te Kahu has shown leadership and consistency throughout a time of change for the health system. The health reforms have provided an exciting</w:t>
      </w:r>
    </w:p>
    <w:p w14:paraId="66C51F87" w14:textId="459B3E53" w:rsidR="0017021F" w:rsidRDefault="0017021F" w:rsidP="0017021F">
      <w:pPr>
        <w:rPr>
          <w:lang w:eastAsia="en-US"/>
        </w:rPr>
      </w:pPr>
      <w:r>
        <w:rPr>
          <w:lang w:eastAsia="en-US"/>
        </w:rPr>
        <w:t>opportunity to rethink the way cancer services are delivered in Aotearoa New Zealand, and Te Aho o Te Kahu has taken a leading role in many of the conversations, plans and pieces of work taking place across the motu.</w:t>
      </w:r>
    </w:p>
    <w:p w14:paraId="6FB2CB58" w14:textId="77777777" w:rsidR="0017021F" w:rsidRDefault="0017021F" w:rsidP="0017021F">
      <w:pPr>
        <w:rPr>
          <w:lang w:eastAsia="en-US"/>
        </w:rPr>
      </w:pPr>
    </w:p>
    <w:p w14:paraId="33575A81" w14:textId="392FDCF7" w:rsidR="0017021F" w:rsidRDefault="0017021F" w:rsidP="0017021F">
      <w:pPr>
        <w:rPr>
          <w:lang w:eastAsia="en-US"/>
        </w:rPr>
      </w:pPr>
      <w:r>
        <w:rPr>
          <w:lang w:eastAsia="en-US"/>
        </w:rPr>
        <w:t>Not only are we building enduring relationships with the new health entities, we are also continuing to foster the connections we have across the cancer sector. The work of He Ara Tangata, our consumer reference group, has been critical over the last year. Our regional hubs have also done an incredible job of connecting with communities across the motu to ensure Te Aho o Te Kahu remains tethered to those on the ground. I also acknowledge the tireless work of our partners Hei Āhuru Mōwai, Māori Cancer Leadership Aotearoa, as we, together, pursue equity in cancer outcomes for whānau Māori.</w:t>
      </w:r>
    </w:p>
    <w:p w14:paraId="7C3CBC14" w14:textId="77777777" w:rsidR="0017021F" w:rsidRDefault="0017021F" w:rsidP="0017021F">
      <w:pPr>
        <w:rPr>
          <w:lang w:eastAsia="en-US"/>
        </w:rPr>
      </w:pPr>
    </w:p>
    <w:p w14:paraId="3937E63F" w14:textId="41084EFD" w:rsidR="0017021F" w:rsidRDefault="0017021F" w:rsidP="0017021F">
      <w:pPr>
        <w:rPr>
          <w:lang w:eastAsia="en-US"/>
        </w:rPr>
      </w:pPr>
      <w:r>
        <w:rPr>
          <w:lang w:eastAsia="en-US"/>
        </w:rPr>
        <w:t>The ongoing COVID-19 pandemic has continued to influence the work of Te Aho o Te Kahu. We have guided the cancer sector through the Omicron outbreak by providing guidance to clinicians and patients, as well as producing regular monitoring reports of the cancer system. It has been a challenging time for the cancer workforce, and I am incredibly grateful for the dedication of all who have ensured whānau continue to receive the cancer care they need.</w:t>
      </w:r>
    </w:p>
    <w:p w14:paraId="76CB2656" w14:textId="77777777" w:rsidR="0017021F" w:rsidRDefault="0017021F" w:rsidP="0017021F">
      <w:pPr>
        <w:rPr>
          <w:lang w:eastAsia="en-US"/>
        </w:rPr>
      </w:pPr>
    </w:p>
    <w:p w14:paraId="3088E17E" w14:textId="77777777" w:rsidR="0017021F" w:rsidRDefault="0017021F" w:rsidP="0017021F">
      <w:pPr>
        <w:rPr>
          <w:lang w:eastAsia="en-US"/>
        </w:rPr>
      </w:pPr>
      <w:r>
        <w:rPr>
          <w:lang w:eastAsia="en-US"/>
        </w:rPr>
        <w:t>Alongside our expanding work programme, we have continued to build a high-performing agency. This was reflected in the 2022 Te Taunaki, Public Service Census, which showed our staff had an elevated level of confidence when engaging with Māori. It also reaffirmed that our staff feel Te Aho o Te Kahu has a culture that celebrates diversity, inclusivity, and acceptance.</w:t>
      </w:r>
    </w:p>
    <w:p w14:paraId="0E3F7A1D" w14:textId="77777777" w:rsidR="0017021F" w:rsidRDefault="0017021F" w:rsidP="0017021F">
      <w:pPr>
        <w:rPr>
          <w:lang w:eastAsia="en-US"/>
        </w:rPr>
      </w:pPr>
      <w:r>
        <w:rPr>
          <w:lang w:eastAsia="en-US"/>
        </w:rPr>
        <w:t xml:space="preserve"> </w:t>
      </w:r>
    </w:p>
    <w:p w14:paraId="343C6E1F" w14:textId="6A8A96B1" w:rsidR="0017021F" w:rsidRDefault="0017021F" w:rsidP="0017021F">
      <w:pPr>
        <w:rPr>
          <w:lang w:eastAsia="en-US"/>
        </w:rPr>
      </w:pPr>
      <w:r>
        <w:rPr>
          <w:lang w:eastAsia="en-US"/>
        </w:rPr>
        <w:t>I want to take this opportunity to thank all those who work in the cancer sector – you have gone above and beyond for your patients, their whānau and their wider communities in the last 12 months.</w:t>
      </w:r>
    </w:p>
    <w:p w14:paraId="61C40267" w14:textId="77777777" w:rsidR="0017021F" w:rsidRDefault="0017021F" w:rsidP="0017021F">
      <w:pPr>
        <w:rPr>
          <w:lang w:eastAsia="en-US"/>
        </w:rPr>
      </w:pPr>
    </w:p>
    <w:p w14:paraId="0D596EF6" w14:textId="77777777" w:rsidR="0017021F" w:rsidRDefault="0017021F" w:rsidP="0017021F">
      <w:pPr>
        <w:rPr>
          <w:lang w:eastAsia="en-US"/>
        </w:rPr>
      </w:pPr>
      <w:r>
        <w:rPr>
          <w:lang w:eastAsia="en-US"/>
        </w:rPr>
        <w:lastRenderedPageBreak/>
        <w:t>Finally, I want to acknowledge those who are living with cancer. You are the focus of our work, and we will continue to do our utmost to ensure Aotearoa New Zealand maintains a world-class cancer care system.</w:t>
      </w:r>
    </w:p>
    <w:p w14:paraId="219ABE39" w14:textId="77777777" w:rsidR="0017021F" w:rsidRDefault="0017021F" w:rsidP="0017021F">
      <w:pPr>
        <w:rPr>
          <w:lang w:eastAsia="en-US"/>
        </w:rPr>
      </w:pPr>
    </w:p>
    <w:p w14:paraId="3B0282B9" w14:textId="379D1E28" w:rsidR="0017021F" w:rsidRDefault="0017021F" w:rsidP="0017021F">
      <w:pPr>
        <w:spacing w:after="60"/>
        <w:rPr>
          <w:lang w:eastAsia="en-US"/>
        </w:rPr>
      </w:pPr>
      <w:r>
        <w:rPr>
          <w:lang w:eastAsia="en-US"/>
        </w:rPr>
        <w:t>Dr Diana Sarfati</w:t>
      </w:r>
    </w:p>
    <w:p w14:paraId="7E3454AE" w14:textId="77777777" w:rsidR="0017021F" w:rsidRPr="0017021F" w:rsidRDefault="0017021F" w:rsidP="0017021F">
      <w:pPr>
        <w:spacing w:after="60"/>
        <w:rPr>
          <w:b/>
          <w:bCs/>
          <w:lang w:eastAsia="en-US"/>
        </w:rPr>
      </w:pPr>
      <w:r w:rsidRPr="0017021F">
        <w:rPr>
          <w:b/>
          <w:bCs/>
          <w:lang w:eastAsia="en-US"/>
        </w:rPr>
        <w:t>Chief Executive and National Director of Cancer Control</w:t>
      </w:r>
    </w:p>
    <w:p w14:paraId="74E2FD08" w14:textId="463E6336" w:rsidR="0017021F" w:rsidRPr="0017021F" w:rsidRDefault="0017021F" w:rsidP="0017021F">
      <w:pPr>
        <w:spacing w:after="60"/>
        <w:rPr>
          <w:b/>
          <w:bCs/>
          <w:lang w:eastAsia="en-US"/>
        </w:rPr>
      </w:pPr>
      <w:r w:rsidRPr="0017021F">
        <w:rPr>
          <w:b/>
          <w:bCs/>
          <w:lang w:eastAsia="en-US"/>
        </w:rPr>
        <w:t>Te Aho o Te Kahu, Cancer Control Agency</w:t>
      </w:r>
    </w:p>
    <w:p w14:paraId="0B4946CD" w14:textId="77777777" w:rsidR="00E5743E" w:rsidRDefault="00E5743E" w:rsidP="00E5743E">
      <w:pPr>
        <w:rPr>
          <w:lang w:eastAsia="en-US"/>
        </w:rPr>
      </w:pPr>
    </w:p>
    <w:p w14:paraId="246A82EA" w14:textId="77777777" w:rsidR="0017021F" w:rsidRDefault="0017021F" w:rsidP="00E5743E">
      <w:pPr>
        <w:rPr>
          <w:lang w:eastAsia="en-US"/>
        </w:rPr>
        <w:sectPr w:rsidR="0017021F" w:rsidSect="00C26282">
          <w:footerReference w:type="even" r:id="rId49"/>
          <w:pgSz w:w="11907" w:h="16840" w:code="9"/>
          <w:pgMar w:top="1418" w:right="1701" w:bottom="1134" w:left="1843" w:header="284" w:footer="425" w:gutter="284"/>
          <w:cols w:space="720"/>
        </w:sectPr>
      </w:pPr>
    </w:p>
    <w:p w14:paraId="0A324248" w14:textId="77777777" w:rsidR="0017021F" w:rsidRDefault="0017021F" w:rsidP="0017021F">
      <w:pPr>
        <w:pStyle w:val="Heading2"/>
        <w:spacing w:before="0"/>
        <w:rPr>
          <w:lang w:eastAsia="en-US"/>
        </w:rPr>
      </w:pPr>
      <w:bookmarkStart w:id="85" w:name="_Toc117264991"/>
      <w:r>
        <w:rPr>
          <w:lang w:eastAsia="en-US"/>
        </w:rPr>
        <w:lastRenderedPageBreak/>
        <w:t xml:space="preserve">Anei mātou | </w:t>
      </w:r>
      <w:r w:rsidRPr="0017021F">
        <w:rPr>
          <w:b w:val="0"/>
          <w:lang w:eastAsia="en-US"/>
        </w:rPr>
        <w:t>Who we are</w:t>
      </w:r>
      <w:bookmarkEnd w:id="85"/>
    </w:p>
    <w:p w14:paraId="45258352" w14:textId="40444F12" w:rsidR="0017021F" w:rsidRDefault="0017021F" w:rsidP="0017021F">
      <w:pPr>
        <w:rPr>
          <w:lang w:eastAsia="en-US"/>
        </w:rPr>
      </w:pPr>
      <w:r>
        <w:rPr>
          <w:lang w:eastAsia="en-US"/>
        </w:rPr>
        <w:t>Te Aho o Te Kahu, Cancer Control Agency (Te Aho o Te Kahu), is a departmental agency reporting directly to the Minister of Health and hosted by Manatū Hauora, Ministry of Health. Te Aho o Te Kahu was created in recognition of the impact cancer has on the lives of New Zealanders and provides a sharp focus on this important health issue.</w:t>
      </w:r>
    </w:p>
    <w:p w14:paraId="179A2BF9" w14:textId="77777777" w:rsidR="0017021F" w:rsidRDefault="0017021F" w:rsidP="0017021F">
      <w:pPr>
        <w:rPr>
          <w:lang w:eastAsia="en-US"/>
        </w:rPr>
      </w:pPr>
    </w:p>
    <w:p w14:paraId="4B2BBF59" w14:textId="77777777" w:rsidR="0017021F" w:rsidRDefault="0017021F" w:rsidP="0017021F">
      <w:pPr>
        <w:rPr>
          <w:lang w:eastAsia="en-US"/>
        </w:rPr>
      </w:pPr>
      <w:r>
        <w:rPr>
          <w:lang w:eastAsia="en-US"/>
        </w:rPr>
        <w:t>Cancer presents some unique challenges to the health system.</w:t>
      </w:r>
    </w:p>
    <w:p w14:paraId="68589C03" w14:textId="5BDCCB5A" w:rsidR="0017021F" w:rsidRDefault="0017021F" w:rsidP="0017021F">
      <w:pPr>
        <w:pStyle w:val="Bullet"/>
        <w:rPr>
          <w:lang w:eastAsia="en-US"/>
        </w:rPr>
      </w:pPr>
      <w:r>
        <w:rPr>
          <w:lang w:eastAsia="en-US"/>
        </w:rPr>
        <w:t>The number of people diagnosed with cancer is projected to double over the next two decades.</w:t>
      </w:r>
    </w:p>
    <w:p w14:paraId="2A660166" w14:textId="74A82F51" w:rsidR="0017021F" w:rsidRDefault="0017021F" w:rsidP="0017021F">
      <w:pPr>
        <w:pStyle w:val="Bullet"/>
        <w:rPr>
          <w:lang w:eastAsia="en-US"/>
        </w:rPr>
      </w:pPr>
      <w:r>
        <w:rPr>
          <w:lang w:eastAsia="en-US"/>
        </w:rPr>
        <w:t>The costs and complexity of care and pace of change present major challenges for our health care systems and services.</w:t>
      </w:r>
    </w:p>
    <w:p w14:paraId="26506585" w14:textId="00C8A0CB" w:rsidR="0017021F" w:rsidRDefault="0017021F" w:rsidP="0017021F">
      <w:pPr>
        <w:pStyle w:val="Bullet"/>
        <w:rPr>
          <w:lang w:eastAsia="en-US"/>
        </w:rPr>
      </w:pPr>
      <w:r>
        <w:rPr>
          <w:lang w:eastAsia="en-US"/>
        </w:rPr>
        <w:t>Māori and Pacific peoples have worse cancer survival rates than other New Zealanders.</w:t>
      </w:r>
    </w:p>
    <w:p w14:paraId="75537362" w14:textId="7B8C448D" w:rsidR="0017021F" w:rsidRDefault="0017021F" w:rsidP="0017021F">
      <w:pPr>
        <w:pStyle w:val="Bullet"/>
        <w:rPr>
          <w:lang w:eastAsia="en-US"/>
        </w:rPr>
      </w:pPr>
      <w:r>
        <w:rPr>
          <w:lang w:eastAsia="en-US"/>
        </w:rPr>
        <w:t>Cancer survival is improving in Aotearoa New Zealand, but our rate of improvement is slower than rates in other comparable countries, so we are at risk of falling behind.</w:t>
      </w:r>
    </w:p>
    <w:p w14:paraId="167B5BC7" w14:textId="075E987C" w:rsidR="0017021F" w:rsidRPr="00397A1B" w:rsidRDefault="0017021F" w:rsidP="00397A1B">
      <w:pPr>
        <w:pStyle w:val="Heading4"/>
        <w:rPr>
          <w:lang w:eastAsia="en-US"/>
        </w:rPr>
      </w:pPr>
      <w:r w:rsidRPr="00397A1B">
        <w:rPr>
          <w:b/>
          <w:bCs/>
          <w:lang w:eastAsia="en-US"/>
        </w:rPr>
        <w:t>T</w:t>
      </w:r>
      <w:r w:rsidR="00191F23">
        <w:rPr>
          <w:b/>
          <w:bCs/>
          <w:lang w:eastAsia="en-US"/>
        </w:rPr>
        <w:t>ā</w:t>
      </w:r>
      <w:r w:rsidRPr="00397A1B">
        <w:rPr>
          <w:b/>
          <w:bCs/>
          <w:lang w:eastAsia="en-US"/>
        </w:rPr>
        <w:t xml:space="preserve"> mātou aronga |</w:t>
      </w:r>
      <w:r w:rsidRPr="00397A1B">
        <w:rPr>
          <w:lang w:eastAsia="en-US"/>
        </w:rPr>
        <w:t xml:space="preserve"> Our purpose: an agency focused on cancer</w:t>
      </w:r>
    </w:p>
    <w:p w14:paraId="157C99A4" w14:textId="77777777" w:rsidR="0017021F" w:rsidRDefault="0017021F" w:rsidP="0017021F">
      <w:pPr>
        <w:rPr>
          <w:lang w:eastAsia="en-US"/>
        </w:rPr>
      </w:pPr>
      <w:r>
        <w:rPr>
          <w:lang w:eastAsia="en-US"/>
        </w:rPr>
        <w:t>We provide strong, central leadership and oversight of cancer control. We lead and unite efforts to deliver better cancer outcomes for Aotearoa New Zealand. We are also accountable for ensuring there is transparency in our country’s progress towards</w:t>
      </w:r>
    </w:p>
    <w:p w14:paraId="681EF2D4" w14:textId="210A4B41" w:rsidR="0017021F" w:rsidRDefault="0017021F" w:rsidP="0017021F">
      <w:pPr>
        <w:rPr>
          <w:lang w:eastAsia="en-US"/>
        </w:rPr>
      </w:pPr>
      <w:r>
        <w:rPr>
          <w:lang w:eastAsia="en-US"/>
        </w:rPr>
        <w:t>achieving the goals and outcomes outlined in the New Zealand Cancer Action Plan 2019– 2029.</w:t>
      </w:r>
      <w:r>
        <w:rPr>
          <w:rStyle w:val="FootnoteReference"/>
          <w:lang w:eastAsia="en-US"/>
        </w:rPr>
        <w:footnoteReference w:id="64"/>
      </w:r>
    </w:p>
    <w:p w14:paraId="2772961B" w14:textId="77777777" w:rsidR="00F86778" w:rsidRDefault="00F86778" w:rsidP="0017021F">
      <w:pPr>
        <w:rPr>
          <w:lang w:eastAsia="en-US"/>
        </w:rPr>
      </w:pPr>
    </w:p>
    <w:p w14:paraId="0656AF72" w14:textId="3B9D953A" w:rsidR="0017021F" w:rsidRDefault="0017021F" w:rsidP="0017021F">
      <w:pPr>
        <w:rPr>
          <w:lang w:eastAsia="en-US"/>
        </w:rPr>
      </w:pPr>
      <w:r>
        <w:rPr>
          <w:lang w:eastAsia="en-US"/>
        </w:rPr>
        <w:t>In practice, we deliver this leadership and oversight by:</w:t>
      </w:r>
    </w:p>
    <w:p w14:paraId="469568A1" w14:textId="6D952DA1" w:rsidR="0017021F" w:rsidRDefault="0017021F" w:rsidP="00F86778">
      <w:pPr>
        <w:pStyle w:val="Bullet"/>
        <w:rPr>
          <w:lang w:eastAsia="en-US"/>
        </w:rPr>
      </w:pPr>
      <w:r>
        <w:rPr>
          <w:lang w:eastAsia="en-US"/>
        </w:rPr>
        <w:t>providing advice to government about the future design and function of cancer services and options for resolving operational issues</w:t>
      </w:r>
    </w:p>
    <w:p w14:paraId="6CDBB583" w14:textId="38EE565C" w:rsidR="0017021F" w:rsidRDefault="0017021F" w:rsidP="00F86778">
      <w:pPr>
        <w:pStyle w:val="Bullet"/>
        <w:rPr>
          <w:lang w:eastAsia="en-US"/>
        </w:rPr>
      </w:pPr>
      <w:r>
        <w:rPr>
          <w:lang w:eastAsia="en-US"/>
        </w:rPr>
        <w:t>bringing stakeholders together to progress and achieve shared objectives</w:t>
      </w:r>
    </w:p>
    <w:p w14:paraId="43CF584D" w14:textId="3A08BF59" w:rsidR="0017021F" w:rsidRDefault="0017021F" w:rsidP="00F86778">
      <w:pPr>
        <w:pStyle w:val="Bullet"/>
        <w:rPr>
          <w:lang w:eastAsia="en-US"/>
        </w:rPr>
      </w:pPr>
      <w:r>
        <w:rPr>
          <w:lang w:eastAsia="en-US"/>
        </w:rPr>
        <w:t>undertaking national initiatives to improve cancer outcomes for New Zealanders</w:t>
      </w:r>
    </w:p>
    <w:p w14:paraId="047B699A" w14:textId="5F0A9FF9" w:rsidR="0017021F" w:rsidRDefault="0017021F" w:rsidP="00F86778">
      <w:pPr>
        <w:pStyle w:val="Bullet"/>
        <w:rPr>
          <w:lang w:eastAsia="en-US"/>
        </w:rPr>
      </w:pPr>
      <w:r>
        <w:rPr>
          <w:lang w:eastAsia="en-US"/>
        </w:rPr>
        <w:t>assembling and disseminating cancer data and information to inform decision-making and service delivery</w:t>
      </w:r>
    </w:p>
    <w:p w14:paraId="6891D5EB" w14:textId="77777777" w:rsidR="00F833A8" w:rsidRDefault="0017021F" w:rsidP="00F86778">
      <w:pPr>
        <w:pStyle w:val="Bullet"/>
        <w:rPr>
          <w:lang w:eastAsia="en-US"/>
        </w:rPr>
        <w:sectPr w:rsidR="00F833A8" w:rsidSect="00C26282">
          <w:pgSz w:w="11907" w:h="16840" w:code="9"/>
          <w:pgMar w:top="1418" w:right="1701" w:bottom="1134" w:left="1843" w:header="284" w:footer="425" w:gutter="284"/>
          <w:cols w:space="720"/>
        </w:sectPr>
      </w:pPr>
      <w:r>
        <w:rPr>
          <w:lang w:eastAsia="en-US"/>
        </w:rPr>
        <w:t>providing support for cancer service providers when service is, or is likely to be, disrupted or is not meeting demand or expectations.</w:t>
      </w:r>
    </w:p>
    <w:p w14:paraId="205BE459" w14:textId="3669ADF6" w:rsidR="00F833A8" w:rsidRPr="00F833A8" w:rsidRDefault="00F833A8" w:rsidP="00DC739E">
      <w:pPr>
        <w:pStyle w:val="Heading4"/>
        <w:spacing w:before="0"/>
        <w:rPr>
          <w:lang w:eastAsia="en-US"/>
        </w:rPr>
      </w:pPr>
      <w:r w:rsidRPr="00397A1B">
        <w:rPr>
          <w:b/>
          <w:bCs/>
          <w:lang w:eastAsia="en-US"/>
        </w:rPr>
        <w:lastRenderedPageBreak/>
        <w:t>Tō mātou whāinga |</w:t>
      </w:r>
      <w:r w:rsidRPr="00F833A8">
        <w:rPr>
          <w:lang w:eastAsia="en-US"/>
        </w:rPr>
        <w:t xml:space="preserve"> Our vision</w:t>
      </w:r>
    </w:p>
    <w:p w14:paraId="2E92AC55" w14:textId="77777777" w:rsidR="00F833A8" w:rsidRDefault="00F833A8" w:rsidP="00F833A8">
      <w:pPr>
        <w:rPr>
          <w:lang w:eastAsia="en-US"/>
        </w:rPr>
      </w:pPr>
      <w:r>
        <w:rPr>
          <w:lang w:eastAsia="en-US"/>
        </w:rPr>
        <w:t xml:space="preserve">We strive to achieve fewer cancers, better survival, and equity for all. </w:t>
      </w:r>
    </w:p>
    <w:p w14:paraId="6B0B6EF9" w14:textId="77777777" w:rsidR="00F833A8" w:rsidRDefault="00F833A8" w:rsidP="00F833A8">
      <w:pPr>
        <w:rPr>
          <w:lang w:eastAsia="en-US"/>
        </w:rPr>
      </w:pPr>
    </w:p>
    <w:p w14:paraId="0234B674" w14:textId="77777777" w:rsidR="00E5743E" w:rsidRDefault="00F833A8" w:rsidP="00F833A8">
      <w:pPr>
        <w:rPr>
          <w:lang w:eastAsia="en-US"/>
        </w:rPr>
      </w:pPr>
      <w:r>
        <w:rPr>
          <w:lang w:eastAsia="en-US"/>
        </w:rPr>
        <w:t>We are driven to achieve a work programme aligned to our values.</w:t>
      </w:r>
    </w:p>
    <w:p w14:paraId="648BF391" w14:textId="77777777" w:rsidR="00F833A8" w:rsidRDefault="00F833A8" w:rsidP="00397A1B">
      <w:pPr>
        <w:pStyle w:val="Heading4"/>
        <w:rPr>
          <w:lang w:eastAsia="en-US"/>
        </w:rPr>
      </w:pPr>
      <w:r w:rsidRPr="00397A1B">
        <w:rPr>
          <w:b/>
          <w:bCs/>
          <w:lang w:eastAsia="en-US"/>
        </w:rPr>
        <w:t>Te taonga me te kupu taurangi o te ingoa |</w:t>
      </w:r>
      <w:r w:rsidRPr="00F833A8">
        <w:rPr>
          <w:lang w:eastAsia="en-US"/>
        </w:rPr>
        <w:t xml:space="preserve"> Our name: Te Aho o Te Kahu</w:t>
      </w:r>
    </w:p>
    <w:p w14:paraId="2E55160F" w14:textId="77777777" w:rsidR="00F833A8" w:rsidRDefault="00F833A8" w:rsidP="00F833A8">
      <w:pPr>
        <w:rPr>
          <w:lang w:eastAsia="en-US"/>
        </w:rPr>
      </w:pPr>
    </w:p>
    <w:p w14:paraId="200DBEC0" w14:textId="0491198C" w:rsidR="00F833A8" w:rsidRDefault="00F833A8" w:rsidP="00F833A8">
      <w:pPr>
        <w:rPr>
          <w:lang w:eastAsia="en-US"/>
        </w:rPr>
      </w:pPr>
      <w:r>
        <w:rPr>
          <w:lang w:eastAsia="en-US"/>
        </w:rPr>
        <w:t>Our te reo Māori name is a taonga, gifted to us by Hei Āhuru Mōwai, Māori Cancer Leadership Aotearoa in June 2020. This name is core to who we are and how we work.</w:t>
      </w:r>
    </w:p>
    <w:p w14:paraId="4D8DB0C1" w14:textId="77777777" w:rsidR="00F833A8" w:rsidRDefault="00F833A8" w:rsidP="00F833A8">
      <w:pPr>
        <w:rPr>
          <w:lang w:eastAsia="en-US"/>
        </w:rPr>
      </w:pPr>
    </w:p>
    <w:p w14:paraId="4A5B910F" w14:textId="4FC2ABFC" w:rsidR="00F833A8" w:rsidRDefault="00F833A8" w:rsidP="00F833A8">
      <w:pPr>
        <w:rPr>
          <w:lang w:eastAsia="en-US"/>
        </w:rPr>
      </w:pPr>
      <w:r>
        <w:rPr>
          <w:lang w:eastAsia="en-US"/>
        </w:rPr>
        <w:t>Te Aho o Te Kahu means ‘the central thread of the cloak’. This thread (aho) binds the many strands (whenu) into one cloak (kahu) that protects people and their whānau.</w:t>
      </w:r>
    </w:p>
    <w:p w14:paraId="7A4CD482" w14:textId="77777777" w:rsidR="00F833A8" w:rsidRDefault="00F833A8" w:rsidP="00F833A8">
      <w:pPr>
        <w:rPr>
          <w:lang w:eastAsia="en-US"/>
        </w:rPr>
      </w:pPr>
    </w:p>
    <w:p w14:paraId="35D8C6F7" w14:textId="708189FE" w:rsidR="00F833A8" w:rsidRDefault="00F833A8" w:rsidP="00F833A8">
      <w:pPr>
        <w:rPr>
          <w:lang w:eastAsia="en-US"/>
        </w:rPr>
      </w:pPr>
      <w:r w:rsidRPr="00E773C3">
        <w:rPr>
          <w:b/>
          <w:bCs/>
          <w:lang w:eastAsia="en-US"/>
        </w:rPr>
        <w:t>Te Aho</w:t>
      </w:r>
      <w:r>
        <w:rPr>
          <w:lang w:eastAsia="en-US"/>
        </w:rPr>
        <w:t>: The central thread symbolises our Agency and our role as a leader and connector across the cancer control continuum.</w:t>
      </w:r>
    </w:p>
    <w:p w14:paraId="3497BE66" w14:textId="77777777" w:rsidR="00F833A8" w:rsidRDefault="00F833A8" w:rsidP="00F833A8">
      <w:pPr>
        <w:rPr>
          <w:lang w:eastAsia="en-US"/>
        </w:rPr>
      </w:pPr>
    </w:p>
    <w:p w14:paraId="5855B564" w14:textId="3C7022E6" w:rsidR="00F833A8" w:rsidRDefault="00F833A8" w:rsidP="00F833A8">
      <w:pPr>
        <w:rPr>
          <w:lang w:eastAsia="en-US"/>
        </w:rPr>
      </w:pPr>
      <w:r w:rsidRPr="00E773C3">
        <w:rPr>
          <w:b/>
          <w:bCs/>
          <w:lang w:eastAsia="en-US"/>
        </w:rPr>
        <w:t>Te Kahu</w:t>
      </w:r>
      <w:r>
        <w:rPr>
          <w:lang w:eastAsia="en-US"/>
        </w:rPr>
        <w:t>: The cloak symbolises all the services, organisations, communities, and people that work with those affected by cancer.</w:t>
      </w:r>
    </w:p>
    <w:p w14:paraId="34F7B536" w14:textId="77777777" w:rsidR="00F833A8" w:rsidRDefault="00F833A8" w:rsidP="00F833A8">
      <w:pPr>
        <w:rPr>
          <w:lang w:eastAsia="en-US"/>
        </w:rPr>
      </w:pPr>
    </w:p>
    <w:p w14:paraId="0D36DFDB" w14:textId="77777777" w:rsidR="00F833A8" w:rsidRDefault="00F833A8" w:rsidP="00F833A8">
      <w:pPr>
        <w:rPr>
          <w:lang w:eastAsia="en-US"/>
        </w:rPr>
      </w:pPr>
      <w:r>
        <w:rPr>
          <w:lang w:eastAsia="en-US"/>
        </w:rPr>
        <w:t>Equity is not only the priority for us in our role as ‘Te Aho’; it is also embedded in our architecture, processes, systems and tikanga.</w:t>
      </w:r>
    </w:p>
    <w:p w14:paraId="5C8996ED" w14:textId="24E5F502" w:rsidR="00F833A8" w:rsidRPr="00F833A8" w:rsidRDefault="00F833A8" w:rsidP="00397A1B">
      <w:pPr>
        <w:pStyle w:val="Heading4"/>
        <w:rPr>
          <w:lang w:eastAsia="en-US"/>
        </w:rPr>
      </w:pPr>
      <w:r w:rsidRPr="00F833A8">
        <w:rPr>
          <w:b/>
          <w:bCs/>
          <w:lang w:eastAsia="en-US"/>
        </w:rPr>
        <w:t xml:space="preserve">Te taonga: Te Kahu Āhuru | </w:t>
      </w:r>
      <w:r w:rsidRPr="00F833A8">
        <w:rPr>
          <w:lang w:eastAsia="en-US"/>
        </w:rPr>
        <w:t>Our treasure: Te Kahu Āhuru</w:t>
      </w:r>
    </w:p>
    <w:p w14:paraId="522C9724" w14:textId="356E632A" w:rsidR="00F833A8" w:rsidRDefault="00F833A8" w:rsidP="00F833A8">
      <w:pPr>
        <w:rPr>
          <w:lang w:eastAsia="en-US"/>
        </w:rPr>
      </w:pPr>
      <w:r>
        <w:rPr>
          <w:lang w:eastAsia="en-US"/>
        </w:rPr>
        <w:t>Taking inspiration from the vision and name gifted to us, the cloak Te Kahu Āhuru was created by kairaranga (weaver) Pip Devonshire and gifted to Te Aho o Te Kahu on 3 August 2021 at Pipitea Marae in Wellington.</w:t>
      </w:r>
    </w:p>
    <w:p w14:paraId="66DF14C0" w14:textId="77777777" w:rsidR="00F833A8" w:rsidRDefault="00F833A8" w:rsidP="00F833A8">
      <w:pPr>
        <w:rPr>
          <w:lang w:eastAsia="en-US"/>
        </w:rPr>
      </w:pPr>
    </w:p>
    <w:p w14:paraId="0F728839" w14:textId="77777777" w:rsidR="00F833A8" w:rsidRDefault="00F833A8" w:rsidP="00F833A8">
      <w:pPr>
        <w:rPr>
          <w:lang w:eastAsia="en-US"/>
        </w:rPr>
      </w:pPr>
      <w:r>
        <w:rPr>
          <w:lang w:eastAsia="en-US"/>
        </w:rPr>
        <w:t>This physical embodiment of our purpose is now on display in our Wellington office and is available to be worn by our kaimahi (staff) at events.</w:t>
      </w:r>
    </w:p>
    <w:p w14:paraId="7BDC11FA" w14:textId="35150A2D" w:rsidR="00F833A8" w:rsidRPr="00F833A8" w:rsidRDefault="00F833A8" w:rsidP="00397A1B">
      <w:pPr>
        <w:pStyle w:val="Heading4"/>
        <w:rPr>
          <w:lang w:eastAsia="en-US"/>
        </w:rPr>
      </w:pPr>
      <w:r w:rsidRPr="00E773C3">
        <w:rPr>
          <w:b/>
          <w:bCs/>
          <w:lang w:eastAsia="en-US"/>
        </w:rPr>
        <w:t>Ngā r</w:t>
      </w:r>
      <w:r w:rsidR="00010362">
        <w:rPr>
          <w:b/>
          <w:bCs/>
          <w:lang w:eastAsia="en-US"/>
        </w:rPr>
        <w:t>ōpū</w:t>
      </w:r>
      <w:r w:rsidRPr="00E773C3">
        <w:rPr>
          <w:b/>
          <w:bCs/>
          <w:lang w:eastAsia="en-US"/>
        </w:rPr>
        <w:t xml:space="preserve"> tūhono |</w:t>
      </w:r>
      <w:r w:rsidRPr="00F833A8">
        <w:rPr>
          <w:lang w:eastAsia="en-US"/>
        </w:rPr>
        <w:t xml:space="preserve"> Our partners</w:t>
      </w:r>
    </w:p>
    <w:p w14:paraId="6DB923C2" w14:textId="77777777" w:rsidR="00F833A8" w:rsidRDefault="00F833A8" w:rsidP="00F833A8">
      <w:pPr>
        <w:rPr>
          <w:lang w:eastAsia="en-US"/>
        </w:rPr>
      </w:pPr>
      <w:r>
        <w:rPr>
          <w:lang w:eastAsia="en-US"/>
        </w:rPr>
        <w:t>This year, we have continued to connect with our key partners (shown in green and blue in the organisational structure diagram) to strengthen our work programme and external advice. The role and functions of these groups is regularly reviewed to ensure we make best use of their valuable time and expertise.</w:t>
      </w:r>
    </w:p>
    <w:p w14:paraId="2985B303" w14:textId="77777777" w:rsidR="00F833A8" w:rsidRDefault="00F833A8" w:rsidP="00F833A8">
      <w:pPr>
        <w:rPr>
          <w:lang w:eastAsia="en-US"/>
        </w:rPr>
      </w:pPr>
    </w:p>
    <w:p w14:paraId="42A77791" w14:textId="77777777" w:rsidR="00F833A8" w:rsidRDefault="00F833A8" w:rsidP="00F833A8">
      <w:pPr>
        <w:rPr>
          <w:lang w:eastAsia="en-US"/>
        </w:rPr>
      </w:pPr>
    </w:p>
    <w:p w14:paraId="59C64F36" w14:textId="77777777" w:rsidR="00F833A8" w:rsidRDefault="00F833A8" w:rsidP="00F833A8">
      <w:pPr>
        <w:rPr>
          <w:lang w:eastAsia="en-US"/>
        </w:rPr>
        <w:sectPr w:rsidR="00F833A8" w:rsidSect="00C26282">
          <w:pgSz w:w="11907" w:h="16840" w:code="9"/>
          <w:pgMar w:top="1418" w:right="1701" w:bottom="1134" w:left="1843" w:header="284" w:footer="425" w:gutter="284"/>
          <w:cols w:space="720"/>
        </w:sectPr>
      </w:pPr>
    </w:p>
    <w:p w14:paraId="4DBFB363" w14:textId="77777777" w:rsidR="00F833A8" w:rsidRDefault="00F833A8" w:rsidP="00F833A8">
      <w:pPr>
        <w:rPr>
          <w:noProof/>
        </w:rPr>
      </w:pPr>
      <w:r w:rsidRPr="00E773C3">
        <w:rPr>
          <w:rStyle w:val="Heading6Char"/>
        </w:rPr>
        <w:lastRenderedPageBreak/>
        <w:t>Te Aho o Te Kahu Organisational Structure</w:t>
      </w:r>
      <w:r>
        <w:rPr>
          <w:noProof/>
        </w:rPr>
        <w:drawing>
          <wp:inline distT="0" distB="0" distL="0" distR="0" wp14:anchorId="0E53688B" wp14:editId="1E05F997">
            <wp:extent cx="5130165" cy="3174365"/>
            <wp:effectExtent l="0" t="0" r="0" b="6985"/>
            <wp:docPr id="12" name="Picture 12" descr="Organisation structur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rganisation structure chart"/>
                    <pic:cNvPicPr/>
                  </pic:nvPicPr>
                  <pic:blipFill>
                    <a:blip r:embed="rId50">
                      <a:extLst>
                        <a:ext uri="{28A0092B-C50C-407E-A947-70E740481C1C}">
                          <a14:useLocalDpi xmlns:a14="http://schemas.microsoft.com/office/drawing/2010/main" val="0"/>
                        </a:ext>
                      </a:extLst>
                    </a:blip>
                    <a:stretch>
                      <a:fillRect/>
                    </a:stretch>
                  </pic:blipFill>
                  <pic:spPr>
                    <a:xfrm>
                      <a:off x="0" y="0"/>
                      <a:ext cx="5130165" cy="3174365"/>
                    </a:xfrm>
                    <a:prstGeom prst="rect">
                      <a:avLst/>
                    </a:prstGeom>
                  </pic:spPr>
                </pic:pic>
              </a:graphicData>
            </a:graphic>
          </wp:inline>
        </w:drawing>
      </w:r>
    </w:p>
    <w:p w14:paraId="42B34F02" w14:textId="77777777" w:rsidR="00F833A8" w:rsidRDefault="00F833A8" w:rsidP="00397A1B">
      <w:pPr>
        <w:pStyle w:val="Heading5"/>
        <w:rPr>
          <w:noProof/>
        </w:rPr>
      </w:pPr>
      <w:r>
        <w:rPr>
          <w:noProof/>
        </w:rPr>
        <w:t>Advisory Council</w:t>
      </w:r>
    </w:p>
    <w:p w14:paraId="14477A3D" w14:textId="19BB1208" w:rsidR="00F833A8" w:rsidRDefault="00F833A8" w:rsidP="00F833A8">
      <w:pPr>
        <w:rPr>
          <w:noProof/>
        </w:rPr>
      </w:pPr>
      <w:r>
        <w:rPr>
          <w:noProof/>
        </w:rPr>
        <w:t>The Advisory Council supports our chief executive to ensure our organisation has a whole-of-system focus on preventing, treating, and managing cancer. The council also supports our chief executive to oversee system-wide prioritisation and coordination of cancer care in Aotearoa New Zealand. It considers and provides advice on how to get the best value from existing cancer prevention and care investment. As part of our commitment to Te Tiriti in our work the council has 50 percent Māori membership and a Māori co-chair.</w:t>
      </w:r>
    </w:p>
    <w:p w14:paraId="67A7DE74" w14:textId="77777777" w:rsidR="00F833A8" w:rsidRDefault="00F833A8" w:rsidP="00397A1B">
      <w:pPr>
        <w:pStyle w:val="Heading5"/>
        <w:rPr>
          <w:noProof/>
        </w:rPr>
      </w:pPr>
      <w:r>
        <w:rPr>
          <w:noProof/>
        </w:rPr>
        <w:t>Hei Āhuru Mōwai, Māori Cancer Leadership Aotearoa</w:t>
      </w:r>
    </w:p>
    <w:p w14:paraId="68608C4C" w14:textId="3DCD1250" w:rsidR="00F833A8" w:rsidRDefault="00F833A8" w:rsidP="00F833A8">
      <w:pPr>
        <w:rPr>
          <w:noProof/>
        </w:rPr>
      </w:pPr>
      <w:r>
        <w:rPr>
          <w:noProof/>
        </w:rPr>
        <w:t>Hei Āhuru Mōwai is the Māori cancer leadership group. Its membership brings a range of expertise, including clinical, community care, epidemiology, health services management and research. The Chair of Hei Āhuru Mōwai is also a member of the Advisory Council.</w:t>
      </w:r>
    </w:p>
    <w:p w14:paraId="7F44591B" w14:textId="77777777" w:rsidR="00F833A8" w:rsidRDefault="00F833A8" w:rsidP="00F833A8">
      <w:pPr>
        <w:rPr>
          <w:noProof/>
        </w:rPr>
      </w:pPr>
    </w:p>
    <w:p w14:paraId="5AF33745" w14:textId="77777777" w:rsidR="00F833A8" w:rsidRDefault="00F833A8" w:rsidP="00F833A8">
      <w:pPr>
        <w:rPr>
          <w:noProof/>
        </w:rPr>
      </w:pPr>
      <w:r>
        <w:rPr>
          <w:noProof/>
        </w:rPr>
        <w:t>We support the leadership and rangatiratanga of Hei Āhuru Mōwai through operational and project funding, and Hei Āhuru Mōwai works closely with us and provides expertise and support for negotiated strategic work and projects centred on improving Māori cancer outcomes.</w:t>
      </w:r>
    </w:p>
    <w:p w14:paraId="65C30FA6" w14:textId="77777777" w:rsidR="00F833A8" w:rsidRDefault="00F833A8" w:rsidP="00397A1B">
      <w:pPr>
        <w:pStyle w:val="Heading5"/>
        <w:rPr>
          <w:noProof/>
        </w:rPr>
      </w:pPr>
      <w:r>
        <w:rPr>
          <w:noProof/>
        </w:rPr>
        <w:t>National Clinical Assembly</w:t>
      </w:r>
    </w:p>
    <w:p w14:paraId="2DF82F72" w14:textId="40CD28C4" w:rsidR="00F833A8" w:rsidRDefault="00F833A8" w:rsidP="00F833A8">
      <w:pPr>
        <w:rPr>
          <w:noProof/>
        </w:rPr>
      </w:pPr>
      <w:r>
        <w:rPr>
          <w:noProof/>
        </w:rPr>
        <w:t>The National Clinical Assembly provides clinical advice to support us with our long-term strategic direction for reducing cancer incidence and improving cancer services across the cancer continuum. The assembly includes clinicians from a broad range of cancer- related medical, nursing, and allied health specialities.</w:t>
      </w:r>
    </w:p>
    <w:p w14:paraId="493FB1F3" w14:textId="77777777" w:rsidR="00F833A8" w:rsidRDefault="00F833A8" w:rsidP="00397A1B">
      <w:pPr>
        <w:pStyle w:val="Heading5"/>
        <w:rPr>
          <w:noProof/>
        </w:rPr>
      </w:pPr>
      <w:r>
        <w:rPr>
          <w:noProof/>
        </w:rPr>
        <w:t>He Ara Tangata</w:t>
      </w:r>
    </w:p>
    <w:p w14:paraId="2B9A983C" w14:textId="77777777" w:rsidR="00F833A8" w:rsidRDefault="00F833A8" w:rsidP="00F833A8">
      <w:pPr>
        <w:rPr>
          <w:noProof/>
        </w:rPr>
      </w:pPr>
      <w:r>
        <w:rPr>
          <w:noProof/>
        </w:rPr>
        <w:t>He Ara Tangata is the Consumer Reference Group that provides us with advice and</w:t>
      </w:r>
    </w:p>
    <w:p w14:paraId="64CF1148" w14:textId="77777777" w:rsidR="00F833A8" w:rsidRDefault="00F833A8" w:rsidP="00F833A8">
      <w:pPr>
        <w:rPr>
          <w:noProof/>
        </w:rPr>
      </w:pPr>
      <w:r>
        <w:rPr>
          <w:noProof/>
        </w:rPr>
        <w:lastRenderedPageBreak/>
        <w:t>solutions for people affected by cancer and their whānau. He Ara Tangata members are embedded on projects across our work programme, and their input ensures our work remains focused on the needs of people across the continuum of cancer care.</w:t>
      </w:r>
    </w:p>
    <w:p w14:paraId="2E9D4473" w14:textId="77777777" w:rsidR="00F833A8" w:rsidRDefault="00F833A8" w:rsidP="00397A1B">
      <w:pPr>
        <w:pStyle w:val="Heading5"/>
        <w:rPr>
          <w:noProof/>
        </w:rPr>
      </w:pPr>
      <w:r>
        <w:rPr>
          <w:noProof/>
        </w:rPr>
        <w:t>Other advisory groups</w:t>
      </w:r>
    </w:p>
    <w:p w14:paraId="5C6009C2" w14:textId="6DBC9190" w:rsidR="00F833A8" w:rsidRDefault="00F833A8" w:rsidP="00F833A8">
      <w:pPr>
        <w:rPr>
          <w:noProof/>
        </w:rPr>
      </w:pPr>
      <w:r>
        <w:rPr>
          <w:noProof/>
        </w:rPr>
        <w:t>To ensure we remain connected with those on the ground, and hear directly from them, we have three primary clinical working groups (Medical Oncology, Radiation Oncology and Haematology) and more than 17 other advisory groups, involving over 200 health professionals and consumers. We meet regularly with these working groups, and their input feeds into our work at all levels.</w:t>
      </w:r>
    </w:p>
    <w:p w14:paraId="5B83D2C3" w14:textId="77777777" w:rsidR="00F833A8" w:rsidRDefault="00F833A8" w:rsidP="00397A1B">
      <w:pPr>
        <w:pStyle w:val="Heading5"/>
        <w:rPr>
          <w:noProof/>
        </w:rPr>
      </w:pPr>
      <w:r>
        <w:rPr>
          <w:noProof/>
        </w:rPr>
        <w:t>COVID-19 response team</w:t>
      </w:r>
    </w:p>
    <w:p w14:paraId="6B397674" w14:textId="77777777" w:rsidR="00F833A8" w:rsidRDefault="00F833A8" w:rsidP="00F833A8">
      <w:pPr>
        <w:rPr>
          <w:noProof/>
        </w:rPr>
      </w:pPr>
      <w:r>
        <w:rPr>
          <w:noProof/>
        </w:rPr>
        <w:t>As the nationwide COVID-19 pandemic response strategy shifted from ‘elimination’ to</w:t>
      </w:r>
    </w:p>
    <w:p w14:paraId="425BD641" w14:textId="76292AE2" w:rsidR="00F833A8" w:rsidRDefault="00F833A8" w:rsidP="00F833A8">
      <w:pPr>
        <w:rPr>
          <w:noProof/>
        </w:rPr>
      </w:pPr>
      <w:r>
        <w:rPr>
          <w:noProof/>
        </w:rPr>
        <w:t>‘endemic’ across the course of 2021/22, we reconvened our rapid response team, initially established in March 2020, to ensure we were directly connected to the health sector and could respond to issues and opportunities as they arose. Initially meeting twice weekly, the group now meets on an ad-hoc basis when members indicate there are issues to be discussed.</w:t>
      </w:r>
    </w:p>
    <w:p w14:paraId="66B564B2" w14:textId="77777777" w:rsidR="00F833A8" w:rsidRDefault="00F833A8" w:rsidP="00397A1B">
      <w:pPr>
        <w:pStyle w:val="Heading5"/>
        <w:rPr>
          <w:noProof/>
        </w:rPr>
      </w:pPr>
      <w:r>
        <w:rPr>
          <w:noProof/>
        </w:rPr>
        <w:t>Contracted partners</w:t>
      </w:r>
    </w:p>
    <w:p w14:paraId="57E4FE05" w14:textId="77777777" w:rsidR="00F833A8" w:rsidRDefault="00F833A8" w:rsidP="00F833A8">
      <w:pPr>
        <w:rPr>
          <w:noProof/>
        </w:rPr>
      </w:pPr>
      <w:r>
        <w:rPr>
          <w:noProof/>
        </w:rPr>
        <w:t>We contract National Child Cancer Network New Zealand (NCCN) and Adolescent and</w:t>
      </w:r>
    </w:p>
    <w:p w14:paraId="06F1DB3D" w14:textId="77777777" w:rsidR="00F833A8" w:rsidRDefault="00F833A8" w:rsidP="00F833A8">
      <w:pPr>
        <w:rPr>
          <w:noProof/>
        </w:rPr>
      </w:pPr>
      <w:r>
        <w:rPr>
          <w:noProof/>
        </w:rPr>
        <w:t>Young Adult Cancer Network Aotearoa (AYA) to deliver care for children and young people with cancer. We collaborate on the direction of their work programmes, meet regularly to discuss progress and issues, and provide support on programme delivery.</w:t>
      </w:r>
    </w:p>
    <w:p w14:paraId="17F9C83C" w14:textId="77777777" w:rsidR="00F833A8" w:rsidRDefault="00F833A8" w:rsidP="00397A1B">
      <w:pPr>
        <w:pStyle w:val="Heading5"/>
        <w:rPr>
          <w:noProof/>
        </w:rPr>
      </w:pPr>
      <w:r>
        <w:rPr>
          <w:noProof/>
        </w:rPr>
        <w:t>Other external partners</w:t>
      </w:r>
    </w:p>
    <w:p w14:paraId="64835DEB" w14:textId="77777777" w:rsidR="00F833A8" w:rsidRDefault="00F833A8" w:rsidP="00F833A8">
      <w:pPr>
        <w:rPr>
          <w:noProof/>
        </w:rPr>
      </w:pPr>
      <w:r>
        <w:rPr>
          <w:noProof/>
        </w:rPr>
        <w:t>One of our key functions is to liaise with the many parties and organisations involved</w:t>
      </w:r>
    </w:p>
    <w:p w14:paraId="1EB6DC16" w14:textId="61CEA0E9" w:rsidR="00F833A8" w:rsidRDefault="00F833A8" w:rsidP="00F833A8">
      <w:pPr>
        <w:rPr>
          <w:noProof/>
        </w:rPr>
      </w:pPr>
      <w:r>
        <w:rPr>
          <w:noProof/>
        </w:rPr>
        <w:t>with cancer prevention and care. In the country’s new health system, this includes direct relationships between the chief executives of Te Aho o Te Kahu and Te Whatu Ora, Health New Zealand; Te Aka Whai Ora, Māori Health Authority; Manatū Hauora, Ministry of Health; the Public Health Agency; Pharmac; Health Quality &amp; Safety Commission New Zealand and many more.</w:t>
      </w:r>
    </w:p>
    <w:p w14:paraId="4F000155" w14:textId="77777777" w:rsidR="00F833A8" w:rsidRDefault="00F833A8" w:rsidP="00F833A8">
      <w:pPr>
        <w:rPr>
          <w:noProof/>
        </w:rPr>
      </w:pPr>
    </w:p>
    <w:p w14:paraId="1890A193" w14:textId="77777777" w:rsidR="00F833A8" w:rsidRDefault="00F833A8" w:rsidP="00F833A8">
      <w:pPr>
        <w:rPr>
          <w:noProof/>
        </w:rPr>
      </w:pPr>
      <w:r>
        <w:rPr>
          <w:noProof/>
        </w:rPr>
        <w:t>The relationship between us and our host, Manatū Hauora, Ministry of Health is particularly important and is supported through co-location and an interdepartmental agency agreement signed in August 2021.</w:t>
      </w:r>
    </w:p>
    <w:p w14:paraId="7F2F83B8" w14:textId="77777777" w:rsidR="00F833A8" w:rsidRDefault="00F833A8" w:rsidP="00397A1B">
      <w:pPr>
        <w:pStyle w:val="Heading5"/>
        <w:rPr>
          <w:noProof/>
        </w:rPr>
      </w:pPr>
      <w:r>
        <w:rPr>
          <w:noProof/>
        </w:rPr>
        <w:t>Being ‘Te Aho’ – the central thread</w:t>
      </w:r>
    </w:p>
    <w:p w14:paraId="5CDD3702" w14:textId="77777777" w:rsidR="00F833A8" w:rsidRDefault="00F833A8" w:rsidP="00F833A8">
      <w:pPr>
        <w:rPr>
          <w:noProof/>
        </w:rPr>
      </w:pPr>
      <w:r>
        <w:rPr>
          <w:noProof/>
        </w:rPr>
        <w:t>In addition to these core relationships, we have developed strong active links with</w:t>
      </w:r>
    </w:p>
    <w:p w14:paraId="2D9429A9" w14:textId="77777777" w:rsidR="00F833A8" w:rsidRDefault="00F833A8" w:rsidP="00F833A8">
      <w:pPr>
        <w:rPr>
          <w:noProof/>
        </w:rPr>
      </w:pPr>
      <w:r>
        <w:rPr>
          <w:noProof/>
        </w:rPr>
        <w:t>Māori and Pacific health leaders, consumer-led groups, clinical leadership groups, non-governmental organisations and primary health care practitioners. These relationships continue to develop and evolve as the new health system beds in.</w:t>
      </w:r>
    </w:p>
    <w:p w14:paraId="1A394FB5" w14:textId="280EFB62" w:rsidR="00F833A8" w:rsidRDefault="00F833A8" w:rsidP="00F833A8">
      <w:pPr>
        <w:rPr>
          <w:noProof/>
        </w:rPr>
      </w:pPr>
      <w:r>
        <w:rPr>
          <w:noProof/>
        </w:rPr>
        <w:t>We are committed to hearing the voices of those across the cancer continuum in Aotearoa New Zealand. There is a wide array of other government entities, sector groups, programmes and projects we contribute to across all workstreams as part of being ‘Te Aho’ for the cancer continuum.</w:t>
      </w:r>
    </w:p>
    <w:p w14:paraId="3253F077" w14:textId="69CBA0B3" w:rsidR="00F833A8" w:rsidRPr="00F833A8" w:rsidRDefault="00634C79" w:rsidP="00397A1B">
      <w:pPr>
        <w:pStyle w:val="Heading4"/>
        <w:rPr>
          <w:b/>
          <w:bCs/>
          <w:lang w:eastAsia="en-US"/>
        </w:rPr>
      </w:pPr>
      <w:r>
        <w:rPr>
          <w:b/>
          <w:bCs/>
          <w:lang w:eastAsia="en-US"/>
        </w:rPr>
        <w:lastRenderedPageBreak/>
        <w:t>Te ū</w:t>
      </w:r>
      <w:r w:rsidR="00F833A8" w:rsidRPr="00F833A8">
        <w:rPr>
          <w:b/>
          <w:bCs/>
          <w:lang w:eastAsia="en-US"/>
        </w:rPr>
        <w:t xml:space="preserve"> ki Te Tiriti | </w:t>
      </w:r>
      <w:r w:rsidR="00F833A8" w:rsidRPr="00F833A8">
        <w:rPr>
          <w:lang w:eastAsia="en-US"/>
        </w:rPr>
        <w:t>Our commitment to Te Tiriti o Waitangi</w:t>
      </w:r>
    </w:p>
    <w:p w14:paraId="593CCC30" w14:textId="77777777" w:rsidR="00F833A8" w:rsidRDefault="00F833A8" w:rsidP="00F833A8">
      <w:pPr>
        <w:rPr>
          <w:lang w:eastAsia="en-US"/>
        </w:rPr>
      </w:pPr>
      <w:r>
        <w:rPr>
          <w:lang w:eastAsia="en-US"/>
        </w:rPr>
        <w:t>We strive to achieve the following four goals of Te Tiriti o Waitangi (Te Tiriti), each expressed in terms of mana.</w:t>
      </w:r>
    </w:p>
    <w:p w14:paraId="0C7227CE" w14:textId="77777777" w:rsidR="00F833A8" w:rsidRDefault="00F833A8" w:rsidP="00397A1B">
      <w:pPr>
        <w:pStyle w:val="Heading5"/>
        <w:rPr>
          <w:lang w:eastAsia="en-US"/>
        </w:rPr>
      </w:pPr>
      <w:r>
        <w:rPr>
          <w:lang w:eastAsia="en-US"/>
        </w:rPr>
        <w:t>Mana whakahaere</w:t>
      </w:r>
    </w:p>
    <w:p w14:paraId="126DBF90" w14:textId="77777777" w:rsidR="00F833A8" w:rsidRDefault="00F833A8" w:rsidP="00F833A8">
      <w:pPr>
        <w:rPr>
          <w:lang w:eastAsia="en-US"/>
        </w:rPr>
      </w:pPr>
      <w:r>
        <w:rPr>
          <w:lang w:eastAsia="en-US"/>
        </w:rPr>
        <w:t>Encouraging effective and appropriate stewardship or kaitiakitanga over the health and</w:t>
      </w:r>
    </w:p>
    <w:p w14:paraId="175AB3DB" w14:textId="77777777" w:rsidR="00F833A8" w:rsidRDefault="00F833A8" w:rsidP="00F833A8">
      <w:pPr>
        <w:rPr>
          <w:lang w:eastAsia="en-US"/>
        </w:rPr>
      </w:pPr>
      <w:r>
        <w:rPr>
          <w:lang w:eastAsia="en-US"/>
        </w:rPr>
        <w:t>disability system. (This goes beyond the management of assets or resources.)</w:t>
      </w:r>
    </w:p>
    <w:p w14:paraId="0DB2A969" w14:textId="77777777" w:rsidR="00F833A8" w:rsidRDefault="00F833A8" w:rsidP="00397A1B">
      <w:pPr>
        <w:pStyle w:val="Heading5"/>
        <w:rPr>
          <w:lang w:eastAsia="en-US"/>
        </w:rPr>
      </w:pPr>
      <w:r>
        <w:rPr>
          <w:lang w:eastAsia="en-US"/>
        </w:rPr>
        <w:t>Mana motuhake</w:t>
      </w:r>
    </w:p>
    <w:p w14:paraId="6BF04A14" w14:textId="61F99648" w:rsidR="00F833A8" w:rsidRDefault="00F833A8" w:rsidP="00F833A8">
      <w:pPr>
        <w:rPr>
          <w:lang w:eastAsia="en-US"/>
        </w:rPr>
      </w:pPr>
      <w:r>
        <w:rPr>
          <w:lang w:eastAsia="en-US"/>
        </w:rPr>
        <w:t>Enabling Māori to be Māori; to exercise their authority over their lives and to live on Māori terms and according to Māori philosophies, values and practices, including tikanga Māori.</w:t>
      </w:r>
    </w:p>
    <w:p w14:paraId="7C56CF42" w14:textId="77777777" w:rsidR="00F833A8" w:rsidRDefault="00F833A8" w:rsidP="00397A1B">
      <w:pPr>
        <w:pStyle w:val="Heading5"/>
        <w:rPr>
          <w:lang w:eastAsia="en-US"/>
        </w:rPr>
      </w:pPr>
      <w:r>
        <w:rPr>
          <w:lang w:eastAsia="en-US"/>
        </w:rPr>
        <w:t>Mana tangata</w:t>
      </w:r>
    </w:p>
    <w:p w14:paraId="295A09B2" w14:textId="77777777" w:rsidR="00F833A8" w:rsidRDefault="00F833A8" w:rsidP="00F833A8">
      <w:pPr>
        <w:rPr>
          <w:lang w:eastAsia="en-US"/>
        </w:rPr>
      </w:pPr>
      <w:r>
        <w:rPr>
          <w:lang w:eastAsia="en-US"/>
        </w:rPr>
        <w:t>Achieving equity in health and disability outcomes for Māori across the life course and</w:t>
      </w:r>
    </w:p>
    <w:p w14:paraId="7E32A8BC" w14:textId="77777777" w:rsidR="00F833A8" w:rsidRDefault="00F833A8" w:rsidP="00F833A8">
      <w:pPr>
        <w:rPr>
          <w:lang w:eastAsia="en-US"/>
        </w:rPr>
      </w:pPr>
      <w:r>
        <w:rPr>
          <w:lang w:eastAsia="en-US"/>
        </w:rPr>
        <w:t>contributing to Māori wellness.</w:t>
      </w:r>
    </w:p>
    <w:p w14:paraId="7880218A" w14:textId="77777777" w:rsidR="00F833A8" w:rsidRDefault="00F833A8" w:rsidP="00397A1B">
      <w:pPr>
        <w:pStyle w:val="Heading5"/>
        <w:rPr>
          <w:lang w:eastAsia="en-US"/>
        </w:rPr>
      </w:pPr>
      <w:r>
        <w:rPr>
          <w:lang w:eastAsia="en-US"/>
        </w:rPr>
        <w:t>Mana Māori</w:t>
      </w:r>
    </w:p>
    <w:p w14:paraId="6693A50A" w14:textId="77777777" w:rsidR="00F833A8" w:rsidRDefault="00F833A8" w:rsidP="00F833A8">
      <w:pPr>
        <w:rPr>
          <w:lang w:eastAsia="en-US"/>
        </w:rPr>
      </w:pPr>
      <w:r>
        <w:rPr>
          <w:lang w:eastAsia="en-US"/>
        </w:rPr>
        <w:t>Enabling ritenga Māori (Māori customary rituals), which are framed by te ao Māori (the</w:t>
      </w:r>
    </w:p>
    <w:p w14:paraId="1E483C90" w14:textId="77777777" w:rsidR="00E773C3" w:rsidRDefault="00F833A8" w:rsidP="00F833A8">
      <w:pPr>
        <w:rPr>
          <w:lang w:eastAsia="en-US"/>
        </w:rPr>
      </w:pPr>
      <w:r>
        <w:rPr>
          <w:lang w:eastAsia="en-US"/>
        </w:rPr>
        <w:t>Māori world), enacted through tikanga Māori (Māori philosophy and customary practices) and encapsulated within mātauranga Māori (Māori knowledge).</w:t>
      </w:r>
    </w:p>
    <w:p w14:paraId="6B9C4485" w14:textId="77777777" w:rsidR="00E773C3" w:rsidRDefault="00E773C3" w:rsidP="00F833A8">
      <w:pPr>
        <w:rPr>
          <w:lang w:eastAsia="en-US"/>
        </w:rPr>
      </w:pPr>
    </w:p>
    <w:p w14:paraId="3956B274" w14:textId="5448100A" w:rsidR="00F833A8" w:rsidRDefault="00F833A8" w:rsidP="00F833A8">
      <w:pPr>
        <w:rPr>
          <w:lang w:eastAsia="en-US"/>
        </w:rPr>
      </w:pPr>
      <w:r>
        <w:rPr>
          <w:lang w:eastAsia="en-US"/>
        </w:rPr>
        <w:t>The principles of Te Tiriti outlined below, provide the framework for how we will meet our obligations under Te Tiriti in our day-to-day work.</w:t>
      </w:r>
    </w:p>
    <w:p w14:paraId="4E08DD23" w14:textId="77777777" w:rsidR="00F833A8" w:rsidRDefault="00F833A8" w:rsidP="00397A1B">
      <w:pPr>
        <w:pStyle w:val="Heading5"/>
        <w:rPr>
          <w:lang w:eastAsia="en-US"/>
        </w:rPr>
      </w:pPr>
      <w:r>
        <w:rPr>
          <w:lang w:eastAsia="en-US"/>
        </w:rPr>
        <w:t>Tino rangatiratanga</w:t>
      </w:r>
    </w:p>
    <w:p w14:paraId="45186F1E" w14:textId="77777777" w:rsidR="00F833A8" w:rsidRDefault="00F833A8" w:rsidP="00F833A8">
      <w:pPr>
        <w:rPr>
          <w:lang w:eastAsia="en-US"/>
        </w:rPr>
      </w:pPr>
      <w:r>
        <w:rPr>
          <w:lang w:eastAsia="en-US"/>
        </w:rPr>
        <w:t>The assurance of tino rangatiratanga provides self-determination and mana motuhake</w:t>
      </w:r>
    </w:p>
    <w:p w14:paraId="556B9ED9" w14:textId="77777777" w:rsidR="00F833A8" w:rsidRDefault="00F833A8" w:rsidP="00F833A8">
      <w:pPr>
        <w:rPr>
          <w:lang w:eastAsia="en-US"/>
        </w:rPr>
      </w:pPr>
      <w:r>
        <w:rPr>
          <w:lang w:eastAsia="en-US"/>
        </w:rPr>
        <w:t>for Māori in the design, delivery and monitoring of health and disability services.</w:t>
      </w:r>
    </w:p>
    <w:p w14:paraId="1CB9D994" w14:textId="77777777" w:rsidR="00F833A8" w:rsidRDefault="00F833A8" w:rsidP="00397A1B">
      <w:pPr>
        <w:pStyle w:val="Heading5"/>
        <w:rPr>
          <w:lang w:eastAsia="en-US"/>
        </w:rPr>
      </w:pPr>
      <w:r>
        <w:rPr>
          <w:lang w:eastAsia="en-US"/>
        </w:rPr>
        <w:t>Equity</w:t>
      </w:r>
    </w:p>
    <w:p w14:paraId="20DCC814" w14:textId="77777777" w:rsidR="00F833A8" w:rsidRDefault="00F833A8" w:rsidP="00F833A8">
      <w:pPr>
        <w:rPr>
          <w:lang w:eastAsia="en-US"/>
        </w:rPr>
      </w:pPr>
      <w:r>
        <w:rPr>
          <w:lang w:eastAsia="en-US"/>
        </w:rPr>
        <w:t>The principle of equity requires the Crown to commit to achieving equitable health</w:t>
      </w:r>
    </w:p>
    <w:p w14:paraId="50F45B6A" w14:textId="77777777" w:rsidR="00F833A8" w:rsidRDefault="00F833A8" w:rsidP="00F833A8">
      <w:pPr>
        <w:rPr>
          <w:lang w:eastAsia="en-US"/>
        </w:rPr>
      </w:pPr>
      <w:r>
        <w:rPr>
          <w:lang w:eastAsia="en-US"/>
        </w:rPr>
        <w:t>outcomes for Māori.</w:t>
      </w:r>
    </w:p>
    <w:p w14:paraId="4963DB88" w14:textId="77777777" w:rsidR="00F833A8" w:rsidRDefault="00F833A8" w:rsidP="00397A1B">
      <w:pPr>
        <w:pStyle w:val="Heading5"/>
        <w:rPr>
          <w:lang w:eastAsia="en-US"/>
        </w:rPr>
      </w:pPr>
      <w:r>
        <w:rPr>
          <w:lang w:eastAsia="en-US"/>
        </w:rPr>
        <w:t>Active protection</w:t>
      </w:r>
    </w:p>
    <w:p w14:paraId="16E9CB13" w14:textId="77777777" w:rsidR="00F833A8" w:rsidRDefault="00F833A8" w:rsidP="00F833A8">
      <w:pPr>
        <w:rPr>
          <w:lang w:eastAsia="en-US"/>
        </w:rPr>
      </w:pPr>
      <w:r>
        <w:rPr>
          <w:lang w:eastAsia="en-US"/>
        </w:rPr>
        <w:t>The principle of active protection requires the Crown to act, to the fullest extent</w:t>
      </w:r>
    </w:p>
    <w:p w14:paraId="22204323" w14:textId="77777777" w:rsidR="00F833A8" w:rsidRDefault="00F833A8" w:rsidP="00F833A8">
      <w:pPr>
        <w:rPr>
          <w:lang w:eastAsia="en-US"/>
        </w:rPr>
      </w:pPr>
      <w:r>
        <w:rPr>
          <w:lang w:eastAsia="en-US"/>
        </w:rPr>
        <w:t>practicable, to achieve equitable health outcomes for Māori.</w:t>
      </w:r>
    </w:p>
    <w:p w14:paraId="4ABC6823" w14:textId="77777777" w:rsidR="00F833A8" w:rsidRDefault="00F833A8" w:rsidP="00397A1B">
      <w:pPr>
        <w:pStyle w:val="Heading5"/>
        <w:rPr>
          <w:lang w:eastAsia="en-US"/>
        </w:rPr>
      </w:pPr>
      <w:r>
        <w:rPr>
          <w:lang w:eastAsia="en-US"/>
        </w:rPr>
        <w:t>Options</w:t>
      </w:r>
    </w:p>
    <w:p w14:paraId="7DDB0630" w14:textId="6FC06017" w:rsidR="00F833A8" w:rsidRDefault="00F833A8" w:rsidP="00F833A8">
      <w:pPr>
        <w:rPr>
          <w:lang w:eastAsia="en-US"/>
        </w:rPr>
      </w:pPr>
      <w:r>
        <w:rPr>
          <w:lang w:eastAsia="en-US"/>
        </w:rPr>
        <w:t>The principle of options requires the Crown to provide for and properly resource Kaupapa Māori health and disability services. Furthermore, the Crown is obliged to ensure that all health and disability services are provided in a culturally appropriate way.</w:t>
      </w:r>
    </w:p>
    <w:p w14:paraId="5689554C" w14:textId="77777777" w:rsidR="00F833A8" w:rsidRDefault="00F833A8" w:rsidP="00397A1B">
      <w:pPr>
        <w:pStyle w:val="Heading5"/>
        <w:rPr>
          <w:lang w:eastAsia="en-US"/>
        </w:rPr>
      </w:pPr>
      <w:r>
        <w:rPr>
          <w:lang w:eastAsia="en-US"/>
        </w:rPr>
        <w:t>Partnership</w:t>
      </w:r>
    </w:p>
    <w:p w14:paraId="6D9A3A2B" w14:textId="77777777" w:rsidR="00F833A8" w:rsidRDefault="00F833A8" w:rsidP="00F833A8">
      <w:pPr>
        <w:rPr>
          <w:lang w:eastAsia="en-US"/>
        </w:rPr>
      </w:pPr>
      <w:r>
        <w:rPr>
          <w:lang w:eastAsia="en-US"/>
        </w:rPr>
        <w:t>The principle of partnership requires the Crown and Māori to work in partnership in the</w:t>
      </w:r>
    </w:p>
    <w:p w14:paraId="41EB180D" w14:textId="77777777" w:rsidR="00F833A8" w:rsidRDefault="00F833A8" w:rsidP="00F833A8">
      <w:pPr>
        <w:rPr>
          <w:lang w:eastAsia="en-US"/>
        </w:rPr>
      </w:pPr>
      <w:r>
        <w:rPr>
          <w:lang w:eastAsia="en-US"/>
        </w:rPr>
        <w:lastRenderedPageBreak/>
        <w:t>governance, design, delivery and monitoring of health and disability services, especially in regard to development and delivery of the primary health system for Māori.</w:t>
      </w:r>
    </w:p>
    <w:p w14:paraId="74FF349A" w14:textId="77777777" w:rsidR="00F833A8" w:rsidRPr="00397A1B" w:rsidRDefault="00F833A8" w:rsidP="00397A1B">
      <w:pPr>
        <w:pStyle w:val="Heading4"/>
      </w:pPr>
      <w:r w:rsidRPr="00397A1B">
        <w:rPr>
          <w:b/>
          <w:bCs/>
        </w:rPr>
        <w:t>Tō mātou whānau |</w:t>
      </w:r>
      <w:r w:rsidRPr="00397A1B">
        <w:t xml:space="preserve"> Our people</w:t>
      </w:r>
    </w:p>
    <w:p w14:paraId="7D91E869" w14:textId="77777777" w:rsidR="00F833A8" w:rsidRDefault="00F833A8" w:rsidP="00397A1B">
      <w:pPr>
        <w:pStyle w:val="Heading5"/>
        <w:rPr>
          <w:lang w:eastAsia="en-US"/>
        </w:rPr>
      </w:pPr>
      <w:r>
        <w:rPr>
          <w:lang w:eastAsia="en-US"/>
        </w:rPr>
        <w:t>Personnel</w:t>
      </w:r>
    </w:p>
    <w:p w14:paraId="5CE64385" w14:textId="3CE69C7B" w:rsidR="00F833A8" w:rsidRDefault="00F833A8" w:rsidP="00F833A8">
      <w:pPr>
        <w:rPr>
          <w:lang w:eastAsia="en-US"/>
        </w:rPr>
      </w:pPr>
      <w:r>
        <w:rPr>
          <w:lang w:eastAsia="en-US"/>
        </w:rPr>
        <w:t>As at 30 June 2022, we had 63 people employed or 60.6 full-time equivalents (FTE), supported by an additional contracted 4.8 FTE.</w:t>
      </w:r>
    </w:p>
    <w:p w14:paraId="760DE8E8" w14:textId="77777777" w:rsidR="00F833A8" w:rsidRDefault="00F833A8" w:rsidP="00F833A8">
      <w:pPr>
        <w:rPr>
          <w:lang w:eastAsia="en-US"/>
        </w:rPr>
      </w:pPr>
    </w:p>
    <w:p w14:paraId="08B93E54" w14:textId="0EACFE66" w:rsidR="00F833A8" w:rsidRDefault="00F833A8" w:rsidP="00F833A8">
      <w:pPr>
        <w:rPr>
          <w:lang w:eastAsia="en-US"/>
        </w:rPr>
      </w:pPr>
      <w:r>
        <w:rPr>
          <w:lang w:eastAsia="en-US"/>
        </w:rPr>
        <w:t>Of the 60.6 FTE, we have 58.6 FTE employed on permanent contracts, with 1.2 FTE fixed term and 0.8 FTE on secondment.</w:t>
      </w:r>
    </w:p>
    <w:p w14:paraId="1DA85B1C" w14:textId="77777777" w:rsidR="00F833A8" w:rsidRDefault="00F833A8" w:rsidP="00F833A8">
      <w:pPr>
        <w:rPr>
          <w:lang w:eastAsia="en-US"/>
        </w:rPr>
      </w:pPr>
    </w:p>
    <w:p w14:paraId="4598DD67" w14:textId="77777777" w:rsidR="00F833A8" w:rsidRDefault="00F833A8" w:rsidP="00F833A8">
      <w:pPr>
        <w:rPr>
          <w:lang w:eastAsia="en-US"/>
        </w:rPr>
      </w:pPr>
      <w:r>
        <w:rPr>
          <w:lang w:eastAsia="en-US"/>
        </w:rPr>
        <w:t>Eight permanent staff (13 percent) resigned during 2021/22.</w:t>
      </w:r>
    </w:p>
    <w:p w14:paraId="0C1C6BBC" w14:textId="77777777" w:rsidR="00F833A8" w:rsidRDefault="00F833A8" w:rsidP="00397A1B">
      <w:pPr>
        <w:pStyle w:val="Heading5"/>
        <w:rPr>
          <w:lang w:eastAsia="en-US"/>
        </w:rPr>
      </w:pPr>
      <w:r>
        <w:rPr>
          <w:lang w:eastAsia="en-US"/>
        </w:rPr>
        <w:t>Full-time and part-time staff</w:t>
      </w:r>
    </w:p>
    <w:p w14:paraId="5C8B48C2" w14:textId="77777777" w:rsidR="00F833A8" w:rsidRDefault="00F833A8" w:rsidP="00F833A8">
      <w:pPr>
        <w:rPr>
          <w:lang w:eastAsia="en-US"/>
        </w:rPr>
      </w:pPr>
      <w:r>
        <w:rPr>
          <w:lang w:eastAsia="en-US"/>
        </w:rPr>
        <w:t>Twenty percent of our permanent staff work part time.</w:t>
      </w:r>
    </w:p>
    <w:p w14:paraId="383CF560" w14:textId="77777777" w:rsidR="00F833A8" w:rsidRDefault="00F833A8" w:rsidP="00397A1B">
      <w:pPr>
        <w:pStyle w:val="Heading5"/>
        <w:rPr>
          <w:lang w:eastAsia="en-US"/>
        </w:rPr>
      </w:pPr>
      <w:r>
        <w:rPr>
          <w:lang w:eastAsia="en-US"/>
        </w:rPr>
        <w:t>Gender</w:t>
      </w:r>
    </w:p>
    <w:p w14:paraId="5849541B" w14:textId="77777777" w:rsidR="00F833A8" w:rsidRDefault="00F833A8" w:rsidP="00F833A8">
      <w:pPr>
        <w:rPr>
          <w:lang w:eastAsia="en-US"/>
        </w:rPr>
      </w:pPr>
      <w:r>
        <w:rPr>
          <w:lang w:eastAsia="en-US"/>
        </w:rPr>
        <w:t>The majority of our staff are female (78 percent). No staff identify as gender diverse.</w:t>
      </w:r>
    </w:p>
    <w:p w14:paraId="67EA32B5" w14:textId="77777777" w:rsidR="00F833A8" w:rsidRDefault="00F833A8" w:rsidP="00397A1B">
      <w:pPr>
        <w:pStyle w:val="Heading5"/>
        <w:rPr>
          <w:lang w:eastAsia="en-US"/>
        </w:rPr>
      </w:pPr>
      <w:r>
        <w:rPr>
          <w:lang w:eastAsia="en-US"/>
        </w:rPr>
        <w:t>Ethnicity</w:t>
      </w:r>
    </w:p>
    <w:p w14:paraId="3578583A" w14:textId="40EB0698" w:rsidR="00F833A8" w:rsidRDefault="00F833A8" w:rsidP="00F833A8">
      <w:pPr>
        <w:rPr>
          <w:lang w:eastAsia="en-US"/>
        </w:rPr>
      </w:pPr>
      <w:r>
        <w:rPr>
          <w:lang w:eastAsia="en-US"/>
        </w:rPr>
        <w:t>We have followed a deliberate strategy to attract and recruit staff who identify as Māori, although this is not without its challenges as there is high demand for Māori staff across the new health entities. Our proportion of Māori staff rose slightly to 11 percent this year (from six staff in 2020/21 to seven in 2021/22). Two of our secondments are Māori also.</w:t>
      </w:r>
    </w:p>
    <w:p w14:paraId="1368C193" w14:textId="77777777" w:rsidR="00782804" w:rsidRDefault="00782804" w:rsidP="00F833A8">
      <w:pPr>
        <w:rPr>
          <w:lang w:eastAsia="en-US"/>
        </w:rPr>
      </w:pPr>
    </w:p>
    <w:p w14:paraId="16560F05" w14:textId="56CB80F8" w:rsidR="00F833A8" w:rsidRDefault="00F833A8" w:rsidP="00F833A8">
      <w:pPr>
        <w:rPr>
          <w:lang w:eastAsia="en-US"/>
        </w:rPr>
      </w:pPr>
      <w:r>
        <w:rPr>
          <w:lang w:eastAsia="en-US"/>
        </w:rPr>
        <w:t>At year end, 6 percent of our staff were Pacific peoples, and 40 percent were non-European.</w:t>
      </w:r>
    </w:p>
    <w:p w14:paraId="6D7B0C19" w14:textId="77777777" w:rsidR="00782804" w:rsidRDefault="00782804" w:rsidP="00397A1B">
      <w:pPr>
        <w:pStyle w:val="Heading5"/>
        <w:rPr>
          <w:lang w:eastAsia="en-US"/>
        </w:rPr>
      </w:pPr>
      <w:r>
        <w:rPr>
          <w:lang w:eastAsia="en-US"/>
        </w:rPr>
        <w:t>Diversity and inclusion</w:t>
      </w:r>
    </w:p>
    <w:p w14:paraId="248C14EB" w14:textId="77777777" w:rsidR="00782804" w:rsidRDefault="00782804" w:rsidP="00782804">
      <w:pPr>
        <w:rPr>
          <w:lang w:eastAsia="en-US"/>
        </w:rPr>
      </w:pPr>
      <w:r>
        <w:rPr>
          <w:lang w:eastAsia="en-US"/>
        </w:rPr>
        <w:t>We strive to be a diverse and inclusive workplace where all people feel valued. We are</w:t>
      </w:r>
    </w:p>
    <w:p w14:paraId="2D0B3C56" w14:textId="73D5925D" w:rsidR="00782804" w:rsidRDefault="00782804" w:rsidP="00782804">
      <w:pPr>
        <w:rPr>
          <w:lang w:eastAsia="en-US"/>
        </w:rPr>
      </w:pPr>
      <w:r>
        <w:rPr>
          <w:lang w:eastAsia="en-US"/>
        </w:rPr>
        <w:t>a member of Te Kawa Mataaho, Public Service Commission’s Diversity and Inclusion Executive Champions Network. Papa Pounamu, the Te Kawa Mataaho diversity programme, identifies five priority areas for development: cultural competence, addressing bias, inclusive leadership, building relationships and employee-led networks. We are engaged across all of these priorities via our Whāinga Amorangi: Transforming Leadership plans and E Tipu E Tipu, our Māori Language Plan (see Tō mātou tutuki | What we have achieved and Tō mātou whakahaere | Our performance sections).</w:t>
      </w:r>
    </w:p>
    <w:p w14:paraId="635CE681" w14:textId="77777777" w:rsidR="00782804" w:rsidRDefault="00782804" w:rsidP="00782804">
      <w:pPr>
        <w:rPr>
          <w:lang w:eastAsia="en-US"/>
        </w:rPr>
      </w:pPr>
    </w:p>
    <w:p w14:paraId="39FE9FD7" w14:textId="7E03D247" w:rsidR="00782804" w:rsidRDefault="00782804" w:rsidP="00782804">
      <w:pPr>
        <w:rPr>
          <w:lang w:eastAsia="en-US"/>
        </w:rPr>
      </w:pPr>
      <w:r>
        <w:rPr>
          <w:lang w:eastAsia="en-US"/>
        </w:rPr>
        <w:t>Whiria te Tangata, the Manatū Hauora culture and inclusion strategy outlines a shared overarching approach to diversity and inclusion. Our staff work alongside Manatū Hauora staff in developing, delivering, and participating in Manatū Hauora awareness and celebration events and are encouraged to engage with the many employee-led networks on offer at both Manatū Hauora and the wider public service.</w:t>
      </w:r>
    </w:p>
    <w:p w14:paraId="53E63611" w14:textId="77777777" w:rsidR="00782804" w:rsidRDefault="00782804" w:rsidP="00782804">
      <w:pPr>
        <w:pStyle w:val="Heading2"/>
        <w:rPr>
          <w:lang w:eastAsia="en-US"/>
        </w:rPr>
        <w:sectPr w:rsidR="00782804" w:rsidSect="00C26282">
          <w:pgSz w:w="11907" w:h="16840" w:code="9"/>
          <w:pgMar w:top="1418" w:right="1701" w:bottom="1134" w:left="1843" w:header="284" w:footer="425" w:gutter="284"/>
          <w:cols w:space="720"/>
        </w:sectPr>
      </w:pPr>
    </w:p>
    <w:p w14:paraId="11134352" w14:textId="6B2DC643" w:rsidR="00782804" w:rsidRPr="00782804" w:rsidRDefault="00634C79" w:rsidP="00DC739E">
      <w:pPr>
        <w:pStyle w:val="Heading2"/>
        <w:spacing w:before="0"/>
        <w:rPr>
          <w:b w:val="0"/>
          <w:bCs/>
          <w:lang w:eastAsia="en-US"/>
        </w:rPr>
      </w:pPr>
      <w:bookmarkStart w:id="86" w:name="_Toc117264992"/>
      <w:r>
        <w:rPr>
          <w:lang w:eastAsia="en-US"/>
        </w:rPr>
        <w:lastRenderedPageBreak/>
        <w:t>Ō</w:t>
      </w:r>
      <w:r w:rsidR="00782804">
        <w:rPr>
          <w:lang w:eastAsia="en-US"/>
        </w:rPr>
        <w:t xml:space="preserve"> mātou takune | </w:t>
      </w:r>
      <w:r w:rsidR="00782804" w:rsidRPr="00782804">
        <w:rPr>
          <w:b w:val="0"/>
          <w:bCs/>
          <w:lang w:eastAsia="en-US"/>
        </w:rPr>
        <w:t>Our intentions for 2021/22</w:t>
      </w:r>
      <w:bookmarkEnd w:id="86"/>
    </w:p>
    <w:p w14:paraId="65E88554" w14:textId="4E3B43CA" w:rsidR="00782804" w:rsidRDefault="00782804" w:rsidP="00782804">
      <w:pPr>
        <w:rPr>
          <w:lang w:eastAsia="en-US"/>
        </w:rPr>
      </w:pPr>
      <w:r>
        <w:rPr>
          <w:lang w:eastAsia="en-US"/>
        </w:rPr>
        <w:t xml:space="preserve">The strategic direction of Te Aho o Te Kahu is articulated through </w:t>
      </w:r>
      <w:r w:rsidRPr="00782804">
        <w:rPr>
          <w:i/>
          <w:iCs/>
          <w:lang w:eastAsia="en-US"/>
        </w:rPr>
        <w:t>The New Zealand Cancer Control Strategy 2003</w:t>
      </w:r>
      <w:r>
        <w:rPr>
          <w:rStyle w:val="FootnoteReference"/>
          <w:lang w:eastAsia="en-US"/>
        </w:rPr>
        <w:footnoteReference w:id="65"/>
      </w:r>
      <w:r>
        <w:rPr>
          <w:lang w:eastAsia="en-US"/>
        </w:rPr>
        <w:t xml:space="preserve"> and the </w:t>
      </w:r>
      <w:r w:rsidRPr="00782804">
        <w:rPr>
          <w:i/>
          <w:iCs/>
          <w:lang w:eastAsia="en-US"/>
        </w:rPr>
        <w:t>New Zealand Cancer Action Plan 2019–2029</w:t>
      </w:r>
      <w:r>
        <w:rPr>
          <w:lang w:eastAsia="en-US"/>
        </w:rPr>
        <w:t xml:space="preserve"> (the Cancer Action Plan).</w:t>
      </w:r>
      <w:r>
        <w:rPr>
          <w:rStyle w:val="FootnoteReference"/>
          <w:lang w:eastAsia="en-US"/>
        </w:rPr>
        <w:footnoteReference w:id="66"/>
      </w:r>
      <w:r>
        <w:rPr>
          <w:lang w:eastAsia="en-US"/>
        </w:rPr>
        <w:t xml:space="preserve"> Our work is focused on achieving the Aotearoa New Zealand health system goal of pae ora: healthy futures and the three system outcomes – living longer in good health, improved quality of life and equity for all – through delivering our vision of fewer cancers, better survival and equity for all.</w:t>
      </w:r>
    </w:p>
    <w:p w14:paraId="52A471F3" w14:textId="09B461C1" w:rsidR="00782804" w:rsidRDefault="00782804" w:rsidP="00782804">
      <w:pPr>
        <w:rPr>
          <w:lang w:eastAsia="en-US"/>
        </w:rPr>
      </w:pPr>
    </w:p>
    <w:p w14:paraId="6816E0DC" w14:textId="50BD3728" w:rsidR="00782804" w:rsidRDefault="00782804" w:rsidP="00782804">
      <w:pPr>
        <w:rPr>
          <w:lang w:eastAsia="en-US"/>
        </w:rPr>
      </w:pPr>
      <w:r>
        <w:rPr>
          <w:noProof/>
        </w:rPr>
        <w:drawing>
          <wp:inline distT="0" distB="0" distL="0" distR="0" wp14:anchorId="05F9CE34" wp14:editId="77A713C5">
            <wp:extent cx="4451737" cy="5895975"/>
            <wp:effectExtent l="0" t="0" r="6350" b="0"/>
            <wp:docPr id="13" name="Picture 13" descr="Infographic with categories from top to bottom: Health system outcomes, Cancer Control Strategy 2003 purpose, Cancer Action Plan 2019-29 goals, Te Aho o Te Kahu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nfographic with categories from top to bottom: Health system outcomes, Cancer Control Strategy 2003 purpose, Cancer Action Plan 2019-29 goals, Te Aho o Te Kahu vision."/>
                    <pic:cNvPicPr/>
                  </pic:nvPicPr>
                  <pic:blipFill>
                    <a:blip r:embed="rId51">
                      <a:extLst>
                        <a:ext uri="{28A0092B-C50C-407E-A947-70E740481C1C}">
                          <a14:useLocalDpi xmlns:a14="http://schemas.microsoft.com/office/drawing/2010/main" val="0"/>
                        </a:ext>
                      </a:extLst>
                    </a:blip>
                    <a:stretch>
                      <a:fillRect/>
                    </a:stretch>
                  </pic:blipFill>
                  <pic:spPr>
                    <a:xfrm>
                      <a:off x="0" y="0"/>
                      <a:ext cx="4455400" cy="5900827"/>
                    </a:xfrm>
                    <a:prstGeom prst="rect">
                      <a:avLst/>
                    </a:prstGeom>
                  </pic:spPr>
                </pic:pic>
              </a:graphicData>
            </a:graphic>
          </wp:inline>
        </w:drawing>
      </w:r>
    </w:p>
    <w:p w14:paraId="5004A296" w14:textId="0F150E5D" w:rsidR="00782804" w:rsidRDefault="00782804" w:rsidP="00782804">
      <w:pPr>
        <w:rPr>
          <w:lang w:eastAsia="en-US"/>
        </w:rPr>
      </w:pPr>
      <w:r w:rsidRPr="00782804">
        <w:rPr>
          <w:lang w:eastAsia="en-US"/>
        </w:rPr>
        <w:lastRenderedPageBreak/>
        <w:t>In 2021/22, in recognition that a core function of our agency is to shape the health environment, we adopted a ‘shaping strategy’. This strategic approach supports us to work in a way that maximises opportunities to engage and influence.</w:t>
      </w:r>
    </w:p>
    <w:p w14:paraId="35D4BF7B" w14:textId="77777777" w:rsidR="00782804" w:rsidRDefault="00782804" w:rsidP="00782804">
      <w:pPr>
        <w:rPr>
          <w:lang w:eastAsia="en-US"/>
        </w:rPr>
      </w:pPr>
    </w:p>
    <w:p w14:paraId="11F57A76" w14:textId="3DC2A647" w:rsidR="00782804" w:rsidRDefault="00782804" w:rsidP="00782804">
      <w:pPr>
        <w:rPr>
          <w:lang w:eastAsia="en-US"/>
        </w:rPr>
      </w:pPr>
      <w:r>
        <w:rPr>
          <w:noProof/>
        </w:rPr>
        <w:drawing>
          <wp:inline distT="0" distB="0" distL="0" distR="0" wp14:anchorId="4ED48A9E" wp14:editId="049910DE">
            <wp:extent cx="5130165" cy="4977765"/>
            <wp:effectExtent l="0" t="0" r="0" b="0"/>
            <wp:docPr id="14" name="Picture 14" descr="Infographic: Our shaping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nfographic: Our shaping strategy"/>
                    <pic:cNvPicPr/>
                  </pic:nvPicPr>
                  <pic:blipFill>
                    <a:blip r:embed="rId52">
                      <a:extLst>
                        <a:ext uri="{28A0092B-C50C-407E-A947-70E740481C1C}">
                          <a14:useLocalDpi xmlns:a14="http://schemas.microsoft.com/office/drawing/2010/main" val="0"/>
                        </a:ext>
                      </a:extLst>
                    </a:blip>
                    <a:stretch>
                      <a:fillRect/>
                    </a:stretch>
                  </pic:blipFill>
                  <pic:spPr>
                    <a:xfrm>
                      <a:off x="0" y="0"/>
                      <a:ext cx="5130165" cy="4977765"/>
                    </a:xfrm>
                    <a:prstGeom prst="rect">
                      <a:avLst/>
                    </a:prstGeom>
                  </pic:spPr>
                </pic:pic>
              </a:graphicData>
            </a:graphic>
          </wp:inline>
        </w:drawing>
      </w:r>
    </w:p>
    <w:p w14:paraId="15FD613F" w14:textId="77777777" w:rsidR="00782804" w:rsidRDefault="00782804" w:rsidP="00F870AE">
      <w:pPr>
        <w:pStyle w:val="Heading4"/>
        <w:rPr>
          <w:lang w:eastAsia="en-US"/>
        </w:rPr>
      </w:pPr>
      <w:r>
        <w:rPr>
          <w:lang w:eastAsia="en-US"/>
        </w:rPr>
        <w:t>Work programme</w:t>
      </w:r>
    </w:p>
    <w:p w14:paraId="76AF3EE8" w14:textId="77777777" w:rsidR="009A31A6" w:rsidRDefault="00782804" w:rsidP="00782804">
      <w:pPr>
        <w:rPr>
          <w:lang w:eastAsia="en-US"/>
        </w:rPr>
      </w:pPr>
      <w:r>
        <w:rPr>
          <w:lang w:eastAsia="en-US"/>
        </w:rPr>
        <w:t>Our work programme for 2021/22 sought to progress the goals in the Cancer Action Plan and focused on planning for the delivery of cancer care in the new health system.</w:t>
      </w:r>
      <w:r w:rsidR="009A31A6">
        <w:rPr>
          <w:lang w:eastAsia="en-US"/>
        </w:rPr>
        <w:t xml:space="preserve"> </w:t>
      </w:r>
    </w:p>
    <w:p w14:paraId="63C7360A" w14:textId="77777777" w:rsidR="009A31A6" w:rsidRDefault="009A31A6" w:rsidP="00782804">
      <w:pPr>
        <w:rPr>
          <w:lang w:eastAsia="en-US"/>
        </w:rPr>
      </w:pPr>
    </w:p>
    <w:p w14:paraId="45204B23" w14:textId="77777777" w:rsidR="009A31A6" w:rsidRDefault="00782804" w:rsidP="00782804">
      <w:pPr>
        <w:rPr>
          <w:lang w:eastAsia="en-US"/>
        </w:rPr>
        <w:sectPr w:rsidR="009A31A6" w:rsidSect="00C26282">
          <w:pgSz w:w="11907" w:h="16840" w:code="9"/>
          <w:pgMar w:top="1418" w:right="1701" w:bottom="1134" w:left="1843" w:header="284" w:footer="425" w:gutter="284"/>
          <w:cols w:space="720"/>
        </w:sectPr>
      </w:pPr>
      <w:r>
        <w:rPr>
          <w:lang w:eastAsia="en-US"/>
        </w:rPr>
        <w:t>All aspects of our work programme consider the likely or intended impact on improving equity in access, quality, and outcomes. Our work programme has focused on the following Cancer Action Plan outcomes.</w:t>
      </w:r>
    </w:p>
    <w:p w14:paraId="532838AA" w14:textId="77777777" w:rsidR="00782804" w:rsidRPr="007924C7" w:rsidRDefault="00782804" w:rsidP="00782804">
      <w:pPr>
        <w:rPr>
          <w:sz w:val="2"/>
          <w:szCs w:val="2"/>
          <w:lang w:eastAsia="en-US"/>
        </w:rPr>
      </w:pPr>
    </w:p>
    <w:tbl>
      <w:tblPr>
        <w:tblpPr w:leftFromText="180" w:rightFromText="180" w:vertAnchor="text" w:horzAnchor="margin" w:tblpY="46"/>
        <w:tblW w:w="9090" w:type="dxa"/>
        <w:tblBorders>
          <w:bottom w:val="single" w:sz="4" w:space="0" w:color="A6A6A6" w:themeColor="background1" w:themeShade="A6"/>
          <w:insideH w:val="single" w:sz="4" w:space="0" w:color="A6A6A6" w:themeColor="background1" w:themeShade="A6"/>
          <w:insideV w:val="single" w:sz="4" w:space="0" w:color="6A877D"/>
        </w:tblBorders>
        <w:tblLayout w:type="fixed"/>
        <w:tblCellMar>
          <w:left w:w="0" w:type="dxa"/>
          <w:right w:w="0" w:type="dxa"/>
        </w:tblCellMar>
        <w:tblLook w:val="01E0" w:firstRow="1" w:lastRow="1" w:firstColumn="1" w:lastColumn="1" w:noHBand="0" w:noVBand="0"/>
      </w:tblPr>
      <w:tblGrid>
        <w:gridCol w:w="4395"/>
        <w:gridCol w:w="4695"/>
      </w:tblGrid>
      <w:tr w:rsidR="00782804" w14:paraId="37E62CEB" w14:textId="77777777" w:rsidTr="00782804">
        <w:trPr>
          <w:trHeight w:val="432"/>
        </w:trPr>
        <w:tc>
          <w:tcPr>
            <w:tcW w:w="9090" w:type="dxa"/>
            <w:gridSpan w:val="2"/>
            <w:tcBorders>
              <w:top w:val="nil"/>
              <w:bottom w:val="nil"/>
            </w:tcBorders>
            <w:shd w:val="clear" w:color="auto" w:fill="D9D9D9" w:themeFill="background1" w:themeFillShade="D9"/>
          </w:tcPr>
          <w:p w14:paraId="6E86793E" w14:textId="77777777" w:rsidR="00782804" w:rsidRPr="00782804" w:rsidRDefault="00782804" w:rsidP="00782804">
            <w:pPr>
              <w:pStyle w:val="TableText"/>
              <w:rPr>
                <w:b/>
                <w:bCs/>
              </w:rPr>
            </w:pPr>
            <w:r w:rsidRPr="00782804">
              <w:rPr>
                <w:b/>
                <w:bCs/>
                <w:w w:val="110"/>
              </w:rPr>
              <w:t>New</w:t>
            </w:r>
            <w:r w:rsidRPr="00782804">
              <w:rPr>
                <w:b/>
                <w:bCs/>
                <w:spacing w:val="-11"/>
                <w:w w:val="110"/>
              </w:rPr>
              <w:t xml:space="preserve"> </w:t>
            </w:r>
            <w:r w:rsidRPr="00782804">
              <w:rPr>
                <w:b/>
                <w:bCs/>
                <w:w w:val="110"/>
              </w:rPr>
              <w:t>Zealanders</w:t>
            </w:r>
            <w:r w:rsidRPr="00782804">
              <w:rPr>
                <w:b/>
                <w:bCs/>
                <w:spacing w:val="-10"/>
                <w:w w:val="110"/>
              </w:rPr>
              <w:t xml:space="preserve"> </w:t>
            </w:r>
            <w:r w:rsidRPr="00782804">
              <w:rPr>
                <w:b/>
                <w:bCs/>
                <w:w w:val="110"/>
              </w:rPr>
              <w:t>have</w:t>
            </w:r>
            <w:r w:rsidRPr="00782804">
              <w:rPr>
                <w:b/>
                <w:bCs/>
                <w:spacing w:val="-10"/>
                <w:w w:val="110"/>
              </w:rPr>
              <w:t xml:space="preserve"> </w:t>
            </w:r>
            <w:r w:rsidRPr="00782804">
              <w:rPr>
                <w:b/>
                <w:bCs/>
                <w:w w:val="110"/>
              </w:rPr>
              <w:t>a</w:t>
            </w:r>
            <w:r w:rsidRPr="00782804">
              <w:rPr>
                <w:b/>
                <w:bCs/>
                <w:spacing w:val="-11"/>
                <w:w w:val="110"/>
              </w:rPr>
              <w:t xml:space="preserve"> </w:t>
            </w:r>
            <w:r w:rsidRPr="00782804">
              <w:rPr>
                <w:b/>
                <w:bCs/>
                <w:w w:val="110"/>
              </w:rPr>
              <w:t>system</w:t>
            </w:r>
            <w:r w:rsidRPr="00782804">
              <w:rPr>
                <w:b/>
                <w:bCs/>
                <w:spacing w:val="-10"/>
                <w:w w:val="110"/>
              </w:rPr>
              <w:t xml:space="preserve"> </w:t>
            </w:r>
            <w:r w:rsidRPr="00782804">
              <w:rPr>
                <w:b/>
                <w:bCs/>
                <w:w w:val="110"/>
              </w:rPr>
              <w:t>that</w:t>
            </w:r>
            <w:r w:rsidRPr="00782804">
              <w:rPr>
                <w:b/>
                <w:bCs/>
                <w:spacing w:val="-10"/>
                <w:w w:val="110"/>
              </w:rPr>
              <w:t xml:space="preserve"> </w:t>
            </w:r>
            <w:r w:rsidRPr="00782804">
              <w:rPr>
                <w:b/>
                <w:bCs/>
                <w:w w:val="110"/>
              </w:rPr>
              <w:t>delivers</w:t>
            </w:r>
            <w:r w:rsidRPr="00782804">
              <w:rPr>
                <w:b/>
                <w:bCs/>
                <w:spacing w:val="-11"/>
                <w:w w:val="110"/>
              </w:rPr>
              <w:t xml:space="preserve"> </w:t>
            </w:r>
            <w:r w:rsidRPr="00782804">
              <w:rPr>
                <w:b/>
                <w:bCs/>
                <w:w w:val="110"/>
              </w:rPr>
              <w:t>consistent</w:t>
            </w:r>
            <w:r w:rsidRPr="00782804">
              <w:rPr>
                <w:b/>
                <w:bCs/>
                <w:spacing w:val="-10"/>
                <w:w w:val="110"/>
              </w:rPr>
              <w:t xml:space="preserve"> </w:t>
            </w:r>
            <w:r w:rsidRPr="00782804">
              <w:rPr>
                <w:b/>
                <w:bCs/>
                <w:w w:val="110"/>
              </w:rPr>
              <w:t>and</w:t>
            </w:r>
            <w:r w:rsidRPr="00782804">
              <w:rPr>
                <w:b/>
                <w:bCs/>
                <w:spacing w:val="-10"/>
                <w:w w:val="110"/>
              </w:rPr>
              <w:t xml:space="preserve"> </w:t>
            </w:r>
            <w:r w:rsidRPr="00782804">
              <w:rPr>
                <w:b/>
                <w:bCs/>
                <w:w w:val="110"/>
              </w:rPr>
              <w:t>modern</w:t>
            </w:r>
            <w:r w:rsidRPr="00782804">
              <w:rPr>
                <w:b/>
                <w:bCs/>
                <w:spacing w:val="-11"/>
                <w:w w:val="110"/>
              </w:rPr>
              <w:t xml:space="preserve"> </w:t>
            </w:r>
            <w:r w:rsidRPr="00782804">
              <w:rPr>
                <w:b/>
                <w:bCs/>
                <w:w w:val="110"/>
              </w:rPr>
              <w:t>cancer</w:t>
            </w:r>
            <w:r w:rsidRPr="00782804">
              <w:rPr>
                <w:b/>
                <w:bCs/>
                <w:spacing w:val="-10"/>
                <w:w w:val="110"/>
              </w:rPr>
              <w:t xml:space="preserve"> </w:t>
            </w:r>
            <w:r w:rsidRPr="00782804">
              <w:rPr>
                <w:b/>
                <w:bCs/>
                <w:w w:val="110"/>
              </w:rPr>
              <w:t>care</w:t>
            </w:r>
          </w:p>
        </w:tc>
      </w:tr>
      <w:tr w:rsidR="00782804" w14:paraId="51F12756" w14:textId="77777777" w:rsidTr="00782804">
        <w:trPr>
          <w:trHeight w:val="349"/>
        </w:trPr>
        <w:tc>
          <w:tcPr>
            <w:tcW w:w="4395" w:type="dxa"/>
            <w:tcBorders>
              <w:top w:val="nil"/>
              <w:bottom w:val="nil"/>
              <w:right w:val="nil"/>
            </w:tcBorders>
            <w:shd w:val="clear" w:color="auto" w:fill="F2F2F2" w:themeFill="background1" w:themeFillShade="F2"/>
          </w:tcPr>
          <w:p w14:paraId="145614B5" w14:textId="77777777" w:rsidR="00782804" w:rsidRPr="00782804" w:rsidRDefault="00782804" w:rsidP="00782804">
            <w:pPr>
              <w:pStyle w:val="TableText"/>
              <w:rPr>
                <w:b/>
                <w:bCs/>
              </w:rPr>
            </w:pPr>
            <w:r w:rsidRPr="00782804">
              <w:rPr>
                <w:b/>
                <w:bCs/>
                <w:w w:val="105"/>
              </w:rPr>
              <w:t>Te Aho o</w:t>
            </w:r>
            <w:r w:rsidRPr="00782804">
              <w:rPr>
                <w:b/>
                <w:bCs/>
                <w:spacing w:val="1"/>
                <w:w w:val="105"/>
              </w:rPr>
              <w:t xml:space="preserve"> </w:t>
            </w:r>
            <w:r w:rsidRPr="00782804">
              <w:rPr>
                <w:b/>
                <w:bCs/>
                <w:w w:val="105"/>
              </w:rPr>
              <w:t>Te Kahu</w:t>
            </w:r>
            <w:r w:rsidRPr="00782804">
              <w:rPr>
                <w:b/>
                <w:bCs/>
                <w:spacing w:val="1"/>
                <w:w w:val="105"/>
              </w:rPr>
              <w:t xml:space="preserve"> </w:t>
            </w:r>
            <w:r w:rsidRPr="00782804">
              <w:rPr>
                <w:b/>
                <w:bCs/>
                <w:w w:val="105"/>
              </w:rPr>
              <w:t>priorities</w:t>
            </w:r>
          </w:p>
        </w:tc>
        <w:tc>
          <w:tcPr>
            <w:tcW w:w="4695" w:type="dxa"/>
            <w:tcBorders>
              <w:top w:val="nil"/>
              <w:left w:val="nil"/>
              <w:bottom w:val="nil"/>
            </w:tcBorders>
            <w:shd w:val="clear" w:color="auto" w:fill="F2F2F2" w:themeFill="background1" w:themeFillShade="F2"/>
          </w:tcPr>
          <w:p w14:paraId="4565155B" w14:textId="77777777" w:rsidR="00782804" w:rsidRPr="00782804" w:rsidRDefault="00782804" w:rsidP="00782804">
            <w:pPr>
              <w:pStyle w:val="TableText"/>
              <w:rPr>
                <w:b/>
                <w:bCs/>
              </w:rPr>
            </w:pPr>
            <w:r w:rsidRPr="00782804">
              <w:rPr>
                <w:b/>
                <w:bCs/>
                <w:w w:val="105"/>
              </w:rPr>
              <w:t>Te</w:t>
            </w:r>
            <w:r w:rsidRPr="00782804">
              <w:rPr>
                <w:b/>
                <w:bCs/>
                <w:spacing w:val="-7"/>
                <w:w w:val="105"/>
              </w:rPr>
              <w:t xml:space="preserve"> </w:t>
            </w:r>
            <w:r w:rsidRPr="00782804">
              <w:rPr>
                <w:b/>
                <w:bCs/>
                <w:w w:val="105"/>
              </w:rPr>
              <w:t>Aho</w:t>
            </w:r>
            <w:r w:rsidRPr="00782804">
              <w:rPr>
                <w:b/>
                <w:bCs/>
                <w:spacing w:val="-7"/>
                <w:w w:val="105"/>
              </w:rPr>
              <w:t xml:space="preserve"> </w:t>
            </w:r>
            <w:r w:rsidRPr="00782804">
              <w:rPr>
                <w:b/>
                <w:bCs/>
                <w:w w:val="105"/>
              </w:rPr>
              <w:t>o</w:t>
            </w:r>
            <w:r w:rsidRPr="00782804">
              <w:rPr>
                <w:b/>
                <w:bCs/>
                <w:spacing w:val="-7"/>
                <w:w w:val="105"/>
              </w:rPr>
              <w:t xml:space="preserve"> </w:t>
            </w:r>
            <w:r w:rsidRPr="00782804">
              <w:rPr>
                <w:b/>
                <w:bCs/>
                <w:w w:val="105"/>
              </w:rPr>
              <w:t>Te</w:t>
            </w:r>
            <w:r w:rsidRPr="00782804">
              <w:rPr>
                <w:b/>
                <w:bCs/>
                <w:spacing w:val="-6"/>
                <w:w w:val="105"/>
              </w:rPr>
              <w:t xml:space="preserve"> </w:t>
            </w:r>
            <w:r w:rsidRPr="00782804">
              <w:rPr>
                <w:b/>
                <w:bCs/>
                <w:w w:val="105"/>
              </w:rPr>
              <w:t>Kahu</w:t>
            </w:r>
            <w:r w:rsidRPr="00782804">
              <w:rPr>
                <w:b/>
                <w:bCs/>
                <w:spacing w:val="-7"/>
                <w:w w:val="105"/>
              </w:rPr>
              <w:t xml:space="preserve"> </w:t>
            </w:r>
            <w:r w:rsidRPr="00782804">
              <w:rPr>
                <w:b/>
                <w:bCs/>
                <w:w w:val="105"/>
              </w:rPr>
              <w:t>work</w:t>
            </w:r>
          </w:p>
        </w:tc>
      </w:tr>
      <w:tr w:rsidR="00782804" w14:paraId="26327926" w14:textId="77777777" w:rsidTr="00782804">
        <w:trPr>
          <w:trHeight w:val="1194"/>
        </w:trPr>
        <w:tc>
          <w:tcPr>
            <w:tcW w:w="4395" w:type="dxa"/>
            <w:tcBorders>
              <w:top w:val="nil"/>
              <w:right w:val="nil"/>
            </w:tcBorders>
          </w:tcPr>
          <w:p w14:paraId="2B7F01EF" w14:textId="77777777" w:rsidR="00782804" w:rsidRDefault="00782804" w:rsidP="00782804">
            <w:pPr>
              <w:pStyle w:val="TableText"/>
            </w:pPr>
            <w:r>
              <w:rPr>
                <w:w w:val="105"/>
              </w:rPr>
              <w:t>Supporting a system that delivers consistent and</w:t>
            </w:r>
            <w:r>
              <w:rPr>
                <w:spacing w:val="-50"/>
                <w:w w:val="105"/>
              </w:rPr>
              <w:t xml:space="preserve"> </w:t>
            </w:r>
            <w:r>
              <w:rPr>
                <w:w w:val="105"/>
              </w:rPr>
              <w:t>modern</w:t>
            </w:r>
            <w:r>
              <w:rPr>
                <w:spacing w:val="-5"/>
                <w:w w:val="105"/>
              </w:rPr>
              <w:t xml:space="preserve"> </w:t>
            </w:r>
            <w:r>
              <w:rPr>
                <w:w w:val="105"/>
              </w:rPr>
              <w:t>care</w:t>
            </w:r>
          </w:p>
        </w:tc>
        <w:tc>
          <w:tcPr>
            <w:tcW w:w="4695" w:type="dxa"/>
            <w:tcBorders>
              <w:top w:val="nil"/>
              <w:left w:val="nil"/>
            </w:tcBorders>
          </w:tcPr>
          <w:p w14:paraId="77594BA4" w14:textId="77777777" w:rsidR="00782804" w:rsidRDefault="00782804" w:rsidP="00782804">
            <w:pPr>
              <w:pStyle w:val="TableText"/>
              <w:rPr>
                <w:spacing w:val="-50"/>
                <w:w w:val="105"/>
              </w:rPr>
            </w:pPr>
            <w:r>
              <w:rPr>
                <w:w w:val="105"/>
              </w:rPr>
              <w:t>Building</w:t>
            </w:r>
            <w:r>
              <w:rPr>
                <w:spacing w:val="-9"/>
                <w:w w:val="105"/>
              </w:rPr>
              <w:t xml:space="preserve"> </w:t>
            </w:r>
            <w:r>
              <w:rPr>
                <w:w w:val="105"/>
              </w:rPr>
              <w:t>a</w:t>
            </w:r>
            <w:r>
              <w:rPr>
                <w:spacing w:val="-9"/>
                <w:w w:val="105"/>
              </w:rPr>
              <w:t xml:space="preserve"> </w:t>
            </w:r>
            <w:r>
              <w:rPr>
                <w:w w:val="105"/>
              </w:rPr>
              <w:t>high-performing</w:t>
            </w:r>
            <w:r>
              <w:rPr>
                <w:spacing w:val="-9"/>
                <w:w w:val="105"/>
              </w:rPr>
              <w:t xml:space="preserve"> </w:t>
            </w:r>
            <w:r>
              <w:rPr>
                <w:w w:val="105"/>
              </w:rPr>
              <w:t>agency</w:t>
            </w:r>
            <w:r>
              <w:rPr>
                <w:spacing w:val="-50"/>
                <w:w w:val="105"/>
              </w:rPr>
              <w:t xml:space="preserve"> </w:t>
            </w:r>
          </w:p>
          <w:p w14:paraId="1FA5B0DB" w14:textId="77777777" w:rsidR="00782804" w:rsidRDefault="00782804" w:rsidP="00782804">
            <w:pPr>
              <w:pStyle w:val="TableText"/>
              <w:rPr>
                <w:w w:val="105"/>
              </w:rPr>
            </w:pPr>
            <w:r>
              <w:rPr>
                <w:spacing w:val="-1"/>
                <w:w w:val="105"/>
              </w:rPr>
              <w:t>Commitment</w:t>
            </w:r>
            <w:r>
              <w:rPr>
                <w:spacing w:val="-11"/>
                <w:w w:val="105"/>
              </w:rPr>
              <w:t xml:space="preserve"> </w:t>
            </w:r>
            <w:r>
              <w:rPr>
                <w:spacing w:val="-1"/>
                <w:w w:val="105"/>
              </w:rPr>
              <w:t>to</w:t>
            </w:r>
            <w:r>
              <w:rPr>
                <w:spacing w:val="-10"/>
                <w:w w:val="105"/>
              </w:rPr>
              <w:t xml:space="preserve"> </w:t>
            </w:r>
            <w:r>
              <w:rPr>
                <w:spacing w:val="-1"/>
                <w:w w:val="105"/>
              </w:rPr>
              <w:t>capability</w:t>
            </w:r>
            <w:r>
              <w:rPr>
                <w:spacing w:val="-10"/>
                <w:w w:val="105"/>
              </w:rPr>
              <w:t xml:space="preserve"> </w:t>
            </w:r>
            <w:r>
              <w:rPr>
                <w:w w:val="105"/>
              </w:rPr>
              <w:t>building</w:t>
            </w:r>
          </w:p>
          <w:p w14:paraId="4279F2AF" w14:textId="37B7C24C" w:rsidR="00782804" w:rsidRDefault="00782804" w:rsidP="00782804">
            <w:pPr>
              <w:pStyle w:val="TableText"/>
            </w:pPr>
            <w:r>
              <w:rPr>
                <w:spacing w:val="-50"/>
                <w:w w:val="105"/>
              </w:rPr>
              <w:t xml:space="preserve"> </w:t>
            </w:r>
            <w:r>
              <w:rPr>
                <w:w w:val="105"/>
              </w:rPr>
              <w:t>Systems</w:t>
            </w:r>
            <w:r>
              <w:rPr>
                <w:spacing w:val="-3"/>
                <w:w w:val="105"/>
              </w:rPr>
              <w:t xml:space="preserve"> </w:t>
            </w:r>
            <w:r>
              <w:rPr>
                <w:w w:val="105"/>
              </w:rPr>
              <w:t>and</w:t>
            </w:r>
            <w:r>
              <w:rPr>
                <w:spacing w:val="-2"/>
                <w:w w:val="105"/>
              </w:rPr>
              <w:t xml:space="preserve"> </w:t>
            </w:r>
            <w:r>
              <w:rPr>
                <w:w w:val="105"/>
              </w:rPr>
              <w:t>processes</w:t>
            </w:r>
          </w:p>
          <w:p w14:paraId="5B5FFAA4" w14:textId="77777777" w:rsidR="00782804" w:rsidRDefault="00782804" w:rsidP="00782804">
            <w:pPr>
              <w:pStyle w:val="TableText"/>
            </w:pPr>
            <w:r>
              <w:t>Active</w:t>
            </w:r>
            <w:r>
              <w:rPr>
                <w:spacing w:val="15"/>
              </w:rPr>
              <w:t xml:space="preserve"> </w:t>
            </w:r>
            <w:r>
              <w:t>health</w:t>
            </w:r>
            <w:r>
              <w:rPr>
                <w:spacing w:val="16"/>
              </w:rPr>
              <w:t xml:space="preserve"> </w:t>
            </w:r>
            <w:r>
              <w:t>sector</w:t>
            </w:r>
            <w:r>
              <w:rPr>
                <w:spacing w:val="16"/>
              </w:rPr>
              <w:t xml:space="preserve"> </w:t>
            </w:r>
            <w:r>
              <w:t>support</w:t>
            </w:r>
          </w:p>
          <w:p w14:paraId="0C1F41F8" w14:textId="77777777" w:rsidR="00782804" w:rsidRDefault="00782804" w:rsidP="00782804">
            <w:pPr>
              <w:pStyle w:val="TableText"/>
            </w:pPr>
            <w:r>
              <w:t>COVID-19</w:t>
            </w:r>
          </w:p>
        </w:tc>
      </w:tr>
      <w:tr w:rsidR="00782804" w14:paraId="2497BCC0" w14:textId="77777777" w:rsidTr="00782804">
        <w:trPr>
          <w:trHeight w:val="338"/>
        </w:trPr>
        <w:tc>
          <w:tcPr>
            <w:tcW w:w="4395" w:type="dxa"/>
            <w:tcBorders>
              <w:right w:val="nil"/>
            </w:tcBorders>
          </w:tcPr>
          <w:p w14:paraId="795E672A" w14:textId="77777777" w:rsidR="00782804" w:rsidRDefault="00782804" w:rsidP="00782804">
            <w:pPr>
              <w:pStyle w:val="TableText"/>
            </w:pPr>
            <w:r>
              <w:rPr>
                <w:w w:val="105"/>
              </w:rPr>
              <w:t>Transforming</w:t>
            </w:r>
            <w:r>
              <w:rPr>
                <w:spacing w:val="-7"/>
                <w:w w:val="105"/>
              </w:rPr>
              <w:t xml:space="preserve"> </w:t>
            </w:r>
            <w:r>
              <w:rPr>
                <w:w w:val="105"/>
              </w:rPr>
              <w:t>the</w:t>
            </w:r>
            <w:r>
              <w:rPr>
                <w:spacing w:val="-6"/>
                <w:w w:val="105"/>
              </w:rPr>
              <w:t xml:space="preserve"> </w:t>
            </w:r>
            <w:r>
              <w:rPr>
                <w:w w:val="105"/>
              </w:rPr>
              <w:t>future</w:t>
            </w:r>
            <w:r>
              <w:rPr>
                <w:spacing w:val="-7"/>
                <w:w w:val="105"/>
              </w:rPr>
              <w:t xml:space="preserve"> </w:t>
            </w:r>
            <w:r>
              <w:rPr>
                <w:w w:val="105"/>
              </w:rPr>
              <w:t>of</w:t>
            </w:r>
            <w:r>
              <w:rPr>
                <w:spacing w:val="-6"/>
                <w:w w:val="105"/>
              </w:rPr>
              <w:t xml:space="preserve"> </w:t>
            </w:r>
            <w:r>
              <w:rPr>
                <w:w w:val="105"/>
              </w:rPr>
              <w:t>cancer</w:t>
            </w:r>
            <w:r>
              <w:rPr>
                <w:spacing w:val="-6"/>
                <w:w w:val="105"/>
              </w:rPr>
              <w:t xml:space="preserve"> </w:t>
            </w:r>
            <w:r>
              <w:rPr>
                <w:w w:val="105"/>
              </w:rPr>
              <w:t>service</w:t>
            </w:r>
            <w:r>
              <w:rPr>
                <w:spacing w:val="-7"/>
                <w:w w:val="105"/>
              </w:rPr>
              <w:t xml:space="preserve"> </w:t>
            </w:r>
            <w:r>
              <w:rPr>
                <w:w w:val="105"/>
              </w:rPr>
              <w:t>delivery</w:t>
            </w:r>
          </w:p>
        </w:tc>
        <w:tc>
          <w:tcPr>
            <w:tcW w:w="4695" w:type="dxa"/>
            <w:tcBorders>
              <w:left w:val="nil"/>
            </w:tcBorders>
          </w:tcPr>
          <w:p w14:paraId="35A8B796" w14:textId="77777777" w:rsidR="00782804" w:rsidRDefault="00782804" w:rsidP="00782804">
            <w:pPr>
              <w:pStyle w:val="TableText"/>
            </w:pPr>
            <w:r>
              <w:rPr>
                <w:w w:val="105"/>
              </w:rPr>
              <w:t>Seven</w:t>
            </w:r>
            <w:r>
              <w:rPr>
                <w:spacing w:val="-12"/>
                <w:w w:val="105"/>
              </w:rPr>
              <w:t xml:space="preserve"> </w:t>
            </w:r>
            <w:r>
              <w:rPr>
                <w:w w:val="105"/>
              </w:rPr>
              <w:t>cancer</w:t>
            </w:r>
            <w:r>
              <w:rPr>
                <w:spacing w:val="-12"/>
                <w:w w:val="105"/>
              </w:rPr>
              <w:t xml:space="preserve"> </w:t>
            </w:r>
            <w:r>
              <w:rPr>
                <w:w w:val="105"/>
              </w:rPr>
              <w:t>services</w:t>
            </w:r>
            <w:r>
              <w:rPr>
                <w:spacing w:val="-12"/>
                <w:w w:val="105"/>
              </w:rPr>
              <w:t xml:space="preserve"> </w:t>
            </w:r>
            <w:r>
              <w:rPr>
                <w:w w:val="105"/>
              </w:rPr>
              <w:t>planning</w:t>
            </w:r>
            <w:r>
              <w:rPr>
                <w:spacing w:val="-12"/>
                <w:w w:val="105"/>
              </w:rPr>
              <w:t xml:space="preserve"> </w:t>
            </w:r>
            <w:r>
              <w:rPr>
                <w:w w:val="105"/>
              </w:rPr>
              <w:t>projects</w:t>
            </w:r>
          </w:p>
        </w:tc>
      </w:tr>
      <w:tr w:rsidR="00782804" w14:paraId="543FFE0C" w14:textId="77777777" w:rsidTr="00782804">
        <w:trPr>
          <w:trHeight w:val="338"/>
        </w:trPr>
        <w:tc>
          <w:tcPr>
            <w:tcW w:w="4395" w:type="dxa"/>
            <w:tcBorders>
              <w:right w:val="nil"/>
            </w:tcBorders>
          </w:tcPr>
          <w:p w14:paraId="6C30E19F" w14:textId="77777777" w:rsidR="00782804" w:rsidRDefault="00782804" w:rsidP="00782804">
            <w:pPr>
              <w:pStyle w:val="TableText"/>
            </w:pPr>
            <w:r>
              <w:t>Developing</w:t>
            </w:r>
            <w:r>
              <w:rPr>
                <w:spacing w:val="20"/>
              </w:rPr>
              <w:t xml:space="preserve"> </w:t>
            </w:r>
            <w:r>
              <w:t>a</w:t>
            </w:r>
            <w:r>
              <w:rPr>
                <w:spacing w:val="20"/>
              </w:rPr>
              <w:t xml:space="preserve"> </w:t>
            </w:r>
            <w:r>
              <w:t>monitoring</w:t>
            </w:r>
            <w:r>
              <w:rPr>
                <w:spacing w:val="20"/>
              </w:rPr>
              <w:t xml:space="preserve"> </w:t>
            </w:r>
            <w:r>
              <w:t>framework</w:t>
            </w:r>
          </w:p>
        </w:tc>
        <w:tc>
          <w:tcPr>
            <w:tcW w:w="4695" w:type="dxa"/>
            <w:tcBorders>
              <w:left w:val="nil"/>
            </w:tcBorders>
          </w:tcPr>
          <w:p w14:paraId="2A4C82BB" w14:textId="77777777" w:rsidR="00782804" w:rsidRDefault="00782804" w:rsidP="00782804">
            <w:pPr>
              <w:pStyle w:val="TableText"/>
            </w:pPr>
            <w:r>
              <w:rPr>
                <w:w w:val="105"/>
              </w:rPr>
              <w:t>Delivering</w:t>
            </w:r>
            <w:r>
              <w:rPr>
                <w:spacing w:val="-1"/>
                <w:w w:val="105"/>
              </w:rPr>
              <w:t xml:space="preserve"> </w:t>
            </w:r>
            <w:r>
              <w:rPr>
                <w:w w:val="105"/>
              </w:rPr>
              <w:t>the</w:t>
            </w:r>
            <w:r>
              <w:rPr>
                <w:spacing w:val="-1"/>
                <w:w w:val="105"/>
              </w:rPr>
              <w:t xml:space="preserve"> </w:t>
            </w:r>
            <w:r>
              <w:rPr>
                <w:w w:val="105"/>
              </w:rPr>
              <w:t>first</w:t>
            </w:r>
            <w:r>
              <w:rPr>
                <w:spacing w:val="-1"/>
                <w:w w:val="105"/>
              </w:rPr>
              <w:t xml:space="preserve"> </w:t>
            </w:r>
            <w:r>
              <w:rPr>
                <w:w w:val="105"/>
              </w:rPr>
              <w:t>monitoring</w:t>
            </w:r>
            <w:r>
              <w:rPr>
                <w:spacing w:val="-1"/>
                <w:w w:val="105"/>
              </w:rPr>
              <w:t xml:space="preserve"> </w:t>
            </w:r>
            <w:r>
              <w:rPr>
                <w:w w:val="105"/>
              </w:rPr>
              <w:t>report</w:t>
            </w:r>
          </w:p>
        </w:tc>
      </w:tr>
      <w:tr w:rsidR="00782804" w14:paraId="42E6B36F" w14:textId="77777777" w:rsidTr="00782804">
        <w:trPr>
          <w:trHeight w:val="1792"/>
        </w:trPr>
        <w:tc>
          <w:tcPr>
            <w:tcW w:w="4395" w:type="dxa"/>
            <w:tcBorders>
              <w:bottom w:val="nil"/>
              <w:right w:val="nil"/>
            </w:tcBorders>
          </w:tcPr>
          <w:p w14:paraId="36020274" w14:textId="77777777" w:rsidR="00782804" w:rsidRDefault="00782804" w:rsidP="00782804">
            <w:pPr>
              <w:pStyle w:val="TableText"/>
            </w:pPr>
            <w:r>
              <w:t>Providing</w:t>
            </w:r>
            <w:r>
              <w:rPr>
                <w:spacing w:val="8"/>
              </w:rPr>
              <w:t xml:space="preserve"> </w:t>
            </w:r>
            <w:r>
              <w:t>better</w:t>
            </w:r>
            <w:r>
              <w:rPr>
                <w:spacing w:val="8"/>
              </w:rPr>
              <w:t xml:space="preserve"> </w:t>
            </w:r>
            <w:r>
              <w:t>quality,</w:t>
            </w:r>
            <w:r>
              <w:rPr>
                <w:spacing w:val="8"/>
              </w:rPr>
              <w:t xml:space="preserve"> </w:t>
            </w:r>
            <w:r>
              <w:t>more</w:t>
            </w:r>
            <w:r>
              <w:rPr>
                <w:spacing w:val="8"/>
              </w:rPr>
              <w:t xml:space="preserve"> </w:t>
            </w:r>
            <w:r>
              <w:t>connected</w:t>
            </w:r>
            <w:r>
              <w:rPr>
                <w:spacing w:val="8"/>
              </w:rPr>
              <w:t xml:space="preserve"> </w:t>
            </w:r>
            <w:r>
              <w:t>data</w:t>
            </w:r>
          </w:p>
        </w:tc>
        <w:tc>
          <w:tcPr>
            <w:tcW w:w="4695" w:type="dxa"/>
            <w:tcBorders>
              <w:left w:val="nil"/>
              <w:bottom w:val="nil"/>
            </w:tcBorders>
          </w:tcPr>
          <w:p w14:paraId="0624EBCB" w14:textId="77777777" w:rsidR="00782804" w:rsidRPr="00782804" w:rsidRDefault="00782804" w:rsidP="00782804">
            <w:pPr>
              <w:pStyle w:val="TableText"/>
            </w:pPr>
            <w:r w:rsidRPr="00782804">
              <w:t>CanShare</w:t>
            </w:r>
          </w:p>
          <w:p w14:paraId="3CFA16CA" w14:textId="77777777" w:rsidR="00782804" w:rsidRPr="00782804" w:rsidRDefault="00782804" w:rsidP="00782804">
            <w:pPr>
              <w:pStyle w:val="TableText"/>
            </w:pPr>
            <w:r w:rsidRPr="00782804">
              <w:t xml:space="preserve">Anti-Cancer Therapies – Nationally </w:t>
            </w:r>
          </w:p>
          <w:p w14:paraId="4C04501D" w14:textId="77777777" w:rsidR="00782804" w:rsidRPr="00782804" w:rsidRDefault="00782804" w:rsidP="00782804">
            <w:pPr>
              <w:pStyle w:val="TableText"/>
            </w:pPr>
            <w:r w:rsidRPr="00782804">
              <w:t xml:space="preserve">Organised Workstreams </w:t>
            </w:r>
          </w:p>
          <w:p w14:paraId="51768171" w14:textId="61491700" w:rsidR="00782804" w:rsidRPr="00782804" w:rsidRDefault="00782804" w:rsidP="00782804">
            <w:pPr>
              <w:pStyle w:val="TableText"/>
            </w:pPr>
            <w:r w:rsidRPr="00782804">
              <w:t>Structured pathology</w:t>
            </w:r>
          </w:p>
          <w:p w14:paraId="0BAC54E3" w14:textId="77777777" w:rsidR="00782804" w:rsidRPr="00782804" w:rsidRDefault="00782804" w:rsidP="00782804">
            <w:pPr>
              <w:pStyle w:val="TableText"/>
            </w:pPr>
            <w:r w:rsidRPr="00782804">
              <w:t xml:space="preserve">National radiation oncology collection </w:t>
            </w:r>
          </w:p>
          <w:p w14:paraId="7C182D89" w14:textId="77777777" w:rsidR="00782804" w:rsidRPr="00782804" w:rsidRDefault="00782804" w:rsidP="00782804">
            <w:pPr>
              <w:pStyle w:val="TableText"/>
            </w:pPr>
            <w:r w:rsidRPr="00782804">
              <w:t xml:space="preserve">Faster cancer treatment reporting </w:t>
            </w:r>
          </w:p>
          <w:p w14:paraId="4A50BCD1" w14:textId="6D41459B" w:rsidR="00782804" w:rsidRPr="00782804" w:rsidRDefault="00782804" w:rsidP="00782804">
            <w:pPr>
              <w:pStyle w:val="TableText"/>
            </w:pPr>
            <w:r w:rsidRPr="00782804">
              <w:t>HISO standards</w:t>
            </w:r>
          </w:p>
          <w:p w14:paraId="166885EE" w14:textId="77777777" w:rsidR="00782804" w:rsidRDefault="00782804" w:rsidP="00782804">
            <w:pPr>
              <w:pStyle w:val="TableText"/>
            </w:pPr>
            <w:r w:rsidRPr="00782804">
              <w:t>Collaboration across data and digital health</w:t>
            </w:r>
          </w:p>
        </w:tc>
      </w:tr>
      <w:tr w:rsidR="00782804" w14:paraId="39ABE8C0" w14:textId="77777777" w:rsidTr="00782804">
        <w:trPr>
          <w:trHeight w:val="348"/>
        </w:trPr>
        <w:tc>
          <w:tcPr>
            <w:tcW w:w="9090" w:type="dxa"/>
            <w:gridSpan w:val="2"/>
            <w:tcBorders>
              <w:top w:val="nil"/>
              <w:bottom w:val="nil"/>
            </w:tcBorders>
            <w:shd w:val="clear" w:color="auto" w:fill="D9D9D9" w:themeFill="background1" w:themeFillShade="D9"/>
          </w:tcPr>
          <w:p w14:paraId="277E771A" w14:textId="77777777" w:rsidR="00782804" w:rsidRPr="00782804" w:rsidRDefault="00782804" w:rsidP="00782804">
            <w:pPr>
              <w:pStyle w:val="TableText"/>
              <w:rPr>
                <w:b/>
                <w:bCs/>
              </w:rPr>
            </w:pPr>
            <w:r w:rsidRPr="00782804">
              <w:rPr>
                <w:b/>
                <w:bCs/>
                <w:w w:val="110"/>
              </w:rPr>
              <w:t>New</w:t>
            </w:r>
            <w:r w:rsidRPr="00782804">
              <w:rPr>
                <w:b/>
                <w:bCs/>
                <w:spacing w:val="-15"/>
                <w:w w:val="110"/>
              </w:rPr>
              <w:t xml:space="preserve"> </w:t>
            </w:r>
            <w:r w:rsidRPr="00782804">
              <w:rPr>
                <w:b/>
                <w:bCs/>
                <w:w w:val="110"/>
              </w:rPr>
              <w:t>Zealanders</w:t>
            </w:r>
            <w:r w:rsidRPr="00782804">
              <w:rPr>
                <w:b/>
                <w:bCs/>
                <w:spacing w:val="-14"/>
                <w:w w:val="110"/>
              </w:rPr>
              <w:t xml:space="preserve"> </w:t>
            </w:r>
            <w:r w:rsidRPr="00782804">
              <w:rPr>
                <w:b/>
                <w:bCs/>
                <w:w w:val="110"/>
              </w:rPr>
              <w:t>have</w:t>
            </w:r>
            <w:r w:rsidRPr="00782804">
              <w:rPr>
                <w:b/>
                <w:bCs/>
                <w:spacing w:val="-14"/>
                <w:w w:val="110"/>
              </w:rPr>
              <w:t xml:space="preserve"> </w:t>
            </w:r>
            <w:r w:rsidRPr="00782804">
              <w:rPr>
                <w:b/>
                <w:bCs/>
                <w:w w:val="110"/>
              </w:rPr>
              <w:t>fewer</w:t>
            </w:r>
            <w:r w:rsidRPr="00782804">
              <w:rPr>
                <w:b/>
                <w:bCs/>
                <w:spacing w:val="-14"/>
                <w:w w:val="110"/>
              </w:rPr>
              <w:t xml:space="preserve"> </w:t>
            </w:r>
            <w:r w:rsidRPr="00782804">
              <w:rPr>
                <w:b/>
                <w:bCs/>
                <w:w w:val="110"/>
              </w:rPr>
              <w:t>cancers</w:t>
            </w:r>
          </w:p>
        </w:tc>
      </w:tr>
      <w:tr w:rsidR="00782804" w14:paraId="047BD795" w14:textId="77777777" w:rsidTr="00782804">
        <w:trPr>
          <w:trHeight w:val="349"/>
        </w:trPr>
        <w:tc>
          <w:tcPr>
            <w:tcW w:w="4395" w:type="dxa"/>
            <w:tcBorders>
              <w:top w:val="nil"/>
              <w:bottom w:val="nil"/>
              <w:right w:val="nil"/>
            </w:tcBorders>
            <w:shd w:val="clear" w:color="auto" w:fill="F2F2F2" w:themeFill="background1" w:themeFillShade="F2"/>
          </w:tcPr>
          <w:p w14:paraId="130CF275" w14:textId="77777777" w:rsidR="00782804" w:rsidRPr="00782804" w:rsidRDefault="00782804" w:rsidP="00782804">
            <w:pPr>
              <w:pStyle w:val="TableText"/>
              <w:rPr>
                <w:b/>
                <w:bCs/>
              </w:rPr>
            </w:pPr>
            <w:r w:rsidRPr="00782804">
              <w:rPr>
                <w:b/>
                <w:bCs/>
                <w:w w:val="105"/>
              </w:rPr>
              <w:t>Te Aho o</w:t>
            </w:r>
            <w:r w:rsidRPr="00782804">
              <w:rPr>
                <w:b/>
                <w:bCs/>
                <w:spacing w:val="1"/>
                <w:w w:val="105"/>
              </w:rPr>
              <w:t xml:space="preserve"> </w:t>
            </w:r>
            <w:r w:rsidRPr="00782804">
              <w:rPr>
                <w:b/>
                <w:bCs/>
                <w:w w:val="105"/>
              </w:rPr>
              <w:t>Te Kahu</w:t>
            </w:r>
            <w:r w:rsidRPr="00782804">
              <w:rPr>
                <w:b/>
                <w:bCs/>
                <w:spacing w:val="1"/>
                <w:w w:val="105"/>
              </w:rPr>
              <w:t xml:space="preserve"> </w:t>
            </w:r>
            <w:r w:rsidRPr="00782804">
              <w:rPr>
                <w:b/>
                <w:bCs/>
                <w:w w:val="105"/>
              </w:rPr>
              <w:t>priorities</w:t>
            </w:r>
          </w:p>
        </w:tc>
        <w:tc>
          <w:tcPr>
            <w:tcW w:w="4695" w:type="dxa"/>
            <w:tcBorders>
              <w:top w:val="nil"/>
              <w:left w:val="nil"/>
              <w:bottom w:val="nil"/>
            </w:tcBorders>
            <w:shd w:val="clear" w:color="auto" w:fill="F2F2F2" w:themeFill="background1" w:themeFillShade="F2"/>
          </w:tcPr>
          <w:p w14:paraId="72BE2AC6" w14:textId="77777777" w:rsidR="00782804" w:rsidRPr="00782804" w:rsidRDefault="00782804" w:rsidP="00782804">
            <w:pPr>
              <w:pStyle w:val="TableText"/>
              <w:rPr>
                <w:b/>
                <w:bCs/>
              </w:rPr>
            </w:pPr>
            <w:r w:rsidRPr="00782804">
              <w:rPr>
                <w:b/>
                <w:bCs/>
                <w:w w:val="105"/>
              </w:rPr>
              <w:t>Te</w:t>
            </w:r>
            <w:r w:rsidRPr="00782804">
              <w:rPr>
                <w:b/>
                <w:bCs/>
                <w:spacing w:val="-7"/>
                <w:w w:val="105"/>
              </w:rPr>
              <w:t xml:space="preserve"> </w:t>
            </w:r>
            <w:r w:rsidRPr="00782804">
              <w:rPr>
                <w:b/>
                <w:bCs/>
                <w:w w:val="105"/>
              </w:rPr>
              <w:t>Aho</w:t>
            </w:r>
            <w:r w:rsidRPr="00782804">
              <w:rPr>
                <w:b/>
                <w:bCs/>
                <w:spacing w:val="-7"/>
                <w:w w:val="105"/>
              </w:rPr>
              <w:t xml:space="preserve"> </w:t>
            </w:r>
            <w:r w:rsidRPr="00782804">
              <w:rPr>
                <w:b/>
                <w:bCs/>
                <w:w w:val="105"/>
              </w:rPr>
              <w:t>o</w:t>
            </w:r>
            <w:r w:rsidRPr="00782804">
              <w:rPr>
                <w:b/>
                <w:bCs/>
                <w:spacing w:val="-7"/>
                <w:w w:val="105"/>
              </w:rPr>
              <w:t xml:space="preserve"> </w:t>
            </w:r>
            <w:r w:rsidRPr="00782804">
              <w:rPr>
                <w:b/>
                <w:bCs/>
                <w:w w:val="105"/>
              </w:rPr>
              <w:t>Te</w:t>
            </w:r>
            <w:r w:rsidRPr="00782804">
              <w:rPr>
                <w:b/>
                <w:bCs/>
                <w:spacing w:val="-6"/>
                <w:w w:val="105"/>
              </w:rPr>
              <w:t xml:space="preserve"> </w:t>
            </w:r>
            <w:r w:rsidRPr="00782804">
              <w:rPr>
                <w:b/>
                <w:bCs/>
                <w:w w:val="105"/>
              </w:rPr>
              <w:t>Kahu</w:t>
            </w:r>
            <w:r w:rsidRPr="00782804">
              <w:rPr>
                <w:b/>
                <w:bCs/>
                <w:spacing w:val="-7"/>
                <w:w w:val="105"/>
              </w:rPr>
              <w:t xml:space="preserve"> </w:t>
            </w:r>
            <w:r w:rsidRPr="00782804">
              <w:rPr>
                <w:b/>
                <w:bCs/>
                <w:w w:val="105"/>
              </w:rPr>
              <w:t>work</w:t>
            </w:r>
          </w:p>
        </w:tc>
      </w:tr>
      <w:tr w:rsidR="00782804" w14:paraId="71196661" w14:textId="77777777" w:rsidTr="00782804">
        <w:trPr>
          <w:trHeight w:val="1242"/>
        </w:trPr>
        <w:tc>
          <w:tcPr>
            <w:tcW w:w="4395" w:type="dxa"/>
            <w:tcBorders>
              <w:top w:val="nil"/>
              <w:bottom w:val="nil"/>
              <w:right w:val="nil"/>
            </w:tcBorders>
          </w:tcPr>
          <w:p w14:paraId="1E0A271A" w14:textId="77777777" w:rsidR="00782804" w:rsidRDefault="00782804" w:rsidP="00782804">
            <w:pPr>
              <w:pStyle w:val="TableText"/>
            </w:pPr>
            <w:r>
              <w:t>Achieving</w:t>
            </w:r>
            <w:r>
              <w:rPr>
                <w:spacing w:val="8"/>
              </w:rPr>
              <w:t xml:space="preserve"> </w:t>
            </w:r>
            <w:r>
              <w:t>fewer</w:t>
            </w:r>
            <w:r>
              <w:rPr>
                <w:spacing w:val="9"/>
              </w:rPr>
              <w:t xml:space="preserve"> </w:t>
            </w:r>
            <w:r>
              <w:t>cancers</w:t>
            </w:r>
            <w:r>
              <w:rPr>
                <w:spacing w:val="8"/>
              </w:rPr>
              <w:t xml:space="preserve"> </w:t>
            </w:r>
            <w:r>
              <w:t>through</w:t>
            </w:r>
            <w:r>
              <w:rPr>
                <w:spacing w:val="9"/>
              </w:rPr>
              <w:t xml:space="preserve"> </w:t>
            </w:r>
            <w:r>
              <w:t>a</w:t>
            </w:r>
            <w:r>
              <w:rPr>
                <w:spacing w:val="9"/>
              </w:rPr>
              <w:t xml:space="preserve"> </w:t>
            </w:r>
            <w:r>
              <w:t>focus</w:t>
            </w:r>
            <w:r>
              <w:rPr>
                <w:spacing w:val="8"/>
              </w:rPr>
              <w:t xml:space="preserve"> </w:t>
            </w:r>
            <w:r>
              <w:t>on</w:t>
            </w:r>
            <w:r>
              <w:rPr>
                <w:spacing w:val="-47"/>
              </w:rPr>
              <w:t xml:space="preserve"> </w:t>
            </w:r>
            <w:r>
              <w:t>prevention</w:t>
            </w:r>
          </w:p>
        </w:tc>
        <w:tc>
          <w:tcPr>
            <w:tcW w:w="4695" w:type="dxa"/>
            <w:tcBorders>
              <w:top w:val="nil"/>
              <w:left w:val="nil"/>
              <w:bottom w:val="nil"/>
            </w:tcBorders>
          </w:tcPr>
          <w:p w14:paraId="4C61F969" w14:textId="77777777" w:rsidR="00782804" w:rsidRPr="00782804" w:rsidRDefault="00782804" w:rsidP="00782804">
            <w:pPr>
              <w:pStyle w:val="TableText"/>
            </w:pPr>
            <w:r w:rsidRPr="00782804">
              <w:t xml:space="preserve">Cancer Prevention Report </w:t>
            </w:r>
          </w:p>
          <w:p w14:paraId="068ADE3A" w14:textId="4697E611" w:rsidR="00782804" w:rsidRPr="00782804" w:rsidRDefault="00782804" w:rsidP="00782804">
            <w:pPr>
              <w:pStyle w:val="TableText"/>
            </w:pPr>
            <w:r w:rsidRPr="00782804">
              <w:t>Cancer research</w:t>
            </w:r>
          </w:p>
          <w:p w14:paraId="187BF904" w14:textId="77777777" w:rsidR="00782804" w:rsidRPr="00782804" w:rsidRDefault="00782804" w:rsidP="00782804">
            <w:pPr>
              <w:pStyle w:val="TableText"/>
            </w:pPr>
            <w:r w:rsidRPr="00782804">
              <w:t>Primary health care project</w:t>
            </w:r>
          </w:p>
          <w:p w14:paraId="670CCCCB" w14:textId="77777777" w:rsidR="00782804" w:rsidRDefault="00782804" w:rsidP="00782804">
            <w:pPr>
              <w:pStyle w:val="TableText"/>
            </w:pPr>
            <w:r w:rsidRPr="00782804">
              <w:t>Advice for primary care</w:t>
            </w:r>
          </w:p>
        </w:tc>
      </w:tr>
      <w:tr w:rsidR="00782804" w14:paraId="2E5262CD" w14:textId="77777777" w:rsidTr="00782804">
        <w:trPr>
          <w:trHeight w:val="348"/>
        </w:trPr>
        <w:tc>
          <w:tcPr>
            <w:tcW w:w="9090" w:type="dxa"/>
            <w:gridSpan w:val="2"/>
            <w:tcBorders>
              <w:top w:val="nil"/>
              <w:bottom w:val="nil"/>
            </w:tcBorders>
            <w:shd w:val="clear" w:color="auto" w:fill="D9D9D9" w:themeFill="background1" w:themeFillShade="D9"/>
          </w:tcPr>
          <w:p w14:paraId="767980E2" w14:textId="77777777" w:rsidR="00782804" w:rsidRPr="00782804" w:rsidRDefault="00782804" w:rsidP="00782804">
            <w:pPr>
              <w:pStyle w:val="TableText"/>
              <w:rPr>
                <w:b/>
                <w:bCs/>
              </w:rPr>
            </w:pPr>
            <w:r w:rsidRPr="00782804">
              <w:rPr>
                <w:b/>
                <w:bCs/>
                <w:w w:val="110"/>
              </w:rPr>
              <w:t>New</w:t>
            </w:r>
            <w:r w:rsidRPr="00782804">
              <w:rPr>
                <w:b/>
                <w:bCs/>
                <w:spacing w:val="-11"/>
                <w:w w:val="110"/>
              </w:rPr>
              <w:t xml:space="preserve"> </w:t>
            </w:r>
            <w:r w:rsidRPr="00782804">
              <w:rPr>
                <w:b/>
                <w:bCs/>
                <w:w w:val="110"/>
              </w:rPr>
              <w:t>Zealanders</w:t>
            </w:r>
            <w:r w:rsidRPr="00782804">
              <w:rPr>
                <w:b/>
                <w:bCs/>
                <w:spacing w:val="-10"/>
                <w:w w:val="110"/>
              </w:rPr>
              <w:t xml:space="preserve"> </w:t>
            </w:r>
            <w:r w:rsidRPr="00782804">
              <w:rPr>
                <w:b/>
                <w:bCs/>
                <w:w w:val="110"/>
              </w:rPr>
              <w:t>have</w:t>
            </w:r>
            <w:r w:rsidRPr="00782804">
              <w:rPr>
                <w:b/>
                <w:bCs/>
                <w:spacing w:val="-10"/>
                <w:w w:val="110"/>
              </w:rPr>
              <w:t xml:space="preserve"> </w:t>
            </w:r>
            <w:r w:rsidRPr="00782804">
              <w:rPr>
                <w:b/>
                <w:bCs/>
                <w:w w:val="110"/>
              </w:rPr>
              <w:t>better</w:t>
            </w:r>
            <w:r w:rsidRPr="00782804">
              <w:rPr>
                <w:b/>
                <w:bCs/>
                <w:spacing w:val="-10"/>
                <w:w w:val="110"/>
              </w:rPr>
              <w:t xml:space="preserve"> </w:t>
            </w:r>
            <w:r w:rsidRPr="00782804">
              <w:rPr>
                <w:b/>
                <w:bCs/>
                <w:w w:val="110"/>
              </w:rPr>
              <w:t>cancer</w:t>
            </w:r>
            <w:r w:rsidRPr="00782804">
              <w:rPr>
                <w:b/>
                <w:bCs/>
                <w:spacing w:val="-10"/>
                <w:w w:val="110"/>
              </w:rPr>
              <w:t xml:space="preserve"> </w:t>
            </w:r>
            <w:r w:rsidRPr="00782804">
              <w:rPr>
                <w:b/>
                <w:bCs/>
                <w:w w:val="110"/>
              </w:rPr>
              <w:t>survival</w:t>
            </w:r>
          </w:p>
        </w:tc>
      </w:tr>
      <w:tr w:rsidR="00782804" w14:paraId="2DE9392F" w14:textId="77777777" w:rsidTr="00782804">
        <w:trPr>
          <w:trHeight w:val="349"/>
        </w:trPr>
        <w:tc>
          <w:tcPr>
            <w:tcW w:w="4395" w:type="dxa"/>
            <w:tcBorders>
              <w:top w:val="nil"/>
              <w:bottom w:val="nil"/>
              <w:right w:val="nil"/>
            </w:tcBorders>
            <w:shd w:val="clear" w:color="auto" w:fill="F2F2F2" w:themeFill="background1" w:themeFillShade="F2"/>
          </w:tcPr>
          <w:p w14:paraId="29A52053" w14:textId="77777777" w:rsidR="00782804" w:rsidRPr="00782804" w:rsidRDefault="00782804" w:rsidP="00782804">
            <w:pPr>
              <w:pStyle w:val="TableText"/>
              <w:rPr>
                <w:b/>
                <w:bCs/>
              </w:rPr>
            </w:pPr>
            <w:r w:rsidRPr="00782804">
              <w:rPr>
                <w:b/>
                <w:bCs/>
                <w:w w:val="105"/>
              </w:rPr>
              <w:t>Te Aho o</w:t>
            </w:r>
            <w:r w:rsidRPr="00782804">
              <w:rPr>
                <w:b/>
                <w:bCs/>
                <w:spacing w:val="1"/>
                <w:w w:val="105"/>
              </w:rPr>
              <w:t xml:space="preserve"> </w:t>
            </w:r>
            <w:r w:rsidRPr="00782804">
              <w:rPr>
                <w:b/>
                <w:bCs/>
                <w:w w:val="105"/>
              </w:rPr>
              <w:t>Te Kahu</w:t>
            </w:r>
            <w:r w:rsidRPr="00782804">
              <w:rPr>
                <w:b/>
                <w:bCs/>
                <w:spacing w:val="1"/>
                <w:w w:val="105"/>
              </w:rPr>
              <w:t xml:space="preserve"> </w:t>
            </w:r>
            <w:r w:rsidRPr="00782804">
              <w:rPr>
                <w:b/>
                <w:bCs/>
                <w:w w:val="105"/>
              </w:rPr>
              <w:t>priorities</w:t>
            </w:r>
          </w:p>
        </w:tc>
        <w:tc>
          <w:tcPr>
            <w:tcW w:w="4695" w:type="dxa"/>
            <w:tcBorders>
              <w:top w:val="nil"/>
              <w:left w:val="nil"/>
              <w:bottom w:val="nil"/>
            </w:tcBorders>
            <w:shd w:val="clear" w:color="auto" w:fill="F2F2F2" w:themeFill="background1" w:themeFillShade="F2"/>
          </w:tcPr>
          <w:p w14:paraId="3ED5DF6D" w14:textId="77777777" w:rsidR="00782804" w:rsidRPr="00782804" w:rsidRDefault="00782804" w:rsidP="00782804">
            <w:pPr>
              <w:pStyle w:val="TableText"/>
              <w:rPr>
                <w:b/>
                <w:bCs/>
              </w:rPr>
            </w:pPr>
            <w:r w:rsidRPr="00782804">
              <w:rPr>
                <w:b/>
                <w:bCs/>
                <w:w w:val="105"/>
              </w:rPr>
              <w:t>Te</w:t>
            </w:r>
            <w:r w:rsidRPr="00782804">
              <w:rPr>
                <w:b/>
                <w:bCs/>
                <w:spacing w:val="-7"/>
                <w:w w:val="105"/>
              </w:rPr>
              <w:t xml:space="preserve"> </w:t>
            </w:r>
            <w:r w:rsidRPr="00782804">
              <w:rPr>
                <w:b/>
                <w:bCs/>
                <w:w w:val="105"/>
              </w:rPr>
              <w:t>Aho</w:t>
            </w:r>
            <w:r w:rsidRPr="00782804">
              <w:rPr>
                <w:b/>
                <w:bCs/>
                <w:spacing w:val="-7"/>
                <w:w w:val="105"/>
              </w:rPr>
              <w:t xml:space="preserve"> </w:t>
            </w:r>
            <w:r w:rsidRPr="00782804">
              <w:rPr>
                <w:b/>
                <w:bCs/>
                <w:w w:val="105"/>
              </w:rPr>
              <w:t>o</w:t>
            </w:r>
            <w:r w:rsidRPr="00782804">
              <w:rPr>
                <w:b/>
                <w:bCs/>
                <w:spacing w:val="-7"/>
                <w:w w:val="105"/>
              </w:rPr>
              <w:t xml:space="preserve"> </w:t>
            </w:r>
            <w:r w:rsidRPr="00782804">
              <w:rPr>
                <w:b/>
                <w:bCs/>
                <w:w w:val="105"/>
              </w:rPr>
              <w:t>Te</w:t>
            </w:r>
            <w:r w:rsidRPr="00782804">
              <w:rPr>
                <w:b/>
                <w:bCs/>
                <w:spacing w:val="-6"/>
                <w:w w:val="105"/>
              </w:rPr>
              <w:t xml:space="preserve"> </w:t>
            </w:r>
            <w:r w:rsidRPr="00782804">
              <w:rPr>
                <w:b/>
                <w:bCs/>
                <w:w w:val="105"/>
              </w:rPr>
              <w:t>Kahu</w:t>
            </w:r>
            <w:r w:rsidRPr="00782804">
              <w:rPr>
                <w:b/>
                <w:bCs/>
                <w:spacing w:val="-7"/>
                <w:w w:val="105"/>
              </w:rPr>
              <w:t xml:space="preserve"> </w:t>
            </w:r>
            <w:r w:rsidRPr="00782804">
              <w:rPr>
                <w:b/>
                <w:bCs/>
                <w:w w:val="105"/>
              </w:rPr>
              <w:t>work</w:t>
            </w:r>
          </w:p>
        </w:tc>
      </w:tr>
      <w:tr w:rsidR="00782804" w14:paraId="6646EA09" w14:textId="77777777" w:rsidTr="00782804">
        <w:trPr>
          <w:trHeight w:val="925"/>
        </w:trPr>
        <w:tc>
          <w:tcPr>
            <w:tcW w:w="4395" w:type="dxa"/>
            <w:tcBorders>
              <w:top w:val="nil"/>
              <w:bottom w:val="nil"/>
              <w:right w:val="nil"/>
            </w:tcBorders>
          </w:tcPr>
          <w:p w14:paraId="674378B8" w14:textId="77777777" w:rsidR="00782804" w:rsidRDefault="00782804" w:rsidP="00782804">
            <w:pPr>
              <w:pStyle w:val="TableText"/>
            </w:pPr>
            <w:r>
              <w:rPr>
                <w:w w:val="105"/>
              </w:rPr>
              <w:t>Improving</w:t>
            </w:r>
            <w:r>
              <w:rPr>
                <w:spacing w:val="-6"/>
                <w:w w:val="105"/>
              </w:rPr>
              <w:t xml:space="preserve"> </w:t>
            </w:r>
            <w:r>
              <w:rPr>
                <w:w w:val="105"/>
              </w:rPr>
              <w:t>cancer</w:t>
            </w:r>
            <w:r>
              <w:rPr>
                <w:spacing w:val="-6"/>
                <w:w w:val="105"/>
              </w:rPr>
              <w:t xml:space="preserve"> </w:t>
            </w:r>
            <w:r>
              <w:rPr>
                <w:w w:val="105"/>
              </w:rPr>
              <w:t>survival</w:t>
            </w:r>
          </w:p>
        </w:tc>
        <w:tc>
          <w:tcPr>
            <w:tcW w:w="4695" w:type="dxa"/>
            <w:tcBorders>
              <w:top w:val="nil"/>
              <w:left w:val="nil"/>
              <w:bottom w:val="nil"/>
            </w:tcBorders>
          </w:tcPr>
          <w:p w14:paraId="46ADE024" w14:textId="77777777" w:rsidR="00782804" w:rsidRDefault="00782804" w:rsidP="00782804">
            <w:pPr>
              <w:pStyle w:val="TableText"/>
              <w:rPr>
                <w:spacing w:val="1"/>
                <w:w w:val="105"/>
              </w:rPr>
            </w:pPr>
            <w:r>
              <w:rPr>
                <w:w w:val="105"/>
              </w:rPr>
              <w:t>Quality improvement programme</w:t>
            </w:r>
            <w:r>
              <w:rPr>
                <w:spacing w:val="1"/>
                <w:w w:val="105"/>
              </w:rPr>
              <w:t xml:space="preserve"> </w:t>
            </w:r>
          </w:p>
          <w:p w14:paraId="2536B488" w14:textId="77777777" w:rsidR="00782804" w:rsidRDefault="00782804" w:rsidP="00782804">
            <w:pPr>
              <w:pStyle w:val="TableText"/>
              <w:rPr>
                <w:spacing w:val="-49"/>
                <w:w w:val="105"/>
              </w:rPr>
            </w:pPr>
            <w:r>
              <w:rPr>
                <w:w w:val="105"/>
              </w:rPr>
              <w:t>Cancer</w:t>
            </w:r>
            <w:r>
              <w:rPr>
                <w:spacing w:val="-9"/>
                <w:w w:val="105"/>
              </w:rPr>
              <w:t xml:space="preserve"> </w:t>
            </w:r>
            <w:r>
              <w:rPr>
                <w:w w:val="105"/>
              </w:rPr>
              <w:t>medicines</w:t>
            </w:r>
            <w:r>
              <w:rPr>
                <w:spacing w:val="-9"/>
                <w:w w:val="105"/>
              </w:rPr>
              <w:t xml:space="preserve"> </w:t>
            </w:r>
            <w:r>
              <w:rPr>
                <w:w w:val="105"/>
              </w:rPr>
              <w:t>availability</w:t>
            </w:r>
            <w:r>
              <w:rPr>
                <w:spacing w:val="-9"/>
                <w:w w:val="105"/>
              </w:rPr>
              <w:t xml:space="preserve"> </w:t>
            </w:r>
            <w:r>
              <w:rPr>
                <w:w w:val="105"/>
              </w:rPr>
              <w:t>analysis</w:t>
            </w:r>
            <w:r>
              <w:rPr>
                <w:spacing w:val="-49"/>
                <w:w w:val="105"/>
              </w:rPr>
              <w:t xml:space="preserve"> </w:t>
            </w:r>
          </w:p>
          <w:p w14:paraId="227B10F9" w14:textId="177CAE48" w:rsidR="00782804" w:rsidRDefault="00782804" w:rsidP="00782804">
            <w:pPr>
              <w:pStyle w:val="TableText"/>
            </w:pPr>
            <w:r>
              <w:rPr>
                <w:w w:val="105"/>
              </w:rPr>
              <w:t>Clinical</w:t>
            </w:r>
            <w:r>
              <w:rPr>
                <w:spacing w:val="-4"/>
                <w:w w:val="105"/>
              </w:rPr>
              <w:t xml:space="preserve"> </w:t>
            </w:r>
            <w:r>
              <w:rPr>
                <w:w w:val="105"/>
              </w:rPr>
              <w:t>trials</w:t>
            </w:r>
          </w:p>
        </w:tc>
      </w:tr>
      <w:tr w:rsidR="00782804" w14:paraId="4B5D6C45" w14:textId="77777777" w:rsidTr="00782804">
        <w:trPr>
          <w:trHeight w:val="348"/>
        </w:trPr>
        <w:tc>
          <w:tcPr>
            <w:tcW w:w="9090" w:type="dxa"/>
            <w:gridSpan w:val="2"/>
            <w:tcBorders>
              <w:top w:val="nil"/>
              <w:bottom w:val="nil"/>
            </w:tcBorders>
            <w:shd w:val="clear" w:color="auto" w:fill="D9D9D9" w:themeFill="background1" w:themeFillShade="D9"/>
          </w:tcPr>
          <w:p w14:paraId="498D4358" w14:textId="77777777" w:rsidR="00782804" w:rsidRPr="00782804" w:rsidRDefault="00782804" w:rsidP="00782804">
            <w:pPr>
              <w:pStyle w:val="TableText"/>
              <w:rPr>
                <w:b/>
                <w:bCs/>
              </w:rPr>
            </w:pPr>
            <w:r w:rsidRPr="00782804">
              <w:rPr>
                <w:b/>
                <w:bCs/>
                <w:w w:val="110"/>
              </w:rPr>
              <w:t>New</w:t>
            </w:r>
            <w:r w:rsidRPr="00782804">
              <w:rPr>
                <w:b/>
                <w:bCs/>
                <w:spacing w:val="-14"/>
                <w:w w:val="110"/>
              </w:rPr>
              <w:t xml:space="preserve"> </w:t>
            </w:r>
            <w:r w:rsidRPr="00782804">
              <w:rPr>
                <w:b/>
                <w:bCs/>
                <w:w w:val="110"/>
              </w:rPr>
              <w:t>Zealanders</w:t>
            </w:r>
            <w:r w:rsidRPr="00782804">
              <w:rPr>
                <w:b/>
                <w:bCs/>
                <w:spacing w:val="-13"/>
                <w:w w:val="110"/>
              </w:rPr>
              <w:t xml:space="preserve"> </w:t>
            </w:r>
            <w:r w:rsidRPr="00782804">
              <w:rPr>
                <w:b/>
                <w:bCs/>
                <w:w w:val="110"/>
              </w:rPr>
              <w:t>experience</w:t>
            </w:r>
            <w:r w:rsidRPr="00782804">
              <w:rPr>
                <w:b/>
                <w:bCs/>
                <w:spacing w:val="-13"/>
                <w:w w:val="110"/>
              </w:rPr>
              <w:t xml:space="preserve"> </w:t>
            </w:r>
            <w:r w:rsidRPr="00782804">
              <w:rPr>
                <w:b/>
                <w:bCs/>
                <w:w w:val="110"/>
              </w:rPr>
              <w:t>equitable</w:t>
            </w:r>
            <w:r w:rsidRPr="00782804">
              <w:rPr>
                <w:b/>
                <w:bCs/>
                <w:spacing w:val="-14"/>
                <w:w w:val="110"/>
              </w:rPr>
              <w:t xml:space="preserve"> </w:t>
            </w:r>
            <w:r w:rsidRPr="00782804">
              <w:rPr>
                <w:b/>
                <w:bCs/>
                <w:w w:val="110"/>
              </w:rPr>
              <w:t>cancer</w:t>
            </w:r>
            <w:r w:rsidRPr="00782804">
              <w:rPr>
                <w:b/>
                <w:bCs/>
                <w:spacing w:val="-13"/>
                <w:w w:val="110"/>
              </w:rPr>
              <w:t xml:space="preserve"> </w:t>
            </w:r>
            <w:r w:rsidRPr="00782804">
              <w:rPr>
                <w:b/>
                <w:bCs/>
                <w:w w:val="110"/>
              </w:rPr>
              <w:t>outcomes</w:t>
            </w:r>
          </w:p>
        </w:tc>
      </w:tr>
      <w:tr w:rsidR="00782804" w14:paraId="39DAC6AB" w14:textId="77777777" w:rsidTr="00782804">
        <w:trPr>
          <w:trHeight w:val="348"/>
        </w:trPr>
        <w:tc>
          <w:tcPr>
            <w:tcW w:w="4395" w:type="dxa"/>
            <w:tcBorders>
              <w:top w:val="nil"/>
              <w:bottom w:val="nil"/>
              <w:right w:val="nil"/>
            </w:tcBorders>
            <w:shd w:val="clear" w:color="auto" w:fill="F2F2F2" w:themeFill="background1" w:themeFillShade="F2"/>
          </w:tcPr>
          <w:p w14:paraId="5A0F8315" w14:textId="77777777" w:rsidR="00782804" w:rsidRPr="00782804" w:rsidRDefault="00782804" w:rsidP="00782804">
            <w:pPr>
              <w:pStyle w:val="TableText"/>
              <w:rPr>
                <w:b/>
                <w:bCs/>
              </w:rPr>
            </w:pPr>
            <w:r w:rsidRPr="00782804">
              <w:rPr>
                <w:b/>
                <w:bCs/>
                <w:w w:val="105"/>
              </w:rPr>
              <w:t>Te Aho o</w:t>
            </w:r>
            <w:r w:rsidRPr="00782804">
              <w:rPr>
                <w:b/>
                <w:bCs/>
                <w:spacing w:val="1"/>
                <w:w w:val="105"/>
              </w:rPr>
              <w:t xml:space="preserve"> </w:t>
            </w:r>
            <w:r w:rsidRPr="00782804">
              <w:rPr>
                <w:b/>
                <w:bCs/>
                <w:w w:val="105"/>
              </w:rPr>
              <w:t>Te Kahu</w:t>
            </w:r>
            <w:r w:rsidRPr="00782804">
              <w:rPr>
                <w:b/>
                <w:bCs/>
                <w:spacing w:val="1"/>
                <w:w w:val="105"/>
              </w:rPr>
              <w:t xml:space="preserve"> </w:t>
            </w:r>
            <w:r w:rsidRPr="00782804">
              <w:rPr>
                <w:b/>
                <w:bCs/>
                <w:w w:val="105"/>
              </w:rPr>
              <w:t>priorities</w:t>
            </w:r>
          </w:p>
        </w:tc>
        <w:tc>
          <w:tcPr>
            <w:tcW w:w="4695" w:type="dxa"/>
            <w:tcBorders>
              <w:top w:val="nil"/>
              <w:left w:val="nil"/>
              <w:bottom w:val="nil"/>
            </w:tcBorders>
            <w:shd w:val="clear" w:color="auto" w:fill="F2F2F2" w:themeFill="background1" w:themeFillShade="F2"/>
          </w:tcPr>
          <w:p w14:paraId="2024ABAD" w14:textId="77777777" w:rsidR="00782804" w:rsidRPr="00782804" w:rsidRDefault="00782804" w:rsidP="00782804">
            <w:pPr>
              <w:pStyle w:val="TableText"/>
              <w:rPr>
                <w:b/>
                <w:bCs/>
              </w:rPr>
            </w:pPr>
            <w:r w:rsidRPr="00782804">
              <w:rPr>
                <w:b/>
                <w:bCs/>
                <w:w w:val="105"/>
              </w:rPr>
              <w:t>Te</w:t>
            </w:r>
            <w:r w:rsidRPr="00782804">
              <w:rPr>
                <w:b/>
                <w:bCs/>
                <w:spacing w:val="-7"/>
                <w:w w:val="105"/>
              </w:rPr>
              <w:t xml:space="preserve"> </w:t>
            </w:r>
            <w:r w:rsidRPr="00782804">
              <w:rPr>
                <w:b/>
                <w:bCs/>
                <w:w w:val="105"/>
              </w:rPr>
              <w:t>Aho</w:t>
            </w:r>
            <w:r w:rsidRPr="00782804">
              <w:rPr>
                <w:b/>
                <w:bCs/>
                <w:spacing w:val="-7"/>
                <w:w w:val="105"/>
              </w:rPr>
              <w:t xml:space="preserve"> </w:t>
            </w:r>
            <w:r w:rsidRPr="00782804">
              <w:rPr>
                <w:b/>
                <w:bCs/>
                <w:w w:val="105"/>
              </w:rPr>
              <w:t>o</w:t>
            </w:r>
            <w:r w:rsidRPr="00782804">
              <w:rPr>
                <w:b/>
                <w:bCs/>
                <w:spacing w:val="-7"/>
                <w:w w:val="105"/>
              </w:rPr>
              <w:t xml:space="preserve"> </w:t>
            </w:r>
            <w:r w:rsidRPr="00782804">
              <w:rPr>
                <w:b/>
                <w:bCs/>
                <w:w w:val="105"/>
              </w:rPr>
              <w:t>Te</w:t>
            </w:r>
            <w:r w:rsidRPr="00782804">
              <w:rPr>
                <w:b/>
                <w:bCs/>
                <w:spacing w:val="-6"/>
                <w:w w:val="105"/>
              </w:rPr>
              <w:t xml:space="preserve"> </w:t>
            </w:r>
            <w:r w:rsidRPr="00782804">
              <w:rPr>
                <w:b/>
                <w:bCs/>
                <w:w w:val="105"/>
              </w:rPr>
              <w:t>Kahu</w:t>
            </w:r>
            <w:r w:rsidRPr="00782804">
              <w:rPr>
                <w:b/>
                <w:bCs/>
                <w:spacing w:val="-7"/>
                <w:w w:val="105"/>
              </w:rPr>
              <w:t xml:space="preserve"> </w:t>
            </w:r>
            <w:r w:rsidRPr="00782804">
              <w:rPr>
                <w:b/>
                <w:bCs/>
                <w:w w:val="105"/>
              </w:rPr>
              <w:t>work</w:t>
            </w:r>
          </w:p>
        </w:tc>
      </w:tr>
      <w:tr w:rsidR="00782804" w14:paraId="35B3B67D" w14:textId="77777777" w:rsidTr="00782804">
        <w:trPr>
          <w:trHeight w:val="1550"/>
        </w:trPr>
        <w:tc>
          <w:tcPr>
            <w:tcW w:w="4395" w:type="dxa"/>
            <w:tcBorders>
              <w:top w:val="nil"/>
              <w:right w:val="nil"/>
            </w:tcBorders>
          </w:tcPr>
          <w:p w14:paraId="19045827" w14:textId="77777777" w:rsidR="00782804" w:rsidRDefault="00782804" w:rsidP="00782804">
            <w:pPr>
              <w:pStyle w:val="TableText"/>
            </w:pPr>
            <w:r>
              <w:t>Improving</w:t>
            </w:r>
            <w:r>
              <w:rPr>
                <w:spacing w:val="15"/>
              </w:rPr>
              <w:t xml:space="preserve"> </w:t>
            </w:r>
            <w:r>
              <w:t>equity</w:t>
            </w:r>
            <w:r>
              <w:rPr>
                <w:spacing w:val="16"/>
              </w:rPr>
              <w:t xml:space="preserve"> </w:t>
            </w:r>
            <w:r>
              <w:t>of</w:t>
            </w:r>
            <w:r>
              <w:rPr>
                <w:spacing w:val="15"/>
              </w:rPr>
              <w:t xml:space="preserve"> </w:t>
            </w:r>
            <w:r>
              <w:t>cancer</w:t>
            </w:r>
            <w:r>
              <w:rPr>
                <w:spacing w:val="16"/>
              </w:rPr>
              <w:t xml:space="preserve"> </w:t>
            </w:r>
            <w:r>
              <w:t>outcomes</w:t>
            </w:r>
          </w:p>
        </w:tc>
        <w:tc>
          <w:tcPr>
            <w:tcW w:w="4695" w:type="dxa"/>
            <w:tcBorders>
              <w:top w:val="nil"/>
              <w:left w:val="nil"/>
            </w:tcBorders>
          </w:tcPr>
          <w:p w14:paraId="4B9127C2" w14:textId="77777777" w:rsidR="00782804" w:rsidRDefault="00782804" w:rsidP="00782804">
            <w:pPr>
              <w:pStyle w:val="TableText"/>
              <w:rPr>
                <w:spacing w:val="1"/>
                <w:w w:val="105"/>
              </w:rPr>
            </w:pPr>
            <w:r>
              <w:rPr>
                <w:w w:val="105"/>
              </w:rPr>
              <w:t>Māori community hui</w:t>
            </w:r>
            <w:r>
              <w:rPr>
                <w:spacing w:val="1"/>
                <w:w w:val="105"/>
              </w:rPr>
              <w:t xml:space="preserve"> </w:t>
            </w:r>
          </w:p>
          <w:p w14:paraId="56B69553" w14:textId="3EB89DF9" w:rsidR="00782804" w:rsidRDefault="00782804" w:rsidP="00782804">
            <w:pPr>
              <w:pStyle w:val="TableText"/>
            </w:pPr>
            <w:r>
              <w:rPr>
                <w:spacing w:val="-1"/>
                <w:w w:val="105"/>
              </w:rPr>
              <w:t>Embedding</w:t>
            </w:r>
            <w:r>
              <w:rPr>
                <w:spacing w:val="-10"/>
                <w:w w:val="105"/>
              </w:rPr>
              <w:t xml:space="preserve"> </w:t>
            </w:r>
            <w:r>
              <w:rPr>
                <w:spacing w:val="-1"/>
                <w:w w:val="105"/>
              </w:rPr>
              <w:t>equity-led</w:t>
            </w:r>
            <w:r>
              <w:rPr>
                <w:spacing w:val="-9"/>
                <w:w w:val="105"/>
              </w:rPr>
              <w:t xml:space="preserve"> </w:t>
            </w:r>
            <w:r>
              <w:rPr>
                <w:w w:val="105"/>
              </w:rPr>
              <w:t>thinking</w:t>
            </w:r>
          </w:p>
          <w:p w14:paraId="358B8418" w14:textId="1AAF1033" w:rsidR="00782804" w:rsidRDefault="00782804" w:rsidP="00782804">
            <w:pPr>
              <w:pStyle w:val="TableText"/>
            </w:pPr>
            <w:r>
              <w:rPr>
                <w:spacing w:val="-1"/>
                <w:w w:val="105"/>
              </w:rPr>
              <w:t>Being</w:t>
            </w:r>
            <w:r>
              <w:rPr>
                <w:spacing w:val="-12"/>
                <w:w w:val="105"/>
              </w:rPr>
              <w:t xml:space="preserve"> </w:t>
            </w:r>
            <w:r>
              <w:rPr>
                <w:spacing w:val="-1"/>
                <w:w w:val="105"/>
              </w:rPr>
              <w:t>equity-led</w:t>
            </w:r>
            <w:r>
              <w:rPr>
                <w:spacing w:val="-12"/>
                <w:w w:val="105"/>
              </w:rPr>
              <w:t xml:space="preserve"> </w:t>
            </w:r>
            <w:r>
              <w:rPr>
                <w:w w:val="105"/>
              </w:rPr>
              <w:t>and</w:t>
            </w:r>
            <w:r>
              <w:rPr>
                <w:spacing w:val="-12"/>
                <w:w w:val="105"/>
              </w:rPr>
              <w:t xml:space="preserve"> </w:t>
            </w:r>
            <w:r>
              <w:rPr>
                <w:w w:val="105"/>
              </w:rPr>
              <w:t>whānau-centred</w:t>
            </w:r>
            <w:r>
              <w:rPr>
                <w:spacing w:val="-12"/>
                <w:w w:val="105"/>
              </w:rPr>
              <w:t xml:space="preserve"> </w:t>
            </w:r>
            <w:r>
              <w:rPr>
                <w:w w:val="105"/>
              </w:rPr>
              <w:t>with</w:t>
            </w:r>
            <w:r>
              <w:rPr>
                <w:spacing w:val="-49"/>
                <w:w w:val="105"/>
              </w:rPr>
              <w:t xml:space="preserve">  </w:t>
            </w:r>
            <w:r>
              <w:rPr>
                <w:w w:val="105"/>
              </w:rPr>
              <w:t>data</w:t>
            </w:r>
          </w:p>
          <w:p w14:paraId="4457589F" w14:textId="77777777" w:rsidR="00782804" w:rsidRDefault="00782804" w:rsidP="00782804">
            <w:pPr>
              <w:pStyle w:val="TableText"/>
            </w:pPr>
            <w:r>
              <w:t>Pacific</w:t>
            </w:r>
            <w:r>
              <w:rPr>
                <w:spacing w:val="12"/>
              </w:rPr>
              <w:t xml:space="preserve"> </w:t>
            </w:r>
            <w:r>
              <w:t>research</w:t>
            </w:r>
            <w:r>
              <w:rPr>
                <w:spacing w:val="12"/>
              </w:rPr>
              <w:t xml:space="preserve"> </w:t>
            </w:r>
            <w:r>
              <w:t>project</w:t>
            </w:r>
          </w:p>
          <w:p w14:paraId="65EFA5AC" w14:textId="64FD89F1" w:rsidR="00782804" w:rsidRDefault="00782804" w:rsidP="00782804">
            <w:pPr>
              <w:pStyle w:val="TableText"/>
            </w:pPr>
            <w:r>
              <w:rPr>
                <w:w w:val="105"/>
              </w:rPr>
              <w:t>Supporting equity-led work across the</w:t>
            </w:r>
            <w:r>
              <w:rPr>
                <w:spacing w:val="-50"/>
                <w:w w:val="105"/>
              </w:rPr>
              <w:t xml:space="preserve"> </w:t>
            </w:r>
            <w:r w:rsidR="00E773C3">
              <w:rPr>
                <w:spacing w:val="-50"/>
                <w:w w:val="105"/>
              </w:rPr>
              <w:t xml:space="preserve"> </w:t>
            </w:r>
            <w:r>
              <w:rPr>
                <w:w w:val="105"/>
              </w:rPr>
              <w:t>sector</w:t>
            </w:r>
          </w:p>
        </w:tc>
      </w:tr>
    </w:tbl>
    <w:p w14:paraId="6B342AED" w14:textId="77777777" w:rsidR="00782804" w:rsidRDefault="00782804" w:rsidP="00782804">
      <w:pPr>
        <w:rPr>
          <w:lang w:eastAsia="en-US"/>
        </w:rPr>
      </w:pPr>
    </w:p>
    <w:p w14:paraId="3382EE4F" w14:textId="77777777" w:rsidR="009A31A6" w:rsidRDefault="009A31A6" w:rsidP="00782804">
      <w:pPr>
        <w:rPr>
          <w:lang w:eastAsia="en-US"/>
        </w:rPr>
        <w:sectPr w:rsidR="009A31A6" w:rsidSect="00C26282">
          <w:pgSz w:w="11907" w:h="16840" w:code="9"/>
          <w:pgMar w:top="1418" w:right="1701" w:bottom="1134" w:left="1843" w:header="284" w:footer="425" w:gutter="284"/>
          <w:cols w:space="720"/>
        </w:sectPr>
      </w:pPr>
    </w:p>
    <w:p w14:paraId="53B1E595" w14:textId="5983B67D" w:rsidR="009A31A6" w:rsidRPr="009A31A6" w:rsidRDefault="00FE3443" w:rsidP="00DC739E">
      <w:pPr>
        <w:pStyle w:val="Heading2"/>
        <w:spacing w:before="0"/>
      </w:pPr>
      <w:bookmarkStart w:id="87" w:name="_Toc117264993"/>
      <w:r>
        <w:lastRenderedPageBreak/>
        <w:t>Ā</w:t>
      </w:r>
      <w:r w:rsidR="009A31A6" w:rsidRPr="009A31A6">
        <w:t xml:space="preserve"> mātou </w:t>
      </w:r>
      <w:r>
        <w:t>whakatutu</w:t>
      </w:r>
      <w:r w:rsidR="00371A1E">
        <w:t>kitanga</w:t>
      </w:r>
      <w:r w:rsidR="009A31A6" w:rsidRPr="009A31A6">
        <w:t xml:space="preserve"> | </w:t>
      </w:r>
      <w:r w:rsidR="009A31A6" w:rsidRPr="009A31A6">
        <w:rPr>
          <w:b w:val="0"/>
          <w:bCs/>
        </w:rPr>
        <w:t>What we have achieved</w:t>
      </w:r>
      <w:bookmarkEnd w:id="87"/>
    </w:p>
    <w:p w14:paraId="18538DB9" w14:textId="77777777" w:rsidR="00782804" w:rsidRDefault="009A31A6" w:rsidP="009A31A6">
      <w:pPr>
        <w:pStyle w:val="Heading4"/>
        <w:rPr>
          <w:sz w:val="36"/>
          <w:szCs w:val="36"/>
          <w:lang w:eastAsia="en-US"/>
        </w:rPr>
      </w:pPr>
      <w:r w:rsidRPr="009A31A6">
        <w:rPr>
          <w:b/>
          <w:bCs/>
          <w:sz w:val="36"/>
          <w:szCs w:val="36"/>
          <w:lang w:eastAsia="en-US"/>
        </w:rPr>
        <w:t xml:space="preserve">He pūnaha manaaki | </w:t>
      </w:r>
      <w:r w:rsidRPr="009A31A6">
        <w:rPr>
          <w:sz w:val="36"/>
          <w:szCs w:val="36"/>
          <w:lang w:eastAsia="en-US"/>
        </w:rPr>
        <w:t>Supporting a system that delivers consistent and modern care</w:t>
      </w:r>
    </w:p>
    <w:p w14:paraId="5F7292B0" w14:textId="77777777" w:rsidR="009A31A6" w:rsidRDefault="009A31A6" w:rsidP="009A31A6">
      <w:pPr>
        <w:pStyle w:val="Heading4"/>
        <w:rPr>
          <w:lang w:eastAsia="en-US"/>
        </w:rPr>
      </w:pPr>
      <w:r>
        <w:rPr>
          <w:lang w:eastAsia="en-US"/>
        </w:rPr>
        <w:t>Building a high-performing agency</w:t>
      </w:r>
    </w:p>
    <w:p w14:paraId="414587F4" w14:textId="082AFEE2" w:rsidR="009A31A6" w:rsidRDefault="009A31A6" w:rsidP="009A31A6">
      <w:pPr>
        <w:rPr>
          <w:lang w:eastAsia="en-US"/>
        </w:rPr>
      </w:pPr>
      <w:r>
        <w:rPr>
          <w:lang w:eastAsia="en-US"/>
        </w:rPr>
        <w:t>Te Aho o Te Kahu has a reputation, within Government and across the health and disability sector, for responsiveness and delivery. In the 2021/22 year, we continued to strengthen our relationships with stakeholders, grow our staff capabilities and support the wellbeing of our team around the motu – all during a challenging year of COVID-19 disruptions and health system reforms.</w:t>
      </w:r>
    </w:p>
    <w:p w14:paraId="7480D819" w14:textId="77777777" w:rsidR="009A31A6" w:rsidRDefault="009A31A6" w:rsidP="009A31A6">
      <w:pPr>
        <w:rPr>
          <w:lang w:eastAsia="en-US"/>
        </w:rPr>
      </w:pPr>
    </w:p>
    <w:p w14:paraId="237D7D0D" w14:textId="0DEF3989" w:rsidR="009A31A6" w:rsidRDefault="009A31A6" w:rsidP="009A31A6">
      <w:pPr>
        <w:rPr>
          <w:lang w:eastAsia="en-US"/>
        </w:rPr>
      </w:pPr>
      <w:r>
        <w:rPr>
          <w:lang w:eastAsia="en-US"/>
        </w:rPr>
        <w:t>We supported the Minister of Health and Associate Ministers by providing high-quality, timely advice across a range of cancer topics through regular meetings, briefing papers and weekly updates. Our communications team has built a strong relationship with the Ministers’ secretaries to ensure we can meet the needs of the Ministers’ offices as they arise. We have cemented our place as the trusted cancer advisor to Government.</w:t>
      </w:r>
    </w:p>
    <w:p w14:paraId="2D7EF963" w14:textId="77777777" w:rsidR="009A31A6" w:rsidRDefault="009A31A6" w:rsidP="009A31A6">
      <w:pPr>
        <w:rPr>
          <w:lang w:eastAsia="en-US"/>
        </w:rPr>
      </w:pPr>
    </w:p>
    <w:p w14:paraId="2033144C" w14:textId="7B3222C7" w:rsidR="009A31A6" w:rsidRDefault="009A31A6" w:rsidP="009A31A6">
      <w:pPr>
        <w:rPr>
          <w:lang w:eastAsia="en-US"/>
        </w:rPr>
      </w:pPr>
      <w:r>
        <w:rPr>
          <w:lang w:eastAsia="en-US"/>
        </w:rPr>
        <w:t>We have bedded in our sector stakeholder engagement this year through regular meetings with our advisory groups (outlined in the section Ngā roopu tūhono | Our partners) and by scaling up the many project and tumour stream advisory groups supporting our work programmes. We have held more than 200 stakeholder meetings and engagements in 2021/22 – with many focused on the work we are doing to design cancer services for the new health system. Engagements will continue as we begin to work with the new health entities to deliver change.</w:t>
      </w:r>
    </w:p>
    <w:p w14:paraId="4D6D2800" w14:textId="77777777" w:rsidR="009A31A6" w:rsidRDefault="009A31A6" w:rsidP="009A31A6">
      <w:pPr>
        <w:rPr>
          <w:lang w:eastAsia="en-US"/>
        </w:rPr>
      </w:pPr>
    </w:p>
    <w:p w14:paraId="7B15E7D7" w14:textId="77777777" w:rsidR="00E773C3" w:rsidRDefault="009A31A6" w:rsidP="009A31A6">
      <w:pPr>
        <w:rPr>
          <w:lang w:eastAsia="en-US"/>
        </w:rPr>
      </w:pPr>
      <w:r>
        <w:rPr>
          <w:lang w:eastAsia="en-US"/>
        </w:rPr>
        <w:t>Of note this year is our deepening partnership with Hei Āhuru Mōwai, Māori Cancer Leadership Aotearoa. Hei Āhuru Mōwai members sit on many of our major advisory groups, providing strategic input to our work programme direction, targeted advice towards equitable cancer outcomes for Māori, access to Māori cancer expertise and support for developing Māori capability across our organisation. We have engaged Hei Āhuru Mōwai co-chair Gary Thompson as pou tikanga to provide us with cultural guidance as needed.</w:t>
      </w:r>
      <w:r w:rsidR="00E773C3">
        <w:rPr>
          <w:lang w:eastAsia="en-US"/>
        </w:rPr>
        <w:t xml:space="preserve"> </w:t>
      </w:r>
      <w:r>
        <w:rPr>
          <w:lang w:eastAsia="en-US"/>
        </w:rPr>
        <w:t xml:space="preserve">We support the aspirations of Hei Āhuru Mōwai and its growth as an organisation. We have provided resource to support their priorities, including the development of infographics for whānau with cancer throughout the COVID-19 pandemic. The strength of this partnership has been recognised by Te Kawa Mataaho, Public Service Commission, and we are finalists in its Spirit of Service, Māori Crown Relationship award. </w:t>
      </w:r>
    </w:p>
    <w:p w14:paraId="56F2BDB5" w14:textId="77777777" w:rsidR="00E773C3" w:rsidRDefault="00E773C3" w:rsidP="009A31A6">
      <w:pPr>
        <w:rPr>
          <w:lang w:eastAsia="en-US"/>
        </w:rPr>
      </w:pPr>
    </w:p>
    <w:p w14:paraId="705C512F" w14:textId="126C11C7" w:rsidR="009A31A6" w:rsidRDefault="009A31A6" w:rsidP="009A31A6">
      <w:pPr>
        <w:rPr>
          <w:lang w:eastAsia="en-US"/>
        </w:rPr>
      </w:pPr>
      <w:r>
        <w:rPr>
          <w:lang w:eastAsia="en-US"/>
        </w:rPr>
        <w:t xml:space="preserve">Māori leadership and engagement are evident at every level within our organisation: through proactively recruiting Māori staff, engaging with Māori clinical and lived- experience leaders, holding hui with whānau Māori and Māori communities, partnering </w:t>
      </w:r>
      <w:r>
        <w:rPr>
          <w:lang w:eastAsia="en-US"/>
        </w:rPr>
        <w:lastRenderedPageBreak/>
        <w:t>with Hei Āhuru Mōwai and ensuring key advisory bodies have 50 percent Māori membership and a Māori chair/co-chair.</w:t>
      </w:r>
    </w:p>
    <w:p w14:paraId="11E1056E" w14:textId="009A0310" w:rsidR="009A31A6" w:rsidRDefault="009A31A6" w:rsidP="009A31A6">
      <w:pPr>
        <w:rPr>
          <w:lang w:eastAsia="en-US"/>
        </w:rPr>
      </w:pPr>
    </w:p>
    <w:p w14:paraId="105F0F00" w14:textId="77777777" w:rsidR="009A31A6" w:rsidRDefault="009A31A6" w:rsidP="009A31A6">
      <w:pPr>
        <w:rPr>
          <w:lang w:eastAsia="en-US"/>
        </w:rPr>
      </w:pPr>
      <w:r>
        <w:rPr>
          <w:lang w:eastAsia="en-US"/>
        </w:rPr>
        <w:t>The involvement of He Ara Tangata, Consumer Reference Group has also gathered momentum this year, and reference group members are now embedded in projects across our organisation, to provide a critical lived-experience lens to our work.</w:t>
      </w:r>
    </w:p>
    <w:p w14:paraId="0B90C1A9" w14:textId="77777777" w:rsidR="009A31A6" w:rsidRDefault="009A31A6" w:rsidP="009A31A6">
      <w:pPr>
        <w:pStyle w:val="Heading4"/>
        <w:rPr>
          <w:lang w:eastAsia="en-US"/>
        </w:rPr>
      </w:pPr>
      <w:r>
        <w:rPr>
          <w:lang w:eastAsia="en-US"/>
        </w:rPr>
        <w:t>Commitment to capability building</w:t>
      </w:r>
    </w:p>
    <w:p w14:paraId="4B62194E" w14:textId="77777777" w:rsidR="009A31A6" w:rsidRDefault="009A31A6" w:rsidP="009A31A6">
      <w:pPr>
        <w:rPr>
          <w:lang w:eastAsia="en-US"/>
        </w:rPr>
      </w:pPr>
      <w:r>
        <w:rPr>
          <w:lang w:eastAsia="en-US"/>
        </w:rPr>
        <w:t>Capability building remains a major focus for us. We have an induction process that</w:t>
      </w:r>
    </w:p>
    <w:p w14:paraId="0D71A5EC" w14:textId="37ADA612" w:rsidR="009A31A6" w:rsidRDefault="009A31A6" w:rsidP="009A31A6">
      <w:pPr>
        <w:rPr>
          <w:lang w:eastAsia="en-US"/>
        </w:rPr>
      </w:pPr>
      <w:r>
        <w:rPr>
          <w:lang w:eastAsia="en-US"/>
        </w:rPr>
        <w:t>requires all staff to undertake modules on te ao Māori along with learning about our obligations as public servants. Our staff can access all Manatū Hauora professional development resources, including external workshops and online courses. We also deliver our own bespoke courses, including a two-day ‘machinery of government’ course, staff forums and information sessions and an annual all-staff capability-building day. Each staff member’s professional development plan must contain capability-building goals.</w:t>
      </w:r>
    </w:p>
    <w:p w14:paraId="1BC8D5E3" w14:textId="77777777" w:rsidR="009A31A6" w:rsidRDefault="009A31A6" w:rsidP="009A31A6">
      <w:pPr>
        <w:rPr>
          <w:lang w:eastAsia="en-US"/>
        </w:rPr>
      </w:pPr>
    </w:p>
    <w:p w14:paraId="54ABB1BA" w14:textId="26193BC1" w:rsidR="009A31A6" w:rsidRDefault="009A31A6" w:rsidP="009A31A6">
      <w:pPr>
        <w:rPr>
          <w:lang w:eastAsia="en-US"/>
        </w:rPr>
      </w:pPr>
      <w:r>
        <w:rPr>
          <w:lang w:eastAsia="en-US"/>
        </w:rPr>
        <w:t>Our commitment to Te Tiriti can be seen in our ambitious programme to build capability to engage with Māori. In 2021/22, we delivered four Whāinga Amorangi: Transforming Leadership plans to Te Arawhiti, The Office for Māori Crown Relations, and these were endorsed without change. Te Arawhiti have directed other Government entities to us to provide guidance on their plans. We have made strong progress against the goals and measures set out in the plans through activities such as a day at Pipitea Marae, a presentation by Meihana Durie on mātauranga Māori, attending The Wall Walk® (the interactive workshop designed to raise awareness about key events in the history of Aotearoa New Zealand’s bicultural relations), hosting a Te Tiriti session, delivering a racial bias workshop, Waitangi, Matariki and Te Wiki o Te Reo Māori activities and twice-weekly waiata sessions. Every staff member is required to have a goal in their professional development plan that relates to Whāinga Amorangi.</w:t>
      </w:r>
    </w:p>
    <w:p w14:paraId="6681BE96" w14:textId="77777777" w:rsidR="00E773C3" w:rsidRDefault="00E773C3" w:rsidP="009A31A6">
      <w:pPr>
        <w:rPr>
          <w:lang w:eastAsia="en-US"/>
        </w:rPr>
      </w:pPr>
    </w:p>
    <w:p w14:paraId="59CE14A5" w14:textId="3964AE5B" w:rsidR="009A31A6" w:rsidRDefault="009A31A6" w:rsidP="009A31A6">
      <w:pPr>
        <w:rPr>
          <w:lang w:eastAsia="en-US"/>
        </w:rPr>
      </w:pPr>
      <w:r>
        <w:rPr>
          <w:lang w:eastAsia="en-US"/>
        </w:rPr>
        <w:t>Our commitment can also be measured in our progress against our Māori language plan, E Tipu E Tipu. The staff survey showed confidence in speaking te reo has increased across every measure (see Tō mātou whakahaere | Our performance section).</w:t>
      </w:r>
    </w:p>
    <w:p w14:paraId="20ECB18B" w14:textId="77777777" w:rsidR="009A31A6" w:rsidRDefault="009A31A6" w:rsidP="009A31A6">
      <w:pPr>
        <w:pStyle w:val="Heading4"/>
        <w:rPr>
          <w:lang w:eastAsia="en-US"/>
        </w:rPr>
      </w:pPr>
      <w:r>
        <w:rPr>
          <w:lang w:eastAsia="en-US"/>
        </w:rPr>
        <w:t>Systems and processes</w:t>
      </w:r>
    </w:p>
    <w:p w14:paraId="3363EA2D" w14:textId="77777777" w:rsidR="009A31A6" w:rsidRDefault="009A31A6" w:rsidP="009A31A6">
      <w:pPr>
        <w:rPr>
          <w:lang w:eastAsia="en-US"/>
        </w:rPr>
      </w:pPr>
      <w:r>
        <w:rPr>
          <w:lang w:eastAsia="en-US"/>
        </w:rPr>
        <w:t>We continued to develop our systems and processes in the 2021/22 year, aided by the</w:t>
      </w:r>
    </w:p>
    <w:p w14:paraId="14F70E4C" w14:textId="77777777" w:rsidR="00A76DEA" w:rsidRDefault="009A31A6" w:rsidP="009A31A6">
      <w:pPr>
        <w:rPr>
          <w:lang w:eastAsia="en-US"/>
        </w:rPr>
      </w:pPr>
      <w:r>
        <w:rPr>
          <w:lang w:eastAsia="en-US"/>
        </w:rPr>
        <w:t>signing of the departmental agency agreement with our hosts, Manatū Hauora.</w:t>
      </w:r>
    </w:p>
    <w:p w14:paraId="6CD2C6DF" w14:textId="77777777" w:rsidR="00A76DEA" w:rsidRDefault="00A76DEA" w:rsidP="009A31A6">
      <w:pPr>
        <w:rPr>
          <w:lang w:eastAsia="en-US"/>
        </w:rPr>
      </w:pPr>
    </w:p>
    <w:p w14:paraId="0E10A870" w14:textId="427DBD45" w:rsidR="009A31A6" w:rsidRDefault="009A31A6" w:rsidP="009A31A6">
      <w:pPr>
        <w:rPr>
          <w:lang w:eastAsia="en-US"/>
        </w:rPr>
      </w:pPr>
      <w:r>
        <w:rPr>
          <w:lang w:eastAsia="en-US"/>
        </w:rPr>
        <w:t>We launched a suite of project management templates that have been extremely useful in providing an agency-wide view of national and regional work in progress and created an equity toolkit to support staff to develop equity led thinking at all levels across the Agency.</w:t>
      </w:r>
    </w:p>
    <w:p w14:paraId="09C14D7E" w14:textId="77777777" w:rsidR="009A31A6" w:rsidRDefault="009A31A6" w:rsidP="009A31A6">
      <w:pPr>
        <w:rPr>
          <w:lang w:eastAsia="en-US"/>
        </w:rPr>
      </w:pPr>
    </w:p>
    <w:p w14:paraId="301A95D9" w14:textId="77777777" w:rsidR="009A31A6" w:rsidRDefault="009A31A6" w:rsidP="009A31A6">
      <w:pPr>
        <w:rPr>
          <w:lang w:eastAsia="en-US"/>
        </w:rPr>
      </w:pPr>
      <w:r>
        <w:rPr>
          <w:lang w:eastAsia="en-US"/>
        </w:rPr>
        <w:t>We have embedded a new leadership group meeting structure, separating out operational, tactical and strategic work and allowing us to streamline our agenda and workflow. We have responded to all ministerial enquiries, Official Information Act requests (OIAs) and pieces of correspondence within expected timeframes.</w:t>
      </w:r>
    </w:p>
    <w:p w14:paraId="2F7435D6" w14:textId="6D244BCD" w:rsidR="009A31A6" w:rsidRDefault="009A31A6" w:rsidP="009A31A6">
      <w:pPr>
        <w:rPr>
          <w:lang w:eastAsia="en-US"/>
        </w:rPr>
      </w:pPr>
      <w:r>
        <w:rPr>
          <w:lang w:eastAsia="en-US"/>
        </w:rPr>
        <w:lastRenderedPageBreak/>
        <w:t>Our focus on growing and supporting our staff saw the launch of our Leadership Pledge and Wellbeing Strategy this year. The pledge is a compelling reminder of our people leaders’ commitment to the wellbeing of their team members, and the strategy outlines how we will prioritise wellbeing using a Te Whare Tapa Whā model.</w:t>
      </w:r>
    </w:p>
    <w:p w14:paraId="247CDBCE" w14:textId="650929B4" w:rsidR="00A76DEA" w:rsidRDefault="00A76DEA" w:rsidP="009A31A6">
      <w:pPr>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069"/>
      </w:tblGrid>
      <w:tr w:rsidR="00A76DEA" w14:paraId="525E6271" w14:textId="77777777" w:rsidTr="00A76DEA">
        <w:tc>
          <w:tcPr>
            <w:tcW w:w="8069" w:type="dxa"/>
            <w:shd w:val="clear" w:color="auto" w:fill="D9D9D9" w:themeFill="background1" w:themeFillShade="D9"/>
          </w:tcPr>
          <w:p w14:paraId="58DDB9BB" w14:textId="3F80D93E" w:rsidR="00A76DEA" w:rsidRPr="00A76DEA" w:rsidRDefault="00A76DEA" w:rsidP="00A76DEA">
            <w:pPr>
              <w:pStyle w:val="Heading5"/>
              <w:outlineLvl w:val="4"/>
            </w:pPr>
            <w:r w:rsidRPr="00A76DEA">
              <w:t>The Leadership Group’s pledge to Wellbeing</w:t>
            </w:r>
          </w:p>
          <w:p w14:paraId="4D2B2E9F" w14:textId="77777777" w:rsidR="00A76DEA" w:rsidRDefault="00A76DEA" w:rsidP="00E773C3">
            <w:r>
              <w:rPr>
                <w:spacing w:val="-1"/>
                <w:w w:val="105"/>
              </w:rPr>
              <w:t>As</w:t>
            </w:r>
            <w:r>
              <w:rPr>
                <w:spacing w:val="-9"/>
                <w:w w:val="105"/>
              </w:rPr>
              <w:t xml:space="preserve"> </w:t>
            </w:r>
            <w:r>
              <w:rPr>
                <w:spacing w:val="-1"/>
                <w:w w:val="105"/>
              </w:rPr>
              <w:t>leaders,</w:t>
            </w:r>
            <w:r>
              <w:rPr>
                <w:spacing w:val="-8"/>
                <w:w w:val="105"/>
              </w:rPr>
              <w:t xml:space="preserve"> </w:t>
            </w:r>
            <w:r>
              <w:rPr>
                <w:spacing w:val="-1"/>
                <w:w w:val="105"/>
              </w:rPr>
              <w:t>we</w:t>
            </w:r>
            <w:r>
              <w:rPr>
                <w:spacing w:val="-8"/>
                <w:w w:val="105"/>
              </w:rPr>
              <w:t xml:space="preserve"> </w:t>
            </w:r>
            <w:r>
              <w:rPr>
                <w:spacing w:val="-1"/>
                <w:w w:val="105"/>
              </w:rPr>
              <w:t>recognise</w:t>
            </w:r>
            <w:r>
              <w:rPr>
                <w:spacing w:val="-8"/>
                <w:w w:val="105"/>
              </w:rPr>
              <w:t xml:space="preserve"> </w:t>
            </w:r>
            <w:r>
              <w:rPr>
                <w:spacing w:val="-1"/>
                <w:w w:val="105"/>
              </w:rPr>
              <w:t>staff</w:t>
            </w:r>
            <w:r>
              <w:rPr>
                <w:spacing w:val="-9"/>
                <w:w w:val="105"/>
              </w:rPr>
              <w:t xml:space="preserve"> </w:t>
            </w:r>
            <w:r>
              <w:rPr>
                <w:spacing w:val="-1"/>
                <w:w w:val="105"/>
              </w:rPr>
              <w:t>wellbeing</w:t>
            </w:r>
            <w:r>
              <w:rPr>
                <w:spacing w:val="-8"/>
                <w:w w:val="105"/>
              </w:rPr>
              <w:t xml:space="preserve"> </w:t>
            </w:r>
            <w:r>
              <w:rPr>
                <w:spacing w:val="-1"/>
                <w:w w:val="105"/>
              </w:rPr>
              <w:t>as</w:t>
            </w:r>
            <w:r>
              <w:rPr>
                <w:spacing w:val="-10"/>
                <w:w w:val="105"/>
              </w:rPr>
              <w:t xml:space="preserve"> </w:t>
            </w:r>
            <w:r>
              <w:rPr>
                <w:spacing w:val="-1"/>
                <w:w w:val="105"/>
              </w:rPr>
              <w:t>a</w:t>
            </w:r>
            <w:r>
              <w:rPr>
                <w:spacing w:val="-7"/>
                <w:w w:val="105"/>
              </w:rPr>
              <w:t xml:space="preserve"> </w:t>
            </w:r>
            <w:r>
              <w:rPr>
                <w:spacing w:val="-1"/>
                <w:w w:val="105"/>
              </w:rPr>
              <w:t>critical</w:t>
            </w:r>
            <w:r>
              <w:rPr>
                <w:spacing w:val="-8"/>
                <w:w w:val="105"/>
              </w:rPr>
              <w:t xml:space="preserve"> </w:t>
            </w:r>
            <w:r>
              <w:rPr>
                <w:w w:val="105"/>
              </w:rPr>
              <w:t>aspect</w:t>
            </w:r>
            <w:r>
              <w:rPr>
                <w:spacing w:val="-9"/>
                <w:w w:val="105"/>
              </w:rPr>
              <w:t xml:space="preserve"> </w:t>
            </w:r>
            <w:r>
              <w:rPr>
                <w:w w:val="105"/>
              </w:rPr>
              <w:t>of</w:t>
            </w:r>
            <w:r>
              <w:rPr>
                <w:spacing w:val="-7"/>
                <w:w w:val="105"/>
              </w:rPr>
              <w:t xml:space="preserve"> </w:t>
            </w:r>
            <w:r>
              <w:rPr>
                <w:w w:val="105"/>
              </w:rPr>
              <w:t>being</w:t>
            </w:r>
            <w:r>
              <w:rPr>
                <w:spacing w:val="-8"/>
                <w:w w:val="105"/>
              </w:rPr>
              <w:t xml:space="preserve"> </w:t>
            </w:r>
            <w:r>
              <w:rPr>
                <w:w w:val="105"/>
              </w:rPr>
              <w:t>successful</w:t>
            </w:r>
            <w:r>
              <w:rPr>
                <w:spacing w:val="-9"/>
                <w:w w:val="105"/>
              </w:rPr>
              <w:t xml:space="preserve"> </w:t>
            </w:r>
            <w:r>
              <w:rPr>
                <w:w w:val="105"/>
              </w:rPr>
              <w:t>as</w:t>
            </w:r>
            <w:r>
              <w:rPr>
                <w:spacing w:val="-10"/>
                <w:w w:val="105"/>
              </w:rPr>
              <w:t xml:space="preserve"> </w:t>
            </w:r>
            <w:r>
              <w:rPr>
                <w:w w:val="105"/>
              </w:rPr>
              <w:t>an</w:t>
            </w:r>
            <w:r>
              <w:rPr>
                <w:spacing w:val="-9"/>
                <w:w w:val="105"/>
              </w:rPr>
              <w:t xml:space="preserve"> </w:t>
            </w:r>
            <w:r>
              <w:rPr>
                <w:w w:val="105"/>
              </w:rPr>
              <w:t>agency.</w:t>
            </w:r>
            <w:r>
              <w:rPr>
                <w:spacing w:val="-40"/>
                <w:w w:val="105"/>
              </w:rPr>
              <w:t xml:space="preserve"> </w:t>
            </w:r>
            <w:r>
              <w:rPr>
                <w:w w:val="105"/>
              </w:rPr>
              <w:t>We whakamana, give respect to, Te Whare Tapa Whā, which emphasises the connections</w:t>
            </w:r>
            <w:r>
              <w:rPr>
                <w:spacing w:val="-40"/>
                <w:w w:val="105"/>
              </w:rPr>
              <w:t xml:space="preserve"> </w:t>
            </w:r>
            <w:r>
              <w:t>between</w:t>
            </w:r>
            <w:r>
              <w:rPr>
                <w:spacing w:val="12"/>
              </w:rPr>
              <w:t xml:space="preserve"> </w:t>
            </w:r>
            <w:r>
              <w:t>our</w:t>
            </w:r>
            <w:r>
              <w:rPr>
                <w:spacing w:val="11"/>
              </w:rPr>
              <w:t xml:space="preserve"> </w:t>
            </w:r>
            <w:r>
              <w:t>physical,</w:t>
            </w:r>
            <w:r>
              <w:rPr>
                <w:spacing w:val="11"/>
              </w:rPr>
              <w:t xml:space="preserve"> </w:t>
            </w:r>
            <w:r>
              <w:t>spiritual,</w:t>
            </w:r>
            <w:r>
              <w:rPr>
                <w:spacing w:val="10"/>
              </w:rPr>
              <w:t xml:space="preserve"> </w:t>
            </w:r>
            <w:r>
              <w:t>mental,</w:t>
            </w:r>
            <w:r>
              <w:rPr>
                <w:spacing w:val="11"/>
              </w:rPr>
              <w:t xml:space="preserve"> </w:t>
            </w:r>
            <w:r>
              <w:t>emotional,</w:t>
            </w:r>
            <w:r>
              <w:rPr>
                <w:spacing w:val="11"/>
              </w:rPr>
              <w:t xml:space="preserve"> </w:t>
            </w:r>
            <w:r>
              <w:t>family,</w:t>
            </w:r>
            <w:r>
              <w:rPr>
                <w:spacing w:val="9"/>
              </w:rPr>
              <w:t xml:space="preserve"> </w:t>
            </w:r>
            <w:r>
              <w:t>and</w:t>
            </w:r>
            <w:r>
              <w:rPr>
                <w:spacing w:val="10"/>
              </w:rPr>
              <w:t xml:space="preserve"> </w:t>
            </w:r>
            <w:r>
              <w:t>social</w:t>
            </w:r>
            <w:r>
              <w:rPr>
                <w:spacing w:val="11"/>
              </w:rPr>
              <w:t xml:space="preserve"> </w:t>
            </w:r>
            <w:r>
              <w:t>dimensions</w:t>
            </w:r>
            <w:r>
              <w:rPr>
                <w:spacing w:val="9"/>
              </w:rPr>
              <w:t xml:space="preserve"> </w:t>
            </w:r>
            <w:r>
              <w:t>of</w:t>
            </w:r>
            <w:r>
              <w:rPr>
                <w:spacing w:val="10"/>
              </w:rPr>
              <w:t xml:space="preserve"> </w:t>
            </w:r>
            <w:r>
              <w:t>health.</w:t>
            </w:r>
            <w:r>
              <w:rPr>
                <w:spacing w:val="1"/>
              </w:rPr>
              <w:t xml:space="preserve"> </w:t>
            </w:r>
            <w:r>
              <w:rPr>
                <w:w w:val="105"/>
              </w:rPr>
              <w:t>These</w:t>
            </w:r>
            <w:r>
              <w:rPr>
                <w:spacing w:val="-2"/>
                <w:w w:val="105"/>
              </w:rPr>
              <w:t xml:space="preserve"> </w:t>
            </w:r>
            <w:r>
              <w:rPr>
                <w:w w:val="105"/>
              </w:rPr>
              <w:t>concepts</w:t>
            </w:r>
            <w:r>
              <w:rPr>
                <w:spacing w:val="-3"/>
                <w:w w:val="105"/>
              </w:rPr>
              <w:t xml:space="preserve"> </w:t>
            </w:r>
            <w:r>
              <w:rPr>
                <w:w w:val="105"/>
              </w:rPr>
              <w:t>indicate</w:t>
            </w:r>
            <w:r>
              <w:rPr>
                <w:spacing w:val="-4"/>
                <w:w w:val="105"/>
              </w:rPr>
              <w:t xml:space="preserve"> </w:t>
            </w:r>
            <w:r>
              <w:rPr>
                <w:w w:val="105"/>
              </w:rPr>
              <w:t>the</w:t>
            </w:r>
            <w:r>
              <w:rPr>
                <w:spacing w:val="-4"/>
                <w:w w:val="105"/>
              </w:rPr>
              <w:t xml:space="preserve"> </w:t>
            </w:r>
            <w:r>
              <w:rPr>
                <w:w w:val="105"/>
              </w:rPr>
              <w:t>importance</w:t>
            </w:r>
            <w:r>
              <w:rPr>
                <w:spacing w:val="-2"/>
                <w:w w:val="105"/>
              </w:rPr>
              <w:t xml:space="preserve"> </w:t>
            </w:r>
            <w:r>
              <w:rPr>
                <w:w w:val="105"/>
              </w:rPr>
              <w:t>of</w:t>
            </w:r>
            <w:r>
              <w:rPr>
                <w:spacing w:val="-4"/>
                <w:w w:val="105"/>
              </w:rPr>
              <w:t xml:space="preserve"> </w:t>
            </w:r>
            <w:r>
              <w:rPr>
                <w:w w:val="105"/>
              </w:rPr>
              <w:t>balance</w:t>
            </w:r>
            <w:r>
              <w:rPr>
                <w:spacing w:val="-2"/>
                <w:w w:val="105"/>
              </w:rPr>
              <w:t xml:space="preserve"> </w:t>
            </w:r>
            <w:r>
              <w:rPr>
                <w:w w:val="105"/>
              </w:rPr>
              <w:t>in</w:t>
            </w:r>
            <w:r>
              <w:rPr>
                <w:spacing w:val="-4"/>
                <w:w w:val="105"/>
              </w:rPr>
              <w:t xml:space="preserve"> </w:t>
            </w:r>
            <w:r>
              <w:rPr>
                <w:w w:val="105"/>
              </w:rPr>
              <w:t>our</w:t>
            </w:r>
            <w:r>
              <w:rPr>
                <w:spacing w:val="-4"/>
                <w:w w:val="105"/>
              </w:rPr>
              <w:t xml:space="preserve"> </w:t>
            </w:r>
            <w:r>
              <w:rPr>
                <w:w w:val="105"/>
              </w:rPr>
              <w:t>lives.</w:t>
            </w:r>
          </w:p>
          <w:p w14:paraId="0CA874FD" w14:textId="77777777" w:rsidR="00A76DEA" w:rsidRDefault="00A76DEA" w:rsidP="00E773C3">
            <w:pPr>
              <w:rPr>
                <w:sz w:val="22"/>
              </w:rPr>
            </w:pPr>
          </w:p>
          <w:p w14:paraId="359CBE9D" w14:textId="77777777" w:rsidR="00A76DEA" w:rsidRDefault="00A76DEA" w:rsidP="00E773C3">
            <w:r>
              <w:t>We</w:t>
            </w:r>
            <w:r>
              <w:rPr>
                <w:spacing w:val="11"/>
              </w:rPr>
              <w:t xml:space="preserve"> </w:t>
            </w:r>
            <w:r>
              <w:t>always</w:t>
            </w:r>
            <w:r>
              <w:rPr>
                <w:spacing w:val="9"/>
              </w:rPr>
              <w:t xml:space="preserve"> </w:t>
            </w:r>
            <w:r>
              <w:t>want</w:t>
            </w:r>
            <w:r>
              <w:rPr>
                <w:spacing w:val="11"/>
              </w:rPr>
              <w:t xml:space="preserve"> </w:t>
            </w:r>
            <w:r>
              <w:t>staff</w:t>
            </w:r>
            <w:r>
              <w:rPr>
                <w:spacing w:val="10"/>
              </w:rPr>
              <w:t xml:space="preserve"> </w:t>
            </w:r>
            <w:r>
              <w:t>to</w:t>
            </w:r>
            <w:r>
              <w:rPr>
                <w:spacing w:val="9"/>
              </w:rPr>
              <w:t xml:space="preserve"> </w:t>
            </w:r>
            <w:r>
              <w:t>feel</w:t>
            </w:r>
            <w:r>
              <w:rPr>
                <w:spacing w:val="11"/>
              </w:rPr>
              <w:t xml:space="preserve"> </w:t>
            </w:r>
            <w:r>
              <w:t>comfortable,</w:t>
            </w:r>
            <w:r>
              <w:rPr>
                <w:spacing w:val="12"/>
              </w:rPr>
              <w:t xml:space="preserve"> </w:t>
            </w:r>
            <w:r>
              <w:t>respected</w:t>
            </w:r>
            <w:r>
              <w:rPr>
                <w:spacing w:val="10"/>
              </w:rPr>
              <w:t xml:space="preserve"> </w:t>
            </w:r>
            <w:r>
              <w:t>and</w:t>
            </w:r>
            <w:r>
              <w:rPr>
                <w:spacing w:val="12"/>
              </w:rPr>
              <w:t xml:space="preserve"> </w:t>
            </w:r>
            <w:r>
              <w:t>connected.</w:t>
            </w:r>
          </w:p>
          <w:p w14:paraId="5949696C" w14:textId="77777777" w:rsidR="00A76DEA" w:rsidRDefault="00A76DEA" w:rsidP="00E773C3">
            <w:pPr>
              <w:rPr>
                <w:sz w:val="26"/>
              </w:rPr>
            </w:pPr>
          </w:p>
          <w:p w14:paraId="705E2CA6" w14:textId="4D1AED13" w:rsidR="00A76DEA" w:rsidRDefault="00A76DEA" w:rsidP="00E773C3">
            <w:pPr>
              <w:rPr>
                <w:w w:val="105"/>
              </w:rPr>
            </w:pPr>
            <w:r>
              <w:t>As</w:t>
            </w:r>
            <w:r>
              <w:rPr>
                <w:spacing w:val="11"/>
              </w:rPr>
              <w:t xml:space="preserve"> </w:t>
            </w:r>
            <w:r>
              <w:t>leaders,</w:t>
            </w:r>
            <w:r>
              <w:rPr>
                <w:spacing w:val="12"/>
              </w:rPr>
              <w:t xml:space="preserve"> </w:t>
            </w:r>
            <w:r>
              <w:t>our</w:t>
            </w:r>
            <w:r>
              <w:rPr>
                <w:spacing w:val="12"/>
              </w:rPr>
              <w:t xml:space="preserve"> </w:t>
            </w:r>
            <w:r>
              <w:t>responsibility</w:t>
            </w:r>
            <w:r>
              <w:rPr>
                <w:spacing w:val="12"/>
              </w:rPr>
              <w:t xml:space="preserve"> </w:t>
            </w:r>
            <w:r>
              <w:t>is</w:t>
            </w:r>
            <w:r>
              <w:rPr>
                <w:spacing w:val="10"/>
              </w:rPr>
              <w:t xml:space="preserve"> </w:t>
            </w:r>
            <w:r>
              <w:t>to</w:t>
            </w:r>
            <w:r>
              <w:rPr>
                <w:spacing w:val="11"/>
              </w:rPr>
              <w:t xml:space="preserve"> </w:t>
            </w:r>
            <w:r>
              <w:t>uphold</w:t>
            </w:r>
            <w:r>
              <w:rPr>
                <w:spacing w:val="10"/>
              </w:rPr>
              <w:t xml:space="preserve"> </w:t>
            </w:r>
            <w:r>
              <w:t>this</w:t>
            </w:r>
            <w:r>
              <w:rPr>
                <w:spacing w:val="10"/>
              </w:rPr>
              <w:t xml:space="preserve"> </w:t>
            </w:r>
            <w:r>
              <w:t>pledge</w:t>
            </w:r>
            <w:r>
              <w:rPr>
                <w:spacing w:val="12"/>
              </w:rPr>
              <w:t xml:space="preserve"> </w:t>
            </w:r>
            <w:r>
              <w:t>and</w:t>
            </w:r>
            <w:r>
              <w:rPr>
                <w:spacing w:val="13"/>
              </w:rPr>
              <w:t xml:space="preserve"> </w:t>
            </w:r>
            <w:r>
              <w:t>organisational</w:t>
            </w:r>
            <w:r>
              <w:rPr>
                <w:spacing w:val="11"/>
              </w:rPr>
              <w:t xml:space="preserve"> </w:t>
            </w:r>
            <w:r>
              <w:t>manaakitanga.</w:t>
            </w:r>
            <w:r>
              <w:rPr>
                <w:spacing w:val="12"/>
              </w:rPr>
              <w:t xml:space="preserve"> </w:t>
            </w:r>
            <w:r>
              <w:t>We</w:t>
            </w:r>
            <w:r>
              <w:rPr>
                <w:spacing w:val="1"/>
              </w:rPr>
              <w:t xml:space="preserve"> </w:t>
            </w:r>
            <w:r>
              <w:rPr>
                <w:w w:val="105"/>
              </w:rPr>
              <w:t>will</w:t>
            </w:r>
            <w:r>
              <w:rPr>
                <w:spacing w:val="-8"/>
                <w:w w:val="105"/>
              </w:rPr>
              <w:t xml:space="preserve"> </w:t>
            </w:r>
            <w:r>
              <w:rPr>
                <w:w w:val="105"/>
              </w:rPr>
              <w:t>set</w:t>
            </w:r>
            <w:r>
              <w:rPr>
                <w:spacing w:val="-9"/>
                <w:w w:val="105"/>
              </w:rPr>
              <w:t xml:space="preserve"> </w:t>
            </w:r>
            <w:r>
              <w:rPr>
                <w:w w:val="105"/>
              </w:rPr>
              <w:t>positive</w:t>
            </w:r>
            <w:r>
              <w:rPr>
                <w:spacing w:val="-10"/>
                <w:w w:val="105"/>
              </w:rPr>
              <w:t xml:space="preserve"> </w:t>
            </w:r>
            <w:r>
              <w:rPr>
                <w:w w:val="105"/>
              </w:rPr>
              <w:t>examples</w:t>
            </w:r>
            <w:r>
              <w:rPr>
                <w:spacing w:val="-7"/>
                <w:w w:val="105"/>
              </w:rPr>
              <w:t xml:space="preserve"> </w:t>
            </w:r>
            <w:r>
              <w:rPr>
                <w:w w:val="105"/>
              </w:rPr>
              <w:t>and,</w:t>
            </w:r>
            <w:r>
              <w:rPr>
                <w:spacing w:val="-10"/>
                <w:w w:val="105"/>
              </w:rPr>
              <w:t xml:space="preserve"> </w:t>
            </w:r>
            <w:r>
              <w:rPr>
                <w:w w:val="105"/>
              </w:rPr>
              <w:t>by</w:t>
            </w:r>
            <w:r>
              <w:rPr>
                <w:spacing w:val="-10"/>
                <w:w w:val="105"/>
              </w:rPr>
              <w:t xml:space="preserve"> </w:t>
            </w:r>
            <w:r>
              <w:rPr>
                <w:w w:val="105"/>
              </w:rPr>
              <w:t>doing</w:t>
            </w:r>
            <w:r>
              <w:rPr>
                <w:spacing w:val="-8"/>
                <w:w w:val="105"/>
              </w:rPr>
              <w:t xml:space="preserve"> </w:t>
            </w:r>
            <w:r>
              <w:rPr>
                <w:w w:val="105"/>
              </w:rPr>
              <w:t>so,</w:t>
            </w:r>
            <w:r>
              <w:rPr>
                <w:spacing w:val="-9"/>
                <w:w w:val="105"/>
              </w:rPr>
              <w:t xml:space="preserve"> </w:t>
            </w:r>
            <w:r>
              <w:rPr>
                <w:w w:val="105"/>
              </w:rPr>
              <w:t>enhance</w:t>
            </w:r>
            <w:r>
              <w:rPr>
                <w:spacing w:val="-8"/>
                <w:w w:val="105"/>
              </w:rPr>
              <w:t xml:space="preserve"> </w:t>
            </w:r>
            <w:r>
              <w:rPr>
                <w:w w:val="105"/>
              </w:rPr>
              <w:t>mana</w:t>
            </w:r>
            <w:r>
              <w:rPr>
                <w:spacing w:val="-8"/>
                <w:w w:val="105"/>
              </w:rPr>
              <w:t xml:space="preserve"> </w:t>
            </w:r>
            <w:r>
              <w:rPr>
                <w:w w:val="105"/>
              </w:rPr>
              <w:t>and</w:t>
            </w:r>
            <w:r>
              <w:rPr>
                <w:spacing w:val="-7"/>
                <w:w w:val="105"/>
              </w:rPr>
              <w:t xml:space="preserve"> </w:t>
            </w:r>
            <w:r>
              <w:rPr>
                <w:w w:val="105"/>
              </w:rPr>
              <w:t>support</w:t>
            </w:r>
            <w:r>
              <w:rPr>
                <w:spacing w:val="-8"/>
                <w:w w:val="105"/>
              </w:rPr>
              <w:t xml:space="preserve"> </w:t>
            </w:r>
            <w:r>
              <w:rPr>
                <w:w w:val="105"/>
              </w:rPr>
              <w:t>for</w:t>
            </w:r>
            <w:r>
              <w:rPr>
                <w:spacing w:val="-8"/>
                <w:w w:val="105"/>
              </w:rPr>
              <w:t xml:space="preserve"> </w:t>
            </w:r>
            <w:r>
              <w:rPr>
                <w:w w:val="105"/>
              </w:rPr>
              <w:t>individuals.</w:t>
            </w:r>
          </w:p>
          <w:p w14:paraId="1D05CBAB" w14:textId="026329D4" w:rsidR="00A76DEA" w:rsidRDefault="00A76DEA" w:rsidP="00A76DEA">
            <w:pPr>
              <w:rPr>
                <w:w w:val="105"/>
              </w:rPr>
            </w:pPr>
          </w:p>
          <w:p w14:paraId="3148612A" w14:textId="640F2AD1" w:rsidR="00A76DEA" w:rsidRPr="00A76DEA" w:rsidRDefault="00A76DEA" w:rsidP="00A76DEA">
            <w:pPr>
              <w:rPr>
                <w:b/>
                <w:bCs/>
              </w:rPr>
            </w:pPr>
            <w:r w:rsidRPr="00A76DEA">
              <w:rPr>
                <w:b/>
                <w:bCs/>
                <w:w w:val="105"/>
              </w:rPr>
              <w:t xml:space="preserve">As leaders we will: </w:t>
            </w:r>
          </w:p>
          <w:p w14:paraId="3B04E5FD" w14:textId="77777777" w:rsidR="00A76DEA" w:rsidRDefault="00A76DEA" w:rsidP="00A76DEA">
            <w:pPr>
              <w:pStyle w:val="Bullet"/>
            </w:pPr>
            <w:r>
              <w:rPr>
                <w:w w:val="105"/>
              </w:rPr>
              <w:t>Promote</w:t>
            </w:r>
            <w:r>
              <w:rPr>
                <w:spacing w:val="-10"/>
                <w:w w:val="105"/>
              </w:rPr>
              <w:t xml:space="preserve"> </w:t>
            </w:r>
            <w:r>
              <w:rPr>
                <w:w w:val="105"/>
              </w:rPr>
              <w:t>work</w:t>
            </w:r>
            <w:r>
              <w:rPr>
                <w:spacing w:val="-9"/>
                <w:w w:val="105"/>
              </w:rPr>
              <w:t xml:space="preserve"> </w:t>
            </w:r>
            <w:r>
              <w:rPr>
                <w:w w:val="105"/>
              </w:rPr>
              <w:t>life</w:t>
            </w:r>
            <w:r>
              <w:rPr>
                <w:spacing w:val="-9"/>
                <w:w w:val="105"/>
              </w:rPr>
              <w:t xml:space="preserve"> </w:t>
            </w:r>
            <w:r>
              <w:rPr>
                <w:w w:val="105"/>
              </w:rPr>
              <w:t>balance,</w:t>
            </w:r>
            <w:r>
              <w:rPr>
                <w:spacing w:val="-8"/>
                <w:w w:val="105"/>
              </w:rPr>
              <w:t xml:space="preserve"> </w:t>
            </w:r>
            <w:r>
              <w:rPr>
                <w:w w:val="105"/>
              </w:rPr>
              <w:t>e.g.</w:t>
            </w:r>
            <w:r>
              <w:rPr>
                <w:spacing w:val="-9"/>
                <w:w w:val="105"/>
              </w:rPr>
              <w:t xml:space="preserve"> </w:t>
            </w:r>
            <w:r>
              <w:rPr>
                <w:w w:val="105"/>
              </w:rPr>
              <w:t>flexible</w:t>
            </w:r>
            <w:r>
              <w:rPr>
                <w:spacing w:val="-9"/>
                <w:w w:val="105"/>
              </w:rPr>
              <w:t xml:space="preserve"> </w:t>
            </w:r>
            <w:r>
              <w:rPr>
                <w:w w:val="105"/>
              </w:rPr>
              <w:t>working</w:t>
            </w:r>
          </w:p>
          <w:p w14:paraId="45F7FF17" w14:textId="77777777" w:rsidR="00A76DEA" w:rsidRDefault="00A76DEA" w:rsidP="00A76DEA">
            <w:pPr>
              <w:pStyle w:val="Bullet"/>
            </w:pPr>
            <w:r>
              <w:t>Provide</w:t>
            </w:r>
            <w:r>
              <w:rPr>
                <w:spacing w:val="12"/>
              </w:rPr>
              <w:t xml:space="preserve"> </w:t>
            </w:r>
            <w:r>
              <w:t>opportunities</w:t>
            </w:r>
            <w:r>
              <w:rPr>
                <w:spacing w:val="15"/>
              </w:rPr>
              <w:t xml:space="preserve"> </w:t>
            </w:r>
            <w:r>
              <w:t>for</w:t>
            </w:r>
            <w:r>
              <w:rPr>
                <w:spacing w:val="14"/>
              </w:rPr>
              <w:t xml:space="preserve"> </w:t>
            </w:r>
            <w:r>
              <w:t>whakawhanaungatanga,</w:t>
            </w:r>
            <w:r>
              <w:rPr>
                <w:spacing w:val="19"/>
              </w:rPr>
              <w:t xml:space="preserve"> </w:t>
            </w:r>
            <w:r>
              <w:t>to</w:t>
            </w:r>
            <w:r>
              <w:rPr>
                <w:spacing w:val="13"/>
              </w:rPr>
              <w:t xml:space="preserve"> </w:t>
            </w:r>
            <w:r>
              <w:t>establish</w:t>
            </w:r>
            <w:r>
              <w:rPr>
                <w:spacing w:val="13"/>
              </w:rPr>
              <w:t xml:space="preserve"> </w:t>
            </w:r>
            <w:r>
              <w:t>relationships</w:t>
            </w:r>
            <w:r>
              <w:rPr>
                <w:spacing w:val="15"/>
              </w:rPr>
              <w:t xml:space="preserve"> </w:t>
            </w:r>
            <w:r>
              <w:t>in</w:t>
            </w:r>
            <w:r>
              <w:rPr>
                <w:spacing w:val="13"/>
              </w:rPr>
              <w:t xml:space="preserve"> </w:t>
            </w:r>
            <w:r>
              <w:t>all</w:t>
            </w:r>
            <w:r>
              <w:rPr>
                <w:spacing w:val="1"/>
              </w:rPr>
              <w:t xml:space="preserve"> </w:t>
            </w:r>
            <w:r>
              <w:t>aspects of work</w:t>
            </w:r>
          </w:p>
          <w:p w14:paraId="5601E993" w14:textId="77777777" w:rsidR="00A76DEA" w:rsidRDefault="00A76DEA" w:rsidP="00A76DEA">
            <w:pPr>
              <w:pStyle w:val="Bullet"/>
            </w:pPr>
            <w:r>
              <w:t>Be</w:t>
            </w:r>
            <w:r>
              <w:rPr>
                <w:spacing w:val="12"/>
              </w:rPr>
              <w:t xml:space="preserve"> </w:t>
            </w:r>
            <w:r>
              <w:t>open</w:t>
            </w:r>
            <w:r>
              <w:rPr>
                <w:spacing w:val="10"/>
              </w:rPr>
              <w:t xml:space="preserve"> </w:t>
            </w:r>
            <w:r>
              <w:t>to</w:t>
            </w:r>
            <w:r>
              <w:rPr>
                <w:spacing w:val="10"/>
              </w:rPr>
              <w:t xml:space="preserve"> </w:t>
            </w:r>
            <w:r>
              <w:t>discussions</w:t>
            </w:r>
            <w:r>
              <w:rPr>
                <w:spacing w:val="9"/>
              </w:rPr>
              <w:t xml:space="preserve"> </w:t>
            </w:r>
            <w:r>
              <w:t>about</w:t>
            </w:r>
            <w:r>
              <w:rPr>
                <w:spacing w:val="10"/>
              </w:rPr>
              <w:t xml:space="preserve"> </w:t>
            </w:r>
            <w:r>
              <w:t>workload</w:t>
            </w:r>
            <w:r>
              <w:rPr>
                <w:spacing w:val="11"/>
              </w:rPr>
              <w:t xml:space="preserve"> </w:t>
            </w:r>
            <w:r>
              <w:t>and</w:t>
            </w:r>
            <w:r>
              <w:rPr>
                <w:spacing w:val="12"/>
              </w:rPr>
              <w:t xml:space="preserve"> </w:t>
            </w:r>
            <w:r>
              <w:t>consider</w:t>
            </w:r>
            <w:r>
              <w:rPr>
                <w:spacing w:val="10"/>
              </w:rPr>
              <w:t xml:space="preserve"> </w:t>
            </w:r>
            <w:r>
              <w:t>wellbeing</w:t>
            </w:r>
            <w:r>
              <w:rPr>
                <w:spacing w:val="9"/>
              </w:rPr>
              <w:t xml:space="preserve"> </w:t>
            </w:r>
            <w:r>
              <w:t>when</w:t>
            </w:r>
            <w:r>
              <w:rPr>
                <w:spacing w:val="12"/>
              </w:rPr>
              <w:t xml:space="preserve"> </w:t>
            </w:r>
            <w:r>
              <w:t>assigning</w:t>
            </w:r>
            <w:r>
              <w:rPr>
                <w:spacing w:val="9"/>
              </w:rPr>
              <w:t xml:space="preserve"> </w:t>
            </w:r>
            <w:r>
              <w:t>work</w:t>
            </w:r>
          </w:p>
          <w:p w14:paraId="226A8C8A" w14:textId="77777777" w:rsidR="00A76DEA" w:rsidRDefault="00A76DEA" w:rsidP="00A76DEA">
            <w:pPr>
              <w:pStyle w:val="Bullet"/>
            </w:pPr>
            <w:r>
              <w:t>Make</w:t>
            </w:r>
            <w:r>
              <w:rPr>
                <w:spacing w:val="14"/>
              </w:rPr>
              <w:t xml:space="preserve"> </w:t>
            </w:r>
            <w:r>
              <w:t>space</w:t>
            </w:r>
            <w:r>
              <w:rPr>
                <w:spacing w:val="10"/>
              </w:rPr>
              <w:t xml:space="preserve"> </w:t>
            </w:r>
            <w:r>
              <w:t>in</w:t>
            </w:r>
            <w:r>
              <w:rPr>
                <w:spacing w:val="12"/>
              </w:rPr>
              <w:t xml:space="preserve"> </w:t>
            </w:r>
            <w:r>
              <w:t>meetings</w:t>
            </w:r>
            <w:r>
              <w:rPr>
                <w:spacing w:val="10"/>
              </w:rPr>
              <w:t xml:space="preserve"> </w:t>
            </w:r>
            <w:r>
              <w:t>to</w:t>
            </w:r>
            <w:r>
              <w:rPr>
                <w:spacing w:val="11"/>
              </w:rPr>
              <w:t xml:space="preserve"> </w:t>
            </w:r>
            <w:r>
              <w:t>discuss</w:t>
            </w:r>
            <w:r>
              <w:rPr>
                <w:spacing w:val="13"/>
              </w:rPr>
              <w:t xml:space="preserve"> </w:t>
            </w:r>
            <w:r>
              <w:t>wellbeing,</w:t>
            </w:r>
            <w:r>
              <w:rPr>
                <w:spacing w:val="12"/>
              </w:rPr>
              <w:t xml:space="preserve"> </w:t>
            </w:r>
            <w:r>
              <w:t>e.g.</w:t>
            </w:r>
            <w:r>
              <w:rPr>
                <w:spacing w:val="12"/>
              </w:rPr>
              <w:t xml:space="preserve"> </w:t>
            </w:r>
            <w:r>
              <w:t>team</w:t>
            </w:r>
            <w:r>
              <w:rPr>
                <w:spacing w:val="11"/>
              </w:rPr>
              <w:t xml:space="preserve"> </w:t>
            </w:r>
            <w:r>
              <w:t>meetings,</w:t>
            </w:r>
            <w:r>
              <w:rPr>
                <w:spacing w:val="10"/>
              </w:rPr>
              <w:t xml:space="preserve"> </w:t>
            </w:r>
            <w:r>
              <w:t>leadership</w:t>
            </w:r>
            <w:r>
              <w:rPr>
                <w:spacing w:val="-38"/>
              </w:rPr>
              <w:t xml:space="preserve"> </w:t>
            </w:r>
            <w:r>
              <w:t>meetings, 1:1s</w:t>
            </w:r>
          </w:p>
          <w:p w14:paraId="6C9E3F54" w14:textId="77777777" w:rsidR="00A76DEA" w:rsidRDefault="00A76DEA" w:rsidP="00A76DEA">
            <w:pPr>
              <w:pStyle w:val="Bullet"/>
            </w:pPr>
            <w:r>
              <w:t>Dedicate</w:t>
            </w:r>
            <w:r>
              <w:rPr>
                <w:spacing w:val="11"/>
              </w:rPr>
              <w:t xml:space="preserve"> </w:t>
            </w:r>
            <w:r>
              <w:t>time</w:t>
            </w:r>
            <w:r>
              <w:rPr>
                <w:spacing w:val="12"/>
              </w:rPr>
              <w:t xml:space="preserve"> </w:t>
            </w:r>
            <w:r>
              <w:t>towards</w:t>
            </w:r>
            <w:r>
              <w:rPr>
                <w:spacing w:val="11"/>
              </w:rPr>
              <w:t xml:space="preserve"> </w:t>
            </w:r>
            <w:r>
              <w:t>an</w:t>
            </w:r>
            <w:r>
              <w:rPr>
                <w:spacing w:val="14"/>
              </w:rPr>
              <w:t xml:space="preserve"> </w:t>
            </w:r>
            <w:r>
              <w:t>activity</w:t>
            </w:r>
            <w:r>
              <w:rPr>
                <w:spacing w:val="13"/>
              </w:rPr>
              <w:t xml:space="preserve"> </w:t>
            </w:r>
            <w:r>
              <w:t>that</w:t>
            </w:r>
            <w:r>
              <w:rPr>
                <w:spacing w:val="12"/>
              </w:rPr>
              <w:t xml:space="preserve"> </w:t>
            </w:r>
            <w:r>
              <w:t>promotes</w:t>
            </w:r>
            <w:r>
              <w:rPr>
                <w:spacing w:val="11"/>
              </w:rPr>
              <w:t xml:space="preserve"> </w:t>
            </w:r>
            <w:r>
              <w:t>organisational</w:t>
            </w:r>
            <w:r>
              <w:rPr>
                <w:spacing w:val="12"/>
              </w:rPr>
              <w:t xml:space="preserve"> </w:t>
            </w:r>
            <w:r>
              <w:t>wellbeing</w:t>
            </w:r>
          </w:p>
          <w:p w14:paraId="0DF0785F" w14:textId="77777777" w:rsidR="00A76DEA" w:rsidRDefault="00A76DEA" w:rsidP="00A76DEA">
            <w:pPr>
              <w:pStyle w:val="Bullet"/>
            </w:pPr>
            <w:r>
              <w:t>Actively</w:t>
            </w:r>
            <w:r>
              <w:rPr>
                <w:spacing w:val="8"/>
              </w:rPr>
              <w:t xml:space="preserve"> </w:t>
            </w:r>
            <w:r>
              <w:t>take</w:t>
            </w:r>
            <w:r>
              <w:rPr>
                <w:spacing w:val="7"/>
              </w:rPr>
              <w:t xml:space="preserve"> </w:t>
            </w:r>
            <w:r>
              <w:t>part</w:t>
            </w:r>
            <w:r>
              <w:rPr>
                <w:spacing w:val="9"/>
              </w:rPr>
              <w:t xml:space="preserve"> </w:t>
            </w:r>
            <w:r>
              <w:t>in</w:t>
            </w:r>
            <w:r>
              <w:rPr>
                <w:spacing w:val="9"/>
              </w:rPr>
              <w:t xml:space="preserve"> </w:t>
            </w:r>
            <w:r>
              <w:t>training</w:t>
            </w:r>
            <w:r>
              <w:rPr>
                <w:spacing w:val="8"/>
              </w:rPr>
              <w:t xml:space="preserve"> </w:t>
            </w:r>
            <w:r>
              <w:t>that</w:t>
            </w:r>
            <w:r>
              <w:rPr>
                <w:spacing w:val="9"/>
              </w:rPr>
              <w:t xml:space="preserve"> </w:t>
            </w:r>
            <w:r>
              <w:t>enables</w:t>
            </w:r>
            <w:r>
              <w:rPr>
                <w:spacing w:val="7"/>
              </w:rPr>
              <w:t xml:space="preserve"> </w:t>
            </w:r>
            <w:r>
              <w:t>us</w:t>
            </w:r>
            <w:r>
              <w:rPr>
                <w:spacing w:val="7"/>
              </w:rPr>
              <w:t xml:space="preserve"> </w:t>
            </w:r>
            <w:r>
              <w:t>to</w:t>
            </w:r>
            <w:r>
              <w:rPr>
                <w:spacing w:val="7"/>
              </w:rPr>
              <w:t xml:space="preserve"> </w:t>
            </w:r>
            <w:r>
              <w:t>develop</w:t>
            </w:r>
            <w:r>
              <w:rPr>
                <w:spacing w:val="10"/>
              </w:rPr>
              <w:t xml:space="preserve"> </w:t>
            </w:r>
            <w:r>
              <w:t>and</w:t>
            </w:r>
            <w:r>
              <w:rPr>
                <w:spacing w:val="8"/>
              </w:rPr>
              <w:t xml:space="preserve"> </w:t>
            </w:r>
            <w:r>
              <w:t>support</w:t>
            </w:r>
            <w:r>
              <w:rPr>
                <w:spacing w:val="10"/>
              </w:rPr>
              <w:t xml:space="preserve"> </w:t>
            </w:r>
            <w:r>
              <w:t>our</w:t>
            </w:r>
            <w:r>
              <w:rPr>
                <w:spacing w:val="8"/>
              </w:rPr>
              <w:t xml:space="preserve"> </w:t>
            </w:r>
            <w:r>
              <w:t>staff</w:t>
            </w:r>
          </w:p>
          <w:p w14:paraId="5D469BEB" w14:textId="77777777" w:rsidR="00A76DEA" w:rsidRDefault="00A76DEA" w:rsidP="00A76DEA">
            <w:pPr>
              <w:pStyle w:val="Bullet"/>
            </w:pPr>
            <w:r>
              <w:t>Be active and intentional in supporting staff belonging to diverse SOGIESC (sexual</w:t>
            </w:r>
            <w:r>
              <w:rPr>
                <w:spacing w:val="1"/>
              </w:rPr>
              <w:t xml:space="preserve"> </w:t>
            </w:r>
            <w:r>
              <w:t>orientation, gender identity and expression, and sex characteristics), religious and</w:t>
            </w:r>
            <w:r>
              <w:rPr>
                <w:spacing w:val="1"/>
              </w:rPr>
              <w:t xml:space="preserve"> </w:t>
            </w:r>
            <w:r>
              <w:t>ethnic communities</w:t>
            </w:r>
          </w:p>
          <w:p w14:paraId="78D8642E" w14:textId="77777777" w:rsidR="00A76DEA" w:rsidRDefault="00A76DEA" w:rsidP="00A76DEA">
            <w:pPr>
              <w:pStyle w:val="Bullet"/>
            </w:pPr>
            <w:r>
              <w:t>Listen</w:t>
            </w:r>
            <w:r>
              <w:rPr>
                <w:spacing w:val="13"/>
              </w:rPr>
              <w:t xml:space="preserve"> </w:t>
            </w:r>
            <w:r>
              <w:t>to</w:t>
            </w:r>
            <w:r>
              <w:rPr>
                <w:spacing w:val="11"/>
              </w:rPr>
              <w:t xml:space="preserve"> </w:t>
            </w:r>
            <w:r>
              <w:t>and</w:t>
            </w:r>
            <w:r>
              <w:rPr>
                <w:spacing w:val="15"/>
              </w:rPr>
              <w:t xml:space="preserve"> </w:t>
            </w:r>
            <w:r>
              <w:t>consider</w:t>
            </w:r>
            <w:r>
              <w:rPr>
                <w:spacing w:val="14"/>
              </w:rPr>
              <w:t xml:space="preserve"> </w:t>
            </w:r>
            <w:r>
              <w:t>staff</w:t>
            </w:r>
            <w:r>
              <w:rPr>
                <w:spacing w:val="14"/>
              </w:rPr>
              <w:t xml:space="preserve"> </w:t>
            </w:r>
            <w:r>
              <w:t>suggestions</w:t>
            </w:r>
            <w:r>
              <w:rPr>
                <w:spacing w:val="11"/>
              </w:rPr>
              <w:t xml:space="preserve"> </w:t>
            </w:r>
            <w:r>
              <w:t>for</w:t>
            </w:r>
            <w:r>
              <w:rPr>
                <w:spacing w:val="12"/>
              </w:rPr>
              <w:t xml:space="preserve"> </w:t>
            </w:r>
            <w:r>
              <w:t>enhancing</w:t>
            </w:r>
            <w:r>
              <w:rPr>
                <w:spacing w:val="10"/>
              </w:rPr>
              <w:t xml:space="preserve"> </w:t>
            </w:r>
            <w:r>
              <w:t>wellbeing</w:t>
            </w:r>
          </w:p>
          <w:p w14:paraId="20882270" w14:textId="77777777" w:rsidR="00A76DEA" w:rsidRDefault="00A76DEA" w:rsidP="00A76DEA">
            <w:pPr>
              <w:pStyle w:val="Bullet"/>
            </w:pPr>
            <w:r>
              <w:t>Be</w:t>
            </w:r>
            <w:r>
              <w:rPr>
                <w:spacing w:val="12"/>
              </w:rPr>
              <w:t xml:space="preserve"> </w:t>
            </w:r>
            <w:r>
              <w:t>mindful</w:t>
            </w:r>
            <w:r>
              <w:rPr>
                <w:spacing w:val="9"/>
              </w:rPr>
              <w:t xml:space="preserve"> </w:t>
            </w:r>
            <w:r>
              <w:t>of</w:t>
            </w:r>
            <w:r>
              <w:rPr>
                <w:spacing w:val="10"/>
              </w:rPr>
              <w:t xml:space="preserve"> </w:t>
            </w:r>
            <w:r>
              <w:t>and</w:t>
            </w:r>
            <w:r>
              <w:rPr>
                <w:spacing w:val="13"/>
              </w:rPr>
              <w:t xml:space="preserve"> </w:t>
            </w:r>
            <w:r>
              <w:t>adapt</w:t>
            </w:r>
            <w:r>
              <w:rPr>
                <w:spacing w:val="10"/>
              </w:rPr>
              <w:t xml:space="preserve"> </w:t>
            </w:r>
            <w:r>
              <w:t>to</w:t>
            </w:r>
            <w:r>
              <w:rPr>
                <w:spacing w:val="10"/>
              </w:rPr>
              <w:t xml:space="preserve"> </w:t>
            </w:r>
            <w:r>
              <w:t>new</w:t>
            </w:r>
            <w:r>
              <w:rPr>
                <w:spacing w:val="12"/>
              </w:rPr>
              <w:t xml:space="preserve"> </w:t>
            </w:r>
            <w:r>
              <w:t>ways</w:t>
            </w:r>
            <w:r>
              <w:rPr>
                <w:spacing w:val="9"/>
              </w:rPr>
              <w:t xml:space="preserve"> </w:t>
            </w:r>
            <w:r>
              <w:t>of</w:t>
            </w:r>
            <w:r>
              <w:rPr>
                <w:spacing w:val="11"/>
              </w:rPr>
              <w:t xml:space="preserve"> </w:t>
            </w:r>
            <w:r>
              <w:t>approaching</w:t>
            </w:r>
            <w:r>
              <w:rPr>
                <w:spacing w:val="12"/>
              </w:rPr>
              <w:t xml:space="preserve"> </w:t>
            </w:r>
            <w:r>
              <w:t>wellbeing.</w:t>
            </w:r>
          </w:p>
          <w:p w14:paraId="5B11BBCC" w14:textId="77777777" w:rsidR="00A76DEA" w:rsidRDefault="00A76DEA" w:rsidP="009A31A6">
            <w:pPr>
              <w:rPr>
                <w:lang w:eastAsia="en-US"/>
              </w:rPr>
            </w:pPr>
          </w:p>
        </w:tc>
      </w:tr>
    </w:tbl>
    <w:p w14:paraId="77857C55" w14:textId="56FFC2F0" w:rsidR="009A31A6" w:rsidRDefault="009A31A6" w:rsidP="009A31A6">
      <w:pPr>
        <w:rPr>
          <w:lang w:eastAsia="en-US"/>
        </w:rPr>
      </w:pPr>
    </w:p>
    <w:p w14:paraId="5FFBA893" w14:textId="7B4A75D8" w:rsidR="00A76DEA" w:rsidRDefault="00A76DEA" w:rsidP="00A76DEA">
      <w:pPr>
        <w:rPr>
          <w:lang w:eastAsia="en-US"/>
        </w:rPr>
      </w:pPr>
      <w:r>
        <w:rPr>
          <w:lang w:eastAsia="en-US"/>
        </w:rPr>
        <w:t>We are very proud of our results in the inaugural Public Service Census, Te Taunaki, in 2021. There are over 60,000 public servants across 36 agencies. The results highlight much of the work we are doing, particularly around diversity and inclusion, te reo Māori and Māori Crown relations (see Tō mātou whakahaere | Our performance section).</w:t>
      </w:r>
    </w:p>
    <w:p w14:paraId="7297DD58" w14:textId="77777777" w:rsidR="00A76DEA" w:rsidRDefault="00A76DEA" w:rsidP="00A76DEA">
      <w:pPr>
        <w:rPr>
          <w:lang w:eastAsia="en-US"/>
        </w:rPr>
      </w:pPr>
    </w:p>
    <w:p w14:paraId="547F0351" w14:textId="77777777" w:rsidR="00A76DEA" w:rsidRDefault="00A76DEA" w:rsidP="00A76DEA">
      <w:pPr>
        <w:rPr>
          <w:lang w:eastAsia="en-US"/>
        </w:rPr>
      </w:pPr>
      <w:r>
        <w:rPr>
          <w:lang w:eastAsia="en-US"/>
        </w:rPr>
        <w:t xml:space="preserve">As yet another validation of our performance, we were thrilled to learn our chief executive was nominated for and selected as one of three global finalists in the Union </w:t>
      </w:r>
      <w:r>
        <w:rPr>
          <w:lang w:eastAsia="en-US"/>
        </w:rPr>
        <w:lastRenderedPageBreak/>
        <w:t>for International Cancer Control (UICC) Chief Executive Office Award. The winner will be announced at the UICC General Assembly in Geneva in October. We are very proud to support Diana in this nomination.</w:t>
      </w:r>
    </w:p>
    <w:p w14:paraId="02A66682" w14:textId="77777777" w:rsidR="00A76DEA" w:rsidRDefault="00A76DEA" w:rsidP="00A76DEA">
      <w:pPr>
        <w:pStyle w:val="Heading4"/>
        <w:rPr>
          <w:lang w:eastAsia="en-US"/>
        </w:rPr>
      </w:pPr>
      <w:r>
        <w:rPr>
          <w:lang w:eastAsia="en-US"/>
        </w:rPr>
        <w:t>Active health sector support</w:t>
      </w:r>
    </w:p>
    <w:p w14:paraId="2CE646FB" w14:textId="3E6C238B" w:rsidR="009A31A6" w:rsidRDefault="00A76DEA" w:rsidP="00A76DEA">
      <w:pPr>
        <w:rPr>
          <w:lang w:eastAsia="en-US"/>
        </w:rPr>
      </w:pPr>
      <w:r>
        <w:rPr>
          <w:lang w:eastAsia="en-US"/>
        </w:rPr>
        <w:t>We continue to offer support to the secondary and tertiary cancer sector through our four regional hubs. The hubs are responsible for:</w:t>
      </w:r>
    </w:p>
    <w:p w14:paraId="07849B4B" w14:textId="77777777" w:rsidR="00A76DEA" w:rsidRDefault="00A76DEA" w:rsidP="00A76DEA">
      <w:pPr>
        <w:pStyle w:val="Bullet"/>
        <w:rPr>
          <w:lang w:eastAsia="en-US"/>
        </w:rPr>
      </w:pPr>
      <w:r>
        <w:rPr>
          <w:lang w:eastAsia="en-US"/>
        </w:rPr>
        <w:t>developing positive working relationships with regional stakeholders</w:t>
      </w:r>
    </w:p>
    <w:p w14:paraId="05464F29" w14:textId="77777777" w:rsidR="00A76DEA" w:rsidRDefault="00A76DEA" w:rsidP="00A76DEA">
      <w:pPr>
        <w:pStyle w:val="Bullet"/>
        <w:rPr>
          <w:lang w:eastAsia="en-US"/>
        </w:rPr>
      </w:pPr>
      <w:r>
        <w:rPr>
          <w:lang w:eastAsia="en-US"/>
        </w:rPr>
        <w:t>maintaining links with regional and local governance groups</w:t>
      </w:r>
    </w:p>
    <w:p w14:paraId="7557933C" w14:textId="77777777" w:rsidR="00A76DEA" w:rsidRDefault="00A76DEA" w:rsidP="00A76DEA">
      <w:pPr>
        <w:pStyle w:val="Bullet"/>
        <w:rPr>
          <w:lang w:eastAsia="en-US"/>
        </w:rPr>
      </w:pPr>
      <w:r>
        <w:rPr>
          <w:lang w:eastAsia="en-US"/>
        </w:rPr>
        <w:t>working closely with cancer service providers to implement national priorities</w:t>
      </w:r>
    </w:p>
    <w:p w14:paraId="3BB85F9B" w14:textId="77777777" w:rsidR="00A76DEA" w:rsidRDefault="00A76DEA" w:rsidP="00A76DEA">
      <w:pPr>
        <w:pStyle w:val="Bullet"/>
        <w:rPr>
          <w:lang w:eastAsia="en-US"/>
        </w:rPr>
      </w:pPr>
      <w:r>
        <w:rPr>
          <w:lang w:eastAsia="en-US"/>
        </w:rPr>
        <w:t>understanding regional and local needs and performance</w:t>
      </w:r>
    </w:p>
    <w:p w14:paraId="3361F19E" w14:textId="51FF39F3" w:rsidR="00A76DEA" w:rsidRDefault="00A76DEA" w:rsidP="00A76DEA">
      <w:pPr>
        <w:pStyle w:val="Bullet"/>
        <w:rPr>
          <w:lang w:eastAsia="en-US"/>
        </w:rPr>
      </w:pPr>
      <w:r>
        <w:rPr>
          <w:lang w:eastAsia="en-US"/>
        </w:rPr>
        <w:t xml:space="preserve"> promoting a regional perspective and advocating for regional needs</w:t>
      </w:r>
    </w:p>
    <w:p w14:paraId="4F7F0FE4" w14:textId="77777777" w:rsidR="00A76DEA" w:rsidRDefault="00A76DEA" w:rsidP="00A76DEA">
      <w:pPr>
        <w:pStyle w:val="Bullet"/>
        <w:rPr>
          <w:lang w:eastAsia="en-US"/>
        </w:rPr>
      </w:pPr>
      <w:r>
        <w:rPr>
          <w:lang w:eastAsia="en-US"/>
        </w:rPr>
        <w:t>coordinating responses to regional or local issues or opportunities.</w:t>
      </w:r>
    </w:p>
    <w:p w14:paraId="51CDEF6B" w14:textId="77777777" w:rsidR="00A76DEA" w:rsidRDefault="00A76DEA" w:rsidP="00A76DEA">
      <w:pPr>
        <w:pStyle w:val="Bullet"/>
        <w:numPr>
          <w:ilvl w:val="0"/>
          <w:numId w:val="0"/>
        </w:numPr>
        <w:rPr>
          <w:lang w:eastAsia="en-US"/>
        </w:rPr>
      </w:pPr>
    </w:p>
    <w:p w14:paraId="20EF6C6D" w14:textId="6466C0B9" w:rsidR="00A76DEA" w:rsidRDefault="00A76DEA" w:rsidP="00A76DEA">
      <w:pPr>
        <w:pStyle w:val="Bullet"/>
        <w:numPr>
          <w:ilvl w:val="0"/>
          <w:numId w:val="0"/>
        </w:numPr>
        <w:rPr>
          <w:lang w:eastAsia="en-US"/>
        </w:rPr>
      </w:pPr>
      <w:r w:rsidRPr="00A76DEA">
        <w:rPr>
          <w:lang w:eastAsia="en-US"/>
        </w:rPr>
        <w:t>This includes working directly with clinical and operational leadership of cancer services to support service delivery and timely access to diagnosis and treatment. Across the 2021/22 year, that support has been tailored to the needs of each region and affected district. It included providing insight into service performance data and working with clinicians and service staff to identify and support appropriate responses.</w:t>
      </w:r>
    </w:p>
    <w:p w14:paraId="15988B21" w14:textId="77777777" w:rsidR="00A76DEA" w:rsidRDefault="00A76DEA" w:rsidP="00A76DEA">
      <w:pPr>
        <w:pStyle w:val="Heading4"/>
        <w:rPr>
          <w:lang w:eastAsia="en-US"/>
        </w:rPr>
      </w:pPr>
      <w:r>
        <w:rPr>
          <w:lang w:eastAsia="en-US"/>
        </w:rPr>
        <w:t>COVID-19</w:t>
      </w:r>
    </w:p>
    <w:p w14:paraId="56B4A30C" w14:textId="595B35AE" w:rsidR="00A76DEA" w:rsidRDefault="00A76DEA" w:rsidP="00A76DEA">
      <w:pPr>
        <w:rPr>
          <w:lang w:eastAsia="en-US"/>
        </w:rPr>
      </w:pPr>
      <w:r>
        <w:rPr>
          <w:lang w:eastAsia="en-US"/>
        </w:rPr>
        <w:t>We have provided national leadership for the cancer care sector throughout the COVID-19 pandemic. In 2021/22, we responded promptly in the initial stages of the Delta and Omicron outbreaks and re-issued guidance to the cancer care sector to ensure cancer treatments continued in a safe and effective manner at all alert levels and traffic light settings.</w:t>
      </w:r>
    </w:p>
    <w:p w14:paraId="1B274B0D" w14:textId="77777777" w:rsidR="00A76DEA" w:rsidRDefault="00A76DEA" w:rsidP="00A76DEA">
      <w:pPr>
        <w:rPr>
          <w:lang w:eastAsia="en-US"/>
        </w:rPr>
      </w:pPr>
    </w:p>
    <w:p w14:paraId="6ADFFA31" w14:textId="77777777" w:rsidR="00A76DEA" w:rsidRDefault="00A76DEA" w:rsidP="00A76DEA">
      <w:pPr>
        <w:rPr>
          <w:lang w:eastAsia="en-US"/>
        </w:rPr>
      </w:pPr>
      <w:r>
        <w:rPr>
          <w:lang w:eastAsia="en-US"/>
        </w:rPr>
        <w:t>We developed guidelines for clinicians on vaccinating people with cancer and worked alongside cancer care sector partners to ensure key information reached patients. We set up a monitoring framework to identify how cancer services were being impacted by the pandemic and provide an up-to-date picture for the health sector to respond to.</w:t>
      </w:r>
    </w:p>
    <w:p w14:paraId="2D8E2D27" w14:textId="4D76E858" w:rsidR="00A76DEA" w:rsidRDefault="00A76DEA" w:rsidP="00A76DEA">
      <w:pPr>
        <w:rPr>
          <w:lang w:eastAsia="en-US"/>
        </w:rPr>
      </w:pPr>
      <w:r>
        <w:rPr>
          <w:lang w:eastAsia="en-US"/>
        </w:rPr>
        <w:t>The monitoring has shown that, in general, the cancer system operated well during the pandemic and has not worsened any existing inequities or created new ones. Where treatment has been impacted, we have worked with the sector to find solutions, with a particular focus on prioritising Māori and Pacific populations in any catch-up activities.</w:t>
      </w:r>
    </w:p>
    <w:p w14:paraId="65BC61C4" w14:textId="77777777" w:rsidR="00A76DEA" w:rsidRDefault="00A76DEA" w:rsidP="00A76DEA">
      <w:pPr>
        <w:rPr>
          <w:lang w:eastAsia="en-US"/>
        </w:rPr>
      </w:pPr>
    </w:p>
    <w:p w14:paraId="4266F4AE" w14:textId="77777777" w:rsidR="00A76DEA" w:rsidRDefault="00A76DEA" w:rsidP="00A76DEA">
      <w:pPr>
        <w:rPr>
          <w:lang w:eastAsia="en-US"/>
        </w:rPr>
      </w:pPr>
      <w:r>
        <w:rPr>
          <w:lang w:eastAsia="en-US"/>
        </w:rPr>
        <w:t>We are currently supporting Te Whatu Ora to respond to the increased pressure on the health system because of winter illnesses and COVID-19. We provided advice to district health boards (DHBs) on how cancer services should continue and, as part of this, we requested DHBs alert us when there are changes to the availability of cancer surgery or treatment in their services. We continue to support our clinical working groups with COVID- 19-related issues, such as the roll-out of new antiviral medications.</w:t>
      </w:r>
    </w:p>
    <w:p w14:paraId="02C583F1" w14:textId="77777777" w:rsidR="00A76DEA" w:rsidRDefault="00A76DEA" w:rsidP="00A76DEA">
      <w:pPr>
        <w:rPr>
          <w:lang w:eastAsia="en-US"/>
        </w:rPr>
      </w:pPr>
    </w:p>
    <w:p w14:paraId="6E636806" w14:textId="77777777" w:rsidR="00A76DEA" w:rsidRDefault="00A76DEA" w:rsidP="00A76DEA">
      <w:pPr>
        <w:pStyle w:val="Heading4"/>
        <w:rPr>
          <w:lang w:eastAsia="en-US"/>
        </w:rPr>
      </w:pPr>
      <w:r>
        <w:rPr>
          <w:lang w:eastAsia="en-US"/>
        </w:rPr>
        <w:lastRenderedPageBreak/>
        <w:t>Transforming the future of cancer service delivery</w:t>
      </w:r>
    </w:p>
    <w:p w14:paraId="25E77C73" w14:textId="3F8F60B7" w:rsidR="00A76DEA" w:rsidRDefault="00A76DEA" w:rsidP="00A76DEA">
      <w:pPr>
        <w:rPr>
          <w:lang w:eastAsia="en-US"/>
        </w:rPr>
      </w:pPr>
      <w:r>
        <w:rPr>
          <w:lang w:eastAsia="en-US"/>
        </w:rPr>
        <w:t>We are currently undertaking a large, proactive programme of work to transform the way cancer treatment services are provided in Aotearoa New Zealand. The aim of this work is to support everyone to access high-quality care, regardless of who they are or where they live. The Cancer Services Planning Programme aims to provide evidence-based guidance to commissioning entities on how to change the way specialist cancer treatment and support services are organised and distributed to achieve optimal, equitable cancer outcomes for all people with cancer in Aotearoa New Zealand.</w:t>
      </w:r>
    </w:p>
    <w:p w14:paraId="7A7E165C" w14:textId="77777777" w:rsidR="00A76DEA" w:rsidRDefault="00A76DEA" w:rsidP="00A76DEA">
      <w:pPr>
        <w:rPr>
          <w:lang w:eastAsia="en-US"/>
        </w:rPr>
      </w:pPr>
    </w:p>
    <w:p w14:paraId="3BF905F6" w14:textId="522CB078" w:rsidR="00A76DEA" w:rsidRDefault="00A76DEA" w:rsidP="00A76DEA">
      <w:pPr>
        <w:rPr>
          <w:lang w:eastAsia="en-US"/>
        </w:rPr>
      </w:pPr>
      <w:r>
        <w:rPr>
          <w:lang w:eastAsia="en-US"/>
        </w:rPr>
        <w:t>The design and implementation phase of the programme started in March 2022 and aims to take our thinking beyond what changes need to occur to how the recommendations could be implemented by the new commissioning entities. The outputs from the seven projects within the programme will provide the new entities with a head start on implementing the recommendations. The diagram below (with the seven projects in green) provides a representation of this work. In addition, a second programme of work will soon examine how the services and processes prior to cancer diagnosis could be organised and delivered.</w:t>
      </w:r>
    </w:p>
    <w:p w14:paraId="177ADEE9" w14:textId="5FC65906" w:rsidR="00A76DEA" w:rsidRDefault="00A76DEA" w:rsidP="00A76DEA">
      <w:pPr>
        <w:rPr>
          <w:lang w:eastAsia="en-US"/>
        </w:rPr>
      </w:pPr>
    </w:p>
    <w:p w14:paraId="575226DA" w14:textId="47D67F39" w:rsidR="00A76DEA" w:rsidRDefault="00A76DEA" w:rsidP="00A76DEA">
      <w:pPr>
        <w:rPr>
          <w:lang w:eastAsia="en-US"/>
        </w:rPr>
      </w:pPr>
      <w:r>
        <w:rPr>
          <w:noProof/>
        </w:rPr>
        <w:drawing>
          <wp:inline distT="0" distB="0" distL="0" distR="0" wp14:anchorId="2BFCA957" wp14:editId="248391CA">
            <wp:extent cx="5130165" cy="1889125"/>
            <wp:effectExtent l="0" t="0" r="0" b="0"/>
            <wp:docPr id="16" name="Picture 16" descr="Improved and equitable patient outcomes and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proved and equitable patient outcomes and experience"/>
                    <pic:cNvPicPr/>
                  </pic:nvPicPr>
                  <pic:blipFill>
                    <a:blip r:embed="rId53">
                      <a:extLst>
                        <a:ext uri="{28A0092B-C50C-407E-A947-70E740481C1C}">
                          <a14:useLocalDpi xmlns:a14="http://schemas.microsoft.com/office/drawing/2010/main" val="0"/>
                        </a:ext>
                      </a:extLst>
                    </a:blip>
                    <a:stretch>
                      <a:fillRect/>
                    </a:stretch>
                  </pic:blipFill>
                  <pic:spPr>
                    <a:xfrm>
                      <a:off x="0" y="0"/>
                      <a:ext cx="5130165" cy="1889125"/>
                    </a:xfrm>
                    <a:prstGeom prst="rect">
                      <a:avLst/>
                    </a:prstGeom>
                  </pic:spPr>
                </pic:pic>
              </a:graphicData>
            </a:graphic>
          </wp:inline>
        </w:drawing>
      </w:r>
    </w:p>
    <w:p w14:paraId="0ADB8680" w14:textId="4BCB84D4" w:rsidR="00A76DEA" w:rsidRDefault="00A76DEA" w:rsidP="00A76DEA">
      <w:pPr>
        <w:rPr>
          <w:lang w:eastAsia="en-US"/>
        </w:rPr>
      </w:pPr>
    </w:p>
    <w:p w14:paraId="57A7145E" w14:textId="77777777" w:rsidR="00A76DEA" w:rsidRDefault="00A76DEA" w:rsidP="00A76DEA">
      <w:pPr>
        <w:rPr>
          <w:lang w:eastAsia="en-US"/>
        </w:rPr>
      </w:pPr>
      <w:r>
        <w:rPr>
          <w:lang w:eastAsia="en-US"/>
        </w:rPr>
        <w:t>We presented a high-level recommendations summary to the Minister of Health in October 2021. This summary was then shared with the Health System Reform Transition Unit, for input into the interim New Zealand Health Plan of Te Whatu Ora. The full report on the programme He Mahere Ratonga Mate Pukupuku, Cancer Services Planning: A vision for cancer treatment in the reformed health system is available on our website.</w:t>
      </w:r>
    </w:p>
    <w:p w14:paraId="3FC532CA" w14:textId="77777777" w:rsidR="00A76DEA" w:rsidRDefault="00A76DEA" w:rsidP="00A76DEA">
      <w:pPr>
        <w:pStyle w:val="Heading5"/>
        <w:rPr>
          <w:lang w:eastAsia="en-US"/>
        </w:rPr>
      </w:pPr>
      <w:r>
        <w:rPr>
          <w:lang w:eastAsia="en-US"/>
        </w:rPr>
        <w:t>1.</w:t>
      </w:r>
      <w:r>
        <w:rPr>
          <w:lang w:eastAsia="en-US"/>
        </w:rPr>
        <w:tab/>
        <w:t>Workforce</w:t>
      </w:r>
    </w:p>
    <w:p w14:paraId="0B3A44A8" w14:textId="77777777" w:rsidR="00A76DEA" w:rsidRDefault="00A76DEA" w:rsidP="00A76DEA">
      <w:pPr>
        <w:rPr>
          <w:lang w:eastAsia="en-US"/>
        </w:rPr>
      </w:pPr>
      <w:r>
        <w:rPr>
          <w:lang w:eastAsia="en-US"/>
        </w:rPr>
        <w:t>Addressing the challenges facing the cancer workforce is a priority across the whole</w:t>
      </w:r>
    </w:p>
    <w:p w14:paraId="54511558" w14:textId="735E3678" w:rsidR="00A76DEA" w:rsidRDefault="00A76DEA" w:rsidP="00A76DEA">
      <w:pPr>
        <w:rPr>
          <w:lang w:eastAsia="en-US"/>
        </w:rPr>
      </w:pPr>
      <w:r>
        <w:rPr>
          <w:lang w:eastAsia="en-US"/>
        </w:rPr>
        <w:t xml:space="preserve">Cancer Services Planning Programme. The cancer workforce is struggling to meet current demand much less meet the projected 40 percent increase in new cancer diagnoses between 2020 and 2040. In 2021/22, our focus was on developing an implementation plan that concentrated on immediate short-term actions (subject to available funding). We delivered the plan to Te Whatu Ora and provided advice on utilising existing funding, starting with areas of greatest need – oncology and haematology nursing, the radiation oncology workforce and developing a stem cell transplant workforce model of care. The plan also provided the building blocks for future workforce planning that will continue in 2022/23. We will work with Te Whatu Ora, Te Aka Whai Ora, Māori Health Authority and the Health Workforce Taskforce to </w:t>
      </w:r>
      <w:r>
        <w:rPr>
          <w:lang w:eastAsia="en-US"/>
        </w:rPr>
        <w:lastRenderedPageBreak/>
        <w:t>ensure there is appropriate cancer workforce capacity and capability to align with future demand for, and changes to, cancer treatment in this country.</w:t>
      </w:r>
    </w:p>
    <w:p w14:paraId="45ACB3B9" w14:textId="77777777" w:rsidR="00A76DEA" w:rsidRDefault="00A76DEA" w:rsidP="00A76DEA">
      <w:pPr>
        <w:pStyle w:val="Heading5"/>
        <w:rPr>
          <w:lang w:eastAsia="en-US"/>
        </w:rPr>
      </w:pPr>
      <w:r>
        <w:rPr>
          <w:lang w:eastAsia="en-US"/>
        </w:rPr>
        <w:t>2.</w:t>
      </w:r>
      <w:r>
        <w:rPr>
          <w:lang w:eastAsia="en-US"/>
        </w:rPr>
        <w:tab/>
        <w:t>Tumour optimal cancer care pathway</w:t>
      </w:r>
    </w:p>
    <w:p w14:paraId="0D77A97C" w14:textId="77777777" w:rsidR="00A76DEA" w:rsidRDefault="00A76DEA" w:rsidP="00A76DEA">
      <w:pPr>
        <w:rPr>
          <w:lang w:eastAsia="en-US"/>
        </w:rPr>
      </w:pPr>
      <w:r>
        <w:rPr>
          <w:lang w:eastAsia="en-US"/>
        </w:rPr>
        <w:t>Unwarranted tumour cancer variation in the delivery of cancer care means that some</w:t>
      </w:r>
    </w:p>
    <w:p w14:paraId="42ADB564" w14:textId="77777777" w:rsidR="00A76DEA" w:rsidRDefault="00A76DEA" w:rsidP="00A76DEA">
      <w:pPr>
        <w:rPr>
          <w:lang w:eastAsia="en-US"/>
        </w:rPr>
      </w:pPr>
      <w:r>
        <w:rPr>
          <w:lang w:eastAsia="en-US"/>
        </w:rPr>
        <w:t>people receive sub-optimal care, and resources are used in ways that do not lead to optimal outcomes. This project supports improvements in cancer care by defining the optimal (evidence-based, best-practice), publicly funded care we should provide.</w:t>
      </w:r>
    </w:p>
    <w:p w14:paraId="1D1491C6" w14:textId="77777777" w:rsidR="00A76DEA" w:rsidRDefault="00A76DEA" w:rsidP="00A76DEA">
      <w:pPr>
        <w:rPr>
          <w:lang w:eastAsia="en-US"/>
        </w:rPr>
      </w:pPr>
      <w:r>
        <w:rPr>
          <w:lang w:eastAsia="en-US"/>
        </w:rPr>
        <w:t>Planning has commenced to develop the optimal cancer care pathways for health care providers and services along the pathway, and for whānau there will be a ‘what to expect’ guide. The pathways will be a tool to help identify and address unwanted variation and inequity, particularly for Māori and Pacific peoples, encourage a proactive response to addressing and eliminating such inequity and drive continuious quality improvement.</w:t>
      </w:r>
    </w:p>
    <w:p w14:paraId="3929279B" w14:textId="77777777" w:rsidR="00A76DEA" w:rsidRDefault="00A76DEA" w:rsidP="00A76DEA">
      <w:pPr>
        <w:pStyle w:val="Heading5"/>
        <w:rPr>
          <w:lang w:eastAsia="en-US"/>
        </w:rPr>
      </w:pPr>
      <w:r>
        <w:rPr>
          <w:lang w:eastAsia="en-US"/>
        </w:rPr>
        <w:t>3.</w:t>
      </w:r>
      <w:r>
        <w:rPr>
          <w:lang w:eastAsia="en-US"/>
        </w:rPr>
        <w:tab/>
        <w:t>Stem cell transplant</w:t>
      </w:r>
    </w:p>
    <w:p w14:paraId="59B398EC" w14:textId="4DACF3E7" w:rsidR="00A76DEA" w:rsidRDefault="00A76DEA" w:rsidP="00A76DEA">
      <w:pPr>
        <w:rPr>
          <w:lang w:eastAsia="en-US"/>
        </w:rPr>
      </w:pPr>
      <w:r>
        <w:rPr>
          <w:lang w:eastAsia="en-US"/>
        </w:rPr>
        <w:t>Stem cell transplant services have become fragmented, inequitable, and no longer fit for purpose. This contributes to a cancer services system that does not work equally well for everybody, especially Māori and Pacific peoples. This project aims to design a sustainable future service model for stem cell transplant, at the same time, working to address immediate capacity challenges.</w:t>
      </w:r>
    </w:p>
    <w:p w14:paraId="63F1D367" w14:textId="77777777" w:rsidR="00A76DEA" w:rsidRDefault="00A76DEA" w:rsidP="00A76DEA">
      <w:pPr>
        <w:pStyle w:val="Heading5"/>
        <w:rPr>
          <w:lang w:eastAsia="en-US"/>
        </w:rPr>
      </w:pPr>
      <w:r>
        <w:rPr>
          <w:lang w:eastAsia="en-US"/>
        </w:rPr>
        <w:t>4.</w:t>
      </w:r>
      <w:r>
        <w:rPr>
          <w:lang w:eastAsia="en-US"/>
        </w:rPr>
        <w:tab/>
        <w:t>Surgical services</w:t>
      </w:r>
    </w:p>
    <w:p w14:paraId="4F48157F" w14:textId="77777777" w:rsidR="00A76DEA" w:rsidRDefault="00A76DEA" w:rsidP="00A76DEA">
      <w:pPr>
        <w:rPr>
          <w:lang w:eastAsia="en-US"/>
        </w:rPr>
      </w:pPr>
      <w:r>
        <w:rPr>
          <w:lang w:eastAsia="en-US"/>
        </w:rPr>
        <w:t>Aotearoa New Zealand does not have a national policy to guide how surgery for</w:t>
      </w:r>
    </w:p>
    <w:p w14:paraId="1B6D8560" w14:textId="77777777" w:rsidR="00A76DEA" w:rsidRDefault="00A76DEA" w:rsidP="00A76DEA">
      <w:pPr>
        <w:rPr>
          <w:lang w:eastAsia="en-US"/>
        </w:rPr>
      </w:pPr>
      <w:r>
        <w:rPr>
          <w:lang w:eastAsia="en-US"/>
        </w:rPr>
        <w:t>different cancers should be distributed throughout our country. This means many New Zealanders experience barriers to accessing surgical care, and treatment pathways are inconsistent. The focus of this project is on developing a framework that can help determine how cancer surgical services should be distributed across Aotearoa New</w:t>
      </w:r>
    </w:p>
    <w:p w14:paraId="53A27E5A" w14:textId="77777777" w:rsidR="00A76DEA" w:rsidRDefault="00A76DEA" w:rsidP="00A76DEA">
      <w:pPr>
        <w:rPr>
          <w:lang w:eastAsia="en-US"/>
        </w:rPr>
      </w:pPr>
      <w:r>
        <w:rPr>
          <w:lang w:eastAsia="en-US"/>
        </w:rPr>
        <w:t>Zealand, including the level of centralisation/localisation required for equity of access and quality.</w:t>
      </w:r>
    </w:p>
    <w:p w14:paraId="1BD631AB" w14:textId="77777777" w:rsidR="00A76DEA" w:rsidRDefault="00A76DEA" w:rsidP="00A76DEA">
      <w:pPr>
        <w:pStyle w:val="Heading5"/>
        <w:rPr>
          <w:lang w:eastAsia="en-US"/>
        </w:rPr>
      </w:pPr>
      <w:r>
        <w:rPr>
          <w:lang w:eastAsia="en-US"/>
        </w:rPr>
        <w:t>5.</w:t>
      </w:r>
      <w:r>
        <w:rPr>
          <w:lang w:eastAsia="en-US"/>
        </w:rPr>
        <w:tab/>
        <w:t>Systemic anti-cancer therapies</w:t>
      </w:r>
    </w:p>
    <w:p w14:paraId="033C20FA" w14:textId="77777777" w:rsidR="00A76DEA" w:rsidRDefault="00A76DEA" w:rsidP="00A76DEA">
      <w:pPr>
        <w:rPr>
          <w:lang w:eastAsia="en-US"/>
        </w:rPr>
      </w:pPr>
      <w:r>
        <w:rPr>
          <w:lang w:eastAsia="en-US"/>
        </w:rPr>
        <w:t>Care for patients receiving systemic anti-cancer therapies (SACT) – chemotherapy,</w:t>
      </w:r>
    </w:p>
    <w:p w14:paraId="34C9BE9C" w14:textId="77777777" w:rsidR="00A76DEA" w:rsidRDefault="00A76DEA" w:rsidP="00A76DEA">
      <w:pPr>
        <w:rPr>
          <w:lang w:eastAsia="en-US"/>
        </w:rPr>
      </w:pPr>
      <w:r>
        <w:rPr>
          <w:lang w:eastAsia="en-US"/>
        </w:rPr>
        <w:t>immunotherapy, targeted therapy and hormone therapy – is becoming more complex, and demand is increasing. Our focus is on addressing immediate capacity challenges while developing new models of care for delivering SACT, looking to enable more SACT to be delivered in the community, where it is appropriate to do so.</w:t>
      </w:r>
    </w:p>
    <w:p w14:paraId="3AA22B76" w14:textId="77777777" w:rsidR="00A76DEA" w:rsidRDefault="00A76DEA" w:rsidP="00A76DEA">
      <w:pPr>
        <w:pStyle w:val="Heading5"/>
        <w:rPr>
          <w:lang w:eastAsia="en-US"/>
        </w:rPr>
      </w:pPr>
      <w:r>
        <w:rPr>
          <w:lang w:eastAsia="en-US"/>
        </w:rPr>
        <w:t>6.</w:t>
      </w:r>
      <w:r>
        <w:rPr>
          <w:lang w:eastAsia="en-US"/>
        </w:rPr>
        <w:tab/>
        <w:t>Radiation oncology</w:t>
      </w:r>
    </w:p>
    <w:p w14:paraId="51BF27C0" w14:textId="0D4943EC" w:rsidR="00A76DEA" w:rsidRDefault="00A76DEA" w:rsidP="00A76DEA">
      <w:pPr>
        <w:rPr>
          <w:lang w:eastAsia="en-US"/>
        </w:rPr>
      </w:pPr>
      <w:r>
        <w:rPr>
          <w:lang w:eastAsia="en-US"/>
        </w:rPr>
        <w:t>Radiation oncology (RO) in Aotearoa is of high quality but not all population groups are receiving the same access to, or benefit from, it. Currently RO services are managed by six host hospitals operating independently from each other. This project looks to describe and support the move to provide a single RO system of care, operating under a standardised national RO service model. It also focuses on increasing RO workforces and the public Linear Accelerator (LINAC) machine stock and accessibility.</w:t>
      </w:r>
    </w:p>
    <w:p w14:paraId="4EBF7F23" w14:textId="77777777" w:rsidR="00A76DEA" w:rsidRDefault="00A76DEA" w:rsidP="00A76DEA">
      <w:pPr>
        <w:rPr>
          <w:lang w:eastAsia="en-US"/>
        </w:rPr>
      </w:pPr>
    </w:p>
    <w:p w14:paraId="2D64C9B1" w14:textId="77777777" w:rsidR="00A76DEA" w:rsidRDefault="00A76DEA" w:rsidP="00A76DEA">
      <w:pPr>
        <w:pStyle w:val="Heading5"/>
        <w:rPr>
          <w:lang w:eastAsia="en-US"/>
        </w:rPr>
      </w:pPr>
      <w:r>
        <w:rPr>
          <w:lang w:eastAsia="en-US"/>
        </w:rPr>
        <w:lastRenderedPageBreak/>
        <w:t>7.</w:t>
      </w:r>
      <w:r>
        <w:rPr>
          <w:lang w:eastAsia="en-US"/>
        </w:rPr>
        <w:tab/>
        <w:t>Cancer care coordination</w:t>
      </w:r>
    </w:p>
    <w:p w14:paraId="0E9A5615" w14:textId="77777777" w:rsidR="00A76DEA" w:rsidRDefault="00A76DEA" w:rsidP="00A76DEA">
      <w:pPr>
        <w:rPr>
          <w:lang w:eastAsia="en-US"/>
        </w:rPr>
      </w:pPr>
      <w:r>
        <w:rPr>
          <w:lang w:eastAsia="en-US"/>
        </w:rPr>
        <w:t>We are developing an establishment plan so that cancer care coordination services</w:t>
      </w:r>
    </w:p>
    <w:p w14:paraId="7F15C6FF" w14:textId="237D49B8" w:rsidR="00A76DEA" w:rsidRDefault="00A76DEA" w:rsidP="00A76DEA">
      <w:pPr>
        <w:rPr>
          <w:lang w:eastAsia="en-US"/>
        </w:rPr>
      </w:pPr>
      <w:r>
        <w:rPr>
          <w:lang w:eastAsia="en-US"/>
        </w:rPr>
        <w:t>can be commissioned throughout the country, with the initial focus on supporting Māori and Pacific cancer patients and their whānau. This plan includes strategic advice for the commissioning entities on how they can create cancer coordination services that are broadly consistent and high quality but also tailored to suit local communities and delivered in a range of settings, including primary health care, secondary health care, kaupapa Māori and community health organisations.</w:t>
      </w:r>
    </w:p>
    <w:p w14:paraId="3C2FD592" w14:textId="77777777" w:rsidR="00A76DEA" w:rsidRPr="00563085" w:rsidRDefault="00A76DEA" w:rsidP="00563085">
      <w:pPr>
        <w:pStyle w:val="Heading4"/>
      </w:pPr>
      <w:r w:rsidRPr="00563085">
        <w:t>Developing a monitoring framework</w:t>
      </w:r>
    </w:p>
    <w:p w14:paraId="1BF23002" w14:textId="1C3D0E18" w:rsidR="00A76DEA" w:rsidRDefault="00A76DEA" w:rsidP="00A76DEA">
      <w:pPr>
        <w:rPr>
          <w:lang w:eastAsia="en-US"/>
        </w:rPr>
      </w:pPr>
      <w:r>
        <w:rPr>
          <w:lang w:eastAsia="en-US"/>
        </w:rPr>
        <w:t xml:space="preserve">The </w:t>
      </w:r>
      <w:r w:rsidRPr="00A76DEA">
        <w:rPr>
          <w:i/>
          <w:iCs/>
          <w:lang w:eastAsia="en-US"/>
        </w:rPr>
        <w:t>New Zealand Cancer Action Plan 2019–2029</w:t>
      </w:r>
      <w:r>
        <w:rPr>
          <w:lang w:eastAsia="en-US"/>
        </w:rPr>
        <w:t xml:space="preserve"> sets four outcomes and multiple related actions across the cancer control pathway. This year, we have developed a monitoring framework so we can transparently assess our progress towards achieving the aspirations of the Cancer Action Plan.</w:t>
      </w:r>
    </w:p>
    <w:p w14:paraId="6D527DC4" w14:textId="77777777" w:rsidR="00A76DEA" w:rsidRDefault="00A76DEA" w:rsidP="00A76DEA">
      <w:pPr>
        <w:rPr>
          <w:lang w:eastAsia="en-US"/>
        </w:rPr>
      </w:pPr>
    </w:p>
    <w:p w14:paraId="3528706E" w14:textId="77777777" w:rsidR="00A76DEA" w:rsidRDefault="00A76DEA" w:rsidP="00A76DEA">
      <w:pPr>
        <w:rPr>
          <w:lang w:eastAsia="en-US"/>
        </w:rPr>
      </w:pPr>
      <w:r>
        <w:rPr>
          <w:lang w:eastAsia="en-US"/>
        </w:rPr>
        <w:t>We will report on 11 broad indicators to give a ‘snapshot’ of the current state of cancer control in Aotearoa New Zealand. Each year, we will calculate the indicators and present the results in a monitoring report to show progress in the cancer control system. The monitoring report will also present activities being undertaken to achieve the outcomes and actions of the Cancer Action Plan. A summary of the first monitoring report is available in Tō mātou whakahaere, Our performance section.</w:t>
      </w:r>
    </w:p>
    <w:p w14:paraId="730A475F" w14:textId="791B0316" w:rsidR="00A76DEA" w:rsidRDefault="00A76DEA" w:rsidP="00A76DEA">
      <w:pPr>
        <w:pStyle w:val="Heading4"/>
        <w:rPr>
          <w:lang w:eastAsia="en-US"/>
        </w:rPr>
      </w:pPr>
      <w:r>
        <w:rPr>
          <w:lang w:eastAsia="en-US"/>
        </w:rPr>
        <w:t>Better quality and more connected data and information</w:t>
      </w:r>
    </w:p>
    <w:p w14:paraId="6C60FD39" w14:textId="77777777" w:rsidR="00A76DEA" w:rsidRDefault="00A76DEA" w:rsidP="00A76DEA">
      <w:pPr>
        <w:pStyle w:val="Heading5"/>
      </w:pPr>
      <w:r>
        <w:t>CanShare</w:t>
      </w:r>
    </w:p>
    <w:p w14:paraId="5FDF5B55" w14:textId="12FB58F2" w:rsidR="00A76DEA" w:rsidRDefault="00A76DEA" w:rsidP="00A76DEA">
      <w:pPr>
        <w:rPr>
          <w:lang w:eastAsia="en-US"/>
        </w:rPr>
      </w:pPr>
      <w:r>
        <w:rPr>
          <w:lang w:eastAsia="en-US"/>
        </w:rPr>
        <w:t>CanShare is a new national health informatics platform that aims to allow the timely sharing of relevant and accurate cancer data. The primary intent of the CanShare programme is to support clinical and patient decision making at the point of care.</w:t>
      </w:r>
    </w:p>
    <w:p w14:paraId="0B878BB3" w14:textId="1A795F0E" w:rsidR="00A76DEA" w:rsidRDefault="00A76DEA" w:rsidP="00A76DEA">
      <w:pPr>
        <w:rPr>
          <w:lang w:eastAsia="en-US"/>
        </w:rPr>
      </w:pPr>
      <w:r>
        <w:rPr>
          <w:lang w:eastAsia="en-US"/>
        </w:rPr>
        <w:t>Outcomes from this work will include advanced analytics capability supporting up-to- date monitoring of cancer care throughout the country.</w:t>
      </w:r>
    </w:p>
    <w:p w14:paraId="3D405867" w14:textId="77777777" w:rsidR="00E773C3" w:rsidRDefault="00E773C3" w:rsidP="00A76DEA">
      <w:pPr>
        <w:rPr>
          <w:lang w:eastAsia="en-US"/>
        </w:rPr>
      </w:pPr>
    </w:p>
    <w:p w14:paraId="26183962" w14:textId="65C449B4" w:rsidR="00A76DEA" w:rsidRDefault="00DC739E" w:rsidP="00A76DEA">
      <w:pPr>
        <w:rPr>
          <w:lang w:eastAsia="en-US"/>
        </w:rPr>
      </w:pPr>
      <w:r>
        <w:rPr>
          <w:noProof/>
        </w:rPr>
        <w:drawing>
          <wp:inline distT="0" distB="0" distL="0" distR="0" wp14:anchorId="33476107" wp14:editId="3C15DFAF">
            <wp:extent cx="4599131" cy="2934586"/>
            <wp:effectExtent l="0" t="0" r="0" b="0"/>
            <wp:docPr id="17" name="Picture 17" descr="CanShare Sharing Cancer Information 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anShare Sharing Cancer Information infographic"/>
                    <pic:cNvPicPr/>
                  </pic:nvPicPr>
                  <pic:blipFill>
                    <a:blip r:embed="rId54">
                      <a:extLst>
                        <a:ext uri="{28A0092B-C50C-407E-A947-70E740481C1C}">
                          <a14:useLocalDpi xmlns:a14="http://schemas.microsoft.com/office/drawing/2010/main" val="0"/>
                        </a:ext>
                      </a:extLst>
                    </a:blip>
                    <a:stretch>
                      <a:fillRect/>
                    </a:stretch>
                  </pic:blipFill>
                  <pic:spPr>
                    <a:xfrm>
                      <a:off x="0" y="0"/>
                      <a:ext cx="4625220" cy="2951232"/>
                    </a:xfrm>
                    <a:prstGeom prst="rect">
                      <a:avLst/>
                    </a:prstGeom>
                  </pic:spPr>
                </pic:pic>
              </a:graphicData>
            </a:graphic>
          </wp:inline>
        </w:drawing>
      </w:r>
    </w:p>
    <w:p w14:paraId="248E5AFF" w14:textId="77777777" w:rsidR="00A76DEA" w:rsidRDefault="00A76DEA" w:rsidP="00A76DEA">
      <w:pPr>
        <w:rPr>
          <w:lang w:eastAsia="en-US"/>
        </w:rPr>
      </w:pPr>
      <w:r>
        <w:rPr>
          <w:lang w:eastAsia="en-US"/>
        </w:rPr>
        <w:lastRenderedPageBreak/>
        <w:t>This will enable the collection of complete and accurate cancer data, joining currently disparate data siloes and providing a means to share timely clinical cancer information as needed. Over the past year some 200 contributors including health care practitioners, subject matter experts and consumers have been consulted or participated in working groups to advise on CanShare. Alongside the technical aspects of CanShare, we are building the partnerships critical to give effect to Te Tiriti of Waitangi, in particular Māori data sovereignty in the development and use of cancer data. Connections have been established with Te Whatu Ora, a cloud database is being built and there has been much work undertaken in the individual programmes comprising CanShare, as outlined below.</w:t>
      </w:r>
    </w:p>
    <w:p w14:paraId="0445A269" w14:textId="77777777" w:rsidR="00A76DEA" w:rsidRDefault="00A76DEA" w:rsidP="00A76DEA">
      <w:pPr>
        <w:pStyle w:val="Heading5"/>
      </w:pPr>
      <w:r>
        <w:t>Anti-Cancer Therapies – Nationally Organised Workstreams</w:t>
      </w:r>
    </w:p>
    <w:p w14:paraId="7E744B57" w14:textId="77777777" w:rsidR="00A76DEA" w:rsidRDefault="00A76DEA" w:rsidP="00A76DEA">
      <w:pPr>
        <w:rPr>
          <w:lang w:eastAsia="en-US"/>
        </w:rPr>
      </w:pPr>
      <w:r>
        <w:rPr>
          <w:lang w:eastAsia="en-US"/>
        </w:rPr>
        <w:t>ACT-NOW (Anti-Cancer Therapies – Nationally Organised Workstreams) is a national</w:t>
      </w:r>
    </w:p>
    <w:p w14:paraId="4E7B4775" w14:textId="0A1883B3" w:rsidR="00A76DEA" w:rsidRDefault="00A76DEA" w:rsidP="00A76DEA">
      <w:pPr>
        <w:rPr>
          <w:lang w:eastAsia="en-US"/>
        </w:rPr>
      </w:pPr>
      <w:r>
        <w:rPr>
          <w:lang w:eastAsia="en-US"/>
        </w:rPr>
        <w:t>systemic anti-cancer therapy (SACT) data collection and analytics programme. In 2021/22 stakeholders collaborated to agree on SACT treatment definitions. This has now happened for 90 percent of cancers, meaning that treatment regimens can be compared across the country, outliers investigated, and quality improvement activities instigated.</w:t>
      </w:r>
    </w:p>
    <w:p w14:paraId="69811496" w14:textId="77777777" w:rsidR="00A76DEA" w:rsidRDefault="00A76DEA" w:rsidP="00A76DEA">
      <w:pPr>
        <w:rPr>
          <w:lang w:eastAsia="en-US"/>
        </w:rPr>
      </w:pPr>
    </w:p>
    <w:p w14:paraId="1FB726B5" w14:textId="4CBEB72E" w:rsidR="00A76DEA" w:rsidRDefault="00A76DEA" w:rsidP="00A76DEA">
      <w:pPr>
        <w:rPr>
          <w:lang w:eastAsia="en-US"/>
        </w:rPr>
      </w:pPr>
      <w:r>
        <w:rPr>
          <w:lang w:eastAsia="en-US"/>
        </w:rPr>
        <w:t>Implementation of these definitions is underway within the public system, enabling the development of prototype analyses and early insights that can be used as a basis for clinical decision making.</w:t>
      </w:r>
    </w:p>
    <w:p w14:paraId="4B863069" w14:textId="75FBF7AB" w:rsidR="00A76DEA" w:rsidRDefault="00A76DEA" w:rsidP="00A76DEA">
      <w:pPr>
        <w:rPr>
          <w:lang w:eastAsia="en-US"/>
        </w:rPr>
      </w:pPr>
    </w:p>
    <w:p w14:paraId="436E213F" w14:textId="21B91EFA" w:rsidR="00A76DEA" w:rsidRDefault="00A76DEA" w:rsidP="00A76DEA">
      <w:pPr>
        <w:rPr>
          <w:lang w:eastAsia="en-US"/>
        </w:rPr>
      </w:pPr>
      <w:r>
        <w:rPr>
          <w:lang w:eastAsia="en-US"/>
        </w:rPr>
        <w:t>There are multiple projects across our regional hubs now focused on operationalising the benefits of the ACT-NOW programme. Our Central Hub has stood up an ACT-NOW project for the Wellington Blood and Cancer Centre and the Regional Cancer Treatment Service. Functional requirements have been endorsed for the transition to oncology e-prescribing in our Te Manawa Taki Hub. In the Northern Hub, ACT-NOW is integral to the implementation of a new e-prescribing system, with our staff on the implementation working group and steering group.</w:t>
      </w:r>
    </w:p>
    <w:p w14:paraId="72FE4BD8" w14:textId="77777777" w:rsidR="00A76DEA" w:rsidRDefault="00A76DEA" w:rsidP="00A76DEA">
      <w:pPr>
        <w:pStyle w:val="Heading5"/>
        <w:rPr>
          <w:lang w:eastAsia="en-US"/>
        </w:rPr>
      </w:pPr>
      <w:r>
        <w:rPr>
          <w:lang w:eastAsia="en-US"/>
        </w:rPr>
        <w:t>MOSAIQ Oncology software system</w:t>
      </w:r>
    </w:p>
    <w:p w14:paraId="6FDD62BB" w14:textId="745178FC" w:rsidR="00A76DEA" w:rsidRDefault="00A76DEA" w:rsidP="00A76DEA">
      <w:pPr>
        <w:rPr>
          <w:lang w:eastAsia="en-US"/>
        </w:rPr>
      </w:pPr>
      <w:r>
        <w:rPr>
          <w:lang w:eastAsia="en-US"/>
        </w:rPr>
        <w:t xml:space="preserve">The Southern Hub continues to support the implementation of MOSAIQ across the region. The hub hosted a workshop to continue reviewing and updating Canterbury DHB care plans in MOSAIQ and ensuring alignment with the ACT- NOW project. Clinical staff, supported by Southern Hub staff, updated several existing care plans and created new ones. This will ensure the system is current when other districts come on board. Engagement with Nelson Marlborough and Canterbury DHBs  </w:t>
      </w:r>
    </w:p>
    <w:p w14:paraId="1B21A442" w14:textId="749B54A1" w:rsidR="00A76DEA" w:rsidRDefault="00A76DEA" w:rsidP="00A76DEA">
      <w:pPr>
        <w:rPr>
          <w:lang w:eastAsia="en-US"/>
        </w:rPr>
      </w:pPr>
      <w:r>
        <w:rPr>
          <w:lang w:eastAsia="en-US"/>
        </w:rPr>
        <w:t xml:space="preserve">to develop a detailed project plan, including timelines for MOSAIQ implementation, is underway. </w:t>
      </w:r>
    </w:p>
    <w:p w14:paraId="74A7496C" w14:textId="77777777" w:rsidR="00A76DEA" w:rsidRDefault="00A76DEA" w:rsidP="00A76DEA">
      <w:pPr>
        <w:pStyle w:val="Heading5"/>
        <w:rPr>
          <w:lang w:eastAsia="en-US"/>
        </w:rPr>
      </w:pPr>
      <w:r>
        <w:rPr>
          <w:lang w:eastAsia="en-US"/>
        </w:rPr>
        <w:t>Multidisciplinary meeting dashboard</w:t>
      </w:r>
    </w:p>
    <w:p w14:paraId="5FA7CBC7" w14:textId="77777777" w:rsidR="00A76DEA" w:rsidRDefault="00A76DEA" w:rsidP="00A76DEA">
      <w:pPr>
        <w:rPr>
          <w:lang w:eastAsia="en-US"/>
        </w:rPr>
      </w:pPr>
      <w:r>
        <w:rPr>
          <w:lang w:eastAsia="en-US"/>
        </w:rPr>
        <w:t>The South Island cancer multidisciplinary meeting (MDM) electronic platform has been a key enabler to streamlining MDM meeting management functions, documentation processes and supporting workflows across the region. One of the key outputs has been the development of a regional power BI dashboard which provides almost real time visibility of MDM resource, volumes and key tumour specific data.</w:t>
      </w:r>
    </w:p>
    <w:p w14:paraId="32C84F57" w14:textId="77777777" w:rsidR="00E773C3" w:rsidRDefault="00E773C3" w:rsidP="00A76DEA">
      <w:pPr>
        <w:rPr>
          <w:lang w:eastAsia="en-US"/>
        </w:rPr>
      </w:pPr>
    </w:p>
    <w:p w14:paraId="43418A61" w14:textId="2352991A" w:rsidR="00A76DEA" w:rsidRDefault="00A76DEA" w:rsidP="00A76DEA">
      <w:pPr>
        <w:rPr>
          <w:lang w:eastAsia="en-US"/>
        </w:rPr>
      </w:pPr>
      <w:r>
        <w:rPr>
          <w:lang w:eastAsia="en-US"/>
        </w:rPr>
        <w:lastRenderedPageBreak/>
        <w:t>Leveraging off this dashboard, the Southern Hub has supported the development of tumour stream visuals (beginning with the hepato-pancreato-biliary tumour stream) which has combined key surgical, oncology and mortality data to measure patient flow, outcomes and survival. This work is unique to the South Island and will continue to be rolled out to include other cancer tumour streams. These visuals also provide valuable insight into areas which would benefit from quality improvement initiatives.</w:t>
      </w:r>
    </w:p>
    <w:p w14:paraId="44667318" w14:textId="77777777" w:rsidR="00A76DEA" w:rsidRDefault="00A76DEA" w:rsidP="00A76DEA">
      <w:pPr>
        <w:pStyle w:val="Heading5"/>
        <w:rPr>
          <w:lang w:eastAsia="en-US"/>
        </w:rPr>
      </w:pPr>
      <w:r>
        <w:rPr>
          <w:lang w:eastAsia="en-US"/>
        </w:rPr>
        <w:t>Structured pathology</w:t>
      </w:r>
    </w:p>
    <w:p w14:paraId="295A40FA" w14:textId="77777777" w:rsidR="00A76DEA" w:rsidRDefault="00A76DEA" w:rsidP="00A76DEA">
      <w:pPr>
        <w:rPr>
          <w:lang w:eastAsia="en-US"/>
        </w:rPr>
      </w:pPr>
      <w:r>
        <w:rPr>
          <w:lang w:eastAsia="en-US"/>
        </w:rPr>
        <w:t>Pathology is integral to the diagnosis and treatment of cancer. The ever-increasing</w:t>
      </w:r>
    </w:p>
    <w:p w14:paraId="4E3886B1" w14:textId="77777777" w:rsidR="00A76DEA" w:rsidRDefault="00A76DEA" w:rsidP="00A76DEA">
      <w:pPr>
        <w:rPr>
          <w:lang w:eastAsia="en-US"/>
        </w:rPr>
      </w:pPr>
      <w:r>
        <w:rPr>
          <w:lang w:eastAsia="en-US"/>
        </w:rPr>
        <w:t>complexity of cancer treatment requires a greater level of pathology reporting; however, pathology services are facing major challenges with legacy paper-based data systems and work volumes.</w:t>
      </w:r>
    </w:p>
    <w:p w14:paraId="6F84F188" w14:textId="77777777" w:rsidR="00A76DEA" w:rsidRDefault="00A76DEA" w:rsidP="00A76DEA">
      <w:pPr>
        <w:rPr>
          <w:lang w:eastAsia="en-US"/>
        </w:rPr>
      </w:pPr>
    </w:p>
    <w:p w14:paraId="5E595EEB" w14:textId="5A32ED2F" w:rsidR="00A76DEA" w:rsidRDefault="00A76DEA" w:rsidP="00A76DEA">
      <w:pPr>
        <w:rPr>
          <w:lang w:eastAsia="en-US"/>
        </w:rPr>
      </w:pPr>
      <w:r>
        <w:rPr>
          <w:lang w:eastAsia="en-US"/>
        </w:rPr>
        <w:t>For pathology services to transition to a more connected digital health environment, data standards must be developed. These data standards will identify and describe the clinically relevant data elements, creating consistent workflows for all professionals involved in pathology services.</w:t>
      </w:r>
    </w:p>
    <w:p w14:paraId="6EC20ACC" w14:textId="25253570" w:rsidR="00A76DEA" w:rsidRDefault="00A76DEA" w:rsidP="00A76DEA">
      <w:pPr>
        <w:rPr>
          <w:lang w:eastAsia="en-US"/>
        </w:rPr>
      </w:pPr>
    </w:p>
    <w:p w14:paraId="2F5E1BCE" w14:textId="77777777" w:rsidR="00A76DEA" w:rsidRDefault="00A76DEA" w:rsidP="00A76DEA">
      <w:pPr>
        <w:rPr>
          <w:lang w:eastAsia="en-US"/>
        </w:rPr>
      </w:pPr>
      <w:r>
        <w:rPr>
          <w:lang w:eastAsia="en-US"/>
        </w:rPr>
        <w:t>In 2021/22, we determined a development and release approach to speed up the delivery of data standards and ensure they are robust and meet our Tiriti obligations, including recognising Māori data sovereignty in the development and use of cancer data. In 2021/22, thoracic (lung, pleural and thymic) and breast cancer draft data standards were released, and four more are in development.</w:t>
      </w:r>
    </w:p>
    <w:p w14:paraId="485D88B9" w14:textId="77777777" w:rsidR="00A76DEA" w:rsidRDefault="00A76DEA" w:rsidP="00A76DEA">
      <w:pPr>
        <w:pStyle w:val="Heading5"/>
        <w:rPr>
          <w:lang w:eastAsia="en-US"/>
        </w:rPr>
      </w:pPr>
      <w:r>
        <w:rPr>
          <w:lang w:eastAsia="en-US"/>
        </w:rPr>
        <w:t>National radiation oncology collection</w:t>
      </w:r>
    </w:p>
    <w:p w14:paraId="475307B5" w14:textId="77777777" w:rsidR="00A76DEA" w:rsidRDefault="00A76DEA" w:rsidP="00A76DEA">
      <w:pPr>
        <w:rPr>
          <w:lang w:eastAsia="en-US"/>
        </w:rPr>
      </w:pPr>
      <w:r>
        <w:rPr>
          <w:lang w:eastAsia="en-US"/>
        </w:rPr>
        <w:t>The national radiation oncology collection (ROC) is a national data collection and</w:t>
      </w:r>
    </w:p>
    <w:p w14:paraId="575B972D" w14:textId="6504FFAF" w:rsidR="00A76DEA" w:rsidRDefault="00A76DEA" w:rsidP="00A76DEA">
      <w:pPr>
        <w:rPr>
          <w:lang w:eastAsia="en-US"/>
        </w:rPr>
      </w:pPr>
      <w:r>
        <w:rPr>
          <w:lang w:eastAsia="en-US"/>
        </w:rPr>
        <w:t>analytics programme to support efficiencies and improved outcomes for people with cancer receiving radiation therapy. ROC continues to support data-driven improvements to treatment equity, quality, consistency, and efficiency in Aotearoa New Zealand.</w:t>
      </w:r>
    </w:p>
    <w:p w14:paraId="0BD1D25E" w14:textId="77777777" w:rsidR="00A76DEA" w:rsidRDefault="00A76DEA" w:rsidP="00A76DEA">
      <w:pPr>
        <w:rPr>
          <w:lang w:eastAsia="en-US"/>
        </w:rPr>
      </w:pPr>
    </w:p>
    <w:p w14:paraId="6FC36CD1" w14:textId="77777777" w:rsidR="00A76DEA" w:rsidRDefault="00A76DEA" w:rsidP="00A76DEA">
      <w:pPr>
        <w:rPr>
          <w:lang w:eastAsia="en-US"/>
        </w:rPr>
      </w:pPr>
      <w:r>
        <w:rPr>
          <w:lang w:eastAsia="en-US"/>
        </w:rPr>
        <w:t>ROC has been used as the key data source to underpin national planning to increase treatment capacity and the workforce to support this. This is intended to address inequities by reducing the barriers to access to radiation therapy and support the provision of radiation therapy closer to home for many people.</w:t>
      </w:r>
    </w:p>
    <w:p w14:paraId="3732751A" w14:textId="77777777" w:rsidR="00A76DEA" w:rsidRDefault="00A76DEA" w:rsidP="00A76DEA">
      <w:pPr>
        <w:pStyle w:val="Heading5"/>
        <w:rPr>
          <w:lang w:eastAsia="en-US"/>
        </w:rPr>
      </w:pPr>
      <w:r>
        <w:rPr>
          <w:lang w:eastAsia="en-US"/>
        </w:rPr>
        <w:t>Faster cancer treatment reporting</w:t>
      </w:r>
    </w:p>
    <w:p w14:paraId="25C344EF" w14:textId="77777777" w:rsidR="00A76DEA" w:rsidRDefault="00A76DEA" w:rsidP="00A76DEA">
      <w:pPr>
        <w:rPr>
          <w:lang w:eastAsia="en-US"/>
        </w:rPr>
      </w:pPr>
      <w:r>
        <w:rPr>
          <w:lang w:eastAsia="en-US"/>
        </w:rPr>
        <w:t>Faster cancer treatment (FCT) indicators were introduced by the Government in 2012,</w:t>
      </w:r>
    </w:p>
    <w:p w14:paraId="4F383A2C" w14:textId="77777777" w:rsidR="00A76DEA" w:rsidRDefault="00A76DEA" w:rsidP="00A76DEA">
      <w:pPr>
        <w:rPr>
          <w:lang w:eastAsia="en-US"/>
        </w:rPr>
      </w:pPr>
      <w:r>
        <w:rPr>
          <w:lang w:eastAsia="en-US"/>
        </w:rPr>
        <w:t>requiring DHBs to collect standardised information on patients who had been referred urgently with a high suspicion of cancer. There are two indicators.</w:t>
      </w:r>
    </w:p>
    <w:p w14:paraId="3B1C9069" w14:textId="4C49C99D" w:rsidR="00A76DEA" w:rsidRDefault="00A76DEA" w:rsidP="00A76DEA">
      <w:pPr>
        <w:pStyle w:val="Bullet"/>
        <w:rPr>
          <w:lang w:eastAsia="en-US"/>
        </w:rPr>
      </w:pPr>
      <w:r>
        <w:rPr>
          <w:lang w:eastAsia="en-US"/>
        </w:rPr>
        <w:t>31-day indicator – patients with a confirmed cancer diagnosis receive their first cancer treatment (or other management) within 31 days of a decision to treat.</w:t>
      </w:r>
    </w:p>
    <w:p w14:paraId="51DCF199" w14:textId="360CDC1F" w:rsidR="00A76DEA" w:rsidRDefault="00A76DEA" w:rsidP="00A76DEA">
      <w:pPr>
        <w:pStyle w:val="Bullet"/>
        <w:rPr>
          <w:lang w:eastAsia="en-US"/>
        </w:rPr>
      </w:pPr>
      <w:r>
        <w:rPr>
          <w:lang w:eastAsia="en-US"/>
        </w:rPr>
        <w:t>62-day indicator – patients referred urgently with a high suspicion of cancer receive their first treatment (or other management) within 62 days of the hospital receiving the referral.</w:t>
      </w:r>
    </w:p>
    <w:p w14:paraId="1C742E7D" w14:textId="77777777" w:rsidR="00A76DEA" w:rsidRDefault="00A76DEA" w:rsidP="00A76DEA">
      <w:pPr>
        <w:rPr>
          <w:lang w:eastAsia="en-US"/>
        </w:rPr>
      </w:pPr>
    </w:p>
    <w:p w14:paraId="242D522D" w14:textId="26656F86" w:rsidR="00A76DEA" w:rsidRDefault="00A76DEA" w:rsidP="00A76DEA">
      <w:pPr>
        <w:rPr>
          <w:lang w:eastAsia="en-US"/>
        </w:rPr>
      </w:pPr>
      <w:r>
        <w:rPr>
          <w:lang w:eastAsia="en-US"/>
        </w:rPr>
        <w:t>We support ongoing FCT data quality improvement by enhancing transactional data business rules and working with DHBs and Manatū Hauora on data quality. We also coordinate FCT data collection, reporting and dissemination.</w:t>
      </w:r>
    </w:p>
    <w:p w14:paraId="79B648C8" w14:textId="77777777" w:rsidR="00A76DEA" w:rsidRDefault="00A76DEA" w:rsidP="00A76DEA">
      <w:pPr>
        <w:rPr>
          <w:lang w:eastAsia="en-US"/>
        </w:rPr>
      </w:pPr>
      <w:r>
        <w:rPr>
          <w:lang w:eastAsia="en-US"/>
        </w:rPr>
        <w:lastRenderedPageBreak/>
        <w:t>Throughout 2021/22, our regional hubs continued to support DHBs to improve their performance against FCT measures. Different regions have experienced different needs and challenges, and therefore the support provided by each hub has varied. Collectively, the regional hubs have supported their DHBs with regional FCT analysis, including providing equity-focused reporting, contributing to local DHB cancer service improvement work groups, collating regional narrative reports, and assisting with specific improvement initiatives. Most recently, we have initiated a project to support a consistent interpretation and use of the cancer wait-time business rules to better support service improvements and regional hub project manager knowledge.</w:t>
      </w:r>
    </w:p>
    <w:p w14:paraId="611328F3" w14:textId="77777777" w:rsidR="00A76DEA" w:rsidRDefault="00A76DEA" w:rsidP="00A76DEA">
      <w:pPr>
        <w:pStyle w:val="Heading5"/>
        <w:rPr>
          <w:lang w:eastAsia="en-US"/>
        </w:rPr>
      </w:pPr>
      <w:r>
        <w:rPr>
          <w:lang w:eastAsia="en-US"/>
        </w:rPr>
        <w:t>HISO (Health Information Standards Organisation) standards</w:t>
      </w:r>
    </w:p>
    <w:p w14:paraId="1F7FD0F2" w14:textId="2E89D7B2" w:rsidR="00A76DEA" w:rsidRDefault="00A76DEA" w:rsidP="00A76DEA">
      <w:pPr>
        <w:rPr>
          <w:lang w:eastAsia="en-US"/>
        </w:rPr>
      </w:pPr>
      <w:r>
        <w:rPr>
          <w:lang w:eastAsia="en-US"/>
        </w:rPr>
        <w:t>Nationally agreed and HISO endorsed data standards support the vision we share with Te Whatu Ora for a fully interoperable digital health system to facilitate the timely sharing of cancer information for decision making, quality improvement and research. Standards ensure the integrity of collected health information so that systems can ‘talk to each other’. These standards are part of a system in which patients and their whānau have access to and control over their own information.</w:t>
      </w:r>
    </w:p>
    <w:p w14:paraId="79249F8D" w14:textId="0D09E6E7" w:rsidR="00A76DEA" w:rsidRDefault="00A76DEA" w:rsidP="00A76DEA">
      <w:pPr>
        <w:rPr>
          <w:lang w:eastAsia="en-US"/>
        </w:rPr>
      </w:pPr>
    </w:p>
    <w:p w14:paraId="021F20D4" w14:textId="77777777" w:rsidR="00A76DEA" w:rsidRDefault="00A76DEA" w:rsidP="00A76DEA">
      <w:pPr>
        <w:rPr>
          <w:lang w:eastAsia="en-US"/>
        </w:rPr>
      </w:pPr>
      <w:r>
        <w:rPr>
          <w:lang w:eastAsia="en-US"/>
        </w:rPr>
        <w:t>Two data standards have been published in 2021/22: the structured pathology data standard and the multidisciplinary meetings data standard. More are currently being developed.</w:t>
      </w:r>
    </w:p>
    <w:p w14:paraId="16672B23" w14:textId="77777777" w:rsidR="00A76DEA" w:rsidRDefault="00A76DEA" w:rsidP="00563085">
      <w:pPr>
        <w:pStyle w:val="Heading4"/>
        <w:rPr>
          <w:lang w:eastAsia="en-US"/>
        </w:rPr>
      </w:pPr>
      <w:r>
        <w:rPr>
          <w:lang w:eastAsia="en-US"/>
        </w:rPr>
        <w:t>Leadership and collaboration across data and digital health</w:t>
      </w:r>
    </w:p>
    <w:p w14:paraId="4BB0DE98" w14:textId="7E28122E" w:rsidR="00A76DEA" w:rsidRDefault="00A76DEA" w:rsidP="00A76DEA">
      <w:pPr>
        <w:rPr>
          <w:lang w:eastAsia="en-US"/>
        </w:rPr>
      </w:pPr>
      <w:r>
        <w:rPr>
          <w:lang w:eastAsia="en-US"/>
        </w:rPr>
        <w:t>We have been working alongside Manatū Hauora, Te Whatu Ora and Te Aka Whai Ora to ensure the needs of cancer patients and whānau are considered within data and digital system changes. We now have staff sitting on key digital governance and advisory groups including the Hira programme governance group, the Digital Enablement Oversight Group, the Digital Health Equity Reference Group and Te Rangapū Tiriti, a new co-governance group established by Manatū Hauora to ensure Māori have a voice within the area of data &amp; digital health. We also chair the Cancer Working Group within the New Zealand Telehealth Forum. In 2021/22 we facilitated a New Zealand Telehealth Forum webinar on telehealth in cancer care and took part in two other webinars, Pae Ora and Improving Māori Health Gains.</w:t>
      </w:r>
    </w:p>
    <w:p w14:paraId="65FE0CDC" w14:textId="77777777" w:rsidR="00A76DEA" w:rsidRPr="00563085" w:rsidRDefault="00A76DEA" w:rsidP="00563085">
      <w:pPr>
        <w:pStyle w:val="Heading4"/>
        <w:rPr>
          <w:sz w:val="36"/>
          <w:szCs w:val="36"/>
          <w:lang w:eastAsia="en-US"/>
        </w:rPr>
      </w:pPr>
      <w:r w:rsidRPr="00563085">
        <w:rPr>
          <w:b/>
          <w:bCs/>
          <w:sz w:val="36"/>
          <w:szCs w:val="36"/>
          <w:lang w:eastAsia="en-US"/>
        </w:rPr>
        <w:t>Kia whakaiti iho te mate pukupuku |</w:t>
      </w:r>
      <w:r w:rsidRPr="00563085">
        <w:rPr>
          <w:sz w:val="36"/>
          <w:szCs w:val="36"/>
          <w:lang w:eastAsia="en-US"/>
        </w:rPr>
        <w:t xml:space="preserve"> Achieving fewer cancers through a focus on prevention</w:t>
      </w:r>
    </w:p>
    <w:p w14:paraId="5E4039BF" w14:textId="77777777" w:rsidR="00A76DEA" w:rsidRDefault="00A76DEA" w:rsidP="00563085">
      <w:pPr>
        <w:pStyle w:val="Heading4"/>
        <w:rPr>
          <w:lang w:eastAsia="en-US"/>
        </w:rPr>
      </w:pPr>
      <w:r>
        <w:rPr>
          <w:lang w:eastAsia="en-US"/>
        </w:rPr>
        <w:t>Cancer Prevention Report</w:t>
      </w:r>
    </w:p>
    <w:p w14:paraId="60F44ED1" w14:textId="77777777" w:rsidR="00A76DEA" w:rsidRPr="00E773C3" w:rsidRDefault="00A76DEA" w:rsidP="00A76DEA">
      <w:pPr>
        <w:rPr>
          <w:i/>
          <w:iCs/>
          <w:lang w:eastAsia="en-US"/>
        </w:rPr>
      </w:pPr>
      <w:r>
        <w:rPr>
          <w:lang w:eastAsia="en-US"/>
        </w:rPr>
        <w:t xml:space="preserve">Te Aho o Te Kahu released </w:t>
      </w:r>
      <w:r w:rsidRPr="00E773C3">
        <w:rPr>
          <w:i/>
          <w:iCs/>
          <w:lang w:eastAsia="en-US"/>
        </w:rPr>
        <w:t>Pūrongo Ārai Mate Pukupuku, Cancer Prevention Report</w:t>
      </w:r>
    </w:p>
    <w:p w14:paraId="1780A07D" w14:textId="204E408B" w:rsidR="00A76DEA" w:rsidRDefault="00A76DEA" w:rsidP="00A76DEA">
      <w:pPr>
        <w:rPr>
          <w:lang w:eastAsia="en-US"/>
        </w:rPr>
      </w:pPr>
      <w:r w:rsidRPr="00E773C3">
        <w:rPr>
          <w:i/>
          <w:iCs/>
          <w:lang w:eastAsia="en-US"/>
        </w:rPr>
        <w:t>(Cancer Prevention Report)</w:t>
      </w:r>
      <w:r>
        <w:rPr>
          <w:lang w:eastAsia="en-US"/>
        </w:rPr>
        <w:t xml:space="preserve"> on 4 February 2022, in collaboration with Te Hiringa Hauora, Health Promotion Agency and the University of Otago Wellington. The Cancer Prevention Report outlines evidence-based interventions to prevent cancer across six key cancer risk factors: tobacco, alcohol, poor nutrition and excess body weight, insufficient physical activity, excessive exposure to sun and chronic infections.</w:t>
      </w:r>
    </w:p>
    <w:p w14:paraId="750EDC33" w14:textId="77777777" w:rsidR="00AF58A9" w:rsidRDefault="00AF58A9" w:rsidP="00A76DEA">
      <w:pPr>
        <w:rPr>
          <w:lang w:eastAsia="en-US"/>
        </w:rPr>
      </w:pPr>
    </w:p>
    <w:p w14:paraId="3C9998DA" w14:textId="77777777" w:rsidR="00A76DEA" w:rsidRDefault="00A76DEA" w:rsidP="00A76DEA">
      <w:pPr>
        <w:rPr>
          <w:lang w:eastAsia="en-US"/>
        </w:rPr>
      </w:pPr>
      <w:r>
        <w:rPr>
          <w:lang w:eastAsia="en-US"/>
        </w:rPr>
        <w:lastRenderedPageBreak/>
        <w:t>Up to half of all cancers can be prevented by reducing or removing everyone’s exposure to the cancer risk factors present in our lives and environments. The purpose of this report is to summarise how Aotearoa New Zealand is doing in each of those risk factor areas and to highlight where we could do better. Our aim was to identify ways to create the environments that help whānau live long healthy lives, free of cancer. We will work alongside Manatū Hauora, the Public Health Agency, Te Whatu Ora and Te Aka Whai Ora as needed in areas that the Government is keen to progress.</w:t>
      </w:r>
    </w:p>
    <w:p w14:paraId="1DD55791" w14:textId="77777777" w:rsidR="00A76DEA" w:rsidRDefault="00A76DEA" w:rsidP="00AF58A9">
      <w:pPr>
        <w:pStyle w:val="Heading4"/>
        <w:rPr>
          <w:lang w:eastAsia="en-US"/>
        </w:rPr>
      </w:pPr>
      <w:r>
        <w:rPr>
          <w:lang w:eastAsia="en-US"/>
        </w:rPr>
        <w:t>Cancer research</w:t>
      </w:r>
    </w:p>
    <w:p w14:paraId="1C8D0927" w14:textId="77777777" w:rsidR="00A76DEA" w:rsidRDefault="00A76DEA" w:rsidP="00A76DEA">
      <w:pPr>
        <w:rPr>
          <w:lang w:eastAsia="en-US"/>
        </w:rPr>
      </w:pPr>
      <w:r>
        <w:rPr>
          <w:lang w:eastAsia="en-US"/>
        </w:rPr>
        <w:t>In 2021/22 we teamed up with the Health Research Council of New Zealand (HRC) and</w:t>
      </w:r>
    </w:p>
    <w:p w14:paraId="05232D96" w14:textId="77777777" w:rsidR="00AF58A9" w:rsidRDefault="00A76DEA" w:rsidP="00AF58A9">
      <w:pPr>
        <w:rPr>
          <w:lang w:eastAsia="en-US"/>
        </w:rPr>
      </w:pPr>
      <w:r>
        <w:rPr>
          <w:lang w:eastAsia="en-US"/>
        </w:rPr>
        <w:t>Manatū Hauora to provide $6.2 million in funding for research aimed at addressing the stark inequities in cancer care and survival for Māori and Pacific peoples in Aotearoa New Zealand. There were six recipients with proposals across a range of areas: lung cancer</w:t>
      </w:r>
      <w:r w:rsidR="00AF58A9">
        <w:rPr>
          <w:lang w:eastAsia="en-US"/>
        </w:rPr>
        <w:t xml:space="preserve"> screening, improving clinical care in lung and uterine cancer and whānau ora navigation within the delivery of cancer care.</w:t>
      </w:r>
    </w:p>
    <w:p w14:paraId="431CEE2A" w14:textId="77777777" w:rsidR="00AF58A9" w:rsidRDefault="00AF58A9" w:rsidP="00AF58A9">
      <w:pPr>
        <w:pStyle w:val="Heading4"/>
        <w:rPr>
          <w:lang w:eastAsia="en-US"/>
        </w:rPr>
      </w:pPr>
      <w:r>
        <w:rPr>
          <w:lang w:eastAsia="en-US"/>
        </w:rPr>
        <w:t>Primary health care</w:t>
      </w:r>
    </w:p>
    <w:p w14:paraId="65DEF78C" w14:textId="0CDB509A" w:rsidR="00AF58A9" w:rsidRDefault="00AF58A9" w:rsidP="00AF58A9">
      <w:pPr>
        <w:rPr>
          <w:lang w:eastAsia="en-US"/>
        </w:rPr>
      </w:pPr>
      <w:r>
        <w:rPr>
          <w:lang w:eastAsia="en-US"/>
        </w:rPr>
        <w:t>Our Person and Whānau Centred Care team have initiated a project to provide us with an in-depth understanding of the state of primary and community health care in Aotearoa New Zealand with respect to cancer. This is a three-phase project that involves a stocktake of the current state, a literature review and consideration of actions across the continuum of care where primary health care can be better supported/optimised. Stakeholder engagement will be undertaken across each aspect. Focused implementation work will be determined once the initial stocktake and literature review phases are complete.</w:t>
      </w:r>
    </w:p>
    <w:p w14:paraId="61AA25C7" w14:textId="77777777" w:rsidR="00AF58A9" w:rsidRDefault="00AF58A9" w:rsidP="00AF58A9">
      <w:pPr>
        <w:pStyle w:val="Heading4"/>
        <w:rPr>
          <w:lang w:eastAsia="en-US"/>
        </w:rPr>
      </w:pPr>
      <w:r>
        <w:rPr>
          <w:lang w:eastAsia="en-US"/>
        </w:rPr>
        <w:t>Advice and guidance to primary health care</w:t>
      </w:r>
    </w:p>
    <w:p w14:paraId="57783136" w14:textId="77777777" w:rsidR="00AF58A9" w:rsidRDefault="00AF58A9" w:rsidP="00AF58A9">
      <w:pPr>
        <w:rPr>
          <w:lang w:eastAsia="en-US"/>
        </w:rPr>
      </w:pPr>
      <w:r>
        <w:rPr>
          <w:lang w:eastAsia="en-US"/>
        </w:rPr>
        <w:t>In 2021/22 we commissioned the independent, not-for-profit health professional</w:t>
      </w:r>
    </w:p>
    <w:p w14:paraId="08BA6145" w14:textId="77E8476A" w:rsidR="00AF58A9" w:rsidRDefault="00AF58A9" w:rsidP="00AF58A9">
      <w:pPr>
        <w:rPr>
          <w:lang w:eastAsia="en-US"/>
        </w:rPr>
      </w:pPr>
      <w:r>
        <w:rPr>
          <w:lang w:eastAsia="en-US"/>
        </w:rPr>
        <w:t>educational organisation Best Practice Advocacy Centre New Zealand (bpacnz) to develop evidence-based packages on the early detection and follow-up and surveillance of lung cancer and melanoma. These information packages are supported by peer group discussion points and a quiz that help both general and nurse practitioners with their ongoing medical education. Around 11,000 health practitioners currently use bpacnz, and it is seen as a powerful platform for sharing educational materials with a primary health care audience.</w:t>
      </w:r>
    </w:p>
    <w:p w14:paraId="32BE3C59" w14:textId="77777777" w:rsidR="00AF58A9" w:rsidRPr="00AF58A9" w:rsidRDefault="00AF58A9" w:rsidP="00AF58A9">
      <w:pPr>
        <w:pStyle w:val="Heading4"/>
        <w:rPr>
          <w:sz w:val="36"/>
          <w:szCs w:val="36"/>
          <w:lang w:eastAsia="en-US"/>
        </w:rPr>
      </w:pPr>
      <w:r w:rsidRPr="00AF58A9">
        <w:rPr>
          <w:b/>
          <w:bCs/>
          <w:sz w:val="36"/>
          <w:szCs w:val="36"/>
          <w:lang w:eastAsia="en-US"/>
        </w:rPr>
        <w:t>Kia runga noa ake te mataora |</w:t>
      </w:r>
      <w:r w:rsidRPr="00AF58A9">
        <w:rPr>
          <w:sz w:val="36"/>
          <w:szCs w:val="36"/>
          <w:lang w:eastAsia="en-US"/>
        </w:rPr>
        <w:t xml:space="preserve"> Improving cancer survival</w:t>
      </w:r>
    </w:p>
    <w:p w14:paraId="471DF07B" w14:textId="77777777" w:rsidR="00AF58A9" w:rsidRDefault="00AF58A9" w:rsidP="00AF58A9">
      <w:pPr>
        <w:pStyle w:val="Heading4"/>
        <w:rPr>
          <w:lang w:eastAsia="en-US"/>
        </w:rPr>
      </w:pPr>
      <w:r>
        <w:rPr>
          <w:lang w:eastAsia="en-US"/>
        </w:rPr>
        <w:t>Quality improvement programme</w:t>
      </w:r>
    </w:p>
    <w:p w14:paraId="0C88A8D5" w14:textId="00EC0420" w:rsidR="00AF58A9" w:rsidRDefault="00AF58A9" w:rsidP="00AF58A9">
      <w:pPr>
        <w:rPr>
          <w:lang w:eastAsia="en-US"/>
        </w:rPr>
      </w:pPr>
      <w:r>
        <w:rPr>
          <w:lang w:eastAsia="en-US"/>
        </w:rPr>
        <w:t xml:space="preserve">Quality performance indicators (QPIs) are used to improve the quality of cancer services and deliver better outcomes for people diagnosed with cancer. They enable DHBs to compare their performance with other DHBs. QPIs are selected by an expert </w:t>
      </w:r>
      <w:r>
        <w:rPr>
          <w:lang w:eastAsia="en-US"/>
        </w:rPr>
        <w:lastRenderedPageBreak/>
        <w:t>working group with consumer representation and a range of clinical experts involved in providing care to cancer patients. To date, we have selected, calculated, and reported on QPIs for bowel, lung, and prostate cancers. Currently, we are working on QPIs for breast and pancreatic cancers.</w:t>
      </w:r>
    </w:p>
    <w:p w14:paraId="7966EEFA" w14:textId="77777777" w:rsidR="00AF58A9" w:rsidRDefault="00AF58A9" w:rsidP="00AF58A9">
      <w:pPr>
        <w:rPr>
          <w:lang w:eastAsia="en-US"/>
        </w:rPr>
      </w:pPr>
    </w:p>
    <w:p w14:paraId="4FEBD700" w14:textId="13C45AC8" w:rsidR="00A76DEA" w:rsidRDefault="00AF58A9" w:rsidP="00AF58A9">
      <w:pPr>
        <w:rPr>
          <w:lang w:eastAsia="en-US"/>
        </w:rPr>
      </w:pPr>
      <w:r>
        <w:rPr>
          <w:lang w:eastAsia="en-US"/>
        </w:rPr>
        <w:t>This year, we worked with the National Bowel Cancer Working Group to recalculate the bowel cancer quality performance indicators that were first published by Manatū Hauora in March 2019</w:t>
      </w:r>
      <w:r>
        <w:rPr>
          <w:rStyle w:val="FootnoteReference"/>
          <w:lang w:eastAsia="en-US"/>
        </w:rPr>
        <w:footnoteReference w:id="67"/>
      </w:r>
      <w:r>
        <w:rPr>
          <w:lang w:eastAsia="en-US"/>
        </w:rPr>
        <w:t>. This latest report published QPI data for patients diagnosed with bowel cancer in Aotearoa New Zealand from 2017 to 2019. We released the Bowel Cancer Quality Improvement Monitoring Report Update 2022 to DHBs at the start of March and published the final report at the end of April.</w:t>
      </w:r>
    </w:p>
    <w:p w14:paraId="40445FC9" w14:textId="77777777" w:rsidR="00AF58A9" w:rsidRDefault="00AF58A9" w:rsidP="00AF58A9">
      <w:pPr>
        <w:rPr>
          <w:lang w:eastAsia="en-US"/>
        </w:rPr>
      </w:pPr>
    </w:p>
    <w:p w14:paraId="7D8ECE50" w14:textId="0B4A6654" w:rsidR="00AF58A9" w:rsidRDefault="00AF58A9" w:rsidP="00AF58A9">
      <w:pPr>
        <w:rPr>
          <w:lang w:eastAsia="en-US"/>
        </w:rPr>
      </w:pPr>
      <w:r>
        <w:rPr>
          <w:lang w:eastAsia="en-US"/>
        </w:rPr>
        <w:t>After calling for nominations via our website and through key stakeholders, we convened a national Breast Cancer QPI Working Group late last year. Its role is to work with us to identify potential breast cancer QPIs. Once the breast cancer QPIs have gone through public consultation and been finalised, they will be calculated using data from the New Zealand Cancer Registry and Manatū Hauora national data collections for patients diagnosed with breast cancer in Aotearoa New Zealand from 2017 to 2019.</w:t>
      </w:r>
    </w:p>
    <w:p w14:paraId="29912DEF" w14:textId="77777777" w:rsidR="00AF58A9" w:rsidRDefault="00AF58A9" w:rsidP="00AF58A9">
      <w:pPr>
        <w:rPr>
          <w:lang w:eastAsia="en-US"/>
        </w:rPr>
      </w:pPr>
    </w:p>
    <w:p w14:paraId="6A8DBCDC" w14:textId="1A1B6F7F" w:rsidR="00AF58A9" w:rsidRDefault="00AF58A9" w:rsidP="00AF58A9">
      <w:pPr>
        <w:rPr>
          <w:lang w:eastAsia="en-US"/>
        </w:rPr>
      </w:pPr>
      <w:r>
        <w:rPr>
          <w:lang w:eastAsia="en-US"/>
        </w:rPr>
        <w:t>We also worked with the national Pancreatic Cancer Working Group to finalise the pancreatic cancer QPI descriptions after receiving feedback via the public consultation process in October 2021. The indicators are now being calculated, and we hope to publish the results soon.</w:t>
      </w:r>
    </w:p>
    <w:p w14:paraId="5BA6F3F4" w14:textId="77777777" w:rsidR="00AF58A9" w:rsidRDefault="00AF58A9" w:rsidP="00AF58A9">
      <w:pPr>
        <w:pStyle w:val="Heading4"/>
        <w:rPr>
          <w:lang w:eastAsia="en-US"/>
        </w:rPr>
      </w:pPr>
      <w:r>
        <w:rPr>
          <w:lang w:eastAsia="en-US"/>
        </w:rPr>
        <w:t>Cancer medicines availability analysis</w:t>
      </w:r>
    </w:p>
    <w:p w14:paraId="5AC299E2" w14:textId="436F216C" w:rsidR="00AF58A9" w:rsidRDefault="00AF58A9" w:rsidP="00AF58A9">
      <w:pPr>
        <w:rPr>
          <w:lang w:eastAsia="en-US"/>
        </w:rPr>
      </w:pPr>
      <w:r>
        <w:rPr>
          <w:lang w:eastAsia="en-US"/>
        </w:rPr>
        <w:t xml:space="preserve">In April 2022 we released </w:t>
      </w:r>
      <w:r w:rsidRPr="00AF58A9">
        <w:rPr>
          <w:i/>
          <w:iCs/>
          <w:lang w:eastAsia="en-US"/>
        </w:rPr>
        <w:t>Mārama Ana ki te Āputa: He tātari i te wāteatanga o ngā rongoā mate pukupuku i Aotearoa | Understanding the Gap: an analysis of the availability of cancer medicines in Aotearoa</w:t>
      </w:r>
      <w:r>
        <w:rPr>
          <w:lang w:eastAsia="en-US"/>
        </w:rPr>
        <w:t>, our cancer medicines availability analysis report. The report describes the findings of an analysis that compares the availability of cancer medicines in Aotearoa (medicines publicly funded via Pharmac) with that of Australia – not only in terms of the number of medicines funded but also in terms of clinical benefit.</w:t>
      </w:r>
    </w:p>
    <w:p w14:paraId="1962101E" w14:textId="77777777" w:rsidR="00AF58A9" w:rsidRDefault="00AF58A9" w:rsidP="00AF58A9">
      <w:pPr>
        <w:rPr>
          <w:lang w:eastAsia="en-US"/>
        </w:rPr>
      </w:pPr>
    </w:p>
    <w:p w14:paraId="769655EE" w14:textId="77777777" w:rsidR="00AF58A9" w:rsidRDefault="00AF58A9" w:rsidP="00AF58A9">
      <w:pPr>
        <w:rPr>
          <w:lang w:eastAsia="en-US"/>
        </w:rPr>
      </w:pPr>
      <w:r>
        <w:rPr>
          <w:lang w:eastAsia="en-US"/>
        </w:rPr>
        <w:t>Cancer medicines are a crucial part of cancer care. In our work, we often hear concerns from patients, their whānau and their health professionals regarding cancer medicines availability. The aim of this work was to provide useful insights to Pharmac, the New Zealand Government, the health sector and to the public. We identified 20 different medicine-indication pair gaps across nine different solid-tumour cancer types where the medicines were publicly funded in Australia and not in Aotearoa New Zealand and</w:t>
      </w:r>
    </w:p>
    <w:p w14:paraId="006B7BB5" w14:textId="77777777" w:rsidR="00AF58A9" w:rsidRDefault="00AF58A9" w:rsidP="00AF58A9">
      <w:pPr>
        <w:rPr>
          <w:lang w:eastAsia="en-US"/>
        </w:rPr>
      </w:pPr>
      <w:r>
        <w:rPr>
          <w:lang w:eastAsia="en-US"/>
        </w:rPr>
        <w:t>where the analysis indicated that the medicine would offer substantial clinical benefit. This analysis was conducted separately to the independent review of Pharmac announced by the Government in March 2021, but we shared the preliminary results of this analysis with the Pharmac review panel.</w:t>
      </w:r>
    </w:p>
    <w:p w14:paraId="424FC624" w14:textId="77777777" w:rsidR="00AF58A9" w:rsidRDefault="00AF58A9" w:rsidP="00AF58A9">
      <w:pPr>
        <w:pStyle w:val="Heading4"/>
        <w:rPr>
          <w:lang w:eastAsia="en-US"/>
        </w:rPr>
        <w:sectPr w:rsidR="00AF58A9" w:rsidSect="00C26282">
          <w:pgSz w:w="11907" w:h="16840" w:code="9"/>
          <w:pgMar w:top="1418" w:right="1701" w:bottom="1134" w:left="1843" w:header="284" w:footer="425" w:gutter="284"/>
          <w:cols w:space="720"/>
        </w:sectPr>
      </w:pPr>
    </w:p>
    <w:p w14:paraId="55A75C61" w14:textId="6211073E" w:rsidR="00AF58A9" w:rsidRDefault="00AF58A9" w:rsidP="00AF58A9">
      <w:pPr>
        <w:pStyle w:val="Heading4"/>
        <w:rPr>
          <w:lang w:eastAsia="en-US"/>
        </w:rPr>
      </w:pPr>
      <w:r>
        <w:rPr>
          <w:lang w:eastAsia="en-US"/>
        </w:rPr>
        <w:lastRenderedPageBreak/>
        <w:t>Clinical trials</w:t>
      </w:r>
    </w:p>
    <w:p w14:paraId="108FE9FB" w14:textId="77777777" w:rsidR="00AF58A9" w:rsidRDefault="00AF58A9" w:rsidP="00AF58A9">
      <w:pPr>
        <w:rPr>
          <w:lang w:eastAsia="en-US"/>
        </w:rPr>
      </w:pPr>
      <w:r>
        <w:rPr>
          <w:lang w:eastAsia="en-US"/>
        </w:rPr>
        <w:t>Inadequate and inequitable access to cancer clinical trials has been highlighted by</w:t>
      </w:r>
    </w:p>
    <w:p w14:paraId="6EDB6C11" w14:textId="09712D25" w:rsidR="00AF58A9" w:rsidRDefault="00AF58A9" w:rsidP="00AF58A9">
      <w:pPr>
        <w:rPr>
          <w:lang w:eastAsia="en-US"/>
        </w:rPr>
      </w:pPr>
      <w:r>
        <w:rPr>
          <w:lang w:eastAsia="en-US"/>
        </w:rPr>
        <w:t>the cancer sector as an area of concern. Manatū Hauora is leading work to improve clinical trial infrastructure for all conditions, including cancer, and this year, we continue to advocate and provide support from a cancer perspective. The teletrials model (implemented in Australia) gives people with cancer who are living away from the major centres the opportunity to participate in clinical trials without needing to travel. In 2021/22, we funded the organisation Cancer Trials New Zealand to develop core infrastructure to support teletrials in Aotearoa New Zealand.</w:t>
      </w:r>
    </w:p>
    <w:p w14:paraId="4673CEFB" w14:textId="233E10CE" w:rsidR="00AF58A9" w:rsidRPr="00AF58A9" w:rsidRDefault="00AF58A9" w:rsidP="00AF58A9">
      <w:pPr>
        <w:pStyle w:val="Heading4"/>
        <w:rPr>
          <w:sz w:val="36"/>
          <w:szCs w:val="36"/>
          <w:lang w:eastAsia="en-US"/>
        </w:rPr>
      </w:pPr>
      <w:r w:rsidRPr="00AF58A9">
        <w:rPr>
          <w:b/>
          <w:bCs/>
          <w:sz w:val="36"/>
          <w:szCs w:val="36"/>
          <w:lang w:eastAsia="en-US"/>
        </w:rPr>
        <w:t>Te whakapai mana taurite o ngā hua mate pukupuku |</w:t>
      </w:r>
      <w:r w:rsidRPr="00AF58A9">
        <w:rPr>
          <w:sz w:val="36"/>
          <w:szCs w:val="36"/>
          <w:lang w:eastAsia="en-US"/>
        </w:rPr>
        <w:t xml:space="preserve"> Improving equity of cancer outcomes</w:t>
      </w:r>
    </w:p>
    <w:p w14:paraId="63D850C4" w14:textId="77777777" w:rsidR="00AF58A9" w:rsidRDefault="00AF58A9" w:rsidP="00AF58A9">
      <w:pPr>
        <w:pStyle w:val="Heading4"/>
        <w:rPr>
          <w:lang w:eastAsia="en-US"/>
        </w:rPr>
      </w:pPr>
      <w:r>
        <w:rPr>
          <w:lang w:eastAsia="en-US"/>
        </w:rPr>
        <w:t>Māori community hui</w:t>
      </w:r>
    </w:p>
    <w:p w14:paraId="7C9F6A62" w14:textId="77777777" w:rsidR="00AF58A9" w:rsidRDefault="00AF58A9" w:rsidP="00AF58A9">
      <w:pPr>
        <w:rPr>
          <w:lang w:eastAsia="en-US"/>
        </w:rPr>
      </w:pPr>
      <w:r>
        <w:rPr>
          <w:lang w:eastAsia="en-US"/>
        </w:rPr>
        <w:t>In 2020/21 Te Aho o Te Kahu launched a series of community hui, specifically aimed at</w:t>
      </w:r>
    </w:p>
    <w:p w14:paraId="0AC1231F" w14:textId="740AB139" w:rsidR="00AF58A9" w:rsidRDefault="00AF58A9" w:rsidP="00AF58A9">
      <w:pPr>
        <w:rPr>
          <w:lang w:eastAsia="en-US"/>
        </w:rPr>
      </w:pPr>
      <w:r>
        <w:rPr>
          <w:lang w:eastAsia="en-US"/>
        </w:rPr>
        <w:t>whānau Māori who were affected by cancer. The last of these hui was completed in 2021/22, with our team travelling to Southland and Waikato in July 2021. Over 2,800 whānau Māori supported and attended a community hui, helping us gain a deeper understanding of the experiences and issues faced by Māori cancer patients and whānau.</w:t>
      </w:r>
    </w:p>
    <w:p w14:paraId="593DE09A" w14:textId="77777777" w:rsidR="00AF58A9" w:rsidRDefault="00AF58A9" w:rsidP="00AF58A9">
      <w:pPr>
        <w:rPr>
          <w:lang w:eastAsia="en-US"/>
        </w:rPr>
      </w:pPr>
    </w:p>
    <w:p w14:paraId="2E6D16EF" w14:textId="77777777" w:rsidR="00AF58A9" w:rsidRDefault="00AF58A9" w:rsidP="00AF58A9">
      <w:pPr>
        <w:rPr>
          <w:lang w:eastAsia="en-US"/>
        </w:rPr>
      </w:pPr>
      <w:r>
        <w:rPr>
          <w:lang w:eastAsia="en-US"/>
        </w:rPr>
        <w:t>We’ve been analysing the data and insights shared throughout the hui series and discussing these insights with stakeholders working in Māori health and cancer care. We are in the final stages of producing a report summarising the collective voice of whānau Māori and look forward to sharing the findings back with the communities and</w:t>
      </w:r>
    </w:p>
    <w:p w14:paraId="2A158AEB" w14:textId="77777777" w:rsidR="00AF58A9" w:rsidRDefault="00AF58A9" w:rsidP="00AF58A9">
      <w:pPr>
        <w:rPr>
          <w:lang w:eastAsia="en-US"/>
        </w:rPr>
      </w:pPr>
      <w:r>
        <w:rPr>
          <w:lang w:eastAsia="en-US"/>
        </w:rPr>
        <w:t>contributors. We’ve also used the insights internally to elevate the patient voice in several key projects, including the Cancer Services Planning Programme.</w:t>
      </w:r>
    </w:p>
    <w:p w14:paraId="03FF45C3" w14:textId="77777777" w:rsidR="00AF58A9" w:rsidRDefault="00AF58A9" w:rsidP="00AF58A9">
      <w:pPr>
        <w:pStyle w:val="Heading4"/>
        <w:rPr>
          <w:lang w:eastAsia="en-US"/>
        </w:rPr>
      </w:pPr>
      <w:r>
        <w:rPr>
          <w:lang w:eastAsia="en-US"/>
        </w:rPr>
        <w:t>Embedding equity led thinking</w:t>
      </w:r>
    </w:p>
    <w:p w14:paraId="45B169FF" w14:textId="35DE4864" w:rsidR="00AF58A9" w:rsidRDefault="00AF58A9" w:rsidP="00AF58A9">
      <w:pPr>
        <w:rPr>
          <w:lang w:eastAsia="en-US"/>
        </w:rPr>
      </w:pPr>
      <w:r>
        <w:rPr>
          <w:lang w:eastAsia="en-US"/>
        </w:rPr>
        <w:t>In 2021/22 we continued to build our focus on equity, with capability development a key area of work. Our Equity team developed a toolkit that included resources and research. This toolkit is designed to educate, inform, and challenge our staff.</w:t>
      </w:r>
    </w:p>
    <w:p w14:paraId="2B8BF301" w14:textId="77777777" w:rsidR="00AF58A9" w:rsidRDefault="00AF58A9" w:rsidP="00AF58A9">
      <w:pPr>
        <w:rPr>
          <w:lang w:eastAsia="en-US"/>
        </w:rPr>
      </w:pPr>
    </w:p>
    <w:p w14:paraId="423C30AE" w14:textId="7799EAEC" w:rsidR="00AF58A9" w:rsidRDefault="00AF58A9" w:rsidP="00AF58A9">
      <w:pPr>
        <w:rPr>
          <w:lang w:eastAsia="en-US"/>
        </w:rPr>
      </w:pPr>
      <w:r>
        <w:rPr>
          <w:lang w:eastAsia="en-US"/>
        </w:rPr>
        <w:t>We have also incorporated equity frameworks into key business processes and project planning methodology. We established a community of practice, Te Kāhui Mana Taurite, to support equity analysis across the entire Cancer Services Planning Programme. This roopu identified and analysed equity issues across each area of the programme. The voice of patients and whānau was integrated into this analysis, as was national and international literature.</w:t>
      </w:r>
    </w:p>
    <w:p w14:paraId="66D6548C" w14:textId="77777777" w:rsidR="00AF58A9" w:rsidRDefault="00AF58A9" w:rsidP="00AF58A9">
      <w:pPr>
        <w:rPr>
          <w:lang w:eastAsia="en-US"/>
        </w:rPr>
      </w:pPr>
    </w:p>
    <w:p w14:paraId="1A246346" w14:textId="77777777" w:rsidR="00AF58A9" w:rsidRDefault="00AF58A9" w:rsidP="00AF58A9">
      <w:pPr>
        <w:rPr>
          <w:lang w:eastAsia="en-US"/>
        </w:rPr>
      </w:pPr>
      <w:r>
        <w:rPr>
          <w:lang w:eastAsia="en-US"/>
        </w:rPr>
        <w:t>We have also been supporting the equity work of other agencies and organisations. Our Equity team has shared insights with other health and community colleagues, both formally and informally, through guest speaker presentations, various governance and advisory roles, and publication of research papers.</w:t>
      </w:r>
    </w:p>
    <w:p w14:paraId="239B8A02" w14:textId="77777777" w:rsidR="00AF58A9" w:rsidRDefault="00AF58A9" w:rsidP="00AF58A9">
      <w:pPr>
        <w:pStyle w:val="Heading4"/>
        <w:rPr>
          <w:lang w:eastAsia="en-US"/>
        </w:rPr>
      </w:pPr>
      <w:r>
        <w:rPr>
          <w:lang w:eastAsia="en-US"/>
        </w:rPr>
        <w:lastRenderedPageBreak/>
        <w:t>Being equity led and whānau centred in the development and use of data</w:t>
      </w:r>
    </w:p>
    <w:p w14:paraId="0410A4CD" w14:textId="24811C3B" w:rsidR="00AF58A9" w:rsidRDefault="00AF58A9" w:rsidP="00AF58A9">
      <w:pPr>
        <w:rPr>
          <w:lang w:eastAsia="en-US"/>
        </w:rPr>
      </w:pPr>
      <w:r>
        <w:rPr>
          <w:lang w:eastAsia="en-US"/>
        </w:rPr>
        <w:t>We are actively working with our partners to better understand and put into practice our obligations and responsibilities with respect to Māori data sovereignty and governance. We are mindful of the privilege we have in accessing people’s cancer data. We understand our obligations to ensure cancer information is timely, sharable, relevant, and accessible, and used appropriately for the purpose for which it was intended. To give effect to Te Tiriti o Waitangi, we treat data as a taonga (treasure) and apply appropriate safeguards to secure and protect Māori data from misuse. We recognise the rights and interests of Māori in the collection, ownership and application of data.</w:t>
      </w:r>
    </w:p>
    <w:p w14:paraId="0824C2D4" w14:textId="0552E5C2" w:rsidR="00AF58A9" w:rsidRDefault="00AF58A9" w:rsidP="00AF58A9">
      <w:pPr>
        <w:rPr>
          <w:lang w:eastAsia="en-US"/>
        </w:rPr>
      </w:pPr>
    </w:p>
    <w:p w14:paraId="04EC7F84" w14:textId="77777777" w:rsidR="00AF58A9" w:rsidRDefault="00AF58A9" w:rsidP="00AF58A9">
      <w:pPr>
        <w:rPr>
          <w:lang w:eastAsia="en-US"/>
        </w:rPr>
      </w:pPr>
      <w:r>
        <w:rPr>
          <w:lang w:eastAsia="en-US"/>
        </w:rPr>
        <w:t>We have developed a position statement on the collection of cancer data and information in Aotearoa New Zealand in relation to hapū and iwi affiliation, Māori descent and ethnicity. Equity impact assessments inform the foundation data programmes of ACT-NOW and structured pathology reporting of cancer. We have started scoping for an overarching equity impact assessment to inform CanShare development and delivery. This will include integrating safeguards in development and use of Māori data for analytics, improvement, and research.</w:t>
      </w:r>
    </w:p>
    <w:p w14:paraId="01484C02" w14:textId="77777777" w:rsidR="00AF58A9" w:rsidRDefault="00AF58A9" w:rsidP="00AF58A9">
      <w:pPr>
        <w:pStyle w:val="Heading4"/>
        <w:rPr>
          <w:lang w:eastAsia="en-US"/>
        </w:rPr>
      </w:pPr>
      <w:r>
        <w:rPr>
          <w:lang w:eastAsia="en-US"/>
        </w:rPr>
        <w:t>Pacific research project</w:t>
      </w:r>
    </w:p>
    <w:p w14:paraId="4D988EDD" w14:textId="77777777" w:rsidR="00AF58A9" w:rsidRDefault="00AF58A9" w:rsidP="00AF58A9">
      <w:pPr>
        <w:rPr>
          <w:lang w:eastAsia="en-US"/>
        </w:rPr>
      </w:pPr>
      <w:r>
        <w:rPr>
          <w:lang w:eastAsia="en-US"/>
        </w:rPr>
        <w:t>We have been working with Moana Connect to explore Pacific cancer pathways to</w:t>
      </w:r>
    </w:p>
    <w:p w14:paraId="70AD9F95" w14:textId="3E4C9127" w:rsidR="00AF58A9" w:rsidRDefault="00AF58A9" w:rsidP="00AF58A9">
      <w:pPr>
        <w:rPr>
          <w:lang w:eastAsia="en-US"/>
        </w:rPr>
      </w:pPr>
      <w:r>
        <w:rPr>
          <w:lang w:eastAsia="en-US"/>
        </w:rPr>
        <w:t>diagnosis, treatment, follow-up after treatment, support, and the handover back to primary health care services. We want to understand at what points along the cancer pathway Pacific peoples experience breakdowns in the system or face challenges and barriers and what supports they have received.</w:t>
      </w:r>
    </w:p>
    <w:p w14:paraId="1A69556B" w14:textId="77777777" w:rsidR="00AF58A9" w:rsidRDefault="00AF58A9" w:rsidP="00AF58A9">
      <w:pPr>
        <w:rPr>
          <w:lang w:eastAsia="en-US"/>
        </w:rPr>
      </w:pPr>
    </w:p>
    <w:p w14:paraId="4FD000A1" w14:textId="77777777" w:rsidR="00AF58A9" w:rsidRDefault="00AF58A9" w:rsidP="00AF58A9">
      <w:pPr>
        <w:rPr>
          <w:lang w:eastAsia="en-US"/>
        </w:rPr>
      </w:pPr>
      <w:r>
        <w:rPr>
          <w:lang w:eastAsia="en-US"/>
        </w:rPr>
        <w:t>This research follows an empowerment approach where Pacific stories and perspectives are championed and, once completed, will inform our work around identifying opportunities to improve cancer coordination and supportive care for Pacific peoples during cancer treatment. We expect to release the findings from this research later in 2022.</w:t>
      </w:r>
    </w:p>
    <w:p w14:paraId="2D844ABE" w14:textId="77777777" w:rsidR="00AF58A9" w:rsidRDefault="00AF58A9" w:rsidP="00AF58A9">
      <w:pPr>
        <w:pStyle w:val="Heading4"/>
        <w:rPr>
          <w:lang w:eastAsia="en-US"/>
        </w:rPr>
      </w:pPr>
      <w:r>
        <w:rPr>
          <w:lang w:eastAsia="en-US"/>
        </w:rPr>
        <w:t>Supporting equity led work across the cancer sector</w:t>
      </w:r>
    </w:p>
    <w:p w14:paraId="37616507" w14:textId="14E8EDE9" w:rsidR="00AF58A9" w:rsidRDefault="00AF58A9" w:rsidP="00AF58A9">
      <w:pPr>
        <w:rPr>
          <w:lang w:eastAsia="en-US"/>
        </w:rPr>
      </w:pPr>
      <w:r>
        <w:rPr>
          <w:lang w:eastAsia="en-US"/>
        </w:rPr>
        <w:t>Te Aho o Te Kahu has supported a number of organisations looking to embed equity in their work. This includes the Cancer Society, who have been codesigning a proposed new model of care with equity as a key principle, and the National Child Cancer Network, who have established a roopu and research project focused on better understanding any inequities of experience among families living with child cancer.</w:t>
      </w:r>
    </w:p>
    <w:p w14:paraId="46FBBB8A" w14:textId="77777777" w:rsidR="00AF58A9" w:rsidRDefault="00AF58A9" w:rsidP="00AF58A9">
      <w:pPr>
        <w:rPr>
          <w:lang w:eastAsia="en-US"/>
        </w:rPr>
      </w:pPr>
    </w:p>
    <w:p w14:paraId="5844F36E" w14:textId="42568A4E" w:rsidR="00AF58A9" w:rsidRDefault="00AF58A9" w:rsidP="00AF58A9">
      <w:pPr>
        <w:rPr>
          <w:lang w:eastAsia="en-US"/>
        </w:rPr>
      </w:pPr>
      <w:r>
        <w:rPr>
          <w:lang w:eastAsia="en-US"/>
        </w:rPr>
        <w:t>We have also collaborated with the New Zealand Telehealth Forum and the University of Auckland to support an internship examining the resources are available to help patients understand and use telehealth and are working with the Forum and Massey University to survey all public hospital cancer clinics on their use of and attitudes towards telehealth in cancer care.</w:t>
      </w:r>
    </w:p>
    <w:p w14:paraId="20459E26" w14:textId="77443B19" w:rsidR="00AF58A9" w:rsidRPr="00AF58A9" w:rsidRDefault="00AF58A9" w:rsidP="00AF58A9">
      <w:pPr>
        <w:pStyle w:val="Heading4"/>
        <w:rPr>
          <w:sz w:val="36"/>
          <w:szCs w:val="36"/>
          <w:lang w:eastAsia="en-US"/>
        </w:rPr>
      </w:pPr>
      <w:r w:rsidRPr="00AF58A9">
        <w:rPr>
          <w:b/>
          <w:bCs/>
          <w:sz w:val="36"/>
          <w:szCs w:val="36"/>
          <w:lang w:eastAsia="en-US"/>
        </w:rPr>
        <w:lastRenderedPageBreak/>
        <w:t>T</w:t>
      </w:r>
      <w:r w:rsidR="00371A1E">
        <w:rPr>
          <w:b/>
          <w:bCs/>
          <w:sz w:val="36"/>
          <w:szCs w:val="36"/>
          <w:lang w:eastAsia="en-US"/>
        </w:rPr>
        <w:t>ā</w:t>
      </w:r>
      <w:r w:rsidRPr="00AF58A9">
        <w:rPr>
          <w:b/>
          <w:bCs/>
          <w:sz w:val="36"/>
          <w:szCs w:val="36"/>
          <w:lang w:eastAsia="en-US"/>
        </w:rPr>
        <w:t xml:space="preserve"> mātou whakahaere |</w:t>
      </w:r>
      <w:r w:rsidRPr="00AF58A9">
        <w:rPr>
          <w:sz w:val="36"/>
          <w:szCs w:val="36"/>
          <w:lang w:eastAsia="en-US"/>
        </w:rPr>
        <w:t xml:space="preserve"> Our performance</w:t>
      </w:r>
    </w:p>
    <w:p w14:paraId="3CF3EAC7" w14:textId="15CB5ECC" w:rsidR="00AF58A9" w:rsidRDefault="00AF58A9" w:rsidP="00AF58A9">
      <w:pPr>
        <w:pStyle w:val="Heading4"/>
        <w:rPr>
          <w:lang w:eastAsia="en-US"/>
        </w:rPr>
      </w:pPr>
      <w:r>
        <w:rPr>
          <w:lang w:eastAsia="en-US"/>
        </w:rPr>
        <w:t>Agency performance</w:t>
      </w:r>
    </w:p>
    <w:tbl>
      <w:tblPr>
        <w:tblW w:w="8265"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977"/>
        <w:gridCol w:w="950"/>
        <w:gridCol w:w="1022"/>
        <w:gridCol w:w="3316"/>
      </w:tblGrid>
      <w:tr w:rsidR="00AF58A9" w:rsidRPr="00AF58A9" w14:paraId="5EBDFE0D" w14:textId="77777777" w:rsidTr="001C1C81">
        <w:trPr>
          <w:tblHeader/>
        </w:trPr>
        <w:tc>
          <w:tcPr>
            <w:tcW w:w="2977" w:type="dxa"/>
            <w:tcBorders>
              <w:top w:val="nil"/>
              <w:bottom w:val="nil"/>
            </w:tcBorders>
            <w:shd w:val="clear" w:color="auto" w:fill="D9D9D9" w:themeFill="background1" w:themeFillShade="D9"/>
          </w:tcPr>
          <w:p w14:paraId="6891645E" w14:textId="77777777" w:rsidR="00AF58A9" w:rsidRPr="00AF58A9" w:rsidRDefault="00AF58A9" w:rsidP="00AF58A9">
            <w:pPr>
              <w:pStyle w:val="TableText"/>
              <w:rPr>
                <w:b/>
                <w:bCs/>
              </w:rPr>
            </w:pPr>
            <w:r w:rsidRPr="00AF58A9">
              <w:rPr>
                <w:b/>
                <w:bCs/>
                <w:w w:val="110"/>
              </w:rPr>
              <w:t>Performance</w:t>
            </w:r>
            <w:r w:rsidRPr="00AF58A9">
              <w:rPr>
                <w:b/>
                <w:bCs/>
                <w:spacing w:val="-25"/>
                <w:w w:val="110"/>
              </w:rPr>
              <w:t xml:space="preserve"> </w:t>
            </w:r>
            <w:r w:rsidRPr="00AF58A9">
              <w:rPr>
                <w:b/>
                <w:bCs/>
                <w:w w:val="110"/>
              </w:rPr>
              <w:t>measure</w:t>
            </w:r>
          </w:p>
        </w:tc>
        <w:tc>
          <w:tcPr>
            <w:tcW w:w="950" w:type="dxa"/>
            <w:tcBorders>
              <w:top w:val="nil"/>
              <w:bottom w:val="nil"/>
            </w:tcBorders>
            <w:shd w:val="clear" w:color="auto" w:fill="D9D9D9" w:themeFill="background1" w:themeFillShade="D9"/>
          </w:tcPr>
          <w:p w14:paraId="2CC44C4E" w14:textId="77777777" w:rsidR="00AF58A9" w:rsidRPr="00AF58A9" w:rsidRDefault="00AF58A9" w:rsidP="001C1C81">
            <w:pPr>
              <w:pStyle w:val="TableText"/>
              <w:jc w:val="right"/>
              <w:rPr>
                <w:b/>
                <w:bCs/>
              </w:rPr>
            </w:pPr>
            <w:r w:rsidRPr="00AF58A9">
              <w:rPr>
                <w:b/>
                <w:bCs/>
                <w:w w:val="105"/>
              </w:rPr>
              <w:t>2020/21</w:t>
            </w:r>
          </w:p>
        </w:tc>
        <w:tc>
          <w:tcPr>
            <w:tcW w:w="1022" w:type="dxa"/>
            <w:tcBorders>
              <w:top w:val="nil"/>
              <w:bottom w:val="nil"/>
            </w:tcBorders>
            <w:shd w:val="clear" w:color="auto" w:fill="D9D9D9" w:themeFill="background1" w:themeFillShade="D9"/>
          </w:tcPr>
          <w:p w14:paraId="01B0243B" w14:textId="77777777" w:rsidR="00AF58A9" w:rsidRPr="00AF58A9" w:rsidRDefault="00AF58A9" w:rsidP="001C1C81">
            <w:pPr>
              <w:pStyle w:val="TableText"/>
              <w:jc w:val="right"/>
              <w:rPr>
                <w:b/>
                <w:bCs/>
              </w:rPr>
            </w:pPr>
            <w:r w:rsidRPr="00AF58A9">
              <w:rPr>
                <w:b/>
                <w:bCs/>
                <w:w w:val="105"/>
              </w:rPr>
              <w:t>2021/22</w:t>
            </w:r>
          </w:p>
        </w:tc>
        <w:tc>
          <w:tcPr>
            <w:tcW w:w="3316" w:type="dxa"/>
            <w:tcBorders>
              <w:top w:val="nil"/>
              <w:bottom w:val="nil"/>
            </w:tcBorders>
            <w:shd w:val="clear" w:color="auto" w:fill="D9D9D9" w:themeFill="background1" w:themeFillShade="D9"/>
          </w:tcPr>
          <w:p w14:paraId="5D6AA161" w14:textId="77777777" w:rsidR="00AF58A9" w:rsidRPr="00AF58A9" w:rsidRDefault="00AF58A9" w:rsidP="00AF58A9">
            <w:pPr>
              <w:pStyle w:val="TableText"/>
              <w:rPr>
                <w:b/>
                <w:bCs/>
              </w:rPr>
            </w:pPr>
            <w:r w:rsidRPr="00AF58A9">
              <w:rPr>
                <w:b/>
                <w:bCs/>
                <w:w w:val="105"/>
              </w:rPr>
              <w:t>Notes</w:t>
            </w:r>
          </w:p>
        </w:tc>
      </w:tr>
      <w:tr w:rsidR="00AF58A9" w14:paraId="77F5E860" w14:textId="77777777" w:rsidTr="001C1C81">
        <w:tc>
          <w:tcPr>
            <w:tcW w:w="2977" w:type="dxa"/>
            <w:tcBorders>
              <w:top w:val="nil"/>
            </w:tcBorders>
          </w:tcPr>
          <w:p w14:paraId="39C81436" w14:textId="77777777" w:rsidR="00AF58A9" w:rsidRPr="001C1C81" w:rsidRDefault="00AF58A9" w:rsidP="001C1C81">
            <w:pPr>
              <w:pStyle w:val="TableText"/>
            </w:pPr>
            <w:r w:rsidRPr="001C1C81">
              <w:t>Staff satisfaction</w:t>
            </w:r>
          </w:p>
        </w:tc>
        <w:tc>
          <w:tcPr>
            <w:tcW w:w="950" w:type="dxa"/>
            <w:tcBorders>
              <w:top w:val="nil"/>
            </w:tcBorders>
          </w:tcPr>
          <w:p w14:paraId="4BBC2D24" w14:textId="77777777" w:rsidR="00AF58A9" w:rsidRPr="001C1C81" w:rsidRDefault="00AF58A9" w:rsidP="001C1C81">
            <w:pPr>
              <w:pStyle w:val="TableText"/>
              <w:jc w:val="right"/>
            </w:pPr>
            <w:r w:rsidRPr="001C1C81">
              <w:t>7.3/10</w:t>
            </w:r>
          </w:p>
        </w:tc>
        <w:tc>
          <w:tcPr>
            <w:tcW w:w="1022" w:type="dxa"/>
            <w:tcBorders>
              <w:top w:val="nil"/>
            </w:tcBorders>
          </w:tcPr>
          <w:p w14:paraId="0D1C8989" w14:textId="77777777" w:rsidR="00AF58A9" w:rsidRPr="001C1C81" w:rsidRDefault="00AF58A9" w:rsidP="001C1C81">
            <w:pPr>
              <w:pStyle w:val="TableText"/>
              <w:jc w:val="right"/>
            </w:pPr>
            <w:r w:rsidRPr="001C1C81">
              <w:t>NA</w:t>
            </w:r>
          </w:p>
        </w:tc>
        <w:tc>
          <w:tcPr>
            <w:tcW w:w="3316" w:type="dxa"/>
            <w:tcBorders>
              <w:top w:val="nil"/>
            </w:tcBorders>
          </w:tcPr>
          <w:p w14:paraId="1AD4FCE0" w14:textId="77777777" w:rsidR="00AF58A9" w:rsidRPr="001C1C81" w:rsidRDefault="00AF58A9" w:rsidP="001C1C81">
            <w:pPr>
              <w:pStyle w:val="TableText"/>
            </w:pPr>
            <w:r w:rsidRPr="001C1C81">
              <w:t>Ministry of Health Kōrero Mai Survey is undertaken every two years. Will be carried out again in Nov 2022.</w:t>
            </w:r>
          </w:p>
        </w:tc>
      </w:tr>
      <w:tr w:rsidR="00AF58A9" w14:paraId="0CE87773" w14:textId="77777777" w:rsidTr="001C1C81">
        <w:tc>
          <w:tcPr>
            <w:tcW w:w="2977" w:type="dxa"/>
          </w:tcPr>
          <w:p w14:paraId="2FE0A443" w14:textId="77777777" w:rsidR="00AF58A9" w:rsidRPr="001C1C81" w:rsidRDefault="00AF58A9" w:rsidP="001C1C81">
            <w:pPr>
              <w:pStyle w:val="TableText"/>
            </w:pPr>
            <w:r w:rsidRPr="001C1C81">
              <w:t>Sick leave taken</w:t>
            </w:r>
          </w:p>
        </w:tc>
        <w:tc>
          <w:tcPr>
            <w:tcW w:w="950" w:type="dxa"/>
          </w:tcPr>
          <w:p w14:paraId="580A5BB4" w14:textId="77777777" w:rsidR="00AF58A9" w:rsidRPr="001C1C81" w:rsidRDefault="00AF58A9" w:rsidP="001C1C81">
            <w:pPr>
              <w:pStyle w:val="TableText"/>
              <w:jc w:val="right"/>
            </w:pPr>
            <w:r w:rsidRPr="001C1C81">
              <w:t>3.1 days</w:t>
            </w:r>
          </w:p>
        </w:tc>
        <w:tc>
          <w:tcPr>
            <w:tcW w:w="1022" w:type="dxa"/>
          </w:tcPr>
          <w:p w14:paraId="206CFF87" w14:textId="674E5E19" w:rsidR="00AF58A9" w:rsidRPr="001C1C81" w:rsidRDefault="00AF58A9" w:rsidP="001C1C81">
            <w:pPr>
              <w:pStyle w:val="TableText"/>
              <w:jc w:val="right"/>
            </w:pPr>
            <w:r w:rsidRPr="001C1C81">
              <w:t>4.7 days</w:t>
            </w:r>
            <w:r w:rsidR="000B0F72" w:rsidRPr="000B0F72">
              <w:rPr>
                <w:color w:val="FF0000"/>
              </w:rPr>
              <w:sym w:font="Wingdings" w:char="F0E1"/>
            </w:r>
          </w:p>
        </w:tc>
        <w:tc>
          <w:tcPr>
            <w:tcW w:w="3316" w:type="dxa"/>
          </w:tcPr>
          <w:p w14:paraId="1093B08B" w14:textId="77777777" w:rsidR="00AF58A9" w:rsidRPr="001C1C81" w:rsidRDefault="00AF58A9" w:rsidP="001C1C81">
            <w:pPr>
              <w:pStyle w:val="TableText"/>
            </w:pPr>
            <w:r w:rsidRPr="001C1C81">
              <w:t>Most staff have taken COVID-19 sick leave across 2021/22 (either contracting COVID-19 themselves or caring for dependents).</w:t>
            </w:r>
          </w:p>
        </w:tc>
      </w:tr>
      <w:tr w:rsidR="00AF58A9" w14:paraId="5222EE0D" w14:textId="77777777" w:rsidTr="001C1C81">
        <w:tc>
          <w:tcPr>
            <w:tcW w:w="2977" w:type="dxa"/>
          </w:tcPr>
          <w:p w14:paraId="4D3B3E09" w14:textId="77777777" w:rsidR="00AF58A9" w:rsidRPr="001C1C81" w:rsidRDefault="00AF58A9" w:rsidP="001C1C81">
            <w:pPr>
              <w:pStyle w:val="TableText"/>
            </w:pPr>
            <w:r w:rsidRPr="001C1C81">
              <w:t>Staff turnover</w:t>
            </w:r>
          </w:p>
        </w:tc>
        <w:tc>
          <w:tcPr>
            <w:tcW w:w="950" w:type="dxa"/>
          </w:tcPr>
          <w:p w14:paraId="74C7AF24" w14:textId="77777777" w:rsidR="00AF58A9" w:rsidRPr="001C1C81" w:rsidRDefault="00AF58A9" w:rsidP="001C1C81">
            <w:pPr>
              <w:pStyle w:val="TableText"/>
              <w:jc w:val="right"/>
            </w:pPr>
            <w:r w:rsidRPr="001C1C81">
              <w:t>4%</w:t>
            </w:r>
          </w:p>
        </w:tc>
        <w:tc>
          <w:tcPr>
            <w:tcW w:w="1022" w:type="dxa"/>
          </w:tcPr>
          <w:p w14:paraId="2B96EA0C" w14:textId="085DDADA" w:rsidR="00AF58A9" w:rsidRPr="001C1C81" w:rsidRDefault="00AF58A9" w:rsidP="001C1C81">
            <w:pPr>
              <w:pStyle w:val="TableText"/>
              <w:jc w:val="right"/>
            </w:pPr>
            <w:r w:rsidRPr="001C1C81">
              <w:t>13%</w:t>
            </w:r>
            <w:r w:rsidR="000B0F72" w:rsidRPr="000B0F72">
              <w:rPr>
                <w:color w:val="FF0000"/>
              </w:rPr>
              <w:sym w:font="Wingdings" w:char="F0E1"/>
            </w:r>
          </w:p>
        </w:tc>
        <w:tc>
          <w:tcPr>
            <w:tcW w:w="3316" w:type="dxa"/>
          </w:tcPr>
          <w:p w14:paraId="579D8C79" w14:textId="77777777" w:rsidR="00AF58A9" w:rsidRPr="001C1C81" w:rsidRDefault="00AF58A9" w:rsidP="001C1C81">
            <w:pPr>
              <w:pStyle w:val="TableText"/>
            </w:pPr>
            <w:r w:rsidRPr="001C1C81">
              <w:t>Staff turnover has increased as we have become fully established and are settling into BAU operation.</w:t>
            </w:r>
          </w:p>
        </w:tc>
      </w:tr>
      <w:tr w:rsidR="00AF58A9" w14:paraId="75660BF2" w14:textId="77777777" w:rsidTr="001C1C81">
        <w:tc>
          <w:tcPr>
            <w:tcW w:w="2977" w:type="dxa"/>
          </w:tcPr>
          <w:p w14:paraId="21133860" w14:textId="77777777" w:rsidR="00AF58A9" w:rsidRPr="001C1C81" w:rsidRDefault="00AF58A9" w:rsidP="001C1C81">
            <w:pPr>
              <w:pStyle w:val="TableText"/>
            </w:pPr>
            <w:r w:rsidRPr="001C1C81">
              <w:t>Percentage Māori staff</w:t>
            </w:r>
          </w:p>
        </w:tc>
        <w:tc>
          <w:tcPr>
            <w:tcW w:w="950" w:type="dxa"/>
          </w:tcPr>
          <w:p w14:paraId="79667192" w14:textId="77777777" w:rsidR="00AF58A9" w:rsidRPr="001C1C81" w:rsidRDefault="00AF58A9" w:rsidP="001C1C81">
            <w:pPr>
              <w:pStyle w:val="TableText"/>
              <w:jc w:val="right"/>
            </w:pPr>
            <w:r w:rsidRPr="001C1C81">
              <w:t>8%</w:t>
            </w:r>
          </w:p>
        </w:tc>
        <w:tc>
          <w:tcPr>
            <w:tcW w:w="1022" w:type="dxa"/>
          </w:tcPr>
          <w:p w14:paraId="6A1FDECE" w14:textId="273A7316" w:rsidR="00AF58A9" w:rsidRPr="001C1C81" w:rsidRDefault="00AF58A9" w:rsidP="001C1C81">
            <w:pPr>
              <w:pStyle w:val="TableText"/>
              <w:jc w:val="right"/>
            </w:pPr>
            <w:r w:rsidRPr="001C1C81">
              <w:t>11%</w:t>
            </w:r>
            <w:r w:rsidR="000B0F72" w:rsidRPr="000B0F72">
              <w:rPr>
                <w:color w:val="00B050"/>
              </w:rPr>
              <w:sym w:font="Wingdings" w:char="F0E1"/>
            </w:r>
            <w:r w:rsidRPr="001C1C81">
              <w:t xml:space="preserve"> </w:t>
            </w:r>
          </w:p>
        </w:tc>
        <w:tc>
          <w:tcPr>
            <w:tcW w:w="3316" w:type="dxa"/>
          </w:tcPr>
          <w:p w14:paraId="63B36CE9" w14:textId="77777777" w:rsidR="00AF58A9" w:rsidRPr="001C1C81" w:rsidRDefault="00AF58A9" w:rsidP="001C1C81">
            <w:pPr>
              <w:pStyle w:val="TableText"/>
            </w:pPr>
            <w:r w:rsidRPr="001C1C81">
              <w:t>Deliberate recruitment focus on Māori staff and capability.</w:t>
            </w:r>
          </w:p>
        </w:tc>
      </w:tr>
      <w:tr w:rsidR="00AF58A9" w14:paraId="0DD7DBB1" w14:textId="77777777" w:rsidTr="001C1C81">
        <w:tc>
          <w:tcPr>
            <w:tcW w:w="2977" w:type="dxa"/>
          </w:tcPr>
          <w:p w14:paraId="66E532EE" w14:textId="77777777" w:rsidR="00AF58A9" w:rsidRPr="001C1C81" w:rsidRDefault="00AF58A9" w:rsidP="001C1C81">
            <w:pPr>
              <w:pStyle w:val="TableText"/>
            </w:pPr>
            <w:r w:rsidRPr="001C1C81">
              <w:t>Percentage Pacific staff</w:t>
            </w:r>
          </w:p>
        </w:tc>
        <w:tc>
          <w:tcPr>
            <w:tcW w:w="950" w:type="dxa"/>
          </w:tcPr>
          <w:p w14:paraId="01DFC395" w14:textId="77777777" w:rsidR="00AF58A9" w:rsidRPr="001C1C81" w:rsidRDefault="00AF58A9" w:rsidP="001C1C81">
            <w:pPr>
              <w:pStyle w:val="TableText"/>
              <w:jc w:val="right"/>
            </w:pPr>
            <w:r w:rsidRPr="001C1C81">
              <w:t>0%</w:t>
            </w:r>
          </w:p>
        </w:tc>
        <w:tc>
          <w:tcPr>
            <w:tcW w:w="1022" w:type="dxa"/>
          </w:tcPr>
          <w:p w14:paraId="005EECEC" w14:textId="23D7C201" w:rsidR="00AF58A9" w:rsidRPr="001C1C81" w:rsidRDefault="00AF58A9" w:rsidP="001C1C81">
            <w:pPr>
              <w:pStyle w:val="TableText"/>
              <w:jc w:val="right"/>
            </w:pPr>
            <w:r w:rsidRPr="001C1C81">
              <w:t>6%</w:t>
            </w:r>
            <w:r w:rsidR="000B0F72" w:rsidRPr="000B0F72">
              <w:rPr>
                <w:color w:val="00B050"/>
              </w:rPr>
              <w:sym w:font="Wingdings" w:char="F0E1"/>
            </w:r>
            <w:r w:rsidRPr="001C1C81">
              <w:t xml:space="preserve"> </w:t>
            </w:r>
          </w:p>
        </w:tc>
        <w:tc>
          <w:tcPr>
            <w:tcW w:w="3316" w:type="dxa"/>
          </w:tcPr>
          <w:p w14:paraId="54B3B948" w14:textId="77777777" w:rsidR="00AF58A9" w:rsidRPr="001C1C81" w:rsidRDefault="00AF58A9" w:rsidP="001C1C81">
            <w:pPr>
              <w:pStyle w:val="TableText"/>
            </w:pPr>
            <w:r w:rsidRPr="001C1C81">
              <w:t>Deliberate recruitment focus on Pacific staff and capability, creation of a Pacific Equity role in the Northern Hub.</w:t>
            </w:r>
          </w:p>
        </w:tc>
      </w:tr>
      <w:tr w:rsidR="00AF58A9" w14:paraId="3C3939DD" w14:textId="77777777" w:rsidTr="001C1C81">
        <w:tc>
          <w:tcPr>
            <w:tcW w:w="2977" w:type="dxa"/>
          </w:tcPr>
          <w:p w14:paraId="2D13C508" w14:textId="77777777" w:rsidR="00AF58A9" w:rsidRPr="001C1C81" w:rsidRDefault="00AF58A9" w:rsidP="001C1C81">
            <w:pPr>
              <w:pStyle w:val="TableText"/>
            </w:pPr>
            <w:r w:rsidRPr="001C1C81">
              <w:t>Percentage Non-European staff</w:t>
            </w:r>
          </w:p>
        </w:tc>
        <w:tc>
          <w:tcPr>
            <w:tcW w:w="950" w:type="dxa"/>
          </w:tcPr>
          <w:p w14:paraId="6A7A926E" w14:textId="77777777" w:rsidR="00AF58A9" w:rsidRPr="001C1C81" w:rsidRDefault="00AF58A9" w:rsidP="001C1C81">
            <w:pPr>
              <w:pStyle w:val="TableText"/>
              <w:jc w:val="right"/>
            </w:pPr>
            <w:r w:rsidRPr="001C1C81">
              <w:t>26%</w:t>
            </w:r>
          </w:p>
        </w:tc>
        <w:tc>
          <w:tcPr>
            <w:tcW w:w="1022" w:type="dxa"/>
          </w:tcPr>
          <w:p w14:paraId="7B506D95" w14:textId="0417F4B5" w:rsidR="00AF58A9" w:rsidRPr="001C1C81" w:rsidRDefault="00AF58A9" w:rsidP="001C1C81">
            <w:pPr>
              <w:pStyle w:val="TableText"/>
              <w:jc w:val="right"/>
            </w:pPr>
            <w:r w:rsidRPr="001C1C81">
              <w:t>40%</w:t>
            </w:r>
            <w:r w:rsidR="000B0F72" w:rsidRPr="000B0F72">
              <w:rPr>
                <w:color w:val="00B050"/>
              </w:rPr>
              <w:sym w:font="Wingdings" w:char="F0E1"/>
            </w:r>
            <w:r w:rsidRPr="001C1C81">
              <w:t xml:space="preserve"> </w:t>
            </w:r>
          </w:p>
        </w:tc>
        <w:tc>
          <w:tcPr>
            <w:tcW w:w="3316" w:type="dxa"/>
          </w:tcPr>
          <w:p w14:paraId="5788F559" w14:textId="77777777" w:rsidR="00AF58A9" w:rsidRPr="001C1C81" w:rsidRDefault="00AF58A9" w:rsidP="001C1C81">
            <w:pPr>
              <w:pStyle w:val="TableText"/>
            </w:pPr>
          </w:p>
        </w:tc>
      </w:tr>
      <w:tr w:rsidR="00AF58A9" w:rsidRPr="001C1C81" w14:paraId="72EF85C6" w14:textId="77777777" w:rsidTr="001C1C81">
        <w:tc>
          <w:tcPr>
            <w:tcW w:w="2977" w:type="dxa"/>
          </w:tcPr>
          <w:p w14:paraId="7A6DA7A7" w14:textId="77777777" w:rsidR="00AF58A9" w:rsidRPr="001C1C81" w:rsidRDefault="00AF58A9" w:rsidP="001C1C81">
            <w:pPr>
              <w:pStyle w:val="TableText"/>
              <w:rPr>
                <w:b/>
                <w:bCs/>
              </w:rPr>
            </w:pPr>
            <w:r w:rsidRPr="001C1C81">
              <w:rPr>
                <w:b/>
                <w:bCs/>
              </w:rPr>
              <w:t>Diversity and Inclusion</w:t>
            </w:r>
          </w:p>
        </w:tc>
        <w:tc>
          <w:tcPr>
            <w:tcW w:w="950" w:type="dxa"/>
          </w:tcPr>
          <w:p w14:paraId="5BC59FBC" w14:textId="77777777" w:rsidR="00AF58A9" w:rsidRPr="001C1C81" w:rsidRDefault="00AF58A9" w:rsidP="001C1C81">
            <w:pPr>
              <w:pStyle w:val="TableText"/>
              <w:jc w:val="right"/>
              <w:rPr>
                <w:b/>
                <w:bCs/>
              </w:rPr>
            </w:pPr>
          </w:p>
        </w:tc>
        <w:tc>
          <w:tcPr>
            <w:tcW w:w="1022" w:type="dxa"/>
          </w:tcPr>
          <w:p w14:paraId="478DE90E" w14:textId="77777777" w:rsidR="00AF58A9" w:rsidRPr="001C1C81" w:rsidRDefault="00AF58A9" w:rsidP="001C1C81">
            <w:pPr>
              <w:pStyle w:val="TableText"/>
              <w:jc w:val="right"/>
              <w:rPr>
                <w:b/>
                <w:bCs/>
              </w:rPr>
            </w:pPr>
          </w:p>
        </w:tc>
        <w:tc>
          <w:tcPr>
            <w:tcW w:w="3316" w:type="dxa"/>
          </w:tcPr>
          <w:p w14:paraId="2A329E4C" w14:textId="77777777" w:rsidR="00AF58A9" w:rsidRPr="00E773C3" w:rsidRDefault="00AF58A9" w:rsidP="001C1C81">
            <w:pPr>
              <w:pStyle w:val="TableText"/>
            </w:pPr>
            <w:r w:rsidRPr="00E773C3">
              <w:t>Statements from 2021 Public Service Census</w:t>
            </w:r>
          </w:p>
        </w:tc>
      </w:tr>
      <w:tr w:rsidR="00AF58A9" w14:paraId="14D1DBED" w14:textId="77777777" w:rsidTr="001C1C81">
        <w:tc>
          <w:tcPr>
            <w:tcW w:w="2977" w:type="dxa"/>
          </w:tcPr>
          <w:p w14:paraId="69EBF7A9" w14:textId="77777777" w:rsidR="00AF58A9" w:rsidRPr="001C1C81" w:rsidRDefault="00AF58A9" w:rsidP="001C1C81">
            <w:pPr>
              <w:pStyle w:val="TableText"/>
            </w:pPr>
            <w:r w:rsidRPr="001C1C81">
              <w:t>I believe my agency supports and actively promotes an inclusive workplace</w:t>
            </w:r>
          </w:p>
        </w:tc>
        <w:tc>
          <w:tcPr>
            <w:tcW w:w="950" w:type="dxa"/>
          </w:tcPr>
          <w:p w14:paraId="1C88FC9E" w14:textId="77777777" w:rsidR="00AF58A9" w:rsidRPr="001C1C81" w:rsidRDefault="00AF58A9" w:rsidP="001C1C81">
            <w:pPr>
              <w:pStyle w:val="TableText"/>
              <w:jc w:val="right"/>
            </w:pPr>
            <w:r w:rsidRPr="001C1C81">
              <w:t>93%</w:t>
            </w:r>
          </w:p>
        </w:tc>
        <w:tc>
          <w:tcPr>
            <w:tcW w:w="1022" w:type="dxa"/>
          </w:tcPr>
          <w:p w14:paraId="4E4FF44B" w14:textId="0BB190AC" w:rsidR="00AF58A9" w:rsidRPr="001C1C81" w:rsidRDefault="00AF58A9" w:rsidP="001C1C81">
            <w:pPr>
              <w:pStyle w:val="TableText"/>
              <w:jc w:val="right"/>
            </w:pPr>
          </w:p>
        </w:tc>
        <w:tc>
          <w:tcPr>
            <w:tcW w:w="3316" w:type="dxa"/>
          </w:tcPr>
          <w:p w14:paraId="6C5BB23E" w14:textId="77777777" w:rsidR="00AF58A9" w:rsidRPr="001C1C81" w:rsidRDefault="00AF58A9" w:rsidP="001C1C81">
            <w:pPr>
              <w:pStyle w:val="TableText"/>
            </w:pPr>
            <w:r w:rsidRPr="001C1C81">
              <w:t>Average across the Public Service was 78%</w:t>
            </w:r>
          </w:p>
        </w:tc>
      </w:tr>
      <w:tr w:rsidR="00AF58A9" w14:paraId="47A79B2B" w14:textId="77777777" w:rsidTr="001C1C81">
        <w:tc>
          <w:tcPr>
            <w:tcW w:w="2977" w:type="dxa"/>
          </w:tcPr>
          <w:p w14:paraId="51EEE00C" w14:textId="77777777" w:rsidR="00AF58A9" w:rsidRPr="001C1C81" w:rsidRDefault="00AF58A9" w:rsidP="001C1C81">
            <w:pPr>
              <w:pStyle w:val="TableText"/>
            </w:pPr>
            <w:r w:rsidRPr="001C1C81">
              <w:t>The people in my workgroup behave in an accepting manner to people from diverse backgrounds</w:t>
            </w:r>
          </w:p>
        </w:tc>
        <w:tc>
          <w:tcPr>
            <w:tcW w:w="950" w:type="dxa"/>
          </w:tcPr>
          <w:p w14:paraId="54161B1A" w14:textId="77777777" w:rsidR="00AF58A9" w:rsidRPr="001C1C81" w:rsidRDefault="00AF58A9" w:rsidP="001C1C81">
            <w:pPr>
              <w:pStyle w:val="TableText"/>
              <w:jc w:val="right"/>
            </w:pPr>
            <w:r w:rsidRPr="001C1C81">
              <w:t>91%</w:t>
            </w:r>
          </w:p>
        </w:tc>
        <w:tc>
          <w:tcPr>
            <w:tcW w:w="1022" w:type="dxa"/>
          </w:tcPr>
          <w:p w14:paraId="6F1AA01D" w14:textId="77777777" w:rsidR="00AF58A9" w:rsidRPr="001C1C81" w:rsidRDefault="00AF58A9" w:rsidP="001C1C81">
            <w:pPr>
              <w:pStyle w:val="TableText"/>
              <w:jc w:val="right"/>
            </w:pPr>
          </w:p>
        </w:tc>
        <w:tc>
          <w:tcPr>
            <w:tcW w:w="3316" w:type="dxa"/>
          </w:tcPr>
          <w:p w14:paraId="6B7D7969" w14:textId="77777777" w:rsidR="00AF58A9" w:rsidRPr="001C1C81" w:rsidRDefault="00AF58A9" w:rsidP="001C1C81">
            <w:pPr>
              <w:pStyle w:val="TableText"/>
            </w:pPr>
            <w:r w:rsidRPr="001C1C81">
              <w:t>Average across the Public Service was 81%</w:t>
            </w:r>
          </w:p>
        </w:tc>
      </w:tr>
      <w:tr w:rsidR="00AF58A9" w14:paraId="4DBCDB55" w14:textId="77777777" w:rsidTr="001C1C81">
        <w:tc>
          <w:tcPr>
            <w:tcW w:w="2977" w:type="dxa"/>
          </w:tcPr>
          <w:p w14:paraId="03F89B5D" w14:textId="77777777" w:rsidR="00AF58A9" w:rsidRPr="001C1C81" w:rsidRDefault="00AF58A9" w:rsidP="001C1C81">
            <w:pPr>
              <w:pStyle w:val="TableText"/>
            </w:pPr>
            <w:r w:rsidRPr="001C1C81">
              <w:t>I feel accepted as a valued member of the team</w:t>
            </w:r>
          </w:p>
        </w:tc>
        <w:tc>
          <w:tcPr>
            <w:tcW w:w="950" w:type="dxa"/>
          </w:tcPr>
          <w:p w14:paraId="736CF0FC" w14:textId="77777777" w:rsidR="00AF58A9" w:rsidRPr="001C1C81" w:rsidRDefault="00AF58A9" w:rsidP="001C1C81">
            <w:pPr>
              <w:pStyle w:val="TableText"/>
              <w:jc w:val="right"/>
            </w:pPr>
            <w:r w:rsidRPr="001C1C81">
              <w:t>86%</w:t>
            </w:r>
          </w:p>
        </w:tc>
        <w:tc>
          <w:tcPr>
            <w:tcW w:w="1022" w:type="dxa"/>
          </w:tcPr>
          <w:p w14:paraId="3565E836" w14:textId="77777777" w:rsidR="00AF58A9" w:rsidRPr="001C1C81" w:rsidRDefault="00AF58A9" w:rsidP="001C1C81">
            <w:pPr>
              <w:pStyle w:val="TableText"/>
              <w:jc w:val="right"/>
            </w:pPr>
          </w:p>
        </w:tc>
        <w:tc>
          <w:tcPr>
            <w:tcW w:w="3316" w:type="dxa"/>
          </w:tcPr>
          <w:p w14:paraId="218A326A" w14:textId="77777777" w:rsidR="00AF58A9" w:rsidRPr="001C1C81" w:rsidRDefault="00AF58A9" w:rsidP="001C1C81">
            <w:pPr>
              <w:pStyle w:val="TableText"/>
            </w:pPr>
            <w:r w:rsidRPr="001C1C81">
              <w:t>Average across the Public Service was 79%</w:t>
            </w:r>
          </w:p>
        </w:tc>
      </w:tr>
      <w:tr w:rsidR="00AF58A9" w14:paraId="252C2628" w14:textId="77777777" w:rsidTr="001C1C81">
        <w:tc>
          <w:tcPr>
            <w:tcW w:w="2977" w:type="dxa"/>
          </w:tcPr>
          <w:p w14:paraId="61372903" w14:textId="77777777" w:rsidR="00AF58A9" w:rsidRPr="001C1C81" w:rsidRDefault="00AF58A9" w:rsidP="001C1C81">
            <w:pPr>
              <w:pStyle w:val="TableText"/>
            </w:pPr>
            <w:r w:rsidRPr="001C1C81">
              <w:t>I am satisfied with my work/life balance</w:t>
            </w:r>
          </w:p>
        </w:tc>
        <w:tc>
          <w:tcPr>
            <w:tcW w:w="950" w:type="dxa"/>
          </w:tcPr>
          <w:p w14:paraId="1C2D4FD4" w14:textId="77777777" w:rsidR="00AF58A9" w:rsidRPr="001C1C81" w:rsidRDefault="00AF58A9" w:rsidP="001C1C81">
            <w:pPr>
              <w:pStyle w:val="TableText"/>
              <w:jc w:val="right"/>
            </w:pPr>
            <w:r w:rsidRPr="001C1C81">
              <w:t>59%</w:t>
            </w:r>
          </w:p>
        </w:tc>
        <w:tc>
          <w:tcPr>
            <w:tcW w:w="1022" w:type="dxa"/>
          </w:tcPr>
          <w:p w14:paraId="115C3589" w14:textId="77777777" w:rsidR="00AF58A9" w:rsidRPr="001C1C81" w:rsidRDefault="00AF58A9" w:rsidP="001C1C81">
            <w:pPr>
              <w:pStyle w:val="TableText"/>
              <w:jc w:val="right"/>
            </w:pPr>
          </w:p>
        </w:tc>
        <w:tc>
          <w:tcPr>
            <w:tcW w:w="3316" w:type="dxa"/>
          </w:tcPr>
          <w:p w14:paraId="197E811E" w14:textId="77777777" w:rsidR="00AF58A9" w:rsidRPr="001C1C81" w:rsidRDefault="00AF58A9" w:rsidP="001C1C81">
            <w:pPr>
              <w:pStyle w:val="TableText"/>
            </w:pPr>
            <w:r w:rsidRPr="001C1C81">
              <w:t>Average across the Public Service was 52%</w:t>
            </w:r>
          </w:p>
        </w:tc>
      </w:tr>
      <w:tr w:rsidR="00AF58A9" w:rsidRPr="001C1C81" w14:paraId="6F20246F" w14:textId="77777777" w:rsidTr="001C1C81">
        <w:tc>
          <w:tcPr>
            <w:tcW w:w="2977" w:type="dxa"/>
          </w:tcPr>
          <w:p w14:paraId="29C0803C" w14:textId="77777777" w:rsidR="00AF58A9" w:rsidRPr="001C1C81" w:rsidRDefault="00AF58A9" w:rsidP="001C1C81">
            <w:pPr>
              <w:pStyle w:val="TableText"/>
              <w:rPr>
                <w:b/>
                <w:bCs/>
              </w:rPr>
            </w:pPr>
            <w:r w:rsidRPr="001C1C81">
              <w:rPr>
                <w:b/>
                <w:bCs/>
              </w:rPr>
              <w:t>Te Reo Māori</w:t>
            </w:r>
          </w:p>
        </w:tc>
        <w:tc>
          <w:tcPr>
            <w:tcW w:w="950" w:type="dxa"/>
          </w:tcPr>
          <w:p w14:paraId="59043E02" w14:textId="77777777" w:rsidR="00AF58A9" w:rsidRPr="001C1C81" w:rsidRDefault="00AF58A9" w:rsidP="001C1C81">
            <w:pPr>
              <w:pStyle w:val="TableText"/>
              <w:jc w:val="right"/>
              <w:rPr>
                <w:b/>
                <w:bCs/>
              </w:rPr>
            </w:pPr>
          </w:p>
        </w:tc>
        <w:tc>
          <w:tcPr>
            <w:tcW w:w="1022" w:type="dxa"/>
          </w:tcPr>
          <w:p w14:paraId="12CBC61F" w14:textId="77777777" w:rsidR="00AF58A9" w:rsidRPr="001C1C81" w:rsidRDefault="00AF58A9" w:rsidP="001C1C81">
            <w:pPr>
              <w:pStyle w:val="TableText"/>
              <w:jc w:val="right"/>
              <w:rPr>
                <w:b/>
                <w:bCs/>
              </w:rPr>
            </w:pPr>
          </w:p>
        </w:tc>
        <w:tc>
          <w:tcPr>
            <w:tcW w:w="3316" w:type="dxa"/>
          </w:tcPr>
          <w:p w14:paraId="2E7C3C40" w14:textId="77777777" w:rsidR="00AF58A9" w:rsidRPr="00E773C3" w:rsidRDefault="00AF58A9" w:rsidP="001C1C81">
            <w:pPr>
              <w:pStyle w:val="TableText"/>
            </w:pPr>
            <w:r w:rsidRPr="00E773C3">
              <w:t>Statements from 2021 Public Service Census</w:t>
            </w:r>
          </w:p>
        </w:tc>
      </w:tr>
      <w:tr w:rsidR="00AF58A9" w14:paraId="3F93BB48" w14:textId="77777777" w:rsidTr="001C1C81">
        <w:tc>
          <w:tcPr>
            <w:tcW w:w="2977" w:type="dxa"/>
          </w:tcPr>
          <w:p w14:paraId="3F22B793" w14:textId="77777777" w:rsidR="00AF58A9" w:rsidRPr="001C1C81" w:rsidRDefault="00AF58A9" w:rsidP="001C1C81">
            <w:pPr>
              <w:pStyle w:val="TableText"/>
            </w:pPr>
            <w:r w:rsidRPr="001C1C81">
              <w:t>I use at least some te reo words and phrases</w:t>
            </w:r>
          </w:p>
        </w:tc>
        <w:tc>
          <w:tcPr>
            <w:tcW w:w="950" w:type="dxa"/>
          </w:tcPr>
          <w:p w14:paraId="31E968FB" w14:textId="77777777" w:rsidR="00AF58A9" w:rsidRPr="001C1C81" w:rsidRDefault="00AF58A9" w:rsidP="001C1C81">
            <w:pPr>
              <w:pStyle w:val="TableText"/>
              <w:jc w:val="right"/>
            </w:pPr>
            <w:r w:rsidRPr="001C1C81">
              <w:t>84%</w:t>
            </w:r>
          </w:p>
        </w:tc>
        <w:tc>
          <w:tcPr>
            <w:tcW w:w="1022" w:type="dxa"/>
          </w:tcPr>
          <w:p w14:paraId="626D3235" w14:textId="77777777" w:rsidR="00AF58A9" w:rsidRPr="001C1C81" w:rsidRDefault="00AF58A9" w:rsidP="001C1C81">
            <w:pPr>
              <w:pStyle w:val="TableText"/>
              <w:jc w:val="right"/>
            </w:pPr>
          </w:p>
        </w:tc>
        <w:tc>
          <w:tcPr>
            <w:tcW w:w="3316" w:type="dxa"/>
          </w:tcPr>
          <w:p w14:paraId="122C10F8" w14:textId="77777777" w:rsidR="00AF58A9" w:rsidRPr="001C1C81" w:rsidRDefault="00AF58A9" w:rsidP="001C1C81">
            <w:pPr>
              <w:pStyle w:val="TableText"/>
            </w:pPr>
            <w:r w:rsidRPr="001C1C81">
              <w:t>Average across the Public Service was 58%</w:t>
            </w:r>
          </w:p>
        </w:tc>
      </w:tr>
      <w:tr w:rsidR="00AF58A9" w14:paraId="78E390EA" w14:textId="77777777" w:rsidTr="001C1C81">
        <w:tc>
          <w:tcPr>
            <w:tcW w:w="2977" w:type="dxa"/>
          </w:tcPr>
          <w:p w14:paraId="2184940C" w14:textId="77777777" w:rsidR="00AF58A9" w:rsidRPr="001C1C81" w:rsidRDefault="00AF58A9" w:rsidP="001C1C81">
            <w:pPr>
              <w:pStyle w:val="TableText"/>
            </w:pPr>
            <w:r w:rsidRPr="001C1C81">
              <w:t>I hear leaders regularly using te reo words and phrases</w:t>
            </w:r>
          </w:p>
        </w:tc>
        <w:tc>
          <w:tcPr>
            <w:tcW w:w="950" w:type="dxa"/>
          </w:tcPr>
          <w:p w14:paraId="7630507F" w14:textId="77777777" w:rsidR="00AF58A9" w:rsidRPr="001C1C81" w:rsidRDefault="00AF58A9" w:rsidP="001C1C81">
            <w:pPr>
              <w:pStyle w:val="TableText"/>
              <w:jc w:val="right"/>
            </w:pPr>
            <w:r w:rsidRPr="001C1C81">
              <w:t>93%</w:t>
            </w:r>
          </w:p>
        </w:tc>
        <w:tc>
          <w:tcPr>
            <w:tcW w:w="1022" w:type="dxa"/>
          </w:tcPr>
          <w:p w14:paraId="368D048F" w14:textId="77777777" w:rsidR="00AF58A9" w:rsidRPr="001C1C81" w:rsidRDefault="00AF58A9" w:rsidP="001C1C81">
            <w:pPr>
              <w:pStyle w:val="TableText"/>
              <w:jc w:val="right"/>
            </w:pPr>
          </w:p>
        </w:tc>
        <w:tc>
          <w:tcPr>
            <w:tcW w:w="3316" w:type="dxa"/>
          </w:tcPr>
          <w:p w14:paraId="5AF4B57E" w14:textId="77777777" w:rsidR="00AF58A9" w:rsidRPr="001C1C81" w:rsidRDefault="00AF58A9" w:rsidP="001C1C81">
            <w:pPr>
              <w:pStyle w:val="TableText"/>
            </w:pPr>
            <w:r w:rsidRPr="001C1C81">
              <w:t>Average across the Public Service was 67%</w:t>
            </w:r>
          </w:p>
        </w:tc>
      </w:tr>
      <w:tr w:rsidR="00AF58A9" w14:paraId="0EBCC247" w14:textId="77777777" w:rsidTr="001C1C81">
        <w:tc>
          <w:tcPr>
            <w:tcW w:w="2977" w:type="dxa"/>
          </w:tcPr>
          <w:p w14:paraId="4D3B61A9" w14:textId="77777777" w:rsidR="00AF58A9" w:rsidRPr="001C1C81" w:rsidRDefault="00AF58A9" w:rsidP="001C1C81">
            <w:pPr>
              <w:pStyle w:val="TableText"/>
            </w:pPr>
            <w:r w:rsidRPr="001C1C81">
              <w:t>Staff are supported to improve our te reo Māori</w:t>
            </w:r>
          </w:p>
        </w:tc>
        <w:tc>
          <w:tcPr>
            <w:tcW w:w="950" w:type="dxa"/>
          </w:tcPr>
          <w:p w14:paraId="7A1E6596" w14:textId="77777777" w:rsidR="00AF58A9" w:rsidRPr="001C1C81" w:rsidRDefault="00AF58A9" w:rsidP="001C1C81">
            <w:pPr>
              <w:pStyle w:val="TableText"/>
              <w:jc w:val="right"/>
            </w:pPr>
            <w:r w:rsidRPr="001C1C81">
              <w:t>84%</w:t>
            </w:r>
          </w:p>
        </w:tc>
        <w:tc>
          <w:tcPr>
            <w:tcW w:w="1022" w:type="dxa"/>
          </w:tcPr>
          <w:p w14:paraId="7B2C197C" w14:textId="77777777" w:rsidR="00AF58A9" w:rsidRPr="001C1C81" w:rsidRDefault="00AF58A9" w:rsidP="001C1C81">
            <w:pPr>
              <w:pStyle w:val="TableText"/>
              <w:jc w:val="right"/>
            </w:pPr>
          </w:p>
        </w:tc>
        <w:tc>
          <w:tcPr>
            <w:tcW w:w="3316" w:type="dxa"/>
          </w:tcPr>
          <w:p w14:paraId="65DA9CC3" w14:textId="77777777" w:rsidR="00AF58A9" w:rsidRPr="001C1C81" w:rsidRDefault="00AF58A9" w:rsidP="001C1C81">
            <w:pPr>
              <w:pStyle w:val="TableText"/>
            </w:pPr>
            <w:r w:rsidRPr="001C1C81">
              <w:t>Average across the Public Service was 59%</w:t>
            </w:r>
          </w:p>
        </w:tc>
      </w:tr>
      <w:tr w:rsidR="00AF58A9" w14:paraId="1CD4C75C" w14:textId="77777777" w:rsidTr="001C1C81">
        <w:tc>
          <w:tcPr>
            <w:tcW w:w="2977" w:type="dxa"/>
          </w:tcPr>
          <w:p w14:paraId="7A75E4AC" w14:textId="3B45AE9B" w:rsidR="00AF58A9" w:rsidRDefault="00AF58A9" w:rsidP="00AF58A9">
            <w:pPr>
              <w:pStyle w:val="TableText"/>
            </w:pPr>
            <w:r>
              <w:rPr>
                <w:spacing w:val="-2"/>
              </w:rPr>
              <w:t>How</w:t>
            </w:r>
            <w:r>
              <w:rPr>
                <w:spacing w:val="-12"/>
              </w:rPr>
              <w:t xml:space="preserve"> </w:t>
            </w:r>
            <w:r>
              <w:rPr>
                <w:spacing w:val="-2"/>
              </w:rPr>
              <w:t>many</w:t>
            </w:r>
            <w:r>
              <w:rPr>
                <w:spacing w:val="-11"/>
              </w:rPr>
              <w:t xml:space="preserve"> </w:t>
            </w:r>
            <w:r>
              <w:rPr>
                <w:spacing w:val="-2"/>
              </w:rPr>
              <w:t>staff</w:t>
            </w:r>
            <w:r>
              <w:rPr>
                <w:spacing w:val="-11"/>
              </w:rPr>
              <w:t xml:space="preserve"> </w:t>
            </w:r>
            <w:r>
              <w:rPr>
                <w:spacing w:val="-2"/>
              </w:rPr>
              <w:t>have</w:t>
            </w:r>
            <w:r>
              <w:rPr>
                <w:spacing w:val="-12"/>
              </w:rPr>
              <w:t xml:space="preserve"> </w:t>
            </w:r>
            <w:r>
              <w:rPr>
                <w:spacing w:val="-1"/>
              </w:rPr>
              <w:t>never</w:t>
            </w:r>
            <w:r>
              <w:rPr>
                <w:spacing w:val="-47"/>
              </w:rPr>
              <w:t xml:space="preserve"> </w:t>
            </w:r>
            <w:r w:rsidR="001C1C81">
              <w:rPr>
                <w:spacing w:val="-47"/>
              </w:rPr>
              <w:t xml:space="preserve">  </w:t>
            </w:r>
            <w:r w:rsidR="001C1C81">
              <w:rPr>
                <w:spacing w:val="-47"/>
              </w:rPr>
              <w:br/>
            </w:r>
            <w:r>
              <w:t>studied</w:t>
            </w:r>
            <w:r>
              <w:rPr>
                <w:spacing w:val="-13"/>
              </w:rPr>
              <w:t xml:space="preserve"> </w:t>
            </w:r>
            <w:r>
              <w:t>te</w:t>
            </w:r>
            <w:r>
              <w:rPr>
                <w:spacing w:val="-12"/>
              </w:rPr>
              <w:t xml:space="preserve"> </w:t>
            </w:r>
            <w:r>
              <w:t>reo</w:t>
            </w:r>
          </w:p>
        </w:tc>
        <w:tc>
          <w:tcPr>
            <w:tcW w:w="950" w:type="dxa"/>
          </w:tcPr>
          <w:p w14:paraId="17D2943F" w14:textId="77777777" w:rsidR="00AF58A9" w:rsidRDefault="00AF58A9" w:rsidP="001C1C81">
            <w:pPr>
              <w:pStyle w:val="TableText"/>
              <w:jc w:val="right"/>
            </w:pPr>
            <w:r>
              <w:rPr>
                <w:w w:val="105"/>
              </w:rPr>
              <w:t>23</w:t>
            </w:r>
          </w:p>
          <w:p w14:paraId="048DEECF" w14:textId="77777777" w:rsidR="00AF58A9" w:rsidRDefault="00AF58A9" w:rsidP="001C1C81">
            <w:pPr>
              <w:pStyle w:val="TableText"/>
              <w:jc w:val="right"/>
            </w:pPr>
            <w:r>
              <w:t>people</w:t>
            </w:r>
          </w:p>
        </w:tc>
        <w:tc>
          <w:tcPr>
            <w:tcW w:w="1022" w:type="dxa"/>
          </w:tcPr>
          <w:p w14:paraId="67D7397D" w14:textId="78AB9B2F" w:rsidR="00AF58A9" w:rsidRPr="001C1C81" w:rsidRDefault="00AF58A9" w:rsidP="001C1C81">
            <w:pPr>
              <w:pStyle w:val="TableText"/>
              <w:jc w:val="right"/>
            </w:pPr>
            <w:r>
              <w:t>6</w:t>
            </w:r>
            <w:r>
              <w:rPr>
                <w:spacing w:val="-7"/>
              </w:rPr>
              <w:t xml:space="preserve"> </w:t>
            </w:r>
            <w:r w:rsidR="001C1C81">
              <w:rPr>
                <w:spacing w:val="-7"/>
              </w:rPr>
              <w:br/>
            </w:r>
            <w:r>
              <w:t>people</w:t>
            </w:r>
            <w:r w:rsidR="000B0F72">
              <w:t xml:space="preserve"> </w:t>
            </w:r>
            <w:r w:rsidR="000B0F72">
              <w:br/>
            </w:r>
            <w:r w:rsidR="000B0F72" w:rsidRPr="000B0F72">
              <w:rPr>
                <w:color w:val="00B050"/>
              </w:rPr>
              <w:sym w:font="Wingdings" w:char="F0E2"/>
            </w:r>
          </w:p>
        </w:tc>
        <w:tc>
          <w:tcPr>
            <w:tcW w:w="3316" w:type="dxa"/>
          </w:tcPr>
          <w:p w14:paraId="46C55EDB" w14:textId="4195C402" w:rsidR="00AF58A9" w:rsidRDefault="00AF58A9" w:rsidP="00AF58A9">
            <w:pPr>
              <w:pStyle w:val="TableText"/>
            </w:pPr>
            <w:r>
              <w:rPr>
                <w:spacing w:val="-6"/>
                <w:w w:val="105"/>
              </w:rPr>
              <w:t>From</w:t>
            </w:r>
            <w:r>
              <w:rPr>
                <w:spacing w:val="-15"/>
                <w:w w:val="105"/>
              </w:rPr>
              <w:t xml:space="preserve"> </w:t>
            </w:r>
            <w:r>
              <w:rPr>
                <w:spacing w:val="-6"/>
                <w:w w:val="105"/>
              </w:rPr>
              <w:t>internal</w:t>
            </w:r>
            <w:r>
              <w:rPr>
                <w:spacing w:val="-14"/>
                <w:w w:val="105"/>
              </w:rPr>
              <w:t xml:space="preserve"> </w:t>
            </w:r>
            <w:r>
              <w:rPr>
                <w:spacing w:val="-5"/>
                <w:w w:val="105"/>
              </w:rPr>
              <w:t>Whāinga</w:t>
            </w:r>
            <w:r>
              <w:rPr>
                <w:spacing w:val="-15"/>
                <w:w w:val="105"/>
              </w:rPr>
              <w:t xml:space="preserve"> </w:t>
            </w:r>
            <w:r>
              <w:rPr>
                <w:spacing w:val="-5"/>
                <w:w w:val="105"/>
              </w:rPr>
              <w:t>Amorangi</w:t>
            </w:r>
            <w:r>
              <w:rPr>
                <w:spacing w:val="-14"/>
                <w:w w:val="105"/>
              </w:rPr>
              <w:t xml:space="preserve"> </w:t>
            </w:r>
            <w:r>
              <w:rPr>
                <w:spacing w:val="-5"/>
                <w:w w:val="105"/>
              </w:rPr>
              <w:t>individual</w:t>
            </w:r>
            <w:r>
              <w:rPr>
                <w:spacing w:val="-49"/>
                <w:w w:val="105"/>
              </w:rPr>
              <w:t xml:space="preserve"> </w:t>
            </w:r>
            <w:r w:rsidR="001C1C81">
              <w:rPr>
                <w:spacing w:val="-49"/>
                <w:w w:val="105"/>
              </w:rPr>
              <w:t xml:space="preserve">          </w:t>
            </w:r>
            <w:r>
              <w:rPr>
                <w:w w:val="105"/>
              </w:rPr>
              <w:t>capability</w:t>
            </w:r>
            <w:r>
              <w:rPr>
                <w:spacing w:val="-15"/>
                <w:w w:val="105"/>
              </w:rPr>
              <w:t xml:space="preserve"> </w:t>
            </w:r>
            <w:r>
              <w:rPr>
                <w:w w:val="105"/>
              </w:rPr>
              <w:t>surveys</w:t>
            </w:r>
          </w:p>
        </w:tc>
      </w:tr>
      <w:tr w:rsidR="001C1C81" w:rsidRPr="001C1C81" w14:paraId="322F2FFC" w14:textId="77777777" w:rsidTr="001C1C81">
        <w:tc>
          <w:tcPr>
            <w:tcW w:w="2977" w:type="dxa"/>
          </w:tcPr>
          <w:p w14:paraId="08386B33" w14:textId="6644EF51" w:rsidR="001C1C81" w:rsidRPr="001C1C81" w:rsidRDefault="001C1C81" w:rsidP="001C1C81">
            <w:pPr>
              <w:pStyle w:val="TableText"/>
              <w:rPr>
                <w:b/>
                <w:bCs/>
                <w:spacing w:val="-2"/>
              </w:rPr>
            </w:pPr>
            <w:r w:rsidRPr="001C1C81">
              <w:rPr>
                <w:b/>
                <w:bCs/>
              </w:rPr>
              <w:t>Māori Crown Relations</w:t>
            </w:r>
          </w:p>
        </w:tc>
        <w:tc>
          <w:tcPr>
            <w:tcW w:w="950" w:type="dxa"/>
          </w:tcPr>
          <w:p w14:paraId="77752EAF" w14:textId="77777777" w:rsidR="001C1C81" w:rsidRPr="001C1C81" w:rsidRDefault="001C1C81" w:rsidP="001C1C81">
            <w:pPr>
              <w:pStyle w:val="TableText"/>
              <w:jc w:val="right"/>
              <w:rPr>
                <w:b/>
                <w:bCs/>
                <w:w w:val="105"/>
              </w:rPr>
            </w:pPr>
          </w:p>
        </w:tc>
        <w:tc>
          <w:tcPr>
            <w:tcW w:w="1022" w:type="dxa"/>
          </w:tcPr>
          <w:p w14:paraId="658CE163" w14:textId="77777777" w:rsidR="001C1C81" w:rsidRPr="001C1C81" w:rsidRDefault="001C1C81" w:rsidP="001C1C81">
            <w:pPr>
              <w:pStyle w:val="TableText"/>
              <w:jc w:val="right"/>
              <w:rPr>
                <w:b/>
                <w:bCs/>
              </w:rPr>
            </w:pPr>
          </w:p>
        </w:tc>
        <w:tc>
          <w:tcPr>
            <w:tcW w:w="3316" w:type="dxa"/>
          </w:tcPr>
          <w:p w14:paraId="68AF8FDE" w14:textId="7D9DDDE6" w:rsidR="001C1C81" w:rsidRPr="00E773C3" w:rsidRDefault="001C1C81" w:rsidP="001C1C81">
            <w:pPr>
              <w:pStyle w:val="TableText"/>
              <w:rPr>
                <w:spacing w:val="-6"/>
                <w:w w:val="105"/>
              </w:rPr>
            </w:pPr>
            <w:r w:rsidRPr="00E773C3">
              <w:t>Statements from 2021 Public Service Census</w:t>
            </w:r>
          </w:p>
        </w:tc>
      </w:tr>
      <w:tr w:rsidR="001C1C81" w14:paraId="1E5150A7" w14:textId="77777777" w:rsidTr="001C1C81">
        <w:tc>
          <w:tcPr>
            <w:tcW w:w="2977" w:type="dxa"/>
          </w:tcPr>
          <w:p w14:paraId="5750A572" w14:textId="2C56BAD7" w:rsidR="001C1C81" w:rsidRDefault="001C1C81" w:rsidP="001C1C81">
            <w:pPr>
              <w:pStyle w:val="TableText"/>
              <w:rPr>
                <w:spacing w:val="-2"/>
              </w:rPr>
            </w:pPr>
            <w:r w:rsidRPr="00D00A04">
              <w:lastRenderedPageBreak/>
              <w:t>I am comfortable supporting tikanga Māori in my agency</w:t>
            </w:r>
          </w:p>
        </w:tc>
        <w:tc>
          <w:tcPr>
            <w:tcW w:w="950" w:type="dxa"/>
          </w:tcPr>
          <w:p w14:paraId="4BE7EA85" w14:textId="164A8E5E" w:rsidR="001C1C81" w:rsidRDefault="001C1C81" w:rsidP="001C1C81">
            <w:pPr>
              <w:pStyle w:val="TableText"/>
              <w:jc w:val="right"/>
              <w:rPr>
                <w:w w:val="105"/>
              </w:rPr>
            </w:pPr>
            <w:r w:rsidRPr="00D00A04">
              <w:t>87%</w:t>
            </w:r>
          </w:p>
        </w:tc>
        <w:tc>
          <w:tcPr>
            <w:tcW w:w="1022" w:type="dxa"/>
          </w:tcPr>
          <w:p w14:paraId="1B1CBD92" w14:textId="77777777" w:rsidR="001C1C81" w:rsidRDefault="001C1C81" w:rsidP="001C1C81">
            <w:pPr>
              <w:pStyle w:val="TableText"/>
              <w:jc w:val="right"/>
            </w:pPr>
          </w:p>
        </w:tc>
        <w:tc>
          <w:tcPr>
            <w:tcW w:w="3316" w:type="dxa"/>
          </w:tcPr>
          <w:p w14:paraId="38A147EE" w14:textId="454471D5" w:rsidR="001C1C81" w:rsidRDefault="001C1C81" w:rsidP="001C1C81">
            <w:pPr>
              <w:pStyle w:val="TableText"/>
              <w:rPr>
                <w:spacing w:val="-6"/>
                <w:w w:val="105"/>
              </w:rPr>
            </w:pPr>
            <w:r w:rsidRPr="00D00A04">
              <w:t>Average across the Public Service was 69%</w:t>
            </w:r>
          </w:p>
        </w:tc>
      </w:tr>
      <w:tr w:rsidR="001C1C81" w14:paraId="2F659F9B" w14:textId="77777777" w:rsidTr="001C1C81">
        <w:tc>
          <w:tcPr>
            <w:tcW w:w="2977" w:type="dxa"/>
          </w:tcPr>
          <w:p w14:paraId="308FCC51" w14:textId="6DCFCF5E" w:rsidR="001C1C81" w:rsidRDefault="001C1C81" w:rsidP="001C1C81">
            <w:pPr>
              <w:pStyle w:val="TableText"/>
              <w:rPr>
                <w:spacing w:val="-2"/>
              </w:rPr>
            </w:pPr>
            <w:r w:rsidRPr="00D00A04">
              <w:t>I am encouraged and supported to engage with Māori</w:t>
            </w:r>
          </w:p>
        </w:tc>
        <w:tc>
          <w:tcPr>
            <w:tcW w:w="950" w:type="dxa"/>
          </w:tcPr>
          <w:p w14:paraId="179E1B5E" w14:textId="585344EE" w:rsidR="001C1C81" w:rsidRDefault="001C1C81" w:rsidP="001C1C81">
            <w:pPr>
              <w:pStyle w:val="TableText"/>
              <w:jc w:val="right"/>
              <w:rPr>
                <w:w w:val="105"/>
              </w:rPr>
            </w:pPr>
            <w:r w:rsidRPr="00D00A04">
              <w:t>91%</w:t>
            </w:r>
          </w:p>
        </w:tc>
        <w:tc>
          <w:tcPr>
            <w:tcW w:w="1022" w:type="dxa"/>
          </w:tcPr>
          <w:p w14:paraId="278C93C1" w14:textId="77777777" w:rsidR="001C1C81" w:rsidRDefault="001C1C81" w:rsidP="001C1C81">
            <w:pPr>
              <w:pStyle w:val="TableText"/>
              <w:jc w:val="right"/>
            </w:pPr>
          </w:p>
        </w:tc>
        <w:tc>
          <w:tcPr>
            <w:tcW w:w="3316" w:type="dxa"/>
          </w:tcPr>
          <w:p w14:paraId="570D2C34" w14:textId="0D883B00" w:rsidR="001C1C81" w:rsidRDefault="001C1C81" w:rsidP="001C1C81">
            <w:pPr>
              <w:pStyle w:val="TableText"/>
              <w:rPr>
                <w:spacing w:val="-6"/>
                <w:w w:val="105"/>
              </w:rPr>
            </w:pPr>
            <w:r w:rsidRPr="00D00A04">
              <w:t>Average across the Public Service was 65%</w:t>
            </w:r>
          </w:p>
        </w:tc>
      </w:tr>
      <w:tr w:rsidR="001C1C81" w14:paraId="5C972A87" w14:textId="77777777" w:rsidTr="001C1C81">
        <w:tc>
          <w:tcPr>
            <w:tcW w:w="2977" w:type="dxa"/>
          </w:tcPr>
          <w:p w14:paraId="68A8D98B" w14:textId="3E4C2EFD" w:rsidR="001C1C81" w:rsidRDefault="001C1C81" w:rsidP="001C1C81">
            <w:pPr>
              <w:pStyle w:val="TableText"/>
              <w:rPr>
                <w:spacing w:val="-2"/>
              </w:rPr>
            </w:pPr>
            <w:r w:rsidRPr="00D00A04">
              <w:t>I feel confident in my ability to identify aspects of my agency’s work that may disadvantage Māori</w:t>
            </w:r>
          </w:p>
        </w:tc>
        <w:tc>
          <w:tcPr>
            <w:tcW w:w="950" w:type="dxa"/>
          </w:tcPr>
          <w:p w14:paraId="30AE9A57" w14:textId="0BB37E66" w:rsidR="001C1C81" w:rsidRDefault="001C1C81" w:rsidP="001C1C81">
            <w:pPr>
              <w:pStyle w:val="TableText"/>
              <w:jc w:val="right"/>
              <w:rPr>
                <w:w w:val="105"/>
              </w:rPr>
            </w:pPr>
            <w:r w:rsidRPr="00D00A04">
              <w:t>89%</w:t>
            </w:r>
          </w:p>
        </w:tc>
        <w:tc>
          <w:tcPr>
            <w:tcW w:w="1022" w:type="dxa"/>
          </w:tcPr>
          <w:p w14:paraId="3563C436" w14:textId="77777777" w:rsidR="001C1C81" w:rsidRDefault="001C1C81" w:rsidP="001C1C81">
            <w:pPr>
              <w:pStyle w:val="TableText"/>
              <w:jc w:val="right"/>
            </w:pPr>
          </w:p>
        </w:tc>
        <w:tc>
          <w:tcPr>
            <w:tcW w:w="3316" w:type="dxa"/>
          </w:tcPr>
          <w:p w14:paraId="4F6B25D5" w14:textId="0004C468" w:rsidR="001C1C81" w:rsidRDefault="001C1C81" w:rsidP="001C1C81">
            <w:pPr>
              <w:pStyle w:val="TableText"/>
              <w:rPr>
                <w:spacing w:val="-6"/>
                <w:w w:val="105"/>
              </w:rPr>
            </w:pPr>
            <w:r w:rsidRPr="00D00A04">
              <w:t>Average across the Public Service was 58%</w:t>
            </w:r>
          </w:p>
        </w:tc>
      </w:tr>
      <w:tr w:rsidR="001C1C81" w14:paraId="14E98172" w14:textId="77777777" w:rsidTr="001C1C81">
        <w:tc>
          <w:tcPr>
            <w:tcW w:w="2977" w:type="dxa"/>
          </w:tcPr>
          <w:p w14:paraId="2E476831" w14:textId="51EF89D8" w:rsidR="001C1C81" w:rsidRDefault="001C1C81" w:rsidP="001C1C81">
            <w:pPr>
              <w:pStyle w:val="TableText"/>
              <w:rPr>
                <w:spacing w:val="-2"/>
              </w:rPr>
            </w:pPr>
            <w:r w:rsidRPr="00D00A04">
              <w:t>I understand how my agency’s Te Tiriti responsibilities apply to its work</w:t>
            </w:r>
          </w:p>
        </w:tc>
        <w:tc>
          <w:tcPr>
            <w:tcW w:w="950" w:type="dxa"/>
          </w:tcPr>
          <w:p w14:paraId="0474EFE7" w14:textId="6D8808EC" w:rsidR="001C1C81" w:rsidRDefault="001C1C81" w:rsidP="001C1C81">
            <w:pPr>
              <w:pStyle w:val="TableText"/>
              <w:jc w:val="right"/>
              <w:rPr>
                <w:w w:val="105"/>
              </w:rPr>
            </w:pPr>
            <w:r w:rsidRPr="00D00A04">
              <w:t>89%</w:t>
            </w:r>
          </w:p>
        </w:tc>
        <w:tc>
          <w:tcPr>
            <w:tcW w:w="1022" w:type="dxa"/>
          </w:tcPr>
          <w:p w14:paraId="15242B11" w14:textId="77777777" w:rsidR="001C1C81" w:rsidRDefault="001C1C81" w:rsidP="001C1C81">
            <w:pPr>
              <w:pStyle w:val="TableText"/>
              <w:jc w:val="right"/>
            </w:pPr>
          </w:p>
        </w:tc>
        <w:tc>
          <w:tcPr>
            <w:tcW w:w="3316" w:type="dxa"/>
          </w:tcPr>
          <w:p w14:paraId="2794DCDB" w14:textId="16CB2B31" w:rsidR="001C1C81" w:rsidRDefault="001C1C81" w:rsidP="001C1C81">
            <w:pPr>
              <w:pStyle w:val="TableText"/>
              <w:rPr>
                <w:spacing w:val="-6"/>
                <w:w w:val="105"/>
              </w:rPr>
            </w:pPr>
            <w:r w:rsidRPr="00D00A04">
              <w:t>Average across the Public Service was 69%</w:t>
            </w:r>
          </w:p>
        </w:tc>
      </w:tr>
      <w:tr w:rsidR="001C1C81" w14:paraId="351852B8" w14:textId="77777777" w:rsidTr="001C1C81">
        <w:tc>
          <w:tcPr>
            <w:tcW w:w="2977" w:type="dxa"/>
          </w:tcPr>
          <w:p w14:paraId="5D17BB9E" w14:textId="0B44A82F" w:rsidR="001C1C81" w:rsidRDefault="001C1C81" w:rsidP="001C1C81">
            <w:pPr>
              <w:pStyle w:val="TableText"/>
              <w:rPr>
                <w:spacing w:val="-2"/>
              </w:rPr>
            </w:pPr>
            <w:r w:rsidRPr="00D00A04">
              <w:t>Te Aho o Te Kahu enables me to apply Māori Crown relations skills to my mahi</w:t>
            </w:r>
          </w:p>
        </w:tc>
        <w:tc>
          <w:tcPr>
            <w:tcW w:w="950" w:type="dxa"/>
          </w:tcPr>
          <w:p w14:paraId="728587FE" w14:textId="63F4BB16" w:rsidR="001C1C81" w:rsidRDefault="001C1C81" w:rsidP="001C1C81">
            <w:pPr>
              <w:pStyle w:val="TableText"/>
              <w:jc w:val="right"/>
              <w:rPr>
                <w:w w:val="105"/>
              </w:rPr>
            </w:pPr>
            <w:r w:rsidRPr="00D00A04">
              <w:t>49%</w:t>
            </w:r>
          </w:p>
        </w:tc>
        <w:tc>
          <w:tcPr>
            <w:tcW w:w="1022" w:type="dxa"/>
          </w:tcPr>
          <w:p w14:paraId="07BF152F" w14:textId="7503BF5F" w:rsidR="001C1C81" w:rsidRDefault="001C1C81" w:rsidP="001C1C81">
            <w:pPr>
              <w:pStyle w:val="TableText"/>
              <w:jc w:val="right"/>
            </w:pPr>
            <w:r w:rsidRPr="00D00A04">
              <w:t xml:space="preserve">76% </w:t>
            </w:r>
            <w:r w:rsidR="000B0F72" w:rsidRPr="000B0F72">
              <w:rPr>
                <w:color w:val="00B050"/>
              </w:rPr>
              <w:sym w:font="Wingdings" w:char="F0E1"/>
            </w:r>
          </w:p>
        </w:tc>
        <w:tc>
          <w:tcPr>
            <w:tcW w:w="3316" w:type="dxa"/>
          </w:tcPr>
          <w:p w14:paraId="489C73EE" w14:textId="03B84150" w:rsidR="001C1C81" w:rsidRDefault="001C1C81" w:rsidP="001C1C81">
            <w:pPr>
              <w:pStyle w:val="TableText"/>
              <w:rPr>
                <w:spacing w:val="-6"/>
                <w:w w:val="105"/>
              </w:rPr>
            </w:pPr>
            <w:r w:rsidRPr="00D00A04">
              <w:t>From internal Whāinga Amorangi individual capability surveys</w:t>
            </w:r>
          </w:p>
        </w:tc>
      </w:tr>
      <w:tr w:rsidR="001C1C81" w14:paraId="18BFE33E" w14:textId="77777777" w:rsidTr="001C1C81">
        <w:tc>
          <w:tcPr>
            <w:tcW w:w="2977" w:type="dxa"/>
          </w:tcPr>
          <w:p w14:paraId="012A2DD8" w14:textId="4EAE5555" w:rsidR="001C1C81" w:rsidRDefault="001C1C81" w:rsidP="001C1C81">
            <w:pPr>
              <w:pStyle w:val="TableText"/>
              <w:rPr>
                <w:spacing w:val="-2"/>
              </w:rPr>
            </w:pPr>
            <w:r w:rsidRPr="00D00A04">
              <w:t>OIA timeliness</w:t>
            </w:r>
          </w:p>
        </w:tc>
        <w:tc>
          <w:tcPr>
            <w:tcW w:w="950" w:type="dxa"/>
          </w:tcPr>
          <w:p w14:paraId="4A2D7882" w14:textId="110C6B5C" w:rsidR="001C1C81" w:rsidRDefault="001C1C81" w:rsidP="001C1C81">
            <w:pPr>
              <w:pStyle w:val="TableText"/>
              <w:jc w:val="right"/>
              <w:rPr>
                <w:w w:val="105"/>
              </w:rPr>
            </w:pPr>
            <w:r w:rsidRPr="00D00A04">
              <w:t>100%</w:t>
            </w:r>
          </w:p>
        </w:tc>
        <w:tc>
          <w:tcPr>
            <w:tcW w:w="1022" w:type="dxa"/>
          </w:tcPr>
          <w:p w14:paraId="4D74E02E" w14:textId="247F54DB" w:rsidR="001C1C81" w:rsidRDefault="001C1C81" w:rsidP="001C1C81">
            <w:pPr>
              <w:pStyle w:val="TableText"/>
              <w:jc w:val="right"/>
            </w:pPr>
            <w:r w:rsidRPr="00D00A04">
              <w:t>100%</w:t>
            </w:r>
          </w:p>
        </w:tc>
        <w:tc>
          <w:tcPr>
            <w:tcW w:w="3316" w:type="dxa"/>
          </w:tcPr>
          <w:p w14:paraId="17C9188F" w14:textId="43E72462" w:rsidR="001C1C81" w:rsidRDefault="001C1C81" w:rsidP="001C1C81">
            <w:pPr>
              <w:pStyle w:val="TableText"/>
              <w:rPr>
                <w:spacing w:val="-6"/>
                <w:w w:val="105"/>
              </w:rPr>
            </w:pPr>
            <w:r w:rsidRPr="00D00A04">
              <w:t>From Ministry of Health data</w:t>
            </w:r>
          </w:p>
        </w:tc>
      </w:tr>
    </w:tbl>
    <w:p w14:paraId="480F6AFC" w14:textId="348D259B" w:rsidR="001C1C81" w:rsidRPr="001C1C81" w:rsidRDefault="001C1C81" w:rsidP="001C1C81">
      <w:pPr>
        <w:pStyle w:val="Heading5"/>
      </w:pPr>
      <w:r w:rsidRPr="001C1C81">
        <w:rPr>
          <w:b/>
          <w:bCs/>
        </w:rPr>
        <w:t>Te Aho o Te Kahu Whāinga Amorangi |</w:t>
      </w:r>
      <w:r>
        <w:t xml:space="preserve"> </w:t>
      </w:r>
      <w:r w:rsidRPr="001C1C81">
        <w:t>Individual Māori Crown Relations Surveys</w:t>
      </w:r>
    </w:p>
    <w:p w14:paraId="5668FE19" w14:textId="25E86AED" w:rsidR="00AF58A9" w:rsidRDefault="001C1C81" w:rsidP="001C1C81">
      <w:pPr>
        <w:pStyle w:val="Heading6"/>
      </w:pPr>
      <w:r>
        <w:t>(baseline in 2021, repeated in 2022)</w:t>
      </w:r>
    </w:p>
    <w:p w14:paraId="5ECA8BC7" w14:textId="2D019483" w:rsidR="00A76DEA" w:rsidRDefault="001C1C81" w:rsidP="00A76DEA">
      <w:pPr>
        <w:rPr>
          <w:lang w:eastAsia="en-US"/>
        </w:rPr>
      </w:pPr>
      <w:r>
        <w:rPr>
          <w:noProof/>
        </w:rPr>
        <w:drawing>
          <wp:inline distT="0" distB="0" distL="0" distR="0" wp14:anchorId="1C4E1D0F" wp14:editId="06060F27">
            <wp:extent cx="5130165" cy="2049145"/>
            <wp:effectExtent l="0" t="0" r="0" b="8255"/>
            <wp:docPr id="18" name="Picture 18" descr="Staff confidence in speaking te reo has increased across every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aff confidence in speaking te reo has increased across every measure"/>
                    <pic:cNvPicPr/>
                  </pic:nvPicPr>
                  <pic:blipFill>
                    <a:blip r:embed="rId55">
                      <a:extLst>
                        <a:ext uri="{28A0092B-C50C-407E-A947-70E740481C1C}">
                          <a14:useLocalDpi xmlns:a14="http://schemas.microsoft.com/office/drawing/2010/main" val="0"/>
                        </a:ext>
                      </a:extLst>
                    </a:blip>
                    <a:stretch>
                      <a:fillRect/>
                    </a:stretch>
                  </pic:blipFill>
                  <pic:spPr>
                    <a:xfrm>
                      <a:off x="0" y="0"/>
                      <a:ext cx="5130165" cy="2049145"/>
                    </a:xfrm>
                    <a:prstGeom prst="rect">
                      <a:avLst/>
                    </a:prstGeom>
                  </pic:spPr>
                </pic:pic>
              </a:graphicData>
            </a:graphic>
          </wp:inline>
        </w:drawing>
      </w:r>
    </w:p>
    <w:p w14:paraId="4CA21E9A" w14:textId="77777777" w:rsidR="001C1C81" w:rsidRDefault="001C1C81" w:rsidP="001C1C81">
      <w:pPr>
        <w:pStyle w:val="Heading4"/>
        <w:rPr>
          <w:lang w:eastAsia="en-US"/>
        </w:rPr>
      </w:pPr>
      <w:r>
        <w:rPr>
          <w:lang w:eastAsia="en-US"/>
        </w:rPr>
        <w:t>Sector performance</w:t>
      </w:r>
    </w:p>
    <w:p w14:paraId="084EA949" w14:textId="0C65320F" w:rsidR="001C1C81" w:rsidRDefault="001C1C81" w:rsidP="001C1C81">
      <w:pPr>
        <w:rPr>
          <w:lang w:eastAsia="en-US"/>
        </w:rPr>
      </w:pPr>
      <w:r>
        <w:rPr>
          <w:lang w:eastAsia="en-US"/>
        </w:rPr>
        <w:t>The New Zealand Cancer Action Plan 2019-2029 sets four outcomes and multiple actions across the cancer control pathway. In 2021/22 we developed a monitoring framework and are currently in the process of developing the first monitoring report.</w:t>
      </w:r>
    </w:p>
    <w:p w14:paraId="76C8F378" w14:textId="77777777" w:rsidR="001C1C81" w:rsidRDefault="001C1C81" w:rsidP="001C1C81">
      <w:pPr>
        <w:rPr>
          <w:lang w:eastAsia="en-US"/>
        </w:rPr>
      </w:pPr>
    </w:p>
    <w:p w14:paraId="4CC0F990" w14:textId="5EDD9C7B" w:rsidR="001C1C81" w:rsidRDefault="001C1C81" w:rsidP="001C1C81">
      <w:pPr>
        <w:rPr>
          <w:lang w:eastAsia="en-US"/>
        </w:rPr>
      </w:pPr>
      <w:r>
        <w:rPr>
          <w:lang w:eastAsia="en-US"/>
        </w:rPr>
        <w:t>This report presents eleven broad indicators of the current state of cancer control in Aotearoa along with activities being undertaken to achieve the aspirations of the Cancer Action Plan.</w:t>
      </w:r>
    </w:p>
    <w:p w14:paraId="698643A2" w14:textId="77777777" w:rsidR="001C1C81" w:rsidRDefault="001C1C81" w:rsidP="001C1C81">
      <w:pPr>
        <w:rPr>
          <w:lang w:eastAsia="en-US"/>
        </w:rPr>
      </w:pPr>
    </w:p>
    <w:p w14:paraId="315B4976" w14:textId="2232E1F2" w:rsidR="009A31A6" w:rsidRDefault="001C1C81" w:rsidP="001C1C81">
      <w:pPr>
        <w:rPr>
          <w:lang w:eastAsia="en-US"/>
        </w:rPr>
      </w:pPr>
      <w:r>
        <w:rPr>
          <w:lang w:eastAsia="en-US"/>
        </w:rPr>
        <w:t>Monitoring will take place annually and we will be able to track system change over time. These measures tell us if we are heading in the right direction – however it is important to note, they are not solely attributable to Te Aho o Te Kahu and will likely shift slowly.</w:t>
      </w:r>
    </w:p>
    <w:p w14:paraId="4D9E61B0" w14:textId="77777777" w:rsidR="001C1C81" w:rsidRPr="001C1C81" w:rsidRDefault="001C1C81" w:rsidP="001C1C81">
      <w:pPr>
        <w:pStyle w:val="Heading4"/>
        <w:rPr>
          <w:rStyle w:val="Heading4Char"/>
          <w:lang w:eastAsia="en-US"/>
        </w:rPr>
      </w:pPr>
      <w:r>
        <w:rPr>
          <w:lang w:eastAsia="en-US"/>
        </w:rPr>
        <w:lastRenderedPageBreak/>
        <w:t xml:space="preserve">Outcome 1: New Zealanders have a system that delivers consistent and modern cancer </w:t>
      </w:r>
      <w:r w:rsidRPr="001C1C81">
        <w:rPr>
          <w:rStyle w:val="Heading4Char"/>
          <w:lang w:eastAsia="en-US"/>
        </w:rPr>
        <w:t>care</w:t>
      </w:r>
    </w:p>
    <w:p w14:paraId="09BD779F" w14:textId="77777777" w:rsidR="001C1C81" w:rsidRDefault="001C1C81" w:rsidP="001C1C81">
      <w:pPr>
        <w:pStyle w:val="Heading5"/>
        <w:rPr>
          <w:lang w:eastAsia="en-US"/>
        </w:rPr>
      </w:pPr>
      <w:r>
        <w:rPr>
          <w:lang w:eastAsia="en-US"/>
        </w:rPr>
        <w:t>Indicator 1: Ethnic distribution of the current cancer workforce</w:t>
      </w:r>
    </w:p>
    <w:p w14:paraId="0318A5B0" w14:textId="7ABA8064" w:rsidR="001C1C81" w:rsidRDefault="0024046E" w:rsidP="001C1C81">
      <w:pPr>
        <w:rPr>
          <w:lang w:eastAsia="en-US"/>
        </w:rPr>
      </w:pPr>
      <w:r>
        <w:rPr>
          <w:noProof/>
        </w:rPr>
        <w:drawing>
          <wp:anchor distT="0" distB="0" distL="114300" distR="114300" simplePos="0" relativeHeight="251669504" behindDoc="0" locked="0" layoutInCell="1" allowOverlap="1" wp14:anchorId="3B8BE8F1" wp14:editId="0EA4E14B">
            <wp:simplePos x="0" y="0"/>
            <wp:positionH relativeFrom="page">
              <wp:posOffset>1350645</wp:posOffset>
            </wp:positionH>
            <wp:positionV relativeFrom="page">
              <wp:posOffset>2300224</wp:posOffset>
            </wp:positionV>
            <wp:extent cx="5130165" cy="2301875"/>
            <wp:effectExtent l="0" t="0" r="0" b="3175"/>
            <wp:wrapTight wrapText="bothSides">
              <wp:wrapPolygon edited="0">
                <wp:start x="0" y="0"/>
                <wp:lineTo x="0" y="21451"/>
                <wp:lineTo x="21496" y="21451"/>
                <wp:lineTo x="21496" y="0"/>
                <wp:lineTo x="0" y="0"/>
              </wp:wrapPolygon>
            </wp:wrapTight>
            <wp:docPr id="20" name="Picture 20" descr="Bar graph shows that radiation oncologists with European/Other just over 70% of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ar graph shows that radiation oncologists with European/Other just over 70% of workforce"/>
                    <pic:cNvPicPr/>
                  </pic:nvPicPr>
                  <pic:blipFill>
                    <a:blip r:embed="rId56"/>
                    <a:stretch>
                      <a:fillRect/>
                    </a:stretch>
                  </pic:blipFill>
                  <pic:spPr>
                    <a:xfrm>
                      <a:off x="0" y="0"/>
                      <a:ext cx="5130165" cy="2301875"/>
                    </a:xfrm>
                    <a:prstGeom prst="rect">
                      <a:avLst/>
                    </a:prstGeom>
                  </pic:spPr>
                </pic:pic>
              </a:graphicData>
            </a:graphic>
          </wp:anchor>
        </w:drawing>
      </w:r>
      <w:r w:rsidR="001C1C81">
        <w:rPr>
          <w:lang w:eastAsia="en-US"/>
        </w:rPr>
        <w:t>Ethnic distribution of radiation oncologists, general surgeons and nurses in 2021, shown alongside the ethnic distribution of the total New Zealand population.</w:t>
      </w:r>
    </w:p>
    <w:p w14:paraId="7E655E09" w14:textId="1ADD3FE2" w:rsidR="001C1C81" w:rsidRDefault="001C1C81" w:rsidP="001C1C81">
      <w:pPr>
        <w:rPr>
          <w:lang w:eastAsia="en-US"/>
        </w:rPr>
      </w:pPr>
    </w:p>
    <w:p w14:paraId="2672CDDE" w14:textId="34E509B5" w:rsidR="001C1C81" w:rsidRDefault="001C1C81" w:rsidP="001C1C81">
      <w:pPr>
        <w:rPr>
          <w:lang w:eastAsia="en-US"/>
        </w:rPr>
      </w:pPr>
      <w:r>
        <w:rPr>
          <w:lang w:eastAsia="en-US"/>
        </w:rPr>
        <w:t>There is a mismatch between the ethnic distribution of the cancer workforce and the general population. Māori and Pacific peoples are underrepresented in the cancer workforce.</w:t>
      </w:r>
    </w:p>
    <w:p w14:paraId="52A53B4B" w14:textId="77777777" w:rsidR="001C1C81" w:rsidRDefault="001C1C81" w:rsidP="001C1C81">
      <w:pPr>
        <w:pStyle w:val="Heading5"/>
        <w:rPr>
          <w:lang w:eastAsia="en-US"/>
        </w:rPr>
      </w:pPr>
      <w:r>
        <w:rPr>
          <w:lang w:eastAsia="en-US"/>
        </w:rPr>
        <w:t>Indicator 2: Government investment in cancer-focused research</w:t>
      </w:r>
    </w:p>
    <w:p w14:paraId="6CA71E9A" w14:textId="64D5D5F0" w:rsidR="001C1C81" w:rsidRDefault="003F03F5" w:rsidP="001C1C81">
      <w:pPr>
        <w:rPr>
          <w:lang w:eastAsia="en-US"/>
        </w:rPr>
      </w:pPr>
      <w:r>
        <w:rPr>
          <w:noProof/>
        </w:rPr>
        <w:drawing>
          <wp:inline distT="0" distB="0" distL="0" distR="0" wp14:anchorId="7A7D4F18" wp14:editId="1BF28E43">
            <wp:extent cx="5130165" cy="2588895"/>
            <wp:effectExtent l="0" t="0" r="0" b="1905"/>
            <wp:docPr id="21" name="Picture 21" descr="Bar graph shows years 2017-2021 with New Contracts around $5 million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Bar graph shows years 2017-2021 with New Contracts around $5 million in 2021"/>
                    <pic:cNvPicPr/>
                  </pic:nvPicPr>
                  <pic:blipFill>
                    <a:blip r:embed="rId57">
                      <a:extLst>
                        <a:ext uri="{28A0092B-C50C-407E-A947-70E740481C1C}">
                          <a14:useLocalDpi xmlns:a14="http://schemas.microsoft.com/office/drawing/2010/main" val="0"/>
                        </a:ext>
                      </a:extLst>
                    </a:blip>
                    <a:stretch>
                      <a:fillRect/>
                    </a:stretch>
                  </pic:blipFill>
                  <pic:spPr>
                    <a:xfrm>
                      <a:off x="0" y="0"/>
                      <a:ext cx="5130165" cy="2588895"/>
                    </a:xfrm>
                    <a:prstGeom prst="rect">
                      <a:avLst/>
                    </a:prstGeom>
                  </pic:spPr>
                </pic:pic>
              </a:graphicData>
            </a:graphic>
          </wp:inline>
        </w:drawing>
      </w:r>
    </w:p>
    <w:p w14:paraId="7CC22C79" w14:textId="77777777" w:rsidR="003F03F5" w:rsidRDefault="003F03F5" w:rsidP="001C1C81">
      <w:pPr>
        <w:rPr>
          <w:lang w:eastAsia="en-US"/>
        </w:rPr>
      </w:pPr>
    </w:p>
    <w:p w14:paraId="4A1A191C" w14:textId="3961ECB2" w:rsidR="001C1C81" w:rsidRDefault="001C1C81" w:rsidP="001C1C81">
      <w:pPr>
        <w:rPr>
          <w:lang w:eastAsia="en-US"/>
        </w:rPr>
      </w:pPr>
      <w:r>
        <w:rPr>
          <w:lang w:eastAsia="en-US"/>
        </w:rPr>
        <w:t>In 2020 and 2021 there has been an increase in diversity, with Māori leading projects worth more than $6 million and Asian principle investigators leading projects worth more than $3 million. There are few Pacific-led HRC-funded cancer-focused research.</w:t>
      </w:r>
    </w:p>
    <w:p w14:paraId="4CD57F07" w14:textId="77777777" w:rsidR="001C1C81" w:rsidRDefault="001C1C81" w:rsidP="001C1C81">
      <w:pPr>
        <w:pStyle w:val="Heading5"/>
        <w:rPr>
          <w:lang w:eastAsia="en-US"/>
        </w:rPr>
      </w:pPr>
      <w:r w:rsidRPr="001C1C81">
        <w:rPr>
          <w:lang w:eastAsia="en-US"/>
        </w:rPr>
        <w:lastRenderedPageBreak/>
        <w:t>Te Aho o Te Kahu-led activities related to Outcome 1</w:t>
      </w:r>
    </w:p>
    <w:tbl>
      <w:tblPr>
        <w:tblpPr w:leftFromText="180" w:rightFromText="180" w:vertAnchor="text" w:horzAnchor="margin" w:tblpY="124"/>
        <w:tblW w:w="8410" w:type="dxa"/>
        <w:tblBorders>
          <w:bottom w:val="single" w:sz="4" w:space="0" w:color="A6A6A6" w:themeColor="background1" w:themeShade="A6"/>
          <w:insideH w:val="single" w:sz="4" w:space="0" w:color="A6A6A6" w:themeColor="background1" w:themeShade="A6"/>
        </w:tblBorders>
        <w:shd w:val="clear" w:color="auto" w:fill="FFFFFF" w:themeFill="background1"/>
        <w:tblLayout w:type="fixed"/>
        <w:tblCellMar>
          <w:left w:w="0" w:type="dxa"/>
          <w:right w:w="0" w:type="dxa"/>
        </w:tblCellMar>
        <w:tblLook w:val="01E0" w:firstRow="1" w:lastRow="1" w:firstColumn="1" w:lastColumn="1" w:noHBand="0" w:noVBand="0"/>
      </w:tblPr>
      <w:tblGrid>
        <w:gridCol w:w="1524"/>
        <w:gridCol w:w="4288"/>
        <w:gridCol w:w="2598"/>
      </w:tblGrid>
      <w:tr w:rsidR="007A73B0" w:rsidRPr="001C1C81" w14:paraId="33D0DEA6" w14:textId="77777777" w:rsidTr="007A73B0">
        <w:trPr>
          <w:trHeight w:val="593"/>
        </w:trPr>
        <w:tc>
          <w:tcPr>
            <w:tcW w:w="1524" w:type="dxa"/>
            <w:tcBorders>
              <w:top w:val="nil"/>
              <w:bottom w:val="nil"/>
            </w:tcBorders>
            <w:shd w:val="clear" w:color="auto" w:fill="D9D9D9" w:themeFill="background1" w:themeFillShade="D9"/>
          </w:tcPr>
          <w:p w14:paraId="142EE745" w14:textId="77777777" w:rsidR="001C1C81" w:rsidRPr="001C1C81" w:rsidRDefault="001C1C81" w:rsidP="001C1C81">
            <w:pPr>
              <w:pStyle w:val="TableText"/>
            </w:pPr>
          </w:p>
        </w:tc>
        <w:tc>
          <w:tcPr>
            <w:tcW w:w="4288" w:type="dxa"/>
            <w:tcBorders>
              <w:top w:val="nil"/>
              <w:bottom w:val="nil"/>
            </w:tcBorders>
            <w:shd w:val="clear" w:color="auto" w:fill="D9D9D9" w:themeFill="background1" w:themeFillShade="D9"/>
          </w:tcPr>
          <w:p w14:paraId="666B1084" w14:textId="77777777" w:rsidR="001C1C81" w:rsidRPr="007A73B0" w:rsidRDefault="001C1C81" w:rsidP="001C1C81">
            <w:pPr>
              <w:pStyle w:val="TableText"/>
              <w:rPr>
                <w:b/>
                <w:bCs/>
              </w:rPr>
            </w:pPr>
            <w:r w:rsidRPr="007A73B0">
              <w:rPr>
                <w:b/>
                <w:bCs/>
              </w:rPr>
              <w:t>Te Aho o Te Kahu-led activity</w:t>
            </w:r>
          </w:p>
        </w:tc>
        <w:tc>
          <w:tcPr>
            <w:tcW w:w="2598" w:type="dxa"/>
            <w:tcBorders>
              <w:top w:val="nil"/>
              <w:bottom w:val="nil"/>
            </w:tcBorders>
            <w:shd w:val="clear" w:color="auto" w:fill="D9D9D9" w:themeFill="background1" w:themeFillShade="D9"/>
          </w:tcPr>
          <w:p w14:paraId="3465789D" w14:textId="77777777" w:rsidR="001C1C81" w:rsidRPr="007A73B0" w:rsidRDefault="001C1C81" w:rsidP="001C1C81">
            <w:pPr>
              <w:pStyle w:val="TableText"/>
              <w:rPr>
                <w:b/>
                <w:bCs/>
              </w:rPr>
            </w:pPr>
            <w:r w:rsidRPr="007A73B0">
              <w:rPr>
                <w:b/>
                <w:bCs/>
              </w:rPr>
              <w:t>Related Action(s) within the Cancer Action Plan</w:t>
            </w:r>
          </w:p>
        </w:tc>
      </w:tr>
      <w:tr w:rsidR="007A73B0" w:rsidRPr="001C1C81" w14:paraId="78532E67" w14:textId="77777777" w:rsidTr="007A73B0">
        <w:trPr>
          <w:trHeight w:val="382"/>
        </w:trPr>
        <w:tc>
          <w:tcPr>
            <w:tcW w:w="1524" w:type="dxa"/>
            <w:vMerge w:val="restart"/>
            <w:tcBorders>
              <w:top w:val="nil"/>
            </w:tcBorders>
            <w:shd w:val="clear" w:color="auto" w:fill="FFFFFF" w:themeFill="background1"/>
          </w:tcPr>
          <w:p w14:paraId="6EFA684F" w14:textId="77777777" w:rsidR="007A73B0" w:rsidRPr="003F03F5" w:rsidRDefault="007A73B0" w:rsidP="001C1C81">
            <w:pPr>
              <w:pStyle w:val="TableText"/>
              <w:rPr>
                <w:b/>
                <w:bCs/>
              </w:rPr>
            </w:pPr>
            <w:r w:rsidRPr="003F03F5">
              <w:rPr>
                <w:b/>
                <w:bCs/>
              </w:rPr>
              <w:t>Outcome 1:</w:t>
            </w:r>
          </w:p>
          <w:p w14:paraId="17808F05" w14:textId="77777777" w:rsidR="007A73B0" w:rsidRPr="001C1C81" w:rsidRDefault="007A73B0" w:rsidP="001C1C81">
            <w:pPr>
              <w:pStyle w:val="TableText"/>
            </w:pPr>
            <w:r w:rsidRPr="001C1C81">
              <w:t>New Zealanders have a system that delivers consistent and modern cancer care</w:t>
            </w:r>
          </w:p>
        </w:tc>
        <w:tc>
          <w:tcPr>
            <w:tcW w:w="4288" w:type="dxa"/>
            <w:tcBorders>
              <w:top w:val="nil"/>
            </w:tcBorders>
            <w:shd w:val="clear" w:color="auto" w:fill="FFFFFF" w:themeFill="background1"/>
          </w:tcPr>
          <w:p w14:paraId="63FEC8DB" w14:textId="66406DBA" w:rsidR="007A73B0" w:rsidRPr="001C1C81" w:rsidRDefault="007A73B0" w:rsidP="007A73B0">
            <w:pPr>
              <w:pStyle w:val="TableText"/>
            </w:pPr>
            <w:r w:rsidRPr="001C1C81">
              <w:t>Creation of a cancer control agency for New Zealand</w:t>
            </w:r>
          </w:p>
        </w:tc>
        <w:tc>
          <w:tcPr>
            <w:tcW w:w="2598" w:type="dxa"/>
            <w:tcBorders>
              <w:top w:val="nil"/>
            </w:tcBorders>
            <w:shd w:val="clear" w:color="auto" w:fill="FFFFFF" w:themeFill="background1"/>
          </w:tcPr>
          <w:p w14:paraId="39CC93E9" w14:textId="50BE6238" w:rsidR="007A73B0" w:rsidRPr="001C1C81" w:rsidRDefault="007A73B0" w:rsidP="007A73B0">
            <w:pPr>
              <w:pStyle w:val="TableText"/>
            </w:pPr>
            <w:r w:rsidRPr="001C1C81">
              <w:t>Leadership and governance</w:t>
            </w:r>
          </w:p>
        </w:tc>
      </w:tr>
      <w:tr w:rsidR="007A73B0" w:rsidRPr="001C1C81" w14:paraId="43EE7FD9" w14:textId="77777777" w:rsidTr="007A73B0">
        <w:trPr>
          <w:trHeight w:val="349"/>
        </w:trPr>
        <w:tc>
          <w:tcPr>
            <w:tcW w:w="1524" w:type="dxa"/>
            <w:vMerge/>
            <w:shd w:val="clear" w:color="auto" w:fill="FFFFFF" w:themeFill="background1"/>
          </w:tcPr>
          <w:p w14:paraId="6DF4FB7A" w14:textId="77777777" w:rsidR="007A73B0" w:rsidRPr="001C1C81" w:rsidRDefault="007A73B0" w:rsidP="001C1C81">
            <w:pPr>
              <w:pStyle w:val="TableText"/>
            </w:pPr>
          </w:p>
        </w:tc>
        <w:tc>
          <w:tcPr>
            <w:tcW w:w="4288" w:type="dxa"/>
            <w:shd w:val="clear" w:color="auto" w:fill="FFFFFF" w:themeFill="background1"/>
          </w:tcPr>
          <w:p w14:paraId="6A605B7F" w14:textId="32CADC88" w:rsidR="007A73B0" w:rsidRPr="001C1C81" w:rsidRDefault="007A73B0" w:rsidP="007A73B0">
            <w:pPr>
              <w:pStyle w:val="TableText"/>
            </w:pPr>
            <w:r w:rsidRPr="001C1C81">
              <w:t>Creation of groups to assist in the governance of cancer care delivery</w:t>
            </w:r>
          </w:p>
        </w:tc>
        <w:tc>
          <w:tcPr>
            <w:tcW w:w="2598" w:type="dxa"/>
            <w:shd w:val="clear" w:color="auto" w:fill="FFFFFF" w:themeFill="background1"/>
          </w:tcPr>
          <w:p w14:paraId="1F426F6E" w14:textId="77777777" w:rsidR="007A73B0" w:rsidRPr="001C1C81" w:rsidRDefault="007A73B0" w:rsidP="007A73B0">
            <w:pPr>
              <w:pStyle w:val="TableText"/>
            </w:pPr>
            <w:r w:rsidRPr="001C1C81">
              <w:t>Leadership and governance</w:t>
            </w:r>
          </w:p>
          <w:p w14:paraId="0DA311CC" w14:textId="77777777" w:rsidR="007A73B0" w:rsidRPr="001C1C81" w:rsidRDefault="007A73B0" w:rsidP="001C1C81">
            <w:pPr>
              <w:pStyle w:val="TableText"/>
            </w:pPr>
          </w:p>
        </w:tc>
      </w:tr>
      <w:tr w:rsidR="007A73B0" w:rsidRPr="001C1C81" w14:paraId="490F1D79" w14:textId="77777777" w:rsidTr="007A73B0">
        <w:trPr>
          <w:trHeight w:val="349"/>
        </w:trPr>
        <w:tc>
          <w:tcPr>
            <w:tcW w:w="1524" w:type="dxa"/>
            <w:vMerge/>
            <w:shd w:val="clear" w:color="auto" w:fill="FFFFFF" w:themeFill="background1"/>
          </w:tcPr>
          <w:p w14:paraId="2FAB7F46" w14:textId="77777777" w:rsidR="007A73B0" w:rsidRPr="001C1C81" w:rsidRDefault="007A73B0" w:rsidP="001C1C81">
            <w:pPr>
              <w:pStyle w:val="TableText"/>
            </w:pPr>
          </w:p>
        </w:tc>
        <w:tc>
          <w:tcPr>
            <w:tcW w:w="4288" w:type="dxa"/>
            <w:shd w:val="clear" w:color="auto" w:fill="FFFFFF" w:themeFill="background1"/>
          </w:tcPr>
          <w:p w14:paraId="613E794B" w14:textId="2B7B0D3F" w:rsidR="007A73B0" w:rsidRPr="001C1C81" w:rsidRDefault="007A73B0" w:rsidP="007A73B0">
            <w:pPr>
              <w:pStyle w:val="TableText"/>
            </w:pPr>
            <w:r w:rsidRPr="001C1C81">
              <w:t>Partnership with Māori cancer leaders</w:t>
            </w:r>
          </w:p>
        </w:tc>
        <w:tc>
          <w:tcPr>
            <w:tcW w:w="2598" w:type="dxa"/>
            <w:shd w:val="clear" w:color="auto" w:fill="FFFFFF" w:themeFill="background1"/>
          </w:tcPr>
          <w:p w14:paraId="34C01C6C" w14:textId="2AB7FA70" w:rsidR="007A73B0" w:rsidRPr="001C1C81" w:rsidRDefault="007A73B0" w:rsidP="007A73B0">
            <w:pPr>
              <w:pStyle w:val="TableText"/>
            </w:pPr>
            <w:r w:rsidRPr="001C1C81">
              <w:t>Leadership and governance</w:t>
            </w:r>
          </w:p>
        </w:tc>
      </w:tr>
      <w:tr w:rsidR="007A73B0" w:rsidRPr="001C1C81" w14:paraId="301046FA" w14:textId="77777777" w:rsidTr="007A73B0">
        <w:trPr>
          <w:trHeight w:val="349"/>
        </w:trPr>
        <w:tc>
          <w:tcPr>
            <w:tcW w:w="1524" w:type="dxa"/>
            <w:vMerge/>
            <w:shd w:val="clear" w:color="auto" w:fill="FFFFFF" w:themeFill="background1"/>
          </w:tcPr>
          <w:p w14:paraId="63EA744F" w14:textId="77777777" w:rsidR="007A73B0" w:rsidRPr="001C1C81" w:rsidRDefault="007A73B0" w:rsidP="001C1C81">
            <w:pPr>
              <w:pStyle w:val="TableText"/>
            </w:pPr>
          </w:p>
        </w:tc>
        <w:tc>
          <w:tcPr>
            <w:tcW w:w="4288" w:type="dxa"/>
            <w:shd w:val="clear" w:color="auto" w:fill="FFFFFF" w:themeFill="background1"/>
          </w:tcPr>
          <w:p w14:paraId="347CF43C" w14:textId="36CEA7D2" w:rsidR="007A73B0" w:rsidRPr="001C1C81" w:rsidRDefault="007A73B0" w:rsidP="001C1C81">
            <w:pPr>
              <w:pStyle w:val="TableText"/>
            </w:pPr>
            <w:r w:rsidRPr="001C1C81">
              <w:t>Building infrastructure to make real-time cancer data sharing a reality</w:t>
            </w:r>
          </w:p>
        </w:tc>
        <w:tc>
          <w:tcPr>
            <w:tcW w:w="2598" w:type="dxa"/>
            <w:shd w:val="clear" w:color="auto" w:fill="FFFFFF" w:themeFill="background1"/>
          </w:tcPr>
          <w:p w14:paraId="38B26D1A" w14:textId="3C9B5633" w:rsidR="007A73B0" w:rsidRPr="001C1C81" w:rsidRDefault="007A73B0" w:rsidP="001C1C81">
            <w:pPr>
              <w:pStyle w:val="TableText"/>
            </w:pPr>
            <w:r w:rsidRPr="001C1C81">
              <w:t>Data and information</w:t>
            </w:r>
          </w:p>
        </w:tc>
      </w:tr>
      <w:tr w:rsidR="007A73B0" w:rsidRPr="001C1C81" w14:paraId="1100EC38" w14:textId="77777777" w:rsidTr="007A73B0">
        <w:trPr>
          <w:trHeight w:val="349"/>
        </w:trPr>
        <w:tc>
          <w:tcPr>
            <w:tcW w:w="1524" w:type="dxa"/>
            <w:vMerge/>
            <w:shd w:val="clear" w:color="auto" w:fill="FFFFFF" w:themeFill="background1"/>
          </w:tcPr>
          <w:p w14:paraId="2A2820AD" w14:textId="77777777" w:rsidR="007A73B0" w:rsidRPr="001C1C81" w:rsidRDefault="007A73B0" w:rsidP="001C1C81">
            <w:pPr>
              <w:pStyle w:val="TableText"/>
            </w:pPr>
          </w:p>
        </w:tc>
        <w:tc>
          <w:tcPr>
            <w:tcW w:w="4288" w:type="dxa"/>
            <w:shd w:val="clear" w:color="auto" w:fill="FFFFFF" w:themeFill="background1"/>
          </w:tcPr>
          <w:p w14:paraId="607A5F0B" w14:textId="77777777" w:rsidR="007A73B0" w:rsidRPr="001C1C81" w:rsidRDefault="007A73B0" w:rsidP="001C1C81">
            <w:pPr>
              <w:pStyle w:val="TableText"/>
            </w:pPr>
            <w:r w:rsidRPr="001C1C81">
              <w:t>Structured Pathology Reporting of Cancer</w:t>
            </w:r>
          </w:p>
        </w:tc>
        <w:tc>
          <w:tcPr>
            <w:tcW w:w="2598" w:type="dxa"/>
            <w:shd w:val="clear" w:color="auto" w:fill="FFFFFF" w:themeFill="background1"/>
          </w:tcPr>
          <w:p w14:paraId="519D0CCD" w14:textId="77777777" w:rsidR="007A73B0" w:rsidRPr="001C1C81" w:rsidRDefault="007A73B0" w:rsidP="001C1C81">
            <w:pPr>
              <w:pStyle w:val="TableText"/>
            </w:pPr>
            <w:r w:rsidRPr="001C1C81">
              <w:t>Data and information</w:t>
            </w:r>
          </w:p>
        </w:tc>
      </w:tr>
      <w:tr w:rsidR="007A73B0" w:rsidRPr="001C1C81" w14:paraId="1A645F8D" w14:textId="77777777" w:rsidTr="007A73B0">
        <w:trPr>
          <w:trHeight w:val="349"/>
        </w:trPr>
        <w:tc>
          <w:tcPr>
            <w:tcW w:w="1524" w:type="dxa"/>
            <w:vMerge/>
            <w:shd w:val="clear" w:color="auto" w:fill="FFFFFF" w:themeFill="background1"/>
          </w:tcPr>
          <w:p w14:paraId="6B72C85A" w14:textId="77777777" w:rsidR="007A73B0" w:rsidRPr="001C1C81" w:rsidRDefault="007A73B0" w:rsidP="001C1C81">
            <w:pPr>
              <w:pStyle w:val="TableText"/>
            </w:pPr>
          </w:p>
        </w:tc>
        <w:tc>
          <w:tcPr>
            <w:tcW w:w="4288" w:type="dxa"/>
            <w:shd w:val="clear" w:color="auto" w:fill="FFFFFF" w:themeFill="background1"/>
          </w:tcPr>
          <w:p w14:paraId="2D7D24C0" w14:textId="77777777" w:rsidR="007A73B0" w:rsidRPr="001C1C81" w:rsidRDefault="007A73B0" w:rsidP="001C1C81">
            <w:pPr>
              <w:pStyle w:val="TableText"/>
            </w:pPr>
            <w:r w:rsidRPr="001C1C81">
              <w:t>MDM Data Standard refresh</w:t>
            </w:r>
          </w:p>
        </w:tc>
        <w:tc>
          <w:tcPr>
            <w:tcW w:w="2598" w:type="dxa"/>
            <w:shd w:val="clear" w:color="auto" w:fill="FFFFFF" w:themeFill="background1"/>
          </w:tcPr>
          <w:p w14:paraId="34F79D90" w14:textId="77777777" w:rsidR="007A73B0" w:rsidRPr="001C1C81" w:rsidRDefault="007A73B0" w:rsidP="001C1C81">
            <w:pPr>
              <w:pStyle w:val="TableText"/>
            </w:pPr>
            <w:r w:rsidRPr="001C1C81">
              <w:t>Data and information</w:t>
            </w:r>
          </w:p>
        </w:tc>
      </w:tr>
      <w:tr w:rsidR="007A73B0" w:rsidRPr="001C1C81" w14:paraId="10C1454F" w14:textId="77777777" w:rsidTr="007A73B0">
        <w:trPr>
          <w:trHeight w:val="608"/>
        </w:trPr>
        <w:tc>
          <w:tcPr>
            <w:tcW w:w="1524" w:type="dxa"/>
            <w:vMerge/>
            <w:shd w:val="clear" w:color="auto" w:fill="FFFFFF" w:themeFill="background1"/>
          </w:tcPr>
          <w:p w14:paraId="17B26D95" w14:textId="77777777" w:rsidR="007A73B0" w:rsidRPr="001C1C81" w:rsidRDefault="007A73B0" w:rsidP="001C1C81">
            <w:pPr>
              <w:pStyle w:val="TableText"/>
            </w:pPr>
          </w:p>
        </w:tc>
        <w:tc>
          <w:tcPr>
            <w:tcW w:w="4288" w:type="dxa"/>
            <w:shd w:val="clear" w:color="auto" w:fill="FFFFFF" w:themeFill="background1"/>
          </w:tcPr>
          <w:p w14:paraId="332299F0" w14:textId="77777777" w:rsidR="007A73B0" w:rsidRPr="001C1C81" w:rsidRDefault="007A73B0" w:rsidP="001C1C81">
            <w:pPr>
              <w:pStyle w:val="TableText"/>
            </w:pPr>
            <w:r w:rsidRPr="001C1C81">
              <w:t>New funding for research to drive equitable cancer outcomes</w:t>
            </w:r>
          </w:p>
        </w:tc>
        <w:tc>
          <w:tcPr>
            <w:tcW w:w="2598" w:type="dxa"/>
            <w:shd w:val="clear" w:color="auto" w:fill="FFFFFF" w:themeFill="background1"/>
          </w:tcPr>
          <w:p w14:paraId="5178577D" w14:textId="77777777" w:rsidR="007A73B0" w:rsidRPr="001C1C81" w:rsidRDefault="007A73B0" w:rsidP="001C1C81">
            <w:pPr>
              <w:pStyle w:val="TableText"/>
            </w:pPr>
            <w:r w:rsidRPr="001C1C81">
              <w:t>Research and innovation</w:t>
            </w:r>
          </w:p>
        </w:tc>
      </w:tr>
      <w:tr w:rsidR="007A73B0" w:rsidRPr="001C1C81" w14:paraId="7702D9A2" w14:textId="77777777" w:rsidTr="007A73B0">
        <w:trPr>
          <w:trHeight w:val="549"/>
        </w:trPr>
        <w:tc>
          <w:tcPr>
            <w:tcW w:w="1524" w:type="dxa"/>
            <w:vMerge/>
            <w:shd w:val="clear" w:color="auto" w:fill="FFFFFF" w:themeFill="background1"/>
          </w:tcPr>
          <w:p w14:paraId="618C9494" w14:textId="77777777" w:rsidR="007A73B0" w:rsidRPr="001C1C81" w:rsidRDefault="007A73B0" w:rsidP="001C1C81">
            <w:pPr>
              <w:pStyle w:val="TableText"/>
            </w:pPr>
          </w:p>
        </w:tc>
        <w:tc>
          <w:tcPr>
            <w:tcW w:w="4288" w:type="dxa"/>
            <w:shd w:val="clear" w:color="auto" w:fill="FFFFFF" w:themeFill="background1"/>
          </w:tcPr>
          <w:p w14:paraId="692CEA66" w14:textId="77777777" w:rsidR="007A73B0" w:rsidRPr="001C1C81" w:rsidRDefault="007A73B0" w:rsidP="001C1C81">
            <w:pPr>
              <w:pStyle w:val="TableText"/>
            </w:pPr>
            <w:r w:rsidRPr="001C1C81">
              <w:t>Supporting improved access to cancer clinical trials via teletrials</w:t>
            </w:r>
          </w:p>
        </w:tc>
        <w:tc>
          <w:tcPr>
            <w:tcW w:w="2598" w:type="dxa"/>
            <w:shd w:val="clear" w:color="auto" w:fill="FFFFFF" w:themeFill="background1"/>
          </w:tcPr>
          <w:p w14:paraId="7B2935D3" w14:textId="77777777" w:rsidR="007A73B0" w:rsidRPr="001C1C81" w:rsidRDefault="007A73B0" w:rsidP="001C1C81">
            <w:pPr>
              <w:pStyle w:val="TableText"/>
            </w:pPr>
            <w:r w:rsidRPr="001C1C81">
              <w:t>Research and innovation</w:t>
            </w:r>
          </w:p>
        </w:tc>
      </w:tr>
    </w:tbl>
    <w:p w14:paraId="11C155C0" w14:textId="77777777" w:rsidR="003F03F5" w:rsidRDefault="003F03F5" w:rsidP="003F03F5">
      <w:pPr>
        <w:pStyle w:val="Heading4"/>
        <w:rPr>
          <w:lang w:eastAsia="en-US"/>
        </w:rPr>
      </w:pPr>
      <w:r>
        <w:rPr>
          <w:lang w:eastAsia="en-US"/>
        </w:rPr>
        <w:t>Outcome 2: New Zealanders experience equitable cancer outcomes</w:t>
      </w:r>
    </w:p>
    <w:p w14:paraId="0D278A2C" w14:textId="7581E57D" w:rsidR="001C1C81" w:rsidRDefault="003F03F5" w:rsidP="003F03F5">
      <w:pPr>
        <w:pStyle w:val="Heading5"/>
        <w:rPr>
          <w:lang w:eastAsia="en-US"/>
        </w:rPr>
      </w:pPr>
      <w:r>
        <w:rPr>
          <w:noProof/>
        </w:rPr>
        <w:drawing>
          <wp:anchor distT="0" distB="0" distL="114300" distR="114300" simplePos="0" relativeHeight="251671552" behindDoc="0" locked="0" layoutInCell="1" allowOverlap="1" wp14:anchorId="34B49C82" wp14:editId="4EBF5B67">
            <wp:simplePos x="0" y="0"/>
            <wp:positionH relativeFrom="page">
              <wp:posOffset>1080135</wp:posOffset>
            </wp:positionH>
            <wp:positionV relativeFrom="page">
              <wp:posOffset>5518150</wp:posOffset>
            </wp:positionV>
            <wp:extent cx="5130165" cy="1668145"/>
            <wp:effectExtent l="0" t="0" r="0" b="8255"/>
            <wp:wrapTight wrapText="bothSides">
              <wp:wrapPolygon edited="0">
                <wp:start x="0" y="0"/>
                <wp:lineTo x="0" y="21460"/>
                <wp:lineTo x="21496" y="21460"/>
                <wp:lineTo x="21496" y="0"/>
                <wp:lineTo x="0" y="0"/>
              </wp:wrapPolygon>
            </wp:wrapTight>
            <wp:docPr id="22" name="Picture 22" descr="Bar graph shows Pacific and Māori with greatest proportion (over 30% for Pacific and Mā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ar graph shows Pacific and Māori with greatest proportion (over 30% for Pacific and Māori)"/>
                    <pic:cNvPicPr/>
                  </pic:nvPicPr>
                  <pic:blipFill>
                    <a:blip r:embed="rId58"/>
                    <a:stretch>
                      <a:fillRect/>
                    </a:stretch>
                  </pic:blipFill>
                  <pic:spPr>
                    <a:xfrm>
                      <a:off x="0" y="0"/>
                      <a:ext cx="5130165" cy="1668145"/>
                    </a:xfrm>
                    <a:prstGeom prst="rect">
                      <a:avLst/>
                    </a:prstGeom>
                  </pic:spPr>
                </pic:pic>
              </a:graphicData>
            </a:graphic>
          </wp:anchor>
        </w:drawing>
      </w:r>
      <w:r>
        <w:rPr>
          <w:lang w:eastAsia="en-US"/>
        </w:rPr>
        <w:t>Indicator 1: Diagnosis of cancer following an emergency presentation</w:t>
      </w:r>
    </w:p>
    <w:p w14:paraId="47FC8760" w14:textId="6AF93562" w:rsidR="003F03F5" w:rsidRDefault="003F03F5" w:rsidP="003F03F5">
      <w:pPr>
        <w:rPr>
          <w:lang w:eastAsia="en-US"/>
        </w:rPr>
      </w:pPr>
    </w:p>
    <w:p w14:paraId="32B47E38" w14:textId="728E8CC6" w:rsidR="003F03F5" w:rsidRDefault="003F03F5" w:rsidP="003F03F5">
      <w:pPr>
        <w:rPr>
          <w:lang w:eastAsia="en-US"/>
        </w:rPr>
      </w:pPr>
      <w:r>
        <w:rPr>
          <w:lang w:eastAsia="en-US"/>
        </w:rPr>
        <w:t>In 2020, Māori and Pacific peoples were more likely to be diagnosed with cancer following an emergency presentation.</w:t>
      </w:r>
    </w:p>
    <w:p w14:paraId="25640B5C" w14:textId="725DC580" w:rsidR="003F03F5" w:rsidRDefault="003F03F5" w:rsidP="003F03F5">
      <w:pPr>
        <w:pStyle w:val="Heading5"/>
        <w:rPr>
          <w:lang w:eastAsia="en-US"/>
        </w:rPr>
      </w:pPr>
      <w:r>
        <w:rPr>
          <w:lang w:eastAsia="en-US"/>
        </w:rPr>
        <w:t>Indicator 2: Participation in national cancer screening programmes</w:t>
      </w:r>
    </w:p>
    <w:p w14:paraId="126EA8DA" w14:textId="3A5075A8" w:rsidR="003F03F5" w:rsidRPr="003F03F5" w:rsidRDefault="003F03F5" w:rsidP="003F03F5">
      <w:pPr>
        <w:rPr>
          <w:lang w:eastAsia="en-US"/>
        </w:rPr>
      </w:pPr>
      <w:r>
        <w:rPr>
          <w:noProof/>
        </w:rPr>
        <w:drawing>
          <wp:inline distT="0" distB="0" distL="0" distR="0" wp14:anchorId="3BBE8C4B" wp14:editId="4BA4EE56">
            <wp:extent cx="5130165" cy="1774825"/>
            <wp:effectExtent l="0" t="0" r="0" b="0"/>
            <wp:docPr id="23" name="Picture 23" descr="Bar graph shows bowel, cervix and breast with European/Other just over 60% for bowel and nearly 80% for cervix and Māori, Pacific and Asian under 60% for cerv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Bar graph shows bowel, cervix and breast with European/Other just over 60% for bowel and nearly 80% for cervix and Māori, Pacific and Asian under 60% for cervix"/>
                    <pic:cNvPicPr/>
                  </pic:nvPicPr>
                  <pic:blipFill>
                    <a:blip r:embed="rId59">
                      <a:extLst>
                        <a:ext uri="{28A0092B-C50C-407E-A947-70E740481C1C}">
                          <a14:useLocalDpi xmlns:a14="http://schemas.microsoft.com/office/drawing/2010/main" val="0"/>
                        </a:ext>
                      </a:extLst>
                    </a:blip>
                    <a:stretch>
                      <a:fillRect/>
                    </a:stretch>
                  </pic:blipFill>
                  <pic:spPr>
                    <a:xfrm>
                      <a:off x="0" y="0"/>
                      <a:ext cx="5130165" cy="1774825"/>
                    </a:xfrm>
                    <a:prstGeom prst="rect">
                      <a:avLst/>
                    </a:prstGeom>
                  </pic:spPr>
                </pic:pic>
              </a:graphicData>
            </a:graphic>
          </wp:inline>
        </w:drawing>
      </w:r>
    </w:p>
    <w:p w14:paraId="40F983AF" w14:textId="3E30D4BA" w:rsidR="003F03F5" w:rsidRDefault="003F03F5" w:rsidP="003F03F5">
      <w:pPr>
        <w:rPr>
          <w:lang w:eastAsia="en-US"/>
        </w:rPr>
      </w:pPr>
    </w:p>
    <w:p w14:paraId="6AA062F7" w14:textId="77777777" w:rsidR="003F03F5" w:rsidRDefault="003F03F5" w:rsidP="003F03F5">
      <w:pPr>
        <w:rPr>
          <w:lang w:eastAsia="en-US"/>
        </w:rPr>
      </w:pPr>
      <w:r>
        <w:rPr>
          <w:lang w:eastAsia="en-US"/>
        </w:rPr>
        <w:t>Based on data from 2021, there are strong disparities in access to each of the three national screening programmes between ethnic groups.</w:t>
      </w:r>
    </w:p>
    <w:p w14:paraId="094D4B66" w14:textId="63FDCD8C" w:rsidR="003F03F5" w:rsidRDefault="003F03F5" w:rsidP="003F03F5">
      <w:pPr>
        <w:pStyle w:val="Heading5"/>
        <w:rPr>
          <w:lang w:eastAsia="en-US"/>
        </w:rPr>
      </w:pPr>
      <w:r>
        <w:rPr>
          <w:lang w:eastAsia="en-US"/>
        </w:rPr>
        <w:t>Te Aho o Te Kahu-led activities related to Outcome 2</w:t>
      </w:r>
    </w:p>
    <w:tbl>
      <w:tblPr>
        <w:tblpPr w:leftFromText="180" w:rightFromText="180" w:vertAnchor="text" w:horzAnchor="margin" w:tblpY="124"/>
        <w:tblW w:w="8410" w:type="dxa"/>
        <w:tblBorders>
          <w:bottom w:val="single" w:sz="4" w:space="0" w:color="A6A6A6" w:themeColor="background1" w:themeShade="A6"/>
          <w:insideH w:val="single" w:sz="4" w:space="0" w:color="A6A6A6" w:themeColor="background1" w:themeShade="A6"/>
        </w:tblBorders>
        <w:shd w:val="clear" w:color="auto" w:fill="FFFFFF" w:themeFill="background1"/>
        <w:tblLayout w:type="fixed"/>
        <w:tblCellMar>
          <w:left w:w="0" w:type="dxa"/>
          <w:right w:w="0" w:type="dxa"/>
        </w:tblCellMar>
        <w:tblLook w:val="01E0" w:firstRow="1" w:lastRow="1" w:firstColumn="1" w:lastColumn="1" w:noHBand="0" w:noVBand="0"/>
      </w:tblPr>
      <w:tblGrid>
        <w:gridCol w:w="1524"/>
        <w:gridCol w:w="4288"/>
        <w:gridCol w:w="2598"/>
      </w:tblGrid>
      <w:tr w:rsidR="003F03F5" w:rsidRPr="001C1C81" w14:paraId="0AE69358" w14:textId="77777777" w:rsidTr="00B83706">
        <w:trPr>
          <w:trHeight w:val="593"/>
        </w:trPr>
        <w:tc>
          <w:tcPr>
            <w:tcW w:w="1524" w:type="dxa"/>
            <w:tcBorders>
              <w:top w:val="nil"/>
              <w:bottom w:val="nil"/>
            </w:tcBorders>
            <w:shd w:val="clear" w:color="auto" w:fill="D9D9D9" w:themeFill="background1" w:themeFillShade="D9"/>
          </w:tcPr>
          <w:p w14:paraId="680967F1" w14:textId="77777777" w:rsidR="003F03F5" w:rsidRPr="001C1C81" w:rsidRDefault="003F03F5" w:rsidP="00B83706">
            <w:pPr>
              <w:pStyle w:val="TableText"/>
            </w:pPr>
          </w:p>
        </w:tc>
        <w:tc>
          <w:tcPr>
            <w:tcW w:w="4288" w:type="dxa"/>
            <w:tcBorders>
              <w:top w:val="nil"/>
              <w:bottom w:val="nil"/>
            </w:tcBorders>
            <w:shd w:val="clear" w:color="auto" w:fill="D9D9D9" w:themeFill="background1" w:themeFillShade="D9"/>
          </w:tcPr>
          <w:p w14:paraId="4BE57C77" w14:textId="77777777" w:rsidR="003F03F5" w:rsidRPr="007A73B0" w:rsidRDefault="003F03F5" w:rsidP="00B83706">
            <w:pPr>
              <w:pStyle w:val="TableText"/>
              <w:rPr>
                <w:b/>
                <w:bCs/>
              </w:rPr>
            </w:pPr>
            <w:r w:rsidRPr="007A73B0">
              <w:rPr>
                <w:b/>
                <w:bCs/>
              </w:rPr>
              <w:t>Te Aho o Te Kahu-led activity</w:t>
            </w:r>
          </w:p>
        </w:tc>
        <w:tc>
          <w:tcPr>
            <w:tcW w:w="2598" w:type="dxa"/>
            <w:tcBorders>
              <w:top w:val="nil"/>
              <w:bottom w:val="nil"/>
            </w:tcBorders>
            <w:shd w:val="clear" w:color="auto" w:fill="D9D9D9" w:themeFill="background1" w:themeFillShade="D9"/>
          </w:tcPr>
          <w:p w14:paraId="3DE4BAFF" w14:textId="77777777" w:rsidR="003F03F5" w:rsidRPr="007A73B0" w:rsidRDefault="003F03F5" w:rsidP="00B83706">
            <w:pPr>
              <w:pStyle w:val="TableText"/>
              <w:rPr>
                <w:b/>
                <w:bCs/>
              </w:rPr>
            </w:pPr>
            <w:r w:rsidRPr="007A73B0">
              <w:rPr>
                <w:b/>
                <w:bCs/>
              </w:rPr>
              <w:t>Related Action(s) within the Cancer Action Plan</w:t>
            </w:r>
          </w:p>
        </w:tc>
      </w:tr>
      <w:tr w:rsidR="003F03F5" w:rsidRPr="001C1C81" w14:paraId="1C6D2CDA" w14:textId="77777777" w:rsidTr="00B83706">
        <w:trPr>
          <w:trHeight w:val="382"/>
        </w:trPr>
        <w:tc>
          <w:tcPr>
            <w:tcW w:w="1524" w:type="dxa"/>
            <w:vMerge w:val="restart"/>
            <w:tcBorders>
              <w:top w:val="nil"/>
            </w:tcBorders>
            <w:shd w:val="clear" w:color="auto" w:fill="FFFFFF" w:themeFill="background1"/>
          </w:tcPr>
          <w:p w14:paraId="4AAF4E1E" w14:textId="6694CD72" w:rsidR="003F03F5" w:rsidRPr="003F03F5" w:rsidRDefault="003F03F5" w:rsidP="003F03F5">
            <w:pPr>
              <w:pStyle w:val="TableText"/>
              <w:rPr>
                <w:b/>
                <w:bCs/>
              </w:rPr>
            </w:pPr>
            <w:r w:rsidRPr="003F03F5">
              <w:rPr>
                <w:b/>
                <w:bCs/>
              </w:rPr>
              <w:t>Outcome 2:</w:t>
            </w:r>
          </w:p>
          <w:p w14:paraId="4254A2C0" w14:textId="176830E7" w:rsidR="003F03F5" w:rsidRPr="001C1C81" w:rsidRDefault="003F03F5" w:rsidP="003F03F5">
            <w:pPr>
              <w:pStyle w:val="TableText"/>
            </w:pPr>
            <w:r w:rsidRPr="003F03F5">
              <w:t>New Zealanders experience equitable cancer outcomes</w:t>
            </w:r>
          </w:p>
        </w:tc>
        <w:tc>
          <w:tcPr>
            <w:tcW w:w="4288" w:type="dxa"/>
            <w:tcBorders>
              <w:top w:val="nil"/>
            </w:tcBorders>
            <w:shd w:val="clear" w:color="auto" w:fill="FFFFFF" w:themeFill="background1"/>
          </w:tcPr>
          <w:p w14:paraId="43F46F06" w14:textId="28B9EB35" w:rsidR="003F03F5" w:rsidRPr="001C1C81" w:rsidRDefault="003F03F5" w:rsidP="003F03F5">
            <w:pPr>
              <w:pStyle w:val="TableText"/>
            </w:pPr>
            <w:r>
              <w:t>Gathering the voice of the Māori community</w:t>
            </w:r>
          </w:p>
        </w:tc>
        <w:tc>
          <w:tcPr>
            <w:tcW w:w="2598" w:type="dxa"/>
            <w:tcBorders>
              <w:top w:val="nil"/>
            </w:tcBorders>
            <w:shd w:val="clear" w:color="auto" w:fill="FFFFFF" w:themeFill="background1"/>
          </w:tcPr>
          <w:p w14:paraId="135419C4" w14:textId="270723B7" w:rsidR="003F03F5" w:rsidRPr="001C1C81" w:rsidRDefault="003F03F5" w:rsidP="003F03F5">
            <w:pPr>
              <w:pStyle w:val="TableText"/>
            </w:pPr>
            <w:r w:rsidRPr="001A7057">
              <w:t>Achieve equity by design</w:t>
            </w:r>
          </w:p>
        </w:tc>
      </w:tr>
      <w:tr w:rsidR="003F03F5" w:rsidRPr="001C1C81" w14:paraId="01646196" w14:textId="77777777" w:rsidTr="00B83706">
        <w:trPr>
          <w:trHeight w:val="349"/>
        </w:trPr>
        <w:tc>
          <w:tcPr>
            <w:tcW w:w="1524" w:type="dxa"/>
            <w:vMerge/>
            <w:shd w:val="clear" w:color="auto" w:fill="FFFFFF" w:themeFill="background1"/>
          </w:tcPr>
          <w:p w14:paraId="235E66F6" w14:textId="77777777" w:rsidR="003F03F5" w:rsidRPr="001C1C81" w:rsidRDefault="003F03F5" w:rsidP="003F03F5">
            <w:pPr>
              <w:pStyle w:val="TableText"/>
            </w:pPr>
          </w:p>
        </w:tc>
        <w:tc>
          <w:tcPr>
            <w:tcW w:w="4288" w:type="dxa"/>
            <w:shd w:val="clear" w:color="auto" w:fill="FFFFFF" w:themeFill="background1"/>
          </w:tcPr>
          <w:p w14:paraId="77A0B4F2" w14:textId="29FB4CB1" w:rsidR="003F03F5" w:rsidRPr="001C1C81" w:rsidRDefault="003F03F5" w:rsidP="003F03F5">
            <w:pPr>
              <w:pStyle w:val="TableText"/>
            </w:pPr>
            <w:r>
              <w:t>Building Mana Enhancing Relationships with Māori Leaders and Cancer Care Provider</w:t>
            </w:r>
          </w:p>
        </w:tc>
        <w:tc>
          <w:tcPr>
            <w:tcW w:w="2598" w:type="dxa"/>
            <w:shd w:val="clear" w:color="auto" w:fill="FFFFFF" w:themeFill="background1"/>
          </w:tcPr>
          <w:p w14:paraId="2682C24A" w14:textId="57F1DB73" w:rsidR="003F03F5" w:rsidRPr="001C1C81" w:rsidRDefault="003F03F5" w:rsidP="003F03F5">
            <w:pPr>
              <w:pStyle w:val="TableText"/>
            </w:pPr>
            <w:r w:rsidRPr="001A7057">
              <w:t>Achieve equity by design</w:t>
            </w:r>
          </w:p>
        </w:tc>
      </w:tr>
      <w:tr w:rsidR="003F03F5" w:rsidRPr="001C1C81" w14:paraId="0EF260E7" w14:textId="77777777" w:rsidTr="00B83706">
        <w:trPr>
          <w:trHeight w:val="349"/>
        </w:trPr>
        <w:tc>
          <w:tcPr>
            <w:tcW w:w="1524" w:type="dxa"/>
            <w:vMerge/>
            <w:shd w:val="clear" w:color="auto" w:fill="FFFFFF" w:themeFill="background1"/>
          </w:tcPr>
          <w:p w14:paraId="03005CA9" w14:textId="77777777" w:rsidR="003F03F5" w:rsidRPr="001C1C81" w:rsidRDefault="003F03F5" w:rsidP="003F03F5">
            <w:pPr>
              <w:pStyle w:val="TableText"/>
            </w:pPr>
          </w:p>
        </w:tc>
        <w:tc>
          <w:tcPr>
            <w:tcW w:w="4288" w:type="dxa"/>
            <w:shd w:val="clear" w:color="auto" w:fill="FFFFFF" w:themeFill="background1"/>
          </w:tcPr>
          <w:p w14:paraId="3FEF7678" w14:textId="30C8FF6A" w:rsidR="003F03F5" w:rsidRPr="001C1C81" w:rsidRDefault="003F03F5" w:rsidP="003F03F5">
            <w:pPr>
              <w:pStyle w:val="TableText"/>
            </w:pPr>
            <w:r>
              <w:t>Project focusing on primary care</w:t>
            </w:r>
          </w:p>
        </w:tc>
        <w:tc>
          <w:tcPr>
            <w:tcW w:w="2598" w:type="dxa"/>
            <w:shd w:val="clear" w:color="auto" w:fill="FFFFFF" w:themeFill="background1"/>
          </w:tcPr>
          <w:p w14:paraId="60A0ABF9" w14:textId="70B505AD" w:rsidR="003F03F5" w:rsidRPr="001C1C81" w:rsidRDefault="003F03F5" w:rsidP="003F03F5">
            <w:pPr>
              <w:pStyle w:val="TableText"/>
            </w:pPr>
            <w:r w:rsidRPr="001A7057">
              <w:t>Achieve equity by design</w:t>
            </w:r>
          </w:p>
        </w:tc>
      </w:tr>
      <w:tr w:rsidR="003F03F5" w:rsidRPr="001C1C81" w14:paraId="6708BAFA" w14:textId="77777777" w:rsidTr="00B83706">
        <w:trPr>
          <w:trHeight w:val="349"/>
        </w:trPr>
        <w:tc>
          <w:tcPr>
            <w:tcW w:w="1524" w:type="dxa"/>
            <w:vMerge/>
            <w:shd w:val="clear" w:color="auto" w:fill="FFFFFF" w:themeFill="background1"/>
          </w:tcPr>
          <w:p w14:paraId="037C318C" w14:textId="77777777" w:rsidR="003F03F5" w:rsidRPr="001C1C81" w:rsidRDefault="003F03F5" w:rsidP="003F03F5">
            <w:pPr>
              <w:pStyle w:val="TableText"/>
            </w:pPr>
          </w:p>
        </w:tc>
        <w:tc>
          <w:tcPr>
            <w:tcW w:w="4288" w:type="dxa"/>
            <w:shd w:val="clear" w:color="auto" w:fill="FFFFFF" w:themeFill="background1"/>
          </w:tcPr>
          <w:p w14:paraId="4E85811B" w14:textId="7E32D984" w:rsidR="003F03F5" w:rsidRPr="001C1C81" w:rsidRDefault="003F03F5" w:rsidP="003F03F5">
            <w:pPr>
              <w:pStyle w:val="TableText"/>
            </w:pPr>
            <w:r>
              <w:t>Project on cancer care for Pacific peoples</w:t>
            </w:r>
          </w:p>
        </w:tc>
        <w:tc>
          <w:tcPr>
            <w:tcW w:w="2598" w:type="dxa"/>
            <w:shd w:val="clear" w:color="auto" w:fill="FFFFFF" w:themeFill="background1"/>
          </w:tcPr>
          <w:p w14:paraId="72B6B9F4" w14:textId="1916B9CE" w:rsidR="003F03F5" w:rsidRPr="001C1C81" w:rsidRDefault="003F03F5" w:rsidP="003F03F5">
            <w:pPr>
              <w:pStyle w:val="TableText"/>
            </w:pPr>
            <w:r w:rsidRPr="001A7057">
              <w:t>Achieve equity by design</w:t>
            </w:r>
          </w:p>
        </w:tc>
      </w:tr>
    </w:tbl>
    <w:p w14:paraId="06FA3186" w14:textId="77777777" w:rsidR="004F1A48" w:rsidRDefault="004F1A48" w:rsidP="004F1A48">
      <w:pPr>
        <w:pStyle w:val="Heading4"/>
        <w:rPr>
          <w:lang w:eastAsia="en-US"/>
        </w:rPr>
      </w:pPr>
      <w:r>
        <w:rPr>
          <w:lang w:eastAsia="en-US"/>
        </w:rPr>
        <w:t>Outcome 3: New Zealanders have fewer cancers</w:t>
      </w:r>
    </w:p>
    <w:p w14:paraId="1576075A" w14:textId="713E05B9" w:rsidR="003F03F5" w:rsidRDefault="00397A1B" w:rsidP="004F1A48">
      <w:pPr>
        <w:pStyle w:val="Heading5"/>
        <w:rPr>
          <w:lang w:eastAsia="en-US"/>
        </w:rPr>
      </w:pPr>
      <w:r>
        <w:rPr>
          <w:noProof/>
        </w:rPr>
        <w:drawing>
          <wp:anchor distT="0" distB="0" distL="114300" distR="114300" simplePos="0" relativeHeight="251677696" behindDoc="0" locked="0" layoutInCell="1" allowOverlap="1" wp14:anchorId="0D9F5F9E" wp14:editId="33893AAE">
            <wp:simplePos x="0" y="0"/>
            <wp:positionH relativeFrom="page">
              <wp:posOffset>1350645</wp:posOffset>
            </wp:positionH>
            <wp:positionV relativeFrom="page">
              <wp:posOffset>4395273</wp:posOffset>
            </wp:positionV>
            <wp:extent cx="5130165" cy="2242820"/>
            <wp:effectExtent l="0" t="0" r="0" b="5080"/>
            <wp:wrapTight wrapText="bothSides">
              <wp:wrapPolygon edited="0">
                <wp:start x="0" y="0"/>
                <wp:lineTo x="0" y="21465"/>
                <wp:lineTo x="21496" y="21465"/>
                <wp:lineTo x="21496" y="0"/>
                <wp:lineTo x="0" y="0"/>
              </wp:wrapPolygon>
            </wp:wrapTight>
            <wp:docPr id="19" name="Picture 19" descr="Bar graph shows data from 2017-2021 with Māori just over 20%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Bar graph shows data from 2017-2021 with Māori just over 20% in 2021"/>
                    <pic:cNvPicPr/>
                  </pic:nvPicPr>
                  <pic:blipFill>
                    <a:blip r:embed="rId60"/>
                    <a:stretch>
                      <a:fillRect/>
                    </a:stretch>
                  </pic:blipFill>
                  <pic:spPr>
                    <a:xfrm>
                      <a:off x="0" y="0"/>
                      <a:ext cx="5130165" cy="2242820"/>
                    </a:xfrm>
                    <a:prstGeom prst="rect">
                      <a:avLst/>
                    </a:prstGeom>
                  </pic:spPr>
                </pic:pic>
              </a:graphicData>
            </a:graphic>
          </wp:anchor>
        </w:drawing>
      </w:r>
      <w:r w:rsidR="004F1A48">
        <w:rPr>
          <w:lang w:eastAsia="en-US"/>
        </w:rPr>
        <w:t>Indicator 1: Proportion of New Zealanders who are daily smokers</w:t>
      </w:r>
    </w:p>
    <w:p w14:paraId="0E4524DF" w14:textId="72B051C6" w:rsidR="004F1A48" w:rsidRDefault="004F1A48" w:rsidP="004F1A48">
      <w:pPr>
        <w:rPr>
          <w:lang w:eastAsia="en-US"/>
        </w:rPr>
      </w:pPr>
    </w:p>
    <w:p w14:paraId="479A621D" w14:textId="2D3E5C6E" w:rsidR="004F1A48" w:rsidRDefault="004F1A48" w:rsidP="004F1A48">
      <w:pPr>
        <w:rPr>
          <w:lang w:eastAsia="en-US"/>
        </w:rPr>
      </w:pPr>
      <w:r w:rsidRPr="004F1A48">
        <w:rPr>
          <w:lang w:eastAsia="en-US"/>
        </w:rPr>
        <w:t>There are strong disparities in daily tobacco smoking between ethnic groups in New Zealand. The rate of daily smoking appears to be reducing for most ethnic groups over time, although there does not appear to have been a change in disparities between ethnic groups.</w:t>
      </w:r>
    </w:p>
    <w:p w14:paraId="0A0A06B2" w14:textId="77777777" w:rsidR="00397A1B" w:rsidRDefault="00397A1B" w:rsidP="004F1A48">
      <w:pPr>
        <w:pStyle w:val="Heading5"/>
        <w:rPr>
          <w:lang w:eastAsia="en-US"/>
        </w:rPr>
        <w:sectPr w:rsidR="00397A1B" w:rsidSect="00C26282">
          <w:pgSz w:w="11907" w:h="16840" w:code="9"/>
          <w:pgMar w:top="1418" w:right="1701" w:bottom="1134" w:left="1843" w:header="284" w:footer="425" w:gutter="284"/>
          <w:cols w:space="720"/>
        </w:sectPr>
      </w:pPr>
    </w:p>
    <w:p w14:paraId="4EE88496" w14:textId="071161CF" w:rsidR="004F1A48" w:rsidRDefault="004F1A48" w:rsidP="004F1A48">
      <w:pPr>
        <w:pStyle w:val="Heading5"/>
        <w:rPr>
          <w:lang w:eastAsia="en-US"/>
        </w:rPr>
      </w:pPr>
      <w:r w:rsidRPr="004F1A48">
        <w:rPr>
          <w:lang w:eastAsia="en-US"/>
        </w:rPr>
        <w:lastRenderedPageBreak/>
        <w:t>Indicator 2: Proportion of New Zealanders who are obese</w:t>
      </w:r>
    </w:p>
    <w:p w14:paraId="581DDB16" w14:textId="334E1AFA" w:rsidR="004F1A48" w:rsidRDefault="00397A1B" w:rsidP="004F1A48">
      <w:pPr>
        <w:rPr>
          <w:lang w:eastAsia="en-US"/>
        </w:rPr>
      </w:pPr>
      <w:r>
        <w:rPr>
          <w:noProof/>
        </w:rPr>
        <w:drawing>
          <wp:inline distT="0" distB="0" distL="0" distR="0" wp14:anchorId="566DB16D" wp14:editId="117DB459">
            <wp:extent cx="4914900" cy="2362200"/>
            <wp:effectExtent l="0" t="0" r="0" b="0"/>
            <wp:docPr id="25" name="Picture 25" descr="Bar graph shows 2017-2021 with Pacific in 2021 at aroun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Bar graph shows 2017-2021 with Pacific in 2021 at around 70%"/>
                    <pic:cNvPicPr/>
                  </pic:nvPicPr>
                  <pic:blipFill>
                    <a:blip r:embed="rId61">
                      <a:extLst>
                        <a:ext uri="{28A0092B-C50C-407E-A947-70E740481C1C}">
                          <a14:useLocalDpi xmlns:a14="http://schemas.microsoft.com/office/drawing/2010/main" val="0"/>
                        </a:ext>
                      </a:extLst>
                    </a:blip>
                    <a:stretch>
                      <a:fillRect/>
                    </a:stretch>
                  </pic:blipFill>
                  <pic:spPr>
                    <a:xfrm>
                      <a:off x="0" y="0"/>
                      <a:ext cx="4914900" cy="2362200"/>
                    </a:xfrm>
                    <a:prstGeom prst="rect">
                      <a:avLst/>
                    </a:prstGeom>
                  </pic:spPr>
                </pic:pic>
              </a:graphicData>
            </a:graphic>
          </wp:inline>
        </w:drawing>
      </w:r>
    </w:p>
    <w:p w14:paraId="2AA495BE" w14:textId="77777777" w:rsidR="00397A1B" w:rsidRDefault="00397A1B" w:rsidP="004F1A48">
      <w:pPr>
        <w:rPr>
          <w:lang w:eastAsia="en-US"/>
        </w:rPr>
      </w:pPr>
    </w:p>
    <w:p w14:paraId="16E2EDC2" w14:textId="52D403DA" w:rsidR="004F1A48" w:rsidRDefault="004F1A48" w:rsidP="004F1A48">
      <w:pPr>
        <w:rPr>
          <w:lang w:eastAsia="en-US"/>
        </w:rPr>
      </w:pPr>
      <w:r w:rsidRPr="004F1A48">
        <w:rPr>
          <w:lang w:eastAsia="en-US"/>
        </w:rPr>
        <w:t>Stark disparities exist in rates of obesity between ethnic groups in New Zealand. The highest rates of obesity are seen among Pacific peoples, followed by Māori, European/ Other and Asian peoples. The rates of obesity are not reducing over time for any ethnic group, and disparities between ethnic groups are not changing.</w:t>
      </w:r>
    </w:p>
    <w:p w14:paraId="16983F32" w14:textId="77777777" w:rsidR="004F1A48" w:rsidRDefault="004F1A48" w:rsidP="004F1A48">
      <w:pPr>
        <w:pStyle w:val="Heading5"/>
        <w:rPr>
          <w:lang w:eastAsia="en-US"/>
        </w:rPr>
      </w:pPr>
      <w:r w:rsidRPr="004F1A48">
        <w:rPr>
          <w:lang w:eastAsia="en-US"/>
        </w:rPr>
        <w:t>Indicator 3: Proportion of New Zealand children immunised against hepatitis B</w:t>
      </w:r>
    </w:p>
    <w:p w14:paraId="152410E2" w14:textId="51C580F5" w:rsidR="004F1A48" w:rsidRDefault="00397A1B" w:rsidP="004F1A48">
      <w:pPr>
        <w:rPr>
          <w:lang w:eastAsia="en-US"/>
        </w:rPr>
      </w:pPr>
      <w:r>
        <w:rPr>
          <w:noProof/>
        </w:rPr>
        <w:drawing>
          <wp:inline distT="0" distB="0" distL="0" distR="0" wp14:anchorId="20F116C4" wp14:editId="29BC47EB">
            <wp:extent cx="5130165" cy="1947545"/>
            <wp:effectExtent l="0" t="0" r="0" b="0"/>
            <wp:docPr id="29" name="Picture 29" descr="Bar graph shows fewer Māo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Bar graph shows fewer Māori "/>
                    <pic:cNvPicPr/>
                  </pic:nvPicPr>
                  <pic:blipFill>
                    <a:blip r:embed="rId62">
                      <a:extLst>
                        <a:ext uri="{28A0092B-C50C-407E-A947-70E740481C1C}">
                          <a14:useLocalDpi xmlns:a14="http://schemas.microsoft.com/office/drawing/2010/main" val="0"/>
                        </a:ext>
                      </a:extLst>
                    </a:blip>
                    <a:stretch>
                      <a:fillRect/>
                    </a:stretch>
                  </pic:blipFill>
                  <pic:spPr>
                    <a:xfrm>
                      <a:off x="0" y="0"/>
                      <a:ext cx="5130165" cy="1947545"/>
                    </a:xfrm>
                    <a:prstGeom prst="rect">
                      <a:avLst/>
                    </a:prstGeom>
                  </pic:spPr>
                </pic:pic>
              </a:graphicData>
            </a:graphic>
          </wp:inline>
        </w:drawing>
      </w:r>
    </w:p>
    <w:p w14:paraId="32562A9C" w14:textId="77777777" w:rsidR="00397A1B" w:rsidRDefault="00397A1B" w:rsidP="004F1A48">
      <w:pPr>
        <w:rPr>
          <w:lang w:eastAsia="en-US"/>
        </w:rPr>
      </w:pPr>
    </w:p>
    <w:p w14:paraId="6D1C2C3F" w14:textId="1A405DAB" w:rsidR="004F1A48" w:rsidRDefault="004F1A48" w:rsidP="004F1A48">
      <w:pPr>
        <w:rPr>
          <w:lang w:eastAsia="en-US"/>
        </w:rPr>
      </w:pPr>
      <w:r>
        <w:rPr>
          <w:lang w:eastAsia="en-US"/>
        </w:rPr>
        <w:t>Less Māori are immunised against hepatitis B than other ethnic groups. Falling rates of childhood immunisation against hepatitis B are particularly important for Māori, since the rate of primary liver cancer is higher for Māori and the incidence of liver cancer is increasing abruptly over time for Māori, but not for non-Māori.</w:t>
      </w:r>
    </w:p>
    <w:p w14:paraId="4F244F8E" w14:textId="77777777" w:rsidR="00397A1B" w:rsidRDefault="00397A1B" w:rsidP="004F1A48">
      <w:pPr>
        <w:pStyle w:val="Heading5"/>
        <w:rPr>
          <w:lang w:eastAsia="en-US"/>
        </w:rPr>
        <w:sectPr w:rsidR="00397A1B" w:rsidSect="00C26282">
          <w:pgSz w:w="11907" w:h="16840" w:code="9"/>
          <w:pgMar w:top="1418" w:right="1701" w:bottom="1134" w:left="1843" w:header="284" w:footer="425" w:gutter="284"/>
          <w:cols w:space="720"/>
        </w:sectPr>
      </w:pPr>
    </w:p>
    <w:p w14:paraId="75D478FC" w14:textId="6D665A86" w:rsidR="004F1A48" w:rsidRDefault="00397A1B" w:rsidP="004F1A48">
      <w:pPr>
        <w:pStyle w:val="Heading5"/>
        <w:rPr>
          <w:lang w:eastAsia="en-US"/>
        </w:rPr>
      </w:pPr>
      <w:r w:rsidRPr="00397A1B">
        <w:rPr>
          <w:noProof/>
        </w:rPr>
        <w:lastRenderedPageBreak/>
        <w:drawing>
          <wp:anchor distT="0" distB="0" distL="114300" distR="114300" simplePos="0" relativeHeight="251679744" behindDoc="0" locked="0" layoutInCell="1" allowOverlap="1" wp14:anchorId="76AD98F5" wp14:editId="6B4F0E67">
            <wp:simplePos x="0" y="0"/>
            <wp:positionH relativeFrom="page">
              <wp:posOffset>1350645</wp:posOffset>
            </wp:positionH>
            <wp:positionV relativeFrom="page">
              <wp:posOffset>1353666</wp:posOffset>
            </wp:positionV>
            <wp:extent cx="4981575" cy="2190750"/>
            <wp:effectExtent l="0" t="0" r="9525" b="0"/>
            <wp:wrapTight wrapText="bothSides">
              <wp:wrapPolygon edited="0">
                <wp:start x="0" y="0"/>
                <wp:lineTo x="0" y="21412"/>
                <wp:lineTo x="21559" y="21412"/>
                <wp:lineTo x="21559" y="0"/>
                <wp:lineTo x="0" y="0"/>
              </wp:wrapPolygon>
            </wp:wrapTight>
            <wp:docPr id="30" name="Picture 30" descr="Bar graph shows around 60% for female and 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Bar graph shows around 60% for female and male"/>
                    <pic:cNvPicPr/>
                  </pic:nvPicPr>
                  <pic:blipFill>
                    <a:blip r:embed="rId63"/>
                    <a:stretch>
                      <a:fillRect/>
                    </a:stretch>
                  </pic:blipFill>
                  <pic:spPr>
                    <a:xfrm>
                      <a:off x="0" y="0"/>
                      <a:ext cx="4981575" cy="2190750"/>
                    </a:xfrm>
                    <a:prstGeom prst="rect">
                      <a:avLst/>
                    </a:prstGeom>
                  </pic:spPr>
                </pic:pic>
              </a:graphicData>
            </a:graphic>
          </wp:anchor>
        </w:drawing>
      </w:r>
      <w:r w:rsidR="004F1A48">
        <w:rPr>
          <w:lang w:eastAsia="en-US"/>
        </w:rPr>
        <w:t>Indicator 4: Proportion of New Zealand children immunised against HPV</w:t>
      </w:r>
    </w:p>
    <w:p w14:paraId="6D3EAEC5" w14:textId="1ED6872B" w:rsidR="004F1A48" w:rsidRDefault="004F1A48" w:rsidP="004F1A48">
      <w:pPr>
        <w:rPr>
          <w:lang w:eastAsia="en-US"/>
        </w:rPr>
      </w:pPr>
    </w:p>
    <w:p w14:paraId="58793D62" w14:textId="77777777" w:rsidR="004F1A48" w:rsidRDefault="004F1A48" w:rsidP="004F1A48">
      <w:pPr>
        <w:rPr>
          <w:lang w:eastAsia="en-US"/>
        </w:rPr>
      </w:pPr>
      <w:r>
        <w:rPr>
          <w:lang w:eastAsia="en-US"/>
        </w:rPr>
        <w:t>Around 60 percent of New Zealanders who turned 14 in 2021 are fully immunised against HPV. The proportion of fully immunised 14-year-olds is increasing although rates for Māori females have plateaued over the last decade.</w:t>
      </w:r>
    </w:p>
    <w:p w14:paraId="34A8B695" w14:textId="428AB75D" w:rsidR="004F1A48" w:rsidRDefault="004F1A48" w:rsidP="004F1A48">
      <w:pPr>
        <w:pStyle w:val="Heading5"/>
        <w:rPr>
          <w:lang w:eastAsia="en-US"/>
        </w:rPr>
      </w:pPr>
      <w:r>
        <w:rPr>
          <w:lang w:eastAsia="en-US"/>
        </w:rPr>
        <w:t>Te Aho o Te Kahu-led activities related to Outcome 3</w:t>
      </w:r>
    </w:p>
    <w:tbl>
      <w:tblPr>
        <w:tblpPr w:leftFromText="180" w:rightFromText="180" w:vertAnchor="text" w:horzAnchor="margin" w:tblpY="124"/>
        <w:tblW w:w="8410" w:type="dxa"/>
        <w:tblBorders>
          <w:bottom w:val="single" w:sz="4" w:space="0" w:color="A6A6A6" w:themeColor="background1" w:themeShade="A6"/>
          <w:insideH w:val="single" w:sz="4" w:space="0" w:color="A6A6A6" w:themeColor="background1" w:themeShade="A6"/>
        </w:tblBorders>
        <w:shd w:val="clear" w:color="auto" w:fill="FFFFFF" w:themeFill="background1"/>
        <w:tblLayout w:type="fixed"/>
        <w:tblCellMar>
          <w:left w:w="0" w:type="dxa"/>
          <w:right w:w="0" w:type="dxa"/>
        </w:tblCellMar>
        <w:tblLook w:val="01E0" w:firstRow="1" w:lastRow="1" w:firstColumn="1" w:lastColumn="1" w:noHBand="0" w:noVBand="0"/>
      </w:tblPr>
      <w:tblGrid>
        <w:gridCol w:w="1524"/>
        <w:gridCol w:w="4288"/>
        <w:gridCol w:w="2598"/>
      </w:tblGrid>
      <w:tr w:rsidR="00397A1B" w:rsidRPr="001C1C81" w14:paraId="4F1E1605" w14:textId="77777777" w:rsidTr="00DF1A78">
        <w:trPr>
          <w:trHeight w:val="593"/>
        </w:trPr>
        <w:tc>
          <w:tcPr>
            <w:tcW w:w="1524" w:type="dxa"/>
            <w:tcBorders>
              <w:top w:val="nil"/>
              <w:bottom w:val="nil"/>
            </w:tcBorders>
            <w:shd w:val="clear" w:color="auto" w:fill="D9D9D9" w:themeFill="background1" w:themeFillShade="D9"/>
          </w:tcPr>
          <w:p w14:paraId="340AE089" w14:textId="77777777" w:rsidR="00397A1B" w:rsidRPr="001C1C81" w:rsidRDefault="00397A1B" w:rsidP="00DF1A78">
            <w:pPr>
              <w:pStyle w:val="TableText"/>
            </w:pPr>
          </w:p>
        </w:tc>
        <w:tc>
          <w:tcPr>
            <w:tcW w:w="4288" w:type="dxa"/>
            <w:tcBorders>
              <w:top w:val="nil"/>
              <w:bottom w:val="nil"/>
            </w:tcBorders>
            <w:shd w:val="clear" w:color="auto" w:fill="D9D9D9" w:themeFill="background1" w:themeFillShade="D9"/>
          </w:tcPr>
          <w:p w14:paraId="2054AEA7" w14:textId="77777777" w:rsidR="00397A1B" w:rsidRPr="007A73B0" w:rsidRDefault="00397A1B" w:rsidP="00DF1A78">
            <w:pPr>
              <w:pStyle w:val="TableText"/>
              <w:rPr>
                <w:b/>
                <w:bCs/>
              </w:rPr>
            </w:pPr>
            <w:r w:rsidRPr="007A73B0">
              <w:rPr>
                <w:b/>
                <w:bCs/>
              </w:rPr>
              <w:t>Te Aho o Te Kahu-led activity</w:t>
            </w:r>
          </w:p>
        </w:tc>
        <w:tc>
          <w:tcPr>
            <w:tcW w:w="2598" w:type="dxa"/>
            <w:tcBorders>
              <w:top w:val="nil"/>
              <w:bottom w:val="nil"/>
            </w:tcBorders>
            <w:shd w:val="clear" w:color="auto" w:fill="D9D9D9" w:themeFill="background1" w:themeFillShade="D9"/>
          </w:tcPr>
          <w:p w14:paraId="6BBD1010" w14:textId="77777777" w:rsidR="00397A1B" w:rsidRPr="007A73B0" w:rsidRDefault="00397A1B" w:rsidP="00DF1A78">
            <w:pPr>
              <w:pStyle w:val="TableText"/>
              <w:rPr>
                <w:b/>
                <w:bCs/>
              </w:rPr>
            </w:pPr>
            <w:r w:rsidRPr="007A73B0">
              <w:rPr>
                <w:b/>
                <w:bCs/>
              </w:rPr>
              <w:t>Related Action(s) within the Cancer Action Plan</w:t>
            </w:r>
          </w:p>
        </w:tc>
      </w:tr>
      <w:tr w:rsidR="00397A1B" w:rsidRPr="001C1C81" w14:paraId="0FA8A03A" w14:textId="77777777" w:rsidTr="00DF1A78">
        <w:trPr>
          <w:trHeight w:val="382"/>
        </w:trPr>
        <w:tc>
          <w:tcPr>
            <w:tcW w:w="1524" w:type="dxa"/>
            <w:tcBorders>
              <w:top w:val="nil"/>
            </w:tcBorders>
            <w:shd w:val="clear" w:color="auto" w:fill="FFFFFF" w:themeFill="background1"/>
          </w:tcPr>
          <w:p w14:paraId="503FA059" w14:textId="77777777" w:rsidR="00397A1B" w:rsidRPr="003F03F5" w:rsidRDefault="00397A1B" w:rsidP="00DF1A78">
            <w:pPr>
              <w:pStyle w:val="TableText"/>
              <w:rPr>
                <w:b/>
                <w:bCs/>
              </w:rPr>
            </w:pPr>
            <w:r w:rsidRPr="003F03F5">
              <w:rPr>
                <w:b/>
                <w:bCs/>
              </w:rPr>
              <w:t xml:space="preserve">Outcome </w:t>
            </w:r>
            <w:r>
              <w:rPr>
                <w:b/>
                <w:bCs/>
              </w:rPr>
              <w:t>3</w:t>
            </w:r>
            <w:r w:rsidRPr="003F03F5">
              <w:rPr>
                <w:b/>
                <w:bCs/>
              </w:rPr>
              <w:t>:</w:t>
            </w:r>
          </w:p>
          <w:p w14:paraId="33F74AB4" w14:textId="77777777" w:rsidR="00397A1B" w:rsidRPr="001C1C81" w:rsidRDefault="00397A1B" w:rsidP="00DF1A78">
            <w:pPr>
              <w:pStyle w:val="TableText"/>
            </w:pPr>
            <w:r>
              <w:t>New Zealanders have fewer cancers</w:t>
            </w:r>
          </w:p>
        </w:tc>
        <w:tc>
          <w:tcPr>
            <w:tcW w:w="4288" w:type="dxa"/>
            <w:tcBorders>
              <w:top w:val="nil"/>
            </w:tcBorders>
            <w:shd w:val="clear" w:color="auto" w:fill="FFFFFF" w:themeFill="background1"/>
          </w:tcPr>
          <w:p w14:paraId="30F9A319" w14:textId="77777777" w:rsidR="00397A1B" w:rsidRDefault="00397A1B" w:rsidP="00DF1A78">
            <w:pPr>
              <w:pStyle w:val="TableText"/>
            </w:pPr>
            <w:r>
              <w:t>Cancer Prevention Report</w:t>
            </w:r>
          </w:p>
          <w:p w14:paraId="73F2C966" w14:textId="77777777" w:rsidR="00397A1B" w:rsidRDefault="00397A1B" w:rsidP="00DF1A78">
            <w:pPr>
              <w:pStyle w:val="TableText"/>
            </w:pPr>
            <w:r>
              <w:t>To view this report, go to</w:t>
            </w:r>
          </w:p>
          <w:p w14:paraId="44254DA8" w14:textId="77777777" w:rsidR="00397A1B" w:rsidRPr="001C1C81" w:rsidRDefault="00013E9A" w:rsidP="00DF1A78">
            <w:pPr>
              <w:pStyle w:val="TableText"/>
            </w:pPr>
            <w:hyperlink r:id="rId64" w:history="1">
              <w:r w:rsidR="00397A1B" w:rsidRPr="004F1A48">
                <w:rPr>
                  <w:rStyle w:val="Hyperlink"/>
                </w:rPr>
                <w:t>https://teaho.govt.nz/publications/prevention-report</w:t>
              </w:r>
            </w:hyperlink>
          </w:p>
        </w:tc>
        <w:tc>
          <w:tcPr>
            <w:tcW w:w="2598" w:type="dxa"/>
            <w:tcBorders>
              <w:top w:val="nil"/>
            </w:tcBorders>
            <w:shd w:val="clear" w:color="auto" w:fill="FFFFFF" w:themeFill="background1"/>
          </w:tcPr>
          <w:p w14:paraId="66210CC2" w14:textId="77777777" w:rsidR="00397A1B" w:rsidRDefault="00397A1B" w:rsidP="00DF1A78">
            <w:pPr>
              <w:pStyle w:val="TableText"/>
            </w:pPr>
            <w:r>
              <w:t>Smokefree by 2025</w:t>
            </w:r>
          </w:p>
          <w:p w14:paraId="1CF34971" w14:textId="77777777" w:rsidR="00397A1B" w:rsidRDefault="00397A1B" w:rsidP="00DF1A78">
            <w:pPr>
              <w:pStyle w:val="TableText"/>
            </w:pPr>
            <w:r>
              <w:t>Encourage and support healthy living</w:t>
            </w:r>
          </w:p>
          <w:p w14:paraId="3C553B29" w14:textId="77777777" w:rsidR="00397A1B" w:rsidRDefault="00397A1B" w:rsidP="00DF1A78">
            <w:pPr>
              <w:pStyle w:val="TableText"/>
            </w:pPr>
            <w:r>
              <w:t>Prevent cancers related to infection</w:t>
            </w:r>
          </w:p>
          <w:p w14:paraId="2CCB55D5" w14:textId="77777777" w:rsidR="00397A1B" w:rsidRPr="001C1C81" w:rsidRDefault="00397A1B" w:rsidP="00DF1A78">
            <w:pPr>
              <w:pStyle w:val="TableText"/>
            </w:pPr>
            <w:r>
              <w:t>Reduce the incidence and impact of avoidable skin cancer caused by UVR</w:t>
            </w:r>
          </w:p>
        </w:tc>
      </w:tr>
    </w:tbl>
    <w:p w14:paraId="0B170E06" w14:textId="77777777" w:rsidR="00397A1B" w:rsidRDefault="00397A1B" w:rsidP="00397A1B">
      <w:pPr>
        <w:pStyle w:val="Heading4"/>
        <w:keepNext w:val="0"/>
        <w:rPr>
          <w:lang w:eastAsia="en-US"/>
        </w:rPr>
        <w:sectPr w:rsidR="00397A1B" w:rsidSect="00C26282">
          <w:pgSz w:w="11907" w:h="16840" w:code="9"/>
          <w:pgMar w:top="1418" w:right="1701" w:bottom="1134" w:left="1843" w:header="284" w:footer="425" w:gutter="284"/>
          <w:cols w:space="720"/>
        </w:sectPr>
      </w:pPr>
    </w:p>
    <w:p w14:paraId="0644F952" w14:textId="3B71780B" w:rsidR="009C3909" w:rsidRDefault="00397A1B" w:rsidP="00397A1B">
      <w:pPr>
        <w:pStyle w:val="Heading4"/>
        <w:keepNext w:val="0"/>
        <w:rPr>
          <w:lang w:eastAsia="en-US"/>
        </w:rPr>
      </w:pPr>
      <w:r>
        <w:rPr>
          <w:lang w:eastAsia="en-US"/>
        </w:rPr>
        <w:lastRenderedPageBreak/>
        <w:t>O</w:t>
      </w:r>
      <w:r w:rsidR="009C3909">
        <w:rPr>
          <w:lang w:eastAsia="en-US"/>
        </w:rPr>
        <w:t>utcome 4: New Zealanders have better cancer survival, supportive care and end of life care</w:t>
      </w:r>
    </w:p>
    <w:p w14:paraId="2C2ADE7C" w14:textId="57625F92" w:rsidR="009C3909" w:rsidRDefault="009C3909" w:rsidP="009C3909">
      <w:pPr>
        <w:pStyle w:val="Heading5"/>
        <w:rPr>
          <w:lang w:eastAsia="en-US"/>
        </w:rPr>
      </w:pPr>
      <w:r>
        <w:rPr>
          <w:lang w:eastAsia="en-US"/>
        </w:rPr>
        <w:t>Indicator 1: Proportion of New Zealanders with cancer who received surgical treatment</w:t>
      </w:r>
    </w:p>
    <w:p w14:paraId="588593A0" w14:textId="2139E2AD" w:rsidR="009C3909" w:rsidRDefault="009C3909" w:rsidP="009C3909">
      <w:pPr>
        <w:rPr>
          <w:lang w:eastAsia="en-US"/>
        </w:rPr>
      </w:pPr>
      <w:r>
        <w:rPr>
          <w:noProof/>
        </w:rPr>
        <w:drawing>
          <wp:inline distT="0" distB="0" distL="0" distR="0" wp14:anchorId="44B9DA65" wp14:editId="5A11D889">
            <wp:extent cx="5130165" cy="2653030"/>
            <wp:effectExtent l="0" t="0" r="0" b="0"/>
            <wp:docPr id="26" name="Picture 26" descr="Bar graph shows lung cancer in Asian at 20% and pancreatic cancer in Pacific over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Bar graph shows lung cancer in Asian at 20% and pancreatic cancer in Pacific over 25%"/>
                    <pic:cNvPicPr/>
                  </pic:nvPicPr>
                  <pic:blipFill>
                    <a:blip r:embed="rId65">
                      <a:extLst>
                        <a:ext uri="{28A0092B-C50C-407E-A947-70E740481C1C}">
                          <a14:useLocalDpi xmlns:a14="http://schemas.microsoft.com/office/drawing/2010/main" val="0"/>
                        </a:ext>
                      </a:extLst>
                    </a:blip>
                    <a:stretch>
                      <a:fillRect/>
                    </a:stretch>
                  </pic:blipFill>
                  <pic:spPr>
                    <a:xfrm>
                      <a:off x="0" y="0"/>
                      <a:ext cx="5130165" cy="2653030"/>
                    </a:xfrm>
                    <a:prstGeom prst="rect">
                      <a:avLst/>
                    </a:prstGeom>
                  </pic:spPr>
                </pic:pic>
              </a:graphicData>
            </a:graphic>
          </wp:inline>
        </w:drawing>
      </w:r>
    </w:p>
    <w:p w14:paraId="4CF353E7" w14:textId="77777777" w:rsidR="009C3909" w:rsidRDefault="009C3909" w:rsidP="009C3909">
      <w:pPr>
        <w:rPr>
          <w:lang w:eastAsia="en-US"/>
        </w:rPr>
      </w:pPr>
    </w:p>
    <w:p w14:paraId="71A84AD1" w14:textId="6D4D639C" w:rsidR="009C3909" w:rsidRDefault="009C3909" w:rsidP="009C3909">
      <w:pPr>
        <w:rPr>
          <w:lang w:eastAsia="en-US"/>
        </w:rPr>
      </w:pPr>
      <w:r>
        <w:rPr>
          <w:lang w:eastAsia="en-US"/>
        </w:rPr>
        <w:t>Overall, the rate of surgical resection for both cancers was around 10-15%, with limited evidence of disparities between ethnic groups.</w:t>
      </w:r>
    </w:p>
    <w:p w14:paraId="3A1B099A" w14:textId="636C0842" w:rsidR="009C3909" w:rsidRDefault="009C3909" w:rsidP="009C3909">
      <w:pPr>
        <w:pStyle w:val="Heading5"/>
        <w:rPr>
          <w:lang w:eastAsia="en-US"/>
        </w:rPr>
      </w:pPr>
      <w:r>
        <w:rPr>
          <w:lang w:eastAsia="en-US"/>
        </w:rPr>
        <w:t>Indicator 2: Proportion of New Zealanders with cancer who received radiation therapy</w:t>
      </w:r>
    </w:p>
    <w:p w14:paraId="5A21E6F9" w14:textId="2CB464E7" w:rsidR="009C3909" w:rsidRDefault="009C3909" w:rsidP="009C3909">
      <w:pPr>
        <w:rPr>
          <w:lang w:eastAsia="en-US"/>
        </w:rPr>
      </w:pPr>
      <w:r w:rsidRPr="009C3909">
        <w:rPr>
          <w:noProof/>
        </w:rPr>
        <w:drawing>
          <wp:inline distT="0" distB="0" distL="0" distR="0" wp14:anchorId="1F8FCC49" wp14:editId="031E1DD8">
            <wp:extent cx="5130165" cy="1950720"/>
            <wp:effectExtent l="0" t="0" r="0" b="0"/>
            <wp:docPr id="27" name="Picture 27" descr="Bar graph shows Māori just unde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ar graph shows Māori just under 30%"/>
                    <pic:cNvPicPr/>
                  </pic:nvPicPr>
                  <pic:blipFill>
                    <a:blip r:embed="rId66">
                      <a:extLst>
                        <a:ext uri="{28A0092B-C50C-407E-A947-70E740481C1C}">
                          <a14:useLocalDpi xmlns:a14="http://schemas.microsoft.com/office/drawing/2010/main" val="0"/>
                        </a:ext>
                      </a:extLst>
                    </a:blip>
                    <a:stretch>
                      <a:fillRect/>
                    </a:stretch>
                  </pic:blipFill>
                  <pic:spPr>
                    <a:xfrm>
                      <a:off x="0" y="0"/>
                      <a:ext cx="5130165" cy="1950720"/>
                    </a:xfrm>
                    <a:prstGeom prst="rect">
                      <a:avLst/>
                    </a:prstGeom>
                  </pic:spPr>
                </pic:pic>
              </a:graphicData>
            </a:graphic>
          </wp:inline>
        </w:drawing>
      </w:r>
    </w:p>
    <w:p w14:paraId="20311239" w14:textId="77777777" w:rsidR="00397A1B" w:rsidRDefault="00397A1B" w:rsidP="009C3909">
      <w:pPr>
        <w:rPr>
          <w:lang w:eastAsia="en-US"/>
        </w:rPr>
      </w:pPr>
    </w:p>
    <w:p w14:paraId="539FF14A" w14:textId="0E81AF5C" w:rsidR="009C3909" w:rsidRDefault="009C3909" w:rsidP="009C3909">
      <w:pPr>
        <w:rPr>
          <w:lang w:eastAsia="en-US"/>
        </w:rPr>
      </w:pPr>
      <w:r w:rsidRPr="009C3909">
        <w:rPr>
          <w:lang w:eastAsia="en-US"/>
        </w:rPr>
        <w:t>Māori appeared more likely to access radiation therapy. While this might suggest that Māori have better access to radiation therapy than other ethnic groups, there is evidence that Māori are more likely to be referred for curative or palliative radiation therapy rather than surgery compared to non-Māori.</w:t>
      </w:r>
    </w:p>
    <w:p w14:paraId="1F5F31BC" w14:textId="58FF5D80" w:rsidR="009C3909" w:rsidRDefault="009C3909" w:rsidP="009C3909">
      <w:pPr>
        <w:pStyle w:val="Heading5"/>
        <w:rPr>
          <w:lang w:eastAsia="en-US"/>
        </w:rPr>
      </w:pPr>
      <w:r w:rsidRPr="009C3909">
        <w:rPr>
          <w:lang w:eastAsia="en-US"/>
        </w:rPr>
        <w:lastRenderedPageBreak/>
        <w:t>Indicator 3: Proportion of New Zealanders with cancer who received systemic therapy</w:t>
      </w:r>
    </w:p>
    <w:p w14:paraId="57B2D3BC" w14:textId="126996D3" w:rsidR="009C3909" w:rsidRDefault="009C3909" w:rsidP="009C3909">
      <w:pPr>
        <w:rPr>
          <w:lang w:eastAsia="en-US"/>
        </w:rPr>
      </w:pPr>
      <w:r w:rsidRPr="009C3909">
        <w:rPr>
          <w:noProof/>
        </w:rPr>
        <w:drawing>
          <wp:inline distT="0" distB="0" distL="0" distR="0" wp14:anchorId="77CBE8DA" wp14:editId="30B4B507">
            <wp:extent cx="5130165" cy="2888615"/>
            <wp:effectExtent l="0" t="0" r="0" b="6985"/>
            <wp:docPr id="28" name="Picture 28" descr="Bar graph shows proportion of blood cancers over 50% and solid tumours aroun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ar graph shows proportion of blood cancers over 50% and solid tumours around 25%"/>
                    <pic:cNvPicPr/>
                  </pic:nvPicPr>
                  <pic:blipFill>
                    <a:blip r:embed="rId67">
                      <a:extLst>
                        <a:ext uri="{28A0092B-C50C-407E-A947-70E740481C1C}">
                          <a14:useLocalDpi xmlns:a14="http://schemas.microsoft.com/office/drawing/2010/main" val="0"/>
                        </a:ext>
                      </a:extLst>
                    </a:blip>
                    <a:stretch>
                      <a:fillRect/>
                    </a:stretch>
                  </pic:blipFill>
                  <pic:spPr>
                    <a:xfrm>
                      <a:off x="0" y="0"/>
                      <a:ext cx="5130165" cy="2888615"/>
                    </a:xfrm>
                    <a:prstGeom prst="rect">
                      <a:avLst/>
                    </a:prstGeom>
                  </pic:spPr>
                </pic:pic>
              </a:graphicData>
            </a:graphic>
          </wp:inline>
        </w:drawing>
      </w:r>
    </w:p>
    <w:p w14:paraId="39D96106" w14:textId="77777777" w:rsidR="009C3909" w:rsidRDefault="009C3909" w:rsidP="009C3909">
      <w:pPr>
        <w:rPr>
          <w:lang w:eastAsia="en-US"/>
        </w:rPr>
      </w:pPr>
    </w:p>
    <w:p w14:paraId="3F1BD50C" w14:textId="48B5AF9C" w:rsidR="009C3909" w:rsidRDefault="009C3909" w:rsidP="009C3909">
      <w:pPr>
        <w:rPr>
          <w:lang w:eastAsia="en-US"/>
        </w:rPr>
      </w:pPr>
      <w:r>
        <w:rPr>
          <w:lang w:eastAsia="en-US"/>
        </w:rPr>
        <w:t>More than half of blood cancers and around a quarter of solid tumours were treated with IV chemotherapy infusion. European/Other population appeared to access less IV chemotherapy however some private providers do not report data and European/Other access more privately funded care than other groups.</w:t>
      </w:r>
    </w:p>
    <w:p w14:paraId="7D1ED992" w14:textId="238DB771" w:rsidR="00694A80" w:rsidRDefault="00694A80" w:rsidP="009C3909">
      <w:pPr>
        <w:rPr>
          <w:lang w:eastAsia="en-US"/>
        </w:rPr>
      </w:pPr>
    </w:p>
    <w:p w14:paraId="617E61AF" w14:textId="0C4F6934" w:rsidR="009C3909" w:rsidRDefault="009C3909" w:rsidP="00DC739E">
      <w:pPr>
        <w:pStyle w:val="Heading5"/>
        <w:spacing w:before="0"/>
        <w:rPr>
          <w:lang w:eastAsia="en-US"/>
        </w:rPr>
      </w:pPr>
      <w:r>
        <w:rPr>
          <w:lang w:eastAsia="en-US"/>
        </w:rPr>
        <w:t>Te Aho o Te Kahu-led activities related to Outcome 4</w:t>
      </w:r>
    </w:p>
    <w:tbl>
      <w:tblPr>
        <w:tblpPr w:leftFromText="180" w:rightFromText="180" w:vertAnchor="text" w:horzAnchor="margin" w:tblpY="124"/>
        <w:tblW w:w="8410" w:type="dxa"/>
        <w:tblBorders>
          <w:bottom w:val="single" w:sz="4" w:space="0" w:color="A6A6A6" w:themeColor="background1" w:themeShade="A6"/>
          <w:insideH w:val="single" w:sz="4" w:space="0" w:color="A6A6A6" w:themeColor="background1" w:themeShade="A6"/>
        </w:tblBorders>
        <w:shd w:val="clear" w:color="auto" w:fill="FFFFFF" w:themeFill="background1"/>
        <w:tblLayout w:type="fixed"/>
        <w:tblCellMar>
          <w:left w:w="0" w:type="dxa"/>
          <w:right w:w="0" w:type="dxa"/>
        </w:tblCellMar>
        <w:tblLook w:val="01E0" w:firstRow="1" w:lastRow="1" w:firstColumn="1" w:lastColumn="1" w:noHBand="0" w:noVBand="0"/>
      </w:tblPr>
      <w:tblGrid>
        <w:gridCol w:w="1524"/>
        <w:gridCol w:w="4288"/>
        <w:gridCol w:w="2598"/>
      </w:tblGrid>
      <w:tr w:rsidR="009C3909" w:rsidRPr="001C1C81" w14:paraId="0ED2CC7A" w14:textId="77777777" w:rsidTr="00B83706">
        <w:trPr>
          <w:trHeight w:val="593"/>
        </w:trPr>
        <w:tc>
          <w:tcPr>
            <w:tcW w:w="1524" w:type="dxa"/>
            <w:tcBorders>
              <w:top w:val="nil"/>
              <w:bottom w:val="nil"/>
            </w:tcBorders>
            <w:shd w:val="clear" w:color="auto" w:fill="D9D9D9" w:themeFill="background1" w:themeFillShade="D9"/>
          </w:tcPr>
          <w:p w14:paraId="63270188" w14:textId="77777777" w:rsidR="009C3909" w:rsidRPr="001C1C81" w:rsidRDefault="009C3909" w:rsidP="00B83706">
            <w:pPr>
              <w:pStyle w:val="TableText"/>
            </w:pPr>
          </w:p>
        </w:tc>
        <w:tc>
          <w:tcPr>
            <w:tcW w:w="4288" w:type="dxa"/>
            <w:tcBorders>
              <w:top w:val="nil"/>
              <w:bottom w:val="nil"/>
            </w:tcBorders>
            <w:shd w:val="clear" w:color="auto" w:fill="D9D9D9" w:themeFill="background1" w:themeFillShade="D9"/>
          </w:tcPr>
          <w:p w14:paraId="6A72AC06" w14:textId="77777777" w:rsidR="009C3909" w:rsidRPr="007A73B0" w:rsidRDefault="009C3909" w:rsidP="00B83706">
            <w:pPr>
              <w:pStyle w:val="TableText"/>
              <w:rPr>
                <w:b/>
                <w:bCs/>
              </w:rPr>
            </w:pPr>
            <w:r w:rsidRPr="007A73B0">
              <w:rPr>
                <w:b/>
                <w:bCs/>
              </w:rPr>
              <w:t>Te Aho o Te Kahu-led activity</w:t>
            </w:r>
          </w:p>
        </w:tc>
        <w:tc>
          <w:tcPr>
            <w:tcW w:w="2598" w:type="dxa"/>
            <w:tcBorders>
              <w:top w:val="nil"/>
              <w:bottom w:val="nil"/>
            </w:tcBorders>
            <w:shd w:val="clear" w:color="auto" w:fill="D9D9D9" w:themeFill="background1" w:themeFillShade="D9"/>
          </w:tcPr>
          <w:p w14:paraId="4C3E586B" w14:textId="77777777" w:rsidR="009C3909" w:rsidRPr="007A73B0" w:rsidRDefault="009C3909" w:rsidP="00B83706">
            <w:pPr>
              <w:pStyle w:val="TableText"/>
              <w:rPr>
                <w:b/>
                <w:bCs/>
              </w:rPr>
            </w:pPr>
            <w:r w:rsidRPr="007A73B0">
              <w:rPr>
                <w:b/>
                <w:bCs/>
              </w:rPr>
              <w:t>Related Action(s) within the Cancer Action Plan</w:t>
            </w:r>
          </w:p>
        </w:tc>
      </w:tr>
      <w:tr w:rsidR="00694A80" w:rsidRPr="001C1C81" w14:paraId="74B09230" w14:textId="77777777" w:rsidTr="0072028F">
        <w:trPr>
          <w:trHeight w:val="382"/>
        </w:trPr>
        <w:tc>
          <w:tcPr>
            <w:tcW w:w="1524" w:type="dxa"/>
            <w:vMerge w:val="restart"/>
            <w:tcBorders>
              <w:top w:val="nil"/>
            </w:tcBorders>
            <w:shd w:val="clear" w:color="auto" w:fill="FFFFFF" w:themeFill="background1"/>
          </w:tcPr>
          <w:p w14:paraId="47FB225C" w14:textId="553A01D9" w:rsidR="00694A80" w:rsidRPr="003F03F5" w:rsidRDefault="00694A80" w:rsidP="009C3909">
            <w:pPr>
              <w:pStyle w:val="TableText"/>
              <w:rPr>
                <w:b/>
                <w:bCs/>
              </w:rPr>
            </w:pPr>
            <w:r w:rsidRPr="003F03F5">
              <w:rPr>
                <w:b/>
                <w:bCs/>
              </w:rPr>
              <w:t xml:space="preserve">Outcome </w:t>
            </w:r>
            <w:r>
              <w:rPr>
                <w:b/>
                <w:bCs/>
              </w:rPr>
              <w:t>4</w:t>
            </w:r>
            <w:r w:rsidRPr="003F03F5">
              <w:rPr>
                <w:b/>
                <w:bCs/>
              </w:rPr>
              <w:t>:</w:t>
            </w:r>
          </w:p>
          <w:p w14:paraId="08620C8D" w14:textId="1AE5C741" w:rsidR="00694A80" w:rsidRPr="001C1C81" w:rsidRDefault="00694A80" w:rsidP="009C3909">
            <w:pPr>
              <w:pStyle w:val="TableText"/>
            </w:pPr>
            <w:r w:rsidRPr="009C3909">
              <w:t>New Zealanders have better survival</w:t>
            </w:r>
          </w:p>
        </w:tc>
        <w:tc>
          <w:tcPr>
            <w:tcW w:w="4288" w:type="dxa"/>
            <w:tcBorders>
              <w:top w:val="nil"/>
              <w:bottom w:val="single" w:sz="4" w:space="0" w:color="A6A6A6" w:themeColor="background1" w:themeShade="A6"/>
            </w:tcBorders>
            <w:shd w:val="clear" w:color="auto" w:fill="FFFFFF" w:themeFill="background1"/>
          </w:tcPr>
          <w:p w14:paraId="516BABF6" w14:textId="77777777" w:rsidR="00694A80" w:rsidRPr="009C3909" w:rsidRDefault="00694A80" w:rsidP="009C3909">
            <w:pPr>
              <w:pStyle w:val="TableText"/>
              <w:rPr>
                <w:b/>
                <w:bCs/>
              </w:rPr>
            </w:pPr>
            <w:r w:rsidRPr="009C3909">
              <w:rPr>
                <w:b/>
                <w:bCs/>
              </w:rPr>
              <w:t>Cancer Medicines Availability Analysis</w:t>
            </w:r>
          </w:p>
          <w:p w14:paraId="10FC6F47" w14:textId="1EA40E08" w:rsidR="00694A80" w:rsidRPr="001C1C81" w:rsidRDefault="00694A80" w:rsidP="009C3909">
            <w:pPr>
              <w:pStyle w:val="TableText"/>
            </w:pPr>
            <w:r>
              <w:t xml:space="preserve">To view the report, go to </w:t>
            </w:r>
            <w:hyperlink r:id="rId68" w:history="1">
              <w:r w:rsidRPr="009C3909">
                <w:rPr>
                  <w:rStyle w:val="Hyperlink"/>
                </w:rPr>
                <w:t>https://teaho.govt.nz/publications/cancer-medicines</w:t>
              </w:r>
            </w:hyperlink>
          </w:p>
        </w:tc>
        <w:tc>
          <w:tcPr>
            <w:tcW w:w="2598" w:type="dxa"/>
            <w:tcBorders>
              <w:top w:val="nil"/>
              <w:bottom w:val="single" w:sz="4" w:space="0" w:color="A6A6A6" w:themeColor="background1" w:themeShade="A6"/>
            </w:tcBorders>
            <w:shd w:val="clear" w:color="auto" w:fill="FFFFFF" w:themeFill="background1"/>
          </w:tcPr>
          <w:p w14:paraId="741F6D49" w14:textId="76CD12DB" w:rsidR="00694A80" w:rsidRPr="001C1C81" w:rsidRDefault="00694A80" w:rsidP="009C3909">
            <w:pPr>
              <w:pStyle w:val="TableText"/>
            </w:pPr>
            <w:r w:rsidRPr="00A4003C">
              <w:t>Improve cancer diagnosis and treatment outcomes</w:t>
            </w:r>
          </w:p>
        </w:tc>
      </w:tr>
      <w:tr w:rsidR="00694A80" w:rsidRPr="001C1C81" w14:paraId="53F7C20C" w14:textId="77777777" w:rsidTr="0072028F">
        <w:trPr>
          <w:trHeight w:val="382"/>
        </w:trPr>
        <w:tc>
          <w:tcPr>
            <w:tcW w:w="1524" w:type="dxa"/>
            <w:vMerge/>
            <w:shd w:val="clear" w:color="auto" w:fill="FFFFFF" w:themeFill="background1"/>
          </w:tcPr>
          <w:p w14:paraId="1AA5393B" w14:textId="77777777" w:rsidR="00694A80" w:rsidRPr="003F03F5" w:rsidRDefault="00694A80" w:rsidP="009C3909">
            <w:pPr>
              <w:pStyle w:val="TableText"/>
              <w:rPr>
                <w:b/>
                <w:bCs/>
              </w:rPr>
            </w:pPr>
          </w:p>
        </w:tc>
        <w:tc>
          <w:tcPr>
            <w:tcW w:w="4288" w:type="dxa"/>
            <w:tcBorders>
              <w:top w:val="single" w:sz="4" w:space="0" w:color="A6A6A6" w:themeColor="background1" w:themeShade="A6"/>
              <w:bottom w:val="single" w:sz="4" w:space="0" w:color="A6A6A6" w:themeColor="background1" w:themeShade="A6"/>
            </w:tcBorders>
            <w:shd w:val="clear" w:color="auto" w:fill="FFFFFF" w:themeFill="background1"/>
          </w:tcPr>
          <w:p w14:paraId="4F915C88" w14:textId="0F5EC79D" w:rsidR="00694A80" w:rsidRPr="009C3909" w:rsidRDefault="00694A80" w:rsidP="009C3909">
            <w:pPr>
              <w:pStyle w:val="TableText"/>
              <w:rPr>
                <w:b/>
                <w:bCs/>
              </w:rPr>
            </w:pPr>
            <w:r w:rsidRPr="009C3909">
              <w:rPr>
                <w:b/>
                <w:bCs/>
              </w:rPr>
              <w:t>Measuring cancer treatment quality</w:t>
            </w:r>
          </w:p>
        </w:tc>
        <w:tc>
          <w:tcPr>
            <w:tcW w:w="2598" w:type="dxa"/>
            <w:tcBorders>
              <w:top w:val="single" w:sz="4" w:space="0" w:color="A6A6A6" w:themeColor="background1" w:themeShade="A6"/>
              <w:bottom w:val="single" w:sz="4" w:space="0" w:color="A6A6A6" w:themeColor="background1" w:themeShade="A6"/>
            </w:tcBorders>
            <w:shd w:val="clear" w:color="auto" w:fill="FFFFFF" w:themeFill="background1"/>
          </w:tcPr>
          <w:p w14:paraId="1697ADEB" w14:textId="345953D2" w:rsidR="00694A80" w:rsidRDefault="00694A80" w:rsidP="009C3909">
            <w:pPr>
              <w:pStyle w:val="TableText"/>
            </w:pPr>
            <w:r w:rsidRPr="00A4003C">
              <w:t>Improve cancer diagnosis and treatment outcomes</w:t>
            </w:r>
          </w:p>
        </w:tc>
      </w:tr>
      <w:tr w:rsidR="00694A80" w:rsidRPr="001C1C81" w14:paraId="56C0BEDE" w14:textId="77777777" w:rsidTr="0072028F">
        <w:trPr>
          <w:trHeight w:val="382"/>
        </w:trPr>
        <w:tc>
          <w:tcPr>
            <w:tcW w:w="1524" w:type="dxa"/>
            <w:vMerge/>
            <w:shd w:val="clear" w:color="auto" w:fill="FFFFFF" w:themeFill="background1"/>
          </w:tcPr>
          <w:p w14:paraId="7DF35100" w14:textId="77777777" w:rsidR="00694A80" w:rsidRPr="003F03F5" w:rsidRDefault="00694A80" w:rsidP="009C3909">
            <w:pPr>
              <w:pStyle w:val="TableText"/>
              <w:rPr>
                <w:b/>
                <w:bCs/>
              </w:rPr>
            </w:pPr>
          </w:p>
        </w:tc>
        <w:tc>
          <w:tcPr>
            <w:tcW w:w="4288" w:type="dxa"/>
            <w:tcBorders>
              <w:top w:val="single" w:sz="4" w:space="0" w:color="A6A6A6" w:themeColor="background1" w:themeShade="A6"/>
            </w:tcBorders>
            <w:shd w:val="clear" w:color="auto" w:fill="FFFFFF" w:themeFill="background1"/>
          </w:tcPr>
          <w:p w14:paraId="6F6C698F" w14:textId="77777777" w:rsidR="00694A80" w:rsidRPr="009C3909" w:rsidRDefault="00694A80" w:rsidP="009C3909">
            <w:pPr>
              <w:pStyle w:val="TableText"/>
              <w:rPr>
                <w:b/>
                <w:bCs/>
              </w:rPr>
            </w:pPr>
            <w:r w:rsidRPr="009C3909">
              <w:rPr>
                <w:b/>
                <w:bCs/>
              </w:rPr>
              <w:t>Cancer service planning</w:t>
            </w:r>
          </w:p>
          <w:p w14:paraId="2D1A7E2C" w14:textId="77777777" w:rsidR="00694A80" w:rsidRDefault="00694A80" w:rsidP="009C3909">
            <w:pPr>
              <w:pStyle w:val="TableText"/>
            </w:pPr>
            <w:r>
              <w:t>To view copy of the report, go to</w:t>
            </w:r>
          </w:p>
          <w:p w14:paraId="6C673520" w14:textId="0DDDBB41" w:rsidR="00694A80" w:rsidRPr="009C3909" w:rsidRDefault="00694A80" w:rsidP="009C3909">
            <w:pPr>
              <w:pStyle w:val="TableText"/>
              <w:rPr>
                <w:rStyle w:val="Hyperlink"/>
              </w:rPr>
            </w:pPr>
            <w:r>
              <w:fldChar w:fldCharType="begin"/>
            </w:r>
            <w:r>
              <w:instrText xml:space="preserve"> HYPERLINK "https://teaho.govt.nz/publications/cancer-medicines" </w:instrText>
            </w:r>
            <w:r>
              <w:fldChar w:fldCharType="separate"/>
            </w:r>
            <w:r w:rsidRPr="009C3909">
              <w:rPr>
                <w:rStyle w:val="Hyperlink"/>
              </w:rPr>
              <w:t>https://teaho.govt.nz/publications/cancer-</w:t>
            </w:r>
          </w:p>
          <w:p w14:paraId="7A775B24" w14:textId="1389AA6B" w:rsidR="00694A80" w:rsidRDefault="00694A80" w:rsidP="009C3909">
            <w:pPr>
              <w:pStyle w:val="TableText"/>
            </w:pPr>
            <w:r w:rsidRPr="009C3909">
              <w:rPr>
                <w:rStyle w:val="Hyperlink"/>
              </w:rPr>
              <w:t>services-planning</w:t>
            </w:r>
            <w:r>
              <w:fldChar w:fldCharType="end"/>
            </w:r>
            <w:r>
              <w:t>.</w:t>
            </w:r>
          </w:p>
        </w:tc>
        <w:tc>
          <w:tcPr>
            <w:tcW w:w="2598" w:type="dxa"/>
            <w:tcBorders>
              <w:top w:val="single" w:sz="4" w:space="0" w:color="A6A6A6" w:themeColor="background1" w:themeShade="A6"/>
            </w:tcBorders>
            <w:shd w:val="clear" w:color="auto" w:fill="FFFFFF" w:themeFill="background1"/>
          </w:tcPr>
          <w:p w14:paraId="4FF074E1" w14:textId="05149772" w:rsidR="00694A80" w:rsidRDefault="00694A80" w:rsidP="009C3909">
            <w:pPr>
              <w:pStyle w:val="TableText"/>
            </w:pPr>
            <w:r w:rsidRPr="00A4003C">
              <w:t>Improve cancer diagnosis and treatment outcomes</w:t>
            </w:r>
          </w:p>
        </w:tc>
      </w:tr>
    </w:tbl>
    <w:p w14:paraId="2A6F8B83" w14:textId="77777777" w:rsidR="00694A80" w:rsidRDefault="00694A80" w:rsidP="009C3909">
      <w:pPr>
        <w:pStyle w:val="Heading2"/>
        <w:rPr>
          <w:lang w:eastAsia="en-US"/>
        </w:rPr>
        <w:sectPr w:rsidR="00694A80" w:rsidSect="00C26282">
          <w:pgSz w:w="11907" w:h="16840" w:code="9"/>
          <w:pgMar w:top="1418" w:right="1701" w:bottom="1134" w:left="1843" w:header="284" w:footer="425" w:gutter="284"/>
          <w:cols w:space="720"/>
        </w:sectPr>
      </w:pPr>
    </w:p>
    <w:p w14:paraId="3BE5538B" w14:textId="4358A0F7" w:rsidR="009C3909" w:rsidRPr="009C3909" w:rsidRDefault="0045225C" w:rsidP="007924C7">
      <w:pPr>
        <w:pStyle w:val="Heading2"/>
        <w:spacing w:before="0"/>
        <w:rPr>
          <w:b w:val="0"/>
          <w:bCs/>
          <w:lang w:eastAsia="en-US"/>
        </w:rPr>
      </w:pPr>
      <w:bookmarkStart w:id="88" w:name="_Toc117264994"/>
      <w:r>
        <w:rPr>
          <w:lang w:eastAsia="en-US"/>
        </w:rPr>
        <w:lastRenderedPageBreak/>
        <w:t>T</w:t>
      </w:r>
      <w:r w:rsidR="009C3909">
        <w:rPr>
          <w:lang w:eastAsia="en-US"/>
        </w:rPr>
        <w:t>auākī</w:t>
      </w:r>
      <w:r>
        <w:rPr>
          <w:lang w:eastAsia="en-US"/>
        </w:rPr>
        <w:t xml:space="preserve"> Haepapa</w:t>
      </w:r>
      <w:r w:rsidR="009C3909">
        <w:rPr>
          <w:lang w:eastAsia="en-US"/>
        </w:rPr>
        <w:t xml:space="preserve"> | </w:t>
      </w:r>
      <w:r w:rsidR="009C3909" w:rsidRPr="009C3909">
        <w:rPr>
          <w:b w:val="0"/>
          <w:bCs/>
          <w:lang w:eastAsia="en-US"/>
        </w:rPr>
        <w:t>Statement of responsibility</w:t>
      </w:r>
      <w:bookmarkEnd w:id="88"/>
    </w:p>
    <w:p w14:paraId="67C2C214" w14:textId="2D31E9E7" w:rsidR="009C3909" w:rsidRDefault="009C3909" w:rsidP="009C3909">
      <w:pPr>
        <w:rPr>
          <w:lang w:eastAsia="en-US"/>
        </w:rPr>
      </w:pPr>
      <w:r>
        <w:rPr>
          <w:lang w:eastAsia="en-US"/>
        </w:rPr>
        <w:t>We are jointly responsible for the accuracy of any end-of-year performance information prepared by Te Aho o Te Kahu, whether or not that information is included in the Annual Report.</w:t>
      </w:r>
    </w:p>
    <w:p w14:paraId="6EE70B25" w14:textId="77777777" w:rsidR="009C3909" w:rsidRDefault="009C3909" w:rsidP="009C3909">
      <w:pPr>
        <w:rPr>
          <w:lang w:eastAsia="en-US"/>
        </w:rPr>
      </w:pPr>
    </w:p>
    <w:p w14:paraId="359C5727" w14:textId="37606A0E" w:rsidR="009C3909" w:rsidRDefault="009C3909" w:rsidP="009C3909">
      <w:pPr>
        <w:rPr>
          <w:lang w:eastAsia="en-US"/>
        </w:rPr>
      </w:pPr>
      <w:r>
        <w:rPr>
          <w:lang w:eastAsia="en-US"/>
        </w:rPr>
        <w:t>In our opinion, the Annual Report fairly reflects the operations, progress, and organisational health and capability of Te Aho o Te Kahu.</w:t>
      </w:r>
    </w:p>
    <w:p w14:paraId="49C83D7F" w14:textId="78939CFC" w:rsidR="009C3909" w:rsidRDefault="009C3909" w:rsidP="009C3909">
      <w:pPr>
        <w:rPr>
          <w:lang w:eastAsia="en-US"/>
        </w:rPr>
      </w:pPr>
      <w:r>
        <w:rPr>
          <w:noProof/>
        </w:rPr>
        <w:drawing>
          <wp:anchor distT="0" distB="0" distL="0" distR="0" simplePos="0" relativeHeight="251675648" behindDoc="0" locked="0" layoutInCell="1" allowOverlap="1" wp14:anchorId="248DBC52" wp14:editId="1F919F38">
            <wp:simplePos x="0" y="0"/>
            <wp:positionH relativeFrom="page">
              <wp:posOffset>3589419</wp:posOffset>
            </wp:positionH>
            <wp:positionV relativeFrom="paragraph">
              <wp:posOffset>169486</wp:posOffset>
            </wp:positionV>
            <wp:extent cx="1244595" cy="711200"/>
            <wp:effectExtent l="0" t="0" r="0" b="0"/>
            <wp:wrapNone/>
            <wp:docPr id="53" name="image10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02.png">
                      <a:extLst>
                        <a:ext uri="{C183D7F6-B498-43B3-948B-1728B52AA6E4}">
                          <adec:decorative xmlns:adec="http://schemas.microsoft.com/office/drawing/2017/decorative" val="1"/>
                        </a:ext>
                      </a:extLst>
                    </pic:cNvPr>
                    <pic:cNvPicPr/>
                  </pic:nvPicPr>
                  <pic:blipFill>
                    <a:blip r:embed="rId69" cstate="print"/>
                    <a:stretch>
                      <a:fillRect/>
                    </a:stretch>
                  </pic:blipFill>
                  <pic:spPr>
                    <a:xfrm>
                      <a:off x="0" y="0"/>
                      <a:ext cx="1244595" cy="711200"/>
                    </a:xfrm>
                    <a:prstGeom prst="rect">
                      <a:avLst/>
                    </a:prstGeom>
                  </pic:spPr>
                </pic:pic>
              </a:graphicData>
            </a:graphic>
          </wp:anchor>
        </w:drawing>
      </w:r>
    </w:p>
    <w:p w14:paraId="21EC122C" w14:textId="51FA7571" w:rsidR="009C3909" w:rsidRDefault="009C3909" w:rsidP="009C3909">
      <w:pPr>
        <w:rPr>
          <w:lang w:eastAsia="en-US"/>
        </w:rPr>
      </w:pPr>
      <w:r>
        <w:rPr>
          <w:noProof/>
        </w:rPr>
        <w:drawing>
          <wp:anchor distT="0" distB="0" distL="0" distR="0" simplePos="0" relativeHeight="251673600" behindDoc="1" locked="0" layoutInCell="1" allowOverlap="1" wp14:anchorId="36748E0F" wp14:editId="3095DA5F">
            <wp:simplePos x="0" y="0"/>
            <wp:positionH relativeFrom="page">
              <wp:posOffset>995075</wp:posOffset>
            </wp:positionH>
            <wp:positionV relativeFrom="paragraph">
              <wp:posOffset>74428</wp:posOffset>
            </wp:positionV>
            <wp:extent cx="2103115" cy="765247"/>
            <wp:effectExtent l="0" t="0" r="0" b="0"/>
            <wp:wrapNone/>
            <wp:docPr id="51" name="image10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01.jpeg">
                      <a:extLst>
                        <a:ext uri="{C183D7F6-B498-43B3-948B-1728B52AA6E4}">
                          <adec:decorative xmlns:adec="http://schemas.microsoft.com/office/drawing/2017/decorative" val="1"/>
                        </a:ext>
                      </a:extLst>
                    </pic:cNvPr>
                    <pic:cNvPicPr/>
                  </pic:nvPicPr>
                  <pic:blipFill>
                    <a:blip r:embed="rId70" cstate="print"/>
                    <a:stretch>
                      <a:fillRect/>
                    </a:stretch>
                  </pic:blipFill>
                  <pic:spPr>
                    <a:xfrm>
                      <a:off x="0" y="0"/>
                      <a:ext cx="2103115" cy="765247"/>
                    </a:xfrm>
                    <a:prstGeom prst="rect">
                      <a:avLst/>
                    </a:prstGeom>
                  </pic:spPr>
                </pic:pic>
              </a:graphicData>
            </a:graphic>
          </wp:anchor>
        </w:drawing>
      </w:r>
    </w:p>
    <w:p w14:paraId="0DA026F7" w14:textId="77777777" w:rsidR="009C3909" w:rsidRDefault="009C3909" w:rsidP="009C3909">
      <w:pPr>
        <w:rPr>
          <w:lang w:eastAsia="en-US"/>
        </w:rPr>
      </w:pPr>
    </w:p>
    <w:p w14:paraId="29758D42" w14:textId="5B3D9B73" w:rsidR="009C3909" w:rsidRDefault="009C3909" w:rsidP="009C3909">
      <w:pPr>
        <w:rPr>
          <w:lang w:eastAsia="en-US"/>
        </w:rPr>
      </w:pPr>
    </w:p>
    <w:p w14:paraId="65817CD1" w14:textId="77777777" w:rsidR="009C3909" w:rsidRDefault="009C3909" w:rsidP="009C3909">
      <w:pPr>
        <w:rPr>
          <w:lang w:eastAsia="en-US"/>
        </w:rPr>
      </w:pPr>
    </w:p>
    <w:p w14:paraId="7881DE13" w14:textId="48E75819" w:rsidR="009C3909" w:rsidRDefault="009C3909" w:rsidP="009C3909">
      <w:pPr>
        <w:rPr>
          <w:lang w:eastAsia="en-US"/>
        </w:rPr>
      </w:pPr>
      <w:r>
        <w:rPr>
          <w:lang w:eastAsia="en-US"/>
        </w:rPr>
        <w:t>Dr Diana Sarfati</w:t>
      </w:r>
      <w:r>
        <w:rPr>
          <w:lang w:eastAsia="en-US"/>
        </w:rPr>
        <w:tab/>
      </w:r>
      <w:r>
        <w:rPr>
          <w:lang w:eastAsia="en-US"/>
        </w:rPr>
        <w:tab/>
      </w:r>
      <w:r>
        <w:rPr>
          <w:lang w:eastAsia="en-US"/>
        </w:rPr>
        <w:tab/>
      </w:r>
      <w:r>
        <w:rPr>
          <w:lang w:eastAsia="en-US"/>
        </w:rPr>
        <w:tab/>
      </w:r>
      <w:r>
        <w:rPr>
          <w:lang w:eastAsia="en-US"/>
        </w:rPr>
        <w:tab/>
        <w:t>Nicola Hill</w:t>
      </w:r>
    </w:p>
    <w:p w14:paraId="0089ABD6" w14:textId="1AAF8993" w:rsidR="009C3909" w:rsidRPr="009C3909" w:rsidRDefault="009C3909" w:rsidP="009C3909">
      <w:pPr>
        <w:rPr>
          <w:lang w:eastAsia="en-US"/>
        </w:rPr>
      </w:pPr>
      <w:r>
        <w:rPr>
          <w:lang w:eastAsia="en-US"/>
        </w:rPr>
        <w:t>Chief Executive (to end June 2022)</w:t>
      </w:r>
      <w:r>
        <w:rPr>
          <w:lang w:eastAsia="en-US"/>
        </w:rPr>
        <w:tab/>
      </w:r>
      <w:r>
        <w:rPr>
          <w:lang w:eastAsia="en-US"/>
        </w:rPr>
        <w:tab/>
        <w:t>Acting Chief Executive (from July 2022) Te Aho o Te Kahu, Cancer Control Agency</w:t>
      </w:r>
      <w:r>
        <w:rPr>
          <w:lang w:eastAsia="en-US"/>
        </w:rPr>
        <w:tab/>
        <w:t>Te Aho o Te Kahu, Cancer Control Agency 30 September 2022</w:t>
      </w:r>
      <w:r>
        <w:rPr>
          <w:lang w:eastAsia="en-US"/>
        </w:rPr>
        <w:tab/>
      </w:r>
      <w:r>
        <w:rPr>
          <w:lang w:eastAsia="en-US"/>
        </w:rPr>
        <w:tab/>
      </w:r>
      <w:r>
        <w:rPr>
          <w:lang w:eastAsia="en-US"/>
        </w:rPr>
        <w:tab/>
      </w:r>
      <w:r>
        <w:rPr>
          <w:lang w:eastAsia="en-US"/>
        </w:rPr>
        <w:tab/>
        <w:t>30 September 2022</w:t>
      </w:r>
    </w:p>
    <w:p w14:paraId="4257BC40" w14:textId="77777777" w:rsidR="009C3909" w:rsidRPr="009C3909" w:rsidRDefault="009C3909" w:rsidP="009C3909">
      <w:pPr>
        <w:rPr>
          <w:lang w:eastAsia="en-US"/>
        </w:rPr>
      </w:pPr>
    </w:p>
    <w:p w14:paraId="6A2A1051" w14:textId="77777777" w:rsidR="009C3909" w:rsidRPr="009C3909" w:rsidRDefault="009C3909" w:rsidP="009C3909">
      <w:pPr>
        <w:rPr>
          <w:lang w:eastAsia="en-US"/>
        </w:rPr>
      </w:pPr>
    </w:p>
    <w:p w14:paraId="025E7211" w14:textId="77777777" w:rsidR="009C3909" w:rsidRPr="009C3909" w:rsidRDefault="009C3909" w:rsidP="009C3909">
      <w:pPr>
        <w:rPr>
          <w:lang w:eastAsia="en-US"/>
        </w:rPr>
      </w:pPr>
    </w:p>
    <w:p w14:paraId="58D0EC87" w14:textId="77777777" w:rsidR="009C3909" w:rsidRPr="009C3909" w:rsidRDefault="009C3909" w:rsidP="009C3909">
      <w:pPr>
        <w:rPr>
          <w:lang w:eastAsia="en-US"/>
        </w:rPr>
      </w:pPr>
    </w:p>
    <w:p w14:paraId="71081663" w14:textId="77777777" w:rsidR="009C3909" w:rsidRPr="009C3909" w:rsidRDefault="009C3909" w:rsidP="009C3909">
      <w:pPr>
        <w:rPr>
          <w:lang w:eastAsia="en-US"/>
        </w:rPr>
      </w:pPr>
    </w:p>
    <w:p w14:paraId="355220FA" w14:textId="77777777" w:rsidR="009C3909" w:rsidRPr="009C3909" w:rsidRDefault="009C3909" w:rsidP="009C3909">
      <w:pPr>
        <w:rPr>
          <w:lang w:eastAsia="en-US"/>
        </w:rPr>
      </w:pPr>
    </w:p>
    <w:p w14:paraId="502F5A2F" w14:textId="77777777" w:rsidR="009C3909" w:rsidRPr="009C3909" w:rsidRDefault="009C3909" w:rsidP="009C3909">
      <w:pPr>
        <w:rPr>
          <w:lang w:eastAsia="en-US"/>
        </w:rPr>
      </w:pPr>
    </w:p>
    <w:p w14:paraId="08418A9A" w14:textId="2AC7DB28" w:rsidR="009C3909" w:rsidRPr="009C3909" w:rsidRDefault="009C3909" w:rsidP="009C3909">
      <w:pPr>
        <w:rPr>
          <w:lang w:eastAsia="en-US"/>
        </w:rPr>
        <w:sectPr w:rsidR="009C3909" w:rsidRPr="009C3909" w:rsidSect="00C26282">
          <w:pgSz w:w="11907" w:h="16840" w:code="9"/>
          <w:pgMar w:top="1418" w:right="1701" w:bottom="1134" w:left="1843" w:header="284" w:footer="425" w:gutter="284"/>
          <w:cols w:space="720"/>
        </w:sectPr>
      </w:pPr>
    </w:p>
    <w:p w14:paraId="31ABBE55" w14:textId="1F61FAE9" w:rsidR="00782804" w:rsidRPr="00C754CB" w:rsidRDefault="00B83706" w:rsidP="00F833A8">
      <w:pPr>
        <w:rPr>
          <w:color w:val="0A6AB4"/>
          <w:sz w:val="48"/>
          <w:szCs w:val="48"/>
          <w:lang w:eastAsia="en-US"/>
        </w:rPr>
      </w:pPr>
      <w:r w:rsidRPr="00C754CB">
        <w:rPr>
          <w:b/>
          <w:bCs/>
          <w:color w:val="0A6AB4"/>
          <w:sz w:val="48"/>
          <w:szCs w:val="48"/>
          <w:lang w:eastAsia="en-US"/>
        </w:rPr>
        <w:lastRenderedPageBreak/>
        <w:t>Te Whatu Ora |</w:t>
      </w:r>
      <w:r w:rsidRPr="00C754CB">
        <w:rPr>
          <w:color w:val="0A6AB4"/>
          <w:sz w:val="48"/>
          <w:szCs w:val="48"/>
          <w:lang w:eastAsia="en-US"/>
        </w:rPr>
        <w:t xml:space="preserve"> Health New Zealand</w:t>
      </w:r>
    </w:p>
    <w:p w14:paraId="0CE38421" w14:textId="4E761569" w:rsidR="00B83706" w:rsidRDefault="00B83706" w:rsidP="00B83706">
      <w:pPr>
        <w:pStyle w:val="Heading1"/>
        <w:rPr>
          <w:lang w:eastAsia="en-US"/>
        </w:rPr>
      </w:pPr>
      <w:bookmarkStart w:id="89" w:name="_Toc117264995"/>
      <w:r>
        <w:rPr>
          <w:lang w:eastAsia="en-US"/>
        </w:rPr>
        <w:t>Interim Health New Zealand Annual Report 2021/2022</w:t>
      </w:r>
      <w:bookmarkEnd w:id="89"/>
    </w:p>
    <w:p w14:paraId="4ECC036A" w14:textId="77777777" w:rsidR="00C22B35" w:rsidRDefault="00C22B35" w:rsidP="00C22B35">
      <w:pPr>
        <w:rPr>
          <w:b/>
          <w:bCs/>
        </w:rPr>
      </w:pPr>
      <w:r w:rsidRPr="00C22B35">
        <w:rPr>
          <w:b/>
          <w:bCs/>
        </w:rPr>
        <w:t>Note</w:t>
      </w:r>
    </w:p>
    <w:p w14:paraId="55D696C9" w14:textId="77777777" w:rsidR="00B83706" w:rsidRDefault="00B83706" w:rsidP="00B83706">
      <w:pPr>
        <w:rPr>
          <w:lang w:eastAsia="en-US"/>
        </w:rPr>
      </w:pPr>
    </w:p>
    <w:p w14:paraId="246380AD" w14:textId="3ED97B49" w:rsidR="00B83706" w:rsidRDefault="00B83706" w:rsidP="00B83706">
      <w:pPr>
        <w:rPr>
          <w:lang w:eastAsia="en-US"/>
        </w:rPr>
      </w:pPr>
      <w:r>
        <w:rPr>
          <w:lang w:eastAsia="en-US"/>
        </w:rPr>
        <w:t>Interim Health New Zealand – given its interim status – is exempt from developing a Statement of Performance Expectations (SPE) and Statement of Intent (SOI) until the 2022/2023 financial year when it has become Te Whatu Ora | Health New Zealand.</w:t>
      </w:r>
    </w:p>
    <w:p w14:paraId="385B7876" w14:textId="77777777" w:rsidR="00B83706" w:rsidRDefault="00B83706" w:rsidP="00B83706">
      <w:pPr>
        <w:rPr>
          <w:lang w:eastAsia="en-US"/>
        </w:rPr>
      </w:pPr>
    </w:p>
    <w:p w14:paraId="4342D7BC" w14:textId="77777777" w:rsidR="00C754CB" w:rsidRDefault="00B83706" w:rsidP="00B83706">
      <w:pPr>
        <w:rPr>
          <w:lang w:eastAsia="en-US"/>
        </w:rPr>
        <w:sectPr w:rsidR="00C754CB" w:rsidSect="00C26282">
          <w:footerReference w:type="even" r:id="rId71"/>
          <w:footerReference w:type="default" r:id="rId72"/>
          <w:pgSz w:w="11907" w:h="16840" w:code="9"/>
          <w:pgMar w:top="1418" w:right="1701" w:bottom="1134" w:left="1843" w:header="284" w:footer="425" w:gutter="284"/>
          <w:cols w:space="720"/>
        </w:sectPr>
      </w:pPr>
      <w:r>
        <w:rPr>
          <w:lang w:eastAsia="en-US"/>
        </w:rPr>
        <w:t>In lieu of reporting against a SOI/SPE, performance has been reported against the Letter of Expectations sent from the Minister of Health, Hon Andrew Little, to the acting Chief Executive in December 2021.</w:t>
      </w:r>
    </w:p>
    <w:p w14:paraId="44E2994C" w14:textId="77777777" w:rsidR="00C754CB" w:rsidRDefault="00C754CB" w:rsidP="00C754CB">
      <w:pPr>
        <w:pStyle w:val="Heading2"/>
        <w:spacing w:before="0"/>
        <w:rPr>
          <w:lang w:eastAsia="en-US"/>
        </w:rPr>
      </w:pPr>
      <w:bookmarkStart w:id="90" w:name="_Toc117264996"/>
      <w:r>
        <w:rPr>
          <w:lang w:eastAsia="en-US"/>
        </w:rPr>
        <w:lastRenderedPageBreak/>
        <w:t>Introduction from the Chief Executive</w:t>
      </w:r>
      <w:bookmarkEnd w:id="90"/>
    </w:p>
    <w:p w14:paraId="4929727F" w14:textId="36AA84A0" w:rsidR="00C754CB" w:rsidRDefault="00C754CB" w:rsidP="00C754CB">
      <w:pPr>
        <w:rPr>
          <w:lang w:eastAsia="en-US"/>
        </w:rPr>
      </w:pPr>
      <w:r>
        <w:rPr>
          <w:lang w:eastAsia="en-US"/>
        </w:rPr>
        <w:t>Te Whatu Ora | Health New Zealand was successfully established on 1 July 2022 and is now the largest Crown Entity in Aotearoa with over 80,000 staff all across the motu. This annual report covers our period as interim Health New Zealand and a departmental agency within the Ministry of Health. The interim entity was</w:t>
      </w:r>
      <w:r w:rsidR="00DC16F0">
        <w:rPr>
          <w:lang w:eastAsia="en-US"/>
        </w:rPr>
        <w:t xml:space="preserve"> </w:t>
      </w:r>
      <w:r>
        <w:rPr>
          <w:lang w:eastAsia="en-US"/>
        </w:rPr>
        <w:t>established to build the foundations for the new organisation and ensure a smooth transition. This was the first step in the Government’s Health Reform programme, which aims to achieve 5 key system shifts:</w:t>
      </w:r>
    </w:p>
    <w:p w14:paraId="561A3F3D" w14:textId="790664DF" w:rsidR="00C754CB" w:rsidRDefault="00C754CB" w:rsidP="00C754CB">
      <w:pPr>
        <w:pStyle w:val="Bullet"/>
        <w:rPr>
          <w:lang w:eastAsia="en-US"/>
        </w:rPr>
      </w:pPr>
      <w:r>
        <w:rPr>
          <w:lang w:eastAsia="en-US"/>
        </w:rPr>
        <w:t>The health system will reinforce Tiriti o Waitangi principles and obligations;</w:t>
      </w:r>
    </w:p>
    <w:p w14:paraId="47F8DD7A" w14:textId="387E74CC" w:rsidR="00C754CB" w:rsidRDefault="00C754CB" w:rsidP="00C754CB">
      <w:pPr>
        <w:pStyle w:val="Bullet"/>
        <w:rPr>
          <w:lang w:eastAsia="en-US"/>
        </w:rPr>
      </w:pPr>
      <w:r>
        <w:rPr>
          <w:lang w:eastAsia="en-US"/>
        </w:rPr>
        <w:t>All people will be able to access a comprehensive range of support in their local area to help them stay well;</w:t>
      </w:r>
    </w:p>
    <w:p w14:paraId="315574C0" w14:textId="2E225652" w:rsidR="00C754CB" w:rsidRDefault="00C754CB" w:rsidP="00C754CB">
      <w:pPr>
        <w:pStyle w:val="Bullet"/>
        <w:rPr>
          <w:lang w:eastAsia="en-US"/>
        </w:rPr>
      </w:pPr>
      <w:r>
        <w:rPr>
          <w:lang w:eastAsia="en-US"/>
        </w:rPr>
        <w:t>When people need emergency or specialist care this will be accessible and high quality for all;</w:t>
      </w:r>
    </w:p>
    <w:p w14:paraId="366CC503" w14:textId="6B9007C9" w:rsidR="00C754CB" w:rsidRDefault="00C754CB" w:rsidP="00C754CB">
      <w:pPr>
        <w:pStyle w:val="Bullet"/>
        <w:rPr>
          <w:lang w:eastAsia="en-US"/>
        </w:rPr>
      </w:pPr>
      <w:r>
        <w:rPr>
          <w:lang w:eastAsia="en-US"/>
        </w:rPr>
        <w:t>Digital services will mean that many more people will get the care they need in their homes and local communities;</w:t>
      </w:r>
    </w:p>
    <w:p w14:paraId="05CEE713" w14:textId="61D6A73F" w:rsidR="00C754CB" w:rsidRDefault="00C754CB" w:rsidP="00C754CB">
      <w:pPr>
        <w:pStyle w:val="Bullet"/>
        <w:rPr>
          <w:lang w:eastAsia="en-US"/>
        </w:rPr>
      </w:pPr>
      <w:r>
        <w:rPr>
          <w:lang w:eastAsia="en-US"/>
        </w:rPr>
        <w:t>Health and care workers will be valued and well trained for the future health system.</w:t>
      </w:r>
    </w:p>
    <w:p w14:paraId="27CC32D1" w14:textId="77777777" w:rsidR="00C754CB" w:rsidRDefault="00C754CB" w:rsidP="00C754CB">
      <w:pPr>
        <w:rPr>
          <w:lang w:eastAsia="en-US"/>
        </w:rPr>
      </w:pPr>
    </w:p>
    <w:p w14:paraId="712DF788" w14:textId="5ED07398" w:rsidR="00C754CB" w:rsidRDefault="00C754CB" w:rsidP="00C754CB">
      <w:pPr>
        <w:rPr>
          <w:lang w:eastAsia="en-US"/>
        </w:rPr>
      </w:pPr>
      <w:r>
        <w:rPr>
          <w:lang w:eastAsia="en-US"/>
        </w:rPr>
        <w:t>When looking back at what we have achieved as interim Health New Zealand in only a matter of months, I feel immensely proud of our work together in preparation for the establishment of our new entity. I would like to thank the members of the interim Health New Zealand Ministerial Committee for their leadership and support over this period. The preparation for 1 July 2022, or ‘Day 1’, involved a wide range of professionals who joined and supported interim Health New Zealand in all areas, especially in establishing our corporate abilities, including amalgamating the budgets for 20 District Health Boards (DHBs) and seven Shared Service Agencies and related subsidiaries, transferring staff from the Ministry of Health and many other achievements. We also laid the foundations for changes to come, with the development of Te Pae Tata | Interim New Zealand Health Plan, establishing expert Taskforces and beginning work on our organisational design.</w:t>
      </w:r>
    </w:p>
    <w:p w14:paraId="7DEF7145" w14:textId="77777777" w:rsidR="00C754CB" w:rsidRDefault="00C754CB" w:rsidP="00C754CB">
      <w:pPr>
        <w:rPr>
          <w:lang w:eastAsia="en-US"/>
        </w:rPr>
      </w:pPr>
    </w:p>
    <w:p w14:paraId="7ECEED6B" w14:textId="633064B4" w:rsidR="00C754CB" w:rsidRDefault="00C754CB" w:rsidP="00C754CB">
      <w:pPr>
        <w:rPr>
          <w:lang w:eastAsia="en-US"/>
        </w:rPr>
      </w:pPr>
      <w:r>
        <w:rPr>
          <w:lang w:eastAsia="en-US"/>
        </w:rPr>
        <w:t>Te Whatu Ora – Health New Zealand, alongside Te Aka Whai Ora – Māori Health Authority, has an ambitious agenda, set by the government, to transform our health system to support all New Zealanders to live longer and have the best possible quality of life. Central to our ambitions is achieving equity of access and outcomes for priority populations who have not been well-served in the previous system, including Māori, Pacific and people living with disabilities. Our establishment during our time as interim Health New Zealand paved the way for success in the next steps in our transition and transformation journey and was a true collaboration of a ‘team of teams’.</w:t>
      </w:r>
    </w:p>
    <w:p w14:paraId="52943038" w14:textId="77777777" w:rsidR="00C754CB" w:rsidRDefault="00C754CB" w:rsidP="00C754CB">
      <w:pPr>
        <w:rPr>
          <w:lang w:eastAsia="en-US"/>
        </w:rPr>
      </w:pPr>
    </w:p>
    <w:p w14:paraId="637713E9" w14:textId="77777777" w:rsidR="00C754CB" w:rsidRDefault="00C754CB" w:rsidP="00C754CB">
      <w:pPr>
        <w:rPr>
          <w:lang w:eastAsia="en-US"/>
        </w:rPr>
      </w:pPr>
      <w:r>
        <w:rPr>
          <w:lang w:eastAsia="en-US"/>
        </w:rPr>
        <w:t>Fepulea’i Margie Apa</w:t>
      </w:r>
    </w:p>
    <w:p w14:paraId="3944876E" w14:textId="77777777" w:rsidR="000E4B0D" w:rsidRDefault="00C754CB" w:rsidP="00C754CB">
      <w:pPr>
        <w:rPr>
          <w:b/>
          <w:bCs/>
          <w:lang w:eastAsia="en-US"/>
        </w:rPr>
        <w:sectPr w:rsidR="000E4B0D" w:rsidSect="00C26282">
          <w:footerReference w:type="even" r:id="rId73"/>
          <w:pgSz w:w="11907" w:h="16840" w:code="9"/>
          <w:pgMar w:top="1418" w:right="1701" w:bottom="1134" w:left="1843" w:header="284" w:footer="425" w:gutter="284"/>
          <w:cols w:space="720"/>
        </w:sectPr>
      </w:pPr>
      <w:r w:rsidRPr="000E4B0D">
        <w:rPr>
          <w:b/>
          <w:bCs/>
          <w:lang w:eastAsia="en-US"/>
        </w:rPr>
        <w:t>Chief Executive, Te Whatu Ora | Health New Zealand</w:t>
      </w:r>
    </w:p>
    <w:p w14:paraId="6D98F448" w14:textId="77777777" w:rsidR="000E4B0D" w:rsidRDefault="000E4B0D" w:rsidP="000E4B0D">
      <w:pPr>
        <w:pStyle w:val="Heading2"/>
        <w:spacing w:before="0"/>
        <w:rPr>
          <w:lang w:eastAsia="en-US"/>
        </w:rPr>
      </w:pPr>
      <w:bookmarkStart w:id="91" w:name="_Toc117264997"/>
      <w:r>
        <w:rPr>
          <w:lang w:eastAsia="en-US"/>
        </w:rPr>
        <w:lastRenderedPageBreak/>
        <w:t>Who we are and our role</w:t>
      </w:r>
      <w:bookmarkEnd w:id="91"/>
    </w:p>
    <w:p w14:paraId="64B2F753" w14:textId="266F8204" w:rsidR="000E4B0D" w:rsidRDefault="000E4B0D" w:rsidP="000E4B0D">
      <w:pPr>
        <w:rPr>
          <w:lang w:eastAsia="en-US"/>
        </w:rPr>
      </w:pPr>
      <w:r>
        <w:rPr>
          <w:lang w:eastAsia="en-US"/>
        </w:rPr>
        <w:t>After the announcement of the health reforms, the Health and Disability Review Transition Unit (Transition Unit) was established by Cabinet in September 2020 following consideration of the Health and Disability System Review / Hauora Manaaki Ki Aotearoa Whānui (the Review). The Transition Unit led the response to the Review, including developing the policy response and design of the system operating model, and providing advice on the establishment of new entities and legislative change.</w:t>
      </w:r>
    </w:p>
    <w:p w14:paraId="1EDBA0B5" w14:textId="77777777" w:rsidR="000E4B0D" w:rsidRDefault="000E4B0D" w:rsidP="000E4B0D">
      <w:pPr>
        <w:rPr>
          <w:lang w:eastAsia="en-US"/>
        </w:rPr>
      </w:pPr>
    </w:p>
    <w:p w14:paraId="32E59E98" w14:textId="3E969400" w:rsidR="000E4B0D" w:rsidRDefault="000E4B0D" w:rsidP="000E4B0D">
      <w:pPr>
        <w:rPr>
          <w:lang w:eastAsia="en-US"/>
        </w:rPr>
      </w:pPr>
      <w:r>
        <w:rPr>
          <w:lang w:eastAsia="en-US"/>
        </w:rPr>
        <w:t>Interim Health New Zealand was established in September 2021 as a Departmental Agency in the Ministry of Health to act as a precursor to the full Te Whatu Ora - Health New Zealand Crown Entity. This entailed taking on progressive responsibilities in the lead up to 1 July 2022 and beginning the design and set up of the organisation to ensure that it was equipped to fulfil the full role of Health New Zealand as of 1 July (an entity with over 80,000 employees and responsible for nearly $20 billion of operating expenditure and $24 billion of assets).</w:t>
      </w:r>
    </w:p>
    <w:p w14:paraId="31B89FF0" w14:textId="77777777" w:rsidR="000E4B0D" w:rsidRDefault="000E4B0D" w:rsidP="000E4B0D">
      <w:pPr>
        <w:rPr>
          <w:lang w:eastAsia="en-US"/>
        </w:rPr>
      </w:pPr>
    </w:p>
    <w:p w14:paraId="2E020782" w14:textId="77777777" w:rsidR="000E4B0D" w:rsidRDefault="000E4B0D" w:rsidP="000E4B0D">
      <w:pPr>
        <w:rPr>
          <w:lang w:eastAsia="en-US"/>
        </w:rPr>
      </w:pPr>
      <w:r>
        <w:rPr>
          <w:lang w:eastAsia="en-US"/>
        </w:rPr>
        <w:t>At the same time, the interim Māori Health Authority was also established. The two entities have been working and will continue to work in close partnership to achieve the goals set out by the government and legislated in the Pae Ora (Healthy Futures) Act 2022.</w:t>
      </w:r>
    </w:p>
    <w:p w14:paraId="1EE6DB59" w14:textId="77777777" w:rsidR="000E4B0D" w:rsidRDefault="000E4B0D" w:rsidP="000E4B0D">
      <w:pPr>
        <w:pStyle w:val="Heading3"/>
        <w:rPr>
          <w:lang w:eastAsia="en-US"/>
        </w:rPr>
      </w:pPr>
      <w:bookmarkStart w:id="92" w:name="_Toc117264998"/>
      <w:r>
        <w:rPr>
          <w:lang w:eastAsia="en-US"/>
        </w:rPr>
        <w:t>Vision</w:t>
      </w:r>
      <w:bookmarkEnd w:id="92"/>
    </w:p>
    <w:p w14:paraId="1979A5FF" w14:textId="77777777" w:rsidR="000E4B0D" w:rsidRDefault="000E4B0D" w:rsidP="000E4B0D">
      <w:pPr>
        <w:rPr>
          <w:lang w:eastAsia="en-US"/>
        </w:rPr>
      </w:pPr>
      <w:r>
        <w:rPr>
          <w:lang w:eastAsia="en-US"/>
        </w:rPr>
        <w:t>The health reforms, as enabled by the Pae Ora legislation, are intended to achieve</w:t>
      </w:r>
    </w:p>
    <w:p w14:paraId="40031368" w14:textId="59037733" w:rsidR="000E4B0D" w:rsidRDefault="000E4B0D" w:rsidP="000E4B0D">
      <w:pPr>
        <w:rPr>
          <w:lang w:eastAsia="en-US"/>
        </w:rPr>
      </w:pPr>
      <w:r>
        <w:rPr>
          <w:lang w:eastAsia="en-US"/>
        </w:rPr>
        <w:t>a fundamental change in how our health system delivers care to New Zealanders. Interim Health New Zealand played a critical role in that change – both in guiding the transition to our future health system and in taking over leadership of a growing proportion of the system in the lead up to 1 July 2022. In summary, the reforms involve the following changes:</w:t>
      </w:r>
    </w:p>
    <w:p w14:paraId="5F6FB9EF" w14:textId="0187BB63" w:rsidR="000E4B0D" w:rsidRDefault="000E4B0D" w:rsidP="000E4B0D">
      <w:pPr>
        <w:pStyle w:val="Bullet"/>
        <w:rPr>
          <w:lang w:eastAsia="en-US"/>
        </w:rPr>
      </w:pPr>
      <w:r>
        <w:rPr>
          <w:lang w:eastAsia="en-US"/>
        </w:rPr>
        <w:t>DHBs consolidated into a single entity – Health New Zealand, later named Te Whatu Ora, which will be responsible for the day to day running of our health system;</w:t>
      </w:r>
    </w:p>
    <w:p w14:paraId="5C3CF9BD" w14:textId="79BEC595" w:rsidR="000E4B0D" w:rsidRDefault="000E4B0D" w:rsidP="000E4B0D">
      <w:pPr>
        <w:pStyle w:val="Bullet"/>
        <w:rPr>
          <w:lang w:eastAsia="en-US"/>
        </w:rPr>
      </w:pPr>
      <w:r>
        <w:rPr>
          <w:lang w:eastAsia="en-US"/>
        </w:rPr>
        <w:t>A new Māori Health Authority (later named Ta Aka Whai Ora) will ensure our health system delivers improved outcomes for Māori, and will directly commission tailored and innovative health services for Māori;</w:t>
      </w:r>
    </w:p>
    <w:p w14:paraId="2A45A16D" w14:textId="1B1D082F" w:rsidR="000E4B0D" w:rsidRDefault="000E4B0D" w:rsidP="000E4B0D">
      <w:pPr>
        <w:pStyle w:val="Bullet"/>
        <w:rPr>
          <w:lang w:eastAsia="en-US"/>
        </w:rPr>
      </w:pPr>
      <w:r>
        <w:rPr>
          <w:lang w:eastAsia="en-US"/>
        </w:rPr>
        <w:t>A new Public Health Agency within the Ministry of Health and a strengthened national public health service within Health New Zealand will embed a focus on population health, wellbeing and prevention while ensuring we are always ready to respond to public health threats; and</w:t>
      </w:r>
    </w:p>
    <w:p w14:paraId="7EF5707B" w14:textId="79BE4941" w:rsidR="000E4B0D" w:rsidRDefault="000E4B0D" w:rsidP="000E4B0D">
      <w:pPr>
        <w:pStyle w:val="Bullet"/>
        <w:rPr>
          <w:lang w:eastAsia="en-US"/>
        </w:rPr>
      </w:pPr>
      <w:r>
        <w:rPr>
          <w:lang w:eastAsia="en-US"/>
        </w:rPr>
        <w:t>Hospital and Specialist Services will be managed as national and regional networks, while primary and community-based care will be commissioned on a locality basis.</w:t>
      </w:r>
    </w:p>
    <w:p w14:paraId="58C6C055" w14:textId="77777777" w:rsidR="000E4B0D" w:rsidRDefault="000E4B0D" w:rsidP="000E4B0D">
      <w:pPr>
        <w:rPr>
          <w:lang w:eastAsia="en-US"/>
        </w:rPr>
      </w:pPr>
    </w:p>
    <w:p w14:paraId="28E912E6" w14:textId="140D2EBD" w:rsidR="000E4B0D" w:rsidRDefault="000E4B0D" w:rsidP="000E4B0D">
      <w:pPr>
        <w:rPr>
          <w:lang w:eastAsia="en-US"/>
        </w:rPr>
      </w:pPr>
      <w:r>
        <w:rPr>
          <w:lang w:eastAsia="en-US"/>
        </w:rPr>
        <w:t>Through these reforms, the Government aims to achieve the following five system shifts:</w:t>
      </w:r>
    </w:p>
    <w:p w14:paraId="1086D0E8" w14:textId="6F48453B" w:rsidR="000E4B0D" w:rsidRDefault="000E4B0D" w:rsidP="000E4B0D">
      <w:pPr>
        <w:pStyle w:val="Bullet"/>
        <w:rPr>
          <w:lang w:eastAsia="en-US"/>
        </w:rPr>
      </w:pPr>
      <w:r>
        <w:rPr>
          <w:lang w:eastAsia="en-US"/>
        </w:rPr>
        <w:t>The health system will reinforce Tiriti o Waitangi principles and obligations;</w:t>
      </w:r>
    </w:p>
    <w:p w14:paraId="1F091579" w14:textId="615518EF" w:rsidR="000E4B0D" w:rsidRDefault="000E4B0D" w:rsidP="000E4B0D">
      <w:pPr>
        <w:pStyle w:val="Bullet"/>
        <w:rPr>
          <w:lang w:eastAsia="en-US"/>
        </w:rPr>
      </w:pPr>
      <w:r>
        <w:rPr>
          <w:lang w:eastAsia="en-US"/>
        </w:rPr>
        <w:t>All people will be able to access a comprehensive range of support in their local area to help them stay well;</w:t>
      </w:r>
    </w:p>
    <w:p w14:paraId="3A89777C" w14:textId="5ED0E050" w:rsidR="000E4B0D" w:rsidRDefault="000E4B0D" w:rsidP="000E4B0D">
      <w:pPr>
        <w:pStyle w:val="Bullet"/>
        <w:rPr>
          <w:lang w:eastAsia="en-US"/>
        </w:rPr>
      </w:pPr>
      <w:r>
        <w:rPr>
          <w:lang w:eastAsia="en-US"/>
        </w:rPr>
        <w:lastRenderedPageBreak/>
        <w:t>When people need emergency or specialist care this will be accessible and high quality for all;</w:t>
      </w:r>
    </w:p>
    <w:p w14:paraId="46B9902F" w14:textId="6B41E31D" w:rsidR="000E4B0D" w:rsidRDefault="000E4B0D" w:rsidP="000E4B0D">
      <w:pPr>
        <w:pStyle w:val="Bullet"/>
        <w:rPr>
          <w:lang w:eastAsia="en-US"/>
        </w:rPr>
      </w:pPr>
      <w:r>
        <w:rPr>
          <w:lang w:eastAsia="en-US"/>
        </w:rPr>
        <w:t>Digital services will mean that many more people will get the care they need in their homes and local communities;</w:t>
      </w:r>
    </w:p>
    <w:p w14:paraId="5F0CA69B" w14:textId="3B3BF6EB" w:rsidR="000E4B0D" w:rsidRDefault="000E4B0D" w:rsidP="000E4B0D">
      <w:pPr>
        <w:pStyle w:val="Bullet"/>
        <w:rPr>
          <w:lang w:eastAsia="en-US"/>
        </w:rPr>
      </w:pPr>
      <w:r>
        <w:rPr>
          <w:lang w:eastAsia="en-US"/>
        </w:rPr>
        <w:t>Health and care workers will be valued and well trained for the future health system.</w:t>
      </w:r>
    </w:p>
    <w:p w14:paraId="6E4A81B8" w14:textId="77777777" w:rsidR="000E4B0D" w:rsidRDefault="000E4B0D" w:rsidP="000E4B0D">
      <w:pPr>
        <w:rPr>
          <w:lang w:eastAsia="en-US"/>
        </w:rPr>
      </w:pPr>
    </w:p>
    <w:p w14:paraId="03606F7D" w14:textId="067C6C11" w:rsidR="000E4B0D" w:rsidRDefault="000E4B0D" w:rsidP="000E4B0D">
      <w:pPr>
        <w:rPr>
          <w:lang w:eastAsia="en-US"/>
        </w:rPr>
      </w:pPr>
      <w:r>
        <w:rPr>
          <w:lang w:eastAsia="en-US"/>
        </w:rPr>
        <w:t>Interim Health New Zealand was responsible for designing the system and processes to support the establishment of Te Whatu Ora, which included development of an interim New Zealand Health Plan with the interim Māori Health Authority setting out how the system will achieve these shifts.</w:t>
      </w:r>
    </w:p>
    <w:p w14:paraId="25A1C675" w14:textId="77777777" w:rsidR="000E4B0D" w:rsidRDefault="000E4B0D" w:rsidP="000E4B0D">
      <w:pPr>
        <w:pStyle w:val="Heading3"/>
        <w:rPr>
          <w:lang w:eastAsia="en-US"/>
        </w:rPr>
      </w:pPr>
      <w:bookmarkStart w:id="93" w:name="_Toc117264999"/>
      <w:r>
        <w:rPr>
          <w:lang w:eastAsia="en-US"/>
        </w:rPr>
        <w:t>Our people</w:t>
      </w:r>
      <w:bookmarkEnd w:id="93"/>
    </w:p>
    <w:p w14:paraId="2C1E9A70" w14:textId="547A6F36" w:rsidR="000E4B0D" w:rsidRDefault="000E4B0D" w:rsidP="000E4B0D">
      <w:pPr>
        <w:rPr>
          <w:lang w:eastAsia="en-US"/>
        </w:rPr>
      </w:pPr>
      <w:r>
        <w:rPr>
          <w:lang w:eastAsia="en-US"/>
        </w:rPr>
        <w:t>By 30 June 2022, we had directly employed 172.9 full-time equivalent (FTE) staff. During quarter two and quarter three of the 2021/22 financial year, interim Health</w:t>
      </w:r>
    </w:p>
    <w:p w14:paraId="2D177967" w14:textId="77777777" w:rsidR="000E4B0D" w:rsidRDefault="000E4B0D" w:rsidP="000E4B0D">
      <w:pPr>
        <w:rPr>
          <w:lang w:eastAsia="en-US"/>
        </w:rPr>
      </w:pPr>
      <w:r>
        <w:rPr>
          <w:lang w:eastAsia="en-US"/>
        </w:rPr>
        <w:t>New Zealand began to take on operational functions from the Ministry of Health. By</w:t>
      </w:r>
    </w:p>
    <w:p w14:paraId="78993F87" w14:textId="77777777" w:rsidR="000E4B0D" w:rsidRDefault="000E4B0D" w:rsidP="000E4B0D">
      <w:pPr>
        <w:rPr>
          <w:lang w:eastAsia="en-US"/>
        </w:rPr>
      </w:pPr>
      <w:r>
        <w:rPr>
          <w:lang w:eastAsia="en-US"/>
        </w:rPr>
        <w:t>30 June, 2,554.81 FTE (including vacancies) had been transferred from the Ministry of Health to interim Health New Zealand. As staff were transferred, interim Health New Zealand took on formal accountability for those operational functions.</w:t>
      </w:r>
    </w:p>
    <w:p w14:paraId="2A271974" w14:textId="77777777" w:rsidR="000E4B0D" w:rsidRDefault="000E4B0D" w:rsidP="000E4B0D">
      <w:pPr>
        <w:pStyle w:val="Heading3"/>
        <w:rPr>
          <w:lang w:eastAsia="en-US"/>
        </w:rPr>
      </w:pPr>
      <w:bookmarkStart w:id="94" w:name="_Toc117265000"/>
      <w:r>
        <w:rPr>
          <w:lang w:eastAsia="en-US"/>
        </w:rPr>
        <w:t>Policies and processes</w:t>
      </w:r>
      <w:bookmarkEnd w:id="94"/>
    </w:p>
    <w:p w14:paraId="35B167BF" w14:textId="3F884F4E" w:rsidR="000E4B0D" w:rsidRDefault="000E4B0D" w:rsidP="000E4B0D">
      <w:pPr>
        <w:rPr>
          <w:lang w:eastAsia="en-US"/>
        </w:rPr>
      </w:pPr>
      <w:r>
        <w:rPr>
          <w:lang w:eastAsia="en-US"/>
        </w:rPr>
        <w:t>During our time as interim Health New Zealand and a departmental agency, we generally adopted the policies and processes of our host agency, the Ministry of Health, including corporate policies. Interim Health New Zealand created a suite of corporate policies in preparation for Day 1, which were enacted from 1 July to apply to Te Whatu Ora | Health New Zealand.</w:t>
      </w:r>
    </w:p>
    <w:p w14:paraId="71E5D1B7" w14:textId="77777777" w:rsidR="000E4B0D" w:rsidRDefault="000E4B0D" w:rsidP="000E4B0D">
      <w:pPr>
        <w:pStyle w:val="Heading3"/>
        <w:rPr>
          <w:lang w:eastAsia="en-US"/>
        </w:rPr>
      </w:pPr>
      <w:bookmarkStart w:id="95" w:name="_Toc117265001"/>
      <w:r>
        <w:rPr>
          <w:lang w:eastAsia="en-US"/>
        </w:rPr>
        <w:t>What we have achieved</w:t>
      </w:r>
      <w:bookmarkEnd w:id="95"/>
    </w:p>
    <w:p w14:paraId="4F277E85" w14:textId="31680299" w:rsidR="000E4B0D" w:rsidRDefault="000E4B0D" w:rsidP="000E4B0D">
      <w:pPr>
        <w:rPr>
          <w:lang w:eastAsia="en-US"/>
        </w:rPr>
      </w:pPr>
      <w:r>
        <w:rPr>
          <w:lang w:eastAsia="en-US"/>
        </w:rPr>
        <w:t>In the months prior to Day 1, interim Health New Zealand focused on activity to establish itself in anticipation of a successful transition of functions from existing entities on 1 July. We also began to take on wider responsibilities over time as functions and staff transferred from the Ministry of Health, as well as progress priority pieces of work such as drafting the interim New Zealand Health Plan.</w:t>
      </w:r>
    </w:p>
    <w:p w14:paraId="7E387E32" w14:textId="77777777" w:rsidR="000E4B0D" w:rsidRDefault="000E4B0D" w:rsidP="000E4B0D">
      <w:pPr>
        <w:rPr>
          <w:lang w:eastAsia="en-US"/>
        </w:rPr>
      </w:pPr>
    </w:p>
    <w:p w14:paraId="392D95CD" w14:textId="77777777" w:rsidR="000E4B0D" w:rsidRDefault="000E4B0D" w:rsidP="000E4B0D">
      <w:pPr>
        <w:rPr>
          <w:lang w:eastAsia="en-US"/>
        </w:rPr>
      </w:pPr>
      <w:r>
        <w:rPr>
          <w:lang w:eastAsia="en-US"/>
        </w:rPr>
        <w:t>This report provides an overview of interim Health New Zealand’s activities and performance against the Minister’s Letter of Expectations and Vote Health Appropriations.</w:t>
      </w:r>
    </w:p>
    <w:p w14:paraId="24D8A766" w14:textId="77777777" w:rsidR="000E4B0D" w:rsidRDefault="000E4B0D" w:rsidP="000E4B0D">
      <w:pPr>
        <w:pStyle w:val="Heading3"/>
        <w:rPr>
          <w:lang w:eastAsia="en-US"/>
        </w:rPr>
      </w:pPr>
      <w:bookmarkStart w:id="96" w:name="_Toc117265002"/>
      <w:r>
        <w:rPr>
          <w:lang w:eastAsia="en-US"/>
        </w:rPr>
        <w:t>Accountability and oversight</w:t>
      </w:r>
      <w:bookmarkEnd w:id="96"/>
    </w:p>
    <w:p w14:paraId="269ACA4D" w14:textId="584E4377" w:rsidR="000E4B0D" w:rsidRDefault="000E4B0D" w:rsidP="000E4B0D">
      <w:pPr>
        <w:rPr>
          <w:lang w:eastAsia="en-US"/>
        </w:rPr>
      </w:pPr>
      <w:r>
        <w:rPr>
          <w:lang w:eastAsia="en-US"/>
        </w:rPr>
        <w:t xml:space="preserve">A Ministerial committee was established under Section 11 of the New Zealand Health and Disability Act 2000 to provide advice on the delivery of interim Health New Zealand’s functions and workplan. The committee consisted of a Chair and six members, and a member from the interim Māori Health Authority Ministerial </w:t>
      </w:r>
      <w:r>
        <w:rPr>
          <w:lang w:eastAsia="en-US"/>
        </w:rPr>
        <w:lastRenderedPageBreak/>
        <w:t>committee. This committee was established to act in the same way as a Board of a Crown Entity.</w:t>
      </w:r>
    </w:p>
    <w:p w14:paraId="4D7F1D72" w14:textId="77777777" w:rsidR="000E4B0D" w:rsidRDefault="000E4B0D" w:rsidP="000E4B0D">
      <w:pPr>
        <w:rPr>
          <w:lang w:eastAsia="en-US"/>
        </w:rPr>
      </w:pPr>
    </w:p>
    <w:p w14:paraId="59096BEC" w14:textId="743E2936" w:rsidR="000E4B0D" w:rsidRDefault="000E4B0D" w:rsidP="000E4B0D">
      <w:pPr>
        <w:rPr>
          <w:lang w:eastAsia="en-US"/>
        </w:rPr>
      </w:pPr>
      <w:r>
        <w:rPr>
          <w:lang w:eastAsia="en-US"/>
        </w:rPr>
        <w:t>The committee provided governance oversight and direction during 2021/22. Joint working groups were established with the interim Māori Health Authority committee to produce interim governance products but also in anticipation of formal governance roles post 1 July 2022. They also provided an opportunity for a shared governance perspective and setting the tone for an on-going collaborative relationship between Te Whatu Ora and Te Aka Whai Ora.</w:t>
      </w:r>
    </w:p>
    <w:p w14:paraId="0FBFFC86" w14:textId="77777777" w:rsidR="000E4B0D" w:rsidRDefault="000E4B0D" w:rsidP="000E4B0D">
      <w:pPr>
        <w:rPr>
          <w:lang w:eastAsia="en-US"/>
        </w:rPr>
      </w:pPr>
    </w:p>
    <w:p w14:paraId="11516327" w14:textId="4174705A" w:rsidR="000E4B0D" w:rsidRDefault="000E4B0D" w:rsidP="000E4B0D">
      <w:pPr>
        <w:rPr>
          <w:lang w:eastAsia="en-US"/>
        </w:rPr>
      </w:pPr>
      <w:r>
        <w:rPr>
          <w:lang w:eastAsia="en-US"/>
        </w:rPr>
        <w:t>An interim Health New Zealand work programme was developed which included all required elements and workstreams to  ensure  preparedness for Day 1. Assurance reporting against this work programme was provided regularly to the advisory committee. Weekly assurance reporting on progress against the workplan was provided to the Minister of Health by the Transition Unit. Weekly meetings between interim Health New Zealand and interim Māori Health Authority Chairs and Chief Executives and the Minister were also established to ensure any issues and risks were escalated and addressed. In September 2021, a Transition Programme Assurance Group was established by the Director of the Transition Unit after consultation with the Chief Executive of the Department of the Prime Minister and Cabinet, to provide independent advice on the implementation and transition risks of the reform programme. This group met monthly, received regular assurance reporting and provided implementation and programme advice.</w:t>
      </w:r>
    </w:p>
    <w:p w14:paraId="4F7CCBC7" w14:textId="77777777" w:rsidR="000E4B0D" w:rsidRDefault="000E4B0D" w:rsidP="000E4B0D">
      <w:pPr>
        <w:rPr>
          <w:lang w:eastAsia="en-US"/>
        </w:rPr>
      </w:pPr>
    </w:p>
    <w:p w14:paraId="61F3054B" w14:textId="5DA70ED3" w:rsidR="000E4B0D" w:rsidRDefault="000E4B0D" w:rsidP="000E4B0D">
      <w:pPr>
        <w:rPr>
          <w:lang w:eastAsia="en-US"/>
        </w:rPr>
      </w:pPr>
      <w:r>
        <w:rPr>
          <w:lang w:eastAsia="en-US"/>
        </w:rPr>
        <w:t>Following the appointment of the Chief Executives of interim Health New Zealand and interim Māori Health Authority, fortnightly Transitional Joint Leadership Group Meetings between the Chief Executives of those entities, the Director-General of the Ministry of Health and the Chief Executive of the Transition Unit provided further oversight and assurance activities to ensure Day 1 preparedness.</w:t>
      </w:r>
    </w:p>
    <w:p w14:paraId="431EF5F2" w14:textId="77777777" w:rsidR="000E4B0D" w:rsidRDefault="000E4B0D" w:rsidP="000E4B0D">
      <w:pPr>
        <w:pStyle w:val="Heading3"/>
        <w:rPr>
          <w:lang w:eastAsia="en-US"/>
        </w:rPr>
      </w:pPr>
      <w:bookmarkStart w:id="97" w:name="_Toc117265003"/>
      <w:r>
        <w:rPr>
          <w:lang w:eastAsia="en-US"/>
        </w:rPr>
        <w:t>Strategic approach to interim Health New Zealand’s functions</w:t>
      </w:r>
      <w:bookmarkEnd w:id="97"/>
    </w:p>
    <w:p w14:paraId="15CE2DBE" w14:textId="77777777" w:rsidR="000E4B0D" w:rsidRDefault="000E4B0D" w:rsidP="000E4B0D">
      <w:pPr>
        <w:rPr>
          <w:lang w:eastAsia="en-US"/>
        </w:rPr>
      </w:pPr>
      <w:r>
        <w:rPr>
          <w:lang w:eastAsia="en-US"/>
        </w:rPr>
        <w:t>The key documents which outline our strategic approach post Day 1 are: Te Pae Tata (Interim NZ Health Plan), Te Mauri o Rongo (Health Charter), and a</w:t>
      </w:r>
    </w:p>
    <w:p w14:paraId="21BD89EC" w14:textId="77777777" w:rsidR="000E4B0D" w:rsidRDefault="000E4B0D" w:rsidP="000E4B0D">
      <w:pPr>
        <w:rPr>
          <w:lang w:eastAsia="en-US"/>
        </w:rPr>
      </w:pPr>
      <w:r>
        <w:rPr>
          <w:lang w:eastAsia="en-US"/>
        </w:rPr>
        <w:t>Memorandum of Understanding between Te Whatu Ora and Te Aka Whai Ora.</w:t>
      </w:r>
    </w:p>
    <w:p w14:paraId="7F60E98A" w14:textId="6CF09409" w:rsidR="000E4B0D" w:rsidRDefault="000E4B0D" w:rsidP="000E4B0D">
      <w:pPr>
        <w:rPr>
          <w:lang w:eastAsia="en-US"/>
        </w:rPr>
      </w:pPr>
      <w:r>
        <w:rPr>
          <w:lang w:eastAsia="en-US"/>
        </w:rPr>
        <w:t>Interim Health New Zealand initiated the development of these documents in preparation for the establishment of Te Whatu Ora and Te Aka Whai Ora.</w:t>
      </w:r>
    </w:p>
    <w:p w14:paraId="646BFFE0" w14:textId="77777777" w:rsidR="000E4B0D" w:rsidRDefault="000E4B0D" w:rsidP="000E4B0D">
      <w:pPr>
        <w:rPr>
          <w:lang w:eastAsia="en-US"/>
        </w:rPr>
      </w:pPr>
    </w:p>
    <w:p w14:paraId="346BF7FC" w14:textId="40371EB5" w:rsidR="000E4B0D" w:rsidRDefault="000E4B0D" w:rsidP="000E4B0D">
      <w:pPr>
        <w:rPr>
          <w:lang w:eastAsia="en-US"/>
        </w:rPr>
      </w:pPr>
      <w:r>
        <w:rPr>
          <w:lang w:eastAsia="en-US"/>
        </w:rPr>
        <w:t>Interim Health New Zealand and the interim Māori Health Authority worked closely together since our establishment in September 2021, laying the foundation for how the entities can work together as Te Whatu Ora and Te Aka Whai Ora. Alongside joint advisory committee activities, a collaborative approach has been taken to developing key documents such as the interim NZ Health Plan to ensure that the plan focuses on embedding Te Tiriti and achieving equity.</w:t>
      </w:r>
    </w:p>
    <w:p w14:paraId="1DA1D362" w14:textId="77777777" w:rsidR="000E4B0D" w:rsidRDefault="000E4B0D" w:rsidP="000E4B0D">
      <w:pPr>
        <w:rPr>
          <w:lang w:eastAsia="en-US"/>
        </w:rPr>
      </w:pPr>
    </w:p>
    <w:p w14:paraId="2D155ADC" w14:textId="2F92E70A" w:rsidR="000E4B0D" w:rsidRDefault="000E4B0D" w:rsidP="000E4B0D">
      <w:pPr>
        <w:rPr>
          <w:lang w:eastAsia="en-US"/>
        </w:rPr>
      </w:pPr>
      <w:r>
        <w:rPr>
          <w:lang w:eastAsia="en-US"/>
        </w:rPr>
        <w:t xml:space="preserve">We have engaged with the interim Māori Health Authority across all of our major programmes of work as interim Health New Zealand, including representation and collaboration on the Taskforces (Planned Care, Immunisation and Workforce), </w:t>
      </w:r>
      <w:r>
        <w:rPr>
          <w:lang w:eastAsia="en-US"/>
        </w:rPr>
        <w:lastRenderedPageBreak/>
        <w:t>organisational design, and sharing and collaborating on many organisational policies and procedures to ensure alignment. The two entities shared offices, and do so as Te Whatu Ora and Te Aka Whai Ora, ensuring a culture of collaboration continues as we move through the next stages of change. A Memorandum of Understanding has been signed between Te Whatu Ora and Te Aka Whai Ora based on principles of partnership, transparency, honesty and collaboration in all aspects of our working relationship.</w:t>
      </w:r>
    </w:p>
    <w:p w14:paraId="274B7B5F" w14:textId="77777777" w:rsidR="000E4B0D" w:rsidRDefault="000E4B0D" w:rsidP="000E4B0D">
      <w:pPr>
        <w:pStyle w:val="Heading3"/>
        <w:rPr>
          <w:lang w:eastAsia="en-US"/>
        </w:rPr>
      </w:pPr>
      <w:bookmarkStart w:id="98" w:name="_Toc117265004"/>
      <w:r>
        <w:rPr>
          <w:lang w:eastAsia="en-US"/>
        </w:rPr>
        <w:t>Key expectations and deliverables</w:t>
      </w:r>
      <w:bookmarkEnd w:id="98"/>
    </w:p>
    <w:p w14:paraId="11F26BDA" w14:textId="77777777" w:rsidR="000E4B0D" w:rsidRPr="000E4B0D" w:rsidRDefault="000E4B0D" w:rsidP="000E4B0D">
      <w:pPr>
        <w:pStyle w:val="Heading6"/>
        <w:ind w:left="0" w:firstLine="0"/>
      </w:pPr>
      <w:r w:rsidRPr="000E4B0D">
        <w:t>New Zealanders do not experience disruption to the services they receive and the workforce experiences minimum disruption</w:t>
      </w:r>
    </w:p>
    <w:p w14:paraId="5022505F" w14:textId="1A585344" w:rsidR="000E4B0D" w:rsidRDefault="000E4B0D" w:rsidP="000E4B0D">
      <w:pPr>
        <w:rPr>
          <w:lang w:eastAsia="en-US"/>
        </w:rPr>
      </w:pPr>
      <w:r>
        <w:rPr>
          <w:lang w:eastAsia="en-US"/>
        </w:rPr>
        <w:t>On 1 July 2022 – Day 1, Te Whatu Ora | Health New Zealand assumed the assets, liabilities and roles of previous DHBs, and became primarily responsible for the day to day running of Aotearoa’s Health System. Significant preparation was undertaken by interim Health New Zealand, in collaboration with our partners in the interim Māori Health Authority, Transition Unit, Ministry of Health and DHBs in the  months prior to 1 July 2022 to ensure that this transition was smooth and successful.</w:t>
      </w:r>
    </w:p>
    <w:p w14:paraId="15CB399F" w14:textId="77777777" w:rsidR="000E4B0D" w:rsidRDefault="000E4B0D" w:rsidP="000E4B0D">
      <w:pPr>
        <w:rPr>
          <w:lang w:eastAsia="en-US"/>
        </w:rPr>
      </w:pPr>
    </w:p>
    <w:p w14:paraId="6CCB131C" w14:textId="46C6B8FE" w:rsidR="000E4B0D" w:rsidRDefault="000E4B0D" w:rsidP="000E4B0D">
      <w:pPr>
        <w:rPr>
          <w:lang w:eastAsia="en-US"/>
        </w:rPr>
      </w:pPr>
      <w:r>
        <w:rPr>
          <w:lang w:eastAsia="en-US"/>
        </w:rPr>
        <w:t>A key focus of the preparations for Day 1 was risk mitigation and ensuring that New Zealanders did not experience a disruption to the services they receive from the health service. Mitigation plans for risk areas for Day 1 were put in place. Prior to 1 July, interim Health New Zealand communicated clearly to communities that people should continue to seek and receive treatment in the same way they have always done, and that services would continue as normal, which they did from 1 July 2022.</w:t>
      </w:r>
    </w:p>
    <w:p w14:paraId="1B011476" w14:textId="77777777" w:rsidR="000E4B0D" w:rsidRDefault="000E4B0D" w:rsidP="000E4B0D">
      <w:pPr>
        <w:rPr>
          <w:lang w:eastAsia="en-US"/>
        </w:rPr>
      </w:pPr>
    </w:p>
    <w:p w14:paraId="60CCED7B" w14:textId="1B921F8E" w:rsidR="000E4B0D" w:rsidRDefault="000E4B0D" w:rsidP="000E4B0D">
      <w:pPr>
        <w:rPr>
          <w:lang w:eastAsia="en-US"/>
        </w:rPr>
      </w:pPr>
      <w:r>
        <w:rPr>
          <w:lang w:eastAsia="en-US"/>
        </w:rPr>
        <w:t>There was extensive engagement at the front line with stakeholder groups and staff. The Chief Executives of interim Health New Zealand and the interim Māori Health Authority engaged with the workforce and the sector to explain the change and what it meant. The Chair of the Ministerial Committee connected with key stakeholder groups, and the Transition Unit led discussions to understand culture as input to the Health Charter. Communication is a continuing focus post 1 July 2022 to ensure everyone understands the background to reform.</w:t>
      </w:r>
    </w:p>
    <w:p w14:paraId="22750D65" w14:textId="77777777" w:rsidR="000E4B0D" w:rsidRDefault="000E4B0D" w:rsidP="000E4B0D">
      <w:pPr>
        <w:rPr>
          <w:lang w:eastAsia="en-US"/>
        </w:rPr>
      </w:pPr>
    </w:p>
    <w:p w14:paraId="30BF63CF" w14:textId="5F1492A3" w:rsidR="000E4B0D" w:rsidRDefault="000E4B0D" w:rsidP="000E4B0D">
      <w:pPr>
        <w:rPr>
          <w:lang w:eastAsia="en-US"/>
        </w:rPr>
      </w:pPr>
      <w:r>
        <w:rPr>
          <w:lang w:eastAsia="en-US"/>
        </w:rPr>
        <w:t>Consistent with the Minister’s expectations, our focus was on ensuring minimal disruption to our workforce. As such, existing payroll and information technology (IT) systems have continued to be used in all of the former DHBs and Shared Service Agencies from 1 July 2022 to ensure a smooth transition.</w:t>
      </w:r>
    </w:p>
    <w:p w14:paraId="334A5E04" w14:textId="77777777" w:rsidR="000E4B0D" w:rsidRDefault="000E4B0D" w:rsidP="000E4B0D">
      <w:pPr>
        <w:rPr>
          <w:lang w:eastAsia="en-US"/>
        </w:rPr>
      </w:pPr>
    </w:p>
    <w:p w14:paraId="1595014B" w14:textId="427F3738" w:rsidR="000E4B0D" w:rsidRDefault="000E4B0D" w:rsidP="000E4B0D">
      <w:pPr>
        <w:rPr>
          <w:lang w:eastAsia="en-US"/>
        </w:rPr>
      </w:pPr>
      <w:r>
        <w:rPr>
          <w:lang w:eastAsia="en-US"/>
        </w:rPr>
        <w:t xml:space="preserve">While operating as a departmental agency, interim Health New Zealand utilised the systems of its host agency, the Ministry of Health. Teams within interim Health New Zealand worked to ensure a smooth transfer to Te Whatu Ora on 1 July for these ‘head office’ staff (i.e. those directly employed by interim Health New Zealand or transferred from the Ministry of Health), including establishing: a payroll system, an Ask HR call centre, recruitment application tracking system, careers website, a new intranet and a new IT environment. The first payment under the newly established payroll system was successfully made to employees on 21 July 2022. As at 1 July 2022, all IT enablers were activated as planned with minimal disruption to head office staff. Key business policies </w:t>
      </w:r>
      <w:r>
        <w:rPr>
          <w:lang w:eastAsia="en-US"/>
        </w:rPr>
        <w:lastRenderedPageBreak/>
        <w:t>and processes were also developed and implemented from Day 1 to ensure a smooth transition.</w:t>
      </w:r>
    </w:p>
    <w:p w14:paraId="257627E0" w14:textId="77777777" w:rsidR="000E4B0D" w:rsidRDefault="000E4B0D" w:rsidP="000E4B0D">
      <w:pPr>
        <w:rPr>
          <w:lang w:eastAsia="en-US"/>
        </w:rPr>
      </w:pPr>
    </w:p>
    <w:p w14:paraId="371AF701" w14:textId="4A09B2AE" w:rsidR="000E4B0D" w:rsidRDefault="000E4B0D" w:rsidP="000E4B0D">
      <w:pPr>
        <w:rPr>
          <w:lang w:eastAsia="en-US"/>
        </w:rPr>
      </w:pPr>
      <w:r>
        <w:rPr>
          <w:lang w:eastAsia="en-US"/>
        </w:rPr>
        <w:t>The activities undertaken in preparation for Day 1 have set the foundations for the next few months when we will be transferring all ‘head office’ Te Whatu Ora staff into our new IT environment. Following this, a wider migration of ex-DHB and Shared Service Agency systems has been planned and will be implemented.</w:t>
      </w:r>
    </w:p>
    <w:p w14:paraId="2082B031" w14:textId="77777777" w:rsidR="000E4B0D" w:rsidRDefault="000E4B0D" w:rsidP="000E4B0D">
      <w:pPr>
        <w:pStyle w:val="Heading6"/>
        <w:ind w:left="0" w:firstLine="0"/>
      </w:pPr>
      <w:r>
        <w:t>Health New Zealand established with a culture that encourages and fosters positive, collaborative working from the outset</w:t>
      </w:r>
    </w:p>
    <w:p w14:paraId="720575CE" w14:textId="37897ADA" w:rsidR="000E4B0D" w:rsidRDefault="000E4B0D" w:rsidP="000E4B0D">
      <w:pPr>
        <w:rPr>
          <w:lang w:eastAsia="en-US"/>
        </w:rPr>
      </w:pPr>
      <w:r>
        <w:rPr>
          <w:lang w:eastAsia="en-US"/>
        </w:rPr>
        <w:t>It is critical that we move towards a one-system ethos in our future system. This will require the combined efforts and collaboration of all our partner organisations, workforces and communities to deliver an improved system which achieves equitable health and wellbeing outcomes for all New Zealanders. During our time as interim Health New Zealand, alongside building our relationship with the interim Māori Health Authority, we have been engaging and collaborating with other key partners and agencies including unions representing our health workforce, the Public Service Commission, the Ministry of Health, other public sector agencies and partner community organisations.</w:t>
      </w:r>
    </w:p>
    <w:p w14:paraId="303ADE01" w14:textId="77777777" w:rsidR="000E4B0D" w:rsidRDefault="000E4B0D" w:rsidP="000E4B0D">
      <w:pPr>
        <w:rPr>
          <w:lang w:eastAsia="en-US"/>
        </w:rPr>
      </w:pPr>
    </w:p>
    <w:p w14:paraId="7C614AB6" w14:textId="37B44BBA" w:rsidR="000E4B0D" w:rsidRDefault="000E4B0D" w:rsidP="000E4B0D">
      <w:pPr>
        <w:rPr>
          <w:lang w:eastAsia="en-US"/>
        </w:rPr>
      </w:pPr>
      <w:r>
        <w:rPr>
          <w:lang w:eastAsia="en-US"/>
        </w:rPr>
        <w:t>Our key partnership with the interim Māori Health Authority formed the basis for our on-going partnership as Te Whatu Ora and Te Aka Whai Ora. The interim Chief Executives will continue to align on key functions and decision making, and undertook a joint approach to welcoming staff from the existing entities and setting a new tone for our relationship going forward.</w:t>
      </w:r>
    </w:p>
    <w:p w14:paraId="1AC9FBEF" w14:textId="77777777" w:rsidR="000E4B0D" w:rsidRDefault="000E4B0D" w:rsidP="000E4B0D">
      <w:pPr>
        <w:rPr>
          <w:lang w:eastAsia="en-US"/>
        </w:rPr>
      </w:pPr>
    </w:p>
    <w:p w14:paraId="25D01BC7" w14:textId="1D128D2E" w:rsidR="000E4B0D" w:rsidRDefault="000E4B0D" w:rsidP="000E4B0D">
      <w:pPr>
        <w:rPr>
          <w:lang w:eastAsia="en-US"/>
        </w:rPr>
      </w:pPr>
      <w:r>
        <w:rPr>
          <w:lang w:eastAsia="en-US"/>
        </w:rPr>
        <w:t>Interim Health New Zealand established a Change Management Office to support the development of the new operating models and ways of working in Te Whatu Ora. The Change Management office will develop a structured change plan and oversee the change programme, ensuring that the strategic intentions of the reform are reflected in the development and implementation of changes to the health system.</w:t>
      </w:r>
    </w:p>
    <w:p w14:paraId="3BC67091" w14:textId="6BBED72E" w:rsidR="000E4B0D" w:rsidRDefault="000E4B0D" w:rsidP="00DD61B3">
      <w:pPr>
        <w:pStyle w:val="Heading6"/>
        <w:ind w:left="0" w:firstLine="0"/>
      </w:pPr>
      <w:r>
        <w:t xml:space="preserve">Health New Zealand has an interim senior leadership structure that is ready to run the system in a new way </w:t>
      </w:r>
    </w:p>
    <w:p w14:paraId="553E06AC" w14:textId="0FEB290A" w:rsidR="000E4B0D" w:rsidRDefault="000E4B0D" w:rsidP="00DD61B3">
      <w:r>
        <w:rPr>
          <w:lang w:eastAsia="en-US"/>
        </w:rPr>
        <w:t>Initial interim appointments were made to key leadership positions in interim Health New Zealand in December 2021 to 30 June 2022 while the future operating model was developed. The future operating model for Te Whatu Ora’s Executive Leadership Team (ELT) was released by interim Health New Zealand in April 2022 (refer Fig.1). Interim appointments were made in May-June 2022 to key positions on the ELT to ensure consistency of leadership post 1 July 2022. Interim Health New Zealand has since begun making appointments to permanent ELT roles. An interim district and regional structure was also established in June 2022 to minimise</w:t>
      </w:r>
      <w:r w:rsidR="00DD61B3">
        <w:rPr>
          <w:lang w:eastAsia="en-US"/>
        </w:rPr>
        <w:t xml:space="preserve"> </w:t>
      </w:r>
      <w:r>
        <w:rPr>
          <w:lang w:eastAsia="en-US"/>
        </w:rPr>
        <w:t>disruption to the workforce post 1 July 2022 by maintaining district reporting lines while we work through the detailed operating model design work.</w:t>
      </w:r>
      <w:r>
        <w:t xml:space="preserve"> </w:t>
      </w:r>
    </w:p>
    <w:p w14:paraId="4792E46D" w14:textId="77777777" w:rsidR="000E4B0D" w:rsidRDefault="000E4B0D" w:rsidP="00DD61B3">
      <w:pPr>
        <w:pStyle w:val="Heading6"/>
        <w:ind w:left="0" w:firstLine="0"/>
      </w:pPr>
      <w:r>
        <w:t>Health New Zealand and the Māori Health Authority have determined how they will work together practically to co-commission services</w:t>
      </w:r>
    </w:p>
    <w:p w14:paraId="7F6A534F" w14:textId="02BD1A9E" w:rsidR="000E4B0D" w:rsidRDefault="000E4B0D" w:rsidP="000E4B0D">
      <w:pPr>
        <w:rPr>
          <w:lang w:eastAsia="en-US"/>
        </w:rPr>
      </w:pPr>
      <w:r>
        <w:rPr>
          <w:lang w:eastAsia="en-US"/>
        </w:rPr>
        <w:t>When interim Health New Zealand developed the interim leadership structure for Te Whatu Ora, a key consideration</w:t>
      </w:r>
      <w:r w:rsidR="00DD61B3">
        <w:rPr>
          <w:lang w:eastAsia="en-US"/>
        </w:rPr>
        <w:t xml:space="preserve"> </w:t>
      </w:r>
      <w:r>
        <w:rPr>
          <w:lang w:eastAsia="en-US"/>
        </w:rPr>
        <w:t xml:space="preserve">was ensuring strong Māori leadership is embedded. </w:t>
      </w:r>
      <w:r>
        <w:rPr>
          <w:lang w:eastAsia="en-US"/>
        </w:rPr>
        <w:lastRenderedPageBreak/>
        <w:t>The ELT structure has a Te Aka Whai Ora representative, which is included to ensure we embed Māori strategic leadership and strong partnership across both organisations, as well working alongside colleagues to strengthen</w:t>
      </w:r>
      <w:r w:rsidR="00DD61B3">
        <w:rPr>
          <w:lang w:eastAsia="en-US"/>
        </w:rPr>
        <w:t xml:space="preserve"> </w:t>
      </w:r>
      <w:r>
        <w:rPr>
          <w:lang w:eastAsia="en-US"/>
        </w:rPr>
        <w:t>Māori presence and decision making at all levels of the system. The ELT structure also has a National Director – Pacific Health role whose focus will be Pacific commissioning, workforce development, provider development, ensuring localities are effective for Pacific populations and leading provider arm Pacific services. This ELT structure was developed by interim Health New Zealand for implementation</w:t>
      </w:r>
      <w:r w:rsidR="00DD61B3">
        <w:rPr>
          <w:lang w:eastAsia="en-US"/>
        </w:rPr>
        <w:t xml:space="preserve"> </w:t>
      </w:r>
      <w:r>
        <w:rPr>
          <w:lang w:eastAsia="en-US"/>
        </w:rPr>
        <w:t>post 1 July 2022.</w:t>
      </w:r>
    </w:p>
    <w:p w14:paraId="2BB2D978" w14:textId="77777777" w:rsidR="00DD61B3" w:rsidRDefault="00DD61B3" w:rsidP="000E4B0D">
      <w:pPr>
        <w:rPr>
          <w:lang w:eastAsia="en-US"/>
        </w:rPr>
      </w:pPr>
    </w:p>
    <w:p w14:paraId="2D0B053F" w14:textId="77777777" w:rsidR="000E4B0D" w:rsidRDefault="000E4B0D" w:rsidP="000E4B0D">
      <w:pPr>
        <w:rPr>
          <w:lang w:eastAsia="en-US"/>
        </w:rPr>
      </w:pPr>
      <w:r>
        <w:rPr>
          <w:lang w:eastAsia="en-US"/>
        </w:rPr>
        <w:t>Prior to Day 1, interim Health New Zealand began establishing working groups to commence planning for key Te Whatu Ora functions. These working groups are comprised of subject matter experts and Te Aka Whai Ora representatives and are</w:t>
      </w:r>
    </w:p>
    <w:p w14:paraId="1AD50BFE" w14:textId="074DA1AC" w:rsidR="000E4B0D" w:rsidRDefault="000E4B0D" w:rsidP="000E4B0D">
      <w:pPr>
        <w:rPr>
          <w:lang w:eastAsia="en-US"/>
        </w:rPr>
      </w:pPr>
      <w:r>
        <w:rPr>
          <w:lang w:eastAsia="en-US"/>
        </w:rPr>
        <w:t>developing recommendations for national, regional and local operating models, prior to implementation of changes.</w:t>
      </w:r>
    </w:p>
    <w:p w14:paraId="483FFC21" w14:textId="77777777" w:rsidR="00DD61B3" w:rsidRDefault="00DD61B3" w:rsidP="000E4B0D">
      <w:pPr>
        <w:rPr>
          <w:lang w:eastAsia="en-US"/>
        </w:rPr>
      </w:pPr>
    </w:p>
    <w:p w14:paraId="232033EA" w14:textId="11E59C7B" w:rsidR="00B83706" w:rsidRPr="000E4B0D" w:rsidRDefault="000E4B0D" w:rsidP="000E4B0D">
      <w:pPr>
        <w:rPr>
          <w:lang w:eastAsia="en-US"/>
        </w:rPr>
      </w:pPr>
      <w:r>
        <w:rPr>
          <w:lang w:eastAsia="en-US"/>
        </w:rPr>
        <w:t>Interim Health New Zealand also established design work on a framework for co-commissioning and engagement with stakeholders across Te Whatu Ora and Te Aka Whai Ora. This process is</w:t>
      </w:r>
      <w:r w:rsidR="00DD61B3">
        <w:rPr>
          <w:lang w:eastAsia="en-US"/>
        </w:rPr>
        <w:t xml:space="preserve"> </w:t>
      </w:r>
      <w:r>
        <w:rPr>
          <w:lang w:eastAsia="en-US"/>
        </w:rPr>
        <w:t>continuing.</w:t>
      </w:r>
    </w:p>
    <w:p w14:paraId="27801906" w14:textId="77777777" w:rsidR="004B4331" w:rsidRDefault="004B4331" w:rsidP="00F833A8">
      <w:pPr>
        <w:rPr>
          <w:lang w:eastAsia="en-US"/>
        </w:rPr>
        <w:sectPr w:rsidR="004B4331" w:rsidSect="00C26282">
          <w:pgSz w:w="11907" w:h="16840" w:code="9"/>
          <w:pgMar w:top="1418" w:right="1701" w:bottom="1134" w:left="1843" w:header="284" w:footer="425" w:gutter="284"/>
          <w:cols w:space="720"/>
        </w:sectPr>
      </w:pPr>
    </w:p>
    <w:p w14:paraId="1AFC46E0" w14:textId="5B2E3BE6" w:rsidR="004B4331" w:rsidRPr="00AA2082" w:rsidRDefault="004B4331" w:rsidP="004B4331">
      <w:pPr>
        <w:ind w:firstLine="567"/>
        <w:rPr>
          <w:b/>
          <w:bCs/>
          <w:lang w:eastAsia="en-US"/>
        </w:rPr>
      </w:pPr>
      <w:r w:rsidRPr="00AA2082">
        <w:rPr>
          <w:b/>
          <w:bCs/>
          <w:lang w:eastAsia="en-US"/>
        </w:rPr>
        <w:lastRenderedPageBreak/>
        <w:t>Fig 1: ELT structure as released in April 2022</w:t>
      </w:r>
    </w:p>
    <w:p w14:paraId="031FE382" w14:textId="5C9C0426" w:rsidR="004B4331" w:rsidRDefault="004B4331" w:rsidP="00F833A8">
      <w:pPr>
        <w:rPr>
          <w:lang w:eastAsia="en-US"/>
        </w:rPr>
      </w:pPr>
      <w:r>
        <w:rPr>
          <w:noProof/>
        </w:rPr>
        <w:drawing>
          <wp:anchor distT="0" distB="0" distL="114300" distR="114300" simplePos="0" relativeHeight="251681792" behindDoc="0" locked="0" layoutInCell="1" allowOverlap="1" wp14:anchorId="196C2F23" wp14:editId="0472B1D9">
            <wp:simplePos x="0" y="0"/>
            <wp:positionH relativeFrom="page">
              <wp:posOffset>992846</wp:posOffset>
            </wp:positionH>
            <wp:positionV relativeFrom="page">
              <wp:posOffset>1353185</wp:posOffset>
            </wp:positionV>
            <wp:extent cx="7410450" cy="5400675"/>
            <wp:effectExtent l="0" t="0" r="0" b="9525"/>
            <wp:wrapTight wrapText="bothSides">
              <wp:wrapPolygon edited="0">
                <wp:start x="0" y="0"/>
                <wp:lineTo x="0" y="21562"/>
                <wp:lineTo x="21544" y="21562"/>
                <wp:lineTo x="21544" y="0"/>
                <wp:lineTo x="0" y="0"/>
              </wp:wrapPolygon>
            </wp:wrapTight>
            <wp:docPr id="31" name="Picture 31" descr="Organisational Chart for Health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Organisational Chart for Health New Zealand"/>
                    <pic:cNvPicPr/>
                  </pic:nvPicPr>
                  <pic:blipFill>
                    <a:blip r:embed="rId74"/>
                    <a:stretch>
                      <a:fillRect/>
                    </a:stretch>
                  </pic:blipFill>
                  <pic:spPr>
                    <a:xfrm>
                      <a:off x="0" y="0"/>
                      <a:ext cx="7410450" cy="5400675"/>
                    </a:xfrm>
                    <a:prstGeom prst="rect">
                      <a:avLst/>
                    </a:prstGeom>
                  </pic:spPr>
                </pic:pic>
              </a:graphicData>
            </a:graphic>
          </wp:anchor>
        </w:drawing>
      </w:r>
    </w:p>
    <w:p w14:paraId="3666F48F" w14:textId="7CAAB3D7" w:rsidR="004B4331" w:rsidRDefault="004B4331" w:rsidP="00F833A8">
      <w:pPr>
        <w:rPr>
          <w:lang w:eastAsia="en-US"/>
        </w:rPr>
        <w:sectPr w:rsidR="004B4331" w:rsidSect="004B4331">
          <w:footerReference w:type="default" r:id="rId75"/>
          <w:pgSz w:w="16840" w:h="11907" w:orient="landscape" w:code="9"/>
          <w:pgMar w:top="1418" w:right="1418" w:bottom="1134" w:left="1134" w:header="284" w:footer="425" w:gutter="284"/>
          <w:cols w:space="720"/>
          <w:docGrid w:linePitch="286"/>
        </w:sectPr>
      </w:pPr>
    </w:p>
    <w:p w14:paraId="5E5B7269" w14:textId="77777777" w:rsidR="004B4331" w:rsidRDefault="004B4331" w:rsidP="004B4331">
      <w:pPr>
        <w:pStyle w:val="Heading4"/>
        <w:spacing w:before="0"/>
        <w:rPr>
          <w:lang w:eastAsia="en-US"/>
        </w:rPr>
      </w:pPr>
      <w:r>
        <w:rPr>
          <w:lang w:eastAsia="en-US"/>
        </w:rPr>
        <w:lastRenderedPageBreak/>
        <w:t>Performance against appropriation measures</w:t>
      </w:r>
    </w:p>
    <w:p w14:paraId="75412140" w14:textId="1F0DF0EE" w:rsidR="004B4331" w:rsidRDefault="004B4331" w:rsidP="004B4331">
      <w:pPr>
        <w:ind w:right="-285"/>
        <w:rPr>
          <w:lang w:eastAsia="en-US"/>
        </w:rPr>
      </w:pPr>
      <w:r>
        <w:rPr>
          <w:lang w:eastAsia="en-US"/>
        </w:rPr>
        <w:t>The commentary below outlines our performance against relevant measures in the Health Sector – Estimates 2021/22.</w:t>
      </w:r>
    </w:p>
    <w:p w14:paraId="5EA57ECC" w14:textId="77777777" w:rsidR="004B4331" w:rsidRDefault="004B4331" w:rsidP="004B4331">
      <w:pPr>
        <w:pStyle w:val="Heading5"/>
        <w:ind w:right="-285"/>
        <w:rPr>
          <w:lang w:eastAsia="en-US"/>
        </w:rPr>
      </w:pPr>
      <w:r w:rsidRPr="004B4331">
        <w:rPr>
          <w:rStyle w:val="Heading5Char"/>
          <w:lang w:eastAsia="en-US"/>
        </w:rPr>
        <w:t>Ministerial Oversight Group satisfied with progress against delivery of the Health</w:t>
      </w:r>
      <w:r>
        <w:rPr>
          <w:lang w:eastAsia="en-US"/>
        </w:rPr>
        <w:t xml:space="preserve"> System Reform Implementation Plan agreed by Cabinet</w:t>
      </w:r>
    </w:p>
    <w:p w14:paraId="6D83F54A" w14:textId="7CCBF696" w:rsidR="004B4331" w:rsidRDefault="004B4331" w:rsidP="004B4331">
      <w:pPr>
        <w:ind w:right="-285"/>
        <w:rPr>
          <w:lang w:eastAsia="en-US"/>
        </w:rPr>
      </w:pPr>
      <w:r>
        <w:rPr>
          <w:lang w:eastAsia="en-US"/>
        </w:rPr>
        <w:t>Prior to 1 July 2022, the Minister of Health provided a final pre-implementation update to Cabinet (including other members of the Ministerial Oversight Group). Based on an external assurance review and progress reports from health entities, the Minister assessed the reforms to be ready for implementation. As such, Cabinet agreed to proceed with legislation to give effect to the reforms from 1 July 2022.</w:t>
      </w:r>
    </w:p>
    <w:p w14:paraId="37C2AC3E" w14:textId="548D2622" w:rsidR="004B4331" w:rsidRDefault="004B4331" w:rsidP="004B4331">
      <w:pPr>
        <w:pStyle w:val="Heading5"/>
        <w:ind w:right="-285"/>
        <w:rPr>
          <w:lang w:eastAsia="en-US"/>
        </w:rPr>
      </w:pPr>
      <w:r>
        <w:rPr>
          <w:lang w:eastAsia="en-US"/>
        </w:rPr>
        <w:t>Minister of Health  satisfied with progress against delivery of the Health System Reform Implementation Plan agreed by Cabinet</w:t>
      </w:r>
    </w:p>
    <w:p w14:paraId="0F89AA83" w14:textId="0E687254" w:rsidR="004B4331" w:rsidRDefault="004B4331" w:rsidP="004B4331">
      <w:pPr>
        <w:ind w:right="-285"/>
        <w:rPr>
          <w:lang w:eastAsia="en-US"/>
        </w:rPr>
      </w:pPr>
      <w:r>
        <w:rPr>
          <w:lang w:eastAsia="en-US"/>
        </w:rPr>
        <w:t>In addition to the above Cabinet report, weekly assurance reporting on progress against the workplan was provided to the Minister of Health by the Transition Unit. Weekly meetings between interim Health New Zealand and interim Māori Health Authority Board Chairs and Chief Executives and the Minister were also established to ensure any issues and risks were escalated and addressed.</w:t>
      </w:r>
    </w:p>
    <w:p w14:paraId="2F5F2A8C" w14:textId="77777777" w:rsidR="004B4331" w:rsidRDefault="004B4331" w:rsidP="004B4331">
      <w:pPr>
        <w:pStyle w:val="Heading5"/>
        <w:ind w:right="-285"/>
        <w:rPr>
          <w:lang w:eastAsia="en-US"/>
        </w:rPr>
      </w:pPr>
      <w:r>
        <w:rPr>
          <w:lang w:eastAsia="en-US"/>
        </w:rPr>
        <w:t>Funding agreements in place for first phase of Locality Networks</w:t>
      </w:r>
    </w:p>
    <w:p w14:paraId="70F01738" w14:textId="2D0258DB" w:rsidR="004B4331" w:rsidRDefault="004B4331" w:rsidP="004B4331">
      <w:pPr>
        <w:ind w:right="-285"/>
        <w:rPr>
          <w:lang w:eastAsia="en-US"/>
        </w:rPr>
      </w:pPr>
      <w:r>
        <w:rPr>
          <w:lang w:eastAsia="en-US"/>
        </w:rPr>
        <w:t xml:space="preserve">Locality networks are the new regional basis for organising health services for communities. </w:t>
      </w:r>
    </w:p>
    <w:p w14:paraId="4E1784C0" w14:textId="77777777" w:rsidR="004B4331" w:rsidRDefault="004B4331" w:rsidP="004B4331">
      <w:pPr>
        <w:ind w:right="-285"/>
        <w:rPr>
          <w:lang w:eastAsia="en-US"/>
        </w:rPr>
      </w:pPr>
    </w:p>
    <w:p w14:paraId="4D3B9663" w14:textId="4F303DB3" w:rsidR="004B4331" w:rsidRDefault="004B4331" w:rsidP="004B4331">
      <w:pPr>
        <w:ind w:right="-285"/>
        <w:rPr>
          <w:lang w:eastAsia="en-US"/>
        </w:rPr>
      </w:pPr>
      <w:r>
        <w:rPr>
          <w:lang w:eastAsia="en-US"/>
        </w:rPr>
        <w:t>A locality coordinator will draw together health providers, iwi, local authority representatives, and social sector agencies to work out what is available and what is needed at a local level. The purpose of the process is to engage with the relevant community and understand its needs.</w:t>
      </w:r>
    </w:p>
    <w:p w14:paraId="08BBDE1D" w14:textId="77777777" w:rsidR="004B4331" w:rsidRDefault="004B4331" w:rsidP="004B4331">
      <w:pPr>
        <w:ind w:right="-285"/>
        <w:rPr>
          <w:lang w:eastAsia="en-US"/>
        </w:rPr>
      </w:pPr>
    </w:p>
    <w:p w14:paraId="02052950" w14:textId="2A44A919" w:rsidR="004B4331" w:rsidRDefault="004B4331" w:rsidP="004B4331">
      <w:pPr>
        <w:ind w:right="-285"/>
        <w:rPr>
          <w:lang w:eastAsia="en-US"/>
        </w:rPr>
      </w:pPr>
      <w:r>
        <w:rPr>
          <w:lang w:eastAsia="en-US"/>
        </w:rPr>
        <w:t>The plan that is developed will be agreed with the relevant iwi Māori partnership board and will be tailored to the community covered by the locality. That plan will form the basis of the funding decisions by Te Whatu Ora and Te Aka Whai Ora.</w:t>
      </w:r>
    </w:p>
    <w:p w14:paraId="2717DE27" w14:textId="77777777" w:rsidR="004B4331" w:rsidRDefault="004B4331" w:rsidP="004B4331">
      <w:pPr>
        <w:ind w:right="-285"/>
        <w:rPr>
          <w:lang w:eastAsia="en-US"/>
        </w:rPr>
      </w:pPr>
    </w:p>
    <w:p w14:paraId="1B0E9145" w14:textId="77777777" w:rsidR="004B4331" w:rsidRDefault="004B4331" w:rsidP="004B4331">
      <w:pPr>
        <w:ind w:right="-285"/>
        <w:rPr>
          <w:lang w:eastAsia="en-US"/>
        </w:rPr>
      </w:pPr>
      <w:r>
        <w:rPr>
          <w:lang w:eastAsia="en-US"/>
        </w:rPr>
        <w:t>In April 2022, the Minister of Health announced the first nine areas rolling out the locality approach. The areas are:</w:t>
      </w:r>
    </w:p>
    <w:p w14:paraId="18E7C82E" w14:textId="2896C588" w:rsidR="004B4331" w:rsidRDefault="004B4331" w:rsidP="004B4331">
      <w:pPr>
        <w:pStyle w:val="Bullet"/>
        <w:ind w:right="-285"/>
        <w:rPr>
          <w:lang w:eastAsia="en-US"/>
        </w:rPr>
      </w:pPr>
      <w:r>
        <w:rPr>
          <w:lang w:eastAsia="en-US"/>
        </w:rPr>
        <w:t>Horowhenua</w:t>
      </w:r>
    </w:p>
    <w:p w14:paraId="0EF75B77" w14:textId="0B2FDBEB" w:rsidR="004B4331" w:rsidRDefault="004B4331" w:rsidP="004B4331">
      <w:pPr>
        <w:pStyle w:val="Bullet"/>
        <w:ind w:right="-285"/>
        <w:rPr>
          <w:lang w:eastAsia="en-US"/>
        </w:rPr>
      </w:pPr>
      <w:r>
        <w:rPr>
          <w:lang w:eastAsia="en-US"/>
        </w:rPr>
        <w:t>Ōtara/Papatoetoe</w:t>
      </w:r>
    </w:p>
    <w:p w14:paraId="427C9409" w14:textId="1CB852CE" w:rsidR="004B4331" w:rsidRDefault="004B4331" w:rsidP="004B4331">
      <w:pPr>
        <w:pStyle w:val="Bullet"/>
        <w:ind w:right="-285"/>
        <w:rPr>
          <w:lang w:eastAsia="en-US"/>
        </w:rPr>
      </w:pPr>
      <w:r>
        <w:rPr>
          <w:lang w:eastAsia="en-US"/>
        </w:rPr>
        <w:t>Hauraki</w:t>
      </w:r>
    </w:p>
    <w:p w14:paraId="4047F2C3" w14:textId="438FFB91" w:rsidR="004B4331" w:rsidRDefault="004B4331" w:rsidP="004B4331">
      <w:pPr>
        <w:pStyle w:val="Bullet"/>
        <w:ind w:right="-285"/>
        <w:rPr>
          <w:lang w:eastAsia="en-US"/>
        </w:rPr>
      </w:pPr>
      <w:r>
        <w:rPr>
          <w:lang w:eastAsia="en-US"/>
        </w:rPr>
        <w:t>Taupō/Tūrangi</w:t>
      </w:r>
    </w:p>
    <w:p w14:paraId="23390659" w14:textId="36960A08" w:rsidR="004B4331" w:rsidRDefault="004B4331" w:rsidP="004B4331">
      <w:pPr>
        <w:pStyle w:val="Bullet"/>
        <w:ind w:right="-285"/>
        <w:rPr>
          <w:lang w:eastAsia="en-US"/>
        </w:rPr>
      </w:pPr>
      <w:r>
        <w:rPr>
          <w:lang w:eastAsia="en-US"/>
        </w:rPr>
        <w:t>Wairoa</w:t>
      </w:r>
    </w:p>
    <w:p w14:paraId="5DB54033" w14:textId="196A2786" w:rsidR="004B4331" w:rsidRDefault="004B4331" w:rsidP="004B4331">
      <w:pPr>
        <w:pStyle w:val="Bullet"/>
        <w:ind w:right="-285"/>
        <w:rPr>
          <w:lang w:eastAsia="en-US"/>
        </w:rPr>
      </w:pPr>
      <w:r>
        <w:rPr>
          <w:lang w:eastAsia="en-US"/>
        </w:rPr>
        <w:t>Whanganui</w:t>
      </w:r>
    </w:p>
    <w:p w14:paraId="0D6CC364" w14:textId="3F873A70" w:rsidR="004B4331" w:rsidRDefault="004B4331" w:rsidP="004B4331">
      <w:pPr>
        <w:pStyle w:val="Bullet"/>
        <w:ind w:right="-285"/>
        <w:rPr>
          <w:lang w:eastAsia="en-US"/>
        </w:rPr>
      </w:pPr>
      <w:r>
        <w:rPr>
          <w:lang w:eastAsia="en-US"/>
        </w:rPr>
        <w:t>Porirua</w:t>
      </w:r>
    </w:p>
    <w:p w14:paraId="20908528" w14:textId="560F6650" w:rsidR="004B4331" w:rsidRDefault="004B4331" w:rsidP="004B4331">
      <w:pPr>
        <w:pStyle w:val="Bullet"/>
        <w:ind w:right="-285"/>
        <w:rPr>
          <w:lang w:eastAsia="en-US"/>
        </w:rPr>
      </w:pPr>
      <w:r>
        <w:rPr>
          <w:lang w:eastAsia="en-US"/>
        </w:rPr>
        <w:t>West Coast</w:t>
      </w:r>
    </w:p>
    <w:p w14:paraId="6351215A" w14:textId="2CF3E860" w:rsidR="004B4331" w:rsidRDefault="004B4331" w:rsidP="004B4331">
      <w:pPr>
        <w:pStyle w:val="Bullet"/>
        <w:ind w:right="-285"/>
        <w:rPr>
          <w:lang w:eastAsia="en-US"/>
        </w:rPr>
      </w:pPr>
      <w:r>
        <w:rPr>
          <w:lang w:eastAsia="en-US"/>
        </w:rPr>
        <w:t>Eastern Bay of Plenty.</w:t>
      </w:r>
    </w:p>
    <w:p w14:paraId="7487949B" w14:textId="77777777" w:rsidR="004B4331" w:rsidRDefault="004B4331" w:rsidP="004B4331">
      <w:pPr>
        <w:pStyle w:val="Heading5"/>
        <w:rPr>
          <w:lang w:eastAsia="en-US"/>
        </w:rPr>
      </w:pPr>
      <w:r>
        <w:rPr>
          <w:lang w:eastAsia="en-US"/>
        </w:rPr>
        <w:lastRenderedPageBreak/>
        <w:t xml:space="preserve">Performance against workplan </w:t>
      </w:r>
    </w:p>
    <w:p w14:paraId="5D8BE929" w14:textId="3FA20CD5" w:rsidR="004B4331" w:rsidRDefault="004B4331" w:rsidP="004B4331">
      <w:pPr>
        <w:rPr>
          <w:lang w:eastAsia="en-US"/>
        </w:rPr>
      </w:pPr>
      <w:r>
        <w:rPr>
          <w:lang w:eastAsia="en-US"/>
        </w:rPr>
        <w:t>In line with the Minister’s expectations, interim Health New Zealand created a workplan in preparation for Day 1. The workplan covered the main elements which were required for the successful establishment of our entity from 1 July 2022 and other key areas of preparation and planning to support the transition and transformation activities post Day 1.</w:t>
      </w:r>
    </w:p>
    <w:p w14:paraId="46D312FB" w14:textId="77777777" w:rsidR="004B4331" w:rsidRDefault="004B4331" w:rsidP="004B4331">
      <w:pPr>
        <w:rPr>
          <w:lang w:eastAsia="en-US"/>
        </w:rPr>
      </w:pPr>
    </w:p>
    <w:p w14:paraId="5B7CBCC2" w14:textId="77777777" w:rsidR="004B4331" w:rsidRDefault="004B4331" w:rsidP="004B4331">
      <w:pPr>
        <w:rPr>
          <w:lang w:eastAsia="en-US"/>
        </w:rPr>
      </w:pPr>
      <w:r>
        <w:rPr>
          <w:lang w:eastAsia="en-US"/>
        </w:rPr>
        <w:t>All critical areas of the workplan for Day 1 were delivered, including: corporate</w:t>
      </w:r>
    </w:p>
    <w:p w14:paraId="110BF200" w14:textId="7CB01D4E" w:rsidR="004B4331" w:rsidRDefault="004B4331" w:rsidP="004B4331">
      <w:pPr>
        <w:rPr>
          <w:lang w:eastAsia="en-US"/>
        </w:rPr>
      </w:pPr>
      <w:r>
        <w:rPr>
          <w:lang w:eastAsia="en-US"/>
        </w:rPr>
        <w:t>transition, procurement and supply chain, finance, data and digital, people, culture and capability, transfers and mergers, commissioning, and national public health service. Some work plan areas were not completed by 30 June 2022. However, these did not hinder overall operations on Day 1, with mitigation plans in place. Other key areas of the workplan which involved preparation for activities post 1 July are covered in the following sections.</w:t>
      </w:r>
    </w:p>
    <w:p w14:paraId="2A20295E" w14:textId="77777777" w:rsidR="004B4331" w:rsidRDefault="004B4331" w:rsidP="004B4331">
      <w:pPr>
        <w:pStyle w:val="Heading5"/>
        <w:rPr>
          <w:lang w:eastAsia="en-US"/>
        </w:rPr>
      </w:pPr>
      <w:r>
        <w:rPr>
          <w:lang w:eastAsia="en-US"/>
        </w:rPr>
        <w:t xml:space="preserve">Te Pae Tata | Interim NZ Health Plan </w:t>
      </w:r>
    </w:p>
    <w:p w14:paraId="124F9C6E" w14:textId="0B612DA1" w:rsidR="004B4331" w:rsidRDefault="004B4331" w:rsidP="004B4331">
      <w:pPr>
        <w:rPr>
          <w:lang w:eastAsia="en-US"/>
        </w:rPr>
      </w:pPr>
      <w:r>
        <w:rPr>
          <w:lang w:eastAsia="en-US"/>
        </w:rPr>
        <w:t>Te Pae Tata, our interim Health Plan, sets out our intentions for action over the</w:t>
      </w:r>
    </w:p>
    <w:p w14:paraId="560AAE42" w14:textId="4EC63ADE" w:rsidR="004B4331" w:rsidRDefault="004B4331" w:rsidP="004B4331">
      <w:pPr>
        <w:rPr>
          <w:lang w:eastAsia="en-US"/>
        </w:rPr>
      </w:pPr>
      <w:r>
        <w:rPr>
          <w:lang w:eastAsia="en-US"/>
        </w:rPr>
        <w:t>next two years to transition our system to be able to meet the ambitions of the Pae Ora legislation and deliver on the interim Government Policy Statement for Health. This work was initiated during our time as interim Health New Zealand, in collaboration with the interim Māori Health Authority, to ensure Te Tiriti and equity are fully integrated and the Māori Health Improvement Plan actions have been agreed and embedded. The plan covers the first two years of Te Whatu Ora’s operations and sets out how the system will achieve the five system shifts, improve outcomes for vulnerable populations, strengthen performance, reduce variability and work towards becoming carbon neutral. The first full Health Plan will be completed by June 2024 and will be comprehensive, fully costed, widely consulted and developed in line with the requirements set out in the Pae Ora legislation. Within Te Whatu Ora, our structure, planned activities and reporting will be based around the delivery of Te Pae Tata.</w:t>
      </w:r>
    </w:p>
    <w:p w14:paraId="73B1F154" w14:textId="77777777" w:rsidR="004B4331" w:rsidRDefault="004B4331" w:rsidP="004B4331">
      <w:pPr>
        <w:pStyle w:val="Heading5"/>
        <w:rPr>
          <w:lang w:eastAsia="en-US"/>
        </w:rPr>
      </w:pPr>
      <w:r>
        <w:rPr>
          <w:lang w:eastAsia="en-US"/>
        </w:rPr>
        <w:t xml:space="preserve">Communications and Engagement </w:t>
      </w:r>
    </w:p>
    <w:p w14:paraId="783D3A54" w14:textId="71A2A908" w:rsidR="004B4331" w:rsidRDefault="004B4331" w:rsidP="004B4331">
      <w:pPr>
        <w:rPr>
          <w:lang w:eastAsia="en-US"/>
        </w:rPr>
      </w:pPr>
      <w:r>
        <w:rPr>
          <w:lang w:eastAsia="en-US"/>
        </w:rPr>
        <w:t>Alongside Transition Unit communications, in the lead up to Day 1, interim Health New Zealand developed a communications plan to ensure staff and communities were kept aware of the transition. We will continue to take a transparent approach to engagement throughout the coming changes. Our name brand identity for</w:t>
      </w:r>
    </w:p>
    <w:p w14:paraId="5FF3A592" w14:textId="77777777" w:rsidR="004B4331" w:rsidRDefault="004B4331" w:rsidP="004B4331">
      <w:pPr>
        <w:rPr>
          <w:lang w:eastAsia="en-US"/>
        </w:rPr>
      </w:pPr>
      <w:r>
        <w:rPr>
          <w:lang w:eastAsia="en-US"/>
        </w:rPr>
        <w:t>Te Whatu Ora underwent extensive development alongside the interim Māori Health Authority, now Te Aka Whai Ora, and was launched on Day 1, with a phased and pragmatic approach to implementation prioritising digital use of the visual brand.</w:t>
      </w:r>
    </w:p>
    <w:p w14:paraId="2123B206" w14:textId="77777777" w:rsidR="004B4331" w:rsidRDefault="004B4331" w:rsidP="004B4331">
      <w:pPr>
        <w:pStyle w:val="Heading5"/>
        <w:rPr>
          <w:lang w:eastAsia="en-US"/>
        </w:rPr>
      </w:pPr>
      <w:r>
        <w:rPr>
          <w:lang w:eastAsia="en-US"/>
        </w:rPr>
        <w:t>Taskforces</w:t>
      </w:r>
    </w:p>
    <w:p w14:paraId="25288892" w14:textId="6D284B4E" w:rsidR="004B4331" w:rsidRDefault="004B4331" w:rsidP="004B4331">
      <w:pPr>
        <w:rPr>
          <w:lang w:eastAsia="en-US"/>
        </w:rPr>
      </w:pPr>
      <w:r>
        <w:rPr>
          <w:lang w:eastAsia="en-US"/>
        </w:rPr>
        <w:t>In May 2022, interim Health New Zealand established three Taskforces to provide advice and recommendations on key issues affecting the health sector: workforce, planned care and immunisation. The role of the Taskforces is to identify key actions that can be taken in the immediate and short term to alleviate pressures in these areas.</w:t>
      </w:r>
    </w:p>
    <w:p w14:paraId="5EB75289" w14:textId="77777777" w:rsidR="004B4331" w:rsidRDefault="004B4331" w:rsidP="004B4331">
      <w:pPr>
        <w:pStyle w:val="Heading5"/>
        <w:rPr>
          <w:lang w:eastAsia="en-US"/>
        </w:rPr>
      </w:pPr>
      <w:r>
        <w:rPr>
          <w:lang w:eastAsia="en-US"/>
        </w:rPr>
        <w:t>Te Mauri o Rongo | Health Charter</w:t>
      </w:r>
    </w:p>
    <w:p w14:paraId="4C7CF486" w14:textId="41A12939" w:rsidR="00782804" w:rsidRDefault="004B4331" w:rsidP="004B4331">
      <w:pPr>
        <w:rPr>
          <w:lang w:eastAsia="en-US"/>
        </w:rPr>
      </w:pPr>
      <w:r>
        <w:rPr>
          <w:lang w:eastAsia="en-US"/>
        </w:rPr>
        <w:t xml:space="preserve"> Interim Health New Zealand provided input into the draft Health Charter, which will guide the development of the culture, leadership and working environment of the </w:t>
      </w:r>
      <w:r>
        <w:rPr>
          <w:lang w:eastAsia="en-US"/>
        </w:rPr>
        <w:lastRenderedPageBreak/>
        <w:t>health workforce. The Charter will be supported by a five-year strategic plan which includes a two-year action plan and activities/deliverables for the first 6, 12 and 24 months post 1 July 2022. The development of the plan has included engagement with Tier 1-3 leaders from interim Health New Zealand and the interim Māori Health Authority and with the Combined Trade Unions group. The Charter remains in development.</w:t>
      </w:r>
    </w:p>
    <w:p w14:paraId="2145B7E5" w14:textId="77777777" w:rsidR="004B4331" w:rsidRDefault="004B4331" w:rsidP="004B4331">
      <w:pPr>
        <w:pStyle w:val="Heading2"/>
        <w:rPr>
          <w:lang w:eastAsia="en-US"/>
        </w:rPr>
      </w:pPr>
      <w:bookmarkStart w:id="99" w:name="_Toc117265005"/>
      <w:r>
        <w:rPr>
          <w:lang w:eastAsia="en-US"/>
        </w:rPr>
        <w:t>Statement of Responsibility</w:t>
      </w:r>
      <w:bookmarkEnd w:id="99"/>
    </w:p>
    <w:p w14:paraId="0AAC7DB9" w14:textId="52AEBFB6" w:rsidR="004B4331" w:rsidRDefault="004B4331" w:rsidP="004B4331">
      <w:pPr>
        <w:rPr>
          <w:lang w:eastAsia="en-US"/>
        </w:rPr>
      </w:pPr>
      <w:r>
        <w:rPr>
          <w:lang w:eastAsia="en-US"/>
        </w:rPr>
        <w:t>I am responsible, as Chief Executive of interim Health New Zealand, for the accuracy of any end-of-year performance information prepared by interim Health New Zealand whether or not that information is included in the Annual Report.</w:t>
      </w:r>
    </w:p>
    <w:p w14:paraId="14FD7BD7" w14:textId="77777777" w:rsidR="004B4331" w:rsidRDefault="004B4331" w:rsidP="004B4331">
      <w:pPr>
        <w:rPr>
          <w:lang w:eastAsia="en-US"/>
        </w:rPr>
      </w:pPr>
    </w:p>
    <w:p w14:paraId="165FD829" w14:textId="248D72A3" w:rsidR="004B4331" w:rsidRDefault="004B4331" w:rsidP="004B4331">
      <w:pPr>
        <w:rPr>
          <w:lang w:eastAsia="en-US"/>
        </w:rPr>
      </w:pPr>
      <w:r>
        <w:rPr>
          <w:lang w:eastAsia="en-US"/>
        </w:rPr>
        <w:t>In my opinion, the interim Health New Zealand Annual Report fairly reflects the operations, progress, and organisational health and capability of interim Health New Zealand.</w:t>
      </w:r>
    </w:p>
    <w:p w14:paraId="61739135" w14:textId="5F347866" w:rsidR="00AA2082" w:rsidRDefault="00AA2082" w:rsidP="004B4331">
      <w:pPr>
        <w:rPr>
          <w:lang w:eastAsia="en-US"/>
        </w:rPr>
      </w:pPr>
    </w:p>
    <w:p w14:paraId="75F447FA" w14:textId="7AFBD650" w:rsidR="004B4331" w:rsidRDefault="00AA2082" w:rsidP="004B4331">
      <w:pPr>
        <w:rPr>
          <w:lang w:eastAsia="en-US"/>
        </w:rPr>
      </w:pPr>
      <w:r w:rsidRPr="00AA2082">
        <w:rPr>
          <w:noProof/>
          <w:lang w:eastAsia="en-US"/>
        </w:rPr>
        <w:drawing>
          <wp:anchor distT="0" distB="0" distL="114300" distR="114300" simplePos="0" relativeHeight="251689984" behindDoc="0" locked="0" layoutInCell="1" allowOverlap="1" wp14:anchorId="729D22A4" wp14:editId="3F1D7A38">
            <wp:simplePos x="0" y="0"/>
            <wp:positionH relativeFrom="page">
              <wp:posOffset>1080309</wp:posOffset>
            </wp:positionH>
            <wp:positionV relativeFrom="page">
              <wp:posOffset>4255209</wp:posOffset>
            </wp:positionV>
            <wp:extent cx="533333" cy="419048"/>
            <wp:effectExtent l="0" t="0" r="635" b="635"/>
            <wp:wrapTight wrapText="bothSides">
              <wp:wrapPolygon edited="0">
                <wp:start x="11585" y="0"/>
                <wp:lineTo x="0" y="983"/>
                <wp:lineTo x="0" y="9833"/>
                <wp:lineTo x="772" y="15733"/>
                <wp:lineTo x="3862" y="20649"/>
                <wp:lineTo x="4634" y="20649"/>
                <wp:lineTo x="7723" y="20649"/>
                <wp:lineTo x="10813" y="20649"/>
                <wp:lineTo x="15447" y="17700"/>
                <wp:lineTo x="20853" y="12783"/>
                <wp:lineTo x="20853" y="5900"/>
                <wp:lineTo x="17764" y="0"/>
                <wp:lineTo x="11585" y="0"/>
              </wp:wrapPolygon>
            </wp:wrapTight>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76"/>
                    <a:stretch>
                      <a:fillRect/>
                    </a:stretch>
                  </pic:blipFill>
                  <pic:spPr>
                    <a:xfrm>
                      <a:off x="0" y="0"/>
                      <a:ext cx="533333" cy="419048"/>
                    </a:xfrm>
                    <a:prstGeom prst="rect">
                      <a:avLst/>
                    </a:prstGeom>
                  </pic:spPr>
                </pic:pic>
              </a:graphicData>
            </a:graphic>
          </wp:anchor>
        </w:drawing>
      </w:r>
    </w:p>
    <w:p w14:paraId="3E47BEB6" w14:textId="5B032A77" w:rsidR="00AA2082" w:rsidRDefault="00AA2082" w:rsidP="004B4331">
      <w:pPr>
        <w:rPr>
          <w:lang w:eastAsia="en-US"/>
        </w:rPr>
      </w:pPr>
    </w:p>
    <w:p w14:paraId="377A2CAB" w14:textId="77777777" w:rsidR="004B4331" w:rsidRDefault="004B4331" w:rsidP="004B4331">
      <w:pPr>
        <w:rPr>
          <w:lang w:eastAsia="en-US"/>
        </w:rPr>
      </w:pPr>
    </w:p>
    <w:p w14:paraId="651076DB" w14:textId="77777777" w:rsidR="004B4331" w:rsidRDefault="004B4331" w:rsidP="004B4331">
      <w:pPr>
        <w:rPr>
          <w:lang w:eastAsia="en-US"/>
        </w:rPr>
      </w:pPr>
      <w:r>
        <w:rPr>
          <w:lang w:eastAsia="en-US"/>
        </w:rPr>
        <w:t>Fepulea’i Margie Apa</w:t>
      </w:r>
    </w:p>
    <w:p w14:paraId="44AA9C0F" w14:textId="77777777" w:rsidR="004B4331" w:rsidRDefault="004B4331" w:rsidP="004B4331">
      <w:pPr>
        <w:rPr>
          <w:b/>
          <w:bCs/>
          <w:lang w:eastAsia="en-US"/>
        </w:rPr>
        <w:sectPr w:rsidR="004B4331" w:rsidSect="00C26282">
          <w:footerReference w:type="default" r:id="rId77"/>
          <w:pgSz w:w="11907" w:h="16840" w:code="9"/>
          <w:pgMar w:top="1418" w:right="1701" w:bottom="1134" w:left="1843" w:header="284" w:footer="425" w:gutter="284"/>
          <w:cols w:space="720"/>
        </w:sectPr>
      </w:pPr>
      <w:r w:rsidRPr="004B4331">
        <w:rPr>
          <w:b/>
          <w:bCs/>
          <w:lang w:eastAsia="en-US"/>
        </w:rPr>
        <w:t>Chief Executive, Te Whatu Ora | Health New Zealand</w:t>
      </w:r>
    </w:p>
    <w:p w14:paraId="5E496D05" w14:textId="6CEDE4DE" w:rsidR="00C22B35" w:rsidRDefault="00C22B35" w:rsidP="00C22B35">
      <w:pPr>
        <w:pStyle w:val="Heading1"/>
        <w:spacing w:before="0"/>
      </w:pPr>
      <w:bookmarkStart w:id="100" w:name="_Toc117265006"/>
      <w:r w:rsidRPr="00C22B35">
        <w:lastRenderedPageBreak/>
        <w:t>Interim Māori Health Authority</w:t>
      </w:r>
      <w:r>
        <w:br/>
      </w:r>
      <w:r w:rsidRPr="00C22B35">
        <w:t xml:space="preserve">Te Mana Hauora Māori Annual Report </w:t>
      </w:r>
      <w:r>
        <w:br/>
      </w:r>
      <w:r w:rsidRPr="00C22B35">
        <w:t>2021-2022</w:t>
      </w:r>
      <w:bookmarkEnd w:id="100"/>
      <w:r w:rsidRPr="00C22B35">
        <w:t xml:space="preserve"> </w:t>
      </w:r>
    </w:p>
    <w:p w14:paraId="4B459FE0" w14:textId="0D465366" w:rsidR="00C22B35" w:rsidRDefault="00C22B35" w:rsidP="00C22B35">
      <w:pPr>
        <w:rPr>
          <w:b/>
          <w:bCs/>
        </w:rPr>
      </w:pPr>
      <w:r w:rsidRPr="00C22B35">
        <w:rPr>
          <w:b/>
          <w:bCs/>
        </w:rPr>
        <w:t>Note</w:t>
      </w:r>
    </w:p>
    <w:p w14:paraId="5DFA196A" w14:textId="77777777" w:rsidR="00C22B35" w:rsidRPr="00C22B35" w:rsidRDefault="00C22B35" w:rsidP="00C22B35">
      <w:pPr>
        <w:rPr>
          <w:b/>
          <w:bCs/>
        </w:rPr>
      </w:pPr>
    </w:p>
    <w:p w14:paraId="491323CD" w14:textId="5EFE8AFF" w:rsidR="00C22B35" w:rsidRDefault="00C22B35" w:rsidP="00C22B35">
      <w:r>
        <w:t>The interim Māori Health Authority – given its interim status – is exempt from developing a Statement of Performance Expectations (SPE) and Statement of Intent (SOI) until the 2022/2023 financial year when it has become Te Aka Whai Ora | The Māori Health Authority.</w:t>
      </w:r>
    </w:p>
    <w:p w14:paraId="6627486D" w14:textId="77777777" w:rsidR="00C22B35" w:rsidRDefault="00C22B35" w:rsidP="00C22B35"/>
    <w:p w14:paraId="7E514EA1" w14:textId="0C127E1A" w:rsidR="00C22B35" w:rsidRDefault="00C22B35" w:rsidP="00C22B35">
      <w:r>
        <w:t>In lieu of reporting against a SOI and SPE, the Treasury have advised to report against the Letter of Expectations sent from the Minister of Health, Hon Andrew Little, to the acting Chief Executive in December 2021.</w:t>
      </w:r>
    </w:p>
    <w:p w14:paraId="3C7C72A1" w14:textId="77777777" w:rsidR="00C22B35" w:rsidRDefault="00C22B35" w:rsidP="00C22B35"/>
    <w:p w14:paraId="740575E9" w14:textId="77777777" w:rsidR="00C22B35" w:rsidRDefault="00C22B35" w:rsidP="00C22B35">
      <w:pPr>
        <w:sectPr w:rsidR="00C22B35" w:rsidSect="00C26282">
          <w:footerReference w:type="even" r:id="rId78"/>
          <w:footerReference w:type="default" r:id="rId79"/>
          <w:pgSz w:w="11907" w:h="16840" w:code="9"/>
          <w:pgMar w:top="1418" w:right="1701" w:bottom="1134" w:left="1843" w:header="284" w:footer="425" w:gutter="284"/>
          <w:cols w:space="720"/>
        </w:sectPr>
      </w:pPr>
      <w:r>
        <w:t>The Treasury is not expecting this 2021/22 report to cover the full range of additional non-legislative requirements as set out in departmental reporting guidance, such as Carbon Neutral Government Programme and Diversity and Inclusion requirements, given that the agency is interim, of a transitional nature and of very small size, such requirements are impractical.</w:t>
      </w:r>
    </w:p>
    <w:p w14:paraId="76A5534E" w14:textId="77777777" w:rsidR="00DF1A78" w:rsidRDefault="00C22B35" w:rsidP="00C22B35">
      <w:pPr>
        <w:pStyle w:val="Heading2"/>
        <w:spacing w:before="0"/>
      </w:pPr>
      <w:bookmarkStart w:id="101" w:name="_Toc117265007"/>
      <w:r>
        <w:lastRenderedPageBreak/>
        <w:t>A message from the Chief Executive</w:t>
      </w:r>
      <w:bookmarkEnd w:id="101"/>
      <w:r>
        <w:t xml:space="preserve"> </w:t>
      </w:r>
    </w:p>
    <w:p w14:paraId="51B45147" w14:textId="0921F449" w:rsidR="00C22B35" w:rsidRDefault="00C22B35" w:rsidP="00DF1A78">
      <w:pPr>
        <w:pStyle w:val="Heading2"/>
        <w:spacing w:before="0"/>
      </w:pPr>
      <w:bookmarkStart w:id="102" w:name="_Toc117265008"/>
      <w:r>
        <w:t>Nau mai rā ki interim Māori Health Authority</w:t>
      </w:r>
      <w:bookmarkEnd w:id="102"/>
    </w:p>
    <w:p w14:paraId="0D9F03F6" w14:textId="77777777" w:rsidR="00C22B35" w:rsidRDefault="00C22B35" w:rsidP="00C22B35">
      <w:r>
        <w:t>It is my great pleasure to publish the interim Māori Health Authority Annual Report</w:t>
      </w:r>
    </w:p>
    <w:p w14:paraId="2867AED0" w14:textId="3E017C54" w:rsidR="00C22B35" w:rsidRDefault="00C22B35" w:rsidP="00C22B35">
      <w:r>
        <w:t>2021 -2022 in acknowledgement of our mahi over the past nine months to set up Te Aka Whai Ora | The Māori Health Authority as we operated as a Departmental Agency within</w:t>
      </w:r>
      <w:r w:rsidR="00237A9E">
        <w:t xml:space="preserve"> Te</w:t>
      </w:r>
      <w:r>
        <w:t xml:space="preserve"> Manatū Hauora</w:t>
      </w:r>
      <w:r w:rsidR="00D73979">
        <w:t xml:space="preserve"> </w:t>
      </w:r>
      <w:r>
        <w:t>| the Ministry of Health.</w:t>
      </w:r>
    </w:p>
    <w:p w14:paraId="0DBE7B54" w14:textId="77777777" w:rsidR="00C22B35" w:rsidRDefault="00C22B35" w:rsidP="00C22B35"/>
    <w:p w14:paraId="2CAA2F1D" w14:textId="7C4DC2F3" w:rsidR="00C22B35" w:rsidRDefault="00C22B35" w:rsidP="00C22B35">
      <w:r>
        <w:t xml:space="preserve">This document sets out our responses to the Minister’s Letter of Expectations (December 2021) in setting up the initial structures, processes and agreements in place ready for Te Aka Whai Ora Day 1 (1 July 2022). It demonstrates how, supported by the chief stewardship role of </w:t>
      </w:r>
      <w:r w:rsidR="00CA5151">
        <w:t xml:space="preserve">Te </w:t>
      </w:r>
      <w:r>
        <w:t>Manatū Hauora, and in partnership with interim Health New Zealand, we intend to give effect to the waka houora approach to co-design and co-commissioning for the new health system.</w:t>
      </w:r>
    </w:p>
    <w:p w14:paraId="65AFAD45" w14:textId="77777777" w:rsidR="00C22B35" w:rsidRDefault="00C22B35" w:rsidP="00C22B35"/>
    <w:p w14:paraId="17DE454D" w14:textId="1F971B97" w:rsidR="00C22B35" w:rsidRDefault="00C22B35" w:rsidP="00C22B35">
      <w:r>
        <w:t>In accordance with the expectations of the Minister of Health and Cabinet, the interim operating model will be refined over the coming years as new functions and relationships are established and embedded in Te Aka Whai Ora.</w:t>
      </w:r>
    </w:p>
    <w:p w14:paraId="030A3C70" w14:textId="77777777" w:rsidR="00C22B35" w:rsidRDefault="00C22B35" w:rsidP="00C22B35"/>
    <w:p w14:paraId="451565AD" w14:textId="3ABD3A3A" w:rsidR="00C22B35" w:rsidRDefault="00C22B35" w:rsidP="00C22B35">
      <w:r>
        <w:t>Equity is an underlying principle that has been designed into the core of the operating model. This aligns with our overall transition objectives – to simplify the way we work, unify our teams, make visible the voices of whānau and consumers and embed enablers of equity and sustainability.</w:t>
      </w:r>
    </w:p>
    <w:p w14:paraId="086F9CFE" w14:textId="77777777" w:rsidR="00C22B35" w:rsidRDefault="00C22B35" w:rsidP="00C22B35"/>
    <w:p w14:paraId="60EA7B5B" w14:textId="3CE65F31" w:rsidR="00C22B35" w:rsidRDefault="00C22B35" w:rsidP="00C22B35">
      <w:r>
        <w:t>The transformation of our health system will take time and will not be achieved without the valued efforts of our health sector workforce. We look forward to working with you to make our health system work better for all New Zealanders – now and into the future.</w:t>
      </w:r>
    </w:p>
    <w:p w14:paraId="6CDEA700" w14:textId="77777777" w:rsidR="00C22B35" w:rsidRDefault="00C22B35" w:rsidP="00C22B35"/>
    <w:p w14:paraId="505A2D8A" w14:textId="77777777" w:rsidR="00C22B35" w:rsidRDefault="00C22B35" w:rsidP="00C22B35">
      <w:r>
        <w:t xml:space="preserve">E hara taku toa i te toa takitahi, engari he toa takitini </w:t>
      </w:r>
    </w:p>
    <w:p w14:paraId="2CFAA76F" w14:textId="77777777" w:rsidR="00C22B35" w:rsidRDefault="00C22B35" w:rsidP="00C22B35"/>
    <w:p w14:paraId="1E8B4646" w14:textId="2E91DDE7" w:rsidR="00C22B35" w:rsidRDefault="00C22B35" w:rsidP="00C22B35">
      <w:r>
        <w:t>Riana Manuel</w:t>
      </w:r>
    </w:p>
    <w:p w14:paraId="6013BAB4" w14:textId="77777777" w:rsidR="00C22B35" w:rsidRPr="00C22B35" w:rsidRDefault="00C22B35" w:rsidP="00C22B35">
      <w:pPr>
        <w:rPr>
          <w:b/>
          <w:bCs/>
        </w:rPr>
      </w:pPr>
      <w:r w:rsidRPr="00C22B35">
        <w:rPr>
          <w:b/>
          <w:bCs/>
        </w:rPr>
        <w:t>Chief Executive /Tumu Whakarae</w:t>
      </w:r>
    </w:p>
    <w:p w14:paraId="6FEE6BF8" w14:textId="77777777" w:rsidR="00C22B35" w:rsidRPr="00C22B35" w:rsidRDefault="00C22B35" w:rsidP="00C22B35">
      <w:pPr>
        <w:rPr>
          <w:b/>
          <w:bCs/>
        </w:rPr>
      </w:pPr>
      <w:r w:rsidRPr="00C22B35">
        <w:rPr>
          <w:b/>
          <w:bCs/>
        </w:rPr>
        <w:t>Interim Māori Health Authority</w:t>
      </w:r>
    </w:p>
    <w:p w14:paraId="3ACEAADB" w14:textId="77777777" w:rsidR="00C22B35" w:rsidRDefault="00C22B35" w:rsidP="00C22B35">
      <w:pPr>
        <w:sectPr w:rsidR="00C22B35" w:rsidSect="00C26282">
          <w:pgSz w:w="11907" w:h="16840" w:code="9"/>
          <w:pgMar w:top="1418" w:right="1701" w:bottom="1134" w:left="1843" w:header="284" w:footer="425" w:gutter="284"/>
          <w:cols w:space="720"/>
        </w:sectPr>
      </w:pPr>
      <w:r>
        <w:t>Te Aka Whai Ora | Māori Health Authority</w:t>
      </w:r>
    </w:p>
    <w:p w14:paraId="7682CDE7" w14:textId="04DA0A13" w:rsidR="00C22B35" w:rsidRDefault="00DF1A78" w:rsidP="00F870AE">
      <w:pPr>
        <w:pStyle w:val="Heading2"/>
        <w:spacing w:before="0"/>
      </w:pPr>
      <w:bookmarkStart w:id="103" w:name="_Toc117265009"/>
      <w:r>
        <w:lastRenderedPageBreak/>
        <w:t>W</w:t>
      </w:r>
      <w:r w:rsidR="00C22B35">
        <w:t>ho we are and what we achieved</w:t>
      </w:r>
      <w:bookmarkEnd w:id="103"/>
    </w:p>
    <w:p w14:paraId="1321FD0C" w14:textId="3BC1217E" w:rsidR="00C22B35" w:rsidRDefault="00C22B35" w:rsidP="00C22B35">
      <w:r>
        <w:t>The Health and Disability System Review and its Final Report Pūrongo Whaka Mutunga, recognised that transformational change is needed at all levels of the health system to achieve better outcomes for Māori and eliminate inequities.</w:t>
      </w:r>
    </w:p>
    <w:p w14:paraId="7B2EA727" w14:textId="77777777" w:rsidR="00DF1A78" w:rsidRDefault="00DF1A78" w:rsidP="00C22B35"/>
    <w:p w14:paraId="19F57F04" w14:textId="75A1326F" w:rsidR="00C22B35" w:rsidRDefault="00C22B35" w:rsidP="00C22B35">
      <w:r>
        <w:t>The establishment of the interim Māori Health Authority (iMHA) was a direct health reform response to Wai 2575 Health Services, the Outcomes Kaupapa Inquiry</w:t>
      </w:r>
      <w:r w:rsidR="0073291A">
        <w:rPr>
          <w:rStyle w:val="FootnoteReference"/>
        </w:rPr>
        <w:footnoteReference w:id="68"/>
      </w:r>
      <w:r>
        <w:t xml:space="preserve"> and the Health and Disability Review/Hauora Manaaki Ki Aotearoa Whānui.</w:t>
      </w:r>
      <w:r w:rsidR="0073291A">
        <w:rPr>
          <w:rStyle w:val="FootnoteReference"/>
        </w:rPr>
        <w:footnoteReference w:id="69"/>
      </w:r>
    </w:p>
    <w:p w14:paraId="52866761" w14:textId="77777777" w:rsidR="00DF1A78" w:rsidRDefault="00DF1A78" w:rsidP="00C22B35"/>
    <w:p w14:paraId="7A168521" w14:textId="541EBEF2" w:rsidR="00C22B35" w:rsidRDefault="00C22B35" w:rsidP="00C22B35">
      <w:r>
        <w:t>The Pae Ora (Healthy Futures) Act 2022 outlines the core changes within the health reforms, including the formal, permanent establishment of an independent statutory entity, Te Aka Whai Ora</w:t>
      </w:r>
      <w:r w:rsidR="00D73979">
        <w:t xml:space="preserve"> </w:t>
      </w:r>
      <w:r>
        <w:t>| the Māori Health Authority, from 1 July 2022.</w:t>
      </w:r>
    </w:p>
    <w:p w14:paraId="6F23CD64" w14:textId="77777777" w:rsidR="00DF1A78" w:rsidRDefault="00DF1A78" w:rsidP="00C22B35"/>
    <w:p w14:paraId="4CFE4A88" w14:textId="6F2A4410" w:rsidR="00C22B35" w:rsidRDefault="00C22B35" w:rsidP="00C22B35">
      <w:r>
        <w:t xml:space="preserve">The iMHA was established in September 2021 and operated as a Departmental Agency within </w:t>
      </w:r>
      <w:r w:rsidR="00926BF8">
        <w:t xml:space="preserve">Te </w:t>
      </w:r>
      <w:r>
        <w:t>Manatū Hauora until 1 July 2022. The iMHA was established to design and set up a new independent statutory entity, Te Aka Whai Ora | the Māori Health Authority, to fulfil its strategic partnering, planning, commissioning and development roles as of 1 July 2022 within a newly transformed system.</w:t>
      </w:r>
    </w:p>
    <w:p w14:paraId="527E33DF" w14:textId="77777777" w:rsidR="00C22B35" w:rsidRDefault="00C22B35" w:rsidP="00DF1A78">
      <w:pPr>
        <w:pStyle w:val="Heading3"/>
      </w:pPr>
      <w:bookmarkStart w:id="104" w:name="_Toc117265010"/>
      <w:r>
        <w:t>Our functions</w:t>
      </w:r>
      <w:bookmarkEnd w:id="104"/>
    </w:p>
    <w:p w14:paraId="4E98E480" w14:textId="77777777" w:rsidR="00C22B35" w:rsidRDefault="00C22B35" w:rsidP="00C22B35">
      <w:r>
        <w:t>Our iMHA functions expressed in the Minister’s Letter of Expectations December 2021 were to:</w:t>
      </w:r>
    </w:p>
    <w:p w14:paraId="5A82F151" w14:textId="40EF0B28" w:rsidR="00C22B35" w:rsidRDefault="00C22B35" w:rsidP="00DF1A78">
      <w:pPr>
        <w:pStyle w:val="Bullet"/>
      </w:pPr>
      <w:r>
        <w:t>set up the operating functions of the future Te Aka Whai Ora | Māori Health Authority ready for Day One- 1 July 2022 building the base for our operating model; the approaches, frameworks and systems for how the Te Aka Whai Ora | Māori Health Authority will work in future in a detailed workplan.</w:t>
      </w:r>
    </w:p>
    <w:p w14:paraId="6C70A310" w14:textId="3A903357" w:rsidR="00C22B35" w:rsidRDefault="00C22B35" w:rsidP="00DF1A78">
      <w:pPr>
        <w:pStyle w:val="Bullet"/>
      </w:pPr>
      <w:r>
        <w:t>establish Te Aka Whai Ora</w:t>
      </w:r>
      <w:r w:rsidR="00D73979">
        <w:t xml:space="preserve"> </w:t>
      </w:r>
      <w:r>
        <w:t>| Māori Health Authority’s role as a strategic partner to bring a unique and focused Māori viewpoint to the design and delivery of system policy, strategy, prioritisation, planning and performance. It will be accountable both to the government for succeeding in that role, and to Māori for reflecting their needs and aspirations in how Te Aka Whai Ora gives effect to its functions.</w:t>
      </w:r>
    </w:p>
    <w:p w14:paraId="382C9992" w14:textId="25C7AC75" w:rsidR="00C22B35" w:rsidRDefault="00C22B35" w:rsidP="00DF1A78">
      <w:pPr>
        <w:pStyle w:val="Bullet"/>
      </w:pPr>
      <w:r>
        <w:t>set up commissioning of haurora Māori services to deliver on a modest initial commissioning budget in the 2021/22 financial year.</w:t>
      </w:r>
    </w:p>
    <w:p w14:paraId="220C3A27" w14:textId="5CDF6541" w:rsidR="00C22B35" w:rsidRDefault="00C22B35" w:rsidP="00DF1A78">
      <w:pPr>
        <w:pStyle w:val="Bullet"/>
      </w:pPr>
      <w:r>
        <w:t>deliver the Pae Tata| interim New Zealand Health Plan working jointly with Health New Zealand to give effect to the initial Government Policy Statement.</w:t>
      </w:r>
    </w:p>
    <w:p w14:paraId="4A1FA1EA" w14:textId="041874C3" w:rsidR="00C22B35" w:rsidRDefault="00C22B35" w:rsidP="00DF1A78">
      <w:pPr>
        <w:pStyle w:val="Bullet"/>
      </w:pPr>
      <w:r>
        <w:t>support and engage with Iwi Māori Partnership Boards about their establishment plans.</w:t>
      </w:r>
    </w:p>
    <w:p w14:paraId="3A936D3E" w14:textId="26AAB6B0" w:rsidR="00C22B35" w:rsidRDefault="00C22B35" w:rsidP="00DF1A78">
      <w:pPr>
        <w:pStyle w:val="Bullet"/>
      </w:pPr>
      <w:r>
        <w:t xml:space="preserve">other functions, that included working with the Health Reform Transition Unit, </w:t>
      </w:r>
      <w:r w:rsidR="00926BF8">
        <w:t xml:space="preserve">Te </w:t>
      </w:r>
      <w:r>
        <w:t>Manatū Hauora, interim Health New Zealand, and other agencies as required.</w:t>
      </w:r>
    </w:p>
    <w:p w14:paraId="44D2B831" w14:textId="77777777" w:rsidR="00C22B35" w:rsidRDefault="00C22B35" w:rsidP="00C22B35"/>
    <w:p w14:paraId="61147638" w14:textId="77777777" w:rsidR="00D73979" w:rsidRDefault="00D73979" w:rsidP="00C22B35">
      <w:pPr>
        <w:sectPr w:rsidR="00D73979" w:rsidSect="00C26282">
          <w:pgSz w:w="11907" w:h="16840" w:code="9"/>
          <w:pgMar w:top="1418" w:right="1701" w:bottom="1134" w:left="1843" w:header="284" w:footer="425" w:gutter="284"/>
          <w:cols w:space="720"/>
        </w:sectPr>
      </w:pPr>
    </w:p>
    <w:p w14:paraId="63574629" w14:textId="10532739" w:rsidR="00C22B35" w:rsidRDefault="00C22B35" w:rsidP="00C22B35">
      <w:r>
        <w:t xml:space="preserve">Note: As the iMHA was of a transitional nature and of very small size, exclusions were granted by The Treasury for departmental reporting, such as Carbon Neutral </w:t>
      </w:r>
      <w:r>
        <w:lastRenderedPageBreak/>
        <w:t>Government Programme and Diversity and Inclusion requirements, as such requirements are impractical.</w:t>
      </w:r>
    </w:p>
    <w:p w14:paraId="262B878F" w14:textId="77777777" w:rsidR="00C22B35" w:rsidRDefault="00C22B35" w:rsidP="00DF1A78">
      <w:pPr>
        <w:pStyle w:val="Heading3"/>
      </w:pPr>
      <w:bookmarkStart w:id="105" w:name="_Toc117265011"/>
      <w:r>
        <w:t>Our people</w:t>
      </w:r>
      <w:bookmarkEnd w:id="105"/>
    </w:p>
    <w:p w14:paraId="2A800470" w14:textId="21C69AAD" w:rsidR="00C22B35" w:rsidRDefault="00C22B35" w:rsidP="0073291A">
      <w:pPr>
        <w:tabs>
          <w:tab w:val="left" w:pos="5625"/>
        </w:tabs>
      </w:pPr>
      <w:r>
        <w:t>As at 30 June 2022, the iMHA directly employed 10 FTE</w:t>
      </w:r>
      <w:r w:rsidR="0073291A">
        <w:t>.</w:t>
      </w:r>
      <w:r w:rsidR="0073291A">
        <w:rPr>
          <w:rStyle w:val="FootnoteReference"/>
        </w:rPr>
        <w:footnoteReference w:id="70"/>
      </w:r>
      <w:r w:rsidR="0073291A">
        <w:t xml:space="preserve"> </w:t>
      </w:r>
      <w:r>
        <w:t xml:space="preserve"> The data below excludes staff secondments from other agencies and contractors working in the iMHA. As at 30 June 2022, 60 percent of employed staff identify as female.</w:t>
      </w:r>
      <w:r w:rsidR="00DF1A78" w:rsidRPr="00DF1A78">
        <w:rPr>
          <w:noProof/>
        </w:rPr>
        <w:t xml:space="preserve"> </w:t>
      </w:r>
    </w:p>
    <w:p w14:paraId="19D38685" w14:textId="13117665" w:rsidR="00DF1A78" w:rsidRDefault="00D73979" w:rsidP="00C22B35">
      <w:r>
        <w:rPr>
          <w:noProof/>
        </w:rPr>
        <w:drawing>
          <wp:anchor distT="0" distB="0" distL="114300" distR="114300" simplePos="0" relativeHeight="251685888" behindDoc="0" locked="0" layoutInCell="1" allowOverlap="1" wp14:anchorId="00E7B0D6" wp14:editId="74ABAF2A">
            <wp:simplePos x="0" y="0"/>
            <wp:positionH relativeFrom="page">
              <wp:posOffset>4921885</wp:posOffset>
            </wp:positionH>
            <wp:positionV relativeFrom="page">
              <wp:posOffset>2531859</wp:posOffset>
            </wp:positionV>
            <wp:extent cx="1302587" cy="1378694"/>
            <wp:effectExtent l="0" t="0" r="0" b="0"/>
            <wp:wrapNone/>
            <wp:docPr id="34" name="Picture 34" descr="Pie chart shows more female than 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Pie chart shows more female than male"/>
                    <pic:cNvPicPr/>
                  </pic:nvPicPr>
                  <pic:blipFill rotWithShape="1">
                    <a:blip r:embed="rId80"/>
                    <a:srcRect b="52500"/>
                    <a:stretch/>
                  </pic:blipFill>
                  <pic:spPr bwMode="auto">
                    <a:xfrm>
                      <a:off x="0" y="0"/>
                      <a:ext cx="1302587" cy="13786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0" w:type="auto"/>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588"/>
        <w:gridCol w:w="1550"/>
        <w:gridCol w:w="1275"/>
      </w:tblGrid>
      <w:tr w:rsidR="00DF1A78" w14:paraId="7603DCD6" w14:textId="77777777" w:rsidTr="00DF1A78">
        <w:trPr>
          <w:trHeight w:val="343"/>
        </w:trPr>
        <w:tc>
          <w:tcPr>
            <w:tcW w:w="1588" w:type="dxa"/>
            <w:shd w:val="clear" w:color="auto" w:fill="D9D9D9" w:themeFill="background1" w:themeFillShade="D9"/>
          </w:tcPr>
          <w:p w14:paraId="3ED4986C" w14:textId="77777777" w:rsidR="00DF1A78" w:rsidRPr="00DF1A78" w:rsidRDefault="00DF1A78" w:rsidP="00DF1A78">
            <w:pPr>
              <w:pStyle w:val="TableText"/>
              <w:rPr>
                <w:b/>
                <w:bCs/>
              </w:rPr>
            </w:pPr>
            <w:bookmarkStart w:id="106" w:name="_Hlk116914273"/>
            <w:r w:rsidRPr="00DF1A78">
              <w:rPr>
                <w:b/>
                <w:bCs/>
              </w:rPr>
              <w:t>Gender</w:t>
            </w:r>
          </w:p>
        </w:tc>
        <w:tc>
          <w:tcPr>
            <w:tcW w:w="2825" w:type="dxa"/>
            <w:gridSpan w:val="2"/>
            <w:shd w:val="clear" w:color="auto" w:fill="D9D9D9" w:themeFill="background1" w:themeFillShade="D9"/>
          </w:tcPr>
          <w:p w14:paraId="7CE8474A" w14:textId="77777777" w:rsidR="00DF1A78" w:rsidRPr="00DF1A78" w:rsidRDefault="00DF1A78" w:rsidP="00DF1A78">
            <w:pPr>
              <w:pStyle w:val="TableText"/>
              <w:jc w:val="center"/>
              <w:rPr>
                <w:b/>
                <w:bCs/>
              </w:rPr>
            </w:pPr>
            <w:r w:rsidRPr="00DF1A78">
              <w:rPr>
                <w:b/>
                <w:bCs/>
                <w:w w:val="105"/>
              </w:rPr>
              <w:t>Te</w:t>
            </w:r>
            <w:r w:rsidRPr="00DF1A78">
              <w:rPr>
                <w:b/>
                <w:bCs/>
                <w:spacing w:val="-9"/>
                <w:w w:val="105"/>
              </w:rPr>
              <w:t xml:space="preserve"> </w:t>
            </w:r>
            <w:r w:rsidRPr="00DF1A78">
              <w:rPr>
                <w:b/>
                <w:bCs/>
                <w:w w:val="105"/>
              </w:rPr>
              <w:t>Aka</w:t>
            </w:r>
            <w:r w:rsidRPr="00DF1A78">
              <w:rPr>
                <w:b/>
                <w:bCs/>
                <w:spacing w:val="-8"/>
                <w:w w:val="105"/>
              </w:rPr>
              <w:t xml:space="preserve"> </w:t>
            </w:r>
            <w:r w:rsidRPr="00DF1A78">
              <w:rPr>
                <w:b/>
                <w:bCs/>
                <w:w w:val="105"/>
              </w:rPr>
              <w:t>Whai</w:t>
            </w:r>
            <w:r w:rsidRPr="00DF1A78">
              <w:rPr>
                <w:b/>
                <w:bCs/>
                <w:spacing w:val="-8"/>
                <w:w w:val="105"/>
              </w:rPr>
              <w:t xml:space="preserve"> </w:t>
            </w:r>
            <w:r w:rsidRPr="00DF1A78">
              <w:rPr>
                <w:b/>
                <w:bCs/>
                <w:w w:val="105"/>
              </w:rPr>
              <w:t>Ora</w:t>
            </w:r>
          </w:p>
        </w:tc>
      </w:tr>
      <w:tr w:rsidR="00DF1A78" w14:paraId="08CE92ED" w14:textId="77777777" w:rsidTr="00DF1A78">
        <w:trPr>
          <w:trHeight w:val="344"/>
        </w:trPr>
        <w:tc>
          <w:tcPr>
            <w:tcW w:w="1588" w:type="dxa"/>
            <w:shd w:val="clear" w:color="auto" w:fill="D9D9D9" w:themeFill="background1" w:themeFillShade="D9"/>
          </w:tcPr>
          <w:p w14:paraId="0D3C00CC" w14:textId="77777777" w:rsidR="00DF1A78" w:rsidRPr="00DF1A78" w:rsidRDefault="00DF1A78" w:rsidP="00DF1A78">
            <w:pPr>
              <w:pStyle w:val="TableText"/>
              <w:rPr>
                <w:rFonts w:ascii="Times New Roman"/>
                <w:b/>
                <w:bCs/>
                <w:sz w:val="20"/>
              </w:rPr>
            </w:pPr>
          </w:p>
        </w:tc>
        <w:tc>
          <w:tcPr>
            <w:tcW w:w="1550" w:type="dxa"/>
            <w:shd w:val="clear" w:color="auto" w:fill="D9D9D9" w:themeFill="background1" w:themeFillShade="D9"/>
          </w:tcPr>
          <w:p w14:paraId="51F739BF" w14:textId="77777777" w:rsidR="00DF1A78" w:rsidRPr="00DF1A78" w:rsidRDefault="00DF1A78" w:rsidP="00DF1A78">
            <w:pPr>
              <w:pStyle w:val="TableText"/>
              <w:jc w:val="right"/>
              <w:rPr>
                <w:b/>
                <w:bCs/>
              </w:rPr>
            </w:pPr>
            <w:r w:rsidRPr="00DF1A78">
              <w:rPr>
                <w:b/>
                <w:bCs/>
                <w:w w:val="105"/>
              </w:rPr>
              <w:t>Headcount</w:t>
            </w:r>
          </w:p>
        </w:tc>
        <w:tc>
          <w:tcPr>
            <w:tcW w:w="1275" w:type="dxa"/>
            <w:shd w:val="clear" w:color="auto" w:fill="D9D9D9" w:themeFill="background1" w:themeFillShade="D9"/>
          </w:tcPr>
          <w:p w14:paraId="146F319A" w14:textId="1652B22A" w:rsidR="00DF1A78" w:rsidRPr="00DF1A78" w:rsidRDefault="00DF1A78" w:rsidP="00DF1A78">
            <w:pPr>
              <w:pStyle w:val="TableText"/>
              <w:jc w:val="right"/>
              <w:rPr>
                <w:b/>
                <w:bCs/>
              </w:rPr>
            </w:pPr>
            <w:r w:rsidRPr="00DF1A78">
              <w:rPr>
                <w:b/>
                <w:bCs/>
                <w:w w:val="110"/>
              </w:rPr>
              <w:t>Proportion</w:t>
            </w:r>
          </w:p>
        </w:tc>
      </w:tr>
      <w:tr w:rsidR="00DF1A78" w14:paraId="4DA4FB6F" w14:textId="77777777" w:rsidTr="00DF1A78">
        <w:trPr>
          <w:trHeight w:val="343"/>
        </w:trPr>
        <w:tc>
          <w:tcPr>
            <w:tcW w:w="1588" w:type="dxa"/>
          </w:tcPr>
          <w:p w14:paraId="77E7477D" w14:textId="77777777" w:rsidR="00DF1A78" w:rsidRDefault="00DF1A78" w:rsidP="00DF1A78">
            <w:pPr>
              <w:pStyle w:val="TableText"/>
            </w:pPr>
            <w:r>
              <w:t>Female</w:t>
            </w:r>
          </w:p>
        </w:tc>
        <w:tc>
          <w:tcPr>
            <w:tcW w:w="1550" w:type="dxa"/>
          </w:tcPr>
          <w:p w14:paraId="7EAE8BDB" w14:textId="77777777" w:rsidR="00DF1A78" w:rsidRDefault="00DF1A78" w:rsidP="00DF1A78">
            <w:pPr>
              <w:pStyle w:val="TableText"/>
              <w:jc w:val="right"/>
            </w:pPr>
            <w:r>
              <w:rPr>
                <w:w w:val="114"/>
              </w:rPr>
              <w:t>6</w:t>
            </w:r>
          </w:p>
        </w:tc>
        <w:tc>
          <w:tcPr>
            <w:tcW w:w="1275" w:type="dxa"/>
          </w:tcPr>
          <w:p w14:paraId="09383DBC" w14:textId="77777777" w:rsidR="00DF1A78" w:rsidRDefault="00DF1A78" w:rsidP="00DF1A78">
            <w:pPr>
              <w:pStyle w:val="TableText"/>
              <w:jc w:val="right"/>
            </w:pPr>
            <w:r>
              <w:rPr>
                <w:w w:val="105"/>
              </w:rPr>
              <w:t>60%</w:t>
            </w:r>
          </w:p>
        </w:tc>
      </w:tr>
      <w:tr w:rsidR="00DF1A78" w14:paraId="5A8262AA" w14:textId="77777777" w:rsidTr="00DF1A78">
        <w:trPr>
          <w:trHeight w:val="338"/>
        </w:trPr>
        <w:tc>
          <w:tcPr>
            <w:tcW w:w="1588" w:type="dxa"/>
          </w:tcPr>
          <w:p w14:paraId="4D4EBC9F" w14:textId="77777777" w:rsidR="00DF1A78" w:rsidRDefault="00DF1A78" w:rsidP="00DF1A78">
            <w:pPr>
              <w:pStyle w:val="TableText"/>
            </w:pPr>
            <w:r>
              <w:t>Male</w:t>
            </w:r>
          </w:p>
        </w:tc>
        <w:tc>
          <w:tcPr>
            <w:tcW w:w="1550" w:type="dxa"/>
          </w:tcPr>
          <w:p w14:paraId="60A6FDCC" w14:textId="77777777" w:rsidR="00DF1A78" w:rsidRDefault="00DF1A78" w:rsidP="00DF1A78">
            <w:pPr>
              <w:pStyle w:val="TableText"/>
              <w:jc w:val="right"/>
            </w:pPr>
            <w:r>
              <w:rPr>
                <w:w w:val="113"/>
              </w:rPr>
              <w:t>4</w:t>
            </w:r>
          </w:p>
        </w:tc>
        <w:tc>
          <w:tcPr>
            <w:tcW w:w="1275" w:type="dxa"/>
          </w:tcPr>
          <w:p w14:paraId="01635361" w14:textId="77777777" w:rsidR="00DF1A78" w:rsidRDefault="00DF1A78" w:rsidP="00DF1A78">
            <w:pPr>
              <w:pStyle w:val="TableText"/>
              <w:jc w:val="right"/>
            </w:pPr>
            <w:r>
              <w:rPr>
                <w:w w:val="105"/>
              </w:rPr>
              <w:t>40%</w:t>
            </w:r>
          </w:p>
        </w:tc>
      </w:tr>
      <w:tr w:rsidR="00DF1A78" w14:paraId="008FDA36" w14:textId="77777777" w:rsidTr="00DF1A78">
        <w:trPr>
          <w:trHeight w:val="333"/>
        </w:trPr>
        <w:tc>
          <w:tcPr>
            <w:tcW w:w="1588" w:type="dxa"/>
          </w:tcPr>
          <w:p w14:paraId="570FF6F7" w14:textId="77777777" w:rsidR="00DF1A78" w:rsidRDefault="00DF1A78" w:rsidP="00DF1A78">
            <w:pPr>
              <w:pStyle w:val="TableText"/>
            </w:pPr>
            <w:r>
              <w:rPr>
                <w:w w:val="105"/>
              </w:rPr>
              <w:t>Total</w:t>
            </w:r>
          </w:p>
        </w:tc>
        <w:tc>
          <w:tcPr>
            <w:tcW w:w="1550" w:type="dxa"/>
          </w:tcPr>
          <w:p w14:paraId="1A82338E" w14:textId="77777777" w:rsidR="00DF1A78" w:rsidRDefault="00DF1A78" w:rsidP="00DF1A78">
            <w:pPr>
              <w:pStyle w:val="TableText"/>
              <w:jc w:val="right"/>
            </w:pPr>
            <w:r>
              <w:rPr>
                <w:w w:val="95"/>
              </w:rPr>
              <w:t>10</w:t>
            </w:r>
          </w:p>
        </w:tc>
        <w:tc>
          <w:tcPr>
            <w:tcW w:w="1275" w:type="dxa"/>
          </w:tcPr>
          <w:p w14:paraId="10008F8D" w14:textId="77777777" w:rsidR="00DF1A78" w:rsidRDefault="00DF1A78" w:rsidP="00DF1A78">
            <w:pPr>
              <w:pStyle w:val="TableText"/>
              <w:jc w:val="right"/>
            </w:pPr>
            <w:r>
              <w:t>100.0%</w:t>
            </w:r>
          </w:p>
        </w:tc>
      </w:tr>
      <w:bookmarkEnd w:id="106"/>
    </w:tbl>
    <w:p w14:paraId="3D96DAC0" w14:textId="2A10DECC" w:rsidR="00DF1A78" w:rsidRDefault="00DF1A78" w:rsidP="00C22B35"/>
    <w:p w14:paraId="6DD86529" w14:textId="7C385395" w:rsidR="00DF1A78" w:rsidRDefault="00DF1A78" w:rsidP="00C22B35">
      <w:r w:rsidRPr="00DF1A78">
        <w:t>As at 30 June 2022, 58.8 percent of employed staff identify as Māori.</w:t>
      </w:r>
    </w:p>
    <w:p w14:paraId="368FDBEC" w14:textId="17EB7FD4" w:rsidR="00DF1A78" w:rsidRDefault="00D73979" w:rsidP="00D73979">
      <w:pPr>
        <w:tabs>
          <w:tab w:val="left" w:pos="7088"/>
          <w:tab w:val="left" w:pos="7230"/>
        </w:tabs>
      </w:pPr>
      <w:r>
        <w:rPr>
          <w:noProof/>
        </w:rPr>
        <w:drawing>
          <wp:anchor distT="0" distB="0" distL="114300" distR="114300" simplePos="0" relativeHeight="251683840" behindDoc="0" locked="0" layoutInCell="1" allowOverlap="1" wp14:anchorId="36829AE1" wp14:editId="39CF6451">
            <wp:simplePos x="0" y="0"/>
            <wp:positionH relativeFrom="page">
              <wp:posOffset>4974117</wp:posOffset>
            </wp:positionH>
            <wp:positionV relativeFrom="page">
              <wp:posOffset>4380685</wp:posOffset>
            </wp:positionV>
            <wp:extent cx="1307635" cy="1499616"/>
            <wp:effectExtent l="0" t="0" r="6985" b="5715"/>
            <wp:wrapNone/>
            <wp:docPr id="32" name="Picture 32" descr="Pie chart shows more Mā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Pie chart shows more Māori"/>
                    <pic:cNvPicPr/>
                  </pic:nvPicPr>
                  <pic:blipFill rotWithShape="1">
                    <a:blip r:embed="rId80"/>
                    <a:srcRect t="48533"/>
                    <a:stretch/>
                  </pic:blipFill>
                  <pic:spPr bwMode="auto">
                    <a:xfrm>
                      <a:off x="0" y="0"/>
                      <a:ext cx="1307635" cy="14996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0" w:type="auto"/>
        <w:tblInd w:w="7"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1540"/>
        <w:gridCol w:w="1322"/>
        <w:gridCol w:w="1426"/>
      </w:tblGrid>
      <w:tr w:rsidR="00DF1A78" w14:paraId="527CA0EF" w14:textId="77777777" w:rsidTr="00DF1A78">
        <w:trPr>
          <w:trHeight w:val="343"/>
        </w:trPr>
        <w:tc>
          <w:tcPr>
            <w:tcW w:w="1540" w:type="dxa"/>
            <w:shd w:val="clear" w:color="auto" w:fill="D9D9D9" w:themeFill="background1" w:themeFillShade="D9"/>
          </w:tcPr>
          <w:p w14:paraId="6810E6A4" w14:textId="77777777" w:rsidR="00DF1A78" w:rsidRPr="00DF1A78" w:rsidRDefault="00DF1A78" w:rsidP="00DF1A78">
            <w:pPr>
              <w:pStyle w:val="TableText"/>
              <w:rPr>
                <w:b/>
                <w:bCs/>
              </w:rPr>
            </w:pPr>
            <w:r w:rsidRPr="00DF1A78">
              <w:rPr>
                <w:b/>
                <w:bCs/>
                <w:w w:val="105"/>
              </w:rPr>
              <w:t>Ethnic</w:t>
            </w:r>
            <w:r w:rsidRPr="00DF1A78">
              <w:rPr>
                <w:b/>
                <w:bCs/>
                <w:spacing w:val="-10"/>
                <w:w w:val="105"/>
              </w:rPr>
              <w:t xml:space="preserve"> </w:t>
            </w:r>
            <w:r w:rsidRPr="00DF1A78">
              <w:rPr>
                <w:b/>
                <w:bCs/>
                <w:w w:val="105"/>
              </w:rPr>
              <w:t>Group</w:t>
            </w:r>
          </w:p>
        </w:tc>
        <w:tc>
          <w:tcPr>
            <w:tcW w:w="2748" w:type="dxa"/>
            <w:gridSpan w:val="2"/>
            <w:shd w:val="clear" w:color="auto" w:fill="D9D9D9" w:themeFill="background1" w:themeFillShade="D9"/>
          </w:tcPr>
          <w:p w14:paraId="6B6D12F1" w14:textId="77777777" w:rsidR="00DF1A78" w:rsidRPr="00DF1A78" w:rsidRDefault="00DF1A78" w:rsidP="00DF1A78">
            <w:pPr>
              <w:pStyle w:val="TableText"/>
              <w:jc w:val="center"/>
              <w:rPr>
                <w:b/>
                <w:bCs/>
              </w:rPr>
            </w:pPr>
            <w:r w:rsidRPr="00DF1A78">
              <w:rPr>
                <w:b/>
                <w:bCs/>
                <w:w w:val="105"/>
              </w:rPr>
              <w:t>Te</w:t>
            </w:r>
            <w:r w:rsidRPr="00DF1A78">
              <w:rPr>
                <w:b/>
                <w:bCs/>
                <w:spacing w:val="-9"/>
                <w:w w:val="105"/>
              </w:rPr>
              <w:t xml:space="preserve"> </w:t>
            </w:r>
            <w:r w:rsidRPr="00DF1A78">
              <w:rPr>
                <w:b/>
                <w:bCs/>
                <w:w w:val="105"/>
              </w:rPr>
              <w:t>Aka</w:t>
            </w:r>
            <w:r w:rsidRPr="00DF1A78">
              <w:rPr>
                <w:b/>
                <w:bCs/>
                <w:spacing w:val="-8"/>
                <w:w w:val="105"/>
              </w:rPr>
              <w:t xml:space="preserve"> </w:t>
            </w:r>
            <w:r w:rsidRPr="00DF1A78">
              <w:rPr>
                <w:b/>
                <w:bCs/>
                <w:w w:val="105"/>
              </w:rPr>
              <w:t>Whai</w:t>
            </w:r>
            <w:r w:rsidRPr="00DF1A78">
              <w:rPr>
                <w:b/>
                <w:bCs/>
                <w:spacing w:val="-8"/>
                <w:w w:val="105"/>
              </w:rPr>
              <w:t xml:space="preserve"> </w:t>
            </w:r>
            <w:r w:rsidRPr="00DF1A78">
              <w:rPr>
                <w:b/>
                <w:bCs/>
                <w:w w:val="105"/>
              </w:rPr>
              <w:t>Ora</w:t>
            </w:r>
          </w:p>
        </w:tc>
      </w:tr>
      <w:tr w:rsidR="00DF1A78" w14:paraId="350B5BB0" w14:textId="77777777" w:rsidTr="00DF1A78">
        <w:trPr>
          <w:trHeight w:val="344"/>
        </w:trPr>
        <w:tc>
          <w:tcPr>
            <w:tcW w:w="1540" w:type="dxa"/>
            <w:shd w:val="clear" w:color="auto" w:fill="D9D9D9" w:themeFill="background1" w:themeFillShade="D9"/>
          </w:tcPr>
          <w:p w14:paraId="1236D48F" w14:textId="77777777" w:rsidR="00DF1A78" w:rsidRPr="00DF1A78" w:rsidRDefault="00DF1A78" w:rsidP="00DF1A78">
            <w:pPr>
              <w:pStyle w:val="TableText"/>
              <w:rPr>
                <w:rFonts w:ascii="Times New Roman"/>
                <w:b/>
                <w:bCs/>
                <w:sz w:val="20"/>
              </w:rPr>
            </w:pPr>
          </w:p>
        </w:tc>
        <w:tc>
          <w:tcPr>
            <w:tcW w:w="1322" w:type="dxa"/>
            <w:shd w:val="clear" w:color="auto" w:fill="D9D9D9" w:themeFill="background1" w:themeFillShade="D9"/>
          </w:tcPr>
          <w:p w14:paraId="5C851C5B" w14:textId="77777777" w:rsidR="00DF1A78" w:rsidRPr="00DF1A78" w:rsidRDefault="00DF1A78" w:rsidP="00DF1A78">
            <w:pPr>
              <w:pStyle w:val="TableText"/>
              <w:jc w:val="right"/>
              <w:rPr>
                <w:b/>
                <w:bCs/>
              </w:rPr>
            </w:pPr>
            <w:r w:rsidRPr="00DF1A78">
              <w:rPr>
                <w:b/>
                <w:bCs/>
                <w:w w:val="105"/>
              </w:rPr>
              <w:t>Headcount</w:t>
            </w:r>
          </w:p>
        </w:tc>
        <w:tc>
          <w:tcPr>
            <w:tcW w:w="1426" w:type="dxa"/>
            <w:shd w:val="clear" w:color="auto" w:fill="D9D9D9" w:themeFill="background1" w:themeFillShade="D9"/>
          </w:tcPr>
          <w:p w14:paraId="799DC7EA" w14:textId="77777777" w:rsidR="00DF1A78" w:rsidRPr="00DF1A78" w:rsidRDefault="00DF1A78" w:rsidP="00DF1A78">
            <w:pPr>
              <w:pStyle w:val="TableText"/>
              <w:jc w:val="right"/>
              <w:rPr>
                <w:b/>
                <w:bCs/>
              </w:rPr>
            </w:pPr>
            <w:r w:rsidRPr="00DF1A78">
              <w:rPr>
                <w:b/>
                <w:bCs/>
                <w:w w:val="110"/>
              </w:rPr>
              <w:t>Proportion</w:t>
            </w:r>
          </w:p>
        </w:tc>
      </w:tr>
      <w:tr w:rsidR="00DF1A78" w14:paraId="040E6D34" w14:textId="77777777" w:rsidTr="00DF1A78">
        <w:trPr>
          <w:trHeight w:val="343"/>
        </w:trPr>
        <w:tc>
          <w:tcPr>
            <w:tcW w:w="1540" w:type="dxa"/>
          </w:tcPr>
          <w:p w14:paraId="0FC93633" w14:textId="77777777" w:rsidR="00DF1A78" w:rsidRDefault="00DF1A78" w:rsidP="00DF1A78">
            <w:pPr>
              <w:pStyle w:val="TableText"/>
            </w:pPr>
            <w:r>
              <w:t>Other</w:t>
            </w:r>
          </w:p>
        </w:tc>
        <w:tc>
          <w:tcPr>
            <w:tcW w:w="1322" w:type="dxa"/>
          </w:tcPr>
          <w:p w14:paraId="3530EC0A" w14:textId="77777777" w:rsidR="00DF1A78" w:rsidRDefault="00DF1A78" w:rsidP="00DF1A78">
            <w:pPr>
              <w:pStyle w:val="TableText"/>
              <w:jc w:val="right"/>
            </w:pPr>
            <w:r>
              <w:rPr>
                <w:w w:val="113"/>
              </w:rPr>
              <w:t>0</w:t>
            </w:r>
          </w:p>
        </w:tc>
        <w:tc>
          <w:tcPr>
            <w:tcW w:w="1426" w:type="dxa"/>
          </w:tcPr>
          <w:p w14:paraId="30DC073D" w14:textId="77777777" w:rsidR="00DF1A78" w:rsidRDefault="00DF1A78" w:rsidP="00DF1A78">
            <w:pPr>
              <w:pStyle w:val="TableText"/>
              <w:jc w:val="right"/>
            </w:pPr>
            <w:r>
              <w:rPr>
                <w:w w:val="105"/>
              </w:rPr>
              <w:t>0.0%</w:t>
            </w:r>
          </w:p>
        </w:tc>
      </w:tr>
      <w:tr w:rsidR="00DF1A78" w14:paraId="4E3909CD" w14:textId="77777777" w:rsidTr="00DF1A78">
        <w:trPr>
          <w:trHeight w:val="338"/>
        </w:trPr>
        <w:tc>
          <w:tcPr>
            <w:tcW w:w="1540" w:type="dxa"/>
          </w:tcPr>
          <w:p w14:paraId="388026A7" w14:textId="77777777" w:rsidR="00DF1A78" w:rsidRDefault="00DF1A78" w:rsidP="00DF1A78">
            <w:pPr>
              <w:pStyle w:val="TableText"/>
            </w:pPr>
            <w:r>
              <w:t>European</w:t>
            </w:r>
          </w:p>
        </w:tc>
        <w:tc>
          <w:tcPr>
            <w:tcW w:w="1322" w:type="dxa"/>
          </w:tcPr>
          <w:p w14:paraId="2757A871" w14:textId="77777777" w:rsidR="00DF1A78" w:rsidRDefault="00DF1A78" w:rsidP="00DF1A78">
            <w:pPr>
              <w:pStyle w:val="TableText"/>
              <w:jc w:val="right"/>
            </w:pPr>
            <w:r>
              <w:rPr>
                <w:w w:val="103"/>
              </w:rPr>
              <w:t>2</w:t>
            </w:r>
          </w:p>
        </w:tc>
        <w:tc>
          <w:tcPr>
            <w:tcW w:w="1426" w:type="dxa"/>
          </w:tcPr>
          <w:p w14:paraId="68E5AD5F" w14:textId="77777777" w:rsidR="00DF1A78" w:rsidRDefault="00DF1A78" w:rsidP="00DF1A78">
            <w:pPr>
              <w:pStyle w:val="TableText"/>
              <w:jc w:val="right"/>
            </w:pPr>
            <w:r>
              <w:rPr>
                <w:w w:val="105"/>
              </w:rPr>
              <w:t>20%</w:t>
            </w:r>
          </w:p>
        </w:tc>
      </w:tr>
      <w:tr w:rsidR="00DF1A78" w14:paraId="112BA62D" w14:textId="77777777" w:rsidTr="00DF1A78">
        <w:trPr>
          <w:trHeight w:val="338"/>
        </w:trPr>
        <w:tc>
          <w:tcPr>
            <w:tcW w:w="1540" w:type="dxa"/>
          </w:tcPr>
          <w:p w14:paraId="7D39D3B6" w14:textId="77777777" w:rsidR="00DF1A78" w:rsidRDefault="00DF1A78" w:rsidP="00DF1A78">
            <w:pPr>
              <w:pStyle w:val="TableText"/>
            </w:pPr>
            <w:r>
              <w:t>Maori</w:t>
            </w:r>
          </w:p>
        </w:tc>
        <w:tc>
          <w:tcPr>
            <w:tcW w:w="1322" w:type="dxa"/>
          </w:tcPr>
          <w:p w14:paraId="2E7BEFF2" w14:textId="77777777" w:rsidR="00DF1A78" w:rsidRDefault="00DF1A78" w:rsidP="00DF1A78">
            <w:pPr>
              <w:pStyle w:val="TableText"/>
              <w:jc w:val="right"/>
            </w:pPr>
            <w:r>
              <w:rPr>
                <w:w w:val="98"/>
              </w:rPr>
              <w:t>7</w:t>
            </w:r>
          </w:p>
        </w:tc>
        <w:tc>
          <w:tcPr>
            <w:tcW w:w="1426" w:type="dxa"/>
          </w:tcPr>
          <w:p w14:paraId="63B0D015" w14:textId="77777777" w:rsidR="00DF1A78" w:rsidRDefault="00DF1A78" w:rsidP="00DF1A78">
            <w:pPr>
              <w:pStyle w:val="TableText"/>
              <w:jc w:val="right"/>
            </w:pPr>
            <w:r>
              <w:rPr>
                <w:w w:val="105"/>
              </w:rPr>
              <w:t>70%</w:t>
            </w:r>
          </w:p>
        </w:tc>
      </w:tr>
      <w:tr w:rsidR="00DF1A78" w14:paraId="6EFCA078" w14:textId="77777777" w:rsidTr="00DF1A78">
        <w:trPr>
          <w:trHeight w:val="338"/>
        </w:trPr>
        <w:tc>
          <w:tcPr>
            <w:tcW w:w="1540" w:type="dxa"/>
          </w:tcPr>
          <w:p w14:paraId="5292B914" w14:textId="77777777" w:rsidR="00DF1A78" w:rsidRDefault="00DF1A78" w:rsidP="00DF1A78">
            <w:pPr>
              <w:pStyle w:val="TableText"/>
            </w:pPr>
            <w:r>
              <w:t>Pacific</w:t>
            </w:r>
            <w:r>
              <w:rPr>
                <w:spacing w:val="5"/>
              </w:rPr>
              <w:t xml:space="preserve"> </w:t>
            </w:r>
            <w:r>
              <w:t>Peoples</w:t>
            </w:r>
          </w:p>
        </w:tc>
        <w:tc>
          <w:tcPr>
            <w:tcW w:w="1322" w:type="dxa"/>
          </w:tcPr>
          <w:p w14:paraId="61D31EF6" w14:textId="77777777" w:rsidR="00DF1A78" w:rsidRDefault="00DF1A78" w:rsidP="00DF1A78">
            <w:pPr>
              <w:pStyle w:val="TableText"/>
              <w:jc w:val="right"/>
            </w:pPr>
            <w:r>
              <w:rPr>
                <w:w w:val="57"/>
              </w:rPr>
              <w:t>1</w:t>
            </w:r>
          </w:p>
        </w:tc>
        <w:tc>
          <w:tcPr>
            <w:tcW w:w="1426" w:type="dxa"/>
          </w:tcPr>
          <w:p w14:paraId="7B57B661" w14:textId="19326996" w:rsidR="00DF1A78" w:rsidRDefault="00DF1A78" w:rsidP="00DF1A78">
            <w:pPr>
              <w:pStyle w:val="TableText"/>
              <w:jc w:val="right"/>
            </w:pPr>
            <w:r>
              <w:t>10%</w:t>
            </w:r>
          </w:p>
        </w:tc>
      </w:tr>
      <w:tr w:rsidR="00DF1A78" w14:paraId="2F0B25CE" w14:textId="77777777" w:rsidTr="00DF1A78">
        <w:trPr>
          <w:trHeight w:val="333"/>
        </w:trPr>
        <w:tc>
          <w:tcPr>
            <w:tcW w:w="1540" w:type="dxa"/>
          </w:tcPr>
          <w:p w14:paraId="6CA517E6" w14:textId="77777777" w:rsidR="00DF1A78" w:rsidRDefault="00DF1A78" w:rsidP="00DF1A78">
            <w:pPr>
              <w:pStyle w:val="TableText"/>
            </w:pPr>
            <w:r>
              <w:rPr>
                <w:w w:val="105"/>
              </w:rPr>
              <w:t>Total</w:t>
            </w:r>
          </w:p>
        </w:tc>
        <w:tc>
          <w:tcPr>
            <w:tcW w:w="1322" w:type="dxa"/>
          </w:tcPr>
          <w:p w14:paraId="1492B996" w14:textId="77777777" w:rsidR="00DF1A78" w:rsidRDefault="00DF1A78" w:rsidP="00DF1A78">
            <w:pPr>
              <w:pStyle w:val="TableText"/>
              <w:jc w:val="right"/>
            </w:pPr>
            <w:r>
              <w:rPr>
                <w:w w:val="95"/>
              </w:rPr>
              <w:t>10</w:t>
            </w:r>
          </w:p>
        </w:tc>
        <w:tc>
          <w:tcPr>
            <w:tcW w:w="1426" w:type="dxa"/>
          </w:tcPr>
          <w:p w14:paraId="5BE659AD" w14:textId="36417BBD" w:rsidR="00DF1A78" w:rsidRDefault="00DF1A78" w:rsidP="00DF1A78">
            <w:pPr>
              <w:pStyle w:val="TableText"/>
              <w:jc w:val="right"/>
            </w:pPr>
            <w:r>
              <w:t>100.0%</w:t>
            </w:r>
          </w:p>
        </w:tc>
      </w:tr>
    </w:tbl>
    <w:p w14:paraId="15DECB81" w14:textId="77777777" w:rsidR="00D73979" w:rsidRDefault="00D73979" w:rsidP="00D73979">
      <w:pPr>
        <w:pStyle w:val="Heading3"/>
      </w:pPr>
      <w:bookmarkStart w:id="107" w:name="_Toc117265012"/>
      <w:r>
        <w:t>Policies and processes</w:t>
      </w:r>
      <w:bookmarkEnd w:id="107"/>
    </w:p>
    <w:p w14:paraId="64C57B9E" w14:textId="25F83E14" w:rsidR="00D73979" w:rsidRDefault="00D73979" w:rsidP="00D73979">
      <w:r>
        <w:t xml:space="preserve">The iMHA follows the policies and process of our host agency, </w:t>
      </w:r>
      <w:r w:rsidR="00926BF8">
        <w:t xml:space="preserve">Te </w:t>
      </w:r>
      <w:r>
        <w:t>Hauora Manatū. This includes corporate policies relating to human resources, information on our compliance with our obligations to be a good employer (including its equal employment opportunities programme, procurement, and finance).</w:t>
      </w:r>
    </w:p>
    <w:p w14:paraId="30FCDD02" w14:textId="77777777" w:rsidR="00D73979" w:rsidRDefault="00D73979" w:rsidP="00D73979"/>
    <w:p w14:paraId="07244FB8" w14:textId="7412729F" w:rsidR="00D73979" w:rsidRDefault="00D73979" w:rsidP="00D73979">
      <w:r>
        <w:t xml:space="preserve">We have a Departmental Agency Agreement with </w:t>
      </w:r>
      <w:r w:rsidR="00926BF8">
        <w:t xml:space="preserve">Te </w:t>
      </w:r>
      <w:r>
        <w:t>Manatū Hauora and agreed with the Deputy Public Service Commissioner on the 22nd November 2021.</w:t>
      </w:r>
    </w:p>
    <w:p w14:paraId="1712E7DD" w14:textId="77777777" w:rsidR="00D73979" w:rsidRDefault="00D73979" w:rsidP="00D73979">
      <w:pPr>
        <w:pStyle w:val="Heading3"/>
      </w:pPr>
      <w:bookmarkStart w:id="108" w:name="_Toc117265013"/>
      <w:r>
        <w:t>Governance and Partners</w:t>
      </w:r>
      <w:bookmarkEnd w:id="108"/>
    </w:p>
    <w:p w14:paraId="0FBB0FC7" w14:textId="79C5EA61" w:rsidR="00DF1A78" w:rsidRDefault="00D73979" w:rsidP="00D73979">
      <w:r>
        <w:t xml:space="preserve">The iMHA worked closely with the eight advisory committee members appointed to the Hauora Advisory Committee established by the Minister of Health under section 11 of the New Zealand Health and Disability Act, to provide advice on the iMHA functions </w:t>
      </w:r>
      <w:r>
        <w:lastRenderedPageBreak/>
        <w:t>and work plan. We worked with the committee to ensure it is embedded in the governance of Te Aka Whai Ora.</w:t>
      </w:r>
    </w:p>
    <w:p w14:paraId="38BD7CC1" w14:textId="5867D925" w:rsidR="00D73979" w:rsidRDefault="00D73979" w:rsidP="00D73979"/>
    <w:p w14:paraId="65A6124A" w14:textId="61B2EFFE" w:rsidR="00D73979" w:rsidRDefault="00D73979" w:rsidP="00D73979">
      <w:r>
        <w:t>The iMHA Chief Executive</w:t>
      </w:r>
      <w:r>
        <w:rPr>
          <w:rStyle w:val="FootnoteReference"/>
        </w:rPr>
        <w:footnoteReference w:id="71"/>
      </w:r>
      <w:r>
        <w:t xml:space="preserve"> was accountable to the Minister of Health for delivery of iMHA’s functions, and accountable to the Director of the Health Reform Transition Unit within the Department of Prime Minister and Cabinet in relation to performance management (as delegated by the Public Service Commissioner). Regular formal meetings took place with Chief Executive and Chair of the Hauora Advisory Committee, Director of the Transition Unit and Director General of Health.</w:t>
      </w:r>
    </w:p>
    <w:p w14:paraId="6B566C2C" w14:textId="77777777" w:rsidR="00D73979" w:rsidRDefault="00D73979" w:rsidP="00D73979"/>
    <w:p w14:paraId="2F188450" w14:textId="4FBC2B02" w:rsidR="00D73979" w:rsidRDefault="00D73979" w:rsidP="00D73979">
      <w:r>
        <w:t>The interim Board</w:t>
      </w:r>
      <w:r>
        <w:rPr>
          <w:rStyle w:val="FootnoteReference"/>
        </w:rPr>
        <w:footnoteReference w:id="72"/>
      </w:r>
      <w:r>
        <w:t xml:space="preserve"> of the iMHA led by two co-chairs and six Board members was appointed to help drive the development of Te Aka Whai Ora | the Māori Health Authority and its role within a newly transformed system from 1 July 2022.</w:t>
      </w:r>
    </w:p>
    <w:p w14:paraId="7F902741" w14:textId="77777777" w:rsidR="00D73979" w:rsidRDefault="00D73979" w:rsidP="00D73979"/>
    <w:p w14:paraId="5A98CC53" w14:textId="583EE19F" w:rsidR="00D73979" w:rsidRDefault="00D73979" w:rsidP="00D73979">
      <w:r>
        <w:t>The iMHA worked closely with its partner the Interim Health New Zealand (iHNZ) to develop the interim Te Pae Tata |the interim New Zealand Health Plan. From 1 July 2022, Te Aka Whai Ora and Te Whatu Ora must give effect to the interim Government Policy Statement and Te Pae Tata when performing their functions.</w:t>
      </w:r>
    </w:p>
    <w:p w14:paraId="7F627816" w14:textId="77777777" w:rsidR="00D73979" w:rsidRDefault="00D73979" w:rsidP="00D73979"/>
    <w:p w14:paraId="32E36F22" w14:textId="02ADB4DC" w:rsidR="00D73979" w:rsidRDefault="00D73979" w:rsidP="00D73979">
      <w:r>
        <w:t xml:space="preserve">The iMHA worked with the Health Reform Transition Unit, iHNZ and </w:t>
      </w:r>
      <w:r w:rsidR="00FB4813">
        <w:t xml:space="preserve">Te </w:t>
      </w:r>
      <w:r>
        <w:t>Manatū Hauora on the interim Government Policy Statement measures that we will be used from 1 July 2022 to monitor health system delivery of hauora Māori services delivered by Te Whatu Ora and to provide public reports on the results of that monitoring.</w:t>
      </w:r>
    </w:p>
    <w:p w14:paraId="5A2B432B" w14:textId="77777777" w:rsidR="00D73979" w:rsidRDefault="00D73979" w:rsidP="00D73979">
      <w:pPr>
        <w:pStyle w:val="Heading3"/>
      </w:pPr>
      <w:bookmarkStart w:id="109" w:name="_Toc117265014"/>
      <w:r>
        <w:t>Performance against our deliverables</w:t>
      </w:r>
      <w:bookmarkEnd w:id="109"/>
    </w:p>
    <w:p w14:paraId="48BC9DF7" w14:textId="77777777" w:rsidR="00D73979" w:rsidRDefault="00D73979" w:rsidP="00D73979">
      <w:r>
        <w:t>The iMHA has deliverables to report on how our funding was invested to deliver our strategic outcomes how our activity is organised and what we use as performance measures. The measures below align with the Treasury’s Vote Health Estimates 2021</w:t>
      </w:r>
    </w:p>
    <w:p w14:paraId="0704E24D" w14:textId="7FA5D056" w:rsidR="00D73979" w:rsidRDefault="00D73979" w:rsidP="00D73979">
      <w:r>
        <w:t>-2022 Assessment of Performance and the Minister’s Letter of Expectations Dec 2021. They provide a simple representation of the services provided by key indicators in our nine months of operation.</w:t>
      </w:r>
    </w:p>
    <w:p w14:paraId="17366643" w14:textId="77777777" w:rsidR="00D73979" w:rsidRDefault="00D73979" w:rsidP="00D73979"/>
    <w:p w14:paraId="616A6815" w14:textId="7A19CCCF" w:rsidR="00D73979" w:rsidRDefault="00D73979" w:rsidP="00D73979">
      <w:r>
        <w:t>The iMHA is required to report against the requirements of the Minister’</w:t>
      </w:r>
      <w:r w:rsidR="00600BB9">
        <w:t>s</w:t>
      </w:r>
      <w:r>
        <w:t xml:space="preserve"> Letter of Expectations of December 2021. The key requirements are to ensure that by 30 June 2022 that:</w:t>
      </w:r>
    </w:p>
    <w:p w14:paraId="4A27CBBD" w14:textId="1258964B" w:rsidR="00D73979" w:rsidRPr="00D73979" w:rsidRDefault="00D73979" w:rsidP="008A439D">
      <w:pPr>
        <w:pStyle w:val="Letter"/>
        <w:numPr>
          <w:ilvl w:val="1"/>
          <w:numId w:val="17"/>
        </w:numPr>
        <w:ind w:left="426" w:hanging="426"/>
      </w:pPr>
      <w:r w:rsidRPr="00D73979">
        <w:t>capability and resourcing are ready,</w:t>
      </w:r>
    </w:p>
    <w:p w14:paraId="73BFF0E4" w14:textId="6B8A7AA2" w:rsidR="00D73979" w:rsidRPr="00D73979" w:rsidRDefault="00D73979" w:rsidP="008A439D">
      <w:pPr>
        <w:pStyle w:val="Letter"/>
        <w:numPr>
          <w:ilvl w:val="1"/>
          <w:numId w:val="17"/>
        </w:numPr>
        <w:ind w:left="426" w:hanging="426"/>
      </w:pPr>
      <w:r w:rsidRPr="00D73979">
        <w:t>strategic frameworks and relationships are developed, and</w:t>
      </w:r>
    </w:p>
    <w:p w14:paraId="258955DD" w14:textId="3A8F8C51" w:rsidR="00D73979" w:rsidRPr="00D73979" w:rsidRDefault="00D73979" w:rsidP="008A439D">
      <w:pPr>
        <w:pStyle w:val="Letter"/>
        <w:numPr>
          <w:ilvl w:val="1"/>
          <w:numId w:val="17"/>
        </w:numPr>
        <w:ind w:left="426" w:hanging="426"/>
      </w:pPr>
      <w:r w:rsidRPr="00D73979">
        <w:t>all iwi Māori Partnership Boards establishment plans ensure the structure of these Boards are representative of Māori Community.</w:t>
      </w:r>
    </w:p>
    <w:p w14:paraId="2FA7B74D" w14:textId="77777777" w:rsidR="00D73979" w:rsidRDefault="00D73979" w:rsidP="00D73979"/>
    <w:p w14:paraId="20AFBCA7" w14:textId="2751684B" w:rsidR="00D73979" w:rsidRDefault="00D73979" w:rsidP="00D73979">
      <w:r>
        <w:t xml:space="preserve">In the past nine months the iMHA has focused on activity to establish Te Aka Whai Ora | Māori Health Authority ready for 1 July 2022. We have also progressed high-priority work to set up the Iwi Māori Partnership Boards that are a key feature of the reformed system, and to transfer to us (as commissioners), the kaupapa Māori contracts from </w:t>
      </w:r>
      <w:r w:rsidR="003512F7">
        <w:t xml:space="preserve">Te </w:t>
      </w:r>
      <w:r>
        <w:t>Manatū Hauora and district health boards.</w:t>
      </w:r>
    </w:p>
    <w:p w14:paraId="230242E6" w14:textId="515B84CC" w:rsidR="00D73979" w:rsidRDefault="00D73979" w:rsidP="00D73979">
      <w:r>
        <w:lastRenderedPageBreak/>
        <w:t>The following section reports the iMHA’s performance against the Minister’s Letter of Expectations December 2021 and Treasury’s Vote Health Estimates of Appropriations 2021/22 Budget 2021, page 142.</w:t>
      </w:r>
    </w:p>
    <w:p w14:paraId="3E036AF9" w14:textId="77777777" w:rsidR="00D73979" w:rsidRDefault="00D73979" w:rsidP="00D73979">
      <w:pPr>
        <w:pStyle w:val="Heading4"/>
      </w:pPr>
      <w:r>
        <w:t>Performance against the Ministers Letter of Expectations</w:t>
      </w:r>
    </w:p>
    <w:p w14:paraId="5A59EC7E" w14:textId="386CC914" w:rsidR="00D73979" w:rsidRDefault="00D73979" w:rsidP="00D73979">
      <w:r>
        <w:t>The summary of the Minister of Health’s Letter of Expectations requirements is listed below, followed by results and commentary Developing the Day One Operating model for Te Aka Whai Ora.</w:t>
      </w:r>
    </w:p>
    <w:p w14:paraId="406AD4AA" w14:textId="5D6D53C6" w:rsidR="00D73979" w:rsidRDefault="00D73979" w:rsidP="00D73979"/>
    <w:tbl>
      <w:tblPr>
        <w:tblW w:w="8506" w:type="dxa"/>
        <w:tblBorders>
          <w:bottom w:val="single" w:sz="4" w:space="0" w:color="D9D9D9" w:themeColor="background1" w:themeShade="D9"/>
          <w:insideH w:val="single" w:sz="4" w:space="0" w:color="D9D9D9" w:themeColor="background1" w:themeShade="D9"/>
        </w:tblBorders>
        <w:tblLayout w:type="fixed"/>
        <w:tblCellMar>
          <w:left w:w="0" w:type="dxa"/>
          <w:right w:w="0" w:type="dxa"/>
        </w:tblCellMar>
        <w:tblLook w:val="01E0" w:firstRow="1" w:lastRow="1" w:firstColumn="1" w:lastColumn="1" w:noHBand="0" w:noVBand="0"/>
      </w:tblPr>
      <w:tblGrid>
        <w:gridCol w:w="2694"/>
        <w:gridCol w:w="3260"/>
        <w:gridCol w:w="2552"/>
      </w:tblGrid>
      <w:tr w:rsidR="00D73979" w:rsidRPr="008A439D" w14:paraId="582EDBC6" w14:textId="77777777" w:rsidTr="00AA2082">
        <w:trPr>
          <w:trHeight w:val="344"/>
        </w:trPr>
        <w:tc>
          <w:tcPr>
            <w:tcW w:w="2694" w:type="dxa"/>
            <w:shd w:val="clear" w:color="auto" w:fill="D9D9D9" w:themeFill="background1" w:themeFillShade="D9"/>
          </w:tcPr>
          <w:p w14:paraId="2B271AB0" w14:textId="77777777" w:rsidR="00D73979" w:rsidRPr="008A439D" w:rsidRDefault="00D73979" w:rsidP="00D73979">
            <w:pPr>
              <w:pStyle w:val="TableText"/>
              <w:rPr>
                <w:b/>
                <w:bCs/>
              </w:rPr>
            </w:pPr>
            <w:r w:rsidRPr="008A439D">
              <w:rPr>
                <w:b/>
                <w:bCs/>
              </w:rPr>
              <w:t>Initial Work Plan</w:t>
            </w:r>
          </w:p>
        </w:tc>
        <w:tc>
          <w:tcPr>
            <w:tcW w:w="3260" w:type="dxa"/>
            <w:shd w:val="clear" w:color="auto" w:fill="D9D9D9" w:themeFill="background1" w:themeFillShade="D9"/>
          </w:tcPr>
          <w:p w14:paraId="1637AB54" w14:textId="77777777" w:rsidR="00D73979" w:rsidRPr="008A439D" w:rsidRDefault="00D73979" w:rsidP="00D73979">
            <w:pPr>
              <w:pStyle w:val="TableText"/>
              <w:rPr>
                <w:b/>
                <w:bCs/>
              </w:rPr>
            </w:pPr>
            <w:r w:rsidRPr="008A439D">
              <w:rPr>
                <w:b/>
                <w:bCs/>
              </w:rPr>
              <w:t>Jan 2022 to March 2022</w:t>
            </w:r>
          </w:p>
        </w:tc>
        <w:tc>
          <w:tcPr>
            <w:tcW w:w="2552" w:type="dxa"/>
            <w:shd w:val="clear" w:color="auto" w:fill="D9D9D9" w:themeFill="background1" w:themeFillShade="D9"/>
          </w:tcPr>
          <w:p w14:paraId="70B483BD" w14:textId="77777777" w:rsidR="00D73979" w:rsidRPr="008A439D" w:rsidRDefault="00D73979" w:rsidP="00D73979">
            <w:pPr>
              <w:pStyle w:val="TableText"/>
              <w:rPr>
                <w:b/>
                <w:bCs/>
              </w:rPr>
            </w:pPr>
            <w:r w:rsidRPr="008A439D">
              <w:rPr>
                <w:b/>
                <w:bCs/>
              </w:rPr>
              <w:t>April 22 to 30 June 2022</w:t>
            </w:r>
          </w:p>
        </w:tc>
      </w:tr>
      <w:tr w:rsidR="00D73979" w:rsidRPr="00D73979" w14:paraId="1E15E285" w14:textId="77777777" w:rsidTr="00AA2082">
        <w:trPr>
          <w:trHeight w:val="4528"/>
        </w:trPr>
        <w:tc>
          <w:tcPr>
            <w:tcW w:w="2694" w:type="dxa"/>
          </w:tcPr>
          <w:p w14:paraId="18B22D59" w14:textId="77777777" w:rsidR="00D73979" w:rsidRPr="008A439D" w:rsidRDefault="00D73979" w:rsidP="00D73979">
            <w:pPr>
              <w:pStyle w:val="TableText"/>
              <w:rPr>
                <w:b/>
                <w:bCs/>
              </w:rPr>
            </w:pPr>
            <w:r w:rsidRPr="008A439D">
              <w:rPr>
                <w:b/>
                <w:bCs/>
              </w:rPr>
              <w:t>Initial set up confirmation of initial work plan</w:t>
            </w:r>
          </w:p>
          <w:p w14:paraId="068270D3" w14:textId="77777777" w:rsidR="00D73979" w:rsidRPr="00D73979" w:rsidRDefault="00D73979" w:rsidP="00D73979">
            <w:pPr>
              <w:pStyle w:val="TableText"/>
            </w:pPr>
            <w:r w:rsidRPr="00D73979">
              <w:t>Internal capability building early design work on future operating model completed.</w:t>
            </w:r>
          </w:p>
          <w:p w14:paraId="552EF8B0" w14:textId="28E7CF8E" w:rsidR="00D73979" w:rsidRDefault="00D73979" w:rsidP="00D73979">
            <w:pPr>
              <w:pStyle w:val="TableText"/>
            </w:pPr>
            <w:r w:rsidRPr="00D73979">
              <w:t xml:space="preserve">Initiated relationships with </w:t>
            </w:r>
            <w:r w:rsidR="00FE2BAC">
              <w:t xml:space="preserve">Te </w:t>
            </w:r>
            <w:r w:rsidRPr="00D73979">
              <w:t>Manatū Hauroa and iHNZ</w:t>
            </w:r>
            <w:r w:rsidR="008A439D">
              <w:t>.</w:t>
            </w:r>
          </w:p>
          <w:p w14:paraId="06074DF6" w14:textId="77777777" w:rsidR="00D73979" w:rsidRPr="00D73979" w:rsidRDefault="00D73979" w:rsidP="00D73979">
            <w:pPr>
              <w:pStyle w:val="TableText"/>
            </w:pPr>
            <w:r w:rsidRPr="00D73979">
              <w:t>Detailed workplan for road map to Day One prepared including for:</w:t>
            </w:r>
          </w:p>
          <w:p w14:paraId="6146778F" w14:textId="77777777" w:rsidR="00D73979" w:rsidRPr="00D73979" w:rsidRDefault="00D73979" w:rsidP="00D73979">
            <w:pPr>
              <w:pStyle w:val="TableText"/>
            </w:pPr>
            <w:r w:rsidRPr="00D73979">
              <w:t>iMHA‘s 9 months and at least the first 6 months of Te Aka Whai Ora.</w:t>
            </w:r>
          </w:p>
          <w:p w14:paraId="676594B2" w14:textId="77777777" w:rsidR="00D73979" w:rsidRPr="00D73979" w:rsidRDefault="00D73979" w:rsidP="00D73979">
            <w:pPr>
              <w:pStyle w:val="TableText"/>
            </w:pPr>
            <w:r w:rsidRPr="00D73979">
              <w:t>Minister provided initial version of this plan by 10 Dec 2021.</w:t>
            </w:r>
          </w:p>
          <w:p w14:paraId="3F065225" w14:textId="77777777" w:rsidR="00D73979" w:rsidRPr="00D73979" w:rsidRDefault="00D73979" w:rsidP="00D73979">
            <w:pPr>
              <w:pStyle w:val="TableText"/>
            </w:pPr>
            <w:r w:rsidRPr="00D73979">
              <w:t>See Establishment Plan published July 2022.</w:t>
            </w:r>
          </w:p>
        </w:tc>
        <w:tc>
          <w:tcPr>
            <w:tcW w:w="3260" w:type="dxa"/>
          </w:tcPr>
          <w:p w14:paraId="708A3B57" w14:textId="77777777" w:rsidR="00D73979" w:rsidRPr="008A439D" w:rsidRDefault="00D73979" w:rsidP="00D73979">
            <w:pPr>
              <w:pStyle w:val="TableText"/>
              <w:rPr>
                <w:b/>
                <w:bCs/>
              </w:rPr>
            </w:pPr>
            <w:r w:rsidRPr="008A439D">
              <w:rPr>
                <w:b/>
                <w:bCs/>
              </w:rPr>
              <w:t>Building base for Māori Health Authority</w:t>
            </w:r>
          </w:p>
          <w:p w14:paraId="02137A03" w14:textId="77777777" w:rsidR="00D73979" w:rsidRPr="00D73979" w:rsidRDefault="00D73979" w:rsidP="00D73979">
            <w:pPr>
              <w:pStyle w:val="TableText"/>
            </w:pPr>
            <w:r w:rsidRPr="00D73979">
              <w:t>Operating model approaches frameworks and systems developed.</w:t>
            </w:r>
          </w:p>
          <w:p w14:paraId="403C6CE1" w14:textId="463EE205" w:rsidR="00D73979" w:rsidRPr="00D73979" w:rsidRDefault="00D73979" w:rsidP="00D73979">
            <w:pPr>
              <w:pStyle w:val="TableText"/>
            </w:pPr>
            <w:r w:rsidRPr="00D73979">
              <w:t>Engaging initial leadership supporting capability clarifying and developing capability to manage MHA accountabilities in the new system</w:t>
            </w:r>
            <w:r w:rsidR="008A439D">
              <w:t>.</w:t>
            </w:r>
          </w:p>
          <w:p w14:paraId="6929B886" w14:textId="1C239B48" w:rsidR="00D73979" w:rsidRPr="00D73979" w:rsidRDefault="00D73979" w:rsidP="00D73979">
            <w:pPr>
              <w:pStyle w:val="TableText"/>
            </w:pPr>
            <w:r w:rsidRPr="00D73979">
              <w:t>Initiate design and development of the future partnerships</w:t>
            </w:r>
            <w:r w:rsidR="008A439D">
              <w:t>.</w:t>
            </w:r>
          </w:p>
          <w:p w14:paraId="0098D3C9" w14:textId="4E39D564" w:rsidR="00D73979" w:rsidRPr="00D73979" w:rsidRDefault="00D73979" w:rsidP="00D73979">
            <w:pPr>
              <w:pStyle w:val="TableText"/>
            </w:pPr>
            <w:r w:rsidRPr="00D73979">
              <w:t xml:space="preserve">Formalised arrangements with </w:t>
            </w:r>
            <w:r w:rsidR="00FE2BAC">
              <w:t xml:space="preserve">Te </w:t>
            </w:r>
            <w:r w:rsidRPr="00D73979">
              <w:t>Manatū Hauroa and iHNZ on key transition planning and activity, policy, planning, and accountability documents Pae Tata</w:t>
            </w:r>
            <w:r w:rsidR="00AA2082">
              <w:t xml:space="preserve"> </w:t>
            </w:r>
            <w:r w:rsidRPr="00D73979">
              <w:t>| Interim NZ Health Plan and Statements of Intent.</w:t>
            </w:r>
          </w:p>
          <w:p w14:paraId="0201771A" w14:textId="77777777" w:rsidR="00D73979" w:rsidRPr="00D73979" w:rsidRDefault="00D73979" w:rsidP="00D73979">
            <w:pPr>
              <w:pStyle w:val="TableText"/>
            </w:pPr>
            <w:r w:rsidRPr="00D73979">
              <w:t>Build connections with Māori health sector and Iwi Māori Partnership Boards.</w:t>
            </w:r>
          </w:p>
        </w:tc>
        <w:tc>
          <w:tcPr>
            <w:tcW w:w="2552" w:type="dxa"/>
          </w:tcPr>
          <w:p w14:paraId="0D42D2F4" w14:textId="77777777" w:rsidR="00D73979" w:rsidRPr="008A439D" w:rsidRDefault="00D73979" w:rsidP="00D73979">
            <w:pPr>
              <w:pStyle w:val="TableText"/>
              <w:rPr>
                <w:b/>
                <w:bCs/>
              </w:rPr>
            </w:pPr>
            <w:r w:rsidRPr="008A439D">
              <w:rPr>
                <w:b/>
                <w:bCs/>
              </w:rPr>
              <w:t>Getting ready for Day One.</w:t>
            </w:r>
          </w:p>
          <w:p w14:paraId="57A38396" w14:textId="77777777" w:rsidR="00D73979" w:rsidRPr="00D73979" w:rsidRDefault="00D73979" w:rsidP="00D73979">
            <w:pPr>
              <w:pStyle w:val="TableText"/>
            </w:pPr>
            <w:r w:rsidRPr="00D73979">
              <w:t>Capability and resourcing are ready.</w:t>
            </w:r>
          </w:p>
          <w:p w14:paraId="36FBF1BF" w14:textId="77777777" w:rsidR="00D73979" w:rsidRPr="00D73979" w:rsidRDefault="00D73979" w:rsidP="00D73979">
            <w:pPr>
              <w:pStyle w:val="TableText"/>
            </w:pPr>
            <w:r w:rsidRPr="00D73979">
              <w:t>Capability, strategic frameworks and relationships developed.</w:t>
            </w:r>
          </w:p>
          <w:p w14:paraId="7A760E77" w14:textId="77777777" w:rsidR="00D73979" w:rsidRPr="00D73979" w:rsidRDefault="00D73979" w:rsidP="00D73979">
            <w:pPr>
              <w:pStyle w:val="TableText"/>
            </w:pPr>
            <w:r w:rsidRPr="00D73979">
              <w:t>All Iwi Māori Partnership Boards establishment plans ensure structure of these Boards are representative of the relevant Māori community.</w:t>
            </w:r>
          </w:p>
        </w:tc>
      </w:tr>
    </w:tbl>
    <w:p w14:paraId="489FC263" w14:textId="77777777" w:rsidR="00D73979" w:rsidRPr="008A439D" w:rsidRDefault="00D73979" w:rsidP="008A439D">
      <w:pPr>
        <w:pStyle w:val="TableText"/>
        <w:ind w:left="142"/>
        <w:rPr>
          <w:b/>
          <w:bCs/>
        </w:rPr>
      </w:pPr>
      <w:r w:rsidRPr="008A439D">
        <w:rPr>
          <w:b/>
          <w:bCs/>
        </w:rPr>
        <w:t>Key expectations and deliverables 1 July 2022 following Pae Ora Act, for the first two years</w:t>
      </w:r>
    </w:p>
    <w:p w14:paraId="33F1210A" w14:textId="7DAC055A" w:rsidR="00D73979" w:rsidRPr="00D73979" w:rsidRDefault="00D73979" w:rsidP="008A439D">
      <w:pPr>
        <w:pStyle w:val="TableText"/>
        <w:ind w:left="142"/>
      </w:pPr>
      <w:r w:rsidRPr="00D73979">
        <w:t xml:space="preserve">Te Aka Whai Ora | Māori Health Authority is a statutory entity responsible for its role in the health system alongside Te Whatu Ora | Health New Zealand and </w:t>
      </w:r>
      <w:r w:rsidR="00FE2BAC">
        <w:t xml:space="preserve">Te </w:t>
      </w:r>
      <w:r w:rsidRPr="00D73979">
        <w:t>Manatū Hauora.</w:t>
      </w:r>
    </w:p>
    <w:tbl>
      <w:tblPr>
        <w:tblW w:w="8250" w:type="dxa"/>
        <w:tblInd w:w="114"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5E0" w:firstRow="1" w:lastRow="1" w:firstColumn="1" w:lastColumn="1" w:noHBand="0" w:noVBand="1"/>
      </w:tblPr>
      <w:tblGrid>
        <w:gridCol w:w="2835"/>
        <w:gridCol w:w="5415"/>
      </w:tblGrid>
      <w:tr w:rsidR="00D73979" w:rsidRPr="00D73979" w14:paraId="7946E3C7" w14:textId="77777777" w:rsidTr="008A439D">
        <w:trPr>
          <w:trHeight w:val="818"/>
        </w:trPr>
        <w:tc>
          <w:tcPr>
            <w:tcW w:w="2835" w:type="dxa"/>
            <w:tcBorders>
              <w:top w:val="single" w:sz="4" w:space="0" w:color="A6A6A6" w:themeColor="background1" w:themeShade="A6"/>
            </w:tcBorders>
          </w:tcPr>
          <w:p w14:paraId="448D44A4" w14:textId="77777777" w:rsidR="00D73979" w:rsidRPr="00D73979" w:rsidRDefault="00D73979" w:rsidP="00D73979">
            <w:pPr>
              <w:pStyle w:val="TableText"/>
            </w:pPr>
            <w:r w:rsidRPr="008A439D">
              <w:rPr>
                <w:b/>
                <w:bCs/>
              </w:rPr>
              <w:t>Future governance and leadership</w:t>
            </w:r>
            <w:r w:rsidRPr="00D73979">
              <w:t xml:space="preserve"> at national and regional level</w:t>
            </w:r>
          </w:p>
        </w:tc>
        <w:tc>
          <w:tcPr>
            <w:tcW w:w="5415" w:type="dxa"/>
            <w:tcBorders>
              <w:top w:val="single" w:sz="4" w:space="0" w:color="A6A6A6" w:themeColor="background1" w:themeShade="A6"/>
            </w:tcBorders>
          </w:tcPr>
          <w:p w14:paraId="7A8F1068" w14:textId="77777777" w:rsidR="00D73979" w:rsidRPr="00D73979" w:rsidRDefault="00D73979" w:rsidP="00D73979">
            <w:pPr>
              <w:pStyle w:val="TableText"/>
            </w:pPr>
            <w:r w:rsidRPr="00D73979">
              <w:t>Design for governance and leadership completed.</w:t>
            </w:r>
          </w:p>
          <w:p w14:paraId="5D7554E6" w14:textId="77777777" w:rsidR="00D73979" w:rsidRPr="00D73979" w:rsidRDefault="00D73979" w:rsidP="00D73979">
            <w:pPr>
              <w:pStyle w:val="TableText"/>
            </w:pPr>
            <w:r w:rsidRPr="00D73979">
              <w:t>Timetable for recruiting key roles on temp or permanent basis prepared</w:t>
            </w:r>
          </w:p>
        </w:tc>
      </w:tr>
      <w:tr w:rsidR="00D73979" w:rsidRPr="00D73979" w14:paraId="22C7353F" w14:textId="77777777" w:rsidTr="008A439D">
        <w:trPr>
          <w:trHeight w:val="813"/>
        </w:trPr>
        <w:tc>
          <w:tcPr>
            <w:tcW w:w="2835" w:type="dxa"/>
          </w:tcPr>
          <w:p w14:paraId="2F9D3C89" w14:textId="77777777" w:rsidR="00D73979" w:rsidRPr="00D73979" w:rsidRDefault="00D73979" w:rsidP="00D73979">
            <w:pPr>
              <w:pStyle w:val="TableText"/>
            </w:pPr>
            <w:r w:rsidRPr="008A439D">
              <w:rPr>
                <w:b/>
                <w:bCs/>
              </w:rPr>
              <w:t>Internal Operating Model</w:t>
            </w:r>
            <w:r w:rsidRPr="00D73979">
              <w:t xml:space="preserve"> for services and developed with partners.</w:t>
            </w:r>
          </w:p>
        </w:tc>
        <w:tc>
          <w:tcPr>
            <w:tcW w:w="5415" w:type="dxa"/>
          </w:tcPr>
          <w:p w14:paraId="3E281555" w14:textId="77777777" w:rsidR="00D73979" w:rsidRPr="00D73979" w:rsidRDefault="00D73979" w:rsidP="00D73979">
            <w:pPr>
              <w:pStyle w:val="TableText"/>
            </w:pPr>
            <w:r w:rsidRPr="00D73979">
              <w:t>Design of regional or sub regional arrangements and commissioning function developed with partners and align with Te Whatu Ora models /other public services.</w:t>
            </w:r>
          </w:p>
        </w:tc>
      </w:tr>
    </w:tbl>
    <w:p w14:paraId="4633C0D9" w14:textId="77777777" w:rsidR="00D73979" w:rsidRDefault="00D73979" w:rsidP="00D73979"/>
    <w:p w14:paraId="67FB5472" w14:textId="77777777" w:rsidR="008A439D" w:rsidRDefault="008A439D" w:rsidP="008A439D">
      <w:pPr>
        <w:pStyle w:val="Heading4"/>
        <w:spacing w:before="0"/>
      </w:pPr>
      <w:r>
        <w:t>Developing the Day One Operating model for Te Aka Whai Ora | Māori Health Authority</w:t>
      </w:r>
    </w:p>
    <w:p w14:paraId="2FE399C4" w14:textId="0760A3B7" w:rsidR="008A439D" w:rsidRDefault="008A439D" w:rsidP="008A439D">
      <w:r>
        <w:t>The iMHA and iHNZ have been focused on establishment and setting up platforms for transformation. However, Day One, 1 July 2022 signals the beginning of this transformation journey.</w:t>
      </w:r>
    </w:p>
    <w:p w14:paraId="21754C18" w14:textId="77777777" w:rsidR="008A439D" w:rsidRDefault="008A439D" w:rsidP="008A439D"/>
    <w:p w14:paraId="5FD4E6D9" w14:textId="0C9C1B41" w:rsidR="00D73979" w:rsidRDefault="008A439D" w:rsidP="008A439D">
      <w:r>
        <w:lastRenderedPageBreak/>
        <w:t>Our Te Aka Whai Ora Establishment Plan</w:t>
      </w:r>
      <w:r>
        <w:rPr>
          <w:rStyle w:val="FootnoteReference"/>
        </w:rPr>
        <w:footnoteReference w:id="73"/>
      </w:r>
      <w:r>
        <w:t xml:space="preserve"> published in July 2022 sets out the initial structures in place from Day 1 (1 July 2022) and demonstrates how, in partnership with Te Whatu Ora – Health New Zealand, we intend to give effect to the waka houora approach to co-design and co-commissioning for the new health system.</w:t>
      </w:r>
    </w:p>
    <w:p w14:paraId="5BCE499B" w14:textId="13EA939B" w:rsidR="0073291A" w:rsidRDefault="0073291A" w:rsidP="008A439D"/>
    <w:p w14:paraId="71A1A27F" w14:textId="70A009B6" w:rsidR="0073291A" w:rsidRDefault="0073291A" w:rsidP="0073291A">
      <w:r>
        <w:t xml:space="preserve">‘Te Whatu Ora Health New Zealand and Te Aka Whai Ora Māori Health Authority work together’ is published on our webpage </w:t>
      </w:r>
      <w:hyperlink r:id="rId81" w:history="1">
        <w:r w:rsidRPr="0073291A">
          <w:rPr>
            <w:rStyle w:val="Hyperlink"/>
          </w:rPr>
          <w:t>www.teakawhaiora.nz/our-work/</w:t>
        </w:r>
      </w:hyperlink>
    </w:p>
    <w:p w14:paraId="36DC01A6" w14:textId="77777777" w:rsidR="0073291A" w:rsidRDefault="0073291A" w:rsidP="0073291A"/>
    <w:p w14:paraId="20F91ABB" w14:textId="59972259" w:rsidR="0073291A" w:rsidRDefault="0073291A" w:rsidP="0073291A">
      <w:r>
        <w:t>Working with Te Whatu Ora and others, Te Aka Whai Ora will ensure these are reflected in the priorities and plans of Te Pae Tata| the interim New Zealand Health Plan, and how health services are designed and delivered to meet those needs, including through the use of Te Ao Māori models and the application of mātauranga Māori. This approach will help build a stronger Māori workforce, support the growth in capability and capacity of hauora Māori healthcare providers, and encourage more innovation in services that deliver better outcomes for Māori.</w:t>
      </w:r>
    </w:p>
    <w:p w14:paraId="160D91AB" w14:textId="77777777" w:rsidR="0073291A" w:rsidRDefault="0073291A" w:rsidP="0073291A"/>
    <w:p w14:paraId="0F834869" w14:textId="2199FEBA" w:rsidR="0073291A" w:rsidRDefault="0073291A" w:rsidP="0073291A">
      <w:r>
        <w:t>The iMHA worked with Iwi Māori Partnership Boards, Māori health providers and professionals, iwi, hapū and Māori communities to understand Māori health needs and aspirations across New Zealand. In future, each local community, partnerships between Iwi Māori Partnership Boards, Te Aka Whai Ora and Te Whatu Ora regional and district teams, and the wider community will ensure Māori voices are heard to be embedded in plans and services, and that health equity for Māori is non-negotiable.</w:t>
      </w:r>
    </w:p>
    <w:p w14:paraId="2BCDE27D" w14:textId="77777777" w:rsidR="0073291A" w:rsidRDefault="0073291A" w:rsidP="0073291A"/>
    <w:p w14:paraId="3A7D9AC5" w14:textId="1476A2BD" w:rsidR="0073291A" w:rsidRDefault="0073291A" w:rsidP="0073291A">
      <w:r>
        <w:t>The partnership between Te Aka Whai Ora and Te Whatu Ora will invest in services grounded in Te Ao Māori and ensure the wider health system better recognises and is more responsive to Māori needs, alongside that of the wider population.</w:t>
      </w:r>
    </w:p>
    <w:p w14:paraId="264DF185" w14:textId="77777777" w:rsidR="0073291A" w:rsidRDefault="0073291A" w:rsidP="0073291A"/>
    <w:p w14:paraId="7FA73B00" w14:textId="77777777" w:rsidR="0073291A" w:rsidRDefault="0073291A" w:rsidP="0073291A">
      <w:r>
        <w:t>The Te Aka Whai Ora will work with Manatū Hauora on strategy and policy issues of relevance to Māori, providing direction for the health system, and ensuring that our commitment to Te Tiriti o Waitangi continues to underpin approaches to hauora.</w:t>
      </w:r>
    </w:p>
    <w:p w14:paraId="4D8F5B1F" w14:textId="77777777" w:rsidR="0073291A" w:rsidRDefault="0073291A" w:rsidP="0073291A">
      <w:pPr>
        <w:pStyle w:val="Heading3"/>
      </w:pPr>
      <w:bookmarkStart w:id="110" w:name="_Toc117265015"/>
      <w:r>
        <w:t>Key relationships</w:t>
      </w:r>
      <w:bookmarkEnd w:id="110"/>
    </w:p>
    <w:p w14:paraId="0FA7924D" w14:textId="77777777" w:rsidR="0073291A" w:rsidRDefault="0073291A" w:rsidP="0073291A">
      <w:pPr>
        <w:pStyle w:val="Heading4"/>
      </w:pPr>
      <w:r>
        <w:t>Monitoring Relationships</w:t>
      </w:r>
    </w:p>
    <w:p w14:paraId="2AA445E0" w14:textId="00A4BFF1" w:rsidR="0073291A" w:rsidRDefault="0073291A" w:rsidP="0073291A">
      <w:r>
        <w:t>The Pae Ora Act requires us to monitor the delivery of hauora Māori services by Te Whatu Ora and provide public reports on the results of that monitoring; to monitor, in co-operation with Manatū Hauora and Te Puni Kōkiri, the performance of the publicly funded health sector in relation to hauora Māori; and to partner with Manatū Hauora on monitoring overall health system performance for Māori.</w:t>
      </w:r>
    </w:p>
    <w:p w14:paraId="4B642976" w14:textId="77777777" w:rsidR="00AA2082" w:rsidRDefault="00AA2082" w:rsidP="0073291A"/>
    <w:p w14:paraId="7B197B29" w14:textId="17375263" w:rsidR="0073291A" w:rsidRDefault="0073291A" w:rsidP="0073291A">
      <w:r>
        <w:t xml:space="preserve">It is essential that there is a shared and transparent approach to monitoring the progress of all organisations, and clear lines of accountability for delivery. Te Aka Whai Ora co- monitors delivery of equity for Māori across the health system with Manatū Hauora, and co-monitors equity outcomes with Te Puni Kōkiri across the social sector. Manatū Hauora retains its chief stewardship and monitoring role of the health system. </w:t>
      </w:r>
      <w:r>
        <w:lastRenderedPageBreak/>
        <w:t>Te Aka Whai Ora also has a role to monitor Te Whatu Ora’s delivery in partnership with Manatū Hauora.</w:t>
      </w:r>
    </w:p>
    <w:p w14:paraId="406055FD" w14:textId="77777777" w:rsidR="0073291A" w:rsidRDefault="0073291A" w:rsidP="0073291A"/>
    <w:p w14:paraId="1B96DD77" w14:textId="4ACFA353" w:rsidR="0073291A" w:rsidRDefault="0073291A" w:rsidP="0073291A">
      <w:r>
        <w:t>The Te Aka Whai Ora monitoring framework that is in development, focuses on accountability in the following areas of the health system, including entity performance, systems performance and service performance.</w:t>
      </w:r>
    </w:p>
    <w:p w14:paraId="1AB98DE2" w14:textId="77777777" w:rsidR="0073291A" w:rsidRDefault="0073291A" w:rsidP="0073291A"/>
    <w:p w14:paraId="79F6AF4E" w14:textId="658412C1" w:rsidR="0073291A" w:rsidRDefault="0073291A" w:rsidP="0073291A">
      <w:r>
        <w:t>When services are not performing for Māori, Te Aka Whai Ora and Te Whatu Ora will ensure the issues are quickly identified, and drive service and system improvement. To ensure Te Aka Whai Ora is sufficiently empowered, for instance if the services commissioned fail to deliver intended outcomes for Māori or to address inequity, there is an escalation pathway for resolution that could ultimately reach the Minister. Discharging the roles of a commissioner, co- commissioning and strategic system monitor will afford Te Aka Whai Ora an unprecedented position with relation to hauora Māori.</w:t>
      </w:r>
    </w:p>
    <w:p w14:paraId="16D06D2D" w14:textId="77777777" w:rsidR="0073291A" w:rsidRDefault="0073291A" w:rsidP="0073291A"/>
    <w:p w14:paraId="07B03754" w14:textId="77777777" w:rsidR="0073291A" w:rsidRDefault="0073291A" w:rsidP="0073291A">
      <w:r>
        <w:t>We have a range of tools to hold the system accountable for the way it plans, strategises, funds, commissions and procures health services. We can apply consequences and impose penalties for non-performance or non-delivery.</w:t>
      </w:r>
    </w:p>
    <w:p w14:paraId="0E474BE3" w14:textId="77777777" w:rsidR="0073291A" w:rsidRDefault="0073291A" w:rsidP="0073291A">
      <w:pPr>
        <w:pStyle w:val="Heading4"/>
      </w:pPr>
      <w:r>
        <w:t>Interfaces with Iwi Māori Partnership Boards, Districts, Hospitals and Localities</w:t>
      </w:r>
    </w:p>
    <w:p w14:paraId="60370A0C" w14:textId="54F922E0" w:rsidR="0073291A" w:rsidRDefault="0073291A" w:rsidP="0073291A">
      <w:r>
        <w:t>Integration will be facilitated with and through district partners (in the interim, the previous district health board areas). This may be part of the role of regional commissioners to chair and hold local relationships. The iMHA set up the initial basis for how Te Aka Whai Ora will continue to work on the design for its regional operations and commissioning functions.</w:t>
      </w:r>
    </w:p>
    <w:p w14:paraId="74BBC8CF" w14:textId="77777777" w:rsidR="0073291A" w:rsidRDefault="0073291A" w:rsidP="0073291A"/>
    <w:p w14:paraId="3A894C3F" w14:textId="63139A71" w:rsidR="0073291A" w:rsidRDefault="0073291A" w:rsidP="0073291A">
      <w:r>
        <w:t>Iwi Māori Partnership Boards will be enabled to voice the aspirations and priorities of Māori communities within the health system. They will partner in planning around health priorities and services at the Locality level within their rohe or coverage area and agree locality plans embed mātauranga Māori within locality plans, that then influence and inform regional and national planning and influence regionally through their relationship with Te Aka Whai Ora.</w:t>
      </w:r>
    </w:p>
    <w:p w14:paraId="0218DAF7" w14:textId="77777777" w:rsidR="0073291A" w:rsidRDefault="0073291A" w:rsidP="0073291A"/>
    <w:p w14:paraId="403ED737" w14:textId="77777777" w:rsidR="0073291A" w:rsidRDefault="0073291A" w:rsidP="0073291A">
      <w:r>
        <w:t>Primary and community care will, over time, serve their communities through locality networks. Every locality will have a consistent range of core services, but how these services are delivered will be based on the needs and priorities of local communities.</w:t>
      </w:r>
    </w:p>
    <w:p w14:paraId="45D33A03" w14:textId="77777777" w:rsidR="0073291A" w:rsidRDefault="0073291A" w:rsidP="0073291A">
      <w:pPr>
        <w:pStyle w:val="Heading4"/>
      </w:pPr>
      <w:r>
        <w:t>Working with Te Whatu Ora</w:t>
      </w:r>
    </w:p>
    <w:p w14:paraId="5365678B" w14:textId="77777777" w:rsidR="0073291A" w:rsidRDefault="0073291A" w:rsidP="0073291A">
      <w:pPr>
        <w:pStyle w:val="Heading5"/>
      </w:pPr>
      <w:r>
        <w:t>Chief Executives</w:t>
      </w:r>
    </w:p>
    <w:p w14:paraId="74423342" w14:textId="77777777" w:rsidR="0073291A" w:rsidRDefault="0073291A" w:rsidP="0073291A">
      <w:r>
        <w:t>Te Aka Whai Ora and Te Whatu Ora chief executives will partner and align on key functions and decisions impacting Māori health gain, including ensuring organisation structures have clear pathways for partnership and ‘mirrored’ roles across the organisations.</w:t>
      </w:r>
    </w:p>
    <w:p w14:paraId="2AB55D2B" w14:textId="77777777" w:rsidR="0073291A" w:rsidRDefault="0073291A" w:rsidP="0073291A">
      <w:pPr>
        <w:pStyle w:val="Heading5"/>
      </w:pPr>
      <w:r>
        <w:lastRenderedPageBreak/>
        <w:t>Regional working</w:t>
      </w:r>
    </w:p>
    <w:p w14:paraId="0AC40D92" w14:textId="0E94D727" w:rsidR="0073291A" w:rsidRDefault="0073291A" w:rsidP="0073291A">
      <w:r>
        <w:t>Te Aka Whai Ora and Te Whatu Ora will work together at a regional level. Te Aka Whai Ora will have regional teams, co-located with Te Whatu Ora and embedded in regional management arrangements to ensure partnership, with approval rights for all relevant strategies and plans at the regional and locality level.</w:t>
      </w:r>
    </w:p>
    <w:p w14:paraId="7F0EA718" w14:textId="77777777" w:rsidR="0073291A" w:rsidRDefault="0073291A" w:rsidP="0073291A"/>
    <w:p w14:paraId="292D620C" w14:textId="1E495070" w:rsidR="0073291A" w:rsidRDefault="0073291A" w:rsidP="0073291A">
      <w:r>
        <w:t>Regional managers / leadership will continue to evolve to determine how they will work with their regional counterparts at Te Whatu Ora, including commissioners to shape and form strategy, monitor hospital delivery, and operate cohesively as a region. Te Aka Whai Ora regional managers work with their Te Whatu Ora counterparts to translate national Māori health priorities, support iwi engagement at the regional level, form the direct reporting line for local Iwi Māori Partnership Boards support teams and input priority equity gain initiatives. They also enable regional commissioning of Māori capacity and capability.</w:t>
      </w:r>
    </w:p>
    <w:p w14:paraId="6998867E" w14:textId="77777777" w:rsidR="0073291A" w:rsidRDefault="0073291A" w:rsidP="0073291A">
      <w:pPr>
        <w:pStyle w:val="Heading4"/>
      </w:pPr>
      <w:r>
        <w:t>Commissioning</w:t>
      </w:r>
    </w:p>
    <w:p w14:paraId="1B6C7814" w14:textId="77777777" w:rsidR="0073291A" w:rsidRDefault="0073291A" w:rsidP="0073291A">
      <w:r>
        <w:t>Te Tiriti o Waitangi principles (Wai2575, Whakamaua and Waka Hourua strategic framework) have been used to underpin the iMHA draft Commissioning for Hauora Māori Outcomes Framework. Equity considerations have been included as strategic</w:t>
      </w:r>
    </w:p>
    <w:p w14:paraId="6825370A" w14:textId="10177E4D" w:rsidR="0073291A" w:rsidRDefault="0073291A" w:rsidP="0073291A">
      <w:r>
        <w:t>commissioning and funding principles. An investment logic model was completed for the Budget 2022 Treasury Budget Bid at the end of 2021. The investment logic model ensures the iMHA commissioning investments are part of a broader plan to improve hauora Māori, and test and confirm that the rationale for this proposed commissioning investment is evidence based and sufficiently compelling – and expected to lead to a range of outcomes.</w:t>
      </w:r>
    </w:p>
    <w:p w14:paraId="705514AE" w14:textId="77777777" w:rsidR="0073291A" w:rsidRDefault="0073291A" w:rsidP="0073291A"/>
    <w:p w14:paraId="76BD6ACC" w14:textId="0B0746B5" w:rsidR="0073291A" w:rsidRDefault="0073291A" w:rsidP="0073291A">
      <w:r>
        <w:t>The commissioning terms, outcomes and example measures are intended to assist the strengthening of the Government’s relationship with and commitment to Te Tiriti, and guide the shift to a more equitable health and disability system.</w:t>
      </w:r>
    </w:p>
    <w:p w14:paraId="31304C05" w14:textId="77777777" w:rsidR="0073291A" w:rsidRDefault="0073291A" w:rsidP="0073291A"/>
    <w:p w14:paraId="1917784C" w14:textId="61A2B6F3" w:rsidR="0073291A" w:rsidRDefault="0073291A" w:rsidP="0073291A">
      <w:r>
        <w:t>Te Aka Whai Ora commissioning functions will directly fund and direct the provision of Te Ao Māori services and other services focussed on whānau and Māori communities, whether directly and/or jointly with Te Whatu Ora. When new services are commissioned or existing services are reviewed, Te Aka Whai Ora will partner with Te Whatu Ora to make sure service design and priorities reflect the diverse needs of the community, including for Māori.</w:t>
      </w:r>
    </w:p>
    <w:p w14:paraId="3A517200" w14:textId="77777777" w:rsidR="0073291A" w:rsidRDefault="0073291A" w:rsidP="0073291A"/>
    <w:p w14:paraId="346EC664" w14:textId="77777777" w:rsidR="0073291A" w:rsidRDefault="0073291A" w:rsidP="0073291A">
      <w:r>
        <w:t>Te Aka Whai Ora will lead nationwide Māori provider development and the expansion of Te Ao Māori services, as well as having a strong mandate to encourage and invest in</w:t>
      </w:r>
    </w:p>
    <w:p w14:paraId="18BDA872" w14:textId="618F4F27" w:rsidR="0073291A" w:rsidRDefault="0073291A" w:rsidP="0073291A">
      <w:r>
        <w:t>innovation in delivery of local services and new service models to meet the health needs of Māori.</w:t>
      </w:r>
    </w:p>
    <w:p w14:paraId="51DC6D40" w14:textId="77777777" w:rsidR="0073291A" w:rsidRDefault="0073291A" w:rsidP="0073291A"/>
    <w:p w14:paraId="2DF74617" w14:textId="61D53AF1" w:rsidR="0073291A" w:rsidRDefault="0073291A" w:rsidP="0073291A">
      <w:r>
        <w:t>Te Aka Whai Ora will have co-commissioning functions with Te Whatu Ora in those services that have a significant impact on outcomes for Māori health. This includes, primary health services, population health screening and immunisation programmes. While Te Whatu Ora will lead on operational matters relating to general health service commissioning, this responsibility will clearly entail delivery of improved health outcomes and equity for Māori.</w:t>
      </w:r>
    </w:p>
    <w:p w14:paraId="4C431DEB" w14:textId="77777777" w:rsidR="0073291A" w:rsidRDefault="0073291A" w:rsidP="0073291A"/>
    <w:p w14:paraId="10912925" w14:textId="45DFAF91" w:rsidR="0073291A" w:rsidRDefault="0073291A" w:rsidP="0073291A">
      <w:r>
        <w:lastRenderedPageBreak/>
        <w:t>Te Aka Whai Ora will influence and agree these intended outcomes, set services expectations and initiatives to reduce bias, undertake monitoring, engage with iwi/Māori and approve final plans and resource allocation.</w:t>
      </w:r>
    </w:p>
    <w:p w14:paraId="26AF15E7" w14:textId="77777777" w:rsidR="00404DAD" w:rsidRDefault="00404DAD" w:rsidP="00404DAD">
      <w:pPr>
        <w:pStyle w:val="Heading3"/>
      </w:pPr>
      <w:bookmarkStart w:id="111" w:name="_Toc117265016"/>
      <w:r>
        <w:t>Performance against Treasury’s Assessment of Performance.</w:t>
      </w:r>
      <w:bookmarkEnd w:id="111"/>
    </w:p>
    <w:p w14:paraId="315F166F" w14:textId="527DEDFF" w:rsidR="0073291A" w:rsidRDefault="00404DAD" w:rsidP="00404DAD">
      <w:r>
        <w:t>What is intended to be achieved with each category and how performance will be assessed.</w:t>
      </w:r>
    </w:p>
    <w:p w14:paraId="44202248" w14:textId="1FD00B69" w:rsidR="00404DAD" w:rsidRDefault="00404DAD" w:rsidP="00404DAD"/>
    <w:tbl>
      <w:tblPr>
        <w:tblW w:w="8222" w:type="dxa"/>
        <w:tblLayout w:type="fixed"/>
        <w:tblCellMar>
          <w:left w:w="0" w:type="dxa"/>
          <w:right w:w="0" w:type="dxa"/>
        </w:tblCellMar>
        <w:tblLook w:val="01E0" w:firstRow="1" w:lastRow="1" w:firstColumn="1" w:lastColumn="1" w:noHBand="0" w:noVBand="0"/>
      </w:tblPr>
      <w:tblGrid>
        <w:gridCol w:w="3544"/>
        <w:gridCol w:w="1559"/>
        <w:gridCol w:w="1560"/>
        <w:gridCol w:w="1559"/>
      </w:tblGrid>
      <w:tr w:rsidR="00404DAD" w14:paraId="209AB25E" w14:textId="77777777" w:rsidTr="00F96336">
        <w:trPr>
          <w:trHeight w:val="343"/>
        </w:trPr>
        <w:tc>
          <w:tcPr>
            <w:tcW w:w="5103" w:type="dxa"/>
            <w:gridSpan w:val="2"/>
            <w:shd w:val="clear" w:color="auto" w:fill="D9D9D9" w:themeFill="background1" w:themeFillShade="D9"/>
          </w:tcPr>
          <w:p w14:paraId="4CCBE426" w14:textId="77777777" w:rsidR="00404DAD" w:rsidRPr="00F96336" w:rsidRDefault="00404DAD" w:rsidP="00404DAD">
            <w:pPr>
              <w:pStyle w:val="TableText"/>
              <w:rPr>
                <w:b/>
              </w:rPr>
            </w:pPr>
          </w:p>
        </w:tc>
        <w:tc>
          <w:tcPr>
            <w:tcW w:w="3119" w:type="dxa"/>
            <w:gridSpan w:val="2"/>
            <w:shd w:val="clear" w:color="auto" w:fill="D9D9D9" w:themeFill="background1" w:themeFillShade="D9"/>
          </w:tcPr>
          <w:p w14:paraId="44FC5D79" w14:textId="77777777" w:rsidR="00404DAD" w:rsidRPr="00F96336" w:rsidRDefault="00404DAD" w:rsidP="00F96336">
            <w:pPr>
              <w:pStyle w:val="TableText"/>
              <w:jc w:val="center"/>
              <w:rPr>
                <w:b/>
              </w:rPr>
            </w:pPr>
            <w:r w:rsidRPr="00F96336">
              <w:rPr>
                <w:b/>
              </w:rPr>
              <w:t>2021/22</w:t>
            </w:r>
          </w:p>
        </w:tc>
      </w:tr>
      <w:tr w:rsidR="00404DAD" w14:paraId="318DAAF5" w14:textId="77777777" w:rsidTr="00F96336">
        <w:trPr>
          <w:trHeight w:val="824"/>
        </w:trPr>
        <w:tc>
          <w:tcPr>
            <w:tcW w:w="3544" w:type="dxa"/>
            <w:shd w:val="clear" w:color="auto" w:fill="D9D9D9" w:themeFill="background1" w:themeFillShade="D9"/>
          </w:tcPr>
          <w:p w14:paraId="69B97798" w14:textId="77777777" w:rsidR="00404DAD" w:rsidRPr="00F96336" w:rsidRDefault="00404DAD" w:rsidP="00404DAD">
            <w:pPr>
              <w:pStyle w:val="TableText"/>
              <w:rPr>
                <w:b/>
              </w:rPr>
            </w:pPr>
            <w:r w:rsidRPr="00F96336">
              <w:rPr>
                <w:b/>
                <w:w w:val="105"/>
              </w:rPr>
              <w:t>Assessment</w:t>
            </w:r>
            <w:r w:rsidRPr="00F96336">
              <w:rPr>
                <w:b/>
                <w:spacing w:val="11"/>
                <w:w w:val="105"/>
              </w:rPr>
              <w:t xml:space="preserve"> </w:t>
            </w:r>
            <w:r w:rsidRPr="00F96336">
              <w:rPr>
                <w:b/>
                <w:w w:val="105"/>
              </w:rPr>
              <w:t>of</w:t>
            </w:r>
            <w:r w:rsidRPr="00F96336">
              <w:rPr>
                <w:b/>
                <w:spacing w:val="11"/>
                <w:w w:val="105"/>
              </w:rPr>
              <w:t xml:space="preserve"> </w:t>
            </w:r>
            <w:r w:rsidRPr="00F96336">
              <w:rPr>
                <w:b/>
                <w:w w:val="105"/>
              </w:rPr>
              <w:t>Performance</w:t>
            </w:r>
          </w:p>
        </w:tc>
        <w:tc>
          <w:tcPr>
            <w:tcW w:w="1559" w:type="dxa"/>
            <w:shd w:val="clear" w:color="auto" w:fill="D9D9D9" w:themeFill="background1" w:themeFillShade="D9"/>
          </w:tcPr>
          <w:p w14:paraId="0B2DEBF2" w14:textId="77777777" w:rsidR="00404DAD" w:rsidRPr="00F96336" w:rsidRDefault="00404DAD" w:rsidP="00404DAD">
            <w:pPr>
              <w:pStyle w:val="TableText"/>
              <w:rPr>
                <w:b/>
              </w:rPr>
            </w:pPr>
            <w:r w:rsidRPr="00F96336">
              <w:rPr>
                <w:b/>
                <w:w w:val="110"/>
              </w:rPr>
              <w:t>Estimates</w:t>
            </w:r>
            <w:r w:rsidRPr="00F96336">
              <w:rPr>
                <w:b/>
                <w:spacing w:val="-53"/>
                <w:w w:val="110"/>
              </w:rPr>
              <w:t xml:space="preserve"> </w:t>
            </w:r>
            <w:r w:rsidRPr="00F96336">
              <w:rPr>
                <w:b/>
                <w:w w:val="110"/>
              </w:rPr>
              <w:t>Standard</w:t>
            </w:r>
          </w:p>
        </w:tc>
        <w:tc>
          <w:tcPr>
            <w:tcW w:w="1560" w:type="dxa"/>
            <w:shd w:val="clear" w:color="auto" w:fill="D9D9D9" w:themeFill="background1" w:themeFillShade="D9"/>
          </w:tcPr>
          <w:p w14:paraId="7BC161B3" w14:textId="77777777" w:rsidR="00404DAD" w:rsidRPr="00F96336" w:rsidRDefault="00404DAD" w:rsidP="00404DAD">
            <w:pPr>
              <w:pStyle w:val="TableText"/>
              <w:rPr>
                <w:b/>
              </w:rPr>
            </w:pPr>
            <w:r w:rsidRPr="00F96336">
              <w:rPr>
                <w:b/>
                <w:w w:val="105"/>
              </w:rPr>
              <w:t>Supplementary</w:t>
            </w:r>
            <w:r w:rsidRPr="00F96336">
              <w:rPr>
                <w:b/>
                <w:spacing w:val="-50"/>
                <w:w w:val="105"/>
              </w:rPr>
              <w:t xml:space="preserve"> </w:t>
            </w:r>
            <w:r w:rsidRPr="00F96336">
              <w:rPr>
                <w:b/>
                <w:w w:val="110"/>
              </w:rPr>
              <w:t>Estimates</w:t>
            </w:r>
            <w:r w:rsidRPr="00F96336">
              <w:rPr>
                <w:b/>
                <w:spacing w:val="1"/>
                <w:w w:val="110"/>
              </w:rPr>
              <w:t xml:space="preserve"> </w:t>
            </w:r>
            <w:r w:rsidRPr="00F96336">
              <w:rPr>
                <w:b/>
                <w:w w:val="110"/>
              </w:rPr>
              <w:t>Standard</w:t>
            </w:r>
          </w:p>
        </w:tc>
        <w:tc>
          <w:tcPr>
            <w:tcW w:w="1559" w:type="dxa"/>
            <w:shd w:val="clear" w:color="auto" w:fill="D9D9D9" w:themeFill="background1" w:themeFillShade="D9"/>
          </w:tcPr>
          <w:p w14:paraId="44CE1879" w14:textId="77777777" w:rsidR="00404DAD" w:rsidRPr="00F96336" w:rsidRDefault="00404DAD" w:rsidP="00404DAD">
            <w:pPr>
              <w:pStyle w:val="TableText"/>
              <w:rPr>
                <w:b/>
              </w:rPr>
            </w:pPr>
            <w:r w:rsidRPr="00F96336">
              <w:rPr>
                <w:b/>
                <w:w w:val="110"/>
              </w:rPr>
              <w:t>Budget</w:t>
            </w:r>
            <w:r w:rsidRPr="00F96336">
              <w:rPr>
                <w:b/>
                <w:spacing w:val="1"/>
                <w:w w:val="110"/>
              </w:rPr>
              <w:t xml:space="preserve"> </w:t>
            </w:r>
            <w:r w:rsidRPr="00F96336">
              <w:rPr>
                <w:b/>
                <w:w w:val="105"/>
              </w:rPr>
              <w:t>Standard</w:t>
            </w:r>
          </w:p>
        </w:tc>
      </w:tr>
    </w:tbl>
    <w:p w14:paraId="22E43A0B" w14:textId="77777777" w:rsidR="00404DAD" w:rsidRPr="00F96336" w:rsidRDefault="00404DAD" w:rsidP="00404DAD">
      <w:pPr>
        <w:pStyle w:val="TableText"/>
        <w:rPr>
          <w:b/>
          <w:bCs/>
        </w:rPr>
      </w:pPr>
      <w:r w:rsidRPr="00F96336">
        <w:rPr>
          <w:b/>
          <w:bCs/>
        </w:rPr>
        <w:t>Departmental Output Expenses</w:t>
      </w: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544"/>
        <w:gridCol w:w="1559"/>
        <w:gridCol w:w="1560"/>
        <w:gridCol w:w="1559"/>
      </w:tblGrid>
      <w:tr w:rsidR="00404DAD" w:rsidRPr="00404DAD" w14:paraId="622AC4F1" w14:textId="77777777" w:rsidTr="00F96336">
        <w:trPr>
          <w:trHeight w:val="1058"/>
        </w:trPr>
        <w:tc>
          <w:tcPr>
            <w:tcW w:w="3544" w:type="dxa"/>
            <w:tcBorders>
              <w:top w:val="single" w:sz="4" w:space="0" w:color="A6A6A6" w:themeColor="background1" w:themeShade="A6"/>
            </w:tcBorders>
          </w:tcPr>
          <w:p w14:paraId="289384F3" w14:textId="77777777" w:rsidR="00404DAD" w:rsidRPr="00404DAD" w:rsidRDefault="00404DAD" w:rsidP="00404DAD">
            <w:pPr>
              <w:pStyle w:val="TableText"/>
            </w:pPr>
            <w:r w:rsidRPr="00404DAD">
              <w:t>Ministerial Oversight Group satisfied with progress towards the Health and Disability System Reform deliverables agreed by Cabinet</w:t>
            </w:r>
          </w:p>
        </w:tc>
        <w:tc>
          <w:tcPr>
            <w:tcW w:w="1559" w:type="dxa"/>
            <w:tcBorders>
              <w:top w:val="single" w:sz="4" w:space="0" w:color="A6A6A6" w:themeColor="background1" w:themeShade="A6"/>
            </w:tcBorders>
          </w:tcPr>
          <w:p w14:paraId="3E6026A9" w14:textId="77777777" w:rsidR="00404DAD" w:rsidRPr="00404DAD" w:rsidRDefault="00404DAD" w:rsidP="00404DAD">
            <w:pPr>
              <w:pStyle w:val="TableText"/>
            </w:pPr>
            <w:r w:rsidRPr="00404DAD">
              <w:t>Replacement measure</w:t>
            </w:r>
          </w:p>
        </w:tc>
        <w:tc>
          <w:tcPr>
            <w:tcW w:w="1560" w:type="dxa"/>
            <w:tcBorders>
              <w:top w:val="single" w:sz="4" w:space="0" w:color="A6A6A6" w:themeColor="background1" w:themeShade="A6"/>
            </w:tcBorders>
          </w:tcPr>
          <w:p w14:paraId="09B7E6B5" w14:textId="77777777" w:rsidR="00404DAD" w:rsidRPr="00404DAD" w:rsidRDefault="00404DAD" w:rsidP="00404DAD">
            <w:pPr>
              <w:pStyle w:val="TableText"/>
            </w:pPr>
            <w:r w:rsidRPr="00404DAD">
              <w:t>Equal to or greater the 4 out of 5</w:t>
            </w:r>
          </w:p>
        </w:tc>
        <w:tc>
          <w:tcPr>
            <w:tcW w:w="1559" w:type="dxa"/>
            <w:tcBorders>
              <w:top w:val="single" w:sz="4" w:space="0" w:color="A6A6A6" w:themeColor="background1" w:themeShade="A6"/>
            </w:tcBorders>
          </w:tcPr>
          <w:p w14:paraId="6F1A61E7" w14:textId="77777777" w:rsidR="00404DAD" w:rsidRPr="00404DAD" w:rsidRDefault="00404DAD" w:rsidP="00404DAD">
            <w:pPr>
              <w:pStyle w:val="TableText"/>
            </w:pPr>
            <w:r w:rsidRPr="00404DAD">
              <w:t>Equal to or greater the 4 out of 5</w:t>
            </w:r>
          </w:p>
        </w:tc>
      </w:tr>
      <w:tr w:rsidR="00404DAD" w:rsidRPr="00404DAD" w14:paraId="56690FC4" w14:textId="77777777" w:rsidTr="00F96336">
        <w:trPr>
          <w:trHeight w:val="818"/>
        </w:trPr>
        <w:tc>
          <w:tcPr>
            <w:tcW w:w="3544" w:type="dxa"/>
          </w:tcPr>
          <w:p w14:paraId="1DD22C4B" w14:textId="06891822" w:rsidR="00404DAD" w:rsidRPr="00404DAD" w:rsidRDefault="002761D3" w:rsidP="00404DAD">
            <w:pPr>
              <w:pStyle w:val="TableText"/>
            </w:pPr>
            <w:r>
              <w:t xml:space="preserve">Te </w:t>
            </w:r>
            <w:r w:rsidR="00404DAD" w:rsidRPr="00404DAD">
              <w:t>Manatū Hauora satisfied with progress against delivery of the Health System Reform deliverables agreed by Cabinet.</w:t>
            </w:r>
          </w:p>
        </w:tc>
        <w:tc>
          <w:tcPr>
            <w:tcW w:w="1559" w:type="dxa"/>
          </w:tcPr>
          <w:p w14:paraId="22F9EB73" w14:textId="77777777" w:rsidR="00404DAD" w:rsidRPr="00404DAD" w:rsidRDefault="00404DAD" w:rsidP="00404DAD">
            <w:pPr>
              <w:pStyle w:val="TableText"/>
            </w:pPr>
            <w:r w:rsidRPr="00404DAD">
              <w:t>Replacement measure</w:t>
            </w:r>
          </w:p>
        </w:tc>
        <w:tc>
          <w:tcPr>
            <w:tcW w:w="1560" w:type="dxa"/>
          </w:tcPr>
          <w:p w14:paraId="68CA6913" w14:textId="77777777" w:rsidR="00404DAD" w:rsidRPr="00404DAD" w:rsidRDefault="00404DAD" w:rsidP="00404DAD">
            <w:pPr>
              <w:pStyle w:val="TableText"/>
            </w:pPr>
            <w:r w:rsidRPr="00404DAD">
              <w:t>Equal to or greater the 4 out of 5</w:t>
            </w:r>
          </w:p>
        </w:tc>
        <w:tc>
          <w:tcPr>
            <w:tcW w:w="1559" w:type="dxa"/>
          </w:tcPr>
          <w:p w14:paraId="382DF6FD" w14:textId="77777777" w:rsidR="00404DAD" w:rsidRPr="00404DAD" w:rsidRDefault="00404DAD" w:rsidP="00404DAD">
            <w:pPr>
              <w:pStyle w:val="TableText"/>
            </w:pPr>
            <w:r w:rsidRPr="00404DAD">
              <w:t>Equal to or greater the 4 out of 5</w:t>
            </w:r>
          </w:p>
        </w:tc>
      </w:tr>
    </w:tbl>
    <w:p w14:paraId="178EB376" w14:textId="77777777" w:rsidR="00404DAD" w:rsidRPr="00F96336" w:rsidRDefault="00404DAD" w:rsidP="00404DAD">
      <w:pPr>
        <w:pStyle w:val="TableText"/>
        <w:rPr>
          <w:b/>
          <w:bCs/>
        </w:rPr>
      </w:pPr>
      <w:r w:rsidRPr="00F96336">
        <w:rPr>
          <w:b/>
          <w:bCs/>
        </w:rPr>
        <w:t>Non- Departmental Output Expenses</w:t>
      </w: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3544"/>
        <w:gridCol w:w="1559"/>
        <w:gridCol w:w="1560"/>
        <w:gridCol w:w="1559"/>
      </w:tblGrid>
      <w:tr w:rsidR="00404DAD" w:rsidRPr="00404DAD" w14:paraId="2CCF2EED" w14:textId="77777777" w:rsidTr="00F96336">
        <w:trPr>
          <w:trHeight w:val="338"/>
        </w:trPr>
        <w:tc>
          <w:tcPr>
            <w:tcW w:w="3544" w:type="dxa"/>
            <w:tcBorders>
              <w:top w:val="single" w:sz="4" w:space="0" w:color="A6A6A6" w:themeColor="background1" w:themeShade="A6"/>
            </w:tcBorders>
          </w:tcPr>
          <w:p w14:paraId="588786DD" w14:textId="77777777" w:rsidR="00404DAD" w:rsidRPr="00404DAD" w:rsidRDefault="00404DAD" w:rsidP="00404DAD">
            <w:pPr>
              <w:pStyle w:val="TableText"/>
            </w:pPr>
            <w:r w:rsidRPr="00404DAD">
              <w:t>Hauora Māori</w:t>
            </w:r>
          </w:p>
        </w:tc>
        <w:tc>
          <w:tcPr>
            <w:tcW w:w="1559" w:type="dxa"/>
            <w:tcBorders>
              <w:top w:val="single" w:sz="4" w:space="0" w:color="A6A6A6" w:themeColor="background1" w:themeShade="A6"/>
            </w:tcBorders>
          </w:tcPr>
          <w:p w14:paraId="624DB3AF" w14:textId="77777777" w:rsidR="00404DAD" w:rsidRPr="00404DAD" w:rsidRDefault="00404DAD" w:rsidP="00404DAD">
            <w:pPr>
              <w:pStyle w:val="TableText"/>
            </w:pPr>
          </w:p>
        </w:tc>
        <w:tc>
          <w:tcPr>
            <w:tcW w:w="1560" w:type="dxa"/>
            <w:tcBorders>
              <w:top w:val="single" w:sz="4" w:space="0" w:color="A6A6A6" w:themeColor="background1" w:themeShade="A6"/>
            </w:tcBorders>
          </w:tcPr>
          <w:p w14:paraId="59F333E3" w14:textId="77777777" w:rsidR="00404DAD" w:rsidRPr="00404DAD" w:rsidRDefault="00404DAD" w:rsidP="00404DAD">
            <w:pPr>
              <w:pStyle w:val="TableText"/>
            </w:pPr>
          </w:p>
        </w:tc>
        <w:tc>
          <w:tcPr>
            <w:tcW w:w="1559" w:type="dxa"/>
            <w:tcBorders>
              <w:top w:val="single" w:sz="4" w:space="0" w:color="A6A6A6" w:themeColor="background1" w:themeShade="A6"/>
            </w:tcBorders>
          </w:tcPr>
          <w:p w14:paraId="621A7A35" w14:textId="77777777" w:rsidR="00404DAD" w:rsidRPr="00404DAD" w:rsidRDefault="00404DAD" w:rsidP="00404DAD">
            <w:pPr>
              <w:pStyle w:val="TableText"/>
            </w:pPr>
          </w:p>
        </w:tc>
      </w:tr>
      <w:tr w:rsidR="00404DAD" w:rsidRPr="00404DAD" w14:paraId="1FD9B7F5" w14:textId="77777777" w:rsidTr="00F96336">
        <w:trPr>
          <w:trHeight w:val="578"/>
        </w:trPr>
        <w:tc>
          <w:tcPr>
            <w:tcW w:w="3544" w:type="dxa"/>
          </w:tcPr>
          <w:p w14:paraId="2348149D" w14:textId="77777777" w:rsidR="00404DAD" w:rsidRPr="00404DAD" w:rsidRDefault="00404DAD" w:rsidP="00404DAD">
            <w:pPr>
              <w:pStyle w:val="TableText"/>
            </w:pPr>
            <w:r w:rsidRPr="00404DAD">
              <w:t>Commissioning plan in place for delivery of new hauora Māori services.</w:t>
            </w:r>
          </w:p>
        </w:tc>
        <w:tc>
          <w:tcPr>
            <w:tcW w:w="1559" w:type="dxa"/>
          </w:tcPr>
          <w:p w14:paraId="1F4B8EB3" w14:textId="77777777" w:rsidR="00404DAD" w:rsidRPr="00404DAD" w:rsidRDefault="00404DAD" w:rsidP="00404DAD">
            <w:pPr>
              <w:pStyle w:val="TableText"/>
            </w:pPr>
            <w:r w:rsidRPr="00404DAD">
              <w:t>Replacement measure</w:t>
            </w:r>
          </w:p>
        </w:tc>
        <w:tc>
          <w:tcPr>
            <w:tcW w:w="1560" w:type="dxa"/>
          </w:tcPr>
          <w:p w14:paraId="30AE1D54" w14:textId="77777777" w:rsidR="00404DAD" w:rsidRPr="00404DAD" w:rsidRDefault="00404DAD" w:rsidP="00404DAD">
            <w:pPr>
              <w:pStyle w:val="TableText"/>
            </w:pPr>
            <w:r w:rsidRPr="00404DAD">
              <w:t>Achieved</w:t>
            </w:r>
          </w:p>
        </w:tc>
        <w:tc>
          <w:tcPr>
            <w:tcW w:w="1559" w:type="dxa"/>
          </w:tcPr>
          <w:p w14:paraId="22A7F11D" w14:textId="77777777" w:rsidR="00404DAD" w:rsidRPr="00404DAD" w:rsidRDefault="00404DAD" w:rsidP="00404DAD">
            <w:pPr>
              <w:pStyle w:val="TableText"/>
            </w:pPr>
            <w:r w:rsidRPr="00404DAD">
              <w:t>Achieved</w:t>
            </w:r>
          </w:p>
        </w:tc>
      </w:tr>
      <w:tr w:rsidR="00404DAD" w:rsidRPr="00404DAD" w14:paraId="12BD94ED" w14:textId="77777777" w:rsidTr="00F96336">
        <w:trPr>
          <w:trHeight w:val="573"/>
        </w:trPr>
        <w:tc>
          <w:tcPr>
            <w:tcW w:w="3544" w:type="dxa"/>
          </w:tcPr>
          <w:p w14:paraId="7E730459" w14:textId="77777777" w:rsidR="00404DAD" w:rsidRPr="00404DAD" w:rsidRDefault="00404DAD" w:rsidP="00404DAD">
            <w:pPr>
              <w:pStyle w:val="TableText"/>
            </w:pPr>
            <w:r w:rsidRPr="00404DAD">
              <w:t>Delivery in accordance with the commissioning plan.</w:t>
            </w:r>
          </w:p>
        </w:tc>
        <w:tc>
          <w:tcPr>
            <w:tcW w:w="1559" w:type="dxa"/>
          </w:tcPr>
          <w:p w14:paraId="1D7ABC13" w14:textId="77777777" w:rsidR="00404DAD" w:rsidRPr="00404DAD" w:rsidRDefault="00404DAD" w:rsidP="00404DAD">
            <w:pPr>
              <w:pStyle w:val="TableText"/>
            </w:pPr>
            <w:r w:rsidRPr="00404DAD">
              <w:t>New measure</w:t>
            </w:r>
          </w:p>
        </w:tc>
        <w:tc>
          <w:tcPr>
            <w:tcW w:w="1560" w:type="dxa"/>
          </w:tcPr>
          <w:p w14:paraId="088DF48E" w14:textId="77777777" w:rsidR="00404DAD" w:rsidRPr="00404DAD" w:rsidRDefault="00404DAD" w:rsidP="00404DAD">
            <w:pPr>
              <w:pStyle w:val="TableText"/>
            </w:pPr>
            <w:r w:rsidRPr="00404DAD">
              <w:t>Achieved</w:t>
            </w:r>
          </w:p>
        </w:tc>
        <w:tc>
          <w:tcPr>
            <w:tcW w:w="1559" w:type="dxa"/>
          </w:tcPr>
          <w:p w14:paraId="48EBA249" w14:textId="77777777" w:rsidR="00404DAD" w:rsidRPr="00404DAD" w:rsidRDefault="00404DAD" w:rsidP="00404DAD">
            <w:pPr>
              <w:pStyle w:val="TableText"/>
            </w:pPr>
            <w:r w:rsidRPr="00404DAD">
              <w:t>Achieved</w:t>
            </w:r>
          </w:p>
        </w:tc>
      </w:tr>
    </w:tbl>
    <w:p w14:paraId="109321F7" w14:textId="77777777" w:rsidR="00242FC8" w:rsidRDefault="00242FC8" w:rsidP="00AA2082">
      <w:pPr>
        <w:pStyle w:val="Note"/>
      </w:pPr>
      <w:r>
        <w:t>Please note, the replacement measure wording change is to ensure scope is applicable to the activity and expected progress that has occurred in the year, rather than delivery of the broader, longer term, reform outcomes.</w:t>
      </w:r>
    </w:p>
    <w:p w14:paraId="5E3E852B" w14:textId="77777777" w:rsidR="00242FC8" w:rsidRDefault="00242FC8" w:rsidP="00242FC8">
      <w:pPr>
        <w:pStyle w:val="Heading6"/>
        <w:sectPr w:rsidR="00242FC8" w:rsidSect="0073291A">
          <w:type w:val="continuous"/>
          <w:pgSz w:w="11907" w:h="16840" w:code="9"/>
          <w:pgMar w:top="1418" w:right="1701" w:bottom="1134" w:left="1843" w:header="284" w:footer="425" w:gutter="284"/>
          <w:cols w:space="720"/>
        </w:sectPr>
      </w:pPr>
    </w:p>
    <w:p w14:paraId="223F2652" w14:textId="1F87B1D1" w:rsidR="0073291A" w:rsidRDefault="00242FC8" w:rsidP="002E03C2">
      <w:pPr>
        <w:pStyle w:val="Heading6"/>
        <w:spacing w:before="0"/>
      </w:pPr>
      <w:r>
        <w:lastRenderedPageBreak/>
        <w:t>Māori Health Authority Departmental Output Expenses</w:t>
      </w:r>
    </w:p>
    <w:tbl>
      <w:tblPr>
        <w:tblW w:w="8222"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824"/>
        <w:gridCol w:w="2699"/>
        <w:gridCol w:w="2699"/>
      </w:tblGrid>
      <w:tr w:rsidR="00242FC8" w:rsidRPr="00242FC8" w14:paraId="2A2299ED" w14:textId="77777777" w:rsidTr="002E03C2">
        <w:trPr>
          <w:trHeight w:val="349"/>
        </w:trPr>
        <w:tc>
          <w:tcPr>
            <w:tcW w:w="2824" w:type="dxa"/>
            <w:tcBorders>
              <w:top w:val="nil"/>
              <w:bottom w:val="nil"/>
            </w:tcBorders>
            <w:shd w:val="clear" w:color="auto" w:fill="D9D9D9" w:themeFill="background1" w:themeFillShade="D9"/>
          </w:tcPr>
          <w:p w14:paraId="4486D24C" w14:textId="77777777" w:rsidR="00242FC8" w:rsidRPr="00242FC8" w:rsidRDefault="00242FC8" w:rsidP="00242FC8">
            <w:pPr>
              <w:pStyle w:val="TableText"/>
              <w:rPr>
                <w:b/>
                <w:bCs/>
              </w:rPr>
            </w:pPr>
            <w:r w:rsidRPr="00242FC8">
              <w:rPr>
                <w:b/>
                <w:bCs/>
              </w:rPr>
              <w:t>Output</w:t>
            </w:r>
          </w:p>
        </w:tc>
        <w:tc>
          <w:tcPr>
            <w:tcW w:w="2699" w:type="dxa"/>
            <w:tcBorders>
              <w:top w:val="nil"/>
              <w:bottom w:val="nil"/>
            </w:tcBorders>
            <w:shd w:val="clear" w:color="auto" w:fill="D9D9D9" w:themeFill="background1" w:themeFillShade="D9"/>
          </w:tcPr>
          <w:p w14:paraId="033E94A4" w14:textId="77777777" w:rsidR="00242FC8" w:rsidRPr="00242FC8" w:rsidRDefault="00242FC8" w:rsidP="00242FC8">
            <w:pPr>
              <w:pStyle w:val="TableText"/>
              <w:rPr>
                <w:b/>
                <w:bCs/>
              </w:rPr>
            </w:pPr>
            <w:r w:rsidRPr="00242FC8">
              <w:rPr>
                <w:b/>
                <w:bCs/>
              </w:rPr>
              <w:t>Measured by</w:t>
            </w:r>
          </w:p>
        </w:tc>
        <w:tc>
          <w:tcPr>
            <w:tcW w:w="2699" w:type="dxa"/>
            <w:tcBorders>
              <w:top w:val="nil"/>
              <w:bottom w:val="nil"/>
            </w:tcBorders>
            <w:shd w:val="clear" w:color="auto" w:fill="D9D9D9" w:themeFill="background1" w:themeFillShade="D9"/>
          </w:tcPr>
          <w:p w14:paraId="12D901B1" w14:textId="77777777" w:rsidR="00242FC8" w:rsidRPr="00242FC8" w:rsidRDefault="00242FC8" w:rsidP="00242FC8">
            <w:pPr>
              <w:pStyle w:val="TableText"/>
              <w:rPr>
                <w:b/>
                <w:bCs/>
              </w:rPr>
            </w:pPr>
            <w:r w:rsidRPr="00242FC8">
              <w:rPr>
                <w:b/>
                <w:bCs/>
              </w:rPr>
              <w:t>Results and examples</w:t>
            </w:r>
          </w:p>
        </w:tc>
      </w:tr>
      <w:tr w:rsidR="00242FC8" w:rsidRPr="00242FC8" w14:paraId="0B327EA8" w14:textId="77777777" w:rsidTr="002E03C2">
        <w:trPr>
          <w:trHeight w:val="3218"/>
        </w:trPr>
        <w:tc>
          <w:tcPr>
            <w:tcW w:w="2824" w:type="dxa"/>
            <w:tcBorders>
              <w:top w:val="nil"/>
            </w:tcBorders>
          </w:tcPr>
          <w:p w14:paraId="0C77F38A" w14:textId="77777777" w:rsidR="00242FC8" w:rsidRPr="00242FC8" w:rsidRDefault="00242FC8" w:rsidP="00242FC8">
            <w:pPr>
              <w:pStyle w:val="TableText"/>
            </w:pPr>
            <w:r w:rsidRPr="00242FC8">
              <w:t>The iMHA has the capability and capacity to fulfil its objective and functions, and to be an organisation that is grounded in Te Tiriti o Waitangi to promote hauora Māori.</w:t>
            </w:r>
          </w:p>
          <w:p w14:paraId="11A0CA71" w14:textId="421C5426" w:rsidR="00242FC8" w:rsidRPr="00242FC8" w:rsidRDefault="00242FC8" w:rsidP="002E03C2">
            <w:pPr>
              <w:pStyle w:val="TableText"/>
            </w:pPr>
            <w:r w:rsidRPr="00242FC8">
              <w:t xml:space="preserve">The iMHA has most of the systems and policies for managing finance, human resources, information technology and meeting </w:t>
            </w:r>
            <w:r w:rsidR="002E03C2">
              <w:br/>
            </w:r>
            <w:r w:rsidRPr="00242FC8">
              <w:t>statutory machinery of</w:t>
            </w:r>
            <w:r w:rsidR="002E03C2">
              <w:t xml:space="preserve"> </w:t>
            </w:r>
            <w:r w:rsidRPr="00242FC8">
              <w:t>government requirements.</w:t>
            </w:r>
          </w:p>
        </w:tc>
        <w:tc>
          <w:tcPr>
            <w:tcW w:w="2699" w:type="dxa"/>
            <w:tcBorders>
              <w:top w:val="nil"/>
            </w:tcBorders>
          </w:tcPr>
          <w:p w14:paraId="1C09CF76" w14:textId="316F6B79" w:rsidR="00242FC8" w:rsidRPr="00242FC8" w:rsidRDefault="00242FC8" w:rsidP="002E03C2">
            <w:pPr>
              <w:pStyle w:val="TableText"/>
            </w:pPr>
            <w:r w:rsidRPr="00242FC8">
              <w:t>By the end of June 2022, systems and controls, infrastructure, operational policies, and processes are in place to enable a fully functioning independent statutory entity and meeting</w:t>
            </w:r>
            <w:r w:rsidR="002E03C2">
              <w:br/>
            </w:r>
            <w:r w:rsidRPr="00242FC8">
              <w:t>its purpose to set up the Māori Health Authority for 1 July 2022.</w:t>
            </w:r>
          </w:p>
        </w:tc>
        <w:tc>
          <w:tcPr>
            <w:tcW w:w="2699" w:type="dxa"/>
            <w:tcBorders>
              <w:top w:val="nil"/>
            </w:tcBorders>
          </w:tcPr>
          <w:p w14:paraId="3F689E56" w14:textId="30B5CADB" w:rsidR="00242FC8" w:rsidRPr="002E03C2" w:rsidRDefault="00242FC8" w:rsidP="00242FC8">
            <w:pPr>
              <w:pStyle w:val="TableText"/>
              <w:rPr>
                <w:b/>
                <w:bCs/>
              </w:rPr>
            </w:pPr>
            <w:r w:rsidRPr="002E03C2">
              <w:rPr>
                <w:b/>
                <w:bCs/>
              </w:rPr>
              <w:t>Achieved</w:t>
            </w:r>
            <w:r w:rsidR="002E03C2">
              <w:rPr>
                <w:b/>
                <w:bCs/>
              </w:rPr>
              <w:t>.</w:t>
            </w:r>
          </w:p>
          <w:p w14:paraId="2B8F1320" w14:textId="77777777" w:rsidR="00242FC8" w:rsidRPr="00242FC8" w:rsidRDefault="00242FC8" w:rsidP="00242FC8">
            <w:pPr>
              <w:pStyle w:val="TableText"/>
            </w:pPr>
            <w:r w:rsidRPr="00242FC8">
              <w:t>The iMHA strategic framework, incorporating vision, mission, values, and our strategic priorities, are developed and approved by the iMHA Board.</w:t>
            </w:r>
          </w:p>
          <w:p w14:paraId="2ADD69D9" w14:textId="77777777" w:rsidR="00242FC8" w:rsidRPr="00242FC8" w:rsidRDefault="00242FC8" w:rsidP="00242FC8">
            <w:pPr>
              <w:pStyle w:val="TableText"/>
            </w:pPr>
            <w:r w:rsidRPr="00242FC8">
              <w:t>The iMHA’s interim operating model is agreed and adopted.</w:t>
            </w:r>
          </w:p>
        </w:tc>
      </w:tr>
    </w:tbl>
    <w:p w14:paraId="33BD67AF" w14:textId="77777777" w:rsidR="00242FC8" w:rsidRPr="00242FC8" w:rsidRDefault="00242FC8" w:rsidP="00242FC8">
      <w:pPr>
        <w:rPr>
          <w:lang w:val="en-GB" w:eastAsia="en-US"/>
        </w:rPr>
      </w:pPr>
    </w:p>
    <w:p w14:paraId="43D7970C" w14:textId="19369A39" w:rsidR="002E03C2" w:rsidRDefault="002E03C2" w:rsidP="002E03C2">
      <w:r>
        <w:t xml:space="preserve">Te Aka Whai Ora organisational design is published on </w:t>
      </w:r>
      <w:hyperlink r:id="rId82" w:history="1">
        <w:r w:rsidRPr="002E03C2">
          <w:rPr>
            <w:rStyle w:val="Hyperlink"/>
          </w:rPr>
          <w:t>http://www.teakawhaiora.nz/about-us/our-structure/</w:t>
        </w:r>
      </w:hyperlink>
      <w:r>
        <w:t>. Some appointments to key roles have been made, other roles are staffed by secondments, fixed-term employees or contractors.</w:t>
      </w:r>
    </w:p>
    <w:p w14:paraId="5EC74649" w14:textId="77777777" w:rsidR="002E03C2" w:rsidRDefault="002E03C2" w:rsidP="002E03C2"/>
    <w:p w14:paraId="40CA7C54" w14:textId="1DE04699" w:rsidR="002E03C2" w:rsidRDefault="002E03C2" w:rsidP="002E03C2">
      <w:r>
        <w:t>We are continuing to work on the design of our regional and local structure in partnership with Te Whatu Ora.</w:t>
      </w:r>
    </w:p>
    <w:p w14:paraId="3A7DFD22" w14:textId="10BA1558" w:rsidR="002E03C2" w:rsidRDefault="002E03C2" w:rsidP="002E03C2">
      <w:pPr>
        <w:pStyle w:val="Heading6"/>
        <w:ind w:left="0" w:firstLine="0"/>
      </w:pPr>
      <w:r>
        <w:t>Hauora Māori Commissioning plan is in place for delivery of hauora Māori services and delivery in accordance with the commissioning plan</w:t>
      </w:r>
    </w:p>
    <w:tbl>
      <w:tblPr>
        <w:tblW w:w="8080" w:type="dxa"/>
        <w:tblBorders>
          <w:bottom w:val="single" w:sz="4" w:space="0" w:color="A6A6A6" w:themeColor="background1" w:themeShade="A6"/>
          <w:insideH w:val="single" w:sz="4" w:space="0" w:color="A6A6A6" w:themeColor="background1" w:themeShade="A6"/>
        </w:tblBorders>
        <w:tblLayout w:type="fixed"/>
        <w:tblCellMar>
          <w:left w:w="0" w:type="dxa"/>
          <w:right w:w="0" w:type="dxa"/>
        </w:tblCellMar>
        <w:tblLook w:val="01E0" w:firstRow="1" w:lastRow="1" w:firstColumn="1" w:lastColumn="1" w:noHBand="0" w:noVBand="0"/>
      </w:tblPr>
      <w:tblGrid>
        <w:gridCol w:w="2268"/>
        <w:gridCol w:w="2694"/>
        <w:gridCol w:w="3118"/>
      </w:tblGrid>
      <w:tr w:rsidR="002E03C2" w:rsidRPr="00242FC8" w14:paraId="7F819732" w14:textId="77777777" w:rsidTr="002E03C2">
        <w:trPr>
          <w:trHeight w:val="349"/>
        </w:trPr>
        <w:tc>
          <w:tcPr>
            <w:tcW w:w="2268" w:type="dxa"/>
            <w:tcBorders>
              <w:top w:val="nil"/>
              <w:bottom w:val="nil"/>
            </w:tcBorders>
            <w:shd w:val="clear" w:color="auto" w:fill="D9D9D9" w:themeFill="background1" w:themeFillShade="D9"/>
          </w:tcPr>
          <w:p w14:paraId="1756B89D" w14:textId="77777777" w:rsidR="002E03C2" w:rsidRPr="00242FC8" w:rsidRDefault="002E03C2" w:rsidP="002E03C2">
            <w:pPr>
              <w:pStyle w:val="TableText"/>
              <w:rPr>
                <w:b/>
                <w:bCs/>
              </w:rPr>
            </w:pPr>
            <w:r w:rsidRPr="00242FC8">
              <w:rPr>
                <w:b/>
                <w:bCs/>
              </w:rPr>
              <w:t>Output</w:t>
            </w:r>
          </w:p>
        </w:tc>
        <w:tc>
          <w:tcPr>
            <w:tcW w:w="2694" w:type="dxa"/>
            <w:tcBorders>
              <w:top w:val="nil"/>
              <w:bottom w:val="nil"/>
            </w:tcBorders>
            <w:shd w:val="clear" w:color="auto" w:fill="D9D9D9" w:themeFill="background1" w:themeFillShade="D9"/>
          </w:tcPr>
          <w:p w14:paraId="74F5138F" w14:textId="77777777" w:rsidR="002E03C2" w:rsidRPr="00242FC8" w:rsidRDefault="002E03C2" w:rsidP="002E03C2">
            <w:pPr>
              <w:pStyle w:val="TableText"/>
              <w:rPr>
                <w:b/>
                <w:bCs/>
              </w:rPr>
            </w:pPr>
            <w:r w:rsidRPr="00242FC8">
              <w:rPr>
                <w:b/>
                <w:bCs/>
              </w:rPr>
              <w:t>Measured by</w:t>
            </w:r>
          </w:p>
        </w:tc>
        <w:tc>
          <w:tcPr>
            <w:tcW w:w="3118" w:type="dxa"/>
            <w:tcBorders>
              <w:top w:val="nil"/>
              <w:bottom w:val="nil"/>
            </w:tcBorders>
            <w:shd w:val="clear" w:color="auto" w:fill="D9D9D9" w:themeFill="background1" w:themeFillShade="D9"/>
          </w:tcPr>
          <w:p w14:paraId="78FC3B73" w14:textId="77777777" w:rsidR="002E03C2" w:rsidRPr="00242FC8" w:rsidRDefault="002E03C2" w:rsidP="002E03C2">
            <w:pPr>
              <w:pStyle w:val="TableText"/>
              <w:rPr>
                <w:b/>
                <w:bCs/>
              </w:rPr>
            </w:pPr>
            <w:r w:rsidRPr="00242FC8">
              <w:rPr>
                <w:b/>
                <w:bCs/>
              </w:rPr>
              <w:t>Results and examples</w:t>
            </w:r>
          </w:p>
        </w:tc>
      </w:tr>
      <w:tr w:rsidR="002E03C2" w:rsidRPr="00242FC8" w14:paraId="65BFF8D6" w14:textId="77777777" w:rsidTr="002E03C2">
        <w:trPr>
          <w:trHeight w:val="3218"/>
        </w:trPr>
        <w:tc>
          <w:tcPr>
            <w:tcW w:w="2268" w:type="dxa"/>
            <w:tcBorders>
              <w:top w:val="nil"/>
            </w:tcBorders>
          </w:tcPr>
          <w:p w14:paraId="6D89C7C2" w14:textId="027272D7" w:rsidR="002E03C2" w:rsidRPr="00242FC8" w:rsidRDefault="002E03C2" w:rsidP="002E03C2">
            <w:pPr>
              <w:pStyle w:val="TableText"/>
            </w:pPr>
            <w:r w:rsidRPr="002E03C2">
              <w:t>The iMHA are commissioning hauora Māori services and have determined how we will leverage our  partnerships to add value to the system to deliver equity and hauora Māori.</w:t>
            </w:r>
          </w:p>
        </w:tc>
        <w:tc>
          <w:tcPr>
            <w:tcW w:w="2694" w:type="dxa"/>
            <w:tcBorders>
              <w:top w:val="nil"/>
            </w:tcBorders>
          </w:tcPr>
          <w:p w14:paraId="2A28352B" w14:textId="77777777" w:rsidR="002E03C2" w:rsidRDefault="002E03C2" w:rsidP="002E03C2">
            <w:pPr>
              <w:pStyle w:val="TableText"/>
            </w:pPr>
            <w:r>
              <w:t>The iMHA draft Commissioning Framework and plans</w:t>
            </w:r>
          </w:p>
          <w:p w14:paraId="638C7215" w14:textId="77777777" w:rsidR="002E03C2" w:rsidRDefault="002E03C2" w:rsidP="002E03C2">
            <w:pPr>
              <w:pStyle w:val="TableText"/>
            </w:pPr>
            <w:r>
              <w:t>are developed and being implemented according to the commissioning plan.</w:t>
            </w:r>
          </w:p>
          <w:p w14:paraId="1E018A10" w14:textId="77777777" w:rsidR="002E03C2" w:rsidRDefault="002E03C2" w:rsidP="002E03C2">
            <w:pPr>
              <w:pStyle w:val="TableText"/>
            </w:pPr>
            <w:r>
              <w:t>Description of contact in place by 30 June 2022.</w:t>
            </w:r>
          </w:p>
          <w:p w14:paraId="3C1A5A02" w14:textId="74128712" w:rsidR="002E03C2" w:rsidRDefault="002E03C2" w:rsidP="00AA2082">
            <w:pPr>
              <w:pStyle w:val="TableBullet"/>
              <w:ind w:hanging="206"/>
            </w:pPr>
            <w:r>
              <w:t>Contracts with 149 providers, with two extensions in place by 30 June 2022.</w:t>
            </w:r>
          </w:p>
          <w:p w14:paraId="2F2E5326" w14:textId="6F64B518" w:rsidR="002E03C2" w:rsidRDefault="002E03C2" w:rsidP="00AA2082">
            <w:pPr>
              <w:pStyle w:val="TableBullet"/>
              <w:ind w:hanging="206"/>
            </w:pPr>
            <w:r>
              <w:t>The value of contracts in place by 30 June 2022 was: $12.4m Provider workforce and sustainability and innovation fund.</w:t>
            </w:r>
          </w:p>
          <w:p w14:paraId="1F38A72F" w14:textId="3F6F5C05" w:rsidR="002E03C2" w:rsidRDefault="002E03C2" w:rsidP="00AA2082">
            <w:pPr>
              <w:pStyle w:val="TableBullet"/>
              <w:ind w:hanging="206"/>
            </w:pPr>
            <w:r>
              <w:t>The expansion of existing rongoā services and to ensure national coverage.</w:t>
            </w:r>
          </w:p>
          <w:p w14:paraId="5B726966" w14:textId="1B8CC233" w:rsidR="002E03C2" w:rsidRDefault="002E03C2" w:rsidP="00AA2082">
            <w:pPr>
              <w:pStyle w:val="TableBullet"/>
              <w:ind w:hanging="206"/>
            </w:pPr>
            <w:r>
              <w:t>The establishment of a national Rongoā body, Te Kahui Rongoā</w:t>
            </w:r>
          </w:p>
          <w:p w14:paraId="59C13EBB" w14:textId="4341CAE3" w:rsidR="002E03C2" w:rsidRPr="00242FC8" w:rsidRDefault="002E03C2" w:rsidP="00AA2082">
            <w:pPr>
              <w:pStyle w:val="TableBullet"/>
              <w:ind w:hanging="206"/>
            </w:pPr>
            <w:r>
              <w:t>Support the Iwi Māori Partnership Boards.</w:t>
            </w:r>
          </w:p>
        </w:tc>
        <w:tc>
          <w:tcPr>
            <w:tcW w:w="3118" w:type="dxa"/>
            <w:tcBorders>
              <w:top w:val="nil"/>
            </w:tcBorders>
          </w:tcPr>
          <w:p w14:paraId="65908371" w14:textId="77777777" w:rsidR="002E03C2" w:rsidRPr="002E03C2" w:rsidRDefault="002E03C2" w:rsidP="002E03C2">
            <w:pPr>
              <w:pStyle w:val="TableText"/>
              <w:rPr>
                <w:b/>
                <w:bCs/>
              </w:rPr>
            </w:pPr>
            <w:r w:rsidRPr="002E03C2">
              <w:rPr>
                <w:b/>
                <w:bCs/>
              </w:rPr>
              <w:t>Achieved.</w:t>
            </w:r>
          </w:p>
          <w:p w14:paraId="623AE466" w14:textId="1B36C6BD" w:rsidR="002E03C2" w:rsidRDefault="002E03C2" w:rsidP="002E03C2">
            <w:pPr>
              <w:pStyle w:val="TableText"/>
            </w:pPr>
            <w:r>
              <w:t>The evidence based draft Commissioning Framework and commissioning  values and practices, and plans are in place and being implemented according to the commissioning plan.</w:t>
            </w:r>
          </w:p>
          <w:p w14:paraId="08590AD4" w14:textId="77777777" w:rsidR="002E03C2" w:rsidRDefault="002E03C2" w:rsidP="002E03C2">
            <w:pPr>
              <w:pStyle w:val="TableText"/>
            </w:pPr>
            <w:r>
              <w:t>The Implementation Plan for Budget 21 has been signed off by the iMHA executive leadership Team 8 February 2022.</w:t>
            </w:r>
          </w:p>
          <w:p w14:paraId="5B011E76" w14:textId="77777777" w:rsidR="002E03C2" w:rsidRDefault="002E03C2" w:rsidP="002E03C2">
            <w:pPr>
              <w:pStyle w:val="TableText"/>
            </w:pPr>
            <w:r w:rsidRPr="002E03C2">
              <w:rPr>
                <w:i/>
                <w:iCs/>
              </w:rPr>
              <w:t>Examples of other procurement</w:t>
            </w:r>
            <w:r>
              <w:t>:</w:t>
            </w:r>
          </w:p>
          <w:p w14:paraId="54FA7E97" w14:textId="77777777" w:rsidR="002E03C2" w:rsidRDefault="002E03C2" w:rsidP="002E03C2">
            <w:pPr>
              <w:pStyle w:val="TableText"/>
            </w:pPr>
            <w:r>
              <w:t>$2m to support the expansion of existing rongoā services and establish four new rongoā services to ensure national coverage.</w:t>
            </w:r>
          </w:p>
          <w:p w14:paraId="28D74C03" w14:textId="77777777" w:rsidR="002E03C2" w:rsidRDefault="002E03C2" w:rsidP="002E03C2">
            <w:pPr>
              <w:pStyle w:val="TableText"/>
            </w:pPr>
            <w:r>
              <w:t>$800,000 for showcasing Māori Examplar initiatives (ie, Impact evaluation) to support other areas to work in that way .</w:t>
            </w:r>
          </w:p>
          <w:p w14:paraId="668BCACE" w14:textId="77777777" w:rsidR="002E03C2" w:rsidRDefault="002E03C2" w:rsidP="002E03C2">
            <w:pPr>
              <w:pStyle w:val="TableText"/>
            </w:pPr>
            <w:r>
              <w:t>$300,000 to support the establishment of a national Rongoā body, Te Kahui Rongoā.</w:t>
            </w:r>
          </w:p>
          <w:p w14:paraId="10FD700A" w14:textId="31765629" w:rsidR="002E03C2" w:rsidRPr="00242FC8" w:rsidRDefault="002E03C2" w:rsidP="002E03C2">
            <w:pPr>
              <w:pStyle w:val="TableText"/>
            </w:pPr>
            <w:r>
              <w:t>$3.192 million to operationalise the Iwi Māori Partnership Boards.</w:t>
            </w:r>
          </w:p>
        </w:tc>
      </w:tr>
    </w:tbl>
    <w:p w14:paraId="054AD8EE" w14:textId="281EA3C8" w:rsidR="002E03C2" w:rsidRPr="002E03C2" w:rsidRDefault="002E03C2" w:rsidP="002E03C2">
      <w:pPr>
        <w:rPr>
          <w:lang w:val="en-GB" w:eastAsia="en-US"/>
        </w:rPr>
        <w:sectPr w:rsidR="002E03C2" w:rsidRPr="002E03C2" w:rsidSect="00242FC8">
          <w:pgSz w:w="11907" w:h="16840" w:code="9"/>
          <w:pgMar w:top="1418" w:right="1701" w:bottom="1134" w:left="1843" w:header="284" w:footer="425" w:gutter="284"/>
          <w:cols w:space="720"/>
        </w:sectPr>
      </w:pPr>
    </w:p>
    <w:p w14:paraId="49CCE334" w14:textId="7A2B6A52" w:rsidR="002E03C2" w:rsidRDefault="002E03C2" w:rsidP="002E03C2">
      <w:r>
        <w:lastRenderedPageBreak/>
        <w:t>The investment logic model (renamed the Investment Outcomes Model) has been updated based on discussions and feedback with the iMHA Board. The Investment Outcomes Model is strengths based.</w:t>
      </w:r>
    </w:p>
    <w:p w14:paraId="6E9ABB0E" w14:textId="77777777" w:rsidR="002E03C2" w:rsidRDefault="002E03C2" w:rsidP="002E03C2"/>
    <w:p w14:paraId="5435259F" w14:textId="77777777" w:rsidR="002E03C2" w:rsidRDefault="002E03C2" w:rsidP="002E03C2">
      <w:r>
        <w:t>The iMHA commissions to ensure resourcing is equitable to achieve health outcomes and the wider aspirations of whānau, hapū, iwi and Māori. This includes workforce Rongoā Māori, and in the future the range of Mātauranga Māori and Te Ao Māori direct commissioning, co-commissioning and partnered commissioning to deliver on the aspiration of Pae Ora.</w:t>
      </w:r>
    </w:p>
    <w:p w14:paraId="15F12C8A" w14:textId="77777777" w:rsidR="002E03C2" w:rsidRDefault="002E03C2" w:rsidP="002E03C2">
      <w:r>
        <w:t xml:space="preserve"> </w:t>
      </w:r>
    </w:p>
    <w:p w14:paraId="60467390" w14:textId="4106FE40" w:rsidR="002E03C2" w:rsidRDefault="002E03C2" w:rsidP="002E03C2">
      <w:r>
        <w:t>The iMHA is working on the operating model development which will reflect how the Commissioning for Hauora Māori Outcomes and Investment Outcomes model will be put into practice within the organisation. An operating model is also being developed for the function of the Iwi Māori Partnership Boards. Both models will need to be strongly linked and aligned to avoid confusion of roles.</w:t>
      </w:r>
    </w:p>
    <w:p w14:paraId="4454A1F6" w14:textId="77777777" w:rsidR="002E03C2" w:rsidRDefault="002E03C2" w:rsidP="002E03C2"/>
    <w:p w14:paraId="1E10F42E" w14:textId="77777777" w:rsidR="002E03C2" w:rsidRDefault="002E03C2" w:rsidP="002E03C2">
      <w:r>
        <w:t>The geographical coverage of Rongoā Māori services for 2020/21 has increased. All 20 district health board areas now have at least one Rongoā Māori service that is contracted by iMHA. Prior to Budget 2021 only 16 areas had a Rongoā Māori service. Te Aka Whai Ora have since contracted a Rongoā Māori service in the other four district health board areas (MidCentral, West Coast, South Canterbury, and Auckland).</w:t>
      </w:r>
    </w:p>
    <w:p w14:paraId="2C5DEF4B" w14:textId="77777777" w:rsidR="002E03C2" w:rsidRPr="00F870AE" w:rsidRDefault="002E03C2" w:rsidP="00F870AE">
      <w:pPr>
        <w:pStyle w:val="Heading2"/>
      </w:pPr>
      <w:bookmarkStart w:id="112" w:name="_Toc117265017"/>
      <w:r w:rsidRPr="00F870AE">
        <w:t>Statement of Responsibility</w:t>
      </w:r>
      <w:bookmarkEnd w:id="112"/>
    </w:p>
    <w:p w14:paraId="2AB1E4D7" w14:textId="70F787EB" w:rsidR="002E03C2" w:rsidRDefault="002E03C2" w:rsidP="002E03C2">
      <w:r>
        <w:t>I am responsible, as Chief Executive of the interim Māori Health Authority for the accuracy of any end-of-year performance information prepared by the interim Māori Health Authority, whether or not that information is included in the Annual Report.</w:t>
      </w:r>
    </w:p>
    <w:p w14:paraId="63263995" w14:textId="77777777" w:rsidR="002E03C2" w:rsidRDefault="002E03C2" w:rsidP="002E03C2"/>
    <w:p w14:paraId="05A4E8B9" w14:textId="77777777" w:rsidR="002E03C2" w:rsidRDefault="002E03C2" w:rsidP="002E03C2">
      <w:r>
        <w:t>In my opinion, the Annual Report fairly reflects the operations, progress, and organisational health and capability of the interim Māori Health Authority.</w:t>
      </w:r>
    </w:p>
    <w:p w14:paraId="47B39648" w14:textId="531A073C" w:rsidR="002E03C2" w:rsidRDefault="00F870AE" w:rsidP="002E03C2">
      <w:r>
        <w:rPr>
          <w:noProof/>
        </w:rPr>
        <w:drawing>
          <wp:anchor distT="0" distB="0" distL="0" distR="0" simplePos="0" relativeHeight="251687936" behindDoc="0" locked="0" layoutInCell="1" allowOverlap="1" wp14:anchorId="42576688" wp14:editId="64484067">
            <wp:simplePos x="0" y="0"/>
            <wp:positionH relativeFrom="page">
              <wp:posOffset>1118796</wp:posOffset>
            </wp:positionH>
            <wp:positionV relativeFrom="paragraph">
              <wp:posOffset>216107</wp:posOffset>
            </wp:positionV>
            <wp:extent cx="1726911" cy="676465"/>
            <wp:effectExtent l="0" t="0" r="0" b="0"/>
            <wp:wrapTopAndBottom/>
            <wp:docPr id="67" name="image10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08.png">
                      <a:extLst>
                        <a:ext uri="{C183D7F6-B498-43B3-948B-1728B52AA6E4}">
                          <adec:decorative xmlns:adec="http://schemas.microsoft.com/office/drawing/2017/decorative" val="1"/>
                        </a:ext>
                      </a:extLst>
                    </pic:cNvPr>
                    <pic:cNvPicPr/>
                  </pic:nvPicPr>
                  <pic:blipFill>
                    <a:blip r:embed="rId83" cstate="print"/>
                    <a:stretch>
                      <a:fillRect/>
                    </a:stretch>
                  </pic:blipFill>
                  <pic:spPr>
                    <a:xfrm>
                      <a:off x="0" y="0"/>
                      <a:ext cx="1726911" cy="676465"/>
                    </a:xfrm>
                    <a:prstGeom prst="rect">
                      <a:avLst/>
                    </a:prstGeom>
                  </pic:spPr>
                </pic:pic>
              </a:graphicData>
            </a:graphic>
          </wp:anchor>
        </w:drawing>
      </w:r>
    </w:p>
    <w:p w14:paraId="3BCC0FD6" w14:textId="77777777" w:rsidR="002E03C2" w:rsidRDefault="002E03C2" w:rsidP="002E03C2">
      <w:r>
        <w:t>Riana Manuel</w:t>
      </w:r>
    </w:p>
    <w:p w14:paraId="28235804" w14:textId="14D4146F" w:rsidR="009A42D5" w:rsidRDefault="002E03C2" w:rsidP="002E03C2">
      <w:r w:rsidRPr="002E03C2">
        <w:rPr>
          <w:b/>
          <w:bCs/>
        </w:rPr>
        <w:t>Chief Executive/Tumu Whakarae</w:t>
      </w:r>
      <w:r w:rsidRPr="002E03C2">
        <w:rPr>
          <w:b/>
          <w:bCs/>
        </w:rPr>
        <w:br/>
        <w:t>Interim Māori Health Authori</w:t>
      </w:r>
      <w:r>
        <w:rPr>
          <w:b/>
          <w:bCs/>
        </w:rPr>
        <w:t>ty</w:t>
      </w:r>
    </w:p>
    <w:sectPr w:rsidR="009A42D5" w:rsidSect="002E03C2">
      <w:headerReference w:type="default" r:id="rId84"/>
      <w:footerReference w:type="even" r:id="rId85"/>
      <w:pgSz w:w="11907" w:h="16840" w:code="9"/>
      <w:pgMar w:top="1418" w:right="1701" w:bottom="1134" w:left="1843" w:header="284" w:footer="425"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1F364" w14:textId="77777777" w:rsidR="00005FD3" w:rsidRDefault="00005FD3">
      <w:r>
        <w:separator/>
      </w:r>
    </w:p>
    <w:p w14:paraId="4B72FF32" w14:textId="77777777" w:rsidR="00005FD3" w:rsidRDefault="00005FD3"/>
  </w:endnote>
  <w:endnote w:type="continuationSeparator" w:id="0">
    <w:p w14:paraId="5BCED55F" w14:textId="77777777" w:rsidR="00005FD3" w:rsidRDefault="00005FD3">
      <w:r>
        <w:continuationSeparator/>
      </w:r>
    </w:p>
    <w:p w14:paraId="28DC8CA2" w14:textId="77777777" w:rsidR="00005FD3" w:rsidRDefault="00005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äori">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Franklin Gothic Heavy">
    <w:altName w:val="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18357" w14:textId="7AB6F630" w:rsidR="008C677C" w:rsidRPr="00581136" w:rsidRDefault="008C677C" w:rsidP="005A79E5">
    <w:pPr>
      <w:pStyle w:val="Footer"/>
      <w:pBdr>
        <w:bottom w:val="single" w:sz="4" w:space="1" w:color="auto"/>
      </w:pBdr>
      <w:tabs>
        <w:tab w:val="right" w:pos="9639"/>
      </w:tabs>
      <w:rPr>
        <w:b/>
      </w:rPr>
    </w:pPr>
    <w:r w:rsidRPr="00581136">
      <w:rPr>
        <w:b/>
      </w:rPr>
      <w:t>Released 20</w:t>
    </w:r>
    <w:r>
      <w:rPr>
        <w:b/>
      </w:rPr>
      <w:t>22</w:t>
    </w:r>
    <w:r w:rsidRPr="00581136">
      <w:rPr>
        <w:b/>
      </w:rPr>
      <w:tab/>
      <w:t>health.govt.nz</w:t>
    </w:r>
  </w:p>
  <w:p w14:paraId="524869F6" w14:textId="77777777" w:rsidR="008C677C" w:rsidRPr="005A79E5" w:rsidRDefault="008C677C">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8C677C" w14:paraId="0DDDC067" w14:textId="77777777" w:rsidTr="009A11E7">
      <w:trPr>
        <w:cantSplit/>
      </w:trPr>
      <w:tc>
        <w:tcPr>
          <w:tcW w:w="8080" w:type="dxa"/>
          <w:vAlign w:val="center"/>
        </w:tcPr>
        <w:p w14:paraId="4765CAA9" w14:textId="77777777" w:rsidR="008C677C" w:rsidRDefault="008C677C" w:rsidP="00ED2498">
          <w:pPr>
            <w:pStyle w:val="RectoFooter"/>
          </w:pPr>
          <w:r w:rsidRPr="00E83E35">
            <w:t>Annual Report for the Year Ended 30 June 2022</w:t>
          </w:r>
        </w:p>
      </w:tc>
      <w:tc>
        <w:tcPr>
          <w:tcW w:w="709" w:type="dxa"/>
          <w:vAlign w:val="center"/>
        </w:tcPr>
        <w:p w14:paraId="271C906F" w14:textId="77777777" w:rsidR="008C677C" w:rsidRPr="00931466" w:rsidRDefault="008C677C" w:rsidP="00ED2498">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1</w:t>
          </w:r>
          <w:r w:rsidRPr="00931466">
            <w:rPr>
              <w:rStyle w:val="PageNumber"/>
            </w:rPr>
            <w:fldChar w:fldCharType="end"/>
          </w:r>
        </w:p>
      </w:tc>
    </w:tr>
  </w:tbl>
  <w:p w14:paraId="7CA52C00" w14:textId="77777777" w:rsidR="008C677C" w:rsidRPr="00571223" w:rsidRDefault="008C677C" w:rsidP="00571223">
    <w:pPr>
      <w:pStyle w:val="Verso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8C677C" w14:paraId="7DB74E0B" w14:textId="77777777" w:rsidTr="00D662F8">
      <w:trPr>
        <w:cantSplit/>
      </w:trPr>
      <w:tc>
        <w:tcPr>
          <w:tcW w:w="709" w:type="dxa"/>
          <w:vAlign w:val="center"/>
        </w:tcPr>
        <w:p w14:paraId="7FB9EB7B" w14:textId="77777777" w:rsidR="008C677C" w:rsidRPr="00931466" w:rsidRDefault="008C677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1A8BBBFB" w14:textId="17CE2F25" w:rsidR="008C677C" w:rsidRDefault="008C677C" w:rsidP="00926083">
          <w:pPr>
            <w:pStyle w:val="RectoFooter"/>
            <w:jc w:val="left"/>
          </w:pPr>
          <w:r w:rsidRPr="00E83E35">
            <w:t>Annual Report for the Year Ended 30 June 2022</w:t>
          </w:r>
        </w:p>
      </w:tc>
    </w:tr>
  </w:tbl>
  <w:p w14:paraId="7C39EF3C" w14:textId="77777777" w:rsidR="008C677C" w:rsidRPr="00571223" w:rsidRDefault="008C677C" w:rsidP="00571223">
    <w:pPr>
      <w:pStyle w:val="Verso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8C677C" w14:paraId="423138CB" w14:textId="77777777" w:rsidTr="00D662F8">
      <w:trPr>
        <w:cantSplit/>
      </w:trPr>
      <w:tc>
        <w:tcPr>
          <w:tcW w:w="8080" w:type="dxa"/>
          <w:vAlign w:val="center"/>
        </w:tcPr>
        <w:p w14:paraId="520A68A6" w14:textId="71F4AF38" w:rsidR="008C677C" w:rsidRDefault="008C677C" w:rsidP="00926083">
          <w:pPr>
            <w:pStyle w:val="RectoFooter"/>
          </w:pPr>
          <w:r w:rsidRPr="00E83E35">
            <w:t>Annual Report for the Year Ended 30 June 2022</w:t>
          </w:r>
        </w:p>
      </w:tc>
      <w:tc>
        <w:tcPr>
          <w:tcW w:w="709" w:type="dxa"/>
          <w:vAlign w:val="center"/>
        </w:tcPr>
        <w:p w14:paraId="745D812B" w14:textId="77777777" w:rsidR="008C677C" w:rsidRPr="00931466" w:rsidRDefault="008C677C"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755CAC6B" w14:textId="77777777" w:rsidR="008C677C" w:rsidRPr="00581EB8" w:rsidRDefault="008C677C" w:rsidP="00581EB8">
    <w:pPr>
      <w:pStyle w:val="Foo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8C677C" w14:paraId="7D28A6A9" w14:textId="77777777" w:rsidTr="00D662F8">
      <w:trPr>
        <w:cantSplit/>
      </w:trPr>
      <w:tc>
        <w:tcPr>
          <w:tcW w:w="709" w:type="dxa"/>
          <w:vAlign w:val="center"/>
        </w:tcPr>
        <w:p w14:paraId="3BA75631" w14:textId="77777777" w:rsidR="008C677C" w:rsidRPr="00931466" w:rsidRDefault="008C677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1DA279D5" w14:textId="2B588209" w:rsidR="008C677C" w:rsidRDefault="008C677C" w:rsidP="00926083">
          <w:pPr>
            <w:pStyle w:val="RectoFooter"/>
            <w:jc w:val="left"/>
          </w:pPr>
          <w:r w:rsidRPr="00DC739E">
            <w:t>TE AHO O TE KAHU, CANCER CONTROL AGENCY: ANNUAL REPORT 2021</w:t>
          </w:r>
        </w:p>
      </w:tc>
    </w:tr>
  </w:tbl>
  <w:p w14:paraId="1B8E89C6" w14:textId="77777777" w:rsidR="008C677C" w:rsidRPr="00571223" w:rsidRDefault="008C677C" w:rsidP="00571223">
    <w:pPr>
      <w:pStyle w:val="VersoFooter"/>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8C677C" w14:paraId="3DEB0016" w14:textId="77777777" w:rsidTr="00D662F8">
      <w:trPr>
        <w:cantSplit/>
      </w:trPr>
      <w:tc>
        <w:tcPr>
          <w:tcW w:w="8080" w:type="dxa"/>
          <w:vAlign w:val="center"/>
        </w:tcPr>
        <w:p w14:paraId="6B3FE9FC" w14:textId="5F80F13B" w:rsidR="008C677C" w:rsidRDefault="008C677C" w:rsidP="00926083">
          <w:pPr>
            <w:pStyle w:val="RectoFooter"/>
          </w:pPr>
          <w:r w:rsidRPr="00DC16F0">
            <w:t>TE AHO O TE KAHU, CANCER CONTROL AGENCY: ANNUAL REPORT 2021/22</w:t>
          </w:r>
        </w:p>
      </w:tc>
      <w:tc>
        <w:tcPr>
          <w:tcW w:w="709" w:type="dxa"/>
          <w:vAlign w:val="center"/>
        </w:tcPr>
        <w:p w14:paraId="0E0055DF" w14:textId="77777777" w:rsidR="008C677C" w:rsidRPr="00931466" w:rsidRDefault="008C677C"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7B6F2F0B" w14:textId="77777777" w:rsidR="008C677C" w:rsidRPr="00581EB8" w:rsidRDefault="008C677C" w:rsidP="00581EB8">
    <w:pPr>
      <w:pStyle w:val="Footer"/>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8C677C" w14:paraId="6E54BDA3" w14:textId="77777777" w:rsidTr="00D662F8">
      <w:trPr>
        <w:cantSplit/>
      </w:trPr>
      <w:tc>
        <w:tcPr>
          <w:tcW w:w="709" w:type="dxa"/>
          <w:vAlign w:val="center"/>
        </w:tcPr>
        <w:p w14:paraId="78BC3A18" w14:textId="77777777" w:rsidR="008C677C" w:rsidRPr="00931466" w:rsidRDefault="008C677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680DA3E0" w14:textId="206548A5" w:rsidR="008C677C" w:rsidRDefault="008C677C" w:rsidP="00926083">
          <w:pPr>
            <w:pStyle w:val="RectoFooter"/>
            <w:jc w:val="left"/>
          </w:pPr>
          <w:r w:rsidRPr="00DC16F0">
            <w:t>TE AHO O TE KAHU, CANCER CONTROL AGENCY: ANNUAL REPORT 2021/22</w:t>
          </w:r>
        </w:p>
      </w:tc>
    </w:tr>
  </w:tbl>
  <w:p w14:paraId="43FBFA52" w14:textId="77777777" w:rsidR="008C677C" w:rsidRPr="00571223" w:rsidRDefault="008C677C" w:rsidP="00571223">
    <w:pPr>
      <w:pStyle w:val="VersoFooter"/>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8C677C" w14:paraId="528262F2" w14:textId="77777777" w:rsidTr="00D662F8">
      <w:trPr>
        <w:cantSplit/>
      </w:trPr>
      <w:tc>
        <w:tcPr>
          <w:tcW w:w="709" w:type="dxa"/>
          <w:vAlign w:val="center"/>
        </w:tcPr>
        <w:p w14:paraId="429D28AA" w14:textId="77777777" w:rsidR="008C677C" w:rsidRPr="00931466" w:rsidRDefault="008C677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222DCF9C" w14:textId="5A41916B" w:rsidR="008C677C" w:rsidRDefault="008C677C" w:rsidP="00926083">
          <w:pPr>
            <w:pStyle w:val="RectoFooter"/>
            <w:jc w:val="left"/>
          </w:pPr>
          <w:r w:rsidRPr="00DC16F0">
            <w:t>Interim Health New Zealand Annual Report 2021/22</w:t>
          </w:r>
        </w:p>
      </w:tc>
    </w:tr>
  </w:tbl>
  <w:p w14:paraId="6F1ABE7E" w14:textId="77777777" w:rsidR="008C677C" w:rsidRPr="00571223" w:rsidRDefault="008C677C" w:rsidP="00571223">
    <w:pPr>
      <w:pStyle w:val="VersoFooter"/>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8C677C" w14:paraId="7839889F" w14:textId="77777777" w:rsidTr="00D662F8">
      <w:trPr>
        <w:cantSplit/>
      </w:trPr>
      <w:tc>
        <w:tcPr>
          <w:tcW w:w="8080" w:type="dxa"/>
          <w:vAlign w:val="center"/>
        </w:tcPr>
        <w:p w14:paraId="1242057E" w14:textId="2C550AE2" w:rsidR="008C677C" w:rsidRDefault="008C677C" w:rsidP="00926083">
          <w:pPr>
            <w:pStyle w:val="RectoFooter"/>
          </w:pPr>
          <w:r w:rsidRPr="00DC16F0">
            <w:t>Interim Health New Zealand Annual Report 2021/22</w:t>
          </w:r>
        </w:p>
      </w:tc>
      <w:tc>
        <w:tcPr>
          <w:tcW w:w="709" w:type="dxa"/>
          <w:vAlign w:val="center"/>
        </w:tcPr>
        <w:p w14:paraId="09D98114" w14:textId="77777777" w:rsidR="008C677C" w:rsidRPr="00931466" w:rsidRDefault="008C677C"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523B29FB" w14:textId="77777777" w:rsidR="008C677C" w:rsidRPr="00581EB8" w:rsidRDefault="008C677C" w:rsidP="00581EB8">
    <w:pPr>
      <w:pStyle w:val="Footer"/>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8C677C" w14:paraId="55BB2035" w14:textId="77777777" w:rsidTr="00D662F8">
      <w:trPr>
        <w:cantSplit/>
      </w:trPr>
      <w:tc>
        <w:tcPr>
          <w:tcW w:w="709" w:type="dxa"/>
          <w:vAlign w:val="center"/>
        </w:tcPr>
        <w:p w14:paraId="3499B134" w14:textId="77777777" w:rsidR="008C677C" w:rsidRPr="00931466" w:rsidRDefault="008C677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072FF448" w14:textId="5924DCEA" w:rsidR="008C677C" w:rsidRDefault="008C677C" w:rsidP="00926083">
          <w:pPr>
            <w:pStyle w:val="RectoFooter"/>
            <w:jc w:val="left"/>
          </w:pPr>
          <w:r w:rsidRPr="00DC16F0">
            <w:t>Interim Health New Zealand Annual Report 2021/22</w:t>
          </w:r>
        </w:p>
      </w:tc>
    </w:tr>
  </w:tbl>
  <w:p w14:paraId="06CF77FC" w14:textId="77777777" w:rsidR="008C677C" w:rsidRPr="00571223" w:rsidRDefault="008C677C" w:rsidP="00571223">
    <w:pPr>
      <w:pStyle w:val="VersoFooter"/>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175"/>
      <w:gridCol w:w="709"/>
    </w:tblGrid>
    <w:tr w:rsidR="008C677C" w14:paraId="06B11AA8" w14:textId="77777777" w:rsidTr="004B4331">
      <w:trPr>
        <w:cantSplit/>
      </w:trPr>
      <w:tc>
        <w:tcPr>
          <w:tcW w:w="14175" w:type="dxa"/>
          <w:vAlign w:val="center"/>
        </w:tcPr>
        <w:p w14:paraId="648BB266" w14:textId="4FC008AF" w:rsidR="008C677C" w:rsidRDefault="008C677C" w:rsidP="00926083">
          <w:pPr>
            <w:pStyle w:val="RectoFooter"/>
          </w:pPr>
          <w:r w:rsidRPr="00DC16F0">
            <w:t>INTERIM HEALTH NEW ZEALAND ANNUAL REPORT 2021/22</w:t>
          </w:r>
        </w:p>
      </w:tc>
      <w:tc>
        <w:tcPr>
          <w:tcW w:w="709" w:type="dxa"/>
          <w:vAlign w:val="center"/>
        </w:tcPr>
        <w:p w14:paraId="5E47E1DF" w14:textId="77777777" w:rsidR="008C677C" w:rsidRPr="00931466" w:rsidRDefault="008C677C"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53584F0F" w14:textId="77777777" w:rsidR="008C677C" w:rsidRPr="00581EB8" w:rsidRDefault="008C677C" w:rsidP="00581EB8">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DA70" w14:textId="77777777" w:rsidR="008C677C" w:rsidRDefault="008C677C" w:rsidP="004D6689">
    <w:pPr>
      <w:pStyle w:val="Footer"/>
      <w:ind w:right="360" w:firstLine="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8C677C" w14:paraId="5A65D85F" w14:textId="77777777" w:rsidTr="00DF1A78">
      <w:trPr>
        <w:cantSplit/>
      </w:trPr>
      <w:tc>
        <w:tcPr>
          <w:tcW w:w="8080" w:type="dxa"/>
          <w:vAlign w:val="center"/>
        </w:tcPr>
        <w:p w14:paraId="7BC81207" w14:textId="13DC55FE" w:rsidR="008C677C" w:rsidRDefault="008C677C" w:rsidP="004B4331">
          <w:pPr>
            <w:pStyle w:val="RectoFooter"/>
          </w:pPr>
          <w:r w:rsidRPr="00DC16F0">
            <w:t>INTERIM HEALTH NEW ZEALAND ANNUAL REPORT 2021/22</w:t>
          </w:r>
        </w:p>
      </w:tc>
      <w:tc>
        <w:tcPr>
          <w:tcW w:w="709" w:type="dxa"/>
          <w:vAlign w:val="center"/>
        </w:tcPr>
        <w:p w14:paraId="4568A3EF" w14:textId="77777777" w:rsidR="008C677C" w:rsidRPr="00931466" w:rsidRDefault="008C677C" w:rsidP="004B4331">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2C95E374" w14:textId="77777777" w:rsidR="008C677C" w:rsidRPr="00581EB8" w:rsidRDefault="008C677C" w:rsidP="00581EB8">
    <w:pPr>
      <w:pStyle w:val="Footer"/>
      <w:rPr>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8C677C" w14:paraId="7CB159CD" w14:textId="77777777" w:rsidTr="00D662F8">
      <w:trPr>
        <w:cantSplit/>
      </w:trPr>
      <w:tc>
        <w:tcPr>
          <w:tcW w:w="709" w:type="dxa"/>
          <w:vAlign w:val="center"/>
        </w:tcPr>
        <w:p w14:paraId="189F0841" w14:textId="77777777" w:rsidR="008C677C" w:rsidRPr="00931466" w:rsidRDefault="008C677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280C58A4" w14:textId="33AFC55A" w:rsidR="008C677C" w:rsidRDefault="008C677C" w:rsidP="00926083">
          <w:pPr>
            <w:pStyle w:val="RectoFooter"/>
            <w:jc w:val="left"/>
          </w:pPr>
          <w:r w:rsidRPr="00DC16F0">
            <w:t>Interim Māori Health Authority | Te Mana Hauora Māori Annual Report 2021-2022</w:t>
          </w:r>
        </w:p>
      </w:tc>
    </w:tr>
  </w:tbl>
  <w:p w14:paraId="3ACEFF97" w14:textId="77777777" w:rsidR="008C677C" w:rsidRPr="00571223" w:rsidRDefault="008C677C" w:rsidP="00571223">
    <w:pPr>
      <w:pStyle w:val="VersoFooter"/>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8C677C" w14:paraId="39B3F0DF" w14:textId="77777777" w:rsidTr="00D662F8">
      <w:trPr>
        <w:cantSplit/>
      </w:trPr>
      <w:tc>
        <w:tcPr>
          <w:tcW w:w="8080" w:type="dxa"/>
          <w:vAlign w:val="center"/>
        </w:tcPr>
        <w:p w14:paraId="6D9E3FC7" w14:textId="6D550582" w:rsidR="008C677C" w:rsidRDefault="008C677C" w:rsidP="00926083">
          <w:pPr>
            <w:pStyle w:val="RectoFooter"/>
          </w:pPr>
          <w:r w:rsidRPr="002E03C2">
            <w:t>INTERIM MĀORI HEALTH AUTHORITY | TE MANA HAUORA MĀORI ANNUAL REPORT 2021-2022</w:t>
          </w:r>
        </w:p>
      </w:tc>
      <w:tc>
        <w:tcPr>
          <w:tcW w:w="709" w:type="dxa"/>
          <w:vAlign w:val="center"/>
        </w:tcPr>
        <w:p w14:paraId="6B01A8C1" w14:textId="77777777" w:rsidR="008C677C" w:rsidRPr="00931466" w:rsidRDefault="008C677C"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w:t>
          </w:r>
          <w:r w:rsidRPr="00931466">
            <w:rPr>
              <w:rStyle w:val="PageNumber"/>
            </w:rPr>
            <w:fldChar w:fldCharType="end"/>
          </w:r>
        </w:p>
      </w:tc>
    </w:tr>
  </w:tbl>
  <w:p w14:paraId="472C5F1F" w14:textId="77777777" w:rsidR="008C677C" w:rsidRPr="00581EB8" w:rsidRDefault="008C677C" w:rsidP="00581EB8">
    <w:pPr>
      <w:pStyle w:val="Footer"/>
      <w:rPr>
        <w:sz w:val="2"/>
        <w:szCs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9072"/>
    </w:tblGrid>
    <w:tr w:rsidR="008C677C" w14:paraId="7E34FA6B" w14:textId="77777777" w:rsidTr="00D662F8">
      <w:trPr>
        <w:cantSplit/>
      </w:trPr>
      <w:tc>
        <w:tcPr>
          <w:tcW w:w="675" w:type="dxa"/>
          <w:vAlign w:val="center"/>
        </w:tcPr>
        <w:p w14:paraId="6281C317" w14:textId="77777777" w:rsidR="008C677C" w:rsidRPr="00931466" w:rsidRDefault="008C677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9072" w:type="dxa"/>
          <w:vAlign w:val="center"/>
        </w:tcPr>
        <w:p w14:paraId="27262A64" w14:textId="181FAA72" w:rsidR="008C677C" w:rsidRDefault="008C677C" w:rsidP="000D58DD">
          <w:pPr>
            <w:pStyle w:val="RectoFooter"/>
            <w:jc w:val="left"/>
          </w:pPr>
          <w:r w:rsidRPr="002E03C2">
            <w:t>INTERIM MĀORI HEALTH AUTHORITY | TE MANA HAUORA MĀORI ANNUAL REPORT 2021-2022</w:t>
          </w:r>
        </w:p>
      </w:tc>
    </w:tr>
  </w:tbl>
  <w:p w14:paraId="5177CEA2" w14:textId="77777777" w:rsidR="008C677C" w:rsidRPr="00571223" w:rsidRDefault="008C677C" w:rsidP="00571223">
    <w:pPr>
      <w:pStyle w:val="Verso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0E96" w14:textId="77777777" w:rsidR="008C677C" w:rsidRDefault="008C67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6"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
    </w:tblGrid>
    <w:tr w:rsidR="008C677C" w14:paraId="41B9FD17" w14:textId="77777777" w:rsidTr="00571223">
      <w:tc>
        <w:tcPr>
          <w:tcW w:w="1146" w:type="dxa"/>
          <w:vAlign w:val="center"/>
        </w:tcPr>
        <w:p w14:paraId="392E5685" w14:textId="77777777" w:rsidR="008C677C" w:rsidRPr="00931466" w:rsidRDefault="008C677C" w:rsidP="00571223">
          <w:pPr>
            <w:pStyle w:val="Footer"/>
            <w:rPr>
              <w:sz w:val="15"/>
              <w:szCs w:val="15"/>
            </w:rPr>
          </w:pPr>
          <w:r w:rsidRPr="00931466">
            <w:rPr>
              <w:rFonts w:eastAsia="Arial Unicode MS"/>
              <w:noProof/>
              <w:sz w:val="15"/>
              <w:szCs w:val="15"/>
              <w:lang w:eastAsia="en-NZ"/>
            </w:rPr>
            <w:drawing>
              <wp:inline distT="0" distB="0" distL="0" distR="0" wp14:anchorId="075272BC" wp14:editId="1B558A13">
                <wp:extent cx="582612" cy="117475"/>
                <wp:effectExtent l="0" t="0" r="8255" b="0"/>
                <wp:docPr id="2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a:extLst>
                            <a:ext uri="{C183D7F6-B498-43B3-948B-1728B52AA6E4}">
                              <adec:decorative xmlns:adec="http://schemas.microsoft.com/office/drawing/2017/decorative" val="1"/>
                            </a:ext>
                          </a:extLst>
                        </pic:cNvPr>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582612" cy="117475"/>
                        </a:xfrm>
                        <a:prstGeom prst="rect">
                          <a:avLst/>
                        </a:prstGeom>
                        <a:noFill/>
                      </pic:spPr>
                    </pic:pic>
                  </a:graphicData>
                </a:graphic>
              </wp:inline>
            </w:drawing>
          </w:r>
        </w:p>
      </w:tc>
    </w:tr>
  </w:tbl>
  <w:p w14:paraId="172F2DDB" w14:textId="77777777" w:rsidR="008C677C" w:rsidRPr="00571223" w:rsidRDefault="008C677C"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8C677C" w14:paraId="71F3685B" w14:textId="77777777" w:rsidTr="00D662F8">
      <w:trPr>
        <w:cantSplit/>
      </w:trPr>
      <w:tc>
        <w:tcPr>
          <w:tcW w:w="8080" w:type="dxa"/>
          <w:vAlign w:val="center"/>
        </w:tcPr>
        <w:p w14:paraId="5784B1D8" w14:textId="129C3E12" w:rsidR="008C677C" w:rsidRDefault="008C677C" w:rsidP="00926083">
          <w:pPr>
            <w:pStyle w:val="RectoFooter"/>
          </w:pPr>
          <w:r w:rsidRPr="00E83E35">
            <w:t>Annual Report for the Year Ended 30 June 2022</w:t>
          </w:r>
        </w:p>
      </w:tc>
      <w:tc>
        <w:tcPr>
          <w:tcW w:w="709" w:type="dxa"/>
          <w:vAlign w:val="center"/>
        </w:tcPr>
        <w:p w14:paraId="18A7A1B5" w14:textId="77777777" w:rsidR="008C677C" w:rsidRPr="00931466" w:rsidRDefault="008C677C"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iii</w:t>
          </w:r>
          <w:r w:rsidRPr="00931466">
            <w:rPr>
              <w:rStyle w:val="PageNumber"/>
            </w:rPr>
            <w:fldChar w:fldCharType="end"/>
          </w:r>
        </w:p>
      </w:tc>
    </w:tr>
  </w:tbl>
  <w:p w14:paraId="21F74F77" w14:textId="77777777" w:rsidR="008C677C" w:rsidRPr="00581EB8" w:rsidRDefault="008C677C"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8C677C" w14:paraId="2D79AB4C" w14:textId="77777777" w:rsidTr="009A11E7">
      <w:trPr>
        <w:cantSplit/>
      </w:trPr>
      <w:tc>
        <w:tcPr>
          <w:tcW w:w="709" w:type="dxa"/>
          <w:vAlign w:val="center"/>
        </w:tcPr>
        <w:p w14:paraId="4F2B25FF" w14:textId="77777777" w:rsidR="008C677C" w:rsidRPr="00931466" w:rsidRDefault="008C677C" w:rsidP="00E83E35">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viii</w:t>
          </w:r>
          <w:r w:rsidRPr="00931466">
            <w:rPr>
              <w:rStyle w:val="PageNumber"/>
            </w:rPr>
            <w:fldChar w:fldCharType="end"/>
          </w:r>
        </w:p>
      </w:tc>
      <w:tc>
        <w:tcPr>
          <w:tcW w:w="8080" w:type="dxa"/>
          <w:vAlign w:val="center"/>
        </w:tcPr>
        <w:p w14:paraId="455D75B6" w14:textId="77777777" w:rsidR="008C677C" w:rsidRDefault="008C677C" w:rsidP="00E83E35">
          <w:pPr>
            <w:pStyle w:val="RectoFooter"/>
            <w:jc w:val="left"/>
          </w:pPr>
          <w:r w:rsidRPr="00E83E35">
            <w:t>Annual Report for the Year Ended 30 June 2022</w:t>
          </w:r>
        </w:p>
      </w:tc>
    </w:tr>
  </w:tbl>
  <w:p w14:paraId="3139C60B" w14:textId="77777777" w:rsidR="008C677C" w:rsidRPr="00571223" w:rsidRDefault="008C677C"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8C677C" w14:paraId="02C244C5" w14:textId="77777777" w:rsidTr="009A11E7">
      <w:trPr>
        <w:cantSplit/>
      </w:trPr>
      <w:tc>
        <w:tcPr>
          <w:tcW w:w="8080" w:type="dxa"/>
          <w:vAlign w:val="center"/>
        </w:tcPr>
        <w:p w14:paraId="72350D1C" w14:textId="77777777" w:rsidR="008C677C" w:rsidRDefault="008C677C" w:rsidP="00795BE0">
          <w:pPr>
            <w:pStyle w:val="RectoFooter"/>
          </w:pPr>
          <w:r w:rsidRPr="00E83E35">
            <w:t>Annual Report for the Year Ended 30 June 2022</w:t>
          </w:r>
        </w:p>
      </w:tc>
      <w:tc>
        <w:tcPr>
          <w:tcW w:w="709" w:type="dxa"/>
          <w:vAlign w:val="center"/>
        </w:tcPr>
        <w:p w14:paraId="7844CEE6" w14:textId="77777777" w:rsidR="008C677C" w:rsidRPr="00931466" w:rsidRDefault="008C677C" w:rsidP="00795BE0">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w:t>
          </w:r>
          <w:r w:rsidRPr="00931466">
            <w:rPr>
              <w:rStyle w:val="PageNumber"/>
            </w:rPr>
            <w:fldChar w:fldCharType="end"/>
          </w:r>
        </w:p>
      </w:tc>
    </w:tr>
  </w:tbl>
  <w:p w14:paraId="25CFC608" w14:textId="77777777" w:rsidR="008C677C" w:rsidRPr="00581EB8" w:rsidRDefault="008C677C" w:rsidP="00581EB8">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8080"/>
    </w:tblGrid>
    <w:tr w:rsidR="008C677C" w14:paraId="4C3A3BF7" w14:textId="77777777" w:rsidTr="00D662F8">
      <w:trPr>
        <w:cantSplit/>
      </w:trPr>
      <w:tc>
        <w:tcPr>
          <w:tcW w:w="709" w:type="dxa"/>
          <w:vAlign w:val="center"/>
        </w:tcPr>
        <w:p w14:paraId="28F87ED7" w14:textId="77777777" w:rsidR="008C677C" w:rsidRPr="00931466" w:rsidRDefault="008C677C" w:rsidP="0043478F">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8080" w:type="dxa"/>
          <w:vAlign w:val="center"/>
        </w:tcPr>
        <w:p w14:paraId="6026D159" w14:textId="5935E065" w:rsidR="008C677C" w:rsidRDefault="008C677C" w:rsidP="00926083">
          <w:pPr>
            <w:pStyle w:val="RectoFooter"/>
            <w:jc w:val="left"/>
          </w:pPr>
          <w:r w:rsidRPr="00657C51">
            <w:t>ANNUAL REPORT FOR THE YEAR ENDED 30 JUNE 2022</w:t>
          </w:r>
        </w:p>
      </w:tc>
    </w:tr>
  </w:tbl>
  <w:p w14:paraId="711B5D80" w14:textId="77777777" w:rsidR="008C677C" w:rsidRPr="00571223" w:rsidRDefault="008C677C" w:rsidP="00571223">
    <w:pPr>
      <w:pStyle w:val="Verso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080"/>
      <w:gridCol w:w="709"/>
    </w:tblGrid>
    <w:tr w:rsidR="008C677C" w14:paraId="58AAB149" w14:textId="77777777" w:rsidTr="00D662F8">
      <w:trPr>
        <w:cantSplit/>
      </w:trPr>
      <w:tc>
        <w:tcPr>
          <w:tcW w:w="8080" w:type="dxa"/>
          <w:vAlign w:val="center"/>
        </w:tcPr>
        <w:p w14:paraId="20E2F0CC" w14:textId="32C58C89" w:rsidR="008C677C" w:rsidRDefault="008C677C" w:rsidP="00926083">
          <w:pPr>
            <w:pStyle w:val="RectoFooter"/>
          </w:pPr>
          <w:r w:rsidRPr="00E83E35">
            <w:t>Annual Report for the Year Ended 30 June 2022</w:t>
          </w:r>
        </w:p>
      </w:tc>
      <w:tc>
        <w:tcPr>
          <w:tcW w:w="709" w:type="dxa"/>
          <w:vAlign w:val="center"/>
        </w:tcPr>
        <w:p w14:paraId="3D3C9847" w14:textId="77777777" w:rsidR="008C677C" w:rsidRPr="00931466" w:rsidRDefault="008C677C" w:rsidP="00931466">
          <w:pPr>
            <w:pStyle w:val="Footer"/>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w:t>
          </w:r>
          <w:r w:rsidRPr="00931466">
            <w:rPr>
              <w:rStyle w:val="PageNumber"/>
            </w:rPr>
            <w:fldChar w:fldCharType="end"/>
          </w:r>
        </w:p>
      </w:tc>
    </w:tr>
  </w:tbl>
  <w:p w14:paraId="27602107" w14:textId="77777777" w:rsidR="008C677C" w:rsidRPr="00581EB8" w:rsidRDefault="008C677C"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D8AB2" w14:textId="77777777" w:rsidR="00005FD3" w:rsidRPr="00A26E6B" w:rsidRDefault="00005FD3" w:rsidP="00A26E6B"/>
  </w:footnote>
  <w:footnote w:type="continuationSeparator" w:id="0">
    <w:p w14:paraId="55B49945" w14:textId="77777777" w:rsidR="00005FD3" w:rsidRDefault="00005FD3">
      <w:r>
        <w:continuationSeparator/>
      </w:r>
    </w:p>
    <w:p w14:paraId="0C68C23D" w14:textId="77777777" w:rsidR="00005FD3" w:rsidRDefault="00005FD3"/>
  </w:footnote>
  <w:footnote w:id="1">
    <w:p w14:paraId="112AD372" w14:textId="4B875E72" w:rsidR="008C677C" w:rsidRPr="00ED2498" w:rsidRDefault="008C677C">
      <w:pPr>
        <w:pStyle w:val="FootnoteText"/>
        <w:rPr>
          <w:lang w:val="en-US"/>
        </w:rPr>
      </w:pPr>
      <w:r>
        <w:rPr>
          <w:rStyle w:val="FootnoteReference"/>
        </w:rPr>
        <w:footnoteRef/>
      </w:r>
      <w:r>
        <w:t xml:space="preserve"> W</w:t>
      </w:r>
      <w:r w:rsidRPr="00ED2498">
        <w:t>here 1.0 FTE (full-time equivalent units) is equal to 40 hours of work per week.</w:t>
      </w:r>
    </w:p>
  </w:footnote>
  <w:footnote w:id="2">
    <w:p w14:paraId="62BB9657" w14:textId="0E9D4FAF" w:rsidR="008C677C" w:rsidRPr="00ED2498" w:rsidRDefault="008C677C">
      <w:pPr>
        <w:pStyle w:val="FootnoteText"/>
        <w:rPr>
          <w:lang w:val="en-US"/>
        </w:rPr>
      </w:pPr>
      <w:r>
        <w:rPr>
          <w:rStyle w:val="FootnoteReference"/>
        </w:rPr>
        <w:footnoteRef/>
      </w:r>
      <w:r>
        <w:t xml:space="preserve"> </w:t>
      </w:r>
      <w:r w:rsidRPr="00ED2498">
        <w:t xml:space="preserve">Department of the Prime Minister and Cabinet. 2019. Child and Youth Wellbeing Strategy. Wellington: Department of the Prime Minister and Cabinet. URL: </w:t>
      </w:r>
      <w:hyperlink r:id="rId1" w:history="1">
        <w:r w:rsidRPr="00657C51">
          <w:rPr>
            <w:rStyle w:val="Hyperlink"/>
          </w:rPr>
          <w:t>childyouthwellbeing.govt.nz/resources/child-and- youth-wellbeing-strategy</w:t>
        </w:r>
      </w:hyperlink>
      <w:r w:rsidRPr="00ED2498">
        <w:t xml:space="preserve"> (accessed 18 August 2022).</w:t>
      </w:r>
    </w:p>
  </w:footnote>
  <w:footnote w:id="3">
    <w:p w14:paraId="2D749CEF" w14:textId="62642A0F" w:rsidR="008C677C" w:rsidRPr="00ED2498" w:rsidRDefault="008C677C">
      <w:pPr>
        <w:pStyle w:val="FootnoteText"/>
        <w:rPr>
          <w:lang w:val="en-US"/>
        </w:rPr>
      </w:pPr>
      <w:r>
        <w:rPr>
          <w:rStyle w:val="FootnoteReference"/>
        </w:rPr>
        <w:footnoteRef/>
      </w:r>
      <w:r>
        <w:t xml:space="preserve"> </w:t>
      </w:r>
      <w:r w:rsidRPr="00ED2498">
        <w:t xml:space="preserve">New Zealand Government. 2019. Aotearoa/New Zealand Homelessness Action Plan. Wellington: Ministry of Housing and Urban Development. URL: </w:t>
      </w:r>
      <w:hyperlink r:id="rId2" w:history="1">
        <w:r w:rsidRPr="00A3388F">
          <w:rPr>
            <w:rStyle w:val="Hyperlink"/>
          </w:rPr>
          <w:t>https://www.hud.govt.nz/our-work/aotearoa-new-zealand-homelessness-action-plan-2020-2023/</w:t>
        </w:r>
      </w:hyperlink>
      <w:r w:rsidRPr="00ED2498">
        <w:t xml:space="preserve"> (accessed 9 September 2022).</w:t>
      </w:r>
    </w:p>
  </w:footnote>
  <w:footnote w:id="4">
    <w:p w14:paraId="6B4A1754" w14:textId="09403DCF" w:rsidR="008C677C" w:rsidRPr="00E678B5" w:rsidRDefault="008C677C">
      <w:pPr>
        <w:pStyle w:val="FootnoteText"/>
        <w:rPr>
          <w:lang w:val="en-US"/>
        </w:rPr>
      </w:pPr>
      <w:r>
        <w:rPr>
          <w:rStyle w:val="FootnoteReference"/>
        </w:rPr>
        <w:footnoteRef/>
      </w:r>
      <w:r>
        <w:t xml:space="preserve"> </w:t>
      </w:r>
      <w:r w:rsidRPr="00E678B5">
        <w:t xml:space="preserve">For more information, please visit the Joint Venture’s website, Te Puna Aonui, at </w:t>
      </w:r>
      <w:hyperlink r:id="rId3" w:history="1">
        <w:r w:rsidRPr="00657C51">
          <w:rPr>
            <w:rStyle w:val="Hyperlink"/>
          </w:rPr>
          <w:t>tepunaaonui.govt.nz/our- work</w:t>
        </w:r>
      </w:hyperlink>
      <w:r w:rsidRPr="00E678B5">
        <w:t>.</w:t>
      </w:r>
    </w:p>
  </w:footnote>
  <w:footnote w:id="5">
    <w:p w14:paraId="21047313" w14:textId="2C3C5AE0" w:rsidR="008C677C" w:rsidRPr="00354135" w:rsidRDefault="008C677C">
      <w:pPr>
        <w:pStyle w:val="FootnoteText"/>
        <w:rPr>
          <w:lang w:val="en-US"/>
        </w:rPr>
      </w:pPr>
      <w:r>
        <w:rPr>
          <w:rStyle w:val="FootnoteReference"/>
        </w:rPr>
        <w:footnoteRef/>
      </w:r>
      <w:r>
        <w:t xml:space="preserve"> </w:t>
      </w:r>
      <w:r w:rsidRPr="00354135">
        <w:t xml:space="preserve">Ministry of Health. 2021. Strategic Intentions 2021 to 2025. Wellington: Ministry of Health. URL: </w:t>
      </w:r>
      <w:hyperlink r:id="rId4" w:history="1">
        <w:r w:rsidRPr="00354135">
          <w:rPr>
            <w:rStyle w:val="Hyperlink"/>
          </w:rPr>
          <w:t>https://www.health.govt.nz/system/files/documents/publications/strategic_intentions_2021-2025-withcover_9_dec.pdf</w:t>
        </w:r>
      </w:hyperlink>
      <w:r w:rsidRPr="00354135">
        <w:t xml:space="preserve"> (accessed 18 August 2022).</w:t>
      </w:r>
    </w:p>
  </w:footnote>
  <w:footnote w:id="6">
    <w:p w14:paraId="71050D20" w14:textId="1A79FE4D" w:rsidR="008C677C" w:rsidRPr="00CE34E8" w:rsidRDefault="008C677C" w:rsidP="00CE34E8">
      <w:pPr>
        <w:pStyle w:val="FootnoteText"/>
        <w:rPr>
          <w:lang w:val="en-US"/>
        </w:rPr>
      </w:pPr>
      <w:r>
        <w:rPr>
          <w:rStyle w:val="FootnoteReference"/>
        </w:rPr>
        <w:footnoteRef/>
      </w:r>
      <w:r>
        <w:t xml:space="preserve"> Please visit the Whakamaua Dashboard at </w:t>
      </w:r>
      <w:hyperlink r:id="rId5" w:history="1"/>
      <w:r w:rsidR="0071026A">
        <w:rPr>
          <w:rStyle w:val="Hyperlink"/>
        </w:rPr>
        <w:tab/>
        <w:t>q</w:t>
      </w:r>
      <w:r>
        <w:t>.</w:t>
      </w:r>
    </w:p>
  </w:footnote>
  <w:footnote w:id="7">
    <w:p w14:paraId="5CF18598" w14:textId="1FC6538E" w:rsidR="008C677C" w:rsidRPr="00CE34E8" w:rsidRDefault="008C677C">
      <w:pPr>
        <w:pStyle w:val="FootnoteText"/>
        <w:rPr>
          <w:lang w:val="en-US"/>
        </w:rPr>
      </w:pPr>
      <w:r>
        <w:rPr>
          <w:rStyle w:val="FootnoteReference"/>
        </w:rPr>
        <w:footnoteRef/>
      </w:r>
      <w:r>
        <w:t xml:space="preserve"> </w:t>
      </w:r>
      <w:r w:rsidRPr="00CE34E8">
        <w:t xml:space="preserve">Ministry of Health. 2022. Hui Whakaoranga 2021: Summary report. Wellington: Ministry of Health. Available at: </w:t>
      </w:r>
      <w:hyperlink r:id="rId6" w:history="1">
        <w:r w:rsidRPr="00CE34E8">
          <w:rPr>
            <w:rStyle w:val="Hyperlink"/>
          </w:rPr>
          <w:t>health.govt.nz/publication/hui-whakaoranga-2021-summary-report</w:t>
        </w:r>
      </w:hyperlink>
      <w:r w:rsidRPr="00CE34E8">
        <w:t>.</w:t>
      </w:r>
    </w:p>
  </w:footnote>
  <w:footnote w:id="8">
    <w:p w14:paraId="1CAC2F8B" w14:textId="40B6FBBB" w:rsidR="008C677C" w:rsidRPr="00CE34E8" w:rsidRDefault="008C677C">
      <w:pPr>
        <w:pStyle w:val="FootnoteText"/>
        <w:rPr>
          <w:lang w:val="en-US"/>
        </w:rPr>
      </w:pPr>
      <w:r>
        <w:rPr>
          <w:rStyle w:val="FootnoteReference"/>
        </w:rPr>
        <w:footnoteRef/>
      </w:r>
      <w:r>
        <w:t xml:space="preserve"> </w:t>
      </w:r>
      <w:r w:rsidRPr="00CE34E8">
        <w:t>Waitangi Tribunal. 2019. Hauora: Report on Stage One of the Health Services and Outcomes Kaupapa Inquiry. Wellington: Waitangi Tribunal.</w:t>
      </w:r>
    </w:p>
  </w:footnote>
  <w:footnote w:id="9">
    <w:p w14:paraId="5723FA6E" w14:textId="0C543DF0" w:rsidR="008C677C" w:rsidRPr="00CE34E8" w:rsidRDefault="008C677C">
      <w:pPr>
        <w:pStyle w:val="FootnoteText"/>
        <w:rPr>
          <w:lang w:val="en-US"/>
        </w:rPr>
      </w:pPr>
      <w:r>
        <w:rPr>
          <w:rStyle w:val="FootnoteReference"/>
        </w:rPr>
        <w:footnoteRef/>
      </w:r>
      <w:r>
        <w:t xml:space="preserve"> </w:t>
      </w:r>
      <w:r w:rsidRPr="00CE34E8">
        <w:t>9</w:t>
      </w:r>
      <w:r w:rsidRPr="00CE34E8">
        <w:tab/>
        <w:t xml:space="preserve">Waitangi Tribunal. 2021. </w:t>
      </w:r>
      <w:r w:rsidRPr="00CE34E8">
        <w:rPr>
          <w:i/>
          <w:iCs/>
        </w:rPr>
        <w:t>Haumaru: The COVID-19 priority report</w:t>
      </w:r>
      <w:r w:rsidRPr="00CE34E8">
        <w:t>. Wellington: Waitangi Tribunal.</w:t>
      </w:r>
    </w:p>
  </w:footnote>
  <w:footnote w:id="10">
    <w:p w14:paraId="17FC98E4" w14:textId="6F4B95C0" w:rsidR="008C677C" w:rsidRPr="00CE34E8" w:rsidRDefault="008C677C">
      <w:pPr>
        <w:pStyle w:val="FootnoteText"/>
        <w:rPr>
          <w:lang w:val="en-US"/>
        </w:rPr>
      </w:pPr>
      <w:r>
        <w:rPr>
          <w:rStyle w:val="FootnoteReference"/>
        </w:rPr>
        <w:footnoteRef/>
      </w:r>
      <w:r>
        <w:t xml:space="preserve"> </w:t>
      </w:r>
      <w:r w:rsidRPr="00CE34E8">
        <w:t xml:space="preserve">For more information, please visit the Tātai portal at </w:t>
      </w:r>
      <w:hyperlink r:id="rId7" w:history="1">
        <w:r w:rsidRPr="00DD64CB">
          <w:rPr>
            <w:rStyle w:val="Hyperlink"/>
          </w:rPr>
          <w:t>tatai.maori.nz</w:t>
        </w:r>
      </w:hyperlink>
      <w:r w:rsidRPr="00CE34E8">
        <w:t>.</w:t>
      </w:r>
    </w:p>
  </w:footnote>
  <w:footnote w:id="11">
    <w:p w14:paraId="57A33646" w14:textId="7FEB4355" w:rsidR="008C677C" w:rsidRPr="00CE34E8" w:rsidRDefault="008C677C">
      <w:pPr>
        <w:pStyle w:val="FootnoteText"/>
        <w:rPr>
          <w:lang w:val="en-US"/>
        </w:rPr>
      </w:pPr>
      <w:r>
        <w:rPr>
          <w:rStyle w:val="FootnoteReference"/>
        </w:rPr>
        <w:footnoteRef/>
      </w:r>
      <w:r>
        <w:t xml:space="preserve"> </w:t>
      </w:r>
      <w:r w:rsidRPr="00CE34E8">
        <w:t xml:space="preserve">Ministry of Health. 2022. HISO 10094:2022 Māori Descent and Iwi Affiliation Data Protocols. Wellington: Ministry of Health. Available at: </w:t>
      </w:r>
      <w:hyperlink r:id="rId8" w:history="1">
        <w:r>
          <w:rPr>
            <w:rStyle w:val="Hyperlink"/>
          </w:rPr>
          <w:t>health.govt.nz/publication/hiso-100942022-maori-descent-and-iwi-affiliation-data-protocols</w:t>
        </w:r>
      </w:hyperlink>
      <w:r w:rsidRPr="00CE34E8">
        <w:t>.</w:t>
      </w:r>
    </w:p>
  </w:footnote>
  <w:footnote w:id="12">
    <w:p w14:paraId="4B547946" w14:textId="2602F507" w:rsidR="008C677C" w:rsidRPr="00CE34E8" w:rsidRDefault="008C677C">
      <w:pPr>
        <w:pStyle w:val="FootnoteText"/>
        <w:rPr>
          <w:lang w:val="en-US"/>
        </w:rPr>
      </w:pPr>
      <w:r>
        <w:rPr>
          <w:rStyle w:val="FootnoteReference"/>
        </w:rPr>
        <w:footnoteRef/>
      </w:r>
      <w:r>
        <w:t xml:space="preserve"> </w:t>
      </w:r>
      <w:r w:rsidRPr="00CE34E8">
        <w:t xml:space="preserve">Ministry of Health. 2021. </w:t>
      </w:r>
      <w:r w:rsidRPr="00CE34E8">
        <w:rPr>
          <w:i/>
          <w:iCs/>
        </w:rPr>
        <w:t>Wānanga Hauora 2021: Summary report</w:t>
      </w:r>
      <w:r w:rsidRPr="00CE34E8">
        <w:t xml:space="preserve">. Wellington: Ministry of Health. Available at: </w:t>
      </w:r>
      <w:hyperlink r:id="rId9" w:history="1">
        <w:r>
          <w:rPr>
            <w:rStyle w:val="Hyperlink"/>
          </w:rPr>
          <w:t>health.govt.nz/publication/wananga-hauora-2021-summary-report</w:t>
        </w:r>
      </w:hyperlink>
      <w:r w:rsidRPr="00CE34E8">
        <w:t>.</w:t>
      </w:r>
    </w:p>
  </w:footnote>
  <w:footnote w:id="13">
    <w:p w14:paraId="08B46801" w14:textId="30DC1500" w:rsidR="008C677C" w:rsidRPr="00DD64CB" w:rsidRDefault="008C677C">
      <w:pPr>
        <w:pStyle w:val="FootnoteText"/>
        <w:rPr>
          <w:lang w:val="en-US"/>
        </w:rPr>
      </w:pPr>
      <w:r>
        <w:rPr>
          <w:rStyle w:val="FootnoteReference"/>
        </w:rPr>
        <w:footnoteRef/>
      </w:r>
      <w:r>
        <w:t xml:space="preserve"> </w:t>
      </w:r>
      <w:r w:rsidRPr="00DD64CB">
        <w:t xml:space="preserve">Please visit </w:t>
      </w:r>
      <w:hyperlink r:id="rId10" w:history="1">
        <w:r w:rsidRPr="00DD64CB">
          <w:rPr>
            <w:rStyle w:val="Hyperlink"/>
          </w:rPr>
          <w:t>health.govt.nz/publication/review-benefits-and-costs-water-fluoridation-new-zealand</w:t>
        </w:r>
      </w:hyperlink>
      <w:r w:rsidRPr="00DD64CB">
        <w:t xml:space="preserve"> to access the report.</w:t>
      </w:r>
    </w:p>
  </w:footnote>
  <w:footnote w:id="14">
    <w:p w14:paraId="73844428" w14:textId="31089AA8" w:rsidR="008C677C" w:rsidRPr="00DD64CB" w:rsidRDefault="008C677C">
      <w:pPr>
        <w:pStyle w:val="FootnoteText"/>
        <w:rPr>
          <w:lang w:val="en-US"/>
        </w:rPr>
      </w:pPr>
      <w:r>
        <w:rPr>
          <w:rStyle w:val="FootnoteReference"/>
        </w:rPr>
        <w:footnoteRef/>
      </w:r>
      <w:r>
        <w:t xml:space="preserve"> </w:t>
      </w:r>
      <w:r w:rsidRPr="00DD64CB">
        <w:t xml:space="preserve">Ministry of Health. 2021. </w:t>
      </w:r>
      <w:r w:rsidRPr="00DD64CB">
        <w:rPr>
          <w:i/>
          <w:iCs/>
        </w:rPr>
        <w:t>Smokefree Aotearoa 2025 Action Plan – Auahi Kore Aotearoa Mahere Rautaki 2025</w:t>
      </w:r>
      <w:r w:rsidRPr="00DD64CB">
        <w:t xml:space="preserve">. Wellington: Ministry of Health. Available at: </w:t>
      </w:r>
      <w:hyperlink r:id="rId11" w:history="1">
        <w:r w:rsidRPr="00DD64CB">
          <w:rPr>
            <w:rStyle w:val="Hyperlink"/>
          </w:rPr>
          <w:t>health.govt.nz/publication/smokefree-aotearoa-2025-action-plan-auahi-kore-aotearoa-mahere-rautaki-2025</w:t>
        </w:r>
      </w:hyperlink>
      <w:r w:rsidRPr="00DD64CB">
        <w:t>.</w:t>
      </w:r>
    </w:p>
  </w:footnote>
  <w:footnote w:id="15">
    <w:p w14:paraId="23DD2582" w14:textId="45510C37" w:rsidR="008C677C" w:rsidRPr="00836420" w:rsidRDefault="008C677C">
      <w:pPr>
        <w:pStyle w:val="FootnoteText"/>
        <w:rPr>
          <w:lang w:val="en-US"/>
        </w:rPr>
      </w:pPr>
      <w:r>
        <w:rPr>
          <w:rStyle w:val="FootnoteReference"/>
        </w:rPr>
        <w:footnoteRef/>
      </w:r>
      <w:r>
        <w:t xml:space="preserve"> </w:t>
      </w:r>
      <w:r w:rsidRPr="00836420">
        <w:t xml:space="preserve">Ministry of Health. 2021. </w:t>
      </w:r>
      <w:r w:rsidRPr="00836420">
        <w:rPr>
          <w:i/>
          <w:iCs/>
        </w:rPr>
        <w:t>National Hepatitis C Action Plan for Aotearoa New Zealand – Māhere Mahi mō te Ate Kakā C 2020–2030</w:t>
      </w:r>
      <w:r w:rsidRPr="00836420">
        <w:t xml:space="preserve">. Wellington: Ministry of Health. Available at: </w:t>
      </w:r>
      <w:hyperlink r:id="rId12" w:history="1">
        <w:r w:rsidRPr="008A7C67">
          <w:rPr>
            <w:rStyle w:val="Hyperlink"/>
          </w:rPr>
          <w:t>health.govt.nz/publication/national-hepatitis-c-action-plan-aotearoa-new-zealand-mahere-mahi-mo-te-ate-kaka-c</w:t>
        </w:r>
      </w:hyperlink>
      <w:r w:rsidRPr="00836420">
        <w:t>.</w:t>
      </w:r>
    </w:p>
  </w:footnote>
  <w:footnote w:id="16">
    <w:p w14:paraId="17BD81B1" w14:textId="073AD863" w:rsidR="008C677C" w:rsidRPr="000210F5" w:rsidRDefault="008C677C">
      <w:pPr>
        <w:pStyle w:val="FootnoteText"/>
        <w:rPr>
          <w:lang w:val="en-US"/>
        </w:rPr>
      </w:pPr>
      <w:r>
        <w:rPr>
          <w:rStyle w:val="FootnoteReference"/>
        </w:rPr>
        <w:footnoteRef/>
      </w:r>
      <w:r>
        <w:t xml:space="preserve"> </w:t>
      </w:r>
      <w:r w:rsidRPr="000210F5">
        <w:t xml:space="preserve">To access the portal, please visit </w:t>
      </w:r>
      <w:hyperlink r:id="rId13" w:history="1">
        <w:r w:rsidRPr="000210F5">
          <w:rPr>
            <w:rStyle w:val="Hyperlink"/>
          </w:rPr>
          <w:t>hekapehuwhetu.govt.nz</w:t>
        </w:r>
      </w:hyperlink>
      <w:r w:rsidRPr="000210F5">
        <w:t>.</w:t>
      </w:r>
    </w:p>
  </w:footnote>
  <w:footnote w:id="17">
    <w:p w14:paraId="02E33032" w14:textId="0B6827AC" w:rsidR="008C677C" w:rsidRPr="00E8579A" w:rsidRDefault="008C677C">
      <w:pPr>
        <w:pStyle w:val="FootnoteText"/>
        <w:rPr>
          <w:lang w:val="en-US"/>
        </w:rPr>
      </w:pPr>
      <w:r>
        <w:rPr>
          <w:rStyle w:val="FootnoteReference"/>
        </w:rPr>
        <w:footnoteRef/>
      </w:r>
      <w:r>
        <w:t xml:space="preserve"> </w:t>
      </w:r>
      <w:r w:rsidRPr="00E8579A">
        <w:t>For more information on Ngā Uaratanga, please see the first section of this report, ‘Who we are and what we do’.</w:t>
      </w:r>
    </w:p>
  </w:footnote>
  <w:footnote w:id="18">
    <w:p w14:paraId="7E5212E6" w14:textId="38C59802" w:rsidR="008C677C" w:rsidRPr="00E8579A" w:rsidRDefault="008C677C">
      <w:pPr>
        <w:pStyle w:val="FootnoteText"/>
        <w:rPr>
          <w:lang w:val="en-US"/>
        </w:rPr>
      </w:pPr>
      <w:r>
        <w:rPr>
          <w:rStyle w:val="FootnoteReference"/>
        </w:rPr>
        <w:footnoteRef/>
      </w:r>
      <w:r>
        <w:t xml:space="preserve"> </w:t>
      </w:r>
      <w:r w:rsidRPr="00E8579A">
        <w:t xml:space="preserve">For more information, please visit </w:t>
      </w:r>
      <w:hyperlink r:id="rId14" w:history="1">
        <w:r w:rsidRPr="00E8579A">
          <w:rPr>
            <w:rStyle w:val="Hyperlink"/>
          </w:rPr>
          <w:t>accessibilitytick.nz</w:t>
        </w:r>
      </w:hyperlink>
      <w:r w:rsidRPr="00E8579A">
        <w:t>.</w:t>
      </w:r>
    </w:p>
  </w:footnote>
  <w:footnote w:id="19">
    <w:p w14:paraId="5F2FBD8F" w14:textId="110AE297" w:rsidR="008C677C" w:rsidRPr="00817ABF" w:rsidRDefault="008C677C">
      <w:pPr>
        <w:pStyle w:val="FootnoteText"/>
        <w:rPr>
          <w:lang w:val="en-US"/>
        </w:rPr>
      </w:pPr>
      <w:r>
        <w:rPr>
          <w:rStyle w:val="FootnoteReference"/>
        </w:rPr>
        <w:footnoteRef/>
      </w:r>
      <w:r>
        <w:t xml:space="preserve"> </w:t>
      </w:r>
      <w:r w:rsidRPr="00817ABF">
        <w:t>Data here captures Manatū Hauora (the Ministry of Health) staff only. It excludes staff who work for Te Aho o Te Kahu | Cancer Control Agency and staff that were working within the interim departmental agencies Hauora Aotearoa (interim Health New Zaland) or Te Mana Hauora Māori (interim Māori Health Authority).</w:t>
      </w:r>
    </w:p>
  </w:footnote>
  <w:footnote w:id="20">
    <w:p w14:paraId="0A70359D" w14:textId="3C00FC57" w:rsidR="008C677C" w:rsidRPr="008F58C2" w:rsidRDefault="008C677C">
      <w:pPr>
        <w:pStyle w:val="FootnoteText"/>
        <w:rPr>
          <w:lang w:val="en-US"/>
        </w:rPr>
      </w:pPr>
      <w:r>
        <w:rPr>
          <w:rStyle w:val="FootnoteReference"/>
        </w:rPr>
        <w:footnoteRef/>
      </w:r>
      <w:r>
        <w:t xml:space="preserve"> </w:t>
      </w:r>
      <w:r w:rsidRPr="008F58C2">
        <w:t>Data as at 30 June each year.</w:t>
      </w:r>
    </w:p>
  </w:footnote>
  <w:footnote w:id="21">
    <w:p w14:paraId="38F64BA4" w14:textId="29B08A2B" w:rsidR="008C677C" w:rsidRPr="008762C7" w:rsidRDefault="008C677C">
      <w:pPr>
        <w:pStyle w:val="FootnoteText"/>
        <w:rPr>
          <w:lang w:val="en-US"/>
        </w:rPr>
      </w:pPr>
      <w:r>
        <w:rPr>
          <w:rStyle w:val="FootnoteReference"/>
        </w:rPr>
        <w:footnoteRef/>
      </w:r>
      <w:r>
        <w:t xml:space="preserve"> </w:t>
      </w:r>
      <w:r w:rsidRPr="008762C7">
        <w:rPr>
          <w:i/>
          <w:iCs/>
        </w:rPr>
        <w:t>Vote Health – Health Sector – Estimates 2021/22</w:t>
      </w:r>
      <w:r w:rsidRPr="008762C7">
        <w:t xml:space="preserve">, available at: </w:t>
      </w:r>
      <w:hyperlink r:id="rId15" w:history="1">
        <w:r w:rsidRPr="008762C7">
          <w:rPr>
            <w:rStyle w:val="Hyperlink"/>
          </w:rPr>
          <w:t>treasury.govt.nz/publications/estimates/ vote-health-health-sector-estimates-2021-22</w:t>
        </w:r>
      </w:hyperlink>
      <w:r w:rsidRPr="008762C7">
        <w:t>.</w:t>
      </w:r>
    </w:p>
  </w:footnote>
  <w:footnote w:id="22">
    <w:p w14:paraId="68E65C2E" w14:textId="1E0BBDAC" w:rsidR="008C677C" w:rsidRPr="008762C7" w:rsidRDefault="008C677C">
      <w:pPr>
        <w:pStyle w:val="FootnoteText"/>
        <w:rPr>
          <w:lang w:val="en-US"/>
        </w:rPr>
      </w:pPr>
      <w:r>
        <w:rPr>
          <w:rStyle w:val="FootnoteReference"/>
        </w:rPr>
        <w:footnoteRef/>
      </w:r>
      <w:r>
        <w:t xml:space="preserve"> </w:t>
      </w:r>
      <w:r w:rsidRPr="008762C7">
        <w:rPr>
          <w:i/>
          <w:iCs/>
        </w:rPr>
        <w:t>Vote Health – Supplementary Estimates of Appropriations 2021/22</w:t>
      </w:r>
      <w:r w:rsidRPr="008762C7">
        <w:t xml:space="preserve">, available at: </w:t>
      </w:r>
      <w:hyperlink r:id="rId16" w:history="1">
        <w:r w:rsidRPr="008762C7">
          <w:rPr>
            <w:rStyle w:val="Hyperlink"/>
          </w:rPr>
          <w:t>treasury.govt.nz/ publications/supplementary-estimates/vote-health-supplementary-estimates-appropriations-2021-22</w:t>
        </w:r>
      </w:hyperlink>
      <w:r w:rsidRPr="008762C7">
        <w:t>.</w:t>
      </w:r>
    </w:p>
  </w:footnote>
  <w:footnote w:id="23">
    <w:p w14:paraId="6183BA8E" w14:textId="718A7AD4" w:rsidR="008C677C" w:rsidRPr="00DA0F62" w:rsidRDefault="008C677C">
      <w:pPr>
        <w:pStyle w:val="FootnoteText"/>
        <w:rPr>
          <w:lang w:val="en-US"/>
        </w:rPr>
      </w:pPr>
      <w:r>
        <w:rPr>
          <w:rStyle w:val="FootnoteReference"/>
        </w:rPr>
        <w:footnoteRef/>
      </w:r>
      <w:r>
        <w:t xml:space="preserve"> </w:t>
      </w:r>
      <w:hyperlink r:id="rId17" w:history="1">
        <w:r w:rsidRPr="00DA0F62">
          <w:rPr>
            <w:rStyle w:val="Hyperlink"/>
          </w:rPr>
          <w:t>https://www.stats.govt.nz/reports/review-of-health-service-user-population-methodology</w:t>
        </w:r>
      </w:hyperlink>
    </w:p>
  </w:footnote>
  <w:footnote w:id="24">
    <w:p w14:paraId="1F1DFDA5" w14:textId="410D7B73" w:rsidR="008C677C" w:rsidRPr="00DA0F62" w:rsidRDefault="008C677C">
      <w:pPr>
        <w:pStyle w:val="FootnoteText"/>
        <w:rPr>
          <w:lang w:val="en-US"/>
        </w:rPr>
      </w:pPr>
      <w:r>
        <w:rPr>
          <w:rStyle w:val="FootnoteReference"/>
        </w:rPr>
        <w:footnoteRef/>
      </w:r>
      <w:r>
        <w:t xml:space="preserve"> </w:t>
      </w:r>
      <w:r w:rsidRPr="00DA0F62">
        <w:t>Individuals who have received dose 1 and dose 2 of the COVID-19 vaccine are considered to have completed their primary course. This definition supersedes the term ‘fully vaccinated’ reported in our 2020/21 annual report.</w:t>
      </w:r>
    </w:p>
  </w:footnote>
  <w:footnote w:id="25">
    <w:p w14:paraId="55720872" w14:textId="437F5634" w:rsidR="008C677C" w:rsidRPr="00DA0F62" w:rsidRDefault="008C677C">
      <w:pPr>
        <w:pStyle w:val="FootnoteText"/>
        <w:rPr>
          <w:lang w:val="en-US"/>
        </w:rPr>
      </w:pPr>
      <w:r>
        <w:rPr>
          <w:rStyle w:val="FootnoteReference"/>
        </w:rPr>
        <w:footnoteRef/>
      </w:r>
      <w:r>
        <w:t xml:space="preserve"> </w:t>
      </w:r>
      <w:r w:rsidRPr="00DA0F62">
        <w:t>Data as at 30 June 2021 for 2020/21 and 30 June 2022 for 2021/22.</w:t>
      </w:r>
    </w:p>
  </w:footnote>
  <w:footnote w:id="26">
    <w:p w14:paraId="345638DF" w14:textId="0F6813F9" w:rsidR="008C677C" w:rsidRPr="00A5542F" w:rsidRDefault="008C677C">
      <w:pPr>
        <w:pStyle w:val="FootnoteText"/>
        <w:rPr>
          <w:lang w:val="en-US"/>
        </w:rPr>
      </w:pPr>
      <w:r>
        <w:rPr>
          <w:rStyle w:val="FootnoteReference"/>
        </w:rPr>
        <w:footnoteRef/>
      </w:r>
      <w:r>
        <w:t xml:space="preserve"> </w:t>
      </w:r>
      <w:r w:rsidRPr="00A5542F">
        <w:t>Data as at 30 June for each financial year, and respectively covers all vaccination doses administered between 1July-30 June.</w:t>
      </w:r>
    </w:p>
  </w:footnote>
  <w:footnote w:id="27">
    <w:p w14:paraId="53C540EF" w14:textId="3C624501" w:rsidR="008C677C" w:rsidRPr="00A5542F" w:rsidRDefault="008C677C">
      <w:pPr>
        <w:pStyle w:val="FootnoteText"/>
        <w:rPr>
          <w:lang w:val="en-US"/>
        </w:rPr>
      </w:pPr>
      <w:r>
        <w:rPr>
          <w:rStyle w:val="FootnoteReference"/>
        </w:rPr>
        <w:footnoteRef/>
      </w:r>
      <w:r>
        <w:t xml:space="preserve"> </w:t>
      </w:r>
      <w:r w:rsidRPr="00A5542F">
        <w:t>Excludes third primary doses administered and any subsequent boosters a person may have received after the second booster vaccination.</w:t>
      </w:r>
    </w:p>
  </w:footnote>
  <w:footnote w:id="28">
    <w:p w14:paraId="2B226858" w14:textId="1BDBF80F" w:rsidR="008C677C" w:rsidRPr="00A5542F" w:rsidRDefault="008C677C">
      <w:pPr>
        <w:pStyle w:val="FootnoteText"/>
        <w:rPr>
          <w:lang w:val="en-US"/>
        </w:rPr>
      </w:pPr>
      <w:r>
        <w:rPr>
          <w:rStyle w:val="FootnoteReference"/>
        </w:rPr>
        <w:footnoteRef/>
      </w:r>
      <w:r>
        <w:t xml:space="preserve"> </w:t>
      </w:r>
      <w:r w:rsidRPr="00A5542F">
        <w:t>Data as at 30 June 2022 and covers all vaccination doses administered between 1 July 2021-30 June 2022.</w:t>
      </w:r>
    </w:p>
  </w:footnote>
  <w:footnote w:id="29">
    <w:p w14:paraId="3AA9E426" w14:textId="7A319834" w:rsidR="008C677C" w:rsidRPr="00A5542F" w:rsidRDefault="008C677C">
      <w:pPr>
        <w:pStyle w:val="FootnoteText"/>
        <w:rPr>
          <w:lang w:val="en-US"/>
        </w:rPr>
      </w:pPr>
      <w:r>
        <w:rPr>
          <w:rStyle w:val="FootnoteReference"/>
        </w:rPr>
        <w:footnoteRef/>
      </w:r>
      <w:r>
        <w:t xml:space="preserve"> </w:t>
      </w:r>
      <w:r w:rsidRPr="00A5542F">
        <w:t>Age groupings in this table reflect the age of the person at the time of the vaccination being administered.</w:t>
      </w:r>
    </w:p>
  </w:footnote>
  <w:footnote w:id="30">
    <w:p w14:paraId="7F24677B" w14:textId="13BE3EAF" w:rsidR="008C677C" w:rsidRPr="00A5542F" w:rsidRDefault="008C677C">
      <w:pPr>
        <w:pStyle w:val="FootnoteText"/>
        <w:rPr>
          <w:lang w:val="en-US"/>
        </w:rPr>
      </w:pPr>
      <w:r>
        <w:rPr>
          <w:rStyle w:val="FootnoteReference"/>
        </w:rPr>
        <w:footnoteRef/>
      </w:r>
      <w:r>
        <w:t xml:space="preserve"> </w:t>
      </w:r>
      <w:r w:rsidRPr="00A5542F">
        <w:t>Excludes third primary doses administered to individuals and any subsequent boosters which may have been administered after the second booster vaccination.</w:t>
      </w:r>
    </w:p>
  </w:footnote>
  <w:footnote w:id="31">
    <w:p w14:paraId="29574216" w14:textId="434ECCDB" w:rsidR="008C677C" w:rsidRPr="004D3D52" w:rsidRDefault="008C677C" w:rsidP="004D3D52">
      <w:pPr>
        <w:pStyle w:val="FootnoteText"/>
      </w:pPr>
      <w:r>
        <w:rPr>
          <w:rStyle w:val="FootnoteReference"/>
        </w:rPr>
        <w:footnoteRef/>
      </w:r>
      <w:r>
        <w:t xml:space="preserve"> </w:t>
      </w:r>
      <w:r w:rsidRPr="00C17554">
        <w:t>Data as at 30 June 2022 and includes all people who received COVID-19 vaccinations between 1 July 2021– 30 June 2022</w:t>
      </w:r>
      <w:r>
        <w:t>.</w:t>
      </w:r>
    </w:p>
  </w:footnote>
  <w:footnote w:id="32">
    <w:p w14:paraId="483CB7D7" w14:textId="77777777" w:rsidR="008C677C" w:rsidRPr="004D3D52" w:rsidRDefault="008C677C" w:rsidP="00FE382E">
      <w:pPr>
        <w:pStyle w:val="FootnoteText"/>
        <w:rPr>
          <w:lang w:val="en-US"/>
        </w:rPr>
      </w:pPr>
      <w:r>
        <w:rPr>
          <w:rStyle w:val="FootnoteReference"/>
        </w:rPr>
        <w:footnoteRef/>
      </w:r>
      <w:r>
        <w:t xml:space="preserve"> </w:t>
      </w:r>
      <w:r w:rsidRPr="004D3D52">
        <w:t>Age groupings in this table reflect age of the persons at end of financial year.</w:t>
      </w:r>
    </w:p>
  </w:footnote>
  <w:footnote w:id="33">
    <w:p w14:paraId="5C659DF4" w14:textId="77777777" w:rsidR="008C677C" w:rsidRPr="004D3D52" w:rsidRDefault="008C677C" w:rsidP="00FE382E">
      <w:pPr>
        <w:pStyle w:val="FootnoteText"/>
        <w:rPr>
          <w:lang w:val="en-US"/>
        </w:rPr>
      </w:pPr>
      <w:r>
        <w:rPr>
          <w:rStyle w:val="FootnoteReference"/>
        </w:rPr>
        <w:footnoteRef/>
      </w:r>
      <w:r>
        <w:t xml:space="preserve"> </w:t>
      </w:r>
      <w:r w:rsidRPr="004D3D52">
        <w:t>Partial vaccination refers to individuals who had received a single one dose of the COVID-19 vaccination (as at 30 June 2022).</w:t>
      </w:r>
    </w:p>
  </w:footnote>
  <w:footnote w:id="34">
    <w:p w14:paraId="4169743B" w14:textId="77777777" w:rsidR="008C677C" w:rsidRPr="004D3D52" w:rsidRDefault="008C677C" w:rsidP="00FE382E">
      <w:pPr>
        <w:pStyle w:val="FootnoteText"/>
        <w:rPr>
          <w:lang w:val="en-US"/>
        </w:rPr>
      </w:pPr>
      <w:r>
        <w:rPr>
          <w:rStyle w:val="FootnoteReference"/>
        </w:rPr>
        <w:footnoteRef/>
      </w:r>
      <w:r>
        <w:t xml:space="preserve"> </w:t>
      </w:r>
      <w:r w:rsidRPr="004D3D52">
        <w:t>Primary course refers to the first two doses of the COVID-19 vaccine (dose 1 and dose 2).</w:t>
      </w:r>
    </w:p>
  </w:footnote>
  <w:footnote w:id="35">
    <w:p w14:paraId="7FC1DE75" w14:textId="043CDEB7" w:rsidR="008C677C" w:rsidRPr="00FE382E" w:rsidRDefault="008C677C">
      <w:pPr>
        <w:pStyle w:val="FootnoteText"/>
        <w:rPr>
          <w:lang w:val="en-US"/>
        </w:rPr>
      </w:pPr>
      <w:r>
        <w:rPr>
          <w:rStyle w:val="FootnoteReference"/>
        </w:rPr>
        <w:footnoteRef/>
      </w:r>
      <w:r>
        <w:t xml:space="preserve"> </w:t>
      </w:r>
      <w:r w:rsidRPr="00FE382E">
        <w:t>This excludes third primary doses administered and any subsequent boosters a person may have received after a second booster</w:t>
      </w:r>
      <w:r>
        <w:t>.</w:t>
      </w:r>
    </w:p>
  </w:footnote>
  <w:footnote w:id="36">
    <w:p w14:paraId="557C6FA9" w14:textId="11C24141" w:rsidR="008C677C" w:rsidRPr="00FE382E" w:rsidRDefault="008C677C">
      <w:pPr>
        <w:pStyle w:val="FootnoteText"/>
        <w:rPr>
          <w:lang w:val="en-US"/>
        </w:rPr>
      </w:pPr>
      <w:r>
        <w:rPr>
          <w:rStyle w:val="FootnoteReference"/>
        </w:rPr>
        <w:footnoteRef/>
      </w:r>
      <w:r>
        <w:t xml:space="preserve"> </w:t>
      </w:r>
      <w:r w:rsidRPr="00FE382E">
        <w:t>Data as at 30 June 2022 and includes all vaccination doses being administered between 1 July 2021 – 30 June 2022.</w:t>
      </w:r>
    </w:p>
  </w:footnote>
  <w:footnote w:id="37">
    <w:p w14:paraId="25A84C14" w14:textId="3E4D0BAC" w:rsidR="008C677C" w:rsidRPr="00FE382E" w:rsidRDefault="008C677C">
      <w:pPr>
        <w:pStyle w:val="FootnoteText"/>
        <w:rPr>
          <w:lang w:val="en-US"/>
        </w:rPr>
      </w:pPr>
      <w:r>
        <w:rPr>
          <w:rStyle w:val="FootnoteReference"/>
        </w:rPr>
        <w:footnoteRef/>
      </w:r>
      <w:r>
        <w:t xml:space="preserve"> </w:t>
      </w:r>
      <w:r w:rsidRPr="00FE382E">
        <w:t>Data as at 30 June 2022 and includes all people who received COVID-19 vaccinations between 1 July 2021 – 30 June 2022.</w:t>
      </w:r>
    </w:p>
  </w:footnote>
  <w:footnote w:id="38">
    <w:p w14:paraId="4B288CA7" w14:textId="7C9DF89F" w:rsidR="008C677C" w:rsidRPr="001D0A8A" w:rsidRDefault="008C677C">
      <w:pPr>
        <w:pStyle w:val="FootnoteText"/>
        <w:rPr>
          <w:lang w:val="en-US"/>
        </w:rPr>
      </w:pPr>
      <w:r>
        <w:rPr>
          <w:rStyle w:val="FootnoteReference"/>
        </w:rPr>
        <w:footnoteRef/>
      </w:r>
      <w:r>
        <w:t xml:space="preserve"> </w:t>
      </w:r>
      <w:hyperlink r:id="rId18" w:history="1">
        <w:r w:rsidRPr="001D0A8A">
          <w:rPr>
            <w:rStyle w:val="Hyperlink"/>
          </w:rPr>
          <w:t>https://www.stats.govt.nz/methods/population-statistics-user-guide</w:t>
        </w:r>
      </w:hyperlink>
      <w:r w:rsidRPr="001D0A8A">
        <w:t>.</w:t>
      </w:r>
    </w:p>
  </w:footnote>
  <w:footnote w:id="39">
    <w:p w14:paraId="505AFD2A" w14:textId="5BADFB0C" w:rsidR="008C677C" w:rsidRPr="001D0A8A" w:rsidRDefault="008C677C">
      <w:pPr>
        <w:pStyle w:val="FootnoteText"/>
        <w:rPr>
          <w:lang w:val="en-US"/>
        </w:rPr>
      </w:pPr>
      <w:r>
        <w:rPr>
          <w:rStyle w:val="FootnoteReference"/>
        </w:rPr>
        <w:footnoteRef/>
      </w:r>
      <w:r>
        <w:t xml:space="preserve"> </w:t>
      </w:r>
      <w:r w:rsidRPr="001D0A8A">
        <w:t xml:space="preserve">More information on the findings from the Stats NZ review of the HSU is available at: </w:t>
      </w:r>
      <w:hyperlink r:id="rId19" w:history="1">
        <w:r w:rsidRPr="001D0A8A">
          <w:rPr>
            <w:rStyle w:val="Hyperlink"/>
          </w:rPr>
          <w:t>stats.govt.nz/reports/review-of-health-service-user-population-methodology/</w:t>
        </w:r>
      </w:hyperlink>
    </w:p>
  </w:footnote>
  <w:footnote w:id="40">
    <w:p w14:paraId="0CD142E8" w14:textId="08077D70" w:rsidR="008C677C" w:rsidRPr="001D0A8A" w:rsidRDefault="008C677C">
      <w:pPr>
        <w:pStyle w:val="FootnoteText"/>
        <w:rPr>
          <w:lang w:val="en-US"/>
        </w:rPr>
      </w:pPr>
      <w:r>
        <w:rPr>
          <w:rStyle w:val="FootnoteReference"/>
        </w:rPr>
        <w:footnoteRef/>
      </w:r>
      <w:r>
        <w:t xml:space="preserve"> </w:t>
      </w:r>
      <w:r w:rsidRPr="002C1551">
        <w:t>HSU 2021 data is as at 31 December 2021 and Stats NZ PRP data is as at 30 June 2021</w:t>
      </w:r>
    </w:p>
  </w:footnote>
  <w:footnote w:id="41">
    <w:p w14:paraId="721A0C26" w14:textId="4E4432F5" w:rsidR="008C677C" w:rsidRPr="002C1551" w:rsidRDefault="008C677C">
      <w:pPr>
        <w:pStyle w:val="FootnoteText"/>
        <w:rPr>
          <w:lang w:val="en-US"/>
        </w:rPr>
      </w:pPr>
      <w:r>
        <w:rPr>
          <w:rStyle w:val="FootnoteReference"/>
        </w:rPr>
        <w:footnoteRef/>
      </w:r>
      <w:r>
        <w:t xml:space="preserve"> </w:t>
      </w:r>
      <w:r w:rsidRPr="002C1551">
        <w:t>HSU 2020 data is as at 1 July 2020 and Stats NZ PRP data is as at 30 June 2020.</w:t>
      </w:r>
    </w:p>
  </w:footnote>
  <w:footnote w:id="42">
    <w:p w14:paraId="194AE038" w14:textId="1767427C" w:rsidR="008C677C" w:rsidRPr="002C1551" w:rsidRDefault="008C677C">
      <w:pPr>
        <w:pStyle w:val="FootnoteText"/>
        <w:rPr>
          <w:lang w:val="en-US"/>
        </w:rPr>
      </w:pPr>
      <w:r>
        <w:rPr>
          <w:rStyle w:val="FootnoteReference"/>
        </w:rPr>
        <w:footnoteRef/>
      </w:r>
      <w:r>
        <w:t xml:space="preserve"> </w:t>
      </w:r>
      <w:r w:rsidRPr="002C1551">
        <w:t>EpiSurv is a secure national system used by Primary Health Units to report cases of notifiable diseases. It is operated by the Institute of Environmental Science and Research (ESR), on behalf of the Ministry of Health</w:t>
      </w:r>
    </w:p>
  </w:footnote>
  <w:footnote w:id="43">
    <w:p w14:paraId="42ACCEC9" w14:textId="77777777" w:rsidR="008C677C" w:rsidRPr="009F6351" w:rsidRDefault="008C677C" w:rsidP="009F6351">
      <w:pPr>
        <w:pStyle w:val="FootnoteText"/>
        <w:rPr>
          <w:lang w:val="en-US"/>
        </w:rPr>
      </w:pPr>
      <w:r>
        <w:rPr>
          <w:rStyle w:val="FootnoteReference"/>
        </w:rPr>
        <w:footnoteRef/>
      </w:r>
      <w:r>
        <w:t xml:space="preserve"> </w:t>
      </w:r>
      <w:r w:rsidRPr="009F6351">
        <w:t>‘Primary course’ is defined as a person receiving two doses of the COVID-19 vaccine.</w:t>
      </w:r>
    </w:p>
  </w:footnote>
  <w:footnote w:id="44">
    <w:p w14:paraId="7A85D47A" w14:textId="77777777" w:rsidR="008C677C" w:rsidRPr="009F6351" w:rsidRDefault="008C677C" w:rsidP="009F6351">
      <w:pPr>
        <w:pStyle w:val="FootnoteText"/>
        <w:rPr>
          <w:lang w:val="en-US"/>
        </w:rPr>
      </w:pPr>
      <w:r>
        <w:rPr>
          <w:rStyle w:val="FootnoteReference"/>
        </w:rPr>
        <w:footnoteRef/>
      </w:r>
      <w:r>
        <w:t xml:space="preserve"> </w:t>
      </w:r>
      <w:r w:rsidRPr="009F6351">
        <w:t>‘Boosted’ is defined as a person receiving three doses of the COVID-19 vaccine.</w:t>
      </w:r>
    </w:p>
  </w:footnote>
  <w:footnote w:id="45">
    <w:p w14:paraId="7B3535E4" w14:textId="77777777" w:rsidR="008C677C" w:rsidRPr="009F6351" w:rsidRDefault="008C677C" w:rsidP="009F6351">
      <w:pPr>
        <w:pStyle w:val="FootnoteText"/>
        <w:rPr>
          <w:lang w:val="en-US"/>
        </w:rPr>
      </w:pPr>
      <w:r>
        <w:rPr>
          <w:rStyle w:val="FootnoteReference"/>
        </w:rPr>
        <w:footnoteRef/>
      </w:r>
      <w:r>
        <w:t xml:space="preserve"> </w:t>
      </w:r>
      <w:r w:rsidRPr="009F6351">
        <w:t>Unknown’ is defined where the normal place of residence has not yet been identified.</w:t>
      </w:r>
    </w:p>
  </w:footnote>
  <w:footnote w:id="46">
    <w:p w14:paraId="4EEE9E63" w14:textId="052E5E7B" w:rsidR="008C677C" w:rsidRPr="009F6351" w:rsidRDefault="008C677C" w:rsidP="00B74840">
      <w:pPr>
        <w:pStyle w:val="FootnoteText"/>
        <w:rPr>
          <w:lang w:val="en-US"/>
        </w:rPr>
      </w:pPr>
      <w:r>
        <w:rPr>
          <w:rStyle w:val="FootnoteReference"/>
        </w:rPr>
        <w:footnoteRef/>
      </w:r>
      <w:r>
        <w:t xml:space="preserve"> ‘Primary course’ is defined as a person receiving two doses of the COVID-19 vaccine.</w:t>
      </w:r>
    </w:p>
  </w:footnote>
  <w:footnote w:id="47">
    <w:p w14:paraId="7F985576" w14:textId="2B450B9D" w:rsidR="008C677C" w:rsidRPr="009F6351" w:rsidRDefault="008C677C">
      <w:pPr>
        <w:pStyle w:val="FootnoteText"/>
        <w:rPr>
          <w:lang w:val="en-US"/>
        </w:rPr>
      </w:pPr>
      <w:r>
        <w:rPr>
          <w:rStyle w:val="FootnoteReference"/>
        </w:rPr>
        <w:footnoteRef/>
      </w:r>
      <w:r>
        <w:t xml:space="preserve"> </w:t>
      </w:r>
      <w:r w:rsidRPr="00B74840">
        <w:t>‘Boosted’ is defined as a person receiving three doses of the COVID-19 vaccine.</w:t>
      </w:r>
    </w:p>
  </w:footnote>
  <w:footnote w:id="48">
    <w:p w14:paraId="1560CFC7" w14:textId="1EBA83B1" w:rsidR="008C677C" w:rsidRPr="009F6351" w:rsidRDefault="008C677C">
      <w:pPr>
        <w:pStyle w:val="FootnoteText"/>
        <w:rPr>
          <w:lang w:val="en-US"/>
        </w:rPr>
      </w:pPr>
      <w:r>
        <w:rPr>
          <w:rStyle w:val="FootnoteReference"/>
        </w:rPr>
        <w:footnoteRef/>
      </w:r>
      <w:r>
        <w:t xml:space="preserve"> </w:t>
      </w:r>
      <w:r w:rsidRPr="00B74840">
        <w:t>‘Primary course’ is defined as a person receiving two doses of the COVID-19 vaccine.</w:t>
      </w:r>
    </w:p>
  </w:footnote>
  <w:footnote w:id="49">
    <w:p w14:paraId="333654C3" w14:textId="232E2A4B" w:rsidR="008C677C" w:rsidRPr="009F6351" w:rsidRDefault="008C677C">
      <w:pPr>
        <w:pStyle w:val="FootnoteText"/>
        <w:rPr>
          <w:lang w:val="en-US"/>
        </w:rPr>
      </w:pPr>
      <w:r>
        <w:rPr>
          <w:rStyle w:val="FootnoteReference"/>
        </w:rPr>
        <w:footnoteRef/>
      </w:r>
      <w:r>
        <w:t xml:space="preserve"> </w:t>
      </w:r>
      <w:r w:rsidRPr="00B74840">
        <w:t>‘Boosted’ is defined as a person receiving three doses of the COVID-19 vaccine.</w:t>
      </w:r>
    </w:p>
  </w:footnote>
  <w:footnote w:id="50">
    <w:p w14:paraId="7C0B14BB" w14:textId="1A0D732A" w:rsidR="008C677C" w:rsidRPr="00B74840" w:rsidRDefault="008C677C">
      <w:pPr>
        <w:pStyle w:val="FootnoteText"/>
        <w:rPr>
          <w:lang w:val="en-US"/>
        </w:rPr>
      </w:pPr>
      <w:r>
        <w:rPr>
          <w:rStyle w:val="FootnoteReference"/>
        </w:rPr>
        <w:footnoteRef/>
      </w:r>
      <w:r>
        <w:t xml:space="preserve"> </w:t>
      </w:r>
      <w:r w:rsidRPr="00B74840">
        <w:t>‘Unknown’ refers to individuals where no ethnicity can be satisfactorily determined.</w:t>
      </w:r>
    </w:p>
  </w:footnote>
  <w:footnote w:id="51">
    <w:p w14:paraId="2B297DF3" w14:textId="4473DF97" w:rsidR="008C677C" w:rsidRPr="00E1477E" w:rsidRDefault="008C677C">
      <w:pPr>
        <w:pStyle w:val="FootnoteText"/>
        <w:rPr>
          <w:lang w:val="en-US"/>
        </w:rPr>
      </w:pPr>
      <w:r>
        <w:rPr>
          <w:rStyle w:val="FootnoteReference"/>
        </w:rPr>
        <w:footnoteRef/>
      </w:r>
      <w:r>
        <w:t xml:space="preserve"> </w:t>
      </w:r>
      <w:r w:rsidRPr="00E1477E">
        <w:t xml:space="preserve">Results from prior years have been updated as the estimates are recalibrated and re-estimated based on new information, data and methods each year. See: </w:t>
      </w:r>
      <w:hyperlink r:id="rId20" w:history="1">
        <w:r w:rsidRPr="00E1477E">
          <w:rPr>
            <w:rStyle w:val="Hyperlink"/>
          </w:rPr>
          <w:t>ghdx.healthdata.org/gbd-results-tool</w:t>
        </w:r>
      </w:hyperlink>
    </w:p>
  </w:footnote>
  <w:footnote w:id="52">
    <w:p w14:paraId="37731B98" w14:textId="78EBEB64" w:rsidR="008C677C" w:rsidRPr="00E1477E" w:rsidRDefault="008C677C">
      <w:pPr>
        <w:pStyle w:val="FootnoteText"/>
        <w:rPr>
          <w:lang w:val="en-US"/>
        </w:rPr>
      </w:pPr>
      <w:r>
        <w:rPr>
          <w:rStyle w:val="FootnoteReference"/>
        </w:rPr>
        <w:footnoteRef/>
      </w:r>
      <w:r>
        <w:t xml:space="preserve"> </w:t>
      </w:r>
      <w:r w:rsidRPr="00E1477E">
        <w:t>These are the latest results available and are the same as reported in our 2020/21 Annual Report.</w:t>
      </w:r>
    </w:p>
  </w:footnote>
  <w:footnote w:id="53">
    <w:p w14:paraId="3E36ACC8" w14:textId="7BB03F91" w:rsidR="008C677C" w:rsidRDefault="008C677C" w:rsidP="004C12AB">
      <w:pPr>
        <w:pStyle w:val="FootnoteText"/>
      </w:pPr>
      <w:r>
        <w:rPr>
          <w:rStyle w:val="FootnoteReference"/>
        </w:rPr>
        <w:footnoteRef/>
      </w:r>
      <w:r>
        <w:t xml:space="preserve"> Data in this table is available at:</w:t>
      </w:r>
    </w:p>
    <w:p w14:paraId="163496B9" w14:textId="5CC63A93" w:rsidR="008C677C" w:rsidRPr="00E1477E" w:rsidRDefault="008C677C" w:rsidP="004C12AB">
      <w:pPr>
        <w:pStyle w:val="FootnoteText"/>
        <w:rPr>
          <w:lang w:val="en-US"/>
        </w:rPr>
      </w:pPr>
      <w:r>
        <w:t xml:space="preserve">1995-97 to 2017-19: </w:t>
      </w:r>
      <w:hyperlink r:id="rId21" w:history="1">
        <w:r w:rsidRPr="004C12AB">
          <w:rPr>
            <w:rStyle w:val="Hyperlink"/>
          </w:rPr>
          <w:t>stats.govt.nz/information-releases/national-and-subnational-period-life-tables-2017-2019</w:t>
        </w:r>
      </w:hyperlink>
      <w:r>
        <w:t xml:space="preserve">. 2019-21: </w:t>
      </w:r>
      <w:hyperlink r:id="rId22" w:history="1">
        <w:r w:rsidRPr="004C12AB">
          <w:rPr>
            <w:rStyle w:val="Hyperlink"/>
          </w:rPr>
          <w:t>https://www.stats.govt.nz/information-releases/births-and-deaths-year-ended-december-2021-including-abridged-period-life-table/</w:t>
        </w:r>
      </w:hyperlink>
    </w:p>
  </w:footnote>
  <w:footnote w:id="54">
    <w:p w14:paraId="46345C68" w14:textId="1896A660" w:rsidR="008C677C" w:rsidRPr="00BB0690" w:rsidRDefault="008C677C">
      <w:pPr>
        <w:pStyle w:val="FootnoteText"/>
        <w:rPr>
          <w:lang w:val="en-US"/>
        </w:rPr>
      </w:pPr>
      <w:r>
        <w:rPr>
          <w:rStyle w:val="FootnoteReference"/>
        </w:rPr>
        <w:footnoteRef/>
      </w:r>
      <w:r>
        <w:t xml:space="preserve"> </w:t>
      </w:r>
      <w:r w:rsidRPr="00BB0690">
        <w:t>Prior year results have been updated as the estimates are recalibrated and re-estimated based on new information, data and methods each year. Available at: ghdx.healthdata.org/gbd-results-tool for more information.</w:t>
      </w:r>
    </w:p>
  </w:footnote>
  <w:footnote w:id="55">
    <w:p w14:paraId="65FF04F6" w14:textId="77777777" w:rsidR="008C677C" w:rsidRPr="00E1477E" w:rsidRDefault="008C677C" w:rsidP="00BB0690">
      <w:pPr>
        <w:pStyle w:val="FootnoteText"/>
        <w:rPr>
          <w:lang w:val="en-US"/>
        </w:rPr>
      </w:pPr>
      <w:r>
        <w:rPr>
          <w:rStyle w:val="FootnoteReference"/>
        </w:rPr>
        <w:footnoteRef/>
      </w:r>
      <w:r>
        <w:t xml:space="preserve"> </w:t>
      </w:r>
      <w:r w:rsidRPr="00E1477E">
        <w:t>These are the latest results available and are the same as reported in our 2020/21 Annual Report.</w:t>
      </w:r>
    </w:p>
  </w:footnote>
  <w:footnote w:id="56">
    <w:p w14:paraId="063C6D96" w14:textId="77D5CD33" w:rsidR="008C677C" w:rsidRPr="00BB0690" w:rsidRDefault="008C677C" w:rsidP="00BB0690">
      <w:pPr>
        <w:pStyle w:val="FootnoteText"/>
      </w:pPr>
      <w:r>
        <w:rPr>
          <w:rStyle w:val="FootnoteReference"/>
        </w:rPr>
        <w:footnoteRef/>
      </w:r>
      <w:r>
        <w:t xml:space="preserve"> </w:t>
      </w:r>
      <w:r w:rsidRPr="00BB0690">
        <w:t>This data has been obtained from stats.oecd.org/index.aspx?DataSetCode=HEALTH_STAT#.</w:t>
      </w:r>
    </w:p>
    <w:p w14:paraId="5744D940" w14:textId="77777777" w:rsidR="008C677C" w:rsidRPr="00BB0690" w:rsidRDefault="008C677C" w:rsidP="00BB0690">
      <w:pPr>
        <w:pStyle w:val="FootnoteText"/>
        <w:ind w:firstLine="0"/>
      </w:pPr>
      <w:r w:rsidRPr="00BB0690">
        <w:t>This information comes directly from the OECD. The OECD updates prior year results as the estimates are recalibrated and re-estimated based on new information, data and methods each year. Therefore, prior results change as the source data is updated.</w:t>
      </w:r>
    </w:p>
    <w:p w14:paraId="4241DAF1" w14:textId="074F4A37" w:rsidR="008C677C" w:rsidRPr="00BB0690" w:rsidRDefault="008C677C" w:rsidP="00BB0690">
      <w:pPr>
        <w:pStyle w:val="FootnoteText"/>
        <w:ind w:firstLine="0"/>
        <w:rPr>
          <w:lang w:val="en-US"/>
        </w:rPr>
      </w:pPr>
      <w:r w:rsidRPr="00BB0690">
        <w:t>The OECD updates data historically for the full set of 38 countries as countries join the organisation and/ or when it receives information. The differences in the number of countries in the denominator can be because some member countries have not provided data.</w:t>
      </w:r>
    </w:p>
  </w:footnote>
  <w:footnote w:id="57">
    <w:p w14:paraId="548B6153" w14:textId="6C9E96B5" w:rsidR="008C677C" w:rsidRPr="00D82FFA" w:rsidRDefault="008C677C">
      <w:pPr>
        <w:pStyle w:val="FootnoteText"/>
        <w:rPr>
          <w:lang w:val="en-US"/>
        </w:rPr>
      </w:pPr>
      <w:r>
        <w:rPr>
          <w:rStyle w:val="FootnoteReference"/>
        </w:rPr>
        <w:footnoteRef/>
      </w:r>
      <w:r>
        <w:t xml:space="preserve"> </w:t>
      </w:r>
      <w:r w:rsidRPr="00D82FFA">
        <w:t>Most high-level system indicators reported here show data since 2019. December 2019 is considered the baseline against most of the indicators where we are tracking against future changes.</w:t>
      </w:r>
    </w:p>
  </w:footnote>
  <w:footnote w:id="58">
    <w:p w14:paraId="231FCC26" w14:textId="1047A6B7" w:rsidR="008C677C" w:rsidRPr="00A51DC4" w:rsidRDefault="008C677C" w:rsidP="00A51DC4">
      <w:pPr>
        <w:pStyle w:val="FootnoteText"/>
        <w:rPr>
          <w:lang w:val="en-US"/>
        </w:rPr>
      </w:pPr>
      <w:r>
        <w:rPr>
          <w:rStyle w:val="FootnoteReference"/>
        </w:rPr>
        <w:footnoteRef/>
      </w:r>
      <w:r>
        <w:t xml:space="preserve">  This Act is administered by the Ministry of Social Development and the Ministry of Health.</w:t>
      </w:r>
    </w:p>
  </w:footnote>
  <w:footnote w:id="59">
    <w:p w14:paraId="26674D51" w14:textId="42DBE5DF" w:rsidR="008C677C" w:rsidRDefault="008C677C">
      <w:pPr>
        <w:pStyle w:val="FootnoteText"/>
      </w:pPr>
      <w:r>
        <w:rPr>
          <w:rStyle w:val="FootnoteReference"/>
        </w:rPr>
        <w:footnoteRef/>
      </w:r>
      <w:r>
        <w:t xml:space="preserve"> </w:t>
      </w:r>
      <w:r w:rsidRPr="009824C8">
        <w:t>Programme for Integration of Mental Health Data (PRIMHD) is a Ministry of Health single national mental health and addiction information collection of service activity and outcomes database for health consumers. The data is collected from district health boards (DHBs) and non-governmental organisations (NGOs).</w:t>
      </w:r>
    </w:p>
    <w:p w14:paraId="090E7BB3" w14:textId="0BAC33C9" w:rsidR="008C677C" w:rsidRPr="009824C8" w:rsidRDefault="008C677C" w:rsidP="009824C8">
      <w:pPr>
        <w:pStyle w:val="FootnoteText"/>
        <w:ind w:firstLine="0"/>
        <w:rPr>
          <w:lang w:val="en-US"/>
        </w:rPr>
      </w:pPr>
      <w:r>
        <w:t>As the data from PRIMHD is only able to measure mental health and addiction outcomes, these results may not fully encompass or recognise other sources of support people recovering from severe substance addiction are receiving (for example, patients that have received support for access to housing).</w:t>
      </w:r>
    </w:p>
  </w:footnote>
  <w:footnote w:id="60">
    <w:p w14:paraId="1A5DEADB" w14:textId="1AFD9D35" w:rsidR="008C677C" w:rsidRPr="009824C8" w:rsidRDefault="008C677C" w:rsidP="009824C8">
      <w:pPr>
        <w:pStyle w:val="FootnoteText"/>
        <w:rPr>
          <w:lang w:val="en-US"/>
        </w:rPr>
      </w:pPr>
      <w:r>
        <w:rPr>
          <w:rStyle w:val="FootnoteReference"/>
        </w:rPr>
        <w:footnoteRef/>
      </w:r>
      <w:r>
        <w:t xml:space="preserve"> There may be cases where a person first came under the Substance Addiction Act in June 2022 or engaged the process at the end of June 2022 and continued through 2022. Due to this there may be discrepancies in reporting, where a higher number of people had compulsory treatment orders made (or extended) than were detained under the Substance Addiction Act.</w:t>
      </w:r>
    </w:p>
  </w:footnote>
  <w:footnote w:id="61">
    <w:p w14:paraId="29E5982D" w14:textId="5FAFF342" w:rsidR="008C677C" w:rsidRPr="009824C8" w:rsidRDefault="008C677C">
      <w:pPr>
        <w:pStyle w:val="FootnoteText"/>
        <w:rPr>
          <w:lang w:val="en-US"/>
        </w:rPr>
      </w:pPr>
      <w:r>
        <w:rPr>
          <w:rStyle w:val="FootnoteReference"/>
        </w:rPr>
        <w:footnoteRef/>
      </w:r>
      <w:r>
        <w:t xml:space="preserve"> </w:t>
      </w:r>
      <w:r w:rsidRPr="009824C8">
        <w:t>The categories are defined as up to, and including, the upper limit. For example, one week and one day would be in 1-2 weeks; 7 weeks exactly would be included in 6-7 weeks.</w:t>
      </w:r>
    </w:p>
  </w:footnote>
  <w:footnote w:id="62">
    <w:p w14:paraId="31085139" w14:textId="3B0F5790" w:rsidR="008C677C" w:rsidRPr="009824C8" w:rsidRDefault="008C677C">
      <w:pPr>
        <w:pStyle w:val="FootnoteText"/>
        <w:rPr>
          <w:lang w:val="en-US"/>
        </w:rPr>
      </w:pPr>
      <w:r>
        <w:rPr>
          <w:rStyle w:val="FootnoteReference"/>
        </w:rPr>
        <w:footnoteRef/>
      </w:r>
      <w:r>
        <w:t xml:space="preserve"> </w:t>
      </w:r>
      <w:r w:rsidRPr="009824C8">
        <w:t>Our emissions will be formally audited by a Certified Carbon Auditor before we publish the formal reduction plan in December 2022. As such, the emissions for 2021/22 are considered preliminary.</w:t>
      </w:r>
    </w:p>
  </w:footnote>
  <w:footnote w:id="63">
    <w:p w14:paraId="3F52C43B" w14:textId="78DA096A" w:rsidR="008C677C" w:rsidRPr="009824C8" w:rsidRDefault="008C677C">
      <w:pPr>
        <w:pStyle w:val="FootnoteText"/>
        <w:rPr>
          <w:lang w:val="en-US"/>
        </w:rPr>
      </w:pPr>
      <w:r>
        <w:rPr>
          <w:rStyle w:val="FootnoteReference"/>
        </w:rPr>
        <w:footnoteRef/>
      </w:r>
      <w:r>
        <w:t xml:space="preserve"> </w:t>
      </w:r>
      <w:r w:rsidRPr="009824C8">
        <w:t>Following a review of the historic data used to produce the 2021/22 emissions report, the total emissions for the base year (1 March 2019 – 29 February 2020) have been amended – from 1962.84 tCO2e to 1966.23 tCO2e.</w:t>
      </w:r>
    </w:p>
  </w:footnote>
  <w:footnote w:id="64">
    <w:p w14:paraId="22F5B7CF" w14:textId="189849CE" w:rsidR="008C677C" w:rsidRPr="0017021F" w:rsidRDefault="008C677C">
      <w:pPr>
        <w:pStyle w:val="FootnoteText"/>
        <w:rPr>
          <w:lang w:val="en-US"/>
        </w:rPr>
      </w:pPr>
      <w:r>
        <w:rPr>
          <w:rStyle w:val="FootnoteReference"/>
        </w:rPr>
        <w:footnoteRef/>
      </w:r>
      <w:r>
        <w:t xml:space="preserve"> </w:t>
      </w:r>
      <w:r w:rsidRPr="0017021F">
        <w:t>Ministry of Health. 2019. New Zealand Cancer Action Plan 2019–2029 – Te Mahere mō te Mate Pukupuku o Aotearoa 2019–2029. Revised January 2020 Wellington: Ministry of Health.</w:t>
      </w:r>
    </w:p>
  </w:footnote>
  <w:footnote w:id="65">
    <w:p w14:paraId="75ED5414" w14:textId="5098468F" w:rsidR="008C677C" w:rsidRPr="00782804" w:rsidRDefault="008C677C">
      <w:pPr>
        <w:pStyle w:val="FootnoteText"/>
        <w:rPr>
          <w:lang w:val="en-US"/>
        </w:rPr>
      </w:pPr>
      <w:r>
        <w:rPr>
          <w:rStyle w:val="FootnoteReference"/>
        </w:rPr>
        <w:footnoteRef/>
      </w:r>
      <w:r>
        <w:t xml:space="preserve"> </w:t>
      </w:r>
      <w:r w:rsidRPr="00782804">
        <w:t xml:space="preserve">Minister of Health. 2003. </w:t>
      </w:r>
      <w:r w:rsidRPr="00782804">
        <w:rPr>
          <w:i/>
          <w:iCs/>
        </w:rPr>
        <w:t>The New Zealand Cancer Control Strategy</w:t>
      </w:r>
      <w:r w:rsidRPr="00782804">
        <w:t>. Wellington: Ministry of Health and the New Zealand Cancer Control Trust.</w:t>
      </w:r>
    </w:p>
  </w:footnote>
  <w:footnote w:id="66">
    <w:p w14:paraId="290043ED" w14:textId="2ACFFE12" w:rsidR="008C677C" w:rsidRPr="00782804" w:rsidRDefault="008C677C">
      <w:pPr>
        <w:pStyle w:val="FootnoteText"/>
        <w:rPr>
          <w:lang w:val="en-US"/>
        </w:rPr>
      </w:pPr>
      <w:r>
        <w:rPr>
          <w:rStyle w:val="FootnoteReference"/>
        </w:rPr>
        <w:footnoteRef/>
      </w:r>
      <w:r>
        <w:t xml:space="preserve"> </w:t>
      </w:r>
      <w:r w:rsidRPr="00782804">
        <w:t xml:space="preserve">Ministry of Health. 2019. </w:t>
      </w:r>
      <w:r w:rsidRPr="00782804">
        <w:rPr>
          <w:i/>
          <w:iCs/>
        </w:rPr>
        <w:t>New Zealand Cancer Action Plan 2019–2029 – Te Mahere mō te Mate Pukupuku o Aotearoa 2019–2029</w:t>
      </w:r>
      <w:r w:rsidRPr="00782804">
        <w:t>. Revised January 2020 Wellington: Ministry of Health.</w:t>
      </w:r>
    </w:p>
  </w:footnote>
  <w:footnote w:id="67">
    <w:p w14:paraId="2B7478C8" w14:textId="77084823" w:rsidR="008C677C" w:rsidRPr="00AF58A9" w:rsidRDefault="008C677C">
      <w:pPr>
        <w:pStyle w:val="FootnoteText"/>
        <w:rPr>
          <w:lang w:val="en-US"/>
        </w:rPr>
      </w:pPr>
      <w:r>
        <w:rPr>
          <w:rStyle w:val="FootnoteReference"/>
        </w:rPr>
        <w:footnoteRef/>
      </w:r>
      <w:r>
        <w:t xml:space="preserve"> </w:t>
      </w:r>
      <w:r w:rsidRPr="00AF58A9">
        <w:t>Ministry of Health. 2019. Bowel Cancer Quality Improvement Report. Wellington: Ministry of Health.</w:t>
      </w:r>
    </w:p>
  </w:footnote>
  <w:footnote w:id="68">
    <w:p w14:paraId="17B995B3" w14:textId="29351CDE" w:rsidR="008C677C" w:rsidRPr="0073291A" w:rsidRDefault="008C677C" w:rsidP="0073291A">
      <w:pPr>
        <w:pStyle w:val="FootnoteText"/>
        <w:rPr>
          <w:lang w:val="en-US"/>
        </w:rPr>
      </w:pPr>
      <w:r>
        <w:rPr>
          <w:rStyle w:val="FootnoteReference"/>
        </w:rPr>
        <w:footnoteRef/>
      </w:r>
      <w:r>
        <w:t xml:space="preserve"> </w:t>
      </w:r>
      <w:hyperlink r:id="rId23" w:history="1">
        <w:r w:rsidRPr="0073291A">
          <w:rPr>
            <w:rStyle w:val="Hyperlink"/>
          </w:rPr>
          <w:t>waitangitribunal.govt.nz/inquiries/kaupapa-inquiries/health-services-and-outcomes-inquiry/</w:t>
        </w:r>
      </w:hyperlink>
    </w:p>
  </w:footnote>
  <w:footnote w:id="69">
    <w:p w14:paraId="4418B898" w14:textId="32FD27B0" w:rsidR="008C677C" w:rsidRPr="0073291A" w:rsidRDefault="008C677C">
      <w:pPr>
        <w:pStyle w:val="FootnoteText"/>
        <w:rPr>
          <w:lang w:val="en-US"/>
        </w:rPr>
      </w:pPr>
      <w:r>
        <w:rPr>
          <w:rStyle w:val="FootnoteReference"/>
        </w:rPr>
        <w:footnoteRef/>
      </w:r>
      <w:r>
        <w:t xml:space="preserve"> </w:t>
      </w:r>
      <w:hyperlink r:id="rId24" w:history="1">
        <w:r w:rsidRPr="0073291A">
          <w:rPr>
            <w:rStyle w:val="Hyperlink"/>
          </w:rPr>
          <w:t>systemreview.health.govt.nz/</w:t>
        </w:r>
      </w:hyperlink>
    </w:p>
  </w:footnote>
  <w:footnote w:id="70">
    <w:p w14:paraId="3D17F278" w14:textId="6F4993CC" w:rsidR="008C677C" w:rsidRPr="0073291A" w:rsidRDefault="008C677C">
      <w:pPr>
        <w:pStyle w:val="FootnoteText"/>
        <w:rPr>
          <w:lang w:val="en-US"/>
        </w:rPr>
      </w:pPr>
      <w:r>
        <w:rPr>
          <w:rStyle w:val="FootnoteReference"/>
        </w:rPr>
        <w:footnoteRef/>
      </w:r>
      <w:r>
        <w:t xml:space="preserve"> </w:t>
      </w:r>
      <w:r w:rsidRPr="0073291A">
        <w:t>Payroll data was transferred from Manatū Haurora early July 2022. Headcount and demographic data excludes contractors and secondments from other agencies.</w:t>
      </w:r>
    </w:p>
  </w:footnote>
  <w:footnote w:id="71">
    <w:p w14:paraId="28ADD910" w14:textId="1F8029A3" w:rsidR="008C677C" w:rsidRPr="00D73979" w:rsidRDefault="008C677C">
      <w:pPr>
        <w:pStyle w:val="FootnoteText"/>
        <w:rPr>
          <w:lang w:val="en-US"/>
        </w:rPr>
      </w:pPr>
      <w:r>
        <w:rPr>
          <w:rStyle w:val="FootnoteReference"/>
        </w:rPr>
        <w:footnoteRef/>
      </w:r>
      <w:r>
        <w:t xml:space="preserve"> </w:t>
      </w:r>
      <w:hyperlink r:id="rId25" w:history="1">
        <w:r w:rsidRPr="00D73979">
          <w:rPr>
            <w:rStyle w:val="Hyperlink"/>
          </w:rPr>
          <w:t>www.mha.govt.nz/our-leadership/</w:t>
        </w:r>
      </w:hyperlink>
    </w:p>
  </w:footnote>
  <w:footnote w:id="72">
    <w:p w14:paraId="00CAD0F5" w14:textId="4B3E264A" w:rsidR="008C677C" w:rsidRPr="00D73979" w:rsidRDefault="008C677C">
      <w:pPr>
        <w:pStyle w:val="FootnoteText"/>
        <w:rPr>
          <w:lang w:val="en-US"/>
        </w:rPr>
      </w:pPr>
      <w:r>
        <w:rPr>
          <w:rStyle w:val="FootnoteReference"/>
        </w:rPr>
        <w:footnoteRef/>
      </w:r>
      <w:r>
        <w:t xml:space="preserve"> </w:t>
      </w:r>
      <w:hyperlink r:id="rId26" w:history="1">
        <w:r w:rsidRPr="00D73979">
          <w:rPr>
            <w:rStyle w:val="Hyperlink"/>
          </w:rPr>
          <w:t>www.mha.govt.nz/our-board/</w:t>
        </w:r>
      </w:hyperlink>
    </w:p>
  </w:footnote>
  <w:footnote w:id="73">
    <w:p w14:paraId="731CE8FB" w14:textId="58A3B16D" w:rsidR="008C677C" w:rsidRPr="008A439D" w:rsidRDefault="008C677C">
      <w:pPr>
        <w:pStyle w:val="FootnoteText"/>
        <w:rPr>
          <w:lang w:val="en-US"/>
        </w:rPr>
      </w:pPr>
      <w:r>
        <w:rPr>
          <w:rStyle w:val="FootnoteReference"/>
        </w:rPr>
        <w:footnoteRef/>
      </w:r>
      <w:r>
        <w:t xml:space="preserve"> </w:t>
      </w:r>
      <w:r w:rsidRPr="008A439D">
        <w:t xml:space="preserve">Te Aka Whai ora Establishment Plan </w:t>
      </w:r>
      <w:hyperlink r:id="rId27" w:history="1">
        <w:r w:rsidRPr="008A439D">
          <w:rPr>
            <w:rStyle w:val="Hyperlink"/>
          </w:rPr>
          <w:t>www.teakawhaiora.nz/our-work/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10"/>
      <w:gridCol w:w="4429"/>
    </w:tblGrid>
    <w:tr w:rsidR="008C677C" w14:paraId="11530A0D" w14:textId="77777777" w:rsidTr="008F2B72">
      <w:trPr>
        <w:cantSplit/>
      </w:trPr>
      <w:tc>
        <w:tcPr>
          <w:tcW w:w="5210" w:type="dxa"/>
          <w:vAlign w:val="center"/>
        </w:tcPr>
        <w:p w14:paraId="2BDE3162" w14:textId="4E67EED4" w:rsidR="008C677C" w:rsidRDefault="008C677C" w:rsidP="00B26F0F">
          <w:pPr>
            <w:pStyle w:val="Header"/>
          </w:pPr>
          <w:bookmarkStart w:id="0" w:name="_Hlk110933925"/>
          <w:r>
            <w:rPr>
              <w:noProof/>
              <w:lang w:eastAsia="en-NZ"/>
            </w:rPr>
            <w:drawing>
              <wp:inline distT="0" distB="0" distL="0" distR="0" wp14:anchorId="04421456" wp14:editId="0482E817">
                <wp:extent cx="2294626" cy="542925"/>
                <wp:effectExtent l="0" t="0" r="0" b="0"/>
                <wp:docPr id="1" name="Picture 1"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w Zealand Government logo"/>
                        <pic:cNvPicPr/>
                      </pic:nvPicPr>
                      <pic:blipFill rotWithShape="1">
                        <a:blip r:embed="rId1" cstate="print">
                          <a:extLst>
                            <a:ext uri="{28A0092B-C50C-407E-A947-70E740481C1C}">
                              <a14:useLocalDpi xmlns:a14="http://schemas.microsoft.com/office/drawing/2010/main" val="0"/>
                            </a:ext>
                          </a:extLst>
                        </a:blip>
                        <a:srcRect l="10400" t="16015" r="61171" b="13256"/>
                        <a:stretch/>
                      </pic:blipFill>
                      <pic:spPr bwMode="auto">
                        <a:xfrm>
                          <a:off x="0" y="0"/>
                          <a:ext cx="2294626" cy="542925"/>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06193D58" w14:textId="31929113" w:rsidR="008C677C" w:rsidRDefault="008C677C" w:rsidP="009A11E7">
          <w:pPr>
            <w:pStyle w:val="Header"/>
            <w:jc w:val="right"/>
          </w:pPr>
          <w:r>
            <w:rPr>
              <w:noProof/>
            </w:rPr>
            <w:drawing>
              <wp:anchor distT="0" distB="0" distL="114300" distR="114300" simplePos="0" relativeHeight="251658240" behindDoc="0" locked="0" layoutInCell="1" allowOverlap="1" wp14:anchorId="1D75C094" wp14:editId="461358A7">
                <wp:simplePos x="0" y="0"/>
                <wp:positionH relativeFrom="column">
                  <wp:posOffset>1362710</wp:posOffset>
                </wp:positionH>
                <wp:positionV relativeFrom="paragraph">
                  <wp:posOffset>-1905</wp:posOffset>
                </wp:positionV>
                <wp:extent cx="1519555" cy="718185"/>
                <wp:effectExtent l="0" t="0" r="4445" b="5715"/>
                <wp:wrapNone/>
                <wp:docPr id="4" name="Picture 4" descr="Ministry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nistry of Healt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9555" cy="718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0"/>
  </w:tbl>
  <w:p w14:paraId="4AC8EC99" w14:textId="60B721B1" w:rsidR="008C677C" w:rsidRDefault="008C677C">
    <w:pPr>
      <w:pStyle w:val="Header"/>
    </w:pPr>
  </w:p>
  <w:p w14:paraId="6C9464EE" w14:textId="13F0F24E" w:rsidR="008C677C" w:rsidRDefault="008C677C">
    <w:pPr>
      <w:pStyle w:val="Header"/>
    </w:pPr>
  </w:p>
  <w:p w14:paraId="1D8C46EC" w14:textId="29898222" w:rsidR="008C677C" w:rsidRDefault="008C677C">
    <w:pPr>
      <w:pStyle w:val="Header"/>
    </w:pPr>
  </w:p>
  <w:p w14:paraId="1B52273F" w14:textId="39B86E02" w:rsidR="008C677C" w:rsidRDefault="008C677C">
    <w:pPr>
      <w:pStyle w:val="Header"/>
    </w:pPr>
  </w:p>
  <w:p w14:paraId="73611F8F" w14:textId="7004B32C" w:rsidR="008C677C" w:rsidRDefault="008C677C">
    <w:pPr>
      <w:pStyle w:val="Header"/>
    </w:pPr>
  </w:p>
  <w:p w14:paraId="7F5A937F" w14:textId="50D95A5C" w:rsidR="008C677C" w:rsidRDefault="008C677C">
    <w:pPr>
      <w:pStyle w:val="Header"/>
    </w:pPr>
  </w:p>
  <w:p w14:paraId="3D6C5290" w14:textId="7FA841AA" w:rsidR="008C677C" w:rsidRDefault="008C677C">
    <w:pPr>
      <w:pStyle w:val="Header"/>
    </w:pPr>
  </w:p>
  <w:p w14:paraId="1A6194FE" w14:textId="6998AAED" w:rsidR="008C677C" w:rsidRDefault="008C677C" w:rsidP="00982F4D">
    <w:pPr>
      <w:jc w:val="right"/>
    </w:pPr>
    <w:r>
      <w:rPr>
        <w:noProof/>
      </w:rPr>
      <mc:AlternateContent>
        <mc:Choice Requires="wps">
          <w:drawing>
            <wp:anchor distT="0" distB="0" distL="114300" distR="114300" simplePos="0" relativeHeight="251661312" behindDoc="1" locked="0" layoutInCell="1" allowOverlap="1" wp14:anchorId="7F58760E" wp14:editId="1F0A4F80">
              <wp:simplePos x="0" y="0"/>
              <wp:positionH relativeFrom="page">
                <wp:posOffset>3983990</wp:posOffset>
              </wp:positionH>
              <wp:positionV relativeFrom="page">
                <wp:posOffset>9926320</wp:posOffset>
              </wp:positionV>
              <wp:extent cx="3091180" cy="21780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18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48053" w14:textId="77777777" w:rsidR="008C677C" w:rsidRDefault="008C677C" w:rsidP="00E83E35">
                          <w:pPr>
                            <w:tabs>
                              <w:tab w:val="left" w:pos="4808"/>
                            </w:tabs>
                            <w:spacing w:before="38"/>
                            <w:rPr>
                              <w:rFonts w:ascii="Arial" w:hAnsi="Arial"/>
                              <w:b/>
                              <w:sz w:val="20"/>
                            </w:rPr>
                          </w:pPr>
                          <w:r>
                            <w:rPr>
                              <w:rFonts w:ascii="Trebuchet MS" w:hAnsi="Trebuchet MS"/>
                              <w:color w:val="1E83A1"/>
                              <w:w w:val="110"/>
                              <w:sz w:val="19"/>
                            </w:rPr>
                            <w:t>Ministry</w:t>
                          </w:r>
                          <w:r>
                            <w:rPr>
                              <w:rFonts w:ascii="Trebuchet MS" w:hAnsi="Trebuchet MS"/>
                              <w:color w:val="1E83A1"/>
                              <w:spacing w:val="-4"/>
                              <w:w w:val="110"/>
                              <w:sz w:val="19"/>
                            </w:rPr>
                            <w:t xml:space="preserve"> </w:t>
                          </w:r>
                          <w:r>
                            <w:rPr>
                              <w:rFonts w:ascii="Trebuchet MS" w:hAnsi="Trebuchet MS"/>
                              <w:color w:val="1E83A1"/>
                              <w:w w:val="110"/>
                              <w:sz w:val="19"/>
                            </w:rPr>
                            <w:t>of</w:t>
                          </w:r>
                          <w:r>
                            <w:rPr>
                              <w:rFonts w:ascii="Trebuchet MS" w:hAnsi="Trebuchet MS"/>
                              <w:color w:val="1E83A1"/>
                              <w:spacing w:val="-3"/>
                              <w:w w:val="110"/>
                              <w:sz w:val="19"/>
                            </w:rPr>
                            <w:t xml:space="preserve"> </w:t>
                          </w:r>
                          <w:r>
                            <w:rPr>
                              <w:rFonts w:ascii="Trebuchet MS" w:hAnsi="Trebuchet MS"/>
                              <w:color w:val="1E83A1"/>
                              <w:w w:val="110"/>
                              <w:sz w:val="19"/>
                            </w:rPr>
                            <w:t>Health</w:t>
                          </w:r>
                          <w:r>
                            <w:rPr>
                              <w:rFonts w:ascii="Trebuchet MS" w:hAnsi="Trebuchet MS"/>
                              <w:color w:val="1E83A1"/>
                              <w:spacing w:val="-3"/>
                              <w:w w:val="110"/>
                              <w:sz w:val="19"/>
                            </w:rPr>
                            <w:t xml:space="preserve"> </w:t>
                          </w:r>
                          <w:r>
                            <w:rPr>
                              <w:rFonts w:ascii="Trebuchet MS" w:hAnsi="Trebuchet MS"/>
                              <w:color w:val="1E83A1"/>
                              <w:w w:val="110"/>
                              <w:sz w:val="19"/>
                            </w:rPr>
                            <w:t>–</w:t>
                          </w:r>
                          <w:r>
                            <w:rPr>
                              <w:rFonts w:ascii="Trebuchet MS" w:hAnsi="Trebuchet MS"/>
                              <w:color w:val="1E83A1"/>
                              <w:spacing w:val="-4"/>
                              <w:w w:val="110"/>
                              <w:sz w:val="19"/>
                            </w:rPr>
                            <w:t xml:space="preserve"> </w:t>
                          </w:r>
                          <w:r>
                            <w:rPr>
                              <w:rFonts w:ascii="Trebuchet MS" w:hAnsi="Trebuchet MS"/>
                              <w:color w:val="1E83A1"/>
                              <w:w w:val="110"/>
                              <w:sz w:val="19"/>
                            </w:rPr>
                            <w:t>2021/2022</w:t>
                          </w:r>
                          <w:r>
                            <w:rPr>
                              <w:rFonts w:ascii="Trebuchet MS" w:hAnsi="Trebuchet MS"/>
                              <w:color w:val="1E83A1"/>
                              <w:spacing w:val="-3"/>
                              <w:w w:val="110"/>
                              <w:sz w:val="19"/>
                            </w:rPr>
                            <w:t xml:space="preserve"> </w:t>
                          </w:r>
                          <w:r>
                            <w:rPr>
                              <w:rFonts w:ascii="Trebuchet MS" w:hAnsi="Trebuchet MS"/>
                              <w:color w:val="1E83A1"/>
                              <w:w w:val="110"/>
                              <w:sz w:val="19"/>
                            </w:rPr>
                            <w:t>Annual</w:t>
                          </w:r>
                          <w:r>
                            <w:rPr>
                              <w:rFonts w:ascii="Trebuchet MS" w:hAnsi="Trebuchet MS"/>
                              <w:color w:val="1E83A1"/>
                              <w:spacing w:val="-3"/>
                              <w:w w:val="110"/>
                              <w:sz w:val="19"/>
                            </w:rPr>
                            <w:t xml:space="preserve"> </w:t>
                          </w:r>
                          <w:r>
                            <w:rPr>
                              <w:rFonts w:ascii="Trebuchet MS" w:hAnsi="Trebuchet MS"/>
                              <w:color w:val="1E83A1"/>
                              <w:w w:val="110"/>
                              <w:sz w:val="19"/>
                            </w:rPr>
                            <w:t>Report</w:t>
                          </w:r>
                          <w:r>
                            <w:rPr>
                              <w:rFonts w:ascii="Trebuchet MS" w:hAnsi="Trebuchet MS"/>
                              <w:color w:val="1E83A1"/>
                              <w:w w:val="110"/>
                              <w:sz w:val="19"/>
                            </w:rPr>
                            <w:tab/>
                          </w:r>
                          <w:r>
                            <w:rPr>
                              <w:rFonts w:ascii="Arial" w:hAnsi="Arial"/>
                              <w:b/>
                              <w:spacing w:val="-11"/>
                              <w:w w:val="115"/>
                              <w:sz w:val="20"/>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8760E" id="_x0000_t202" coordsize="21600,21600" o:spt="202" path="m,l,21600r21600,l21600,xe">
              <v:stroke joinstyle="miter"/>
              <v:path gradientshapeok="t" o:connecttype="rect"/>
            </v:shapetype>
            <v:shape id="Text Box 6" o:spid="_x0000_s1026" type="#_x0000_t202" style="position:absolute;left:0;text-align:left;margin-left:313.7pt;margin-top:781.6pt;width:243.4pt;height:17.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" filled="f" stroked="f">
              <v:textbox inset="0,0,0,0">
                <w:txbxContent>
                  <w:p w14:paraId="03248053" w14:textId="77777777" w:rsidR="008C677C" w:rsidRDefault="008C677C" w:rsidP="00E83E35">
                    <w:pPr>
                      <w:tabs>
                        <w:tab w:val="left" w:pos="4808"/>
                      </w:tabs>
                      <w:spacing w:before="38"/>
                      <w:rPr>
                        <w:rFonts w:ascii="Arial" w:hAnsi="Arial"/>
                        <w:b/>
                        <w:sz w:val="20"/>
                      </w:rPr>
                    </w:pPr>
                    <w:r>
                      <w:rPr>
                        <w:rFonts w:ascii="Trebuchet MS" w:hAnsi="Trebuchet MS"/>
                        <w:color w:val="1E83A1"/>
                        <w:w w:val="110"/>
                        <w:sz w:val="19"/>
                      </w:rPr>
                      <w:t>Ministry</w:t>
                    </w:r>
                    <w:r>
                      <w:rPr>
                        <w:rFonts w:ascii="Trebuchet MS" w:hAnsi="Trebuchet MS"/>
                        <w:color w:val="1E83A1"/>
                        <w:spacing w:val="-4"/>
                        <w:w w:val="110"/>
                        <w:sz w:val="19"/>
                      </w:rPr>
                      <w:t xml:space="preserve"> </w:t>
                    </w:r>
                    <w:r>
                      <w:rPr>
                        <w:rFonts w:ascii="Trebuchet MS" w:hAnsi="Trebuchet MS"/>
                        <w:color w:val="1E83A1"/>
                        <w:w w:val="110"/>
                        <w:sz w:val="19"/>
                      </w:rPr>
                      <w:t>of</w:t>
                    </w:r>
                    <w:r>
                      <w:rPr>
                        <w:rFonts w:ascii="Trebuchet MS" w:hAnsi="Trebuchet MS"/>
                        <w:color w:val="1E83A1"/>
                        <w:spacing w:val="-3"/>
                        <w:w w:val="110"/>
                        <w:sz w:val="19"/>
                      </w:rPr>
                      <w:t xml:space="preserve"> </w:t>
                    </w:r>
                    <w:r>
                      <w:rPr>
                        <w:rFonts w:ascii="Trebuchet MS" w:hAnsi="Trebuchet MS"/>
                        <w:color w:val="1E83A1"/>
                        <w:w w:val="110"/>
                        <w:sz w:val="19"/>
                      </w:rPr>
                      <w:t>Health</w:t>
                    </w:r>
                    <w:r>
                      <w:rPr>
                        <w:rFonts w:ascii="Trebuchet MS" w:hAnsi="Trebuchet MS"/>
                        <w:color w:val="1E83A1"/>
                        <w:spacing w:val="-3"/>
                        <w:w w:val="110"/>
                        <w:sz w:val="19"/>
                      </w:rPr>
                      <w:t xml:space="preserve"> </w:t>
                    </w:r>
                    <w:r>
                      <w:rPr>
                        <w:rFonts w:ascii="Trebuchet MS" w:hAnsi="Trebuchet MS"/>
                        <w:color w:val="1E83A1"/>
                        <w:w w:val="110"/>
                        <w:sz w:val="19"/>
                      </w:rPr>
                      <w:t>–</w:t>
                    </w:r>
                    <w:r>
                      <w:rPr>
                        <w:rFonts w:ascii="Trebuchet MS" w:hAnsi="Trebuchet MS"/>
                        <w:color w:val="1E83A1"/>
                        <w:spacing w:val="-4"/>
                        <w:w w:val="110"/>
                        <w:sz w:val="19"/>
                      </w:rPr>
                      <w:t xml:space="preserve"> </w:t>
                    </w:r>
                    <w:r>
                      <w:rPr>
                        <w:rFonts w:ascii="Trebuchet MS" w:hAnsi="Trebuchet MS"/>
                        <w:color w:val="1E83A1"/>
                        <w:w w:val="110"/>
                        <w:sz w:val="19"/>
                      </w:rPr>
                      <w:t>2021/2022</w:t>
                    </w:r>
                    <w:r>
                      <w:rPr>
                        <w:rFonts w:ascii="Trebuchet MS" w:hAnsi="Trebuchet MS"/>
                        <w:color w:val="1E83A1"/>
                        <w:spacing w:val="-3"/>
                        <w:w w:val="110"/>
                        <w:sz w:val="19"/>
                      </w:rPr>
                      <w:t xml:space="preserve"> </w:t>
                    </w:r>
                    <w:r>
                      <w:rPr>
                        <w:rFonts w:ascii="Trebuchet MS" w:hAnsi="Trebuchet MS"/>
                        <w:color w:val="1E83A1"/>
                        <w:w w:val="110"/>
                        <w:sz w:val="19"/>
                      </w:rPr>
                      <w:t>Annual</w:t>
                    </w:r>
                    <w:r>
                      <w:rPr>
                        <w:rFonts w:ascii="Trebuchet MS" w:hAnsi="Trebuchet MS"/>
                        <w:color w:val="1E83A1"/>
                        <w:spacing w:val="-3"/>
                        <w:w w:val="110"/>
                        <w:sz w:val="19"/>
                      </w:rPr>
                      <w:t xml:space="preserve"> </w:t>
                    </w:r>
                    <w:r>
                      <w:rPr>
                        <w:rFonts w:ascii="Trebuchet MS" w:hAnsi="Trebuchet MS"/>
                        <w:color w:val="1E83A1"/>
                        <w:w w:val="110"/>
                        <w:sz w:val="19"/>
                      </w:rPr>
                      <w:t>Report</w:t>
                    </w:r>
                    <w:r>
                      <w:rPr>
                        <w:rFonts w:ascii="Trebuchet MS" w:hAnsi="Trebuchet MS"/>
                        <w:color w:val="1E83A1"/>
                        <w:w w:val="110"/>
                        <w:sz w:val="19"/>
                      </w:rPr>
                      <w:tab/>
                    </w:r>
                    <w:r>
                      <w:rPr>
                        <w:rFonts w:ascii="Arial" w:hAnsi="Arial"/>
                        <w:b/>
                        <w:spacing w:val="-11"/>
                        <w:w w:val="115"/>
                        <w:sz w:val="20"/>
                      </w:rPr>
                      <w:t>I</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7FB5F928" wp14:editId="4B020A33">
              <wp:simplePos x="0" y="0"/>
              <wp:positionH relativeFrom="page">
                <wp:posOffset>0</wp:posOffset>
              </wp:positionH>
              <wp:positionV relativeFrom="page">
                <wp:posOffset>9588500</wp:posOffset>
              </wp:positionV>
              <wp:extent cx="7560310" cy="923925"/>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B5A7A" id="Rectangle 5" o:spid="_x0000_s1026" alt="&quot;&quot;" style="position:absolute;margin-left:0;margin-top:755pt;width:595.3pt;height:7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" stroked="f">
              <w10:wrap anchorx="page" anchory="page"/>
            </v:rect>
          </w:pict>
        </mc:Fallback>
      </mc:AlternateContent>
    </w:r>
    <w:r>
      <w:t>E.10</w:t>
    </w:r>
    <w:r>
      <w:rPr>
        <w:spacing w:val="-11"/>
      </w:rPr>
      <w:t xml:space="preserve"> </w:t>
    </w:r>
    <w:r>
      <w:t>AR</w:t>
    </w:r>
    <w:r>
      <w:rPr>
        <w:spacing w:val="-11"/>
      </w:rPr>
      <w:t xml:space="preserve"> </w:t>
    </w:r>
    <w:r>
      <w:t>(2021/2022)</w:t>
    </w:r>
  </w:p>
  <w:p w14:paraId="74EC116A" w14:textId="77777777" w:rsidR="008C677C" w:rsidRDefault="008C67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5B58" w14:textId="77777777" w:rsidR="008C677C" w:rsidRDefault="008C677C"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F34B1" w14:textId="77777777" w:rsidR="008C677C" w:rsidRDefault="008C677C" w:rsidP="009001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22E4F" w14:textId="77777777" w:rsidR="008C677C" w:rsidRDefault="008C677C" w:rsidP="00533B9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117B0" w14:textId="77777777" w:rsidR="008C677C" w:rsidRDefault="008C677C" w:rsidP="0090019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EC00" w14:textId="77777777" w:rsidR="008C677C" w:rsidRDefault="008C67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1" w15:restartNumberingAfterBreak="0">
    <w:nsid w:val="23DC7796"/>
    <w:multiLevelType w:val="multilevel"/>
    <w:tmpl w:val="AA02A84A"/>
    <w:lvl w:ilvl="0">
      <w:start w:val="1"/>
      <w:numFmt w:val="decimal"/>
      <w:pStyle w:val="Number"/>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C881BF5"/>
    <w:multiLevelType w:val="hybridMultilevel"/>
    <w:tmpl w:val="A9A6B7F0"/>
    <w:lvl w:ilvl="0" w:tplc="15CA43D4">
      <w:start w:val="1"/>
      <w:numFmt w:val="bullet"/>
      <w:pStyle w:val="Bullet3"/>
      <w:lvlText w:val="•"/>
      <w:lvlJc w:val="left"/>
      <w:pPr>
        <w:ind w:left="720" w:hanging="360"/>
      </w:pPr>
      <w:rPr>
        <w:rFonts w:ascii="Lucida Sans Unicode" w:eastAsia="Lucida Sans Unicode" w:hAnsi="Lucida Sans Unicode" w:hint="default"/>
        <w:w w:val="59"/>
        <w:sz w:val="21"/>
        <w:szCs w:val="2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3679E4"/>
    <w:multiLevelType w:val="hybridMultilevel"/>
    <w:tmpl w:val="E9948E4A"/>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CA71F78"/>
    <w:multiLevelType w:val="hybridMultilevel"/>
    <w:tmpl w:val="A150E534"/>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AC98E85E">
      <w:start w:val="1"/>
      <w:numFmt w:val="bullet"/>
      <w:lvlText w:val="·"/>
      <w:lvlJc w:val="left"/>
      <w:pPr>
        <w:ind w:left="1644" w:hanging="564"/>
      </w:pPr>
      <w:rPr>
        <w:rFonts w:ascii="Segoe UI" w:eastAsia="Arial Unicode MS" w:hAnsi="Segoe UI" w:cs="Segoe U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1218D3"/>
    <w:multiLevelType w:val="singleLevel"/>
    <w:tmpl w:val="B224B1E2"/>
    <w:lvl w:ilvl="0">
      <w:start w:val="1"/>
      <w:numFmt w:val="bullet"/>
      <w:pStyle w:val="Bullet"/>
      <w:lvlText w:val=""/>
      <w:lvlJc w:val="left"/>
      <w:pPr>
        <w:tabs>
          <w:tab w:val="num" w:pos="284"/>
        </w:tabs>
        <w:ind w:left="284" w:hanging="284"/>
      </w:pPr>
      <w:rPr>
        <w:rFonts w:ascii="Symbol" w:hAnsi="Symbol" w:hint="default"/>
        <w:sz w:val="18"/>
      </w:rPr>
    </w:lvl>
  </w:abstractNum>
  <w:num w:numId="1">
    <w:abstractNumId w:val="6"/>
  </w:num>
  <w:num w:numId="2">
    <w:abstractNumId w:val="4"/>
  </w:num>
  <w:num w:numId="3">
    <w:abstractNumId w:val="5"/>
  </w:num>
  <w:num w:numId="4">
    <w:abstractNumId w:val="0"/>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05FD3"/>
    <w:rsid w:val="00010362"/>
    <w:rsid w:val="00011F5B"/>
    <w:rsid w:val="000174A8"/>
    <w:rsid w:val="000210F5"/>
    <w:rsid w:val="00025A6F"/>
    <w:rsid w:val="0002618D"/>
    <w:rsid w:val="00030B26"/>
    <w:rsid w:val="00030E84"/>
    <w:rsid w:val="00032C0A"/>
    <w:rsid w:val="00035257"/>
    <w:rsid w:val="00035D68"/>
    <w:rsid w:val="0004602B"/>
    <w:rsid w:val="00054B44"/>
    <w:rsid w:val="0006228D"/>
    <w:rsid w:val="0007274A"/>
    <w:rsid w:val="00072BD6"/>
    <w:rsid w:val="00075B78"/>
    <w:rsid w:val="000763E9"/>
    <w:rsid w:val="00082CD6"/>
    <w:rsid w:val="0008437D"/>
    <w:rsid w:val="00085AFE"/>
    <w:rsid w:val="00090FEB"/>
    <w:rsid w:val="000920AF"/>
    <w:rsid w:val="00093821"/>
    <w:rsid w:val="00094800"/>
    <w:rsid w:val="000A225D"/>
    <w:rsid w:val="000A41ED"/>
    <w:rsid w:val="000B0730"/>
    <w:rsid w:val="000B0F72"/>
    <w:rsid w:val="000B662E"/>
    <w:rsid w:val="000D19F4"/>
    <w:rsid w:val="000D58DD"/>
    <w:rsid w:val="000E4B0D"/>
    <w:rsid w:val="000F0AE5"/>
    <w:rsid w:val="000F2AE2"/>
    <w:rsid w:val="000F2BFF"/>
    <w:rsid w:val="000F75CC"/>
    <w:rsid w:val="001012E2"/>
    <w:rsid w:val="00102063"/>
    <w:rsid w:val="0010541C"/>
    <w:rsid w:val="00106D16"/>
    <w:rsid w:val="00106F93"/>
    <w:rsid w:val="00111D50"/>
    <w:rsid w:val="00113B8E"/>
    <w:rsid w:val="00117D5E"/>
    <w:rsid w:val="00117E78"/>
    <w:rsid w:val="0012053C"/>
    <w:rsid w:val="00122363"/>
    <w:rsid w:val="001264D2"/>
    <w:rsid w:val="001330C6"/>
    <w:rsid w:val="0013320C"/>
    <w:rsid w:val="00133FDE"/>
    <w:rsid w:val="001342C7"/>
    <w:rsid w:val="00134318"/>
    <w:rsid w:val="0013585C"/>
    <w:rsid w:val="00142261"/>
    <w:rsid w:val="00142954"/>
    <w:rsid w:val="001460E0"/>
    <w:rsid w:val="001472F0"/>
    <w:rsid w:val="00147F71"/>
    <w:rsid w:val="00150A6E"/>
    <w:rsid w:val="0016304B"/>
    <w:rsid w:val="0016468A"/>
    <w:rsid w:val="0017021F"/>
    <w:rsid w:val="00171EFF"/>
    <w:rsid w:val="001755DD"/>
    <w:rsid w:val="00175A9D"/>
    <w:rsid w:val="0018662D"/>
    <w:rsid w:val="001913C6"/>
    <w:rsid w:val="00191F23"/>
    <w:rsid w:val="00195A03"/>
    <w:rsid w:val="00197427"/>
    <w:rsid w:val="001A21B4"/>
    <w:rsid w:val="001A5CF5"/>
    <w:rsid w:val="001B39D2"/>
    <w:rsid w:val="001B4BF8"/>
    <w:rsid w:val="001C1C81"/>
    <w:rsid w:val="001C4326"/>
    <w:rsid w:val="001C665E"/>
    <w:rsid w:val="001D0A8A"/>
    <w:rsid w:val="001D3541"/>
    <w:rsid w:val="001D3E4E"/>
    <w:rsid w:val="001E254A"/>
    <w:rsid w:val="001E7386"/>
    <w:rsid w:val="001F317C"/>
    <w:rsid w:val="001F45A7"/>
    <w:rsid w:val="00201A01"/>
    <w:rsid w:val="0020754B"/>
    <w:rsid w:val="002104D3"/>
    <w:rsid w:val="00213A33"/>
    <w:rsid w:val="00216075"/>
    <w:rsid w:val="00216308"/>
    <w:rsid w:val="0021763B"/>
    <w:rsid w:val="00223078"/>
    <w:rsid w:val="00237A9E"/>
    <w:rsid w:val="0024046E"/>
    <w:rsid w:val="00242FC8"/>
    <w:rsid w:val="00246DB1"/>
    <w:rsid w:val="002476B5"/>
    <w:rsid w:val="002520CC"/>
    <w:rsid w:val="00253ECF"/>
    <w:rsid w:val="002546A1"/>
    <w:rsid w:val="002628F4"/>
    <w:rsid w:val="00270A9C"/>
    <w:rsid w:val="00275D08"/>
    <w:rsid w:val="002761D3"/>
    <w:rsid w:val="002858E3"/>
    <w:rsid w:val="00286A2A"/>
    <w:rsid w:val="002918A6"/>
    <w:rsid w:val="0029190A"/>
    <w:rsid w:val="00292C5A"/>
    <w:rsid w:val="00295241"/>
    <w:rsid w:val="002A4DFC"/>
    <w:rsid w:val="002B047D"/>
    <w:rsid w:val="002B732B"/>
    <w:rsid w:val="002B76A7"/>
    <w:rsid w:val="002B7AA3"/>
    <w:rsid w:val="002C1551"/>
    <w:rsid w:val="002C2219"/>
    <w:rsid w:val="002C2552"/>
    <w:rsid w:val="002C380A"/>
    <w:rsid w:val="002D0DF2"/>
    <w:rsid w:val="002D23BD"/>
    <w:rsid w:val="002E03C2"/>
    <w:rsid w:val="002E0B47"/>
    <w:rsid w:val="002E2A9A"/>
    <w:rsid w:val="002F4685"/>
    <w:rsid w:val="002F7213"/>
    <w:rsid w:val="0030382F"/>
    <w:rsid w:val="0030408D"/>
    <w:rsid w:val="003060E4"/>
    <w:rsid w:val="003160E7"/>
    <w:rsid w:val="0031739E"/>
    <w:rsid w:val="00320670"/>
    <w:rsid w:val="0033090A"/>
    <w:rsid w:val="003309CA"/>
    <w:rsid w:val="003325AB"/>
    <w:rsid w:val="003332D1"/>
    <w:rsid w:val="0033412B"/>
    <w:rsid w:val="0033583E"/>
    <w:rsid w:val="00341161"/>
    <w:rsid w:val="00343365"/>
    <w:rsid w:val="003445F4"/>
    <w:rsid w:val="00347058"/>
    <w:rsid w:val="003512F7"/>
    <w:rsid w:val="00353501"/>
    <w:rsid w:val="00353734"/>
    <w:rsid w:val="00354135"/>
    <w:rsid w:val="00354885"/>
    <w:rsid w:val="003606F8"/>
    <w:rsid w:val="003648EF"/>
    <w:rsid w:val="003673E6"/>
    <w:rsid w:val="00371A1E"/>
    <w:rsid w:val="003722C6"/>
    <w:rsid w:val="00377264"/>
    <w:rsid w:val="003779D2"/>
    <w:rsid w:val="00385E38"/>
    <w:rsid w:val="003962F7"/>
    <w:rsid w:val="00397A1B"/>
    <w:rsid w:val="003A26A5"/>
    <w:rsid w:val="003A3761"/>
    <w:rsid w:val="003A512D"/>
    <w:rsid w:val="003A5FEA"/>
    <w:rsid w:val="003A638E"/>
    <w:rsid w:val="003B1D10"/>
    <w:rsid w:val="003C76D4"/>
    <w:rsid w:val="003D137D"/>
    <w:rsid w:val="003D2CC5"/>
    <w:rsid w:val="003E04C1"/>
    <w:rsid w:val="003E07B9"/>
    <w:rsid w:val="003E0887"/>
    <w:rsid w:val="003E61A2"/>
    <w:rsid w:val="003E74C8"/>
    <w:rsid w:val="003E7C46"/>
    <w:rsid w:val="003F03F5"/>
    <w:rsid w:val="003F2106"/>
    <w:rsid w:val="003F52A7"/>
    <w:rsid w:val="003F7013"/>
    <w:rsid w:val="00400D5D"/>
    <w:rsid w:val="0040240C"/>
    <w:rsid w:val="00404DAD"/>
    <w:rsid w:val="00406B11"/>
    <w:rsid w:val="00413021"/>
    <w:rsid w:val="004301C6"/>
    <w:rsid w:val="0043478F"/>
    <w:rsid w:val="0043602B"/>
    <w:rsid w:val="00440BE0"/>
    <w:rsid w:val="00442C1C"/>
    <w:rsid w:val="0044584B"/>
    <w:rsid w:val="00447157"/>
    <w:rsid w:val="00447CB7"/>
    <w:rsid w:val="0045225C"/>
    <w:rsid w:val="00453DB4"/>
    <w:rsid w:val="00455CC9"/>
    <w:rsid w:val="00460826"/>
    <w:rsid w:val="00460EA7"/>
    <w:rsid w:val="0046195B"/>
    <w:rsid w:val="0046362D"/>
    <w:rsid w:val="00464B95"/>
    <w:rsid w:val="00464CDA"/>
    <w:rsid w:val="0046596D"/>
    <w:rsid w:val="00487C04"/>
    <w:rsid w:val="00490643"/>
    <w:rsid w:val="004907E1"/>
    <w:rsid w:val="004908AC"/>
    <w:rsid w:val="00493694"/>
    <w:rsid w:val="004A035B"/>
    <w:rsid w:val="004A2108"/>
    <w:rsid w:val="004A25CE"/>
    <w:rsid w:val="004A38D7"/>
    <w:rsid w:val="004A778C"/>
    <w:rsid w:val="004B4331"/>
    <w:rsid w:val="004B48C7"/>
    <w:rsid w:val="004B6F1D"/>
    <w:rsid w:val="004C12AB"/>
    <w:rsid w:val="004C2BFC"/>
    <w:rsid w:val="004C2E6A"/>
    <w:rsid w:val="004C507E"/>
    <w:rsid w:val="004C64B8"/>
    <w:rsid w:val="004D239B"/>
    <w:rsid w:val="004D2A2D"/>
    <w:rsid w:val="004D3D52"/>
    <w:rsid w:val="004D479F"/>
    <w:rsid w:val="004D6689"/>
    <w:rsid w:val="004D6EC2"/>
    <w:rsid w:val="004E0D94"/>
    <w:rsid w:val="004E1D1D"/>
    <w:rsid w:val="004E663F"/>
    <w:rsid w:val="004E7AC8"/>
    <w:rsid w:val="004F0C94"/>
    <w:rsid w:val="004F1A48"/>
    <w:rsid w:val="005019AE"/>
    <w:rsid w:val="00503749"/>
    <w:rsid w:val="00504CF4"/>
    <w:rsid w:val="0050635B"/>
    <w:rsid w:val="00511291"/>
    <w:rsid w:val="005151C2"/>
    <w:rsid w:val="0053199F"/>
    <w:rsid w:val="00531E12"/>
    <w:rsid w:val="005337DD"/>
    <w:rsid w:val="00533B90"/>
    <w:rsid w:val="005410F8"/>
    <w:rsid w:val="005448EC"/>
    <w:rsid w:val="00545936"/>
    <w:rsid w:val="00545963"/>
    <w:rsid w:val="00550256"/>
    <w:rsid w:val="00552CB4"/>
    <w:rsid w:val="00553165"/>
    <w:rsid w:val="00553958"/>
    <w:rsid w:val="00556BB7"/>
    <w:rsid w:val="0055763D"/>
    <w:rsid w:val="00561516"/>
    <w:rsid w:val="005621F2"/>
    <w:rsid w:val="00563085"/>
    <w:rsid w:val="005665FD"/>
    <w:rsid w:val="00567B58"/>
    <w:rsid w:val="00571223"/>
    <w:rsid w:val="00571CF7"/>
    <w:rsid w:val="005763E0"/>
    <w:rsid w:val="00581136"/>
    <w:rsid w:val="005817D2"/>
    <w:rsid w:val="00581EB8"/>
    <w:rsid w:val="00586EB1"/>
    <w:rsid w:val="005971CB"/>
    <w:rsid w:val="005A27CA"/>
    <w:rsid w:val="005A43BD"/>
    <w:rsid w:val="005A79E5"/>
    <w:rsid w:val="005B0CD9"/>
    <w:rsid w:val="005B40A3"/>
    <w:rsid w:val="005D034C"/>
    <w:rsid w:val="005E1B2F"/>
    <w:rsid w:val="005E226E"/>
    <w:rsid w:val="005E2636"/>
    <w:rsid w:val="005F77FC"/>
    <w:rsid w:val="006004DF"/>
    <w:rsid w:val="00600AD4"/>
    <w:rsid w:val="00600BB9"/>
    <w:rsid w:val="006015D7"/>
    <w:rsid w:val="00601B21"/>
    <w:rsid w:val="006041F0"/>
    <w:rsid w:val="00605C6D"/>
    <w:rsid w:val="006120CA"/>
    <w:rsid w:val="00624174"/>
    <w:rsid w:val="00626CF8"/>
    <w:rsid w:val="006277B3"/>
    <w:rsid w:val="006314AF"/>
    <w:rsid w:val="00634C79"/>
    <w:rsid w:val="00634ED8"/>
    <w:rsid w:val="00636D7D"/>
    <w:rsid w:val="00637408"/>
    <w:rsid w:val="00642868"/>
    <w:rsid w:val="00647AFE"/>
    <w:rsid w:val="006512BC"/>
    <w:rsid w:val="00651CC6"/>
    <w:rsid w:val="00653A5A"/>
    <w:rsid w:val="00654732"/>
    <w:rsid w:val="006554AC"/>
    <w:rsid w:val="006575F4"/>
    <w:rsid w:val="006579E6"/>
    <w:rsid w:val="00657C51"/>
    <w:rsid w:val="00657DD8"/>
    <w:rsid w:val="00660682"/>
    <w:rsid w:val="00660F74"/>
    <w:rsid w:val="00663EDC"/>
    <w:rsid w:val="0066594A"/>
    <w:rsid w:val="00667E20"/>
    <w:rsid w:val="006702BA"/>
    <w:rsid w:val="00671078"/>
    <w:rsid w:val="00673D8A"/>
    <w:rsid w:val="006758CA"/>
    <w:rsid w:val="0067720E"/>
    <w:rsid w:val="00680A04"/>
    <w:rsid w:val="00682EB3"/>
    <w:rsid w:val="00686D80"/>
    <w:rsid w:val="00694895"/>
    <w:rsid w:val="00694A80"/>
    <w:rsid w:val="00695513"/>
    <w:rsid w:val="00697E2E"/>
    <w:rsid w:val="006A0B4A"/>
    <w:rsid w:val="006A19AA"/>
    <w:rsid w:val="006A25A2"/>
    <w:rsid w:val="006A2BE7"/>
    <w:rsid w:val="006A3B87"/>
    <w:rsid w:val="006A4A70"/>
    <w:rsid w:val="006B0E73"/>
    <w:rsid w:val="006B1E3D"/>
    <w:rsid w:val="006B4A4D"/>
    <w:rsid w:val="006B5601"/>
    <w:rsid w:val="006B5695"/>
    <w:rsid w:val="006B7B2E"/>
    <w:rsid w:val="006C02DB"/>
    <w:rsid w:val="006C6773"/>
    <w:rsid w:val="006C78EB"/>
    <w:rsid w:val="006D1660"/>
    <w:rsid w:val="006D63E5"/>
    <w:rsid w:val="006E1753"/>
    <w:rsid w:val="006E1D11"/>
    <w:rsid w:val="006E3911"/>
    <w:rsid w:val="006F12E6"/>
    <w:rsid w:val="006F1B67"/>
    <w:rsid w:val="006F4827"/>
    <w:rsid w:val="006F4D9C"/>
    <w:rsid w:val="0070091D"/>
    <w:rsid w:val="00702854"/>
    <w:rsid w:val="0071026A"/>
    <w:rsid w:val="0071741C"/>
    <w:rsid w:val="0073291A"/>
    <w:rsid w:val="00742B90"/>
    <w:rsid w:val="0074434D"/>
    <w:rsid w:val="00747497"/>
    <w:rsid w:val="007476C2"/>
    <w:rsid w:val="0075217A"/>
    <w:rsid w:val="007570C4"/>
    <w:rsid w:val="007605B8"/>
    <w:rsid w:val="00771B1E"/>
    <w:rsid w:val="00773C95"/>
    <w:rsid w:val="007755E3"/>
    <w:rsid w:val="007771E2"/>
    <w:rsid w:val="0078171E"/>
    <w:rsid w:val="00782804"/>
    <w:rsid w:val="0078658E"/>
    <w:rsid w:val="00791102"/>
    <w:rsid w:val="007920E2"/>
    <w:rsid w:val="007924C7"/>
    <w:rsid w:val="0079566E"/>
    <w:rsid w:val="00795B34"/>
    <w:rsid w:val="00795BE0"/>
    <w:rsid w:val="007A067F"/>
    <w:rsid w:val="007A73B0"/>
    <w:rsid w:val="007B024A"/>
    <w:rsid w:val="007B1770"/>
    <w:rsid w:val="007B4D3E"/>
    <w:rsid w:val="007B7C70"/>
    <w:rsid w:val="007B7DEB"/>
    <w:rsid w:val="007C0449"/>
    <w:rsid w:val="007C58EB"/>
    <w:rsid w:val="007D2151"/>
    <w:rsid w:val="007D3B90"/>
    <w:rsid w:val="007D42CC"/>
    <w:rsid w:val="007D5DE4"/>
    <w:rsid w:val="007D7C3A"/>
    <w:rsid w:val="007E0777"/>
    <w:rsid w:val="007E1341"/>
    <w:rsid w:val="007E1B41"/>
    <w:rsid w:val="007E1EC4"/>
    <w:rsid w:val="007E30B9"/>
    <w:rsid w:val="007E74F1"/>
    <w:rsid w:val="007F0F0C"/>
    <w:rsid w:val="007F1288"/>
    <w:rsid w:val="007F1DDB"/>
    <w:rsid w:val="007F3D00"/>
    <w:rsid w:val="007F7BA2"/>
    <w:rsid w:val="00800A8A"/>
    <w:rsid w:val="0080155C"/>
    <w:rsid w:val="008052E1"/>
    <w:rsid w:val="00811D2A"/>
    <w:rsid w:val="00813662"/>
    <w:rsid w:val="008173E0"/>
    <w:rsid w:val="00817ABF"/>
    <w:rsid w:val="0082211E"/>
    <w:rsid w:val="00822F2C"/>
    <w:rsid w:val="00823DEE"/>
    <w:rsid w:val="00830218"/>
    <w:rsid w:val="008305E8"/>
    <w:rsid w:val="00836165"/>
    <w:rsid w:val="00836420"/>
    <w:rsid w:val="00836AFD"/>
    <w:rsid w:val="0084640C"/>
    <w:rsid w:val="00851B45"/>
    <w:rsid w:val="00856088"/>
    <w:rsid w:val="00860826"/>
    <w:rsid w:val="00860E21"/>
    <w:rsid w:val="00863117"/>
    <w:rsid w:val="008636C1"/>
    <w:rsid w:val="0086388B"/>
    <w:rsid w:val="008642E5"/>
    <w:rsid w:val="00864488"/>
    <w:rsid w:val="00870A36"/>
    <w:rsid w:val="00871C9D"/>
    <w:rsid w:val="00872D93"/>
    <w:rsid w:val="00873222"/>
    <w:rsid w:val="008762C7"/>
    <w:rsid w:val="008803C1"/>
    <w:rsid w:val="00880470"/>
    <w:rsid w:val="00880D94"/>
    <w:rsid w:val="00886F64"/>
    <w:rsid w:val="008924DE"/>
    <w:rsid w:val="008A3755"/>
    <w:rsid w:val="008A439D"/>
    <w:rsid w:val="008A7C67"/>
    <w:rsid w:val="008B19DC"/>
    <w:rsid w:val="008B264F"/>
    <w:rsid w:val="008B4723"/>
    <w:rsid w:val="008B6F83"/>
    <w:rsid w:val="008B7FD8"/>
    <w:rsid w:val="008C1108"/>
    <w:rsid w:val="008C2973"/>
    <w:rsid w:val="008C6324"/>
    <w:rsid w:val="008C64C4"/>
    <w:rsid w:val="008C677C"/>
    <w:rsid w:val="008D03E5"/>
    <w:rsid w:val="008D2CDD"/>
    <w:rsid w:val="008D74D5"/>
    <w:rsid w:val="008E0ED1"/>
    <w:rsid w:val="008E3A07"/>
    <w:rsid w:val="008E537B"/>
    <w:rsid w:val="008F0376"/>
    <w:rsid w:val="008F29BE"/>
    <w:rsid w:val="008F2B72"/>
    <w:rsid w:val="008F4AE5"/>
    <w:rsid w:val="008F51EB"/>
    <w:rsid w:val="008F524E"/>
    <w:rsid w:val="008F58C2"/>
    <w:rsid w:val="008F690E"/>
    <w:rsid w:val="00900197"/>
    <w:rsid w:val="00901AC1"/>
    <w:rsid w:val="00902F55"/>
    <w:rsid w:val="0090582B"/>
    <w:rsid w:val="009060C0"/>
    <w:rsid w:val="009114A2"/>
    <w:rsid w:val="009133F5"/>
    <w:rsid w:val="009163D8"/>
    <w:rsid w:val="0091756F"/>
    <w:rsid w:val="00920A27"/>
    <w:rsid w:val="00921216"/>
    <w:rsid w:val="009216CC"/>
    <w:rsid w:val="00926083"/>
    <w:rsid w:val="00926BF8"/>
    <w:rsid w:val="00930D08"/>
    <w:rsid w:val="00931466"/>
    <w:rsid w:val="00932D69"/>
    <w:rsid w:val="00933381"/>
    <w:rsid w:val="00935589"/>
    <w:rsid w:val="00944647"/>
    <w:rsid w:val="009475C7"/>
    <w:rsid w:val="00950725"/>
    <w:rsid w:val="00953192"/>
    <w:rsid w:val="0095565C"/>
    <w:rsid w:val="00960634"/>
    <w:rsid w:val="00961ED0"/>
    <w:rsid w:val="009623CD"/>
    <w:rsid w:val="00964AB6"/>
    <w:rsid w:val="009651E8"/>
    <w:rsid w:val="00966312"/>
    <w:rsid w:val="00966F9A"/>
    <w:rsid w:val="00975ED6"/>
    <w:rsid w:val="00977B8A"/>
    <w:rsid w:val="00982171"/>
    <w:rsid w:val="009824C8"/>
    <w:rsid w:val="00982971"/>
    <w:rsid w:val="00982F4D"/>
    <w:rsid w:val="009845AD"/>
    <w:rsid w:val="00984835"/>
    <w:rsid w:val="0098639B"/>
    <w:rsid w:val="00987CB9"/>
    <w:rsid w:val="009933EF"/>
    <w:rsid w:val="00995BA0"/>
    <w:rsid w:val="009A11E7"/>
    <w:rsid w:val="009A31A6"/>
    <w:rsid w:val="009A418B"/>
    <w:rsid w:val="009A426F"/>
    <w:rsid w:val="009A42D5"/>
    <w:rsid w:val="009A4473"/>
    <w:rsid w:val="009B05C9"/>
    <w:rsid w:val="009B286C"/>
    <w:rsid w:val="009C151C"/>
    <w:rsid w:val="009C3909"/>
    <w:rsid w:val="009C440A"/>
    <w:rsid w:val="009D5125"/>
    <w:rsid w:val="009D60B8"/>
    <w:rsid w:val="009D7D4B"/>
    <w:rsid w:val="009E36ED"/>
    <w:rsid w:val="009E3BCA"/>
    <w:rsid w:val="009E3C8C"/>
    <w:rsid w:val="009E6B77"/>
    <w:rsid w:val="009F3580"/>
    <w:rsid w:val="009F460A"/>
    <w:rsid w:val="009F6351"/>
    <w:rsid w:val="00A036B1"/>
    <w:rsid w:val="00A043FB"/>
    <w:rsid w:val="00A06BE4"/>
    <w:rsid w:val="00A0729C"/>
    <w:rsid w:val="00A07779"/>
    <w:rsid w:val="00A1166A"/>
    <w:rsid w:val="00A20B2E"/>
    <w:rsid w:val="00A24F33"/>
    <w:rsid w:val="00A25069"/>
    <w:rsid w:val="00A26E6B"/>
    <w:rsid w:val="00A3068F"/>
    <w:rsid w:val="00A3145B"/>
    <w:rsid w:val="00A328EB"/>
    <w:rsid w:val="00A3388F"/>
    <w:rsid w:val="00A339D0"/>
    <w:rsid w:val="00A4083D"/>
    <w:rsid w:val="00A41002"/>
    <w:rsid w:val="00A41745"/>
    <w:rsid w:val="00A4201A"/>
    <w:rsid w:val="00A462D6"/>
    <w:rsid w:val="00A514F0"/>
    <w:rsid w:val="00A51DC4"/>
    <w:rsid w:val="00A5465D"/>
    <w:rsid w:val="00A553CE"/>
    <w:rsid w:val="00A5542F"/>
    <w:rsid w:val="00A5677A"/>
    <w:rsid w:val="00A56DCC"/>
    <w:rsid w:val="00A625E8"/>
    <w:rsid w:val="00A63DFF"/>
    <w:rsid w:val="00A6490D"/>
    <w:rsid w:val="00A7415D"/>
    <w:rsid w:val="00A76481"/>
    <w:rsid w:val="00A76DEA"/>
    <w:rsid w:val="00A80363"/>
    <w:rsid w:val="00A80939"/>
    <w:rsid w:val="00A83E9D"/>
    <w:rsid w:val="00A87C05"/>
    <w:rsid w:val="00A900A4"/>
    <w:rsid w:val="00A9169D"/>
    <w:rsid w:val="00A9559A"/>
    <w:rsid w:val="00AA2082"/>
    <w:rsid w:val="00AA240C"/>
    <w:rsid w:val="00AA7D33"/>
    <w:rsid w:val="00AB0266"/>
    <w:rsid w:val="00AB24C3"/>
    <w:rsid w:val="00AC101C"/>
    <w:rsid w:val="00AC34D2"/>
    <w:rsid w:val="00AD4CF1"/>
    <w:rsid w:val="00AD5988"/>
    <w:rsid w:val="00AD6293"/>
    <w:rsid w:val="00AF1BA8"/>
    <w:rsid w:val="00AF58A9"/>
    <w:rsid w:val="00AF7800"/>
    <w:rsid w:val="00B00CF5"/>
    <w:rsid w:val="00B072E0"/>
    <w:rsid w:val="00B1007E"/>
    <w:rsid w:val="00B104C4"/>
    <w:rsid w:val="00B11018"/>
    <w:rsid w:val="00B253F6"/>
    <w:rsid w:val="00B26675"/>
    <w:rsid w:val="00B26F0F"/>
    <w:rsid w:val="00B305DB"/>
    <w:rsid w:val="00B332F8"/>
    <w:rsid w:val="00B3492B"/>
    <w:rsid w:val="00B4646F"/>
    <w:rsid w:val="00B5584E"/>
    <w:rsid w:val="00B55C7D"/>
    <w:rsid w:val="00B63038"/>
    <w:rsid w:val="00B631F9"/>
    <w:rsid w:val="00B63691"/>
    <w:rsid w:val="00B64BD8"/>
    <w:rsid w:val="00B701D1"/>
    <w:rsid w:val="00B70733"/>
    <w:rsid w:val="00B73AF2"/>
    <w:rsid w:val="00B74840"/>
    <w:rsid w:val="00B74B5D"/>
    <w:rsid w:val="00B7551A"/>
    <w:rsid w:val="00B773F1"/>
    <w:rsid w:val="00B82068"/>
    <w:rsid w:val="00B83706"/>
    <w:rsid w:val="00B86AB1"/>
    <w:rsid w:val="00B97F07"/>
    <w:rsid w:val="00BA1E6B"/>
    <w:rsid w:val="00BA2B5F"/>
    <w:rsid w:val="00BA7EBA"/>
    <w:rsid w:val="00BB0690"/>
    <w:rsid w:val="00BB2A06"/>
    <w:rsid w:val="00BB2CBB"/>
    <w:rsid w:val="00BB4198"/>
    <w:rsid w:val="00BC0250"/>
    <w:rsid w:val="00BC03EE"/>
    <w:rsid w:val="00BC59F1"/>
    <w:rsid w:val="00BD4046"/>
    <w:rsid w:val="00BE61EB"/>
    <w:rsid w:val="00BF2100"/>
    <w:rsid w:val="00BF2955"/>
    <w:rsid w:val="00BF3DE1"/>
    <w:rsid w:val="00BF4843"/>
    <w:rsid w:val="00BF5205"/>
    <w:rsid w:val="00C05132"/>
    <w:rsid w:val="00C05304"/>
    <w:rsid w:val="00C12508"/>
    <w:rsid w:val="00C17554"/>
    <w:rsid w:val="00C22B35"/>
    <w:rsid w:val="00C23728"/>
    <w:rsid w:val="00C23AF6"/>
    <w:rsid w:val="00C25F69"/>
    <w:rsid w:val="00C26282"/>
    <w:rsid w:val="00C3026C"/>
    <w:rsid w:val="00C313A9"/>
    <w:rsid w:val="00C368B3"/>
    <w:rsid w:val="00C4283A"/>
    <w:rsid w:val="00C441CF"/>
    <w:rsid w:val="00C45AA2"/>
    <w:rsid w:val="00C4792C"/>
    <w:rsid w:val="00C55BEF"/>
    <w:rsid w:val="00C601AF"/>
    <w:rsid w:val="00C61A63"/>
    <w:rsid w:val="00C66296"/>
    <w:rsid w:val="00C7394D"/>
    <w:rsid w:val="00C754CB"/>
    <w:rsid w:val="00C75867"/>
    <w:rsid w:val="00C77282"/>
    <w:rsid w:val="00C84B6E"/>
    <w:rsid w:val="00C84DE5"/>
    <w:rsid w:val="00C86248"/>
    <w:rsid w:val="00C90B31"/>
    <w:rsid w:val="00C90C9C"/>
    <w:rsid w:val="00C92601"/>
    <w:rsid w:val="00CA0D6F"/>
    <w:rsid w:val="00CA3165"/>
    <w:rsid w:val="00CA4C33"/>
    <w:rsid w:val="00CA5151"/>
    <w:rsid w:val="00CA6A13"/>
    <w:rsid w:val="00CA6F4A"/>
    <w:rsid w:val="00CB0000"/>
    <w:rsid w:val="00CB5F9D"/>
    <w:rsid w:val="00CB6427"/>
    <w:rsid w:val="00CC0FBE"/>
    <w:rsid w:val="00CD2119"/>
    <w:rsid w:val="00CD237A"/>
    <w:rsid w:val="00CD36AC"/>
    <w:rsid w:val="00CE13A3"/>
    <w:rsid w:val="00CE34E8"/>
    <w:rsid w:val="00CE36BC"/>
    <w:rsid w:val="00CF1747"/>
    <w:rsid w:val="00CF60ED"/>
    <w:rsid w:val="00CF6C0F"/>
    <w:rsid w:val="00CF71AF"/>
    <w:rsid w:val="00D017C3"/>
    <w:rsid w:val="00D05D74"/>
    <w:rsid w:val="00D20C59"/>
    <w:rsid w:val="00D23323"/>
    <w:rsid w:val="00D2392A"/>
    <w:rsid w:val="00D25FFE"/>
    <w:rsid w:val="00D30BBE"/>
    <w:rsid w:val="00D30BC3"/>
    <w:rsid w:val="00D37D80"/>
    <w:rsid w:val="00D4476F"/>
    <w:rsid w:val="00D50573"/>
    <w:rsid w:val="00D53D58"/>
    <w:rsid w:val="00D543A1"/>
    <w:rsid w:val="00D54D50"/>
    <w:rsid w:val="00D560B4"/>
    <w:rsid w:val="00D662F8"/>
    <w:rsid w:val="00D66797"/>
    <w:rsid w:val="00D7074B"/>
    <w:rsid w:val="00D7087C"/>
    <w:rsid w:val="00D70C3C"/>
    <w:rsid w:val="00D71DF7"/>
    <w:rsid w:val="00D72BE5"/>
    <w:rsid w:val="00D73979"/>
    <w:rsid w:val="00D81462"/>
    <w:rsid w:val="00D82F26"/>
    <w:rsid w:val="00D82FFA"/>
    <w:rsid w:val="00D8502A"/>
    <w:rsid w:val="00D863D0"/>
    <w:rsid w:val="00D86B00"/>
    <w:rsid w:val="00D86FB9"/>
    <w:rsid w:val="00D87C87"/>
    <w:rsid w:val="00D90BB4"/>
    <w:rsid w:val="00D90E07"/>
    <w:rsid w:val="00D932C2"/>
    <w:rsid w:val="00DA0F62"/>
    <w:rsid w:val="00DA1662"/>
    <w:rsid w:val="00DB39CF"/>
    <w:rsid w:val="00DB7256"/>
    <w:rsid w:val="00DB7B52"/>
    <w:rsid w:val="00DC0401"/>
    <w:rsid w:val="00DC111E"/>
    <w:rsid w:val="00DC16F0"/>
    <w:rsid w:val="00DC20BD"/>
    <w:rsid w:val="00DC3002"/>
    <w:rsid w:val="00DC739E"/>
    <w:rsid w:val="00DD0BCD"/>
    <w:rsid w:val="00DD447A"/>
    <w:rsid w:val="00DD61B3"/>
    <w:rsid w:val="00DD64CB"/>
    <w:rsid w:val="00DE3B20"/>
    <w:rsid w:val="00DE6C94"/>
    <w:rsid w:val="00DE6FD7"/>
    <w:rsid w:val="00DF1A78"/>
    <w:rsid w:val="00E0001E"/>
    <w:rsid w:val="00E1477E"/>
    <w:rsid w:val="00E14B8D"/>
    <w:rsid w:val="00E20701"/>
    <w:rsid w:val="00E23271"/>
    <w:rsid w:val="00E24773"/>
    <w:rsid w:val="00E24F80"/>
    <w:rsid w:val="00E259F3"/>
    <w:rsid w:val="00E30985"/>
    <w:rsid w:val="00E33238"/>
    <w:rsid w:val="00E376B7"/>
    <w:rsid w:val="00E42F5D"/>
    <w:rsid w:val="00E4486C"/>
    <w:rsid w:val="00E460B6"/>
    <w:rsid w:val="00E511D5"/>
    <w:rsid w:val="00E53A9F"/>
    <w:rsid w:val="00E5743E"/>
    <w:rsid w:val="00E60249"/>
    <w:rsid w:val="00E65269"/>
    <w:rsid w:val="00E66E92"/>
    <w:rsid w:val="00E678B5"/>
    <w:rsid w:val="00E7172F"/>
    <w:rsid w:val="00E76D66"/>
    <w:rsid w:val="00E773C3"/>
    <w:rsid w:val="00E83E35"/>
    <w:rsid w:val="00E8579A"/>
    <w:rsid w:val="00EA796A"/>
    <w:rsid w:val="00EB029D"/>
    <w:rsid w:val="00EB1856"/>
    <w:rsid w:val="00EC0899"/>
    <w:rsid w:val="00EC50CE"/>
    <w:rsid w:val="00EC5B34"/>
    <w:rsid w:val="00ED021E"/>
    <w:rsid w:val="00ED2498"/>
    <w:rsid w:val="00ED2735"/>
    <w:rsid w:val="00ED323C"/>
    <w:rsid w:val="00EE120C"/>
    <w:rsid w:val="00EE2ADA"/>
    <w:rsid w:val="00EE2D5C"/>
    <w:rsid w:val="00EE4ADE"/>
    <w:rsid w:val="00EE4DE8"/>
    <w:rsid w:val="00EE5CB7"/>
    <w:rsid w:val="00EE651B"/>
    <w:rsid w:val="00EF51BE"/>
    <w:rsid w:val="00EF79FD"/>
    <w:rsid w:val="00F024FE"/>
    <w:rsid w:val="00F05AD4"/>
    <w:rsid w:val="00F10EB6"/>
    <w:rsid w:val="00F11A3D"/>
    <w:rsid w:val="00F13F07"/>
    <w:rsid w:val="00F140B2"/>
    <w:rsid w:val="00F157E9"/>
    <w:rsid w:val="00F206FF"/>
    <w:rsid w:val="00F21C3C"/>
    <w:rsid w:val="00F22FC2"/>
    <w:rsid w:val="00F25970"/>
    <w:rsid w:val="00F311A9"/>
    <w:rsid w:val="00F4468D"/>
    <w:rsid w:val="00F5180D"/>
    <w:rsid w:val="00F63781"/>
    <w:rsid w:val="00F67496"/>
    <w:rsid w:val="00F7039B"/>
    <w:rsid w:val="00F801BA"/>
    <w:rsid w:val="00F833A8"/>
    <w:rsid w:val="00F848C6"/>
    <w:rsid w:val="00F86778"/>
    <w:rsid w:val="00F870AE"/>
    <w:rsid w:val="00F9366A"/>
    <w:rsid w:val="00F946C9"/>
    <w:rsid w:val="00F96336"/>
    <w:rsid w:val="00FA0EA5"/>
    <w:rsid w:val="00FA1768"/>
    <w:rsid w:val="00FA74EE"/>
    <w:rsid w:val="00FB4813"/>
    <w:rsid w:val="00FC3711"/>
    <w:rsid w:val="00FC46E7"/>
    <w:rsid w:val="00FC5D25"/>
    <w:rsid w:val="00FD0D7E"/>
    <w:rsid w:val="00FD4FFB"/>
    <w:rsid w:val="00FE2BAC"/>
    <w:rsid w:val="00FE3443"/>
    <w:rsid w:val="00FE382E"/>
    <w:rsid w:val="00FE6758"/>
    <w:rsid w:val="00FE6E13"/>
    <w:rsid w:val="00FE7D34"/>
    <w:rsid w:val="00FF15F6"/>
    <w:rsid w:val="00FF1681"/>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EEEB9C"/>
  <w15:docId w15:val="{76CBE254-8ACF-4B34-B292-E8559124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62D"/>
    <w:rPr>
      <w:rFonts w:ascii="Segoe UI" w:hAnsi="Segoe UI"/>
      <w:sz w:val="21"/>
      <w:lang w:eastAsia="en-GB"/>
    </w:rPr>
  </w:style>
  <w:style w:type="paragraph" w:styleId="Heading1">
    <w:name w:val="heading 1"/>
    <w:basedOn w:val="Normal"/>
    <w:next w:val="Normal"/>
    <w:link w:val="Heading1Char"/>
    <w:uiPriority w:val="1"/>
    <w:qFormat/>
    <w:rsid w:val="00D86B00"/>
    <w:pPr>
      <w:keepNext/>
      <w:spacing w:before="600" w:after="360"/>
      <w:outlineLvl w:val="0"/>
    </w:pPr>
    <w:rPr>
      <w:b/>
      <w:color w:val="23305D"/>
      <w:spacing w:val="-10"/>
      <w:sz w:val="72"/>
    </w:rPr>
  </w:style>
  <w:style w:type="paragraph" w:styleId="Heading2">
    <w:name w:val="heading 2"/>
    <w:basedOn w:val="Normal"/>
    <w:next w:val="Normal"/>
    <w:link w:val="Heading2Char"/>
    <w:uiPriority w:val="1"/>
    <w:qFormat/>
    <w:rsid w:val="00030E84"/>
    <w:pPr>
      <w:keepNext/>
      <w:spacing w:before="480" w:after="180"/>
      <w:outlineLvl w:val="1"/>
    </w:pPr>
    <w:rPr>
      <w:b/>
      <w:color w:val="0A6AB4"/>
      <w:spacing w:val="-5"/>
      <w:sz w:val="48"/>
    </w:rPr>
  </w:style>
  <w:style w:type="paragraph" w:styleId="Heading3">
    <w:name w:val="heading 3"/>
    <w:basedOn w:val="Normal"/>
    <w:next w:val="Normal"/>
    <w:link w:val="Heading3Char"/>
    <w:uiPriority w:val="1"/>
    <w:qFormat/>
    <w:rsid w:val="008B4723"/>
    <w:pPr>
      <w:keepNext/>
      <w:spacing w:before="360" w:after="240"/>
      <w:outlineLvl w:val="2"/>
    </w:pPr>
    <w:rPr>
      <w:rFonts w:eastAsia="Arial Unicode MS"/>
      <w:color w:val="0A6AB4"/>
      <w:spacing w:val="-5"/>
      <w:sz w:val="36"/>
    </w:rPr>
  </w:style>
  <w:style w:type="paragraph" w:styleId="Heading4">
    <w:name w:val="heading 4"/>
    <w:basedOn w:val="Normal"/>
    <w:next w:val="Normal"/>
    <w:link w:val="Heading4Char"/>
    <w:uiPriority w:val="1"/>
    <w:qFormat/>
    <w:rsid w:val="00600AD4"/>
    <w:pPr>
      <w:keepNext/>
      <w:spacing w:before="360" w:after="240"/>
      <w:outlineLvl w:val="3"/>
    </w:pPr>
    <w:rPr>
      <w:rFonts w:eastAsia="Arial Unicode MS"/>
      <w:color w:val="0A6AB4"/>
      <w:sz w:val="28"/>
    </w:rPr>
  </w:style>
  <w:style w:type="paragraph" w:styleId="Heading5">
    <w:name w:val="heading 5"/>
    <w:basedOn w:val="Normal"/>
    <w:next w:val="Normal"/>
    <w:link w:val="Heading5Char"/>
    <w:uiPriority w:val="1"/>
    <w:qFormat/>
    <w:rsid w:val="008B4723"/>
    <w:pPr>
      <w:keepNext/>
      <w:spacing w:before="240" w:after="120"/>
      <w:outlineLvl w:val="4"/>
    </w:pPr>
    <w:rPr>
      <w:rFonts w:eastAsia="Arial Unicode MS"/>
      <w:color w:val="0A6AB4"/>
      <w:sz w:val="24"/>
    </w:rPr>
  </w:style>
  <w:style w:type="paragraph" w:styleId="Heading6">
    <w:name w:val="heading 6"/>
    <w:basedOn w:val="Normal"/>
    <w:next w:val="Normal"/>
    <w:link w:val="Heading6Char"/>
    <w:uiPriority w:val="1"/>
    <w:unhideWhenUsed/>
    <w:qFormat/>
    <w:rsid w:val="004C2BFC"/>
    <w:pPr>
      <w:keepNext/>
      <w:keepLines/>
      <w:spacing w:before="200" w:after="120" w:line="276" w:lineRule="auto"/>
      <w:ind w:left="567" w:hanging="567"/>
      <w:outlineLvl w:val="5"/>
    </w:pPr>
    <w:rPr>
      <w:rFonts w:eastAsia="MS Gothic"/>
      <w:color w:val="0A6AB4"/>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795BE0"/>
    <w:pPr>
      <w:keepNext/>
      <w:keepLines/>
      <w:spacing w:after="360"/>
      <w:outlineLvl w:val="7"/>
    </w:pPr>
    <w:rPr>
      <w:rFonts w:eastAsia="MS Gothic"/>
      <w:b/>
      <w:bCs/>
      <w:color w:val="23305D"/>
      <w:spacing w:val="-10"/>
      <w:sz w:val="72"/>
      <w:szCs w:val="72"/>
      <w:lang w:eastAsia="en-US"/>
    </w:rPr>
  </w:style>
  <w:style w:type="paragraph" w:styleId="Heading9">
    <w:name w:val="heading 9"/>
    <w:basedOn w:val="Normal"/>
    <w:next w:val="Normal"/>
    <w:link w:val="Heading9Char"/>
    <w:uiPriority w:val="1"/>
    <w:unhideWhenUsed/>
    <w:qFormat/>
    <w:rsid w:val="00795BE0"/>
    <w:pPr>
      <w:keepNext/>
      <w:keepLines/>
      <w:spacing w:before="480" w:after="120" w:line="276" w:lineRule="auto"/>
      <w:ind w:left="1584" w:hanging="1584"/>
      <w:outlineLvl w:val="8"/>
    </w:pPr>
    <w:rPr>
      <w:rFonts w:eastAsia="MS Gothic" w:cs="Segoe UI"/>
      <w:b/>
      <w:bCs/>
      <w:color w:val="0A6AB4"/>
      <w:sz w:val="40"/>
      <w:szCs w:val="4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rsid w:val="001D3E4E"/>
    <w:pPr>
      <w:tabs>
        <w:tab w:val="right" w:pos="8080"/>
      </w:tabs>
      <w:spacing w:before="300"/>
      <w:ind w:right="567"/>
    </w:pPr>
    <w:rPr>
      <w:rFonts w:ascii="Segoe UI Semibold" w:hAnsi="Segoe UI Semibold"/>
      <w:sz w:val="24"/>
    </w:rPr>
  </w:style>
  <w:style w:type="paragraph" w:styleId="TOC2">
    <w:name w:val="toc 2"/>
    <w:basedOn w:val="Normal"/>
    <w:next w:val="Normal"/>
    <w:uiPriority w:val="39"/>
    <w:qFormat/>
    <w:rsid w:val="002B76A7"/>
    <w:pPr>
      <w:tabs>
        <w:tab w:val="right" w:pos="8080"/>
      </w:tabs>
      <w:spacing w:before="60"/>
      <w:ind w:left="284" w:right="567"/>
    </w:pPr>
    <w:rPr>
      <w:sz w:val="22"/>
    </w:rPr>
  </w:style>
  <w:style w:type="paragraph" w:styleId="TOC3">
    <w:name w:val="toc 3"/>
    <w:basedOn w:val="Normal"/>
    <w:next w:val="Normal"/>
    <w:uiPriority w:val="39"/>
    <w:rsid w:val="009A11E7"/>
    <w:pPr>
      <w:tabs>
        <w:tab w:val="right" w:pos="8080"/>
      </w:tabs>
      <w:spacing w:before="120"/>
      <w:ind w:left="567" w:right="567"/>
    </w:pPr>
  </w:style>
  <w:style w:type="paragraph" w:customStyle="1" w:styleId="Bullet">
    <w:name w:val="Bullet"/>
    <w:basedOn w:val="Normal"/>
    <w:qFormat/>
    <w:rsid w:val="00FA0EA5"/>
    <w:pPr>
      <w:numPr>
        <w:numId w:val="1"/>
      </w:numPr>
      <w:tabs>
        <w:tab w:val="clear" w:pos="284"/>
      </w:tabs>
      <w:spacing w:before="90"/>
    </w:pPr>
  </w:style>
  <w:style w:type="paragraph" w:styleId="Quote">
    <w:name w:val="Quote"/>
    <w:basedOn w:val="Normal"/>
    <w:next w:val="Normal"/>
    <w:link w:val="QuoteChar"/>
    <w:qFormat/>
    <w:pPr>
      <w:spacing w:before="120"/>
      <w:ind w:left="284" w:right="284"/>
    </w:pPr>
  </w:style>
  <w:style w:type="paragraph" w:styleId="FootnoteText">
    <w:name w:val="footnote text"/>
    <w:basedOn w:val="Normal"/>
    <w:link w:val="FootnoteTextChar"/>
    <w:rsid w:val="00A7415D"/>
    <w:pPr>
      <w:spacing w:before="60" w:line="228" w:lineRule="auto"/>
      <w:ind w:left="284" w:hanging="284"/>
    </w:pPr>
    <w:rPr>
      <w:sz w:val="17"/>
    </w:rPr>
  </w:style>
  <w:style w:type="paragraph" w:styleId="Header">
    <w:name w:val="header"/>
    <w:basedOn w:val="Normal"/>
    <w:link w:val="HeaderChar"/>
    <w:qFormat/>
    <w:rsid w:val="00D25FFE"/>
  </w:style>
  <w:style w:type="paragraph" w:styleId="Title">
    <w:name w:val="Title"/>
    <w:basedOn w:val="Normal"/>
    <w:next w:val="Normal"/>
    <w:link w:val="TitleChar"/>
    <w:uiPriority w:val="99"/>
    <w:qFormat/>
    <w:rsid w:val="005A79E5"/>
    <w:pPr>
      <w:spacing w:line="216" w:lineRule="auto"/>
      <w:ind w:right="3402"/>
    </w:pPr>
    <w:rPr>
      <w:rFonts w:ascii="Segoe UI Black" w:hAnsi="Segoe UI Black" w:cs="Lucida Sans Unicode"/>
      <w:b/>
      <w:sz w:val="72"/>
      <w:szCs w:val="72"/>
    </w:rPr>
  </w:style>
  <w:style w:type="paragraph" w:customStyle="1" w:styleId="Imprint">
    <w:name w:val="Imprint"/>
    <w:basedOn w:val="Normal"/>
    <w:next w:val="Normal"/>
    <w:qFormat/>
    <w:rsid w:val="00C05132"/>
    <w:pPr>
      <w:spacing w:after="240"/>
    </w:pPr>
    <w:rPr>
      <w:sz w:val="20"/>
    </w:rPr>
  </w:style>
  <w:style w:type="paragraph" w:styleId="Footer">
    <w:name w:val="footer"/>
    <w:basedOn w:val="Normal"/>
    <w:link w:val="FooterChar"/>
    <w:qFormat/>
    <w:rsid w:val="007A067F"/>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qFormat/>
    <w:rsid w:val="009133F5"/>
    <w:pPr>
      <w:keepNext/>
      <w:spacing w:before="120" w:after="120"/>
    </w:pPr>
    <w:rPr>
      <w:b/>
      <w:sz w:val="20"/>
    </w:rPr>
  </w:style>
  <w:style w:type="character" w:styleId="FootnoteReference">
    <w:name w:val="footnote reference"/>
    <w:rPr>
      <w:vertAlign w:val="superscript"/>
    </w:rPr>
  </w:style>
  <w:style w:type="paragraph" w:customStyle="1" w:styleId="Table">
    <w:name w:val="Table"/>
    <w:basedOn w:val="Figure"/>
    <w:qFormat/>
    <w:rsid w:val="00642868"/>
  </w:style>
  <w:style w:type="paragraph" w:customStyle="1" w:styleId="Dash">
    <w:name w:val="Dash"/>
    <w:basedOn w:val="Bullet"/>
    <w:qFormat/>
    <w:rsid w:val="00702854"/>
    <w:pPr>
      <w:numPr>
        <w:numId w:val="2"/>
      </w:numPr>
      <w:spacing w:before="60"/>
    </w:pPr>
  </w:style>
  <w:style w:type="paragraph" w:customStyle="1" w:styleId="TableText">
    <w:name w:val="TableText"/>
    <w:basedOn w:val="Normal"/>
    <w:uiPriority w:val="99"/>
    <w:qFormat/>
    <w:rsid w:val="00A41745"/>
    <w:pPr>
      <w:spacing w:before="60" w:after="60"/>
      <w:ind w:left="57" w:right="57"/>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Normal"/>
    <w:next w:val="Box"/>
    <w:qFormat/>
    <w:rsid w:val="00D37D80"/>
    <w:pPr>
      <w:keepNext/>
      <w:pBdr>
        <w:top w:val="single" w:sz="4" w:space="12" w:color="auto"/>
        <w:left w:val="single" w:sz="4" w:space="12" w:color="auto"/>
        <w:bottom w:val="single" w:sz="4" w:space="12" w:color="auto"/>
        <w:right w:val="single" w:sz="4" w:space="12" w:color="auto"/>
      </w:pBdr>
      <w:spacing w:before="240" w:line="264" w:lineRule="auto"/>
      <w:ind w:left="284" w:right="284"/>
    </w:pPr>
    <w:rPr>
      <w:b/>
      <w:sz w:val="24"/>
      <w:szCs w:val="24"/>
    </w:rPr>
  </w:style>
  <w:style w:type="paragraph" w:customStyle="1" w:styleId="BoxBullet">
    <w:name w:val="BoxBullet"/>
    <w:basedOn w:val="Bullet"/>
    <w:qFormat/>
    <w:rsid w:val="00E30985"/>
    <w:pPr>
      <w:spacing w:line="264" w:lineRule="auto"/>
    </w:pPr>
    <w:rPr>
      <w:color w:val="FFFFFF" w:themeColor="background1"/>
    </w:rPr>
  </w:style>
  <w:style w:type="paragraph" w:customStyle="1" w:styleId="IntroHead">
    <w:name w:val="IntroHead"/>
    <w:basedOn w:val="Heading1"/>
    <w:next w:val="Normal"/>
    <w:qFormat/>
    <w:rsid w:val="001D3E4E"/>
    <w:pPr>
      <w:spacing w:before="0"/>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paragraph" w:customStyle="1" w:styleId="Subhead">
    <w:name w:val="Subhead"/>
    <w:basedOn w:val="Normal"/>
    <w:next w:val="Year"/>
    <w:qFormat/>
    <w:rsid w:val="00531E12"/>
    <w:pPr>
      <w:spacing w:before="840"/>
      <w:ind w:right="3402"/>
    </w:pPr>
    <w:rPr>
      <w:rFonts w:ascii="Segoe UI Semibold" w:hAnsi="Segoe UI Semibold" w:cs="Segoe UI Semibold"/>
      <w:sz w:val="36"/>
      <w:szCs w:val="26"/>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character" w:customStyle="1" w:styleId="NoteChar">
    <w:name w:val="Note Char"/>
    <w:link w:val="Note"/>
    <w:rsid w:val="00A87C05"/>
    <w:rPr>
      <w:rFonts w:ascii="Segoe UI" w:hAnsi="Segoe UI"/>
      <w:sz w:val="17"/>
      <w:lang w:eastAsia="en-GB"/>
    </w:rPr>
  </w:style>
  <w:style w:type="character" w:customStyle="1" w:styleId="FootnoteTextChar">
    <w:name w:val="Footnote Text Char"/>
    <w:link w:val="FootnoteText"/>
    <w:rsid w:val="00A7415D"/>
    <w:rPr>
      <w:rFonts w:ascii="Segoe UI" w:hAnsi="Segoe UI"/>
      <w:sz w:val="17"/>
      <w:lang w:eastAsia="en-GB"/>
    </w:rPr>
  </w:style>
  <w:style w:type="table" w:styleId="TableGrid">
    <w:name w:val="Table Grid"/>
    <w:basedOn w:val="TableNormal"/>
    <w:uiPriority w:val="39"/>
    <w:rsid w:val="0050374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6388B"/>
    <w:rPr>
      <w:rFonts w:ascii="Georgia" w:hAnsi="Georgia"/>
      <w:sz w:val="22"/>
      <w:lang w:eastAsia="en-GB"/>
    </w:rPr>
  </w:style>
  <w:style w:type="character" w:customStyle="1" w:styleId="FooterChar">
    <w:name w:val="Footer Char"/>
    <w:link w:val="Footer"/>
    <w:rsid w:val="007A067F"/>
    <w:rPr>
      <w:rFonts w:ascii="Segoe UI" w:hAnsi="Segoe UI"/>
      <w:sz w:val="21"/>
      <w:lang w:eastAsia="en-GB"/>
    </w:rPr>
  </w:style>
  <w:style w:type="character" w:customStyle="1" w:styleId="Heading1Char">
    <w:name w:val="Heading 1 Char"/>
    <w:link w:val="Heading1"/>
    <w:uiPriority w:val="1"/>
    <w:rsid w:val="00D86B00"/>
    <w:rPr>
      <w:rFonts w:ascii="Segoe UI" w:hAnsi="Segoe UI"/>
      <w:b/>
      <w:color w:val="23305D"/>
      <w:spacing w:val="-10"/>
      <w:sz w:val="72"/>
      <w:lang w:eastAsia="en-GB"/>
    </w:rPr>
  </w:style>
  <w:style w:type="paragraph" w:styleId="Revision">
    <w:name w:val="Revision"/>
    <w:hidden/>
    <w:uiPriority w:val="99"/>
    <w:rsid w:val="0086388B"/>
    <w:rPr>
      <w:rFonts w:ascii="Calibri" w:eastAsia="Calibri" w:hAnsi="Calibri"/>
      <w:sz w:val="22"/>
      <w:szCs w:val="22"/>
      <w:lang w:val="en-US" w:eastAsia="en-US"/>
    </w:rPr>
  </w:style>
  <w:style w:type="character" w:customStyle="1" w:styleId="Heading2Char">
    <w:name w:val="Heading 2 Char"/>
    <w:link w:val="Heading2"/>
    <w:uiPriority w:val="1"/>
    <w:rsid w:val="00030E84"/>
    <w:rPr>
      <w:rFonts w:ascii="Segoe UI" w:hAnsi="Segoe UI"/>
      <w:b/>
      <w:color w:val="0A6AB4"/>
      <w:spacing w:val="-5"/>
      <w:sz w:val="48"/>
      <w:lang w:eastAsia="en-GB"/>
    </w:rPr>
  </w:style>
  <w:style w:type="character" w:customStyle="1" w:styleId="Heading3Char">
    <w:name w:val="Heading 3 Char"/>
    <w:link w:val="Heading3"/>
    <w:uiPriority w:val="1"/>
    <w:rsid w:val="008B4723"/>
    <w:rPr>
      <w:rFonts w:ascii="Segoe UI" w:eastAsia="Arial Unicode MS" w:hAnsi="Segoe UI"/>
      <w:color w:val="0A6AB4"/>
      <w:spacing w:val="-5"/>
      <w:sz w:val="36"/>
      <w:lang w:eastAsia="en-GB"/>
    </w:rPr>
  </w:style>
  <w:style w:type="paragraph" w:customStyle="1" w:styleId="Year">
    <w:name w:val="Year"/>
    <w:basedOn w:val="Subhead"/>
    <w:next w:val="Subhead"/>
    <w:qFormat/>
    <w:rsid w:val="00531E12"/>
    <w:rPr>
      <w:sz w:val="28"/>
    </w:rPr>
  </w:style>
  <w:style w:type="character" w:customStyle="1" w:styleId="Heading6Char">
    <w:name w:val="Heading 6 Char"/>
    <w:basedOn w:val="DefaultParagraphFont"/>
    <w:link w:val="Heading6"/>
    <w:uiPriority w:val="1"/>
    <w:rsid w:val="004C2BFC"/>
    <w:rPr>
      <w:rFonts w:ascii="Segoe UI" w:eastAsia="MS Gothic" w:hAnsi="Segoe UI"/>
      <w:color w:val="0A6AB4"/>
      <w:sz w:val="21"/>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795BE0"/>
    <w:rPr>
      <w:rFonts w:ascii="Segoe UI" w:eastAsia="MS Gothic" w:hAnsi="Segoe UI"/>
      <w:b/>
      <w:bCs/>
      <w:color w:val="23305D"/>
      <w:spacing w:val="-10"/>
      <w:sz w:val="72"/>
      <w:szCs w:val="72"/>
      <w:lang w:eastAsia="en-US"/>
    </w:rPr>
  </w:style>
  <w:style w:type="character" w:customStyle="1" w:styleId="Heading9Char">
    <w:name w:val="Heading 9 Char"/>
    <w:basedOn w:val="DefaultParagraphFont"/>
    <w:link w:val="Heading9"/>
    <w:uiPriority w:val="1"/>
    <w:rsid w:val="00795BE0"/>
    <w:rPr>
      <w:rFonts w:ascii="Segoe UI" w:eastAsia="MS Gothic" w:hAnsi="Segoe UI" w:cs="Segoe UI"/>
      <w:b/>
      <w:bCs/>
      <w:color w:val="0A6AB4"/>
      <w:sz w:val="40"/>
      <w:szCs w:val="40"/>
      <w:lang w:val="en-GB" w:eastAsia="en-US"/>
    </w:rPr>
  </w:style>
  <w:style w:type="character" w:customStyle="1" w:styleId="Heading4Char">
    <w:name w:val="Heading 4 Char"/>
    <w:link w:val="Heading4"/>
    <w:uiPriority w:val="1"/>
    <w:rsid w:val="00600AD4"/>
    <w:rPr>
      <w:rFonts w:ascii="Segoe UI" w:eastAsia="Arial Unicode MS" w:hAnsi="Segoe UI"/>
      <w:color w:val="0A6AB4"/>
      <w:sz w:val="28"/>
      <w:lang w:eastAsia="en-GB"/>
    </w:rPr>
  </w:style>
  <w:style w:type="character" w:customStyle="1" w:styleId="Heading5Char">
    <w:name w:val="Heading 5 Char"/>
    <w:link w:val="Heading5"/>
    <w:uiPriority w:val="1"/>
    <w:rsid w:val="008B4723"/>
    <w:rPr>
      <w:rFonts w:ascii="Segoe UI" w:eastAsia="Arial Unicode MS" w:hAnsi="Segoe UI"/>
      <w:color w:val="0A6AB4"/>
      <w:sz w:val="24"/>
      <w:lang w:eastAsia="en-GB"/>
    </w:rPr>
  </w:style>
  <w:style w:type="character" w:customStyle="1" w:styleId="QuoteChar">
    <w:name w:val="Quote Char"/>
    <w:link w:val="Quote"/>
    <w:rsid w:val="00122363"/>
    <w:rPr>
      <w:rFonts w:ascii="Georgia" w:hAnsi="Georgia"/>
      <w:sz w:val="22"/>
      <w:lang w:eastAsia="en-GB"/>
    </w:rPr>
  </w:style>
  <w:style w:type="character" w:customStyle="1" w:styleId="TitleChar">
    <w:name w:val="Title Char"/>
    <w:link w:val="Title"/>
    <w:uiPriority w:val="99"/>
    <w:rsid w:val="005A79E5"/>
    <w:rPr>
      <w:rFonts w:ascii="Segoe UI Black" w:hAnsi="Segoe UI Black" w:cs="Lucida Sans Unicode"/>
      <w:b/>
      <w:sz w:val="72"/>
      <w:szCs w:val="72"/>
      <w:lang w:eastAsia="en-GB"/>
    </w:rPr>
  </w:style>
  <w:style w:type="paragraph" w:customStyle="1" w:styleId="Number">
    <w:name w:val="Number"/>
    <w:basedOn w:val="Normal"/>
    <w:rsid w:val="00F140B2"/>
    <w:pPr>
      <w:numPr>
        <w:numId w:val="5"/>
      </w:numPr>
      <w:spacing w:before="180"/>
    </w:pPr>
    <w:rPr>
      <w:szCs w:val="24"/>
    </w:rPr>
  </w:style>
  <w:style w:type="paragraph" w:customStyle="1" w:styleId="Letter">
    <w:name w:val="Letter"/>
    <w:basedOn w:val="Normal"/>
    <w:qFormat/>
    <w:rsid w:val="00F140B2"/>
    <w:pPr>
      <w:spacing w:before="120"/>
    </w:pPr>
  </w:style>
  <w:style w:type="paragraph" w:customStyle="1" w:styleId="Introductoryparagraph">
    <w:name w:val="Introductory paragraph"/>
    <w:basedOn w:val="Normal"/>
    <w:next w:val="Normal"/>
    <w:qFormat/>
    <w:rsid w:val="0012053C"/>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after="120"/>
    </w:pPr>
    <w:rPr>
      <w:rFonts w:eastAsia="Arial Unicode MS"/>
    </w:rPr>
  </w:style>
  <w:style w:type="paragraph" w:customStyle="1" w:styleId="Shadedboxtext">
    <w:name w:val="Shaded box text"/>
    <w:basedOn w:val="Normal"/>
    <w:qFormat/>
    <w:rsid w:val="00D86B00"/>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9D9D9" w:themeFill="background1" w:themeFillShade="D9"/>
      <w:spacing w:line="264" w:lineRule="auto"/>
      <w:ind w:left="284" w:right="284"/>
    </w:pPr>
    <w:rPr>
      <w:rFonts w:eastAsia="Arial Unicode MS"/>
    </w:rPr>
  </w:style>
  <w:style w:type="paragraph" w:customStyle="1" w:styleId="Roman">
    <w:name w:val="Roman"/>
    <w:basedOn w:val="Normal"/>
    <w:qFormat/>
    <w:rsid w:val="00AD6293"/>
    <w:pPr>
      <w:numPr>
        <w:ilvl w:val="2"/>
        <w:numId w:val="5"/>
      </w:numPr>
      <w:spacing w:before="90"/>
    </w:pPr>
    <w:rPr>
      <w:rFonts w:eastAsia="Arial Unicode MS"/>
    </w:rPr>
  </w:style>
  <w:style w:type="character" w:styleId="UnresolvedMention">
    <w:name w:val="Unresolved Mention"/>
    <w:basedOn w:val="DefaultParagraphFont"/>
    <w:uiPriority w:val="99"/>
    <w:semiHidden/>
    <w:unhideWhenUsed/>
    <w:rsid w:val="00ED2498"/>
    <w:rPr>
      <w:color w:val="605E5C"/>
      <w:shd w:val="clear" w:color="auto" w:fill="E1DFDD"/>
    </w:rPr>
  </w:style>
  <w:style w:type="character" w:styleId="FollowedHyperlink">
    <w:name w:val="FollowedHyperlink"/>
    <w:basedOn w:val="DefaultParagraphFont"/>
    <w:uiPriority w:val="99"/>
    <w:semiHidden/>
    <w:unhideWhenUsed/>
    <w:rsid w:val="00354135"/>
    <w:rPr>
      <w:color w:val="800080" w:themeColor="followedHyperlink"/>
      <w:u w:val="single"/>
    </w:rPr>
  </w:style>
  <w:style w:type="paragraph" w:customStyle="1" w:styleId="TableParagraph">
    <w:name w:val="Table Paragraph"/>
    <w:basedOn w:val="Normal"/>
    <w:uiPriority w:val="1"/>
    <w:qFormat/>
    <w:rsid w:val="008B4723"/>
    <w:pPr>
      <w:widowControl w:val="0"/>
      <w:autoSpaceDE w:val="0"/>
      <w:autoSpaceDN w:val="0"/>
      <w:jc w:val="right"/>
    </w:pPr>
    <w:rPr>
      <w:rFonts w:ascii="Century Gothic" w:eastAsia="Century Gothic" w:hAnsi="Century Gothic" w:cs="Century Gothic"/>
      <w:sz w:val="22"/>
      <w:szCs w:val="22"/>
      <w:lang w:val="en-US" w:eastAsia="en-US"/>
    </w:rPr>
  </w:style>
  <w:style w:type="paragraph" w:styleId="ListParagraph">
    <w:name w:val="List Paragraph"/>
    <w:basedOn w:val="Normal"/>
    <w:uiPriority w:val="1"/>
    <w:qFormat/>
    <w:rsid w:val="003962F7"/>
    <w:pPr>
      <w:ind w:left="720"/>
      <w:contextualSpacing/>
    </w:pPr>
  </w:style>
  <w:style w:type="paragraph" w:styleId="BodyText">
    <w:name w:val="Body Text"/>
    <w:basedOn w:val="Normal"/>
    <w:link w:val="BodyTextChar"/>
    <w:uiPriority w:val="1"/>
    <w:qFormat/>
    <w:rsid w:val="00CB0000"/>
    <w:pPr>
      <w:widowControl w:val="0"/>
      <w:autoSpaceDE w:val="0"/>
      <w:autoSpaceDN w:val="0"/>
    </w:pPr>
    <w:rPr>
      <w:rFonts w:ascii="Century Gothic" w:eastAsia="Century Gothic" w:hAnsi="Century Gothic" w:cs="Century Gothic"/>
      <w:sz w:val="20"/>
      <w:lang w:val="en-US" w:eastAsia="en-US"/>
    </w:rPr>
  </w:style>
  <w:style w:type="character" w:customStyle="1" w:styleId="BodyTextChar">
    <w:name w:val="Body Text Char"/>
    <w:basedOn w:val="DefaultParagraphFont"/>
    <w:link w:val="BodyText"/>
    <w:uiPriority w:val="1"/>
    <w:rsid w:val="00CB0000"/>
    <w:rPr>
      <w:rFonts w:ascii="Century Gothic" w:eastAsia="Century Gothic" w:hAnsi="Century Gothic" w:cs="Century Gothic"/>
      <w:lang w:val="en-US" w:eastAsia="en-US"/>
    </w:rPr>
  </w:style>
  <w:style w:type="paragraph" w:customStyle="1" w:styleId="Bullet3">
    <w:name w:val="Bullet 3"/>
    <w:basedOn w:val="ListParagraph"/>
    <w:qFormat/>
    <w:rsid w:val="00BA1E6B"/>
    <w:pPr>
      <w:numPr>
        <w:numId w:val="13"/>
      </w:numPr>
      <w:spacing w:before="90"/>
      <w:ind w:left="868" w:hanging="322"/>
    </w:pPr>
    <w:rPr>
      <w:rFonts w:eastAsia="Arial Unicode MS"/>
    </w:rPr>
  </w:style>
  <w:style w:type="character" w:styleId="CommentReference">
    <w:name w:val="annotation reference"/>
    <w:basedOn w:val="DefaultParagraphFont"/>
    <w:uiPriority w:val="99"/>
    <w:semiHidden/>
    <w:unhideWhenUsed/>
    <w:rsid w:val="006F12E6"/>
    <w:rPr>
      <w:sz w:val="16"/>
      <w:szCs w:val="16"/>
    </w:rPr>
  </w:style>
  <w:style w:type="paragraph" w:styleId="CommentText">
    <w:name w:val="annotation text"/>
    <w:basedOn w:val="Normal"/>
    <w:link w:val="CommentTextChar"/>
    <w:uiPriority w:val="99"/>
    <w:semiHidden/>
    <w:unhideWhenUsed/>
    <w:rsid w:val="006F12E6"/>
    <w:rPr>
      <w:sz w:val="20"/>
    </w:rPr>
  </w:style>
  <w:style w:type="character" w:customStyle="1" w:styleId="CommentTextChar">
    <w:name w:val="Comment Text Char"/>
    <w:basedOn w:val="DefaultParagraphFont"/>
    <w:link w:val="CommentText"/>
    <w:uiPriority w:val="99"/>
    <w:semiHidden/>
    <w:rsid w:val="006F12E6"/>
    <w:rPr>
      <w:rFonts w:ascii="Segoe UI" w:hAnsi="Segoe UI"/>
      <w:lang w:eastAsia="en-GB"/>
    </w:rPr>
  </w:style>
  <w:style w:type="paragraph" w:styleId="CommentSubject">
    <w:name w:val="annotation subject"/>
    <w:basedOn w:val="CommentText"/>
    <w:next w:val="CommentText"/>
    <w:link w:val="CommentSubjectChar"/>
    <w:uiPriority w:val="99"/>
    <w:semiHidden/>
    <w:unhideWhenUsed/>
    <w:rsid w:val="006F12E6"/>
    <w:rPr>
      <w:b/>
      <w:bCs/>
    </w:rPr>
  </w:style>
  <w:style w:type="character" w:customStyle="1" w:styleId="CommentSubjectChar">
    <w:name w:val="Comment Subject Char"/>
    <w:basedOn w:val="CommentTextChar"/>
    <w:link w:val="CommentSubject"/>
    <w:uiPriority w:val="99"/>
    <w:semiHidden/>
    <w:rsid w:val="006F12E6"/>
    <w:rPr>
      <w:rFonts w:ascii="Segoe UI" w:hAnsi="Segoe UI"/>
      <w:b/>
      <w:bCs/>
      <w:lang w:eastAsia="en-GB"/>
    </w:rPr>
  </w:style>
  <w:style w:type="paragraph" w:styleId="TOC4">
    <w:name w:val="toc 4"/>
    <w:basedOn w:val="Normal"/>
    <w:next w:val="Normal"/>
    <w:autoRedefine/>
    <w:uiPriority w:val="39"/>
    <w:unhideWhenUsed/>
    <w:rsid w:val="003A638E"/>
    <w:pPr>
      <w:spacing w:after="100" w:line="259" w:lineRule="auto"/>
      <w:ind w:left="660"/>
    </w:pPr>
    <w:rPr>
      <w:rFonts w:asciiTheme="minorHAnsi" w:eastAsiaTheme="minorEastAsia" w:hAnsiTheme="minorHAnsi" w:cstheme="minorBidi"/>
      <w:sz w:val="22"/>
      <w:szCs w:val="22"/>
      <w:lang w:eastAsia="en-NZ"/>
    </w:rPr>
  </w:style>
  <w:style w:type="paragraph" w:styleId="TOC5">
    <w:name w:val="toc 5"/>
    <w:basedOn w:val="Normal"/>
    <w:next w:val="Normal"/>
    <w:autoRedefine/>
    <w:uiPriority w:val="39"/>
    <w:unhideWhenUsed/>
    <w:rsid w:val="003A638E"/>
    <w:pPr>
      <w:spacing w:after="100" w:line="259" w:lineRule="auto"/>
      <w:ind w:left="880"/>
    </w:pPr>
    <w:rPr>
      <w:rFonts w:asciiTheme="minorHAnsi" w:eastAsiaTheme="minorEastAsia" w:hAnsiTheme="minorHAnsi" w:cstheme="minorBidi"/>
      <w:sz w:val="22"/>
      <w:szCs w:val="22"/>
      <w:lang w:eastAsia="en-NZ"/>
    </w:rPr>
  </w:style>
  <w:style w:type="paragraph" w:styleId="TOC6">
    <w:name w:val="toc 6"/>
    <w:basedOn w:val="Normal"/>
    <w:next w:val="Normal"/>
    <w:autoRedefine/>
    <w:uiPriority w:val="39"/>
    <w:unhideWhenUsed/>
    <w:rsid w:val="003A638E"/>
    <w:pPr>
      <w:spacing w:after="100" w:line="259" w:lineRule="auto"/>
      <w:ind w:left="1100"/>
    </w:pPr>
    <w:rPr>
      <w:rFonts w:asciiTheme="minorHAnsi" w:eastAsiaTheme="minorEastAsia" w:hAnsiTheme="minorHAnsi" w:cstheme="minorBidi"/>
      <w:sz w:val="22"/>
      <w:szCs w:val="22"/>
      <w:lang w:eastAsia="en-NZ"/>
    </w:rPr>
  </w:style>
  <w:style w:type="paragraph" w:styleId="TOC7">
    <w:name w:val="toc 7"/>
    <w:basedOn w:val="Normal"/>
    <w:next w:val="Normal"/>
    <w:autoRedefine/>
    <w:uiPriority w:val="39"/>
    <w:unhideWhenUsed/>
    <w:rsid w:val="003A638E"/>
    <w:pPr>
      <w:spacing w:after="100" w:line="259" w:lineRule="auto"/>
      <w:ind w:left="1320"/>
    </w:pPr>
    <w:rPr>
      <w:rFonts w:asciiTheme="minorHAnsi" w:eastAsiaTheme="minorEastAsia" w:hAnsiTheme="minorHAnsi" w:cstheme="minorBidi"/>
      <w:sz w:val="22"/>
      <w:szCs w:val="22"/>
      <w:lang w:eastAsia="en-NZ"/>
    </w:rPr>
  </w:style>
  <w:style w:type="paragraph" w:styleId="TOC8">
    <w:name w:val="toc 8"/>
    <w:basedOn w:val="Normal"/>
    <w:next w:val="Normal"/>
    <w:autoRedefine/>
    <w:uiPriority w:val="39"/>
    <w:unhideWhenUsed/>
    <w:rsid w:val="003A638E"/>
    <w:pPr>
      <w:spacing w:after="100" w:line="259" w:lineRule="auto"/>
      <w:ind w:left="1540"/>
    </w:pPr>
    <w:rPr>
      <w:rFonts w:asciiTheme="minorHAnsi" w:eastAsiaTheme="minorEastAsia" w:hAnsiTheme="minorHAnsi" w:cstheme="minorBidi"/>
      <w:sz w:val="22"/>
      <w:szCs w:val="22"/>
      <w:lang w:eastAsia="en-NZ"/>
    </w:rPr>
  </w:style>
  <w:style w:type="paragraph" w:styleId="TOC9">
    <w:name w:val="toc 9"/>
    <w:basedOn w:val="Normal"/>
    <w:next w:val="Normal"/>
    <w:autoRedefine/>
    <w:uiPriority w:val="39"/>
    <w:unhideWhenUsed/>
    <w:rsid w:val="003A638E"/>
    <w:pPr>
      <w:spacing w:after="100" w:line="259" w:lineRule="auto"/>
      <w:ind w:left="1760"/>
    </w:pPr>
    <w:rPr>
      <w:rFonts w:asciiTheme="minorHAnsi" w:eastAsiaTheme="minorEastAsia" w:hAnsiTheme="minorHAnsi" w:cstheme="minorBidi"/>
      <w:sz w:val="22"/>
      <w:szCs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6.xml"/><Relationship Id="rId42" Type="http://schemas.openxmlformats.org/officeDocument/2006/relationships/image" Target="media/image17.jpeg"/><Relationship Id="rId47" Type="http://schemas.openxmlformats.org/officeDocument/2006/relationships/footer" Target="footer13.xml"/><Relationship Id="rId63" Type="http://schemas.openxmlformats.org/officeDocument/2006/relationships/image" Target="media/image32.png"/><Relationship Id="rId68" Type="http://schemas.openxmlformats.org/officeDocument/2006/relationships/hyperlink" Target="https://teaho.govt.nz/publications/cancer-medicines" TargetMode="External"/><Relationship Id="rId84" Type="http://schemas.openxmlformats.org/officeDocument/2006/relationships/header" Target="header6.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2.png"/><Relationship Id="rId58" Type="http://schemas.openxmlformats.org/officeDocument/2006/relationships/image" Target="media/image27.png"/><Relationship Id="rId74" Type="http://schemas.openxmlformats.org/officeDocument/2006/relationships/image" Target="media/image38.png"/><Relationship Id="rId79" Type="http://schemas.openxmlformats.org/officeDocument/2006/relationships/footer" Target="footer22.xml"/><Relationship Id="rId5" Type="http://schemas.openxmlformats.org/officeDocument/2006/relationships/numbering" Target="numbering.xml"/><Relationship Id="rId19" Type="http://schemas.openxmlformats.org/officeDocument/2006/relationships/footer" Target="footer4.xml"/><Relationship Id="rId14" Type="http://schemas.openxmlformats.org/officeDocument/2006/relationships/image" Target="media/image4.png"/><Relationship Id="rId22" Type="http://schemas.openxmlformats.org/officeDocument/2006/relationships/footer" Target="footer7.xml"/><Relationship Id="rId27" Type="http://schemas.openxmlformats.org/officeDocument/2006/relationships/image" Target="media/image6.png"/><Relationship Id="rId30" Type="http://schemas.openxmlformats.org/officeDocument/2006/relationships/footer" Target="footer11.xml"/><Relationship Id="rId35" Type="http://schemas.openxmlformats.org/officeDocument/2006/relationships/image" Target="media/image11.png"/><Relationship Id="rId43" Type="http://schemas.openxmlformats.org/officeDocument/2006/relationships/hyperlink" Target="https://www.health.govt.nz/publications" TargetMode="External"/><Relationship Id="rId48" Type="http://schemas.openxmlformats.org/officeDocument/2006/relationships/footer" Target="footer14.xml"/><Relationship Id="rId56" Type="http://schemas.openxmlformats.org/officeDocument/2006/relationships/image" Target="media/image25.png"/><Relationship Id="rId64" Type="http://schemas.openxmlformats.org/officeDocument/2006/relationships/hyperlink" Target="https://teaho.govt.nz/publications/prevention-report" TargetMode="External"/><Relationship Id="rId69" Type="http://schemas.openxmlformats.org/officeDocument/2006/relationships/image" Target="media/image36.png"/><Relationship Id="rId77" Type="http://schemas.openxmlformats.org/officeDocument/2006/relationships/footer" Target="footer20.xm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footer" Target="footer17.xml"/><Relationship Id="rId80" Type="http://schemas.openxmlformats.org/officeDocument/2006/relationships/image" Target="media/image40.png"/><Relationship Id="rId85" Type="http://schemas.openxmlformats.org/officeDocument/2006/relationships/footer" Target="footer2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8.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image" Target="media/image28.png"/><Relationship Id="rId67" Type="http://schemas.openxmlformats.org/officeDocument/2006/relationships/image" Target="media/image35.png"/><Relationship Id="rId20" Type="http://schemas.openxmlformats.org/officeDocument/2006/relationships/footer" Target="footer5.xml"/><Relationship Id="rId41" Type="http://schemas.openxmlformats.org/officeDocument/2006/relationships/image" Target="media/image16.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37.jpeg"/><Relationship Id="rId75" Type="http://schemas.openxmlformats.org/officeDocument/2006/relationships/footer" Target="footer19.xml"/><Relationship Id="rId83"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10.xml"/><Relationship Id="rId36" Type="http://schemas.openxmlformats.org/officeDocument/2006/relationships/image" Target="media/image12.png"/><Relationship Id="rId49" Type="http://schemas.openxmlformats.org/officeDocument/2006/relationships/footer" Target="footer15.xml"/><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footer" Target="footer12.xml"/><Relationship Id="rId44" Type="http://schemas.openxmlformats.org/officeDocument/2006/relationships/hyperlink" Target="https://www.health.govt.nz/our-work/regulation-health-and-disability-system" TargetMode="External"/><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3.png"/><Relationship Id="rId73" Type="http://schemas.openxmlformats.org/officeDocument/2006/relationships/footer" Target="footer18.xml"/><Relationship Id="rId78" Type="http://schemas.openxmlformats.org/officeDocument/2006/relationships/footer" Target="footer21.xml"/><Relationship Id="rId81" Type="http://schemas.openxmlformats.org/officeDocument/2006/relationships/hyperlink" Target="file:///D:/05%20Formatting/04%20MoH/2022.10.12%20Annual%20Report/www.teakawhaiora.nz/our-work/"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3.xml"/><Relationship Id="rId39" Type="http://schemas.openxmlformats.org/officeDocument/2006/relationships/hyperlink" Target="http://www.health.govt.nz/" TargetMode="External"/><Relationship Id="rId34" Type="http://schemas.openxmlformats.org/officeDocument/2006/relationships/image" Target="media/image10.png"/><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image" Target="media/image39.png"/><Relationship Id="rId7" Type="http://schemas.openxmlformats.org/officeDocument/2006/relationships/settings" Target="settings.xml"/><Relationship Id="rId71" Type="http://schemas.openxmlformats.org/officeDocument/2006/relationships/footer" Target="footer16.xml"/><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header" Target="header5.xml"/><Relationship Id="rId40" Type="http://schemas.openxmlformats.org/officeDocument/2006/relationships/image" Target="media/image15.jpeg"/><Relationship Id="rId45" Type="http://schemas.openxmlformats.org/officeDocument/2006/relationships/hyperlink" Target="https://legislation.govt.nz/" TargetMode="External"/><Relationship Id="rId66" Type="http://schemas.openxmlformats.org/officeDocument/2006/relationships/image" Target="media/image34.png"/><Relationship Id="rId87" Type="http://schemas.openxmlformats.org/officeDocument/2006/relationships/theme" Target="theme/theme1.xml"/><Relationship Id="rId61" Type="http://schemas.openxmlformats.org/officeDocument/2006/relationships/image" Target="media/image30.png"/><Relationship Id="rId82" Type="http://schemas.openxmlformats.org/officeDocument/2006/relationships/hyperlink" Target="http://www.teakawhaiora.nz/about-us/our-structure/"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health.govt.nz/publication/hiso-100942022-maori-descent-and-iwi-affiliation-data-protocols" TargetMode="External"/><Relationship Id="rId13" Type="http://schemas.openxmlformats.org/officeDocument/2006/relationships/hyperlink" Target="https://www.hekapehuwhetu.govt.nz/" TargetMode="External"/><Relationship Id="rId18" Type="http://schemas.openxmlformats.org/officeDocument/2006/relationships/hyperlink" Target="https://www.stats.govt.nz/methods/population-statistics-user-guide" TargetMode="External"/><Relationship Id="rId26" Type="http://schemas.openxmlformats.org/officeDocument/2006/relationships/hyperlink" Target="file:///D:/05%20Formatting/04%20MoH/2022.10.12%20Annual%20Report/www.mha.govt.nz/our-board/" TargetMode="External"/><Relationship Id="rId3" Type="http://schemas.openxmlformats.org/officeDocument/2006/relationships/hyperlink" Target="https://tepunaaonui.govt.nz/our-work" TargetMode="External"/><Relationship Id="rId21" Type="http://schemas.openxmlformats.org/officeDocument/2006/relationships/hyperlink" Target="https://stats.govt.nz/information-releases/national-and-subnational-period-life-tables-2017-2019" TargetMode="External"/><Relationship Id="rId7" Type="http://schemas.openxmlformats.org/officeDocument/2006/relationships/hyperlink" Target="https://tatai.maori.nz/" TargetMode="External"/><Relationship Id="rId12" Type="http://schemas.openxmlformats.org/officeDocument/2006/relationships/hyperlink" Target="https://www.health.govt.nz/publication/national-hepatitis-c-action-plan-aotearoa-new-zealand-mahere-mahi-mo-te-ate-kaka-c" TargetMode="External"/><Relationship Id="rId17" Type="http://schemas.openxmlformats.org/officeDocument/2006/relationships/hyperlink" Target="https://www.stats.govt.nz/reports/review-of-health-service-user-population-methodology" TargetMode="External"/><Relationship Id="rId25" Type="http://schemas.openxmlformats.org/officeDocument/2006/relationships/hyperlink" Target="file:///D:/05%20Formatting/04%20MoH/2022.10.12%20Annual%20Report/www.mha.govt.nz/our-leadership/" TargetMode="External"/><Relationship Id="rId2" Type="http://schemas.openxmlformats.org/officeDocument/2006/relationships/hyperlink" Target="https://www.hud.govt.nz/our-work/aotearoa-new-zealand-homelessness-action-plan-2020-2023/" TargetMode="External"/><Relationship Id="rId16" Type="http://schemas.openxmlformats.org/officeDocument/2006/relationships/hyperlink" Target="https://www.treasury.govt.nz/publications/supplementary-estimates/vote-health-supplementary-estimates-appropriations-2021-22" TargetMode="External"/><Relationship Id="rId20" Type="http://schemas.openxmlformats.org/officeDocument/2006/relationships/hyperlink" Target="file:///D:/05%20Formatting/04%20MoH/2022.10.12%20Annual%20Report/ghdx.healthdata.org/gbd-results-tool" TargetMode="External"/><Relationship Id="rId1" Type="http://schemas.openxmlformats.org/officeDocument/2006/relationships/hyperlink" Target="https://www.childyouthwellbeing.govt.nz/resources/child-and-youth-wellbeing-strategy" TargetMode="External"/><Relationship Id="rId6" Type="http://schemas.openxmlformats.org/officeDocument/2006/relationships/hyperlink" Target="https://www.health.govt.nz/publication/hui-whakaoranga-2021-summary-report" TargetMode="External"/><Relationship Id="rId11" Type="http://schemas.openxmlformats.org/officeDocument/2006/relationships/hyperlink" Target="https://www.health.govt.nz/publication/smokefree-aotearoa-2025-action-plan-auahi-kore-aotearoa-mahere-rautaki-2025" TargetMode="External"/><Relationship Id="rId24" Type="http://schemas.openxmlformats.org/officeDocument/2006/relationships/hyperlink" Target="https://systemreview.health.govt.nz/" TargetMode="External"/><Relationship Id="rId5" Type="http://schemas.openxmlformats.org/officeDocument/2006/relationships/hyperlink" Target="https://minhealthnz.shinyapps.io/whakamaua-monitoring-year-one" TargetMode="External"/><Relationship Id="rId15" Type="http://schemas.openxmlformats.org/officeDocument/2006/relationships/hyperlink" Target="https://www.treasury.govt.nz/publications/estimates/vote-health-health-sector-estimates-2021-22" TargetMode="External"/><Relationship Id="rId23" Type="http://schemas.openxmlformats.org/officeDocument/2006/relationships/hyperlink" Target="https://waitangitribunal.govt.nz/inquiries/kaupapa-inquiries/health-services-and-outcomes-inquiry/" TargetMode="External"/><Relationship Id="rId10" Type="http://schemas.openxmlformats.org/officeDocument/2006/relationships/hyperlink" Target="https://www.health.govt.nz/publication/review-benefits-and-costs-water-fluoridation-new-zealand" TargetMode="External"/><Relationship Id="rId19" Type="http://schemas.openxmlformats.org/officeDocument/2006/relationships/hyperlink" Target="https://stats.govt.nz/reports/review-of-health-service-user-population-methodology/" TargetMode="External"/><Relationship Id="rId4" Type="http://schemas.openxmlformats.org/officeDocument/2006/relationships/hyperlink" Target="https://www.health.govt.nz/system/files/documents/publications/strategic_intentions_2021-2025-withcover_9_dec.pdf" TargetMode="External"/><Relationship Id="rId9" Type="http://schemas.openxmlformats.org/officeDocument/2006/relationships/hyperlink" Target="https://www.health.govt.nz/publication/wananga-hauora-2021-summary-report" TargetMode="External"/><Relationship Id="rId14" Type="http://schemas.openxmlformats.org/officeDocument/2006/relationships/hyperlink" Target="https://accessibilitytick.nz/" TargetMode="External"/><Relationship Id="rId22" Type="http://schemas.openxmlformats.org/officeDocument/2006/relationships/hyperlink" Target="https://www.stats.govt.nz/information-releases/births-and-deaths-year-ended-december-2021-including-abridged-period-life-table/" TargetMode="External"/><Relationship Id="rId27" Type="http://schemas.openxmlformats.org/officeDocument/2006/relationships/hyperlink" Target="file:///D:/05%20Formatting/04%20MoH/2022.10.12%20Annual%20Report/www.teakawhaiora.nz/our-wor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9" ma:contentTypeDescription="Create a new document." ma:contentTypeScope="" ma:versionID="a4709864b6b451276b513d2564eb4588">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d0bc1ba1e9d72e7e1601a7f7f491e34e"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7FFB0-260E-4BEB-AB23-5A43F0263A5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2ee7631-8705-4e4e-a159-243698bf6794"/>
    <ds:schemaRef ds:uri="http://purl.org/dc/elements/1.1/"/>
    <ds:schemaRef ds:uri="http://schemas.microsoft.com/office/2006/metadata/properties"/>
    <ds:schemaRef ds:uri="bceb9309-8f47-415f-aa59-4677cf6ce37d"/>
    <ds:schemaRef ds:uri="http://www.w3.org/XML/1998/namespace"/>
    <ds:schemaRef ds:uri="http://purl.org/dc/dcmitype/"/>
  </ds:schemaRefs>
</ds:datastoreItem>
</file>

<file path=customXml/itemProps2.xml><?xml version="1.0" encoding="utf-8"?>
<ds:datastoreItem xmlns:ds="http://schemas.openxmlformats.org/officeDocument/2006/customXml" ds:itemID="{95410BF5-598F-4CD9-9D9F-0B3607E066F2}"/>
</file>

<file path=customXml/itemProps3.xml><?xml version="1.0" encoding="utf-8"?>
<ds:datastoreItem xmlns:ds="http://schemas.openxmlformats.org/officeDocument/2006/customXml" ds:itemID="{BFDE10D4-B04D-46BB-8458-050322E51106}">
  <ds:schemaRefs>
    <ds:schemaRef ds:uri="http://schemas.microsoft.com/sharepoint/v3/contenttype/forms"/>
  </ds:schemaRefs>
</ds:datastoreItem>
</file>

<file path=customXml/itemProps4.xml><?xml version="1.0" encoding="utf-8"?>
<ds:datastoreItem xmlns:ds="http://schemas.openxmlformats.org/officeDocument/2006/customXml" ds:itemID="{1B47F67D-389C-427D-8AD9-389F83D09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2</TotalTime>
  <Pages>252</Pages>
  <Words>71000</Words>
  <Characters>404704</Characters>
  <Application>Microsoft Office Word</Application>
  <DocSecurity>0</DocSecurity>
  <Lines>3372</Lines>
  <Paragraphs>949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for the Year Ended 30 June 2022</dc:title>
  <dc:creator>Ministry of Health</dc:creator>
  <cp:lastModifiedBy>Ministry of Health</cp:lastModifiedBy>
  <cp:revision>2</cp:revision>
  <cp:lastPrinted>2022-10-17T19:31:00Z</cp:lastPrinted>
  <dcterms:created xsi:type="dcterms:W3CDTF">2022-10-21T04:07:00Z</dcterms:created>
  <dcterms:modified xsi:type="dcterms:W3CDTF">2022-10-21T04:07:00Z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ies>
</file>