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8D75" w14:textId="2A64B519" w:rsidR="00161D4C" w:rsidRDefault="00E67681" w:rsidP="007979D9">
      <w:pPr>
        <w:pStyle w:val="Title"/>
        <w:spacing w:line="240" w:lineRule="auto"/>
        <w:ind w:right="2835"/>
      </w:pPr>
      <w:r>
        <w:rPr>
          <w:noProof/>
        </w:rPr>
        <w:drawing>
          <wp:anchor distT="0" distB="0" distL="0" distR="0" simplePos="0" relativeHeight="251658247" behindDoc="1" locked="0" layoutInCell="1" allowOverlap="1" wp14:anchorId="748456EC" wp14:editId="0910F43B">
            <wp:simplePos x="723900" y="3600450"/>
            <wp:positionH relativeFrom="margin">
              <wp:align>center</wp:align>
            </wp:positionH>
            <wp:positionV relativeFrom="page">
              <wp:align>center</wp:align>
            </wp:positionV>
            <wp:extent cx="7876800" cy="11167200"/>
            <wp:effectExtent l="0" t="0" r="0" b="0"/>
            <wp:wrapTight wrapText="bothSides">
              <wp:wrapPolygon edited="0">
                <wp:start x="0" y="0"/>
                <wp:lineTo x="0" y="21556"/>
                <wp:lineTo x="21523" y="21556"/>
                <wp:lineTo x="21523" y="0"/>
                <wp:lineTo x="0" y="0"/>
              </wp:wrapPolygon>
            </wp:wrapTight>
            <wp:docPr id="5783028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02885" name="Picture 578302885"/>
                    <pic:cNvPicPr/>
                  </pic:nvPicPr>
                  <pic:blipFill>
                    <a:blip r:embed="rId11">
                      <a:extLst>
                        <a:ext uri="{28A0092B-C50C-407E-A947-70E740481C1C}">
                          <a14:useLocalDpi xmlns:a14="http://schemas.microsoft.com/office/drawing/2010/main" val="0"/>
                        </a:ext>
                      </a:extLst>
                    </a:blip>
                    <a:stretch>
                      <a:fillRect/>
                    </a:stretch>
                  </pic:blipFill>
                  <pic:spPr>
                    <a:xfrm>
                      <a:off x="0" y="0"/>
                      <a:ext cx="7876800" cy="11167200"/>
                    </a:xfrm>
                    <a:prstGeom prst="rect">
                      <a:avLst/>
                    </a:prstGeom>
                  </pic:spPr>
                </pic:pic>
              </a:graphicData>
            </a:graphic>
            <wp14:sizeRelH relativeFrom="margin">
              <wp14:pctWidth>0</wp14:pctWidth>
            </wp14:sizeRelH>
            <wp14:sizeRelV relativeFrom="margin">
              <wp14:pctHeight>0</wp14:pctHeight>
            </wp14:sizeRelV>
          </wp:anchor>
        </w:drawing>
      </w:r>
    </w:p>
    <w:p w14:paraId="2CAC59B7" w14:textId="77777777" w:rsidR="00C05132" w:rsidRPr="00E44F3E" w:rsidRDefault="00C05132" w:rsidP="00A06BE4"/>
    <w:p w14:paraId="459045D2" w14:textId="36684506" w:rsidR="004A766C" w:rsidRPr="00E44F3E" w:rsidRDefault="004A766C" w:rsidP="004A766C">
      <w:pPr>
        <w:rPr>
          <w:lang w:eastAsia="en-NZ"/>
        </w:rPr>
      </w:pPr>
    </w:p>
    <w:p w14:paraId="0F6FFD2A" w14:textId="331578B0" w:rsidR="00A80363" w:rsidRPr="00E44F3E" w:rsidRDefault="00A80363" w:rsidP="00A63DFF">
      <w:pPr>
        <w:pStyle w:val="Imprint"/>
        <w:spacing w:before="1200"/>
        <w:rPr>
          <w:rFonts w:cs="Segoe UI"/>
        </w:rPr>
      </w:pPr>
      <w:r w:rsidRPr="00E44F3E">
        <w:rPr>
          <w:rFonts w:cs="Segoe UI"/>
        </w:rPr>
        <w:t xml:space="preserve">Citation: </w:t>
      </w:r>
      <w:r w:rsidR="000E6010" w:rsidRPr="00E44F3E">
        <w:rPr>
          <w:rFonts w:cs="Segoe UI"/>
        </w:rPr>
        <w:t xml:space="preserve">Te Aho o Te Kahu. 2024. </w:t>
      </w:r>
      <w:r w:rsidR="000E6010" w:rsidRPr="00E44F3E">
        <w:rPr>
          <w:rFonts w:cs="Segoe UI"/>
          <w:i/>
          <w:iCs/>
        </w:rPr>
        <w:t xml:space="preserve">Te </w:t>
      </w:r>
      <w:proofErr w:type="spellStart"/>
      <w:r w:rsidR="000E6010" w:rsidRPr="00E44F3E">
        <w:rPr>
          <w:rFonts w:cs="Segoe UI"/>
          <w:i/>
          <w:iCs/>
        </w:rPr>
        <w:t>rere</w:t>
      </w:r>
      <w:proofErr w:type="spellEnd"/>
      <w:r w:rsidR="000E6010" w:rsidRPr="00E44F3E">
        <w:rPr>
          <w:rFonts w:cs="Segoe UI"/>
          <w:i/>
          <w:iCs/>
        </w:rPr>
        <w:t xml:space="preserve"> o </w:t>
      </w:r>
      <w:proofErr w:type="spellStart"/>
      <w:r w:rsidR="000E6010" w:rsidRPr="00E44F3E">
        <w:rPr>
          <w:rFonts w:cs="Segoe UI"/>
          <w:i/>
          <w:iCs/>
        </w:rPr>
        <w:t>te</w:t>
      </w:r>
      <w:proofErr w:type="spellEnd"/>
      <w:r w:rsidR="000E6010" w:rsidRPr="00E44F3E">
        <w:rPr>
          <w:rFonts w:cs="Segoe UI"/>
          <w:i/>
          <w:iCs/>
        </w:rPr>
        <w:t xml:space="preserve"> toto</w:t>
      </w:r>
      <w:r w:rsidR="00B64903">
        <w:rPr>
          <w:rFonts w:cs="Segoe UI"/>
          <w:i/>
          <w:iCs/>
        </w:rPr>
        <w:t xml:space="preserve"> </w:t>
      </w:r>
      <w:r w:rsidR="005316C4">
        <w:rPr>
          <w:rFonts w:cs="Segoe UI"/>
          <w:i/>
          <w:iCs/>
        </w:rPr>
        <w:t>–</w:t>
      </w:r>
      <w:r w:rsidR="007345F8">
        <w:rPr>
          <w:rFonts w:cs="Segoe UI"/>
          <w:i/>
          <w:iCs/>
        </w:rPr>
        <w:t xml:space="preserve"> </w:t>
      </w:r>
      <w:r w:rsidR="000E6010" w:rsidRPr="00E44F3E">
        <w:rPr>
          <w:rFonts w:cs="Segoe UI"/>
          <w:i/>
          <w:iCs/>
        </w:rPr>
        <w:t xml:space="preserve"> Understanding blood cancer medicine availability in Aotearoa</w:t>
      </w:r>
      <w:r w:rsidR="00BE5593">
        <w:rPr>
          <w:rFonts w:cs="Segoe UI"/>
          <w:i/>
          <w:iCs/>
        </w:rPr>
        <w:t xml:space="preserve"> New Zealand</w:t>
      </w:r>
      <w:r w:rsidR="00B64903">
        <w:rPr>
          <w:rFonts w:cs="Segoe UI"/>
          <w:i/>
          <w:iCs/>
        </w:rPr>
        <w:t xml:space="preserve">: </w:t>
      </w:r>
      <w:r w:rsidR="000E6010" w:rsidRPr="00E44F3E">
        <w:rPr>
          <w:rFonts w:cs="Segoe UI"/>
          <w:i/>
          <w:iCs/>
        </w:rPr>
        <w:t xml:space="preserve">Full </w:t>
      </w:r>
      <w:r w:rsidR="00F811DD">
        <w:rPr>
          <w:rFonts w:cs="Segoe UI"/>
          <w:i/>
          <w:iCs/>
        </w:rPr>
        <w:t>r</w:t>
      </w:r>
      <w:r w:rsidR="000E6010" w:rsidRPr="00E44F3E">
        <w:rPr>
          <w:rFonts w:cs="Segoe UI"/>
          <w:i/>
          <w:iCs/>
        </w:rPr>
        <w:t>eport</w:t>
      </w:r>
      <w:r w:rsidR="000E6010" w:rsidRPr="00E44F3E">
        <w:rPr>
          <w:rFonts w:cs="Segoe UI"/>
        </w:rPr>
        <w:t>. Wellington: Te Aho o Te Kahu</w:t>
      </w:r>
      <w:r w:rsidR="00442C1C" w:rsidRPr="00E44F3E">
        <w:rPr>
          <w:rFonts w:cs="Segoe UI"/>
        </w:rPr>
        <w:t>.</w:t>
      </w:r>
    </w:p>
    <w:p w14:paraId="76E264C5" w14:textId="3736B1C1" w:rsidR="004A766C" w:rsidRPr="00E44F3E" w:rsidRDefault="004A766C" w:rsidP="004A766C">
      <w:pPr>
        <w:pStyle w:val="Imprint"/>
      </w:pPr>
      <w:r w:rsidRPr="00E44F3E">
        <w:t xml:space="preserve">Published in </w:t>
      </w:r>
      <w:r w:rsidR="007F3ED0">
        <w:t>October</w:t>
      </w:r>
      <w:r w:rsidRPr="00E44F3E">
        <w:t xml:space="preserve"> 2024 by Te</w:t>
      </w:r>
      <w:r w:rsidR="00602693" w:rsidRPr="00E44F3E">
        <w:t xml:space="preserve"> </w:t>
      </w:r>
      <w:r w:rsidRPr="00E44F3E">
        <w:t>Aho o Te</w:t>
      </w:r>
      <w:r w:rsidR="00602693" w:rsidRPr="00E44F3E">
        <w:t xml:space="preserve"> </w:t>
      </w:r>
      <w:r w:rsidRPr="00E44F3E">
        <w:t xml:space="preserve">Kahu </w:t>
      </w:r>
      <w:r w:rsidR="005316C4">
        <w:t>–</w:t>
      </w:r>
      <w:r w:rsidR="00C83E04" w:rsidRPr="00E44F3E">
        <w:t xml:space="preserve"> </w:t>
      </w:r>
      <w:r w:rsidRPr="00E44F3E">
        <w:t>Cancer Control Agency</w:t>
      </w:r>
      <w:r w:rsidRPr="00E44F3E">
        <w:br/>
        <w:t>PO Box 5013, Wellington 6140, New</w:t>
      </w:r>
      <w:r w:rsidR="00602693" w:rsidRPr="00E44F3E">
        <w:t xml:space="preserve"> </w:t>
      </w:r>
      <w:r w:rsidRPr="00E44F3E">
        <w:t>Zealand</w:t>
      </w:r>
    </w:p>
    <w:p w14:paraId="6640CE9A" w14:textId="77777777" w:rsidR="004A766C" w:rsidRPr="00E44F3E" w:rsidRDefault="004A766C" w:rsidP="004A766C">
      <w:pPr>
        <w:pStyle w:val="Imprint"/>
      </w:pPr>
      <w:r w:rsidRPr="00D80137">
        <w:t>ISBN 978-1-7385872-0-9 (online)</w:t>
      </w:r>
      <w:r w:rsidRPr="00D80137">
        <w:br/>
        <w:t>TP0014</w:t>
      </w:r>
    </w:p>
    <w:p w14:paraId="693613AA" w14:textId="77777777" w:rsidR="005718A6" w:rsidRPr="00E44F3E" w:rsidRDefault="005718A6" w:rsidP="00D27922">
      <w:pPr>
        <w:spacing w:before="360"/>
      </w:pPr>
      <w:r w:rsidRPr="00E44F3E">
        <w:rPr>
          <w:noProof/>
          <w:lang w:eastAsia="en-NZ"/>
        </w:rPr>
        <w:drawing>
          <wp:inline distT="0" distB="0" distL="0" distR="0" wp14:anchorId="4FBBAB14" wp14:editId="6D9F0C55">
            <wp:extent cx="1396538" cy="650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2"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A9D4443" w14:textId="7C97B190" w:rsidR="00A63DFF" w:rsidRPr="00E44F3E" w:rsidRDefault="00A63DFF" w:rsidP="00A63DFF">
      <w:pPr>
        <w:pStyle w:val="Imprint"/>
        <w:spacing w:before="240" w:after="480"/>
      </w:pPr>
      <w:r w:rsidRPr="00E44F3E">
        <w:t xml:space="preserve">This document is available </w:t>
      </w:r>
      <w:r w:rsidR="004A766C" w:rsidRPr="00E44F3E">
        <w:t xml:space="preserve">at </w:t>
      </w:r>
      <w:hyperlink r:id="rId13" w:history="1">
        <w:r w:rsidR="004A766C" w:rsidRPr="00E44F3E">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E44F3E" w14:paraId="129652C0" w14:textId="77777777" w:rsidTr="00A63DFF">
        <w:trPr>
          <w:cantSplit/>
        </w:trPr>
        <w:tc>
          <w:tcPr>
            <w:tcW w:w="1526" w:type="dxa"/>
          </w:tcPr>
          <w:p w14:paraId="5E50A092" w14:textId="77777777" w:rsidR="00A63DFF" w:rsidRPr="00E44F3E" w:rsidRDefault="00A63DFF" w:rsidP="00F103BE">
            <w:pPr>
              <w:spacing w:before="240"/>
              <w:rPr>
                <w:rFonts w:cs="Segoe UI"/>
                <w:sz w:val="15"/>
                <w:szCs w:val="15"/>
              </w:rPr>
            </w:pPr>
            <w:r w:rsidRPr="00E44F3E">
              <w:rPr>
                <w:rFonts w:cs="Segoe UI"/>
                <w:b/>
                <w:noProof/>
                <w:sz w:val="15"/>
                <w:szCs w:val="15"/>
                <w:lang w:eastAsia="en-NZ"/>
              </w:rPr>
              <w:drawing>
                <wp:inline distT="0" distB="0" distL="0" distR="0" wp14:anchorId="09A91291" wp14:editId="3639F78E">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62CDFE6" w14:textId="77777777" w:rsidR="00A63DFF" w:rsidRPr="00E44F3E" w:rsidRDefault="00A63DFF" w:rsidP="00A63DFF">
            <w:pPr>
              <w:rPr>
                <w:rFonts w:cs="Segoe UI"/>
                <w:sz w:val="15"/>
                <w:szCs w:val="15"/>
              </w:rPr>
            </w:pPr>
            <w:r w:rsidRPr="00E44F3E">
              <w:rPr>
                <w:rFonts w:cs="Segoe UI"/>
                <w:sz w:val="15"/>
                <w:szCs w:val="15"/>
              </w:rPr>
              <w:t xml:space="preserve">This work is licensed under the Creative Commons Attribution 4.0 International licence. In essence, </w:t>
            </w:r>
            <w:r w:rsidRPr="00E44F3E">
              <w:rPr>
                <w:rFonts w:cs="Segoe UI"/>
                <w:bCs/>
                <w:sz w:val="15"/>
                <w:szCs w:val="15"/>
              </w:rPr>
              <w:t xml:space="preserve">you are free to: </w:t>
            </w:r>
            <w:r w:rsidRPr="00E44F3E">
              <w:rPr>
                <w:rFonts w:cs="Segoe UI"/>
                <w:sz w:val="15"/>
                <w:szCs w:val="15"/>
              </w:rPr>
              <w:t xml:space="preserve">share </w:t>
            </w:r>
            <w:proofErr w:type="spellStart"/>
            <w:r w:rsidRPr="00E44F3E">
              <w:rPr>
                <w:rFonts w:cs="Segoe UI"/>
                <w:sz w:val="15"/>
                <w:szCs w:val="15"/>
              </w:rPr>
              <w:t>ie</w:t>
            </w:r>
            <w:proofErr w:type="spellEnd"/>
            <w:r w:rsidRPr="00E44F3E">
              <w:rPr>
                <w:rFonts w:cs="Segoe UI"/>
                <w:sz w:val="15"/>
                <w:szCs w:val="15"/>
              </w:rPr>
              <w:t xml:space="preserve">, copy and redistribute the material in any medium or format; adapt </w:t>
            </w:r>
            <w:proofErr w:type="spellStart"/>
            <w:r w:rsidRPr="00E44F3E">
              <w:rPr>
                <w:rFonts w:cs="Segoe UI"/>
                <w:sz w:val="15"/>
                <w:szCs w:val="15"/>
              </w:rPr>
              <w:t>ie</w:t>
            </w:r>
            <w:proofErr w:type="spellEnd"/>
            <w:r w:rsidRPr="00E44F3E">
              <w:rPr>
                <w:rFonts w:cs="Segoe UI"/>
                <w:sz w:val="15"/>
                <w:szCs w:val="15"/>
              </w:rPr>
              <w:t xml:space="preserve">, remix, transform and build upon the material. </w:t>
            </w:r>
            <w:r w:rsidRPr="00E44F3E">
              <w:rPr>
                <w:rFonts w:cs="Segoe UI"/>
                <w:bCs/>
                <w:sz w:val="15"/>
                <w:szCs w:val="15"/>
              </w:rPr>
              <w:t xml:space="preserve">You must give appropriate credit, provide a link to the </w:t>
            </w:r>
            <w:proofErr w:type="gramStart"/>
            <w:r w:rsidRPr="00E44F3E">
              <w:rPr>
                <w:rFonts w:cs="Segoe UI"/>
                <w:bCs/>
                <w:sz w:val="15"/>
                <w:szCs w:val="15"/>
              </w:rPr>
              <w:t>licence</w:t>
            </w:r>
            <w:proofErr w:type="gramEnd"/>
            <w:r w:rsidRPr="00E44F3E">
              <w:rPr>
                <w:rFonts w:cs="Segoe UI"/>
                <w:bCs/>
                <w:sz w:val="15"/>
                <w:szCs w:val="15"/>
              </w:rPr>
              <w:t xml:space="preserve"> and indicate if changes were made.</w:t>
            </w:r>
          </w:p>
        </w:tc>
      </w:tr>
    </w:tbl>
    <w:p w14:paraId="2BF13B36" w14:textId="77777777" w:rsidR="007E74F1" w:rsidRPr="00E44F3E" w:rsidRDefault="007E74F1" w:rsidP="006E2886">
      <w:pPr>
        <w:pStyle w:val="Imprint"/>
      </w:pPr>
    </w:p>
    <w:p w14:paraId="60794794" w14:textId="77777777" w:rsidR="00C86248" w:rsidRPr="00E44F3E" w:rsidRDefault="00C86248">
      <w:pPr>
        <w:jc w:val="center"/>
        <w:sectPr w:rsidR="00C86248" w:rsidRPr="00E44F3E" w:rsidSect="002950CD">
          <w:pgSz w:w="11907" w:h="16834" w:code="9"/>
          <w:pgMar w:top="1701" w:right="2268" w:bottom="1418" w:left="2268" w:header="425" w:footer="284" w:gutter="0"/>
          <w:cols w:space="720"/>
          <w:vAlign w:val="bottom"/>
        </w:sectPr>
      </w:pPr>
    </w:p>
    <w:p w14:paraId="27BBE51D" w14:textId="4E0DEC59" w:rsidR="00414C35" w:rsidRPr="00E44F3E" w:rsidRDefault="00616864" w:rsidP="00B74EE0">
      <w:pPr>
        <w:pStyle w:val="Heading1"/>
        <w:rPr>
          <w:color w:val="0AB58F"/>
        </w:rPr>
      </w:pPr>
      <w:bookmarkStart w:id="0" w:name="_Toc180062089"/>
      <w:bookmarkStart w:id="1" w:name="_Toc405792991"/>
      <w:bookmarkStart w:id="2" w:name="_Toc405793224"/>
      <w:r w:rsidRPr="00E44F3E">
        <w:lastRenderedPageBreak/>
        <w:t>HE KUPU TAKAMUA</w:t>
      </w:r>
      <w:r w:rsidR="00736BE6" w:rsidRPr="00E44F3E">
        <w:t xml:space="preserve"> </w:t>
      </w:r>
      <w:r w:rsidR="00736BE6" w:rsidRPr="00E44F3E">
        <w:rPr>
          <w:color w:val="FFFFFF" w:themeColor="background1"/>
        </w:rPr>
        <w:t>|</w:t>
      </w:r>
      <w:r w:rsidR="00B74EE0" w:rsidRPr="00E44F3E">
        <w:br/>
      </w:r>
      <w:r w:rsidR="00B74EE0" w:rsidRPr="00E44F3E">
        <w:rPr>
          <w:color w:val="0AB58F"/>
        </w:rPr>
        <w:t>FOREWORD</w:t>
      </w:r>
      <w:bookmarkEnd w:id="0"/>
    </w:p>
    <w:p w14:paraId="49215268" w14:textId="036404DC" w:rsidR="00CA0D24" w:rsidRPr="00E44F3E" w:rsidRDefault="00CA0D24" w:rsidP="007E60A5">
      <w:pPr>
        <w:rPr>
          <w:rFonts w:cs="Calibri"/>
        </w:rPr>
      </w:pPr>
      <w:r w:rsidRPr="00E44F3E">
        <w:rPr>
          <w:noProof/>
        </w:rPr>
        <w:drawing>
          <wp:anchor distT="180340" distB="180340" distL="180340" distR="180340" simplePos="0" relativeHeight="251658240" behindDoc="1" locked="0" layoutInCell="1" allowOverlap="1" wp14:anchorId="5356B2FC" wp14:editId="5622B854">
            <wp:simplePos x="0" y="0"/>
            <wp:positionH relativeFrom="column">
              <wp:posOffset>0</wp:posOffset>
            </wp:positionH>
            <wp:positionV relativeFrom="paragraph">
              <wp:posOffset>22225</wp:posOffset>
            </wp:positionV>
            <wp:extent cx="1789200" cy="1789200"/>
            <wp:effectExtent l="0" t="0" r="1905" b="1905"/>
            <wp:wrapTight wrapText="bothSides">
              <wp:wrapPolygon edited="0">
                <wp:start x="0" y="0"/>
                <wp:lineTo x="0" y="21393"/>
                <wp:lineTo x="21393" y="21393"/>
                <wp:lineTo x="21393" y="0"/>
                <wp:lineTo x="0" y="0"/>
              </wp:wrapPolygon>
            </wp:wrapTight>
            <wp:docPr id="8" name="Picture 8" descr="A photo of Te Aho o Te Kahu's Tumuaki or Chief Executive, Rami Rahal, wearing a grey suit, blue check shirt and red and blue striped tie.  He is standing outside with blurred background of native bush. The photo is from his chest up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hoto of Te Aho o Te Kahu's Tumuaki or Chief Executive, Rami Rahal, wearing a grey suit, blue check shirt and red and blue striped tie.  He is standing outside with blurred background of native bush. The photo is from his chest upwards. "/>
                    <pic:cNvPicPr/>
                  </pic:nvPicPr>
                  <pic:blipFill>
                    <a:blip r:embed="rId15">
                      <a:extLst>
                        <a:ext uri="{28A0092B-C50C-407E-A947-70E740481C1C}">
                          <a14:useLocalDpi xmlns:a14="http://schemas.microsoft.com/office/drawing/2010/main" val="0"/>
                        </a:ext>
                      </a:extLst>
                    </a:blip>
                    <a:stretch>
                      <a:fillRect/>
                    </a:stretch>
                  </pic:blipFill>
                  <pic:spPr>
                    <a:xfrm>
                      <a:off x="0" y="0"/>
                      <a:ext cx="1789200" cy="1789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D429D" w:rsidRPr="00E44F3E">
        <w:rPr>
          <w:rFonts w:cs="Calibri"/>
        </w:rPr>
        <w:t>Tēnā</w:t>
      </w:r>
      <w:proofErr w:type="spellEnd"/>
      <w:r w:rsidRPr="00E44F3E">
        <w:rPr>
          <w:rFonts w:cs="Calibri"/>
        </w:rPr>
        <w:t xml:space="preserve"> koutou, </w:t>
      </w:r>
    </w:p>
    <w:p w14:paraId="1E6346F6" w14:textId="77777777" w:rsidR="00CA0D24" w:rsidRPr="00E44F3E" w:rsidRDefault="00CA0D24" w:rsidP="007E60A5"/>
    <w:p w14:paraId="61A60369" w14:textId="43A1966C" w:rsidR="00CA0D24" w:rsidRPr="00E44F3E" w:rsidRDefault="00CA0D24" w:rsidP="007E60A5">
      <w:r w:rsidRPr="00E44F3E">
        <w:t>Every year in Aotearoa New Zealand, around 2,800 people are diagnosed with a blood cancer. There are no known prevention or screening interventions for blood cancers. For the people diagnosed, cancer medicines are often the principal treatment option. It is incredibly important to all people with cancer, their whānau, and their cancer treatment teams that the most appropriate treatment is available to them</w:t>
      </w:r>
      <w:r w:rsidR="005F383E">
        <w:t>,</w:t>
      </w:r>
      <w:r w:rsidRPr="00E44F3E">
        <w:t xml:space="preserve"> when and where they need it.</w:t>
      </w:r>
      <w:r w:rsidR="00B1682D" w:rsidRPr="00E44F3E">
        <w:t xml:space="preserve"> </w:t>
      </w:r>
    </w:p>
    <w:p w14:paraId="4C787037" w14:textId="77777777" w:rsidR="007E60A5" w:rsidRPr="00E44F3E" w:rsidRDefault="007E60A5" w:rsidP="007E60A5"/>
    <w:p w14:paraId="38DDCE41" w14:textId="049530CA" w:rsidR="00CA0D24" w:rsidRPr="00E44F3E" w:rsidRDefault="00CA0D24" w:rsidP="007E60A5">
      <w:pPr>
        <w:rPr>
          <w:rFonts w:ascii="Segoe UI" w:hAnsi="Segoe UI"/>
        </w:rPr>
      </w:pPr>
      <w:r w:rsidRPr="00E44F3E">
        <w:t xml:space="preserve">For </w:t>
      </w:r>
      <w:proofErr w:type="gramStart"/>
      <w:r w:rsidRPr="00E44F3E">
        <w:t>a number of</w:t>
      </w:r>
      <w:proofErr w:type="gramEnd"/>
      <w:r w:rsidRPr="00E44F3E">
        <w:t xml:space="preserve"> years, there has been concern that Australia has more cancer medicines available than </w:t>
      </w:r>
      <w:r w:rsidR="00E1600F">
        <w:t xml:space="preserve">Aotearoa </w:t>
      </w:r>
      <w:r w:rsidR="00A76B5B">
        <w:t>New </w:t>
      </w:r>
      <w:r w:rsidR="00E1600F">
        <w:t>Zealand</w:t>
      </w:r>
      <w:r w:rsidRPr="00E44F3E">
        <w:t xml:space="preserve">. The report </w:t>
      </w:r>
      <w:r w:rsidRPr="00E44F3E">
        <w:rPr>
          <w:i/>
          <w:iCs/>
        </w:rPr>
        <w:t xml:space="preserve">Understanding the Gap: an analysis of the availability of cancer medicines in Aotearoa </w:t>
      </w:r>
      <w:r w:rsidRPr="00E44F3E">
        <w:t xml:space="preserve">was written in 2022 to provide clarity as to the extent and materiality of the difference in medicine availability between Australia and </w:t>
      </w:r>
      <w:r w:rsidR="00E1600F">
        <w:t xml:space="preserve">Aotearoa </w:t>
      </w:r>
      <w:r w:rsidR="00A76B5B">
        <w:t>New </w:t>
      </w:r>
      <w:r w:rsidR="00E1600F">
        <w:t>Zealand</w:t>
      </w:r>
      <w:r w:rsidRPr="00E44F3E">
        <w:t>.</w:t>
      </w:r>
      <w:r w:rsidR="00602693" w:rsidRPr="00E44F3E">
        <w:t xml:space="preserve"> </w:t>
      </w:r>
      <w:r w:rsidRPr="00E44F3E">
        <w:t>Only medicines that met a minimum threshold of clinical benefit (based on an internationally recognised tool) were identified as a gap in the report.</w:t>
      </w:r>
      <w:r w:rsidR="00602693" w:rsidRPr="00E44F3E">
        <w:rPr>
          <w:rFonts w:cs="Segoe UI"/>
        </w:rPr>
        <w:t xml:space="preserve"> </w:t>
      </w:r>
    </w:p>
    <w:p w14:paraId="1EBAEF29" w14:textId="77777777" w:rsidR="007E60A5" w:rsidRPr="00E44F3E" w:rsidRDefault="007E60A5" w:rsidP="007E60A5"/>
    <w:p w14:paraId="62BB1230" w14:textId="105CC271" w:rsidR="00CA0D24" w:rsidRPr="00E44F3E" w:rsidRDefault="00CA0D24" w:rsidP="007E60A5">
      <w:pPr>
        <w:rPr>
          <w:rFonts w:ascii="Segoe UI" w:hAnsi="Segoe UI"/>
        </w:rPr>
      </w:pPr>
      <w:r w:rsidRPr="00E44F3E">
        <w:t xml:space="preserve">At the time of the 2022 </w:t>
      </w:r>
      <w:r w:rsidR="00A05BFB" w:rsidRPr="00E44F3E">
        <w:t>r</w:t>
      </w:r>
      <w:r w:rsidRPr="00E44F3E">
        <w:t>eport, it was not possible to assess the magnitude of clinical benefit for blood cancer medicines funded in Australia but not in Aotearoa</w:t>
      </w:r>
      <w:r w:rsidR="00AD3A79">
        <w:t xml:space="preserve"> New Zealand</w:t>
      </w:r>
      <w:r w:rsidRPr="00E44F3E">
        <w:t>.</w:t>
      </w:r>
      <w:r w:rsidR="00B1682D" w:rsidRPr="00E44F3E">
        <w:t xml:space="preserve"> </w:t>
      </w:r>
      <w:r w:rsidRPr="00E44F3E">
        <w:t>Te Aho o Te Kahu made the commitment to complete that part of the analysis as soon as possible. We are very pleased to now deliver on that commitment and complete this work.</w:t>
      </w:r>
      <w:r w:rsidR="0066516C">
        <w:t xml:space="preserve"> </w:t>
      </w:r>
    </w:p>
    <w:p w14:paraId="3DB5968D" w14:textId="0475AF6C" w:rsidR="00CA0D24" w:rsidRPr="00E44F3E" w:rsidRDefault="00CA0D24" w:rsidP="007E60A5"/>
    <w:p w14:paraId="7A5D7443" w14:textId="0C2B7F0F" w:rsidR="00CA0D24" w:rsidRPr="00E44F3E" w:rsidRDefault="00CA0D24" w:rsidP="007E60A5">
      <w:r w:rsidRPr="00E44F3E">
        <w:t xml:space="preserve">The information in this report will make clear how blood cancer medicine availability in </w:t>
      </w:r>
      <w:r w:rsidR="00E1600F">
        <w:t xml:space="preserve">Aotearoa </w:t>
      </w:r>
      <w:r w:rsidR="00A76B5B">
        <w:t>New </w:t>
      </w:r>
      <w:r w:rsidR="00E1600F">
        <w:t>Zealand</w:t>
      </w:r>
      <w:r w:rsidRPr="00E44F3E">
        <w:t xml:space="preserve"> is different from Australia,</w:t>
      </w:r>
      <w:r w:rsidR="00602693" w:rsidRPr="00E44F3E">
        <w:t xml:space="preserve"> </w:t>
      </w:r>
      <w:r w:rsidRPr="00E44F3E">
        <w:t xml:space="preserve">a country we are routinely compared with. We hope the report will contribute further to the understanding of the availability of cancer medicines in </w:t>
      </w:r>
      <w:r w:rsidR="00E1600F">
        <w:t xml:space="preserve">Aotearoa </w:t>
      </w:r>
      <w:r w:rsidR="00A76B5B">
        <w:t>New </w:t>
      </w:r>
      <w:r w:rsidR="00E1600F">
        <w:t>Zealand</w:t>
      </w:r>
      <w:r w:rsidRPr="00E44F3E">
        <w:t xml:space="preserve"> and that it will be a useful reference for the health system. The insights gained from </w:t>
      </w:r>
      <w:r w:rsidR="00B30DDC">
        <w:t>this</w:t>
      </w:r>
      <w:r w:rsidR="00B30DDC" w:rsidRPr="00E44F3E">
        <w:t xml:space="preserve"> </w:t>
      </w:r>
      <w:r w:rsidRPr="00E44F3E">
        <w:t>report can add to the discourse about access to medicines in this country and be considered alongside the many other sources of evidence and advice that inform decisions about medicines funding.</w:t>
      </w:r>
      <w:r w:rsidR="00602693" w:rsidRPr="00E44F3E">
        <w:t xml:space="preserve"> </w:t>
      </w:r>
    </w:p>
    <w:p w14:paraId="6E4234C2" w14:textId="3CEBDF8C" w:rsidR="00CA0D24" w:rsidRPr="00E44F3E" w:rsidRDefault="00CA0D24" w:rsidP="007E60A5"/>
    <w:p w14:paraId="7CEEF195" w14:textId="36B2F374" w:rsidR="00CA0D24" w:rsidRPr="00E44F3E" w:rsidRDefault="00CA0D24" w:rsidP="00F72DF0">
      <w:r w:rsidRPr="00E44F3E">
        <w:t xml:space="preserve">Cancer medicines are an important part of providing quality cancer care, </w:t>
      </w:r>
      <w:r w:rsidR="00B30DDC">
        <w:t xml:space="preserve">but </w:t>
      </w:r>
      <w:r w:rsidRPr="00E44F3E">
        <w:t xml:space="preserve">they are </w:t>
      </w:r>
      <w:r w:rsidR="00B30DDC">
        <w:t xml:space="preserve">just </w:t>
      </w:r>
      <w:r w:rsidRPr="00E44F3E">
        <w:t xml:space="preserve">one of a broad range of approaches needed to combat cancer. Coordinated efforts across the entire cancer continuum are required to ensure the system functions as efficiently and equitably as possible to deliver the best health outcomes. This includes focusing on prevention activities, </w:t>
      </w:r>
      <w:proofErr w:type="gramStart"/>
      <w:r w:rsidRPr="00E44F3E">
        <w:t>identifying</w:t>
      </w:r>
      <w:proofErr w:type="gramEnd"/>
      <w:r w:rsidRPr="00E44F3E">
        <w:t xml:space="preserve"> and diagnosing people with cancer early (including through screening), </w:t>
      </w:r>
      <w:r w:rsidR="00FD62AA" w:rsidRPr="00E44F3E">
        <w:t xml:space="preserve">and </w:t>
      </w:r>
      <w:r w:rsidRPr="00E44F3E">
        <w:t>ensuring there is adequate workforce and infrastructure to support high</w:t>
      </w:r>
      <w:r w:rsidR="00FD62AA" w:rsidRPr="00E44F3E">
        <w:t>-</w:t>
      </w:r>
      <w:r w:rsidRPr="00E44F3E">
        <w:t>quality care (including surgery and radiation therapy) and quality</w:t>
      </w:r>
      <w:r w:rsidR="00FD62AA" w:rsidRPr="00E44F3E">
        <w:t>-</w:t>
      </w:r>
      <w:r w:rsidRPr="00E44F3E">
        <w:t>of</w:t>
      </w:r>
      <w:r w:rsidR="00FD62AA" w:rsidRPr="00E44F3E">
        <w:t>-</w:t>
      </w:r>
      <w:r w:rsidRPr="00E44F3E">
        <w:t xml:space="preserve">life supports </w:t>
      </w:r>
      <w:r w:rsidR="00FD62AA" w:rsidRPr="00E44F3E">
        <w:t>(</w:t>
      </w:r>
      <w:r w:rsidRPr="00E44F3E">
        <w:t>including palliative and end</w:t>
      </w:r>
      <w:r w:rsidR="00FD62AA" w:rsidRPr="00E44F3E">
        <w:t>-</w:t>
      </w:r>
      <w:r w:rsidRPr="00E44F3E">
        <w:t>of</w:t>
      </w:r>
      <w:r w:rsidR="00FD62AA" w:rsidRPr="00E44F3E">
        <w:t>-</w:t>
      </w:r>
      <w:r w:rsidRPr="00E44F3E">
        <w:t>life care</w:t>
      </w:r>
      <w:r w:rsidR="00FD62AA" w:rsidRPr="00E44F3E">
        <w:t>)</w:t>
      </w:r>
      <w:r w:rsidRPr="00E44F3E">
        <w:t>. The full health benefits of cancer medicines can only be realised if all parts of the cancer care continuum are working well and adequately resourced.</w:t>
      </w:r>
      <w:r w:rsidR="00B1682D" w:rsidRPr="00E44F3E">
        <w:t xml:space="preserve"> </w:t>
      </w:r>
    </w:p>
    <w:p w14:paraId="75B6CBC0" w14:textId="3FEBD766" w:rsidR="00CA0D24" w:rsidRPr="00E44F3E" w:rsidRDefault="00CA0D24" w:rsidP="00F72DF0"/>
    <w:p w14:paraId="542F73FA" w14:textId="77777777" w:rsidR="00F72DF0" w:rsidRPr="00E44F3E" w:rsidRDefault="00CA0D24" w:rsidP="007E60A5">
      <w:r w:rsidRPr="00E44F3E">
        <w:lastRenderedPageBreak/>
        <w:t>People with cancer, and their whānau, must always remain at the centre of any conversation about cancer treatments. While this report is technical, it has been written with those people in mind.</w:t>
      </w:r>
    </w:p>
    <w:p w14:paraId="237E6682" w14:textId="77777777" w:rsidR="00F72DF0" w:rsidRPr="00E44F3E" w:rsidRDefault="00F72DF0" w:rsidP="007E60A5"/>
    <w:p w14:paraId="2660D24A" w14:textId="19C12D73" w:rsidR="00F72DF0" w:rsidRPr="00E44F3E" w:rsidRDefault="00CA0D24" w:rsidP="007E60A5">
      <w:r w:rsidRPr="00E44F3E">
        <w:t>I would like to thank all those who provided their expertise to support this report</w:t>
      </w:r>
      <w:r w:rsidR="008772BC" w:rsidRPr="00E44F3E">
        <w:t>,</w:t>
      </w:r>
      <w:r w:rsidRPr="00E44F3E">
        <w:t xml:space="preserve"> including the staff at Te Aho o Te Kahu and the wider project team of clinical pharmacists and haematologists who are at the front line of care delivery. The release of this report brings to completion over three years of work for this group.</w:t>
      </w:r>
      <w:r w:rsidR="00B1682D" w:rsidRPr="00E44F3E">
        <w:t xml:space="preserve"> </w:t>
      </w:r>
    </w:p>
    <w:p w14:paraId="497B948C" w14:textId="77777777" w:rsidR="00F72DF0" w:rsidRPr="00E44F3E" w:rsidRDefault="00F72DF0" w:rsidP="007E60A5"/>
    <w:p w14:paraId="190BF375" w14:textId="6B702D02" w:rsidR="00CA0D24" w:rsidRPr="00E44F3E" w:rsidRDefault="00CA0D24" w:rsidP="007E60A5">
      <w:pPr>
        <w:rPr>
          <w:rFonts w:ascii="Segoe UI" w:hAnsi="Segoe UI"/>
        </w:rPr>
      </w:pPr>
      <w:r w:rsidRPr="00E44F3E">
        <w:t>It is my hope that this report will provide additional clarity and insights to all those invested in ensuring there are fewer cancers, better survival, and equity for all.</w:t>
      </w:r>
      <w:r w:rsidR="00602693" w:rsidRPr="00E44F3E">
        <w:rPr>
          <w:rFonts w:cs="Segoe UI"/>
        </w:rPr>
        <w:t xml:space="preserve"> </w:t>
      </w:r>
    </w:p>
    <w:p w14:paraId="7A878B5E" w14:textId="77777777" w:rsidR="00CA0D24" w:rsidRPr="00E44F3E" w:rsidRDefault="00CA0D24" w:rsidP="007E60A5"/>
    <w:p w14:paraId="3CFA9A5F" w14:textId="77777777" w:rsidR="00CA0D24" w:rsidRPr="00E44F3E" w:rsidRDefault="00CA0D24" w:rsidP="00CA0D24">
      <w:pPr>
        <w:keepNext/>
      </w:pPr>
      <w:r w:rsidRPr="00E44F3E">
        <w:t>Mauri ora</w:t>
      </w:r>
    </w:p>
    <w:p w14:paraId="750106D9" w14:textId="77777777" w:rsidR="00CA0D24" w:rsidRPr="00E44F3E" w:rsidRDefault="00CA0D24" w:rsidP="00CA0D24">
      <w:pPr>
        <w:keepNext/>
      </w:pPr>
    </w:p>
    <w:p w14:paraId="4370B8F4" w14:textId="77777777" w:rsidR="00CA0D24" w:rsidRPr="00E44F3E" w:rsidRDefault="00CA0D24" w:rsidP="00CA0D24">
      <w:pPr>
        <w:keepNext/>
      </w:pPr>
      <w:r w:rsidRPr="00E44F3E">
        <w:rPr>
          <w:noProof/>
        </w:rPr>
        <w:drawing>
          <wp:inline distT="0" distB="0" distL="0" distR="0" wp14:anchorId="6E1AA4AE" wp14:editId="0F2CA625">
            <wp:extent cx="1047750" cy="657778"/>
            <wp:effectExtent l="0" t="0" r="0" b="9525"/>
            <wp:docPr id="10" name="Picture 10" descr="Te Aho o Te Kahu's Tumuaki | Chief Executive Rami Rahal's written signature in black ink on a white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 Aho o Te Kahu's Tumuaki | Chief Executive Rami Rahal's written signature in black ink on a white background&#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3922" cy="667931"/>
                    </a:xfrm>
                    <a:prstGeom prst="rect">
                      <a:avLst/>
                    </a:prstGeom>
                  </pic:spPr>
                </pic:pic>
              </a:graphicData>
            </a:graphic>
          </wp:inline>
        </w:drawing>
      </w:r>
    </w:p>
    <w:p w14:paraId="567447E0" w14:textId="77777777" w:rsidR="00CA0D24" w:rsidRPr="00E44F3E" w:rsidRDefault="00CA0D24" w:rsidP="00CA0D24"/>
    <w:p w14:paraId="45F6310B" w14:textId="432F4026" w:rsidR="00CA0D24" w:rsidRPr="00E44F3E" w:rsidRDefault="00CA0D24" w:rsidP="00CA0D24">
      <w:pPr>
        <w:tabs>
          <w:tab w:val="center" w:pos="4039"/>
        </w:tabs>
      </w:pPr>
      <w:r w:rsidRPr="00E44F3E">
        <w:t xml:space="preserve">Rami Rahal </w:t>
      </w:r>
    </w:p>
    <w:p w14:paraId="10C45694" w14:textId="77777777" w:rsidR="00CA0D24" w:rsidRPr="00E44F3E" w:rsidRDefault="00CA0D24" w:rsidP="00CA0D24">
      <w:pPr>
        <w:rPr>
          <w:b/>
          <w:bCs/>
        </w:rPr>
      </w:pPr>
      <w:r w:rsidRPr="00E44F3E">
        <w:rPr>
          <w:b/>
          <w:bCs/>
        </w:rPr>
        <w:t>Chief Executive and National Director of Cancer Control</w:t>
      </w:r>
    </w:p>
    <w:p w14:paraId="30776862" w14:textId="6E58E6DE" w:rsidR="00FB0A5B" w:rsidRPr="00E44F3E" w:rsidRDefault="00CA0D24" w:rsidP="00CA0D24">
      <w:r w:rsidRPr="00E44F3E">
        <w:rPr>
          <w:b/>
          <w:bCs/>
        </w:rPr>
        <w:t>Te</w:t>
      </w:r>
      <w:r w:rsidR="00602693" w:rsidRPr="00E44F3E">
        <w:rPr>
          <w:b/>
          <w:bCs/>
        </w:rPr>
        <w:t xml:space="preserve"> </w:t>
      </w:r>
      <w:r w:rsidRPr="00E44F3E">
        <w:rPr>
          <w:b/>
          <w:bCs/>
        </w:rPr>
        <w:t>Aho o Te</w:t>
      </w:r>
      <w:r w:rsidR="00602693" w:rsidRPr="00E44F3E">
        <w:rPr>
          <w:b/>
          <w:bCs/>
        </w:rPr>
        <w:t xml:space="preserve"> </w:t>
      </w:r>
      <w:r w:rsidRPr="00E44F3E">
        <w:rPr>
          <w:b/>
          <w:bCs/>
        </w:rPr>
        <w:t xml:space="preserve">Kahu </w:t>
      </w:r>
      <w:r w:rsidR="00A119C9">
        <w:rPr>
          <w:b/>
          <w:bCs/>
        </w:rPr>
        <w:t xml:space="preserve">- </w:t>
      </w:r>
      <w:r w:rsidRPr="00E44F3E">
        <w:rPr>
          <w:b/>
          <w:bCs/>
        </w:rPr>
        <w:t>Cancer Control Agency</w:t>
      </w:r>
    </w:p>
    <w:p w14:paraId="217C964E" w14:textId="77777777" w:rsidR="00CA0D24" w:rsidRPr="00E44F3E" w:rsidRDefault="00CA0D24" w:rsidP="00414C35"/>
    <w:p w14:paraId="2DF2FEE8" w14:textId="0730FFF5" w:rsidR="00B25E45" w:rsidRPr="00E44F3E" w:rsidRDefault="00B25E45" w:rsidP="00F60111">
      <w:pPr>
        <w:pStyle w:val="Heading1"/>
        <w:rPr>
          <w:color w:val="0AB58F"/>
        </w:rPr>
      </w:pPr>
      <w:bookmarkStart w:id="3" w:name="_Toc100738996"/>
      <w:bookmarkStart w:id="4" w:name="_Toc175228986"/>
      <w:bookmarkStart w:id="5" w:name="_Toc180062090"/>
      <w:r w:rsidRPr="00E44F3E">
        <w:lastRenderedPageBreak/>
        <w:t>NGĀ MIHI</w:t>
      </w:r>
      <w:r w:rsidR="00F60111" w:rsidRPr="00E44F3E">
        <w:t xml:space="preserve"> </w:t>
      </w:r>
      <w:r w:rsidR="00F60111" w:rsidRPr="00E44F3E">
        <w:rPr>
          <w:color w:val="FFFFFF" w:themeColor="background1"/>
        </w:rPr>
        <w:t>|</w:t>
      </w:r>
      <w:r w:rsidR="00F60111" w:rsidRPr="00E44F3E">
        <w:br/>
      </w:r>
      <w:r w:rsidRPr="00E44F3E">
        <w:rPr>
          <w:color w:val="0AB58F"/>
        </w:rPr>
        <w:t>ACKNOWLEDGEMENTS</w:t>
      </w:r>
      <w:bookmarkEnd w:id="3"/>
      <w:bookmarkEnd w:id="4"/>
      <w:bookmarkEnd w:id="5"/>
    </w:p>
    <w:p w14:paraId="2F8A55C0" w14:textId="6293B726" w:rsidR="00F60111" w:rsidRPr="00E44F3E" w:rsidRDefault="00F60111" w:rsidP="00F60111">
      <w:pPr>
        <w:rPr>
          <w:lang w:eastAsia="en-NZ"/>
        </w:rPr>
      </w:pPr>
      <w:r w:rsidRPr="00E44F3E">
        <w:rPr>
          <w:lang w:eastAsia="en-NZ"/>
        </w:rPr>
        <w:t>This analysis was conducted by Te Aho o Te Kahu</w:t>
      </w:r>
      <w:r w:rsidR="00603B6C" w:rsidRPr="00E44F3E">
        <w:rPr>
          <w:lang w:eastAsia="en-NZ"/>
        </w:rPr>
        <w:t xml:space="preserve"> |</w:t>
      </w:r>
      <w:r w:rsidRPr="00E44F3E">
        <w:rPr>
          <w:lang w:eastAsia="en-NZ"/>
        </w:rPr>
        <w:t xml:space="preserve"> Cancer Control Agency. We would like to acknowledge those who have provided considerable time and expertise in helping us with various aspects of this report.</w:t>
      </w:r>
    </w:p>
    <w:p w14:paraId="69088382" w14:textId="77777777" w:rsidR="00F60111" w:rsidRPr="00E44F3E" w:rsidRDefault="00F60111" w:rsidP="00F60111">
      <w:pPr>
        <w:rPr>
          <w:lang w:eastAsia="en-NZ"/>
        </w:rPr>
      </w:pPr>
    </w:p>
    <w:p w14:paraId="06AA0D7D" w14:textId="77777777" w:rsidR="00F60111" w:rsidRPr="00E44F3E" w:rsidRDefault="00F60111" w:rsidP="00F60111">
      <w:pPr>
        <w:rPr>
          <w:lang w:eastAsia="en-NZ"/>
        </w:rPr>
      </w:pPr>
      <w:r w:rsidRPr="00E44F3E">
        <w:rPr>
          <w:lang w:eastAsia="en-NZ"/>
        </w:rPr>
        <w:t>Dr Bridgett McDiarmid</w:t>
      </w:r>
    </w:p>
    <w:p w14:paraId="44D4202B" w14:textId="77777777" w:rsidR="00F60111" w:rsidRPr="00E44F3E" w:rsidRDefault="00F60111" w:rsidP="00F60111">
      <w:pPr>
        <w:rPr>
          <w:lang w:eastAsia="en-NZ"/>
        </w:rPr>
      </w:pPr>
      <w:r w:rsidRPr="00E44F3E">
        <w:rPr>
          <w:lang w:eastAsia="en-NZ"/>
        </w:rPr>
        <w:t>Haematologist</w:t>
      </w:r>
    </w:p>
    <w:p w14:paraId="18E2EE76" w14:textId="77777777" w:rsidR="00F60111" w:rsidRPr="00E44F3E" w:rsidRDefault="00F60111" w:rsidP="00F60111">
      <w:pPr>
        <w:rPr>
          <w:lang w:eastAsia="en-NZ"/>
        </w:rPr>
      </w:pPr>
      <w:r w:rsidRPr="00E44F3E">
        <w:rPr>
          <w:lang w:eastAsia="en-NZ"/>
        </w:rPr>
        <w:t>Dunedin Hospital</w:t>
      </w:r>
    </w:p>
    <w:p w14:paraId="54E2DA5D" w14:textId="77777777" w:rsidR="00F60111" w:rsidRPr="00E44F3E" w:rsidRDefault="00F60111" w:rsidP="00F60111">
      <w:pPr>
        <w:rPr>
          <w:lang w:eastAsia="en-NZ"/>
        </w:rPr>
      </w:pPr>
    </w:p>
    <w:p w14:paraId="1DE01627" w14:textId="77777777" w:rsidR="00F60111" w:rsidRPr="00E44F3E" w:rsidRDefault="00F60111" w:rsidP="00F60111">
      <w:pPr>
        <w:rPr>
          <w:lang w:eastAsia="en-NZ"/>
        </w:rPr>
      </w:pPr>
      <w:r w:rsidRPr="00E44F3E">
        <w:rPr>
          <w:lang w:eastAsia="en-NZ"/>
        </w:rPr>
        <w:t>Dr Humphrey Pullon</w:t>
      </w:r>
    </w:p>
    <w:p w14:paraId="38BE8D04" w14:textId="77777777" w:rsidR="00F60111" w:rsidRPr="00E44F3E" w:rsidRDefault="00F60111" w:rsidP="00F60111">
      <w:pPr>
        <w:rPr>
          <w:lang w:eastAsia="en-NZ"/>
        </w:rPr>
      </w:pPr>
      <w:r w:rsidRPr="00E44F3E">
        <w:rPr>
          <w:lang w:eastAsia="en-NZ"/>
        </w:rPr>
        <w:t>Haematologist</w:t>
      </w:r>
    </w:p>
    <w:p w14:paraId="0134AACC" w14:textId="77777777" w:rsidR="00F60111" w:rsidRPr="00E44F3E" w:rsidRDefault="00F60111" w:rsidP="00F60111">
      <w:pPr>
        <w:rPr>
          <w:lang w:eastAsia="en-NZ"/>
        </w:rPr>
      </w:pPr>
      <w:r w:rsidRPr="00E44F3E">
        <w:rPr>
          <w:lang w:eastAsia="en-NZ"/>
        </w:rPr>
        <w:t>Waikato Hospital</w:t>
      </w:r>
    </w:p>
    <w:p w14:paraId="5C890D81" w14:textId="77777777" w:rsidR="00F60111" w:rsidRPr="00E44F3E" w:rsidRDefault="00F60111" w:rsidP="005111F9">
      <w:pPr>
        <w:rPr>
          <w:lang w:eastAsia="en-NZ"/>
        </w:rPr>
      </w:pPr>
    </w:p>
    <w:p w14:paraId="10D7ECF4" w14:textId="77777777" w:rsidR="00F60111" w:rsidRPr="005111F9" w:rsidRDefault="00F60111" w:rsidP="005111F9">
      <w:pPr>
        <w:rPr>
          <w:lang w:eastAsia="en-NZ"/>
        </w:rPr>
      </w:pPr>
      <w:r w:rsidRPr="005111F9">
        <w:rPr>
          <w:lang w:eastAsia="en-NZ"/>
        </w:rPr>
        <w:t xml:space="preserve">Jo-Anne Wilson </w:t>
      </w:r>
    </w:p>
    <w:p w14:paraId="46A9F879" w14:textId="77777777" w:rsidR="00F60111" w:rsidRPr="00E44F3E" w:rsidRDefault="00F60111" w:rsidP="005111F9">
      <w:pPr>
        <w:rPr>
          <w:lang w:eastAsia="en-NZ"/>
        </w:rPr>
      </w:pPr>
      <w:r w:rsidRPr="005111F9">
        <w:rPr>
          <w:lang w:eastAsia="en-NZ"/>
        </w:rPr>
        <w:t>Pharmacist</w:t>
      </w:r>
      <w:r w:rsidRPr="00E44F3E">
        <w:rPr>
          <w:lang w:eastAsia="en-NZ"/>
        </w:rPr>
        <w:t xml:space="preserve"> </w:t>
      </w:r>
    </w:p>
    <w:p w14:paraId="0FB89996" w14:textId="77777777" w:rsidR="00F60111" w:rsidRPr="00E44F3E" w:rsidRDefault="00F60111" w:rsidP="005111F9">
      <w:pPr>
        <w:rPr>
          <w:lang w:eastAsia="en-NZ"/>
        </w:rPr>
      </w:pPr>
    </w:p>
    <w:p w14:paraId="37E8B782" w14:textId="5761D930" w:rsidR="00F60111" w:rsidRPr="00E44F3E" w:rsidRDefault="00F60111" w:rsidP="005111F9">
      <w:pPr>
        <w:rPr>
          <w:lang w:eastAsia="en-NZ"/>
        </w:rPr>
      </w:pPr>
      <w:r w:rsidRPr="00E44F3E">
        <w:rPr>
          <w:lang w:eastAsia="en-NZ"/>
        </w:rPr>
        <w:t>We also are grateful to Pharmac staff for their input to develop this work.</w:t>
      </w:r>
    </w:p>
    <w:p w14:paraId="736CBF47" w14:textId="77777777" w:rsidR="00B25E45" w:rsidRPr="00E44F3E" w:rsidRDefault="00B25E45" w:rsidP="00B25E45"/>
    <w:bookmarkEnd w:id="1"/>
    <w:bookmarkEnd w:id="2"/>
    <w:p w14:paraId="06817D45" w14:textId="7DEBCC5D" w:rsidR="00F60111" w:rsidRPr="00E44F3E" w:rsidRDefault="00B13488" w:rsidP="00BC6DFF">
      <w:pPr>
        <w:pStyle w:val="IntroHead"/>
        <w:rPr>
          <w:color w:val="0AB58F"/>
        </w:rPr>
      </w:pPr>
      <w:r w:rsidRPr="00E44F3E">
        <w:lastRenderedPageBreak/>
        <w:t>NGĀ IHIRANGI</w:t>
      </w:r>
      <w:r w:rsidR="00F60111" w:rsidRPr="00E44F3E">
        <w:br/>
      </w:r>
      <w:r w:rsidR="00BC6DFF" w:rsidRPr="00E44F3E">
        <w:rPr>
          <w:color w:val="0AB58F"/>
        </w:rPr>
        <w:t>CONTENTS</w:t>
      </w:r>
    </w:p>
    <w:p w14:paraId="0C613842" w14:textId="4B9AAE2A" w:rsidR="006122DF" w:rsidRDefault="00D67309">
      <w:pPr>
        <w:pStyle w:val="TOC1"/>
        <w:rPr>
          <w:rFonts w:asciiTheme="minorHAnsi" w:eastAsiaTheme="minorEastAsia" w:hAnsiTheme="minorHAnsi" w:cstheme="minorBidi"/>
          <w:noProof/>
          <w:kern w:val="2"/>
          <w:sz w:val="22"/>
          <w:szCs w:val="22"/>
          <w:lang w:eastAsia="en-NZ"/>
          <w14:ligatures w14:val="standardContextual"/>
        </w:rPr>
      </w:pPr>
      <w:r w:rsidRPr="00E44F3E">
        <w:rPr>
          <w:rFonts w:ascii="Segoe UI Semibold" w:hAnsi="Segoe UI Semibold"/>
          <w:b/>
        </w:rPr>
        <w:fldChar w:fldCharType="begin"/>
      </w:r>
      <w:r w:rsidRPr="00E44F3E">
        <w:rPr>
          <w:rFonts w:ascii="Segoe UI Semibold" w:hAnsi="Segoe UI Semibold"/>
          <w:b/>
        </w:rPr>
        <w:instrText xml:space="preserve"> TOC \o "1-2" \h \z </w:instrText>
      </w:r>
      <w:r w:rsidRPr="00E44F3E">
        <w:rPr>
          <w:rFonts w:ascii="Segoe UI Semibold" w:hAnsi="Segoe UI Semibold"/>
          <w:b/>
        </w:rPr>
        <w:fldChar w:fldCharType="separate"/>
      </w:r>
      <w:hyperlink w:anchor="_Toc180062089" w:history="1">
        <w:r w:rsidR="006122DF" w:rsidRPr="00DB3E13">
          <w:rPr>
            <w:rStyle w:val="Hyperlink"/>
            <w:noProof/>
          </w:rPr>
          <w:t>HE KUPU TAKAMUA | FOREWORD</w:t>
        </w:r>
        <w:r w:rsidR="006122DF">
          <w:rPr>
            <w:noProof/>
            <w:webHidden/>
          </w:rPr>
          <w:tab/>
        </w:r>
        <w:r w:rsidR="006122DF">
          <w:rPr>
            <w:noProof/>
            <w:webHidden/>
          </w:rPr>
          <w:fldChar w:fldCharType="begin"/>
        </w:r>
        <w:r w:rsidR="006122DF">
          <w:rPr>
            <w:noProof/>
            <w:webHidden/>
          </w:rPr>
          <w:instrText xml:space="preserve"> PAGEREF _Toc180062089 \h </w:instrText>
        </w:r>
        <w:r w:rsidR="006122DF">
          <w:rPr>
            <w:noProof/>
            <w:webHidden/>
          </w:rPr>
        </w:r>
        <w:r w:rsidR="006122DF">
          <w:rPr>
            <w:noProof/>
            <w:webHidden/>
          </w:rPr>
          <w:fldChar w:fldCharType="separate"/>
        </w:r>
        <w:r w:rsidR="004A6DF6">
          <w:rPr>
            <w:noProof/>
            <w:webHidden/>
          </w:rPr>
          <w:t>iii</w:t>
        </w:r>
        <w:r w:rsidR="006122DF">
          <w:rPr>
            <w:noProof/>
            <w:webHidden/>
          </w:rPr>
          <w:fldChar w:fldCharType="end"/>
        </w:r>
      </w:hyperlink>
    </w:p>
    <w:p w14:paraId="08B7FE11" w14:textId="480DC2FF"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090" w:history="1">
        <w:r w:rsidR="006122DF" w:rsidRPr="00DB3E13">
          <w:rPr>
            <w:rStyle w:val="Hyperlink"/>
            <w:noProof/>
          </w:rPr>
          <w:t>NGĀ MIHI | ACKNOWLEDGEMENTS</w:t>
        </w:r>
        <w:r w:rsidR="006122DF">
          <w:rPr>
            <w:noProof/>
            <w:webHidden/>
          </w:rPr>
          <w:tab/>
        </w:r>
        <w:r w:rsidR="006122DF">
          <w:rPr>
            <w:noProof/>
            <w:webHidden/>
          </w:rPr>
          <w:fldChar w:fldCharType="begin"/>
        </w:r>
        <w:r w:rsidR="006122DF">
          <w:rPr>
            <w:noProof/>
            <w:webHidden/>
          </w:rPr>
          <w:instrText xml:space="preserve"> PAGEREF _Toc180062090 \h </w:instrText>
        </w:r>
        <w:r w:rsidR="006122DF">
          <w:rPr>
            <w:noProof/>
            <w:webHidden/>
          </w:rPr>
        </w:r>
        <w:r w:rsidR="006122DF">
          <w:rPr>
            <w:noProof/>
            <w:webHidden/>
          </w:rPr>
          <w:fldChar w:fldCharType="separate"/>
        </w:r>
        <w:r w:rsidR="004A6DF6">
          <w:rPr>
            <w:noProof/>
            <w:webHidden/>
          </w:rPr>
          <w:t>v</w:t>
        </w:r>
        <w:r w:rsidR="006122DF">
          <w:rPr>
            <w:noProof/>
            <w:webHidden/>
          </w:rPr>
          <w:fldChar w:fldCharType="end"/>
        </w:r>
      </w:hyperlink>
    </w:p>
    <w:p w14:paraId="159A8D99" w14:textId="0A63B860"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091" w:history="1">
        <w:r w:rsidR="006122DF" w:rsidRPr="00DB3E13">
          <w:rPr>
            <w:rStyle w:val="Hyperlink"/>
            <w:noProof/>
          </w:rPr>
          <w:t>HE WHAKARĀPOPOTONGA | EXECUTIVE SUMMARY</w:t>
        </w:r>
        <w:r w:rsidR="006122DF">
          <w:rPr>
            <w:noProof/>
            <w:webHidden/>
          </w:rPr>
          <w:tab/>
        </w:r>
        <w:r w:rsidR="006122DF">
          <w:rPr>
            <w:noProof/>
            <w:webHidden/>
          </w:rPr>
          <w:fldChar w:fldCharType="begin"/>
        </w:r>
        <w:r w:rsidR="006122DF">
          <w:rPr>
            <w:noProof/>
            <w:webHidden/>
          </w:rPr>
          <w:instrText xml:space="preserve"> PAGEREF _Toc180062091 \h </w:instrText>
        </w:r>
        <w:r w:rsidR="006122DF">
          <w:rPr>
            <w:noProof/>
            <w:webHidden/>
          </w:rPr>
        </w:r>
        <w:r w:rsidR="006122DF">
          <w:rPr>
            <w:noProof/>
            <w:webHidden/>
          </w:rPr>
          <w:fldChar w:fldCharType="separate"/>
        </w:r>
        <w:r w:rsidR="004A6DF6">
          <w:rPr>
            <w:noProof/>
            <w:webHidden/>
          </w:rPr>
          <w:t>x</w:t>
        </w:r>
        <w:r w:rsidR="006122DF">
          <w:rPr>
            <w:noProof/>
            <w:webHidden/>
          </w:rPr>
          <w:fldChar w:fldCharType="end"/>
        </w:r>
      </w:hyperlink>
    </w:p>
    <w:p w14:paraId="6536DBA1" w14:textId="083C05AA"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092" w:history="1">
        <w:r w:rsidR="006122DF" w:rsidRPr="00DB3E13">
          <w:rPr>
            <w:rStyle w:val="Hyperlink"/>
            <w:noProof/>
          </w:rPr>
          <w:t>KŌRERO O MUA | BACKGROUND</w:t>
        </w:r>
        <w:r w:rsidR="006122DF">
          <w:rPr>
            <w:noProof/>
            <w:webHidden/>
          </w:rPr>
          <w:tab/>
        </w:r>
        <w:r w:rsidR="006122DF">
          <w:rPr>
            <w:noProof/>
            <w:webHidden/>
          </w:rPr>
          <w:fldChar w:fldCharType="begin"/>
        </w:r>
        <w:r w:rsidR="006122DF">
          <w:rPr>
            <w:noProof/>
            <w:webHidden/>
          </w:rPr>
          <w:instrText xml:space="preserve"> PAGEREF _Toc180062092 \h </w:instrText>
        </w:r>
        <w:r w:rsidR="006122DF">
          <w:rPr>
            <w:noProof/>
            <w:webHidden/>
          </w:rPr>
        </w:r>
        <w:r w:rsidR="006122DF">
          <w:rPr>
            <w:noProof/>
            <w:webHidden/>
          </w:rPr>
          <w:fldChar w:fldCharType="separate"/>
        </w:r>
        <w:r w:rsidR="004A6DF6">
          <w:rPr>
            <w:noProof/>
            <w:webHidden/>
          </w:rPr>
          <w:t>1</w:t>
        </w:r>
        <w:r w:rsidR="006122DF">
          <w:rPr>
            <w:noProof/>
            <w:webHidden/>
          </w:rPr>
          <w:fldChar w:fldCharType="end"/>
        </w:r>
      </w:hyperlink>
    </w:p>
    <w:p w14:paraId="0494A069" w14:textId="24CF1155"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3" w:history="1">
        <w:r w:rsidR="006122DF" w:rsidRPr="00DB3E13">
          <w:rPr>
            <w:rStyle w:val="Hyperlink"/>
            <w:noProof/>
          </w:rPr>
          <w:t>Cancer medicine availability</w:t>
        </w:r>
        <w:r w:rsidR="006122DF">
          <w:rPr>
            <w:noProof/>
            <w:webHidden/>
          </w:rPr>
          <w:tab/>
        </w:r>
        <w:r w:rsidR="006122DF">
          <w:rPr>
            <w:noProof/>
            <w:webHidden/>
          </w:rPr>
          <w:fldChar w:fldCharType="begin"/>
        </w:r>
        <w:r w:rsidR="006122DF">
          <w:rPr>
            <w:noProof/>
            <w:webHidden/>
          </w:rPr>
          <w:instrText xml:space="preserve"> PAGEREF _Toc180062093 \h </w:instrText>
        </w:r>
        <w:r w:rsidR="006122DF">
          <w:rPr>
            <w:noProof/>
            <w:webHidden/>
          </w:rPr>
        </w:r>
        <w:r w:rsidR="006122DF">
          <w:rPr>
            <w:noProof/>
            <w:webHidden/>
          </w:rPr>
          <w:fldChar w:fldCharType="separate"/>
        </w:r>
        <w:r w:rsidR="004A6DF6">
          <w:rPr>
            <w:noProof/>
            <w:webHidden/>
          </w:rPr>
          <w:t>1</w:t>
        </w:r>
        <w:r w:rsidR="006122DF">
          <w:rPr>
            <w:noProof/>
            <w:webHidden/>
          </w:rPr>
          <w:fldChar w:fldCharType="end"/>
        </w:r>
      </w:hyperlink>
    </w:p>
    <w:p w14:paraId="54DA855B" w14:textId="32443044"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4" w:history="1">
        <w:r w:rsidR="006122DF" w:rsidRPr="00DB3E13">
          <w:rPr>
            <w:rStyle w:val="Hyperlink"/>
            <w:noProof/>
          </w:rPr>
          <w:t>Cancer has a significant impact on the health and wellbeing of New Zealanders</w:t>
        </w:r>
        <w:r w:rsidR="006122DF">
          <w:rPr>
            <w:noProof/>
            <w:webHidden/>
          </w:rPr>
          <w:tab/>
        </w:r>
        <w:r w:rsidR="006122DF">
          <w:rPr>
            <w:noProof/>
            <w:webHidden/>
          </w:rPr>
          <w:fldChar w:fldCharType="begin"/>
        </w:r>
        <w:r w:rsidR="006122DF">
          <w:rPr>
            <w:noProof/>
            <w:webHidden/>
          </w:rPr>
          <w:instrText xml:space="preserve"> PAGEREF _Toc180062094 \h </w:instrText>
        </w:r>
        <w:r w:rsidR="006122DF">
          <w:rPr>
            <w:noProof/>
            <w:webHidden/>
          </w:rPr>
        </w:r>
        <w:r w:rsidR="006122DF">
          <w:rPr>
            <w:noProof/>
            <w:webHidden/>
          </w:rPr>
          <w:fldChar w:fldCharType="separate"/>
        </w:r>
        <w:r w:rsidR="004A6DF6">
          <w:rPr>
            <w:noProof/>
            <w:webHidden/>
          </w:rPr>
          <w:t>2</w:t>
        </w:r>
        <w:r w:rsidR="006122DF">
          <w:rPr>
            <w:noProof/>
            <w:webHidden/>
          </w:rPr>
          <w:fldChar w:fldCharType="end"/>
        </w:r>
      </w:hyperlink>
    </w:p>
    <w:p w14:paraId="5E3ACA26" w14:textId="79D9BBFD"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5" w:history="1">
        <w:r w:rsidR="006122DF" w:rsidRPr="00DB3E13">
          <w:rPr>
            <w:rStyle w:val="Hyperlink"/>
            <w:noProof/>
          </w:rPr>
          <w:t>Cancer medicines are a critical part of cancer treatment and high-quality care</w:t>
        </w:r>
        <w:r w:rsidR="006122DF">
          <w:rPr>
            <w:noProof/>
            <w:webHidden/>
          </w:rPr>
          <w:tab/>
        </w:r>
        <w:r w:rsidR="006122DF">
          <w:rPr>
            <w:noProof/>
            <w:webHidden/>
          </w:rPr>
          <w:fldChar w:fldCharType="begin"/>
        </w:r>
        <w:r w:rsidR="006122DF">
          <w:rPr>
            <w:noProof/>
            <w:webHidden/>
          </w:rPr>
          <w:instrText xml:space="preserve"> PAGEREF _Toc180062095 \h </w:instrText>
        </w:r>
        <w:r w:rsidR="006122DF">
          <w:rPr>
            <w:noProof/>
            <w:webHidden/>
          </w:rPr>
        </w:r>
        <w:r w:rsidR="006122DF">
          <w:rPr>
            <w:noProof/>
            <w:webHidden/>
          </w:rPr>
          <w:fldChar w:fldCharType="separate"/>
        </w:r>
        <w:r w:rsidR="004A6DF6">
          <w:rPr>
            <w:noProof/>
            <w:webHidden/>
          </w:rPr>
          <w:t>2</w:t>
        </w:r>
        <w:r w:rsidR="006122DF">
          <w:rPr>
            <w:noProof/>
            <w:webHidden/>
          </w:rPr>
          <w:fldChar w:fldCharType="end"/>
        </w:r>
      </w:hyperlink>
    </w:p>
    <w:p w14:paraId="106A08B2" w14:textId="79D95017"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6" w:history="1">
        <w:r w:rsidR="006122DF" w:rsidRPr="00DB3E13">
          <w:rPr>
            <w:rStyle w:val="Hyperlink"/>
            <w:noProof/>
          </w:rPr>
          <w:t>Ensuring cancer medicines are available and accessible when needed can be challenging</w:t>
        </w:r>
        <w:r w:rsidR="006122DF">
          <w:rPr>
            <w:noProof/>
            <w:webHidden/>
          </w:rPr>
          <w:tab/>
        </w:r>
        <w:r w:rsidR="006122DF">
          <w:rPr>
            <w:noProof/>
            <w:webHidden/>
          </w:rPr>
          <w:fldChar w:fldCharType="begin"/>
        </w:r>
        <w:r w:rsidR="006122DF">
          <w:rPr>
            <w:noProof/>
            <w:webHidden/>
          </w:rPr>
          <w:instrText xml:space="preserve"> PAGEREF _Toc180062096 \h </w:instrText>
        </w:r>
        <w:r w:rsidR="006122DF">
          <w:rPr>
            <w:noProof/>
            <w:webHidden/>
          </w:rPr>
        </w:r>
        <w:r w:rsidR="006122DF">
          <w:rPr>
            <w:noProof/>
            <w:webHidden/>
          </w:rPr>
          <w:fldChar w:fldCharType="separate"/>
        </w:r>
        <w:r w:rsidR="004A6DF6">
          <w:rPr>
            <w:noProof/>
            <w:webHidden/>
          </w:rPr>
          <w:t>3</w:t>
        </w:r>
        <w:r w:rsidR="006122DF">
          <w:rPr>
            <w:noProof/>
            <w:webHidden/>
          </w:rPr>
          <w:fldChar w:fldCharType="end"/>
        </w:r>
      </w:hyperlink>
    </w:p>
    <w:p w14:paraId="4EDC55ED" w14:textId="2D7DD0B3"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7" w:history="1">
        <w:r w:rsidR="006122DF" w:rsidRPr="00DB3E13">
          <w:rPr>
            <w:rStyle w:val="Hyperlink"/>
            <w:noProof/>
          </w:rPr>
          <w:t>Deciding what medicines are funded publicly is complex</w:t>
        </w:r>
        <w:r w:rsidR="006122DF">
          <w:rPr>
            <w:noProof/>
            <w:webHidden/>
          </w:rPr>
          <w:tab/>
        </w:r>
        <w:r w:rsidR="006122DF">
          <w:rPr>
            <w:noProof/>
            <w:webHidden/>
          </w:rPr>
          <w:fldChar w:fldCharType="begin"/>
        </w:r>
        <w:r w:rsidR="006122DF">
          <w:rPr>
            <w:noProof/>
            <w:webHidden/>
          </w:rPr>
          <w:instrText xml:space="preserve"> PAGEREF _Toc180062097 \h </w:instrText>
        </w:r>
        <w:r w:rsidR="006122DF">
          <w:rPr>
            <w:noProof/>
            <w:webHidden/>
          </w:rPr>
        </w:r>
        <w:r w:rsidR="006122DF">
          <w:rPr>
            <w:noProof/>
            <w:webHidden/>
          </w:rPr>
          <w:fldChar w:fldCharType="separate"/>
        </w:r>
        <w:r w:rsidR="004A6DF6">
          <w:rPr>
            <w:noProof/>
            <w:webHidden/>
          </w:rPr>
          <w:t>5</w:t>
        </w:r>
        <w:r w:rsidR="006122DF">
          <w:rPr>
            <w:noProof/>
            <w:webHidden/>
          </w:rPr>
          <w:fldChar w:fldCharType="end"/>
        </w:r>
      </w:hyperlink>
    </w:p>
    <w:p w14:paraId="75D946F3" w14:textId="24081E63"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098" w:history="1">
        <w:r w:rsidR="006122DF" w:rsidRPr="00DB3E13">
          <w:rPr>
            <w:rStyle w:val="Hyperlink"/>
            <w:noProof/>
          </w:rPr>
          <w:t>What this analysis sets out to achieve</w:t>
        </w:r>
        <w:r w:rsidR="006122DF">
          <w:rPr>
            <w:noProof/>
            <w:webHidden/>
          </w:rPr>
          <w:tab/>
        </w:r>
        <w:r w:rsidR="006122DF">
          <w:rPr>
            <w:noProof/>
            <w:webHidden/>
          </w:rPr>
          <w:fldChar w:fldCharType="begin"/>
        </w:r>
        <w:r w:rsidR="006122DF">
          <w:rPr>
            <w:noProof/>
            <w:webHidden/>
          </w:rPr>
          <w:instrText xml:space="preserve"> PAGEREF _Toc180062098 \h </w:instrText>
        </w:r>
        <w:r w:rsidR="006122DF">
          <w:rPr>
            <w:noProof/>
            <w:webHidden/>
          </w:rPr>
        </w:r>
        <w:r w:rsidR="006122DF">
          <w:rPr>
            <w:noProof/>
            <w:webHidden/>
          </w:rPr>
          <w:fldChar w:fldCharType="separate"/>
        </w:r>
        <w:r w:rsidR="004A6DF6">
          <w:rPr>
            <w:noProof/>
            <w:webHidden/>
          </w:rPr>
          <w:t>9</w:t>
        </w:r>
        <w:r w:rsidR="006122DF">
          <w:rPr>
            <w:noProof/>
            <w:webHidden/>
          </w:rPr>
          <w:fldChar w:fldCharType="end"/>
        </w:r>
      </w:hyperlink>
    </w:p>
    <w:p w14:paraId="2B83E106" w14:textId="36B1DFF0"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099" w:history="1">
        <w:r w:rsidR="006122DF" w:rsidRPr="00DB3E13">
          <w:rPr>
            <w:rStyle w:val="Hyperlink"/>
            <w:noProof/>
          </w:rPr>
          <w:t>NGĀ TUKANGA | METHODS</w:t>
        </w:r>
        <w:r w:rsidR="006122DF">
          <w:rPr>
            <w:noProof/>
            <w:webHidden/>
          </w:rPr>
          <w:tab/>
        </w:r>
        <w:r w:rsidR="006122DF">
          <w:rPr>
            <w:noProof/>
            <w:webHidden/>
          </w:rPr>
          <w:fldChar w:fldCharType="begin"/>
        </w:r>
        <w:r w:rsidR="006122DF">
          <w:rPr>
            <w:noProof/>
            <w:webHidden/>
          </w:rPr>
          <w:instrText xml:space="preserve"> PAGEREF _Toc180062099 \h </w:instrText>
        </w:r>
        <w:r w:rsidR="006122DF">
          <w:rPr>
            <w:noProof/>
            <w:webHidden/>
          </w:rPr>
        </w:r>
        <w:r w:rsidR="006122DF">
          <w:rPr>
            <w:noProof/>
            <w:webHidden/>
          </w:rPr>
          <w:fldChar w:fldCharType="separate"/>
        </w:r>
        <w:r w:rsidR="004A6DF6">
          <w:rPr>
            <w:noProof/>
            <w:webHidden/>
          </w:rPr>
          <w:t>10</w:t>
        </w:r>
        <w:r w:rsidR="006122DF">
          <w:rPr>
            <w:noProof/>
            <w:webHidden/>
          </w:rPr>
          <w:fldChar w:fldCharType="end"/>
        </w:r>
      </w:hyperlink>
    </w:p>
    <w:p w14:paraId="7D5C69AF" w14:textId="5C889FD4"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0" w:history="1">
        <w:r w:rsidR="006122DF" w:rsidRPr="00DB3E13">
          <w:rPr>
            <w:rStyle w:val="Hyperlink"/>
            <w:noProof/>
          </w:rPr>
          <w:t>Why did we compare medicine availability in Aotearoa New Zealand with that in Australia?</w:t>
        </w:r>
        <w:r w:rsidR="006122DF">
          <w:rPr>
            <w:noProof/>
            <w:webHidden/>
          </w:rPr>
          <w:tab/>
        </w:r>
        <w:r w:rsidR="006122DF">
          <w:rPr>
            <w:noProof/>
            <w:webHidden/>
          </w:rPr>
          <w:fldChar w:fldCharType="begin"/>
        </w:r>
        <w:r w:rsidR="006122DF">
          <w:rPr>
            <w:noProof/>
            <w:webHidden/>
          </w:rPr>
          <w:instrText xml:space="preserve"> PAGEREF _Toc180062100 \h </w:instrText>
        </w:r>
        <w:r w:rsidR="006122DF">
          <w:rPr>
            <w:noProof/>
            <w:webHidden/>
          </w:rPr>
        </w:r>
        <w:r w:rsidR="006122DF">
          <w:rPr>
            <w:noProof/>
            <w:webHidden/>
          </w:rPr>
          <w:fldChar w:fldCharType="separate"/>
        </w:r>
        <w:r w:rsidR="004A6DF6">
          <w:rPr>
            <w:noProof/>
            <w:webHidden/>
          </w:rPr>
          <w:t>10</w:t>
        </w:r>
        <w:r w:rsidR="006122DF">
          <w:rPr>
            <w:noProof/>
            <w:webHidden/>
          </w:rPr>
          <w:fldChar w:fldCharType="end"/>
        </w:r>
      </w:hyperlink>
    </w:p>
    <w:p w14:paraId="5D4F5BDA" w14:textId="42E0194E"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1" w:history="1">
        <w:r w:rsidR="006122DF" w:rsidRPr="00DB3E13">
          <w:rPr>
            <w:rStyle w:val="Hyperlink"/>
            <w:noProof/>
          </w:rPr>
          <w:t>How did we determine differences in medicine availability?</w:t>
        </w:r>
        <w:r w:rsidR="006122DF">
          <w:rPr>
            <w:noProof/>
            <w:webHidden/>
          </w:rPr>
          <w:tab/>
        </w:r>
        <w:r w:rsidR="006122DF">
          <w:rPr>
            <w:noProof/>
            <w:webHidden/>
          </w:rPr>
          <w:fldChar w:fldCharType="begin"/>
        </w:r>
        <w:r w:rsidR="006122DF">
          <w:rPr>
            <w:noProof/>
            <w:webHidden/>
          </w:rPr>
          <w:instrText xml:space="preserve"> PAGEREF _Toc180062101 \h </w:instrText>
        </w:r>
        <w:r w:rsidR="006122DF">
          <w:rPr>
            <w:noProof/>
            <w:webHidden/>
          </w:rPr>
        </w:r>
        <w:r w:rsidR="006122DF">
          <w:rPr>
            <w:noProof/>
            <w:webHidden/>
          </w:rPr>
          <w:fldChar w:fldCharType="separate"/>
        </w:r>
        <w:r w:rsidR="004A6DF6">
          <w:rPr>
            <w:noProof/>
            <w:webHidden/>
          </w:rPr>
          <w:t>10</w:t>
        </w:r>
        <w:r w:rsidR="006122DF">
          <w:rPr>
            <w:noProof/>
            <w:webHidden/>
          </w:rPr>
          <w:fldChar w:fldCharType="end"/>
        </w:r>
      </w:hyperlink>
    </w:p>
    <w:p w14:paraId="4883AF02" w14:textId="30E5984C"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2" w:history="1">
        <w:r w:rsidR="006122DF" w:rsidRPr="00DB3E13">
          <w:rPr>
            <w:rStyle w:val="Hyperlink"/>
            <w:noProof/>
          </w:rPr>
          <w:t>What was considered a gap?</w:t>
        </w:r>
        <w:r w:rsidR="006122DF">
          <w:rPr>
            <w:noProof/>
            <w:webHidden/>
          </w:rPr>
          <w:tab/>
        </w:r>
        <w:r w:rsidR="006122DF">
          <w:rPr>
            <w:noProof/>
            <w:webHidden/>
          </w:rPr>
          <w:fldChar w:fldCharType="begin"/>
        </w:r>
        <w:r w:rsidR="006122DF">
          <w:rPr>
            <w:noProof/>
            <w:webHidden/>
          </w:rPr>
          <w:instrText xml:space="preserve"> PAGEREF _Toc180062102 \h </w:instrText>
        </w:r>
        <w:r w:rsidR="006122DF">
          <w:rPr>
            <w:noProof/>
            <w:webHidden/>
          </w:rPr>
        </w:r>
        <w:r w:rsidR="006122DF">
          <w:rPr>
            <w:noProof/>
            <w:webHidden/>
          </w:rPr>
          <w:fldChar w:fldCharType="separate"/>
        </w:r>
        <w:r w:rsidR="004A6DF6">
          <w:rPr>
            <w:noProof/>
            <w:webHidden/>
          </w:rPr>
          <w:t>11</w:t>
        </w:r>
        <w:r w:rsidR="006122DF">
          <w:rPr>
            <w:noProof/>
            <w:webHidden/>
          </w:rPr>
          <w:fldChar w:fldCharType="end"/>
        </w:r>
      </w:hyperlink>
    </w:p>
    <w:p w14:paraId="7EDDC061" w14:textId="58C17698"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3" w:history="1">
        <w:r w:rsidR="006122DF" w:rsidRPr="00DB3E13">
          <w:rPr>
            <w:rStyle w:val="Hyperlink"/>
            <w:noProof/>
          </w:rPr>
          <w:t>How did we measure magnitude of clinical benefit?</w:t>
        </w:r>
        <w:r w:rsidR="006122DF">
          <w:rPr>
            <w:noProof/>
            <w:webHidden/>
          </w:rPr>
          <w:tab/>
        </w:r>
        <w:r w:rsidR="006122DF">
          <w:rPr>
            <w:noProof/>
            <w:webHidden/>
          </w:rPr>
          <w:fldChar w:fldCharType="begin"/>
        </w:r>
        <w:r w:rsidR="006122DF">
          <w:rPr>
            <w:noProof/>
            <w:webHidden/>
          </w:rPr>
          <w:instrText xml:space="preserve"> PAGEREF _Toc180062103 \h </w:instrText>
        </w:r>
        <w:r w:rsidR="006122DF">
          <w:rPr>
            <w:noProof/>
            <w:webHidden/>
          </w:rPr>
        </w:r>
        <w:r w:rsidR="006122DF">
          <w:rPr>
            <w:noProof/>
            <w:webHidden/>
          </w:rPr>
          <w:fldChar w:fldCharType="separate"/>
        </w:r>
        <w:r w:rsidR="004A6DF6">
          <w:rPr>
            <w:noProof/>
            <w:webHidden/>
          </w:rPr>
          <w:t>12</w:t>
        </w:r>
        <w:r w:rsidR="006122DF">
          <w:rPr>
            <w:noProof/>
            <w:webHidden/>
          </w:rPr>
          <w:fldChar w:fldCharType="end"/>
        </w:r>
      </w:hyperlink>
    </w:p>
    <w:p w14:paraId="1C2A5595" w14:textId="534581F1"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4" w:history="1">
        <w:r w:rsidR="006122DF" w:rsidRPr="00DB3E13">
          <w:rPr>
            <w:rStyle w:val="Hyperlink"/>
            <w:noProof/>
          </w:rPr>
          <w:t>What was the scope of our analysis?</w:t>
        </w:r>
        <w:r w:rsidR="006122DF">
          <w:rPr>
            <w:noProof/>
            <w:webHidden/>
          </w:rPr>
          <w:tab/>
        </w:r>
        <w:r w:rsidR="006122DF">
          <w:rPr>
            <w:noProof/>
            <w:webHidden/>
          </w:rPr>
          <w:fldChar w:fldCharType="begin"/>
        </w:r>
        <w:r w:rsidR="006122DF">
          <w:rPr>
            <w:noProof/>
            <w:webHidden/>
          </w:rPr>
          <w:instrText xml:space="preserve"> PAGEREF _Toc180062104 \h </w:instrText>
        </w:r>
        <w:r w:rsidR="006122DF">
          <w:rPr>
            <w:noProof/>
            <w:webHidden/>
          </w:rPr>
        </w:r>
        <w:r w:rsidR="006122DF">
          <w:rPr>
            <w:noProof/>
            <w:webHidden/>
          </w:rPr>
          <w:fldChar w:fldCharType="separate"/>
        </w:r>
        <w:r w:rsidR="004A6DF6">
          <w:rPr>
            <w:noProof/>
            <w:webHidden/>
          </w:rPr>
          <w:t>14</w:t>
        </w:r>
        <w:r w:rsidR="006122DF">
          <w:rPr>
            <w:noProof/>
            <w:webHidden/>
          </w:rPr>
          <w:fldChar w:fldCharType="end"/>
        </w:r>
      </w:hyperlink>
    </w:p>
    <w:p w14:paraId="1F21F0D9" w14:textId="3324FD91"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5" w:history="1">
        <w:r w:rsidR="006122DF" w:rsidRPr="00DB3E13">
          <w:rPr>
            <w:rStyle w:val="Hyperlink"/>
            <w:noProof/>
          </w:rPr>
          <w:t>Our process</w:t>
        </w:r>
        <w:r w:rsidR="006122DF">
          <w:rPr>
            <w:noProof/>
            <w:webHidden/>
          </w:rPr>
          <w:tab/>
        </w:r>
        <w:r w:rsidR="006122DF">
          <w:rPr>
            <w:noProof/>
            <w:webHidden/>
          </w:rPr>
          <w:fldChar w:fldCharType="begin"/>
        </w:r>
        <w:r w:rsidR="006122DF">
          <w:rPr>
            <w:noProof/>
            <w:webHidden/>
          </w:rPr>
          <w:instrText xml:space="preserve"> PAGEREF _Toc180062105 \h </w:instrText>
        </w:r>
        <w:r w:rsidR="006122DF">
          <w:rPr>
            <w:noProof/>
            <w:webHidden/>
          </w:rPr>
        </w:r>
        <w:r w:rsidR="006122DF">
          <w:rPr>
            <w:noProof/>
            <w:webHidden/>
          </w:rPr>
          <w:fldChar w:fldCharType="separate"/>
        </w:r>
        <w:r w:rsidR="004A6DF6">
          <w:rPr>
            <w:noProof/>
            <w:webHidden/>
          </w:rPr>
          <w:t>15</w:t>
        </w:r>
        <w:r w:rsidR="006122DF">
          <w:rPr>
            <w:noProof/>
            <w:webHidden/>
          </w:rPr>
          <w:fldChar w:fldCharType="end"/>
        </w:r>
      </w:hyperlink>
    </w:p>
    <w:p w14:paraId="742185C0" w14:textId="52930197"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106" w:history="1">
        <w:r w:rsidR="006122DF" w:rsidRPr="00DB3E13">
          <w:rPr>
            <w:rStyle w:val="Hyperlink"/>
            <w:noProof/>
          </w:rPr>
          <w:t>NGĀ HUA | RESULTS</w:t>
        </w:r>
        <w:r w:rsidR="006122DF">
          <w:rPr>
            <w:noProof/>
            <w:webHidden/>
          </w:rPr>
          <w:tab/>
        </w:r>
        <w:r w:rsidR="006122DF">
          <w:rPr>
            <w:noProof/>
            <w:webHidden/>
          </w:rPr>
          <w:fldChar w:fldCharType="begin"/>
        </w:r>
        <w:r w:rsidR="006122DF">
          <w:rPr>
            <w:noProof/>
            <w:webHidden/>
          </w:rPr>
          <w:instrText xml:space="preserve"> PAGEREF _Toc180062106 \h </w:instrText>
        </w:r>
        <w:r w:rsidR="006122DF">
          <w:rPr>
            <w:noProof/>
            <w:webHidden/>
          </w:rPr>
        </w:r>
        <w:r w:rsidR="006122DF">
          <w:rPr>
            <w:noProof/>
            <w:webHidden/>
          </w:rPr>
          <w:fldChar w:fldCharType="separate"/>
        </w:r>
        <w:r w:rsidR="004A6DF6">
          <w:rPr>
            <w:noProof/>
            <w:webHidden/>
          </w:rPr>
          <w:t>17</w:t>
        </w:r>
        <w:r w:rsidR="006122DF">
          <w:rPr>
            <w:noProof/>
            <w:webHidden/>
          </w:rPr>
          <w:fldChar w:fldCharType="end"/>
        </w:r>
      </w:hyperlink>
    </w:p>
    <w:p w14:paraId="45151D8C" w14:textId="580D50CD"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7" w:history="1">
        <w:r w:rsidR="006122DF" w:rsidRPr="00DB3E13">
          <w:rPr>
            <w:rStyle w:val="Hyperlink"/>
            <w:noProof/>
          </w:rPr>
          <w:t>Overall comparison of blood cancer medicine availability</w:t>
        </w:r>
        <w:r w:rsidR="006122DF">
          <w:rPr>
            <w:noProof/>
            <w:webHidden/>
          </w:rPr>
          <w:tab/>
        </w:r>
        <w:r w:rsidR="006122DF">
          <w:rPr>
            <w:noProof/>
            <w:webHidden/>
          </w:rPr>
          <w:fldChar w:fldCharType="begin"/>
        </w:r>
        <w:r w:rsidR="006122DF">
          <w:rPr>
            <w:noProof/>
            <w:webHidden/>
          </w:rPr>
          <w:instrText xml:space="preserve"> PAGEREF _Toc180062107 \h </w:instrText>
        </w:r>
        <w:r w:rsidR="006122DF">
          <w:rPr>
            <w:noProof/>
            <w:webHidden/>
          </w:rPr>
        </w:r>
        <w:r w:rsidR="006122DF">
          <w:rPr>
            <w:noProof/>
            <w:webHidden/>
          </w:rPr>
          <w:fldChar w:fldCharType="separate"/>
        </w:r>
        <w:r w:rsidR="004A6DF6">
          <w:rPr>
            <w:noProof/>
            <w:webHidden/>
          </w:rPr>
          <w:t>17</w:t>
        </w:r>
        <w:r w:rsidR="006122DF">
          <w:rPr>
            <w:noProof/>
            <w:webHidden/>
          </w:rPr>
          <w:fldChar w:fldCharType="end"/>
        </w:r>
      </w:hyperlink>
    </w:p>
    <w:p w14:paraId="561B5501" w14:textId="17872F76"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8" w:history="1">
        <w:r w:rsidR="006122DF" w:rsidRPr="00DB3E13">
          <w:rPr>
            <w:rStyle w:val="Hyperlink"/>
            <w:noProof/>
          </w:rPr>
          <w:t>Blood cancer medicines funded in both jurisdictions</w:t>
        </w:r>
        <w:r w:rsidR="006122DF">
          <w:rPr>
            <w:noProof/>
            <w:webHidden/>
          </w:rPr>
          <w:tab/>
        </w:r>
        <w:r w:rsidR="006122DF">
          <w:rPr>
            <w:noProof/>
            <w:webHidden/>
          </w:rPr>
          <w:fldChar w:fldCharType="begin"/>
        </w:r>
        <w:r w:rsidR="006122DF">
          <w:rPr>
            <w:noProof/>
            <w:webHidden/>
          </w:rPr>
          <w:instrText xml:space="preserve"> PAGEREF _Toc180062108 \h </w:instrText>
        </w:r>
        <w:r w:rsidR="006122DF">
          <w:rPr>
            <w:noProof/>
            <w:webHidden/>
          </w:rPr>
        </w:r>
        <w:r w:rsidR="006122DF">
          <w:rPr>
            <w:noProof/>
            <w:webHidden/>
          </w:rPr>
          <w:fldChar w:fldCharType="separate"/>
        </w:r>
        <w:r w:rsidR="004A6DF6">
          <w:rPr>
            <w:noProof/>
            <w:webHidden/>
          </w:rPr>
          <w:t>18</w:t>
        </w:r>
        <w:r w:rsidR="006122DF">
          <w:rPr>
            <w:noProof/>
            <w:webHidden/>
          </w:rPr>
          <w:fldChar w:fldCharType="end"/>
        </w:r>
      </w:hyperlink>
    </w:p>
    <w:p w14:paraId="7198FCB3" w14:textId="52D39C9E"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09" w:history="1">
        <w:r w:rsidR="006122DF" w:rsidRPr="00DB3E13">
          <w:rPr>
            <w:rStyle w:val="Hyperlink"/>
            <w:noProof/>
          </w:rPr>
          <w:t>Blood cancer medicines funded in Aotearoa New Zealand but not in Australia</w:t>
        </w:r>
        <w:r w:rsidR="006122DF">
          <w:rPr>
            <w:noProof/>
            <w:webHidden/>
          </w:rPr>
          <w:tab/>
        </w:r>
        <w:r w:rsidR="006122DF">
          <w:rPr>
            <w:noProof/>
            <w:webHidden/>
          </w:rPr>
          <w:fldChar w:fldCharType="begin"/>
        </w:r>
        <w:r w:rsidR="006122DF">
          <w:rPr>
            <w:noProof/>
            <w:webHidden/>
          </w:rPr>
          <w:instrText xml:space="preserve"> PAGEREF _Toc180062109 \h </w:instrText>
        </w:r>
        <w:r w:rsidR="006122DF">
          <w:rPr>
            <w:noProof/>
            <w:webHidden/>
          </w:rPr>
        </w:r>
        <w:r w:rsidR="006122DF">
          <w:rPr>
            <w:noProof/>
            <w:webHidden/>
          </w:rPr>
          <w:fldChar w:fldCharType="separate"/>
        </w:r>
        <w:r w:rsidR="004A6DF6">
          <w:rPr>
            <w:noProof/>
            <w:webHidden/>
          </w:rPr>
          <w:t>18</w:t>
        </w:r>
        <w:r w:rsidR="006122DF">
          <w:rPr>
            <w:noProof/>
            <w:webHidden/>
          </w:rPr>
          <w:fldChar w:fldCharType="end"/>
        </w:r>
      </w:hyperlink>
    </w:p>
    <w:p w14:paraId="15234A1A" w14:textId="0C0C61F0"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0" w:history="1">
        <w:r w:rsidR="006122DF" w:rsidRPr="00DB3E13">
          <w:rPr>
            <w:rStyle w:val="Hyperlink"/>
            <w:noProof/>
          </w:rPr>
          <w:t>Blood cancer medicines funded in Australia but not in Aotearoa New Zealand</w:t>
        </w:r>
        <w:r w:rsidR="006122DF">
          <w:rPr>
            <w:noProof/>
            <w:webHidden/>
          </w:rPr>
          <w:tab/>
        </w:r>
        <w:r w:rsidR="006122DF">
          <w:rPr>
            <w:noProof/>
            <w:webHidden/>
          </w:rPr>
          <w:fldChar w:fldCharType="begin"/>
        </w:r>
        <w:r w:rsidR="006122DF">
          <w:rPr>
            <w:noProof/>
            <w:webHidden/>
          </w:rPr>
          <w:instrText xml:space="preserve"> PAGEREF _Toc180062110 \h </w:instrText>
        </w:r>
        <w:r w:rsidR="006122DF">
          <w:rPr>
            <w:noProof/>
            <w:webHidden/>
          </w:rPr>
        </w:r>
        <w:r w:rsidR="006122DF">
          <w:rPr>
            <w:noProof/>
            <w:webHidden/>
          </w:rPr>
          <w:fldChar w:fldCharType="separate"/>
        </w:r>
        <w:r w:rsidR="004A6DF6">
          <w:rPr>
            <w:noProof/>
            <w:webHidden/>
          </w:rPr>
          <w:t>19</w:t>
        </w:r>
        <w:r w:rsidR="006122DF">
          <w:rPr>
            <w:noProof/>
            <w:webHidden/>
          </w:rPr>
          <w:fldChar w:fldCharType="end"/>
        </w:r>
      </w:hyperlink>
    </w:p>
    <w:p w14:paraId="05DE90A7" w14:textId="2B5A0DF8"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1" w:history="1">
        <w:r w:rsidR="006122DF" w:rsidRPr="00DB3E13">
          <w:rPr>
            <w:rStyle w:val="Hyperlink"/>
            <w:noProof/>
          </w:rPr>
          <w:t>Gaps associated with substantial clinical benefit</w:t>
        </w:r>
        <w:r w:rsidR="006122DF">
          <w:rPr>
            <w:noProof/>
            <w:webHidden/>
          </w:rPr>
          <w:tab/>
        </w:r>
        <w:r w:rsidR="006122DF">
          <w:rPr>
            <w:noProof/>
            <w:webHidden/>
          </w:rPr>
          <w:fldChar w:fldCharType="begin"/>
        </w:r>
        <w:r w:rsidR="006122DF">
          <w:rPr>
            <w:noProof/>
            <w:webHidden/>
          </w:rPr>
          <w:instrText xml:space="preserve"> PAGEREF _Toc180062111 \h </w:instrText>
        </w:r>
        <w:r w:rsidR="006122DF">
          <w:rPr>
            <w:noProof/>
            <w:webHidden/>
          </w:rPr>
        </w:r>
        <w:r w:rsidR="006122DF">
          <w:rPr>
            <w:noProof/>
            <w:webHidden/>
          </w:rPr>
          <w:fldChar w:fldCharType="separate"/>
        </w:r>
        <w:r w:rsidR="004A6DF6">
          <w:rPr>
            <w:noProof/>
            <w:webHidden/>
          </w:rPr>
          <w:t>21</w:t>
        </w:r>
        <w:r w:rsidR="006122DF">
          <w:rPr>
            <w:noProof/>
            <w:webHidden/>
          </w:rPr>
          <w:fldChar w:fldCharType="end"/>
        </w:r>
      </w:hyperlink>
    </w:p>
    <w:p w14:paraId="46601BE7" w14:textId="1E748D05"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2" w:history="1">
        <w:r w:rsidR="006122DF" w:rsidRPr="00DB3E13">
          <w:rPr>
            <w:rStyle w:val="Hyperlink"/>
            <w:noProof/>
          </w:rPr>
          <w:t>Gaps associated with substantial clinical benefit – curative setting</w:t>
        </w:r>
        <w:r w:rsidR="006122DF">
          <w:rPr>
            <w:noProof/>
            <w:webHidden/>
          </w:rPr>
          <w:tab/>
        </w:r>
        <w:r w:rsidR="006122DF">
          <w:rPr>
            <w:noProof/>
            <w:webHidden/>
          </w:rPr>
          <w:fldChar w:fldCharType="begin"/>
        </w:r>
        <w:r w:rsidR="006122DF">
          <w:rPr>
            <w:noProof/>
            <w:webHidden/>
          </w:rPr>
          <w:instrText xml:space="preserve"> PAGEREF _Toc180062112 \h </w:instrText>
        </w:r>
        <w:r w:rsidR="006122DF">
          <w:rPr>
            <w:noProof/>
            <w:webHidden/>
          </w:rPr>
        </w:r>
        <w:r w:rsidR="006122DF">
          <w:rPr>
            <w:noProof/>
            <w:webHidden/>
          </w:rPr>
          <w:fldChar w:fldCharType="separate"/>
        </w:r>
        <w:r w:rsidR="004A6DF6">
          <w:rPr>
            <w:noProof/>
            <w:webHidden/>
          </w:rPr>
          <w:t>21</w:t>
        </w:r>
        <w:r w:rsidR="006122DF">
          <w:rPr>
            <w:noProof/>
            <w:webHidden/>
          </w:rPr>
          <w:fldChar w:fldCharType="end"/>
        </w:r>
      </w:hyperlink>
    </w:p>
    <w:p w14:paraId="701B4076" w14:textId="189CB46B"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3" w:history="1">
        <w:r w:rsidR="006122DF" w:rsidRPr="00DB3E13">
          <w:rPr>
            <w:rStyle w:val="Hyperlink"/>
            <w:noProof/>
          </w:rPr>
          <w:t>Gaps associated with substantial clinical benefit – non-curative setting</w:t>
        </w:r>
        <w:r w:rsidR="006122DF">
          <w:rPr>
            <w:noProof/>
            <w:webHidden/>
          </w:rPr>
          <w:tab/>
        </w:r>
        <w:r w:rsidR="006122DF">
          <w:rPr>
            <w:noProof/>
            <w:webHidden/>
          </w:rPr>
          <w:fldChar w:fldCharType="begin"/>
        </w:r>
        <w:r w:rsidR="006122DF">
          <w:rPr>
            <w:noProof/>
            <w:webHidden/>
          </w:rPr>
          <w:instrText xml:space="preserve"> PAGEREF _Toc180062113 \h </w:instrText>
        </w:r>
        <w:r w:rsidR="006122DF">
          <w:rPr>
            <w:noProof/>
            <w:webHidden/>
          </w:rPr>
        </w:r>
        <w:r w:rsidR="006122DF">
          <w:rPr>
            <w:noProof/>
            <w:webHidden/>
          </w:rPr>
          <w:fldChar w:fldCharType="separate"/>
        </w:r>
        <w:r w:rsidR="004A6DF6">
          <w:rPr>
            <w:noProof/>
            <w:webHidden/>
          </w:rPr>
          <w:t>21</w:t>
        </w:r>
        <w:r w:rsidR="006122DF">
          <w:rPr>
            <w:noProof/>
            <w:webHidden/>
          </w:rPr>
          <w:fldChar w:fldCharType="end"/>
        </w:r>
      </w:hyperlink>
    </w:p>
    <w:p w14:paraId="6084DD03" w14:textId="0A14B45A"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4" w:history="1">
        <w:r w:rsidR="006122DF" w:rsidRPr="00DB3E13">
          <w:rPr>
            <w:rStyle w:val="Hyperlink"/>
            <w:noProof/>
          </w:rPr>
          <w:t>Gaps associated with substantial clinical benefit – by cancer type: Leukaemia</w:t>
        </w:r>
        <w:r w:rsidR="006122DF">
          <w:rPr>
            <w:noProof/>
            <w:webHidden/>
          </w:rPr>
          <w:tab/>
        </w:r>
        <w:r w:rsidR="006122DF">
          <w:rPr>
            <w:noProof/>
            <w:webHidden/>
          </w:rPr>
          <w:fldChar w:fldCharType="begin"/>
        </w:r>
        <w:r w:rsidR="006122DF">
          <w:rPr>
            <w:noProof/>
            <w:webHidden/>
          </w:rPr>
          <w:instrText xml:space="preserve"> PAGEREF _Toc180062114 \h </w:instrText>
        </w:r>
        <w:r w:rsidR="006122DF">
          <w:rPr>
            <w:noProof/>
            <w:webHidden/>
          </w:rPr>
        </w:r>
        <w:r w:rsidR="006122DF">
          <w:rPr>
            <w:noProof/>
            <w:webHidden/>
          </w:rPr>
          <w:fldChar w:fldCharType="separate"/>
        </w:r>
        <w:r w:rsidR="004A6DF6">
          <w:rPr>
            <w:noProof/>
            <w:webHidden/>
          </w:rPr>
          <w:t>25</w:t>
        </w:r>
        <w:r w:rsidR="006122DF">
          <w:rPr>
            <w:noProof/>
            <w:webHidden/>
          </w:rPr>
          <w:fldChar w:fldCharType="end"/>
        </w:r>
      </w:hyperlink>
    </w:p>
    <w:p w14:paraId="641F9687" w14:textId="53E80428"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5" w:history="1">
        <w:r w:rsidR="006122DF" w:rsidRPr="00DB3E13">
          <w:rPr>
            <w:rStyle w:val="Hyperlink"/>
            <w:noProof/>
          </w:rPr>
          <w:t>Gaps associated with substantial clinical benefit – by cancer type: Lymphoma</w:t>
        </w:r>
        <w:r w:rsidR="006122DF">
          <w:rPr>
            <w:noProof/>
            <w:webHidden/>
          </w:rPr>
          <w:tab/>
        </w:r>
        <w:r w:rsidR="006122DF">
          <w:rPr>
            <w:noProof/>
            <w:webHidden/>
          </w:rPr>
          <w:fldChar w:fldCharType="begin"/>
        </w:r>
        <w:r w:rsidR="006122DF">
          <w:rPr>
            <w:noProof/>
            <w:webHidden/>
          </w:rPr>
          <w:instrText xml:space="preserve"> PAGEREF _Toc180062115 \h </w:instrText>
        </w:r>
        <w:r w:rsidR="006122DF">
          <w:rPr>
            <w:noProof/>
            <w:webHidden/>
          </w:rPr>
        </w:r>
        <w:r w:rsidR="006122DF">
          <w:rPr>
            <w:noProof/>
            <w:webHidden/>
          </w:rPr>
          <w:fldChar w:fldCharType="separate"/>
        </w:r>
        <w:r w:rsidR="004A6DF6">
          <w:rPr>
            <w:noProof/>
            <w:webHidden/>
          </w:rPr>
          <w:t>27</w:t>
        </w:r>
        <w:r w:rsidR="006122DF">
          <w:rPr>
            <w:noProof/>
            <w:webHidden/>
          </w:rPr>
          <w:fldChar w:fldCharType="end"/>
        </w:r>
      </w:hyperlink>
    </w:p>
    <w:p w14:paraId="2ADE9C1A" w14:textId="690AFD2D"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6" w:history="1">
        <w:r w:rsidR="006122DF" w:rsidRPr="00DB3E13">
          <w:rPr>
            <w:rStyle w:val="Hyperlink"/>
            <w:noProof/>
          </w:rPr>
          <w:t>Gaps associated with substantial clinical benefit – by cancer type: Myeloma</w:t>
        </w:r>
        <w:r w:rsidR="006122DF">
          <w:rPr>
            <w:noProof/>
            <w:webHidden/>
          </w:rPr>
          <w:tab/>
        </w:r>
        <w:r w:rsidR="006122DF">
          <w:rPr>
            <w:noProof/>
            <w:webHidden/>
          </w:rPr>
          <w:fldChar w:fldCharType="begin"/>
        </w:r>
        <w:r w:rsidR="006122DF">
          <w:rPr>
            <w:noProof/>
            <w:webHidden/>
          </w:rPr>
          <w:instrText xml:space="preserve"> PAGEREF _Toc180062116 \h </w:instrText>
        </w:r>
        <w:r w:rsidR="006122DF">
          <w:rPr>
            <w:noProof/>
            <w:webHidden/>
          </w:rPr>
        </w:r>
        <w:r w:rsidR="006122DF">
          <w:rPr>
            <w:noProof/>
            <w:webHidden/>
          </w:rPr>
          <w:fldChar w:fldCharType="separate"/>
        </w:r>
        <w:r w:rsidR="004A6DF6">
          <w:rPr>
            <w:noProof/>
            <w:webHidden/>
          </w:rPr>
          <w:t>28</w:t>
        </w:r>
        <w:r w:rsidR="006122DF">
          <w:rPr>
            <w:noProof/>
            <w:webHidden/>
          </w:rPr>
          <w:fldChar w:fldCharType="end"/>
        </w:r>
      </w:hyperlink>
    </w:p>
    <w:p w14:paraId="391749DE" w14:textId="36A6F805"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7" w:history="1">
        <w:r w:rsidR="006122DF" w:rsidRPr="00DB3E13">
          <w:rPr>
            <w:rStyle w:val="Hyperlink"/>
            <w:noProof/>
          </w:rPr>
          <w:t>Changes to identified gaps since this analysis</w:t>
        </w:r>
        <w:r w:rsidR="006122DF">
          <w:rPr>
            <w:noProof/>
            <w:webHidden/>
          </w:rPr>
          <w:tab/>
        </w:r>
        <w:r w:rsidR="006122DF">
          <w:rPr>
            <w:noProof/>
            <w:webHidden/>
          </w:rPr>
          <w:fldChar w:fldCharType="begin"/>
        </w:r>
        <w:r w:rsidR="006122DF">
          <w:rPr>
            <w:noProof/>
            <w:webHidden/>
          </w:rPr>
          <w:instrText xml:space="preserve"> PAGEREF _Toc180062117 \h </w:instrText>
        </w:r>
        <w:r w:rsidR="006122DF">
          <w:rPr>
            <w:noProof/>
            <w:webHidden/>
          </w:rPr>
        </w:r>
        <w:r w:rsidR="006122DF">
          <w:rPr>
            <w:noProof/>
            <w:webHidden/>
          </w:rPr>
          <w:fldChar w:fldCharType="separate"/>
        </w:r>
        <w:r w:rsidR="004A6DF6">
          <w:rPr>
            <w:noProof/>
            <w:webHidden/>
          </w:rPr>
          <w:t>29</w:t>
        </w:r>
        <w:r w:rsidR="006122DF">
          <w:rPr>
            <w:noProof/>
            <w:webHidden/>
          </w:rPr>
          <w:fldChar w:fldCharType="end"/>
        </w:r>
      </w:hyperlink>
    </w:p>
    <w:p w14:paraId="4D799ADF" w14:textId="28316066"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118" w:history="1">
        <w:r w:rsidR="006122DF" w:rsidRPr="00DB3E13">
          <w:rPr>
            <w:rStyle w:val="Hyperlink"/>
            <w:noProof/>
          </w:rPr>
          <w:t>HE KŌRERO | DISCUSSION</w:t>
        </w:r>
        <w:r w:rsidR="006122DF">
          <w:rPr>
            <w:noProof/>
            <w:webHidden/>
          </w:rPr>
          <w:tab/>
        </w:r>
        <w:r w:rsidR="006122DF">
          <w:rPr>
            <w:noProof/>
            <w:webHidden/>
          </w:rPr>
          <w:fldChar w:fldCharType="begin"/>
        </w:r>
        <w:r w:rsidR="006122DF">
          <w:rPr>
            <w:noProof/>
            <w:webHidden/>
          </w:rPr>
          <w:instrText xml:space="preserve"> PAGEREF _Toc180062118 \h </w:instrText>
        </w:r>
        <w:r w:rsidR="006122DF">
          <w:rPr>
            <w:noProof/>
            <w:webHidden/>
          </w:rPr>
        </w:r>
        <w:r w:rsidR="006122DF">
          <w:rPr>
            <w:noProof/>
            <w:webHidden/>
          </w:rPr>
          <w:fldChar w:fldCharType="separate"/>
        </w:r>
        <w:r w:rsidR="004A6DF6">
          <w:rPr>
            <w:noProof/>
            <w:webHidden/>
          </w:rPr>
          <w:t>31</w:t>
        </w:r>
        <w:r w:rsidR="006122DF">
          <w:rPr>
            <w:noProof/>
            <w:webHidden/>
          </w:rPr>
          <w:fldChar w:fldCharType="end"/>
        </w:r>
      </w:hyperlink>
    </w:p>
    <w:p w14:paraId="4D3732F4" w14:textId="3F5AD370"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19" w:history="1">
        <w:r w:rsidR="006122DF" w:rsidRPr="00DB3E13">
          <w:rPr>
            <w:rStyle w:val="Hyperlink"/>
            <w:noProof/>
          </w:rPr>
          <w:t>Summary of main findings</w:t>
        </w:r>
        <w:r w:rsidR="006122DF">
          <w:rPr>
            <w:noProof/>
            <w:webHidden/>
          </w:rPr>
          <w:tab/>
        </w:r>
        <w:r w:rsidR="006122DF">
          <w:rPr>
            <w:noProof/>
            <w:webHidden/>
          </w:rPr>
          <w:fldChar w:fldCharType="begin"/>
        </w:r>
        <w:r w:rsidR="006122DF">
          <w:rPr>
            <w:noProof/>
            <w:webHidden/>
          </w:rPr>
          <w:instrText xml:space="preserve"> PAGEREF _Toc180062119 \h </w:instrText>
        </w:r>
        <w:r w:rsidR="006122DF">
          <w:rPr>
            <w:noProof/>
            <w:webHidden/>
          </w:rPr>
        </w:r>
        <w:r w:rsidR="006122DF">
          <w:rPr>
            <w:noProof/>
            <w:webHidden/>
          </w:rPr>
          <w:fldChar w:fldCharType="separate"/>
        </w:r>
        <w:r w:rsidR="004A6DF6">
          <w:rPr>
            <w:noProof/>
            <w:webHidden/>
          </w:rPr>
          <w:t>31</w:t>
        </w:r>
        <w:r w:rsidR="006122DF">
          <w:rPr>
            <w:noProof/>
            <w:webHidden/>
          </w:rPr>
          <w:fldChar w:fldCharType="end"/>
        </w:r>
      </w:hyperlink>
    </w:p>
    <w:p w14:paraId="59AAA197" w14:textId="15DEFC82"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0" w:history="1">
        <w:r w:rsidR="006122DF" w:rsidRPr="00DB3E13">
          <w:rPr>
            <w:rStyle w:val="Hyperlink"/>
            <w:noProof/>
          </w:rPr>
          <w:t>Strengths of this analysis</w:t>
        </w:r>
        <w:r w:rsidR="006122DF">
          <w:rPr>
            <w:noProof/>
            <w:webHidden/>
          </w:rPr>
          <w:tab/>
        </w:r>
        <w:r w:rsidR="006122DF">
          <w:rPr>
            <w:noProof/>
            <w:webHidden/>
          </w:rPr>
          <w:fldChar w:fldCharType="begin"/>
        </w:r>
        <w:r w:rsidR="006122DF">
          <w:rPr>
            <w:noProof/>
            <w:webHidden/>
          </w:rPr>
          <w:instrText xml:space="preserve"> PAGEREF _Toc180062120 \h </w:instrText>
        </w:r>
        <w:r w:rsidR="006122DF">
          <w:rPr>
            <w:noProof/>
            <w:webHidden/>
          </w:rPr>
        </w:r>
        <w:r w:rsidR="006122DF">
          <w:rPr>
            <w:noProof/>
            <w:webHidden/>
          </w:rPr>
          <w:fldChar w:fldCharType="separate"/>
        </w:r>
        <w:r w:rsidR="004A6DF6">
          <w:rPr>
            <w:noProof/>
            <w:webHidden/>
          </w:rPr>
          <w:t>32</w:t>
        </w:r>
        <w:r w:rsidR="006122DF">
          <w:rPr>
            <w:noProof/>
            <w:webHidden/>
          </w:rPr>
          <w:fldChar w:fldCharType="end"/>
        </w:r>
      </w:hyperlink>
    </w:p>
    <w:p w14:paraId="02060DBA" w14:textId="0EEE847E"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1" w:history="1">
        <w:r w:rsidR="006122DF" w:rsidRPr="00DB3E13">
          <w:rPr>
            <w:rStyle w:val="Hyperlink"/>
            <w:noProof/>
          </w:rPr>
          <w:t>Considerations when interpreting the findings of this report – methodology</w:t>
        </w:r>
        <w:r w:rsidR="006122DF">
          <w:rPr>
            <w:noProof/>
            <w:webHidden/>
          </w:rPr>
          <w:tab/>
        </w:r>
        <w:r w:rsidR="006122DF">
          <w:rPr>
            <w:noProof/>
            <w:webHidden/>
          </w:rPr>
          <w:fldChar w:fldCharType="begin"/>
        </w:r>
        <w:r w:rsidR="006122DF">
          <w:rPr>
            <w:noProof/>
            <w:webHidden/>
          </w:rPr>
          <w:instrText xml:space="preserve"> PAGEREF _Toc180062121 \h </w:instrText>
        </w:r>
        <w:r w:rsidR="006122DF">
          <w:rPr>
            <w:noProof/>
            <w:webHidden/>
          </w:rPr>
        </w:r>
        <w:r w:rsidR="006122DF">
          <w:rPr>
            <w:noProof/>
            <w:webHidden/>
          </w:rPr>
          <w:fldChar w:fldCharType="separate"/>
        </w:r>
        <w:r w:rsidR="004A6DF6">
          <w:rPr>
            <w:noProof/>
            <w:webHidden/>
          </w:rPr>
          <w:t>32</w:t>
        </w:r>
        <w:r w:rsidR="006122DF">
          <w:rPr>
            <w:noProof/>
            <w:webHidden/>
          </w:rPr>
          <w:fldChar w:fldCharType="end"/>
        </w:r>
      </w:hyperlink>
    </w:p>
    <w:p w14:paraId="3D495351" w14:textId="75BA07A3"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2" w:history="1">
        <w:r w:rsidR="006122DF" w:rsidRPr="00DB3E13">
          <w:rPr>
            <w:rStyle w:val="Hyperlink"/>
            <w:noProof/>
          </w:rPr>
          <w:t>Considerations when interpreting the findings of this report – context</w:t>
        </w:r>
        <w:r w:rsidR="006122DF">
          <w:rPr>
            <w:noProof/>
            <w:webHidden/>
          </w:rPr>
          <w:tab/>
        </w:r>
        <w:r w:rsidR="006122DF">
          <w:rPr>
            <w:noProof/>
            <w:webHidden/>
          </w:rPr>
          <w:fldChar w:fldCharType="begin"/>
        </w:r>
        <w:r w:rsidR="006122DF">
          <w:rPr>
            <w:noProof/>
            <w:webHidden/>
          </w:rPr>
          <w:instrText xml:space="preserve"> PAGEREF _Toc180062122 \h </w:instrText>
        </w:r>
        <w:r w:rsidR="006122DF">
          <w:rPr>
            <w:noProof/>
            <w:webHidden/>
          </w:rPr>
        </w:r>
        <w:r w:rsidR="006122DF">
          <w:rPr>
            <w:noProof/>
            <w:webHidden/>
          </w:rPr>
          <w:fldChar w:fldCharType="separate"/>
        </w:r>
        <w:r w:rsidR="004A6DF6">
          <w:rPr>
            <w:noProof/>
            <w:webHidden/>
          </w:rPr>
          <w:t>33</w:t>
        </w:r>
        <w:r w:rsidR="006122DF">
          <w:rPr>
            <w:noProof/>
            <w:webHidden/>
          </w:rPr>
          <w:fldChar w:fldCharType="end"/>
        </w:r>
      </w:hyperlink>
    </w:p>
    <w:p w14:paraId="410E0D7D" w14:textId="063D65B0"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3" w:history="1">
        <w:r w:rsidR="006122DF" w:rsidRPr="00DB3E13">
          <w:rPr>
            <w:rStyle w:val="Hyperlink"/>
            <w:noProof/>
          </w:rPr>
          <w:t>Te Tiriti o Waitangi responsibilities and cancer medicines</w:t>
        </w:r>
        <w:r w:rsidR="006122DF">
          <w:rPr>
            <w:noProof/>
            <w:webHidden/>
          </w:rPr>
          <w:tab/>
        </w:r>
        <w:r w:rsidR="006122DF">
          <w:rPr>
            <w:noProof/>
            <w:webHidden/>
          </w:rPr>
          <w:fldChar w:fldCharType="begin"/>
        </w:r>
        <w:r w:rsidR="006122DF">
          <w:rPr>
            <w:noProof/>
            <w:webHidden/>
          </w:rPr>
          <w:instrText xml:space="preserve"> PAGEREF _Toc180062123 \h </w:instrText>
        </w:r>
        <w:r w:rsidR="006122DF">
          <w:rPr>
            <w:noProof/>
            <w:webHidden/>
          </w:rPr>
        </w:r>
        <w:r w:rsidR="006122DF">
          <w:rPr>
            <w:noProof/>
            <w:webHidden/>
          </w:rPr>
          <w:fldChar w:fldCharType="separate"/>
        </w:r>
        <w:r w:rsidR="004A6DF6">
          <w:rPr>
            <w:noProof/>
            <w:webHidden/>
          </w:rPr>
          <w:t>35</w:t>
        </w:r>
        <w:r w:rsidR="006122DF">
          <w:rPr>
            <w:noProof/>
            <w:webHidden/>
          </w:rPr>
          <w:fldChar w:fldCharType="end"/>
        </w:r>
      </w:hyperlink>
    </w:p>
    <w:p w14:paraId="532854B1" w14:textId="5C5E4BBA"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4" w:history="1">
        <w:r w:rsidR="006122DF" w:rsidRPr="00DB3E13">
          <w:rPr>
            <w:rStyle w:val="Hyperlink"/>
            <w:noProof/>
          </w:rPr>
          <w:t>Equity considerations for cancer medicines</w:t>
        </w:r>
        <w:r w:rsidR="006122DF">
          <w:rPr>
            <w:noProof/>
            <w:webHidden/>
          </w:rPr>
          <w:tab/>
        </w:r>
        <w:r w:rsidR="006122DF">
          <w:rPr>
            <w:noProof/>
            <w:webHidden/>
          </w:rPr>
          <w:fldChar w:fldCharType="begin"/>
        </w:r>
        <w:r w:rsidR="006122DF">
          <w:rPr>
            <w:noProof/>
            <w:webHidden/>
          </w:rPr>
          <w:instrText xml:space="preserve"> PAGEREF _Toc180062124 \h </w:instrText>
        </w:r>
        <w:r w:rsidR="006122DF">
          <w:rPr>
            <w:noProof/>
            <w:webHidden/>
          </w:rPr>
        </w:r>
        <w:r w:rsidR="006122DF">
          <w:rPr>
            <w:noProof/>
            <w:webHidden/>
          </w:rPr>
          <w:fldChar w:fldCharType="separate"/>
        </w:r>
        <w:r w:rsidR="004A6DF6">
          <w:rPr>
            <w:noProof/>
            <w:webHidden/>
          </w:rPr>
          <w:t>35</w:t>
        </w:r>
        <w:r w:rsidR="006122DF">
          <w:rPr>
            <w:noProof/>
            <w:webHidden/>
          </w:rPr>
          <w:fldChar w:fldCharType="end"/>
        </w:r>
      </w:hyperlink>
    </w:p>
    <w:p w14:paraId="4D45F3CD" w14:textId="1ED68E06"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125" w:history="1">
        <w:r w:rsidR="006122DF" w:rsidRPr="00DB3E13">
          <w:rPr>
            <w:rStyle w:val="Hyperlink"/>
            <w:noProof/>
          </w:rPr>
          <w:t>HE KUPU WHAKAKAPI | CONCLUSION</w:t>
        </w:r>
        <w:r w:rsidR="006122DF">
          <w:rPr>
            <w:noProof/>
            <w:webHidden/>
          </w:rPr>
          <w:tab/>
        </w:r>
        <w:r w:rsidR="006122DF">
          <w:rPr>
            <w:noProof/>
            <w:webHidden/>
          </w:rPr>
          <w:fldChar w:fldCharType="begin"/>
        </w:r>
        <w:r w:rsidR="006122DF">
          <w:rPr>
            <w:noProof/>
            <w:webHidden/>
          </w:rPr>
          <w:instrText xml:space="preserve"> PAGEREF _Toc180062125 \h </w:instrText>
        </w:r>
        <w:r w:rsidR="006122DF">
          <w:rPr>
            <w:noProof/>
            <w:webHidden/>
          </w:rPr>
        </w:r>
        <w:r w:rsidR="006122DF">
          <w:rPr>
            <w:noProof/>
            <w:webHidden/>
          </w:rPr>
          <w:fldChar w:fldCharType="separate"/>
        </w:r>
        <w:r w:rsidR="004A6DF6">
          <w:rPr>
            <w:noProof/>
            <w:webHidden/>
          </w:rPr>
          <w:t>37</w:t>
        </w:r>
        <w:r w:rsidR="006122DF">
          <w:rPr>
            <w:noProof/>
            <w:webHidden/>
          </w:rPr>
          <w:fldChar w:fldCharType="end"/>
        </w:r>
      </w:hyperlink>
    </w:p>
    <w:p w14:paraId="0FA6CFB9" w14:textId="045FC2F7"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126" w:history="1">
        <w:r w:rsidR="006122DF" w:rsidRPr="00DB3E13">
          <w:rPr>
            <w:rStyle w:val="Hyperlink"/>
            <w:noProof/>
          </w:rPr>
          <w:t>NGĀ ĀPITIHANGA | APPENDICES</w:t>
        </w:r>
        <w:r w:rsidR="006122DF">
          <w:rPr>
            <w:noProof/>
            <w:webHidden/>
          </w:rPr>
          <w:tab/>
        </w:r>
        <w:r w:rsidR="006122DF">
          <w:rPr>
            <w:noProof/>
            <w:webHidden/>
          </w:rPr>
          <w:fldChar w:fldCharType="begin"/>
        </w:r>
        <w:r w:rsidR="006122DF">
          <w:rPr>
            <w:noProof/>
            <w:webHidden/>
          </w:rPr>
          <w:instrText xml:space="preserve"> PAGEREF _Toc180062126 \h </w:instrText>
        </w:r>
        <w:r w:rsidR="006122DF">
          <w:rPr>
            <w:noProof/>
            <w:webHidden/>
          </w:rPr>
        </w:r>
        <w:r w:rsidR="006122DF">
          <w:rPr>
            <w:noProof/>
            <w:webHidden/>
          </w:rPr>
          <w:fldChar w:fldCharType="separate"/>
        </w:r>
        <w:r w:rsidR="004A6DF6">
          <w:rPr>
            <w:noProof/>
            <w:webHidden/>
          </w:rPr>
          <w:t>38</w:t>
        </w:r>
        <w:r w:rsidR="006122DF">
          <w:rPr>
            <w:noProof/>
            <w:webHidden/>
          </w:rPr>
          <w:fldChar w:fldCharType="end"/>
        </w:r>
      </w:hyperlink>
    </w:p>
    <w:p w14:paraId="0D7BB44B" w14:textId="3B3C20FF"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7" w:history="1">
        <w:r w:rsidR="006122DF" w:rsidRPr="00DB3E13">
          <w:rPr>
            <w:rStyle w:val="Hyperlink"/>
            <w:noProof/>
          </w:rPr>
          <w:t>Appendix 1: Key sources of information</w:t>
        </w:r>
        <w:r w:rsidR="006122DF">
          <w:rPr>
            <w:noProof/>
            <w:webHidden/>
          </w:rPr>
          <w:tab/>
        </w:r>
        <w:r w:rsidR="006122DF">
          <w:rPr>
            <w:noProof/>
            <w:webHidden/>
          </w:rPr>
          <w:fldChar w:fldCharType="begin"/>
        </w:r>
        <w:r w:rsidR="006122DF">
          <w:rPr>
            <w:noProof/>
            <w:webHidden/>
          </w:rPr>
          <w:instrText xml:space="preserve"> PAGEREF _Toc180062127 \h </w:instrText>
        </w:r>
        <w:r w:rsidR="006122DF">
          <w:rPr>
            <w:noProof/>
            <w:webHidden/>
          </w:rPr>
        </w:r>
        <w:r w:rsidR="006122DF">
          <w:rPr>
            <w:noProof/>
            <w:webHidden/>
          </w:rPr>
          <w:fldChar w:fldCharType="separate"/>
        </w:r>
        <w:r w:rsidR="004A6DF6">
          <w:rPr>
            <w:noProof/>
            <w:webHidden/>
          </w:rPr>
          <w:t>38</w:t>
        </w:r>
        <w:r w:rsidR="006122DF">
          <w:rPr>
            <w:noProof/>
            <w:webHidden/>
          </w:rPr>
          <w:fldChar w:fldCharType="end"/>
        </w:r>
      </w:hyperlink>
    </w:p>
    <w:p w14:paraId="5DC04AAE" w14:textId="57D83EDE"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8" w:history="1">
        <w:r w:rsidR="006122DF" w:rsidRPr="00DB3E13">
          <w:rPr>
            <w:rStyle w:val="Hyperlink"/>
            <w:noProof/>
          </w:rPr>
          <w:t>Appendix 2: Definitions</w:t>
        </w:r>
        <w:r w:rsidR="006122DF">
          <w:rPr>
            <w:noProof/>
            <w:webHidden/>
          </w:rPr>
          <w:tab/>
        </w:r>
        <w:r w:rsidR="006122DF">
          <w:rPr>
            <w:noProof/>
            <w:webHidden/>
          </w:rPr>
          <w:fldChar w:fldCharType="begin"/>
        </w:r>
        <w:r w:rsidR="006122DF">
          <w:rPr>
            <w:noProof/>
            <w:webHidden/>
          </w:rPr>
          <w:instrText xml:space="preserve"> PAGEREF _Toc180062128 \h </w:instrText>
        </w:r>
        <w:r w:rsidR="006122DF">
          <w:rPr>
            <w:noProof/>
            <w:webHidden/>
          </w:rPr>
        </w:r>
        <w:r w:rsidR="006122DF">
          <w:rPr>
            <w:noProof/>
            <w:webHidden/>
          </w:rPr>
          <w:fldChar w:fldCharType="separate"/>
        </w:r>
        <w:r w:rsidR="004A6DF6">
          <w:rPr>
            <w:noProof/>
            <w:webHidden/>
          </w:rPr>
          <w:t>39</w:t>
        </w:r>
        <w:r w:rsidR="006122DF">
          <w:rPr>
            <w:noProof/>
            <w:webHidden/>
          </w:rPr>
          <w:fldChar w:fldCharType="end"/>
        </w:r>
      </w:hyperlink>
    </w:p>
    <w:p w14:paraId="34FDE036" w14:textId="3832EF6C"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29" w:history="1">
        <w:r w:rsidR="006122DF" w:rsidRPr="00DB3E13">
          <w:rPr>
            <w:rStyle w:val="Hyperlink"/>
            <w:noProof/>
          </w:rPr>
          <w:t>Appendix 3: Blood cancer medicines publicly funded in both Aotearoa New Zealand and Australia</w:t>
        </w:r>
        <w:r w:rsidR="006122DF">
          <w:rPr>
            <w:noProof/>
            <w:webHidden/>
          </w:rPr>
          <w:tab/>
        </w:r>
        <w:r w:rsidR="006122DF">
          <w:rPr>
            <w:noProof/>
            <w:webHidden/>
          </w:rPr>
          <w:fldChar w:fldCharType="begin"/>
        </w:r>
        <w:r w:rsidR="006122DF">
          <w:rPr>
            <w:noProof/>
            <w:webHidden/>
          </w:rPr>
          <w:instrText xml:space="preserve"> PAGEREF _Toc180062129 \h </w:instrText>
        </w:r>
        <w:r w:rsidR="006122DF">
          <w:rPr>
            <w:noProof/>
            <w:webHidden/>
          </w:rPr>
        </w:r>
        <w:r w:rsidR="006122DF">
          <w:rPr>
            <w:noProof/>
            <w:webHidden/>
          </w:rPr>
          <w:fldChar w:fldCharType="separate"/>
        </w:r>
        <w:r w:rsidR="004A6DF6">
          <w:rPr>
            <w:noProof/>
            <w:webHidden/>
          </w:rPr>
          <w:t>42</w:t>
        </w:r>
        <w:r w:rsidR="006122DF">
          <w:rPr>
            <w:noProof/>
            <w:webHidden/>
          </w:rPr>
          <w:fldChar w:fldCharType="end"/>
        </w:r>
      </w:hyperlink>
    </w:p>
    <w:p w14:paraId="0A8F39C8" w14:textId="4DE167E7"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30" w:history="1">
        <w:r w:rsidR="006122DF" w:rsidRPr="00DB3E13">
          <w:rPr>
            <w:rStyle w:val="Hyperlink"/>
            <w:noProof/>
          </w:rPr>
          <w:t>Appendix 4: Blood cancer medicines publicly funded in Aotearoa New Zealand but not in Australia</w:t>
        </w:r>
        <w:r w:rsidR="006122DF">
          <w:rPr>
            <w:noProof/>
            <w:webHidden/>
          </w:rPr>
          <w:tab/>
        </w:r>
        <w:r w:rsidR="006122DF">
          <w:rPr>
            <w:noProof/>
            <w:webHidden/>
          </w:rPr>
          <w:fldChar w:fldCharType="begin"/>
        </w:r>
        <w:r w:rsidR="006122DF">
          <w:rPr>
            <w:noProof/>
            <w:webHidden/>
          </w:rPr>
          <w:instrText xml:space="preserve"> PAGEREF _Toc180062130 \h </w:instrText>
        </w:r>
        <w:r w:rsidR="006122DF">
          <w:rPr>
            <w:noProof/>
            <w:webHidden/>
          </w:rPr>
        </w:r>
        <w:r w:rsidR="006122DF">
          <w:rPr>
            <w:noProof/>
            <w:webHidden/>
          </w:rPr>
          <w:fldChar w:fldCharType="separate"/>
        </w:r>
        <w:r w:rsidR="004A6DF6">
          <w:rPr>
            <w:noProof/>
            <w:webHidden/>
          </w:rPr>
          <w:t>45</w:t>
        </w:r>
        <w:r w:rsidR="006122DF">
          <w:rPr>
            <w:noProof/>
            <w:webHidden/>
          </w:rPr>
          <w:fldChar w:fldCharType="end"/>
        </w:r>
      </w:hyperlink>
    </w:p>
    <w:p w14:paraId="33A8700B" w14:textId="714A64CC"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31" w:history="1">
        <w:r w:rsidR="006122DF" w:rsidRPr="00DB3E13">
          <w:rPr>
            <w:rStyle w:val="Hyperlink"/>
            <w:noProof/>
          </w:rPr>
          <w:t>Appendix 5: Blood cancer medicines publicly funded in Australia but not in Aotearoa New Zealand determined to not have a substantial magnitude of clinical benefit according to the ESMO-MCBS:H, had no evaluable benefit or were not scorable.</w:t>
        </w:r>
        <w:r w:rsidR="006122DF">
          <w:rPr>
            <w:noProof/>
            <w:webHidden/>
          </w:rPr>
          <w:tab/>
        </w:r>
        <w:r w:rsidR="006122DF">
          <w:rPr>
            <w:noProof/>
            <w:webHidden/>
          </w:rPr>
          <w:fldChar w:fldCharType="begin"/>
        </w:r>
        <w:r w:rsidR="006122DF">
          <w:rPr>
            <w:noProof/>
            <w:webHidden/>
          </w:rPr>
          <w:instrText xml:space="preserve"> PAGEREF _Toc180062131 \h </w:instrText>
        </w:r>
        <w:r w:rsidR="006122DF">
          <w:rPr>
            <w:noProof/>
            <w:webHidden/>
          </w:rPr>
        </w:r>
        <w:r w:rsidR="006122DF">
          <w:rPr>
            <w:noProof/>
            <w:webHidden/>
          </w:rPr>
          <w:fldChar w:fldCharType="separate"/>
        </w:r>
        <w:r w:rsidR="004A6DF6">
          <w:rPr>
            <w:noProof/>
            <w:webHidden/>
          </w:rPr>
          <w:t>46</w:t>
        </w:r>
        <w:r w:rsidR="006122DF">
          <w:rPr>
            <w:noProof/>
            <w:webHidden/>
          </w:rPr>
          <w:fldChar w:fldCharType="end"/>
        </w:r>
      </w:hyperlink>
    </w:p>
    <w:p w14:paraId="5FDF2D49" w14:textId="6C73A134"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32" w:history="1">
        <w:r w:rsidR="006122DF" w:rsidRPr="00DB3E13">
          <w:rPr>
            <w:rStyle w:val="Hyperlink"/>
            <w:noProof/>
          </w:rPr>
          <w:t>Appendix 6: Blood cancer medicines publicly funded in Australia but not in Aotearoa New Zealand – gap categorisation</w:t>
        </w:r>
        <w:r w:rsidR="006122DF">
          <w:rPr>
            <w:noProof/>
            <w:webHidden/>
          </w:rPr>
          <w:tab/>
        </w:r>
        <w:r w:rsidR="006122DF">
          <w:rPr>
            <w:noProof/>
            <w:webHidden/>
          </w:rPr>
          <w:fldChar w:fldCharType="begin"/>
        </w:r>
        <w:r w:rsidR="006122DF">
          <w:rPr>
            <w:noProof/>
            <w:webHidden/>
          </w:rPr>
          <w:instrText xml:space="preserve"> PAGEREF _Toc180062132 \h </w:instrText>
        </w:r>
        <w:r w:rsidR="006122DF">
          <w:rPr>
            <w:noProof/>
            <w:webHidden/>
          </w:rPr>
        </w:r>
        <w:r w:rsidR="006122DF">
          <w:rPr>
            <w:noProof/>
            <w:webHidden/>
          </w:rPr>
          <w:fldChar w:fldCharType="separate"/>
        </w:r>
        <w:r w:rsidR="004A6DF6">
          <w:rPr>
            <w:noProof/>
            <w:webHidden/>
          </w:rPr>
          <w:t>53</w:t>
        </w:r>
        <w:r w:rsidR="006122DF">
          <w:rPr>
            <w:noProof/>
            <w:webHidden/>
          </w:rPr>
          <w:fldChar w:fldCharType="end"/>
        </w:r>
      </w:hyperlink>
    </w:p>
    <w:p w14:paraId="0FD93AD0" w14:textId="2A60FE29" w:rsidR="006122DF"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062133" w:history="1">
        <w:r w:rsidR="006122DF" w:rsidRPr="00DB3E13">
          <w:rPr>
            <w:rStyle w:val="Hyperlink"/>
            <w:noProof/>
          </w:rPr>
          <w:t>Appendix 7: Description of each gap with associated substantial clinical benefit</w:t>
        </w:r>
        <w:r w:rsidR="006122DF">
          <w:rPr>
            <w:noProof/>
            <w:webHidden/>
          </w:rPr>
          <w:tab/>
        </w:r>
        <w:r w:rsidR="006122DF">
          <w:rPr>
            <w:noProof/>
            <w:webHidden/>
          </w:rPr>
          <w:fldChar w:fldCharType="begin"/>
        </w:r>
        <w:r w:rsidR="006122DF">
          <w:rPr>
            <w:noProof/>
            <w:webHidden/>
          </w:rPr>
          <w:instrText xml:space="preserve"> PAGEREF _Toc180062133 \h </w:instrText>
        </w:r>
        <w:r w:rsidR="006122DF">
          <w:rPr>
            <w:noProof/>
            <w:webHidden/>
          </w:rPr>
        </w:r>
        <w:r w:rsidR="006122DF">
          <w:rPr>
            <w:noProof/>
            <w:webHidden/>
          </w:rPr>
          <w:fldChar w:fldCharType="separate"/>
        </w:r>
        <w:r w:rsidR="004A6DF6">
          <w:rPr>
            <w:noProof/>
            <w:webHidden/>
          </w:rPr>
          <w:t>84</w:t>
        </w:r>
        <w:r w:rsidR="006122DF">
          <w:rPr>
            <w:noProof/>
            <w:webHidden/>
          </w:rPr>
          <w:fldChar w:fldCharType="end"/>
        </w:r>
      </w:hyperlink>
    </w:p>
    <w:p w14:paraId="1BB2099E" w14:textId="2514E19E" w:rsidR="006122DF"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062134" w:history="1">
        <w:r w:rsidR="006122DF" w:rsidRPr="00DB3E13">
          <w:rPr>
            <w:rStyle w:val="Hyperlink"/>
            <w:noProof/>
          </w:rPr>
          <w:t>NGĀ TOHUTORO | REFERENCES</w:t>
        </w:r>
        <w:r w:rsidR="006122DF">
          <w:rPr>
            <w:noProof/>
            <w:webHidden/>
          </w:rPr>
          <w:tab/>
        </w:r>
        <w:r w:rsidR="006122DF">
          <w:rPr>
            <w:noProof/>
            <w:webHidden/>
          </w:rPr>
          <w:fldChar w:fldCharType="begin"/>
        </w:r>
        <w:r w:rsidR="006122DF">
          <w:rPr>
            <w:noProof/>
            <w:webHidden/>
          </w:rPr>
          <w:instrText xml:space="preserve"> PAGEREF _Toc180062134 \h </w:instrText>
        </w:r>
        <w:r w:rsidR="006122DF">
          <w:rPr>
            <w:noProof/>
            <w:webHidden/>
          </w:rPr>
        </w:r>
        <w:r w:rsidR="006122DF">
          <w:rPr>
            <w:noProof/>
            <w:webHidden/>
          </w:rPr>
          <w:fldChar w:fldCharType="separate"/>
        </w:r>
        <w:r w:rsidR="004A6DF6">
          <w:rPr>
            <w:noProof/>
            <w:webHidden/>
          </w:rPr>
          <w:t>105</w:t>
        </w:r>
        <w:r w:rsidR="006122DF">
          <w:rPr>
            <w:noProof/>
            <w:webHidden/>
          </w:rPr>
          <w:fldChar w:fldCharType="end"/>
        </w:r>
      </w:hyperlink>
    </w:p>
    <w:p w14:paraId="50DB1AF9" w14:textId="1827B3E3" w:rsidR="00D67309" w:rsidRPr="00E44F3E" w:rsidRDefault="00D67309" w:rsidP="00D67309">
      <w:r w:rsidRPr="00E44F3E">
        <w:rPr>
          <w:rFonts w:ascii="Segoe UI Semibold" w:hAnsi="Segoe UI Semibold"/>
          <w:b/>
          <w:sz w:val="24"/>
        </w:rPr>
        <w:fldChar w:fldCharType="end"/>
      </w:r>
    </w:p>
    <w:p w14:paraId="10BCF17B" w14:textId="77777777" w:rsidR="00AB4739" w:rsidRPr="00E44F3E" w:rsidRDefault="00AB4739" w:rsidP="00AB4739">
      <w:pPr>
        <w:pStyle w:val="TOC1"/>
      </w:pPr>
      <w:r w:rsidRPr="00E44F3E">
        <w:t>List of figures</w:t>
      </w:r>
    </w:p>
    <w:p w14:paraId="04DDC1D6" w14:textId="22DAABEB" w:rsidR="006122DF" w:rsidRDefault="00AB4739">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r w:rsidRPr="00E44F3E">
        <w:fldChar w:fldCharType="begin"/>
      </w:r>
      <w:r w:rsidRPr="00E44F3E">
        <w:instrText xml:space="preserve"> TOC \h \z \c "Figure" </w:instrText>
      </w:r>
      <w:r w:rsidRPr="00E44F3E">
        <w:fldChar w:fldCharType="separate"/>
      </w:r>
      <w:hyperlink w:anchor="_Toc180062135" w:history="1">
        <w:r w:rsidR="006122DF" w:rsidRPr="002D08B4">
          <w:rPr>
            <w:rStyle w:val="Hyperlink"/>
            <w:noProof/>
          </w:rPr>
          <w:t>Figure 1: ESMO-MCBS:H possible scores and definition of magnitude of clinical benefit</w:t>
        </w:r>
        <w:r w:rsidR="006122DF">
          <w:rPr>
            <w:noProof/>
            <w:webHidden/>
          </w:rPr>
          <w:tab/>
        </w:r>
        <w:r w:rsidR="006122DF">
          <w:rPr>
            <w:noProof/>
            <w:webHidden/>
          </w:rPr>
          <w:fldChar w:fldCharType="begin"/>
        </w:r>
        <w:r w:rsidR="006122DF">
          <w:rPr>
            <w:noProof/>
            <w:webHidden/>
          </w:rPr>
          <w:instrText xml:space="preserve"> PAGEREF _Toc180062135 \h </w:instrText>
        </w:r>
        <w:r w:rsidR="006122DF">
          <w:rPr>
            <w:noProof/>
            <w:webHidden/>
          </w:rPr>
        </w:r>
        <w:r w:rsidR="006122DF">
          <w:rPr>
            <w:noProof/>
            <w:webHidden/>
          </w:rPr>
          <w:fldChar w:fldCharType="separate"/>
        </w:r>
        <w:r w:rsidR="004A6DF6">
          <w:rPr>
            <w:noProof/>
            <w:webHidden/>
          </w:rPr>
          <w:t>13</w:t>
        </w:r>
        <w:r w:rsidR="006122DF">
          <w:rPr>
            <w:noProof/>
            <w:webHidden/>
          </w:rPr>
          <w:fldChar w:fldCharType="end"/>
        </w:r>
      </w:hyperlink>
    </w:p>
    <w:p w14:paraId="4A61D0E9" w14:textId="7D8B011E" w:rsidR="006122DF"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062136" w:history="1">
        <w:r w:rsidR="006122DF" w:rsidRPr="002D08B4">
          <w:rPr>
            <w:rStyle w:val="Hyperlink"/>
            <w:noProof/>
          </w:rPr>
          <w:t>Figure 2: Summary of analysis methodology</w:t>
        </w:r>
        <w:r w:rsidR="006122DF">
          <w:rPr>
            <w:noProof/>
            <w:webHidden/>
          </w:rPr>
          <w:tab/>
        </w:r>
        <w:r w:rsidR="006122DF">
          <w:rPr>
            <w:noProof/>
            <w:webHidden/>
          </w:rPr>
          <w:fldChar w:fldCharType="begin"/>
        </w:r>
        <w:r w:rsidR="006122DF">
          <w:rPr>
            <w:noProof/>
            <w:webHidden/>
          </w:rPr>
          <w:instrText xml:space="preserve"> PAGEREF _Toc180062136 \h </w:instrText>
        </w:r>
        <w:r w:rsidR="006122DF">
          <w:rPr>
            <w:noProof/>
            <w:webHidden/>
          </w:rPr>
        </w:r>
        <w:r w:rsidR="006122DF">
          <w:rPr>
            <w:noProof/>
            <w:webHidden/>
          </w:rPr>
          <w:fldChar w:fldCharType="separate"/>
        </w:r>
        <w:r w:rsidR="004A6DF6">
          <w:rPr>
            <w:noProof/>
            <w:webHidden/>
          </w:rPr>
          <w:t>16</w:t>
        </w:r>
        <w:r w:rsidR="006122DF">
          <w:rPr>
            <w:noProof/>
            <w:webHidden/>
          </w:rPr>
          <w:fldChar w:fldCharType="end"/>
        </w:r>
      </w:hyperlink>
    </w:p>
    <w:p w14:paraId="25984DE4" w14:textId="7A93DE46" w:rsidR="006122DF"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062137" w:history="1">
        <w:r w:rsidR="006122DF" w:rsidRPr="002D08B4">
          <w:rPr>
            <w:rStyle w:val="Hyperlink"/>
            <w:noProof/>
          </w:rPr>
          <w:t>Figure 3: Summary of similarities and differences in blood cancer medicine availability in Australia and Aotearoa New Zealand</w:t>
        </w:r>
        <w:r w:rsidR="006122DF">
          <w:rPr>
            <w:noProof/>
            <w:webHidden/>
          </w:rPr>
          <w:tab/>
        </w:r>
        <w:r w:rsidR="006122DF">
          <w:rPr>
            <w:noProof/>
            <w:webHidden/>
          </w:rPr>
          <w:fldChar w:fldCharType="begin"/>
        </w:r>
        <w:r w:rsidR="006122DF">
          <w:rPr>
            <w:noProof/>
            <w:webHidden/>
          </w:rPr>
          <w:instrText xml:space="preserve"> PAGEREF _Toc180062137 \h </w:instrText>
        </w:r>
        <w:r w:rsidR="006122DF">
          <w:rPr>
            <w:noProof/>
            <w:webHidden/>
          </w:rPr>
        </w:r>
        <w:r w:rsidR="006122DF">
          <w:rPr>
            <w:noProof/>
            <w:webHidden/>
          </w:rPr>
          <w:fldChar w:fldCharType="separate"/>
        </w:r>
        <w:r w:rsidR="004A6DF6">
          <w:rPr>
            <w:noProof/>
            <w:webHidden/>
          </w:rPr>
          <w:t>17</w:t>
        </w:r>
        <w:r w:rsidR="006122DF">
          <w:rPr>
            <w:noProof/>
            <w:webHidden/>
          </w:rPr>
          <w:fldChar w:fldCharType="end"/>
        </w:r>
      </w:hyperlink>
    </w:p>
    <w:p w14:paraId="5EF0F619" w14:textId="7ABC29B3" w:rsidR="006122DF"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062138" w:history="1">
        <w:r w:rsidR="006122DF" w:rsidRPr="002D08B4">
          <w:rPr>
            <w:rStyle w:val="Hyperlink"/>
            <w:noProof/>
          </w:rPr>
          <w:t>Figure 4: Summary of analysis of medicines available in Australia but not in Aotearoa New Zealand</w:t>
        </w:r>
        <w:r w:rsidR="006122DF">
          <w:rPr>
            <w:noProof/>
            <w:webHidden/>
          </w:rPr>
          <w:tab/>
        </w:r>
        <w:r w:rsidR="006122DF">
          <w:rPr>
            <w:noProof/>
            <w:webHidden/>
          </w:rPr>
          <w:fldChar w:fldCharType="begin"/>
        </w:r>
        <w:r w:rsidR="006122DF">
          <w:rPr>
            <w:noProof/>
            <w:webHidden/>
          </w:rPr>
          <w:instrText xml:space="preserve"> PAGEREF _Toc180062138 \h </w:instrText>
        </w:r>
        <w:r w:rsidR="006122DF">
          <w:rPr>
            <w:noProof/>
            <w:webHidden/>
          </w:rPr>
        </w:r>
        <w:r w:rsidR="006122DF">
          <w:rPr>
            <w:noProof/>
            <w:webHidden/>
          </w:rPr>
          <w:fldChar w:fldCharType="separate"/>
        </w:r>
        <w:r w:rsidR="004A6DF6">
          <w:rPr>
            <w:noProof/>
            <w:webHidden/>
          </w:rPr>
          <w:t>19</w:t>
        </w:r>
        <w:r w:rsidR="006122DF">
          <w:rPr>
            <w:noProof/>
            <w:webHidden/>
          </w:rPr>
          <w:fldChar w:fldCharType="end"/>
        </w:r>
      </w:hyperlink>
    </w:p>
    <w:p w14:paraId="317C8311" w14:textId="5D1E07DA" w:rsidR="00AB4739" w:rsidRPr="00E44F3E" w:rsidRDefault="00AB4739" w:rsidP="00AB4739">
      <w:r w:rsidRPr="00E44F3E">
        <w:fldChar w:fldCharType="end"/>
      </w:r>
    </w:p>
    <w:p w14:paraId="349DBE27" w14:textId="398EAC80" w:rsidR="0023519F" w:rsidRPr="00E44F3E" w:rsidRDefault="0023519F" w:rsidP="0023519F">
      <w:pPr>
        <w:pStyle w:val="TOC1"/>
      </w:pPr>
      <w:r w:rsidRPr="00E44F3E">
        <w:t xml:space="preserve">List of </w:t>
      </w:r>
      <w:r w:rsidR="00D67309" w:rsidRPr="00E44F3E">
        <w:t>tables</w:t>
      </w:r>
    </w:p>
    <w:p w14:paraId="715F6961" w14:textId="41C3970A" w:rsidR="00A061A4" w:rsidRDefault="00483132">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r w:rsidRPr="00E44F3E">
        <w:fldChar w:fldCharType="begin"/>
      </w:r>
      <w:r w:rsidRPr="00E44F3E">
        <w:instrText xml:space="preserve"> TOC \h \z \c "Table" </w:instrText>
      </w:r>
      <w:r w:rsidRPr="00E44F3E">
        <w:fldChar w:fldCharType="separate"/>
      </w:r>
      <w:hyperlink w:anchor="_Toc180142287" w:history="1">
        <w:r w:rsidR="00A061A4" w:rsidRPr="008D077F">
          <w:rPr>
            <w:rStyle w:val="Hyperlink"/>
            <w:noProof/>
          </w:rPr>
          <w:t>Table 1: Comparison of medicine funding processes between Australia and Aotearoa New Zealand</w:t>
        </w:r>
        <w:r w:rsidR="00A061A4">
          <w:rPr>
            <w:noProof/>
            <w:webHidden/>
          </w:rPr>
          <w:tab/>
        </w:r>
        <w:r w:rsidR="00A061A4">
          <w:rPr>
            <w:noProof/>
            <w:webHidden/>
          </w:rPr>
          <w:fldChar w:fldCharType="begin"/>
        </w:r>
        <w:r w:rsidR="00A061A4">
          <w:rPr>
            <w:noProof/>
            <w:webHidden/>
          </w:rPr>
          <w:instrText xml:space="preserve"> PAGEREF _Toc180142287 \h </w:instrText>
        </w:r>
        <w:r w:rsidR="00A061A4">
          <w:rPr>
            <w:noProof/>
            <w:webHidden/>
          </w:rPr>
        </w:r>
        <w:r w:rsidR="00A061A4">
          <w:rPr>
            <w:noProof/>
            <w:webHidden/>
          </w:rPr>
          <w:fldChar w:fldCharType="separate"/>
        </w:r>
        <w:r w:rsidR="004A6DF6">
          <w:rPr>
            <w:noProof/>
            <w:webHidden/>
          </w:rPr>
          <w:t>7</w:t>
        </w:r>
        <w:r w:rsidR="00A061A4">
          <w:rPr>
            <w:noProof/>
            <w:webHidden/>
          </w:rPr>
          <w:fldChar w:fldCharType="end"/>
        </w:r>
      </w:hyperlink>
    </w:p>
    <w:p w14:paraId="745AAEBD" w14:textId="41D1808D"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88" w:history="1">
        <w:r w:rsidR="00A061A4" w:rsidRPr="008D077F">
          <w:rPr>
            <w:rStyle w:val="Hyperlink"/>
            <w:noProof/>
          </w:rPr>
          <w:t>Table 2: Scope of analysis inclusions and exclusions for blood cancer medicines</w:t>
        </w:r>
        <w:r w:rsidR="00A061A4">
          <w:rPr>
            <w:noProof/>
            <w:webHidden/>
          </w:rPr>
          <w:tab/>
        </w:r>
        <w:r w:rsidR="00A061A4">
          <w:rPr>
            <w:noProof/>
            <w:webHidden/>
          </w:rPr>
          <w:fldChar w:fldCharType="begin"/>
        </w:r>
        <w:r w:rsidR="00A061A4">
          <w:rPr>
            <w:noProof/>
            <w:webHidden/>
          </w:rPr>
          <w:instrText xml:space="preserve"> PAGEREF _Toc180142288 \h </w:instrText>
        </w:r>
        <w:r w:rsidR="00A061A4">
          <w:rPr>
            <w:noProof/>
            <w:webHidden/>
          </w:rPr>
        </w:r>
        <w:r w:rsidR="00A061A4">
          <w:rPr>
            <w:noProof/>
            <w:webHidden/>
          </w:rPr>
          <w:fldChar w:fldCharType="separate"/>
        </w:r>
        <w:r w:rsidR="004A6DF6">
          <w:rPr>
            <w:noProof/>
            <w:webHidden/>
          </w:rPr>
          <w:t>15</w:t>
        </w:r>
        <w:r w:rsidR="00A061A4">
          <w:rPr>
            <w:noProof/>
            <w:webHidden/>
          </w:rPr>
          <w:fldChar w:fldCharType="end"/>
        </w:r>
      </w:hyperlink>
    </w:p>
    <w:p w14:paraId="55EE7647" w14:textId="5CF42BF9"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89" w:history="1">
        <w:r w:rsidR="00A061A4" w:rsidRPr="008D077F">
          <w:rPr>
            <w:rStyle w:val="Hyperlink"/>
            <w:noProof/>
          </w:rPr>
          <w:t>Table 3: Summary of medicine availability gaps by type of cancer and ESMO-MCBS:H score</w:t>
        </w:r>
        <w:r w:rsidR="00A061A4">
          <w:rPr>
            <w:noProof/>
            <w:webHidden/>
          </w:rPr>
          <w:tab/>
        </w:r>
        <w:r w:rsidR="00A061A4">
          <w:rPr>
            <w:noProof/>
            <w:webHidden/>
          </w:rPr>
          <w:fldChar w:fldCharType="begin"/>
        </w:r>
        <w:r w:rsidR="00A061A4">
          <w:rPr>
            <w:noProof/>
            <w:webHidden/>
          </w:rPr>
          <w:instrText xml:space="preserve"> PAGEREF _Toc180142289 \h </w:instrText>
        </w:r>
        <w:r w:rsidR="00A061A4">
          <w:rPr>
            <w:noProof/>
            <w:webHidden/>
          </w:rPr>
        </w:r>
        <w:r w:rsidR="00A061A4">
          <w:rPr>
            <w:noProof/>
            <w:webHidden/>
          </w:rPr>
          <w:fldChar w:fldCharType="separate"/>
        </w:r>
        <w:r w:rsidR="004A6DF6">
          <w:rPr>
            <w:noProof/>
            <w:webHidden/>
          </w:rPr>
          <w:t>20</w:t>
        </w:r>
        <w:r w:rsidR="00A061A4">
          <w:rPr>
            <w:noProof/>
            <w:webHidden/>
          </w:rPr>
          <w:fldChar w:fldCharType="end"/>
        </w:r>
      </w:hyperlink>
    </w:p>
    <w:p w14:paraId="383C781B" w14:textId="42D15C7B"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0" w:history="1">
        <w:r w:rsidR="00A061A4" w:rsidRPr="008D077F">
          <w:rPr>
            <w:rStyle w:val="Hyperlink"/>
            <w:noProof/>
            <w:spacing w:val="-2"/>
          </w:rPr>
          <w:t>Table 4: Blood cancer medicines funded in Australia but not in Aotearoa New Zealand with a substantial clinical benefit ESMO-MCBS:H score</w:t>
        </w:r>
        <w:r w:rsidR="00A061A4">
          <w:rPr>
            <w:noProof/>
            <w:webHidden/>
          </w:rPr>
          <w:tab/>
        </w:r>
        <w:r w:rsidR="00A061A4">
          <w:rPr>
            <w:noProof/>
            <w:webHidden/>
          </w:rPr>
          <w:fldChar w:fldCharType="begin"/>
        </w:r>
        <w:r w:rsidR="00A061A4">
          <w:rPr>
            <w:noProof/>
            <w:webHidden/>
          </w:rPr>
          <w:instrText xml:space="preserve"> PAGEREF _Toc180142290 \h </w:instrText>
        </w:r>
        <w:r w:rsidR="00A061A4">
          <w:rPr>
            <w:noProof/>
            <w:webHidden/>
          </w:rPr>
        </w:r>
        <w:r w:rsidR="00A061A4">
          <w:rPr>
            <w:noProof/>
            <w:webHidden/>
          </w:rPr>
          <w:fldChar w:fldCharType="separate"/>
        </w:r>
        <w:r w:rsidR="004A6DF6">
          <w:rPr>
            <w:noProof/>
            <w:webHidden/>
          </w:rPr>
          <w:t>22</w:t>
        </w:r>
        <w:r w:rsidR="00A061A4">
          <w:rPr>
            <w:noProof/>
            <w:webHidden/>
          </w:rPr>
          <w:fldChar w:fldCharType="end"/>
        </w:r>
      </w:hyperlink>
    </w:p>
    <w:p w14:paraId="02D87662" w14:textId="446A36A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1" w:history="1">
        <w:r w:rsidR="00A061A4" w:rsidRPr="008D077F">
          <w:rPr>
            <w:rStyle w:val="Hyperlink"/>
            <w:noProof/>
          </w:rPr>
          <w:t>Table 5: Substantial clinical benefit gaps in leukaemia</w:t>
        </w:r>
        <w:r w:rsidR="00A061A4">
          <w:rPr>
            <w:noProof/>
            <w:webHidden/>
          </w:rPr>
          <w:tab/>
        </w:r>
        <w:r w:rsidR="00A061A4">
          <w:rPr>
            <w:noProof/>
            <w:webHidden/>
          </w:rPr>
          <w:fldChar w:fldCharType="begin"/>
        </w:r>
        <w:r w:rsidR="00A061A4">
          <w:rPr>
            <w:noProof/>
            <w:webHidden/>
          </w:rPr>
          <w:instrText xml:space="preserve"> PAGEREF _Toc180142291 \h </w:instrText>
        </w:r>
        <w:r w:rsidR="00A061A4">
          <w:rPr>
            <w:noProof/>
            <w:webHidden/>
          </w:rPr>
        </w:r>
        <w:r w:rsidR="00A061A4">
          <w:rPr>
            <w:noProof/>
            <w:webHidden/>
          </w:rPr>
          <w:fldChar w:fldCharType="separate"/>
        </w:r>
        <w:r w:rsidR="004A6DF6">
          <w:rPr>
            <w:noProof/>
            <w:webHidden/>
          </w:rPr>
          <w:t>25</w:t>
        </w:r>
        <w:r w:rsidR="00A061A4">
          <w:rPr>
            <w:noProof/>
            <w:webHidden/>
          </w:rPr>
          <w:fldChar w:fldCharType="end"/>
        </w:r>
      </w:hyperlink>
    </w:p>
    <w:p w14:paraId="45424785" w14:textId="6C858ED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2" w:history="1">
        <w:r w:rsidR="00A061A4" w:rsidRPr="008D077F">
          <w:rPr>
            <w:rStyle w:val="Hyperlink"/>
            <w:noProof/>
          </w:rPr>
          <w:t>Table 6: Substantial clinical benefit gap in lymphoma</w:t>
        </w:r>
        <w:r w:rsidR="00A061A4">
          <w:rPr>
            <w:noProof/>
            <w:webHidden/>
          </w:rPr>
          <w:tab/>
        </w:r>
        <w:r w:rsidR="00A061A4">
          <w:rPr>
            <w:noProof/>
            <w:webHidden/>
          </w:rPr>
          <w:fldChar w:fldCharType="begin"/>
        </w:r>
        <w:r w:rsidR="00A061A4">
          <w:rPr>
            <w:noProof/>
            <w:webHidden/>
          </w:rPr>
          <w:instrText xml:space="preserve"> PAGEREF _Toc180142292 \h </w:instrText>
        </w:r>
        <w:r w:rsidR="00A061A4">
          <w:rPr>
            <w:noProof/>
            <w:webHidden/>
          </w:rPr>
        </w:r>
        <w:r w:rsidR="00A061A4">
          <w:rPr>
            <w:noProof/>
            <w:webHidden/>
          </w:rPr>
          <w:fldChar w:fldCharType="separate"/>
        </w:r>
        <w:r w:rsidR="004A6DF6">
          <w:rPr>
            <w:noProof/>
            <w:webHidden/>
          </w:rPr>
          <w:t>27</w:t>
        </w:r>
        <w:r w:rsidR="00A061A4">
          <w:rPr>
            <w:noProof/>
            <w:webHidden/>
          </w:rPr>
          <w:fldChar w:fldCharType="end"/>
        </w:r>
      </w:hyperlink>
    </w:p>
    <w:p w14:paraId="1ABEA2D2" w14:textId="5633F939"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3" w:history="1">
        <w:r w:rsidR="00A061A4" w:rsidRPr="008D077F">
          <w:rPr>
            <w:rStyle w:val="Hyperlink"/>
            <w:noProof/>
          </w:rPr>
          <w:t>Table 7: Substantial clinical benefit gaps in myeloma</w:t>
        </w:r>
        <w:r w:rsidR="00A061A4">
          <w:rPr>
            <w:noProof/>
            <w:webHidden/>
          </w:rPr>
          <w:tab/>
        </w:r>
        <w:r w:rsidR="00A061A4">
          <w:rPr>
            <w:noProof/>
            <w:webHidden/>
          </w:rPr>
          <w:fldChar w:fldCharType="begin"/>
        </w:r>
        <w:r w:rsidR="00A061A4">
          <w:rPr>
            <w:noProof/>
            <w:webHidden/>
          </w:rPr>
          <w:instrText xml:space="preserve"> PAGEREF _Toc180142293 \h </w:instrText>
        </w:r>
        <w:r w:rsidR="00A061A4">
          <w:rPr>
            <w:noProof/>
            <w:webHidden/>
          </w:rPr>
        </w:r>
        <w:r w:rsidR="00A061A4">
          <w:rPr>
            <w:noProof/>
            <w:webHidden/>
          </w:rPr>
          <w:fldChar w:fldCharType="separate"/>
        </w:r>
        <w:r w:rsidR="004A6DF6">
          <w:rPr>
            <w:noProof/>
            <w:webHidden/>
          </w:rPr>
          <w:t>28</w:t>
        </w:r>
        <w:r w:rsidR="00A061A4">
          <w:rPr>
            <w:noProof/>
            <w:webHidden/>
          </w:rPr>
          <w:fldChar w:fldCharType="end"/>
        </w:r>
      </w:hyperlink>
    </w:p>
    <w:p w14:paraId="1E79132E" w14:textId="7708D77F"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4" w:history="1">
        <w:r w:rsidR="00A061A4" w:rsidRPr="008D077F">
          <w:rPr>
            <w:rStyle w:val="Hyperlink"/>
            <w:noProof/>
          </w:rPr>
          <w:t>Table 8: Medicine-indication pairs identified as gaps on 1 January 2024 that have since been funded by Pharmac</w:t>
        </w:r>
        <w:r w:rsidR="00A061A4">
          <w:rPr>
            <w:noProof/>
            <w:webHidden/>
          </w:rPr>
          <w:tab/>
        </w:r>
        <w:r w:rsidR="00A061A4">
          <w:rPr>
            <w:noProof/>
            <w:webHidden/>
          </w:rPr>
          <w:fldChar w:fldCharType="begin"/>
        </w:r>
        <w:r w:rsidR="00A061A4">
          <w:rPr>
            <w:noProof/>
            <w:webHidden/>
          </w:rPr>
          <w:instrText xml:space="preserve"> PAGEREF _Toc180142294 \h </w:instrText>
        </w:r>
        <w:r w:rsidR="00A061A4">
          <w:rPr>
            <w:noProof/>
            <w:webHidden/>
          </w:rPr>
        </w:r>
        <w:r w:rsidR="00A061A4">
          <w:rPr>
            <w:noProof/>
            <w:webHidden/>
          </w:rPr>
          <w:fldChar w:fldCharType="separate"/>
        </w:r>
        <w:r w:rsidR="004A6DF6">
          <w:rPr>
            <w:noProof/>
            <w:webHidden/>
          </w:rPr>
          <w:t>30</w:t>
        </w:r>
        <w:r w:rsidR="00A061A4">
          <w:rPr>
            <w:noProof/>
            <w:webHidden/>
          </w:rPr>
          <w:fldChar w:fldCharType="end"/>
        </w:r>
      </w:hyperlink>
    </w:p>
    <w:p w14:paraId="25E18ABA" w14:textId="1D08AD6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5" w:history="1">
        <w:r w:rsidR="00A061A4" w:rsidRPr="008D077F">
          <w:rPr>
            <w:rStyle w:val="Hyperlink"/>
            <w:noProof/>
          </w:rPr>
          <w:t>Table 9: Blood cancer medicines funded in both Aotearoa New Zealand and Australia</w:t>
        </w:r>
        <w:r w:rsidR="00A061A4">
          <w:rPr>
            <w:noProof/>
            <w:webHidden/>
          </w:rPr>
          <w:tab/>
        </w:r>
        <w:r w:rsidR="00A061A4">
          <w:rPr>
            <w:noProof/>
            <w:webHidden/>
          </w:rPr>
          <w:fldChar w:fldCharType="begin"/>
        </w:r>
        <w:r w:rsidR="00A061A4">
          <w:rPr>
            <w:noProof/>
            <w:webHidden/>
          </w:rPr>
          <w:instrText xml:space="preserve"> PAGEREF _Toc180142295 \h </w:instrText>
        </w:r>
        <w:r w:rsidR="00A061A4">
          <w:rPr>
            <w:noProof/>
            <w:webHidden/>
          </w:rPr>
        </w:r>
        <w:r w:rsidR="00A061A4">
          <w:rPr>
            <w:noProof/>
            <w:webHidden/>
          </w:rPr>
          <w:fldChar w:fldCharType="separate"/>
        </w:r>
        <w:r w:rsidR="004A6DF6">
          <w:rPr>
            <w:noProof/>
            <w:webHidden/>
          </w:rPr>
          <w:t>42</w:t>
        </w:r>
        <w:r w:rsidR="00A061A4">
          <w:rPr>
            <w:noProof/>
            <w:webHidden/>
          </w:rPr>
          <w:fldChar w:fldCharType="end"/>
        </w:r>
      </w:hyperlink>
    </w:p>
    <w:p w14:paraId="5893D231" w14:textId="51EBEFFD"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6" w:history="1">
        <w:r w:rsidR="00A061A4" w:rsidRPr="008D077F">
          <w:rPr>
            <w:rStyle w:val="Hyperlink"/>
            <w:noProof/>
          </w:rPr>
          <w:t>Table 10: Medicines funded in Aotearoa New Zealand but not in Australia*</w:t>
        </w:r>
        <w:r w:rsidR="00A061A4">
          <w:rPr>
            <w:noProof/>
            <w:webHidden/>
          </w:rPr>
          <w:tab/>
        </w:r>
        <w:r w:rsidR="00A061A4">
          <w:rPr>
            <w:noProof/>
            <w:webHidden/>
          </w:rPr>
          <w:fldChar w:fldCharType="begin"/>
        </w:r>
        <w:r w:rsidR="00A061A4">
          <w:rPr>
            <w:noProof/>
            <w:webHidden/>
          </w:rPr>
          <w:instrText xml:space="preserve"> PAGEREF _Toc180142296 \h </w:instrText>
        </w:r>
        <w:r w:rsidR="00A061A4">
          <w:rPr>
            <w:noProof/>
            <w:webHidden/>
          </w:rPr>
        </w:r>
        <w:r w:rsidR="00A061A4">
          <w:rPr>
            <w:noProof/>
            <w:webHidden/>
          </w:rPr>
          <w:fldChar w:fldCharType="separate"/>
        </w:r>
        <w:r w:rsidR="004A6DF6">
          <w:rPr>
            <w:noProof/>
            <w:webHidden/>
          </w:rPr>
          <w:t>45</w:t>
        </w:r>
        <w:r w:rsidR="00A061A4">
          <w:rPr>
            <w:noProof/>
            <w:webHidden/>
          </w:rPr>
          <w:fldChar w:fldCharType="end"/>
        </w:r>
      </w:hyperlink>
    </w:p>
    <w:p w14:paraId="39F38CB9" w14:textId="58AB5082"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7" w:history="1">
        <w:r w:rsidR="00A061A4" w:rsidRPr="008D077F">
          <w:rPr>
            <w:rStyle w:val="Hyperlink"/>
            <w:noProof/>
          </w:rPr>
          <w:t>Table 11: Summary of blood cancer medicines publicly available in Australia but not in Aotearoa New Zealand that were determined to not have a substantial magnitude of clinical benefit according to the ESMO-MCBS:H (Curative: C; Non-curative: 3, 2, 1, or no evaluable benefit (NEB)) or were not scoreable</w:t>
        </w:r>
        <w:r w:rsidR="00A061A4">
          <w:rPr>
            <w:noProof/>
            <w:webHidden/>
          </w:rPr>
          <w:tab/>
        </w:r>
        <w:r w:rsidR="00A061A4">
          <w:rPr>
            <w:noProof/>
            <w:webHidden/>
          </w:rPr>
          <w:fldChar w:fldCharType="begin"/>
        </w:r>
        <w:r w:rsidR="00A061A4">
          <w:rPr>
            <w:noProof/>
            <w:webHidden/>
          </w:rPr>
          <w:instrText xml:space="preserve"> PAGEREF _Toc180142297 \h </w:instrText>
        </w:r>
        <w:r w:rsidR="00A061A4">
          <w:rPr>
            <w:noProof/>
            <w:webHidden/>
          </w:rPr>
        </w:r>
        <w:r w:rsidR="00A061A4">
          <w:rPr>
            <w:noProof/>
            <w:webHidden/>
          </w:rPr>
          <w:fldChar w:fldCharType="separate"/>
        </w:r>
        <w:r w:rsidR="004A6DF6">
          <w:rPr>
            <w:noProof/>
            <w:webHidden/>
          </w:rPr>
          <w:t>47</w:t>
        </w:r>
        <w:r w:rsidR="00A061A4">
          <w:rPr>
            <w:noProof/>
            <w:webHidden/>
          </w:rPr>
          <w:fldChar w:fldCharType="end"/>
        </w:r>
      </w:hyperlink>
    </w:p>
    <w:p w14:paraId="4F6A76C3" w14:textId="0A74150F"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8" w:history="1">
        <w:r w:rsidR="00A061A4" w:rsidRPr="008D077F">
          <w:rPr>
            <w:rStyle w:val="Hyperlink"/>
            <w:noProof/>
          </w:rPr>
          <w:t xml:space="preserve">Table 12: </w:t>
        </w:r>
        <w:r w:rsidR="00A061A4" w:rsidRPr="008D077F">
          <w:rPr>
            <w:rStyle w:val="Hyperlink"/>
            <w:noProof/>
            <w:spacing w:val="-2"/>
          </w:rPr>
          <w:t>Medicines funded in Australia but not in Aotearoa New Zealand – gap categorisation: substantial clinical benefit</w:t>
        </w:r>
        <w:r w:rsidR="00A061A4">
          <w:rPr>
            <w:noProof/>
            <w:webHidden/>
          </w:rPr>
          <w:tab/>
        </w:r>
        <w:r w:rsidR="00A061A4">
          <w:rPr>
            <w:noProof/>
            <w:webHidden/>
          </w:rPr>
          <w:fldChar w:fldCharType="begin"/>
        </w:r>
        <w:r w:rsidR="00A061A4">
          <w:rPr>
            <w:noProof/>
            <w:webHidden/>
          </w:rPr>
          <w:instrText xml:space="preserve"> PAGEREF _Toc180142298 \h </w:instrText>
        </w:r>
        <w:r w:rsidR="00A061A4">
          <w:rPr>
            <w:noProof/>
            <w:webHidden/>
          </w:rPr>
        </w:r>
        <w:r w:rsidR="00A061A4">
          <w:rPr>
            <w:noProof/>
            <w:webHidden/>
          </w:rPr>
          <w:fldChar w:fldCharType="separate"/>
        </w:r>
        <w:r w:rsidR="004A6DF6">
          <w:rPr>
            <w:noProof/>
            <w:webHidden/>
          </w:rPr>
          <w:t>54</w:t>
        </w:r>
        <w:r w:rsidR="00A061A4">
          <w:rPr>
            <w:noProof/>
            <w:webHidden/>
          </w:rPr>
          <w:fldChar w:fldCharType="end"/>
        </w:r>
      </w:hyperlink>
    </w:p>
    <w:p w14:paraId="425B03B6" w14:textId="3C04733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299" w:history="1">
        <w:r w:rsidR="00A061A4" w:rsidRPr="008D077F">
          <w:rPr>
            <w:rStyle w:val="Hyperlink"/>
            <w:noProof/>
          </w:rPr>
          <w:t>Table 13:</w:t>
        </w:r>
        <w:r w:rsidR="00A061A4" w:rsidRPr="008D077F">
          <w:rPr>
            <w:rStyle w:val="Hyperlink"/>
            <w:bCs/>
            <w:noProof/>
          </w:rPr>
          <w:t xml:space="preserve"> </w:t>
        </w:r>
        <w:r w:rsidR="00A061A4" w:rsidRPr="008D077F">
          <w:rPr>
            <w:rStyle w:val="Hyperlink"/>
            <w:noProof/>
          </w:rPr>
          <w:t>Medicines funded in Australia but not in Aotearoa New Zealand – gap categorisation: no substantial clinical benefit</w:t>
        </w:r>
        <w:r w:rsidR="00A061A4">
          <w:rPr>
            <w:noProof/>
            <w:webHidden/>
          </w:rPr>
          <w:tab/>
        </w:r>
        <w:r w:rsidR="00A061A4">
          <w:rPr>
            <w:noProof/>
            <w:webHidden/>
          </w:rPr>
          <w:fldChar w:fldCharType="begin"/>
        </w:r>
        <w:r w:rsidR="00A061A4">
          <w:rPr>
            <w:noProof/>
            <w:webHidden/>
          </w:rPr>
          <w:instrText xml:space="preserve"> PAGEREF _Toc180142299 \h </w:instrText>
        </w:r>
        <w:r w:rsidR="00A061A4">
          <w:rPr>
            <w:noProof/>
            <w:webHidden/>
          </w:rPr>
        </w:r>
        <w:r w:rsidR="00A061A4">
          <w:rPr>
            <w:noProof/>
            <w:webHidden/>
          </w:rPr>
          <w:fldChar w:fldCharType="separate"/>
        </w:r>
        <w:r w:rsidR="004A6DF6">
          <w:rPr>
            <w:noProof/>
            <w:webHidden/>
          </w:rPr>
          <w:t>62</w:t>
        </w:r>
        <w:r w:rsidR="00A061A4">
          <w:rPr>
            <w:noProof/>
            <w:webHidden/>
          </w:rPr>
          <w:fldChar w:fldCharType="end"/>
        </w:r>
      </w:hyperlink>
    </w:p>
    <w:p w14:paraId="38AA3409" w14:textId="31DF763C"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0" w:history="1">
        <w:r w:rsidR="00A061A4" w:rsidRPr="008D077F">
          <w:rPr>
            <w:rStyle w:val="Hyperlink"/>
            <w:noProof/>
          </w:rPr>
          <w:t>Table 14: Medicines funded in Australia but not in Aotearoa New Zealand – gap categorisation: no evaluable benefit</w:t>
        </w:r>
        <w:r w:rsidR="00A061A4">
          <w:rPr>
            <w:noProof/>
            <w:webHidden/>
          </w:rPr>
          <w:tab/>
        </w:r>
        <w:r w:rsidR="00A061A4">
          <w:rPr>
            <w:noProof/>
            <w:webHidden/>
          </w:rPr>
          <w:fldChar w:fldCharType="begin"/>
        </w:r>
        <w:r w:rsidR="00A061A4">
          <w:rPr>
            <w:noProof/>
            <w:webHidden/>
          </w:rPr>
          <w:instrText xml:space="preserve"> PAGEREF _Toc180142300 \h </w:instrText>
        </w:r>
        <w:r w:rsidR="00A061A4">
          <w:rPr>
            <w:noProof/>
            <w:webHidden/>
          </w:rPr>
        </w:r>
        <w:r w:rsidR="00A061A4">
          <w:rPr>
            <w:noProof/>
            <w:webHidden/>
          </w:rPr>
          <w:fldChar w:fldCharType="separate"/>
        </w:r>
        <w:r w:rsidR="004A6DF6">
          <w:rPr>
            <w:noProof/>
            <w:webHidden/>
          </w:rPr>
          <w:t>81</w:t>
        </w:r>
        <w:r w:rsidR="00A061A4">
          <w:rPr>
            <w:noProof/>
            <w:webHidden/>
          </w:rPr>
          <w:fldChar w:fldCharType="end"/>
        </w:r>
      </w:hyperlink>
    </w:p>
    <w:p w14:paraId="749B0BB7" w14:textId="5BA44A7D"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1" w:history="1">
        <w:r w:rsidR="00A061A4" w:rsidRPr="008D077F">
          <w:rPr>
            <w:rStyle w:val="Hyperlink"/>
            <w:noProof/>
          </w:rPr>
          <w:t>Table 15: Medicines funded in Australia but not in Aotearoa New Zealand – gap categorisation: not scorable</w:t>
        </w:r>
        <w:r w:rsidR="00A061A4">
          <w:rPr>
            <w:noProof/>
            <w:webHidden/>
          </w:rPr>
          <w:tab/>
        </w:r>
        <w:r w:rsidR="00A061A4">
          <w:rPr>
            <w:noProof/>
            <w:webHidden/>
          </w:rPr>
          <w:fldChar w:fldCharType="begin"/>
        </w:r>
        <w:r w:rsidR="00A061A4">
          <w:rPr>
            <w:noProof/>
            <w:webHidden/>
          </w:rPr>
          <w:instrText xml:space="preserve"> PAGEREF _Toc180142301 \h </w:instrText>
        </w:r>
        <w:r w:rsidR="00A061A4">
          <w:rPr>
            <w:noProof/>
            <w:webHidden/>
          </w:rPr>
        </w:r>
        <w:r w:rsidR="00A061A4">
          <w:rPr>
            <w:noProof/>
            <w:webHidden/>
          </w:rPr>
          <w:fldChar w:fldCharType="separate"/>
        </w:r>
        <w:r w:rsidR="004A6DF6">
          <w:rPr>
            <w:noProof/>
            <w:webHidden/>
          </w:rPr>
          <w:t>83</w:t>
        </w:r>
        <w:r w:rsidR="00A061A4">
          <w:rPr>
            <w:noProof/>
            <w:webHidden/>
          </w:rPr>
          <w:fldChar w:fldCharType="end"/>
        </w:r>
      </w:hyperlink>
    </w:p>
    <w:p w14:paraId="7B1D727F" w14:textId="1EE26F29"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2" w:history="1">
        <w:r w:rsidR="00A061A4" w:rsidRPr="008D077F">
          <w:rPr>
            <w:rStyle w:val="Hyperlink"/>
            <w:noProof/>
          </w:rPr>
          <w:t>Table 16: Asciminib third line for chronic myeloid leukaemia</w:t>
        </w:r>
        <w:r w:rsidR="00A061A4">
          <w:rPr>
            <w:noProof/>
            <w:webHidden/>
          </w:rPr>
          <w:tab/>
        </w:r>
        <w:r w:rsidR="00A061A4">
          <w:rPr>
            <w:noProof/>
            <w:webHidden/>
          </w:rPr>
          <w:fldChar w:fldCharType="begin"/>
        </w:r>
        <w:r w:rsidR="00A061A4">
          <w:rPr>
            <w:noProof/>
            <w:webHidden/>
          </w:rPr>
          <w:instrText xml:space="preserve"> PAGEREF _Toc180142302 \h </w:instrText>
        </w:r>
        <w:r w:rsidR="00A061A4">
          <w:rPr>
            <w:noProof/>
            <w:webHidden/>
          </w:rPr>
        </w:r>
        <w:r w:rsidR="00A061A4">
          <w:rPr>
            <w:noProof/>
            <w:webHidden/>
          </w:rPr>
          <w:fldChar w:fldCharType="separate"/>
        </w:r>
        <w:r w:rsidR="004A6DF6">
          <w:rPr>
            <w:noProof/>
            <w:webHidden/>
          </w:rPr>
          <w:t>85</w:t>
        </w:r>
        <w:r w:rsidR="00A061A4">
          <w:rPr>
            <w:noProof/>
            <w:webHidden/>
          </w:rPr>
          <w:fldChar w:fldCharType="end"/>
        </w:r>
      </w:hyperlink>
    </w:p>
    <w:p w14:paraId="33BE7EA1" w14:textId="7AAB629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3" w:history="1">
        <w:r w:rsidR="00A061A4" w:rsidRPr="008D077F">
          <w:rPr>
            <w:rStyle w:val="Hyperlink"/>
            <w:noProof/>
          </w:rPr>
          <w:t>Table 17: Blinatumomab for acute lymphoblastic leukaemia – measurable residual disease (MRD) positive</w:t>
        </w:r>
        <w:r w:rsidR="00A061A4">
          <w:rPr>
            <w:noProof/>
            <w:webHidden/>
          </w:rPr>
          <w:tab/>
        </w:r>
        <w:r w:rsidR="00A061A4">
          <w:rPr>
            <w:noProof/>
            <w:webHidden/>
          </w:rPr>
          <w:fldChar w:fldCharType="begin"/>
        </w:r>
        <w:r w:rsidR="00A061A4">
          <w:rPr>
            <w:noProof/>
            <w:webHidden/>
          </w:rPr>
          <w:instrText xml:space="preserve"> PAGEREF _Toc180142303 \h </w:instrText>
        </w:r>
        <w:r w:rsidR="00A061A4">
          <w:rPr>
            <w:noProof/>
            <w:webHidden/>
          </w:rPr>
        </w:r>
        <w:r w:rsidR="00A061A4">
          <w:rPr>
            <w:noProof/>
            <w:webHidden/>
          </w:rPr>
          <w:fldChar w:fldCharType="separate"/>
        </w:r>
        <w:r w:rsidR="004A6DF6">
          <w:rPr>
            <w:noProof/>
            <w:webHidden/>
          </w:rPr>
          <w:t>86</w:t>
        </w:r>
        <w:r w:rsidR="00A061A4">
          <w:rPr>
            <w:noProof/>
            <w:webHidden/>
          </w:rPr>
          <w:fldChar w:fldCharType="end"/>
        </w:r>
      </w:hyperlink>
    </w:p>
    <w:p w14:paraId="2E0CB025" w14:textId="20D9FD29"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4" w:history="1">
        <w:r w:rsidR="00A061A4" w:rsidRPr="008D077F">
          <w:rPr>
            <w:rStyle w:val="Hyperlink"/>
            <w:noProof/>
          </w:rPr>
          <w:t>Table 18: Blinatumomab for acute lymphoblastic leukaemia relapsed or refractory – induction and consolidation</w:t>
        </w:r>
        <w:r w:rsidR="00A061A4">
          <w:rPr>
            <w:noProof/>
            <w:webHidden/>
          </w:rPr>
          <w:tab/>
        </w:r>
        <w:r w:rsidR="00A061A4">
          <w:rPr>
            <w:noProof/>
            <w:webHidden/>
          </w:rPr>
          <w:fldChar w:fldCharType="begin"/>
        </w:r>
        <w:r w:rsidR="00A061A4">
          <w:rPr>
            <w:noProof/>
            <w:webHidden/>
          </w:rPr>
          <w:instrText xml:space="preserve"> PAGEREF _Toc180142304 \h </w:instrText>
        </w:r>
        <w:r w:rsidR="00A061A4">
          <w:rPr>
            <w:noProof/>
            <w:webHidden/>
          </w:rPr>
        </w:r>
        <w:r w:rsidR="00A061A4">
          <w:rPr>
            <w:noProof/>
            <w:webHidden/>
          </w:rPr>
          <w:fldChar w:fldCharType="separate"/>
        </w:r>
        <w:r w:rsidR="004A6DF6">
          <w:rPr>
            <w:noProof/>
            <w:webHidden/>
          </w:rPr>
          <w:t>88</w:t>
        </w:r>
        <w:r w:rsidR="00A061A4">
          <w:rPr>
            <w:noProof/>
            <w:webHidden/>
          </w:rPr>
          <w:fldChar w:fldCharType="end"/>
        </w:r>
      </w:hyperlink>
    </w:p>
    <w:p w14:paraId="37CE441F" w14:textId="3C9AB82C"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5" w:history="1">
        <w:r w:rsidR="00A061A4" w:rsidRPr="008D077F">
          <w:rPr>
            <w:rStyle w:val="Hyperlink"/>
            <w:noProof/>
          </w:rPr>
          <w:t>Table 19: Gilteritinib for FLT3-positive acute myeloid leukaemia</w:t>
        </w:r>
        <w:r w:rsidR="00A061A4">
          <w:rPr>
            <w:noProof/>
            <w:webHidden/>
          </w:rPr>
          <w:tab/>
        </w:r>
        <w:r w:rsidR="00A061A4">
          <w:rPr>
            <w:noProof/>
            <w:webHidden/>
          </w:rPr>
          <w:fldChar w:fldCharType="begin"/>
        </w:r>
        <w:r w:rsidR="00A061A4">
          <w:rPr>
            <w:noProof/>
            <w:webHidden/>
          </w:rPr>
          <w:instrText xml:space="preserve"> PAGEREF _Toc180142305 \h </w:instrText>
        </w:r>
        <w:r w:rsidR="00A061A4">
          <w:rPr>
            <w:noProof/>
            <w:webHidden/>
          </w:rPr>
        </w:r>
        <w:r w:rsidR="00A061A4">
          <w:rPr>
            <w:noProof/>
            <w:webHidden/>
          </w:rPr>
          <w:fldChar w:fldCharType="separate"/>
        </w:r>
        <w:r w:rsidR="004A6DF6">
          <w:rPr>
            <w:noProof/>
            <w:webHidden/>
          </w:rPr>
          <w:t>90</w:t>
        </w:r>
        <w:r w:rsidR="00A061A4">
          <w:rPr>
            <w:noProof/>
            <w:webHidden/>
          </w:rPr>
          <w:fldChar w:fldCharType="end"/>
        </w:r>
      </w:hyperlink>
    </w:p>
    <w:p w14:paraId="7F183A71" w14:textId="6C774843"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6" w:history="1">
        <w:r w:rsidR="00A061A4" w:rsidRPr="008D077F">
          <w:rPr>
            <w:rStyle w:val="Hyperlink"/>
            <w:noProof/>
          </w:rPr>
          <w:t>Table 20: Idelalisib with rituximab for chronic lymphocytic leukaemia</w:t>
        </w:r>
        <w:r w:rsidR="00A061A4">
          <w:rPr>
            <w:noProof/>
            <w:webHidden/>
          </w:rPr>
          <w:tab/>
        </w:r>
        <w:r w:rsidR="00A061A4">
          <w:rPr>
            <w:noProof/>
            <w:webHidden/>
          </w:rPr>
          <w:fldChar w:fldCharType="begin"/>
        </w:r>
        <w:r w:rsidR="00A061A4">
          <w:rPr>
            <w:noProof/>
            <w:webHidden/>
          </w:rPr>
          <w:instrText xml:space="preserve"> PAGEREF _Toc180142306 \h </w:instrText>
        </w:r>
        <w:r w:rsidR="00A061A4">
          <w:rPr>
            <w:noProof/>
            <w:webHidden/>
          </w:rPr>
        </w:r>
        <w:r w:rsidR="00A061A4">
          <w:rPr>
            <w:noProof/>
            <w:webHidden/>
          </w:rPr>
          <w:fldChar w:fldCharType="separate"/>
        </w:r>
        <w:r w:rsidR="004A6DF6">
          <w:rPr>
            <w:noProof/>
            <w:webHidden/>
          </w:rPr>
          <w:t>92</w:t>
        </w:r>
        <w:r w:rsidR="00A061A4">
          <w:rPr>
            <w:noProof/>
            <w:webHidden/>
          </w:rPr>
          <w:fldChar w:fldCharType="end"/>
        </w:r>
      </w:hyperlink>
    </w:p>
    <w:p w14:paraId="5F86F171" w14:textId="4AD8295A"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7" w:history="1">
        <w:r w:rsidR="00A061A4" w:rsidRPr="008D077F">
          <w:rPr>
            <w:rStyle w:val="Hyperlink"/>
            <w:noProof/>
          </w:rPr>
          <w:t>Table 21: Inotuzumab ozogamicin for CD22-positive B-cell acute lymphoblastic leukaemia relapsed or refractory – induction and consolidation</w:t>
        </w:r>
        <w:r w:rsidR="00A061A4">
          <w:rPr>
            <w:noProof/>
            <w:webHidden/>
          </w:rPr>
          <w:tab/>
        </w:r>
        <w:r w:rsidR="00A061A4">
          <w:rPr>
            <w:noProof/>
            <w:webHidden/>
          </w:rPr>
          <w:fldChar w:fldCharType="begin"/>
        </w:r>
        <w:r w:rsidR="00A061A4">
          <w:rPr>
            <w:noProof/>
            <w:webHidden/>
          </w:rPr>
          <w:instrText xml:space="preserve"> PAGEREF _Toc180142307 \h </w:instrText>
        </w:r>
        <w:r w:rsidR="00A061A4">
          <w:rPr>
            <w:noProof/>
            <w:webHidden/>
          </w:rPr>
        </w:r>
        <w:r w:rsidR="00A061A4">
          <w:rPr>
            <w:noProof/>
            <w:webHidden/>
          </w:rPr>
          <w:fldChar w:fldCharType="separate"/>
        </w:r>
        <w:r w:rsidR="004A6DF6">
          <w:rPr>
            <w:noProof/>
            <w:webHidden/>
          </w:rPr>
          <w:t>93</w:t>
        </w:r>
        <w:r w:rsidR="00A061A4">
          <w:rPr>
            <w:noProof/>
            <w:webHidden/>
          </w:rPr>
          <w:fldChar w:fldCharType="end"/>
        </w:r>
      </w:hyperlink>
    </w:p>
    <w:p w14:paraId="56E96792" w14:textId="4BDE7AAD"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8" w:history="1">
        <w:r w:rsidR="00A061A4" w:rsidRPr="008D077F">
          <w:rPr>
            <w:rStyle w:val="Hyperlink"/>
            <w:noProof/>
          </w:rPr>
          <w:t>Table 22: Midostaurin for FLT3-positive acute myeloid leukaemia</w:t>
        </w:r>
        <w:r w:rsidR="00A061A4">
          <w:rPr>
            <w:noProof/>
            <w:webHidden/>
          </w:rPr>
          <w:tab/>
        </w:r>
        <w:r w:rsidR="00A061A4">
          <w:rPr>
            <w:noProof/>
            <w:webHidden/>
          </w:rPr>
          <w:fldChar w:fldCharType="begin"/>
        </w:r>
        <w:r w:rsidR="00A061A4">
          <w:rPr>
            <w:noProof/>
            <w:webHidden/>
          </w:rPr>
          <w:instrText xml:space="preserve"> PAGEREF _Toc180142308 \h </w:instrText>
        </w:r>
        <w:r w:rsidR="00A061A4">
          <w:rPr>
            <w:noProof/>
            <w:webHidden/>
          </w:rPr>
        </w:r>
        <w:r w:rsidR="00A061A4">
          <w:rPr>
            <w:noProof/>
            <w:webHidden/>
          </w:rPr>
          <w:fldChar w:fldCharType="separate"/>
        </w:r>
        <w:r w:rsidR="004A6DF6">
          <w:rPr>
            <w:noProof/>
            <w:webHidden/>
          </w:rPr>
          <w:t>95</w:t>
        </w:r>
        <w:r w:rsidR="00A061A4">
          <w:rPr>
            <w:noProof/>
            <w:webHidden/>
          </w:rPr>
          <w:fldChar w:fldCharType="end"/>
        </w:r>
      </w:hyperlink>
    </w:p>
    <w:p w14:paraId="53373EFA" w14:textId="122740B0"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09" w:history="1">
        <w:r w:rsidR="00A061A4" w:rsidRPr="008D077F">
          <w:rPr>
            <w:rStyle w:val="Hyperlink"/>
            <w:noProof/>
          </w:rPr>
          <w:t>Table 23: Azacitidine with venetoclax for acute myeloid leukaemia</w:t>
        </w:r>
        <w:r w:rsidR="00A061A4">
          <w:rPr>
            <w:noProof/>
            <w:webHidden/>
          </w:rPr>
          <w:tab/>
        </w:r>
        <w:r w:rsidR="00A061A4">
          <w:rPr>
            <w:noProof/>
            <w:webHidden/>
          </w:rPr>
          <w:fldChar w:fldCharType="begin"/>
        </w:r>
        <w:r w:rsidR="00A061A4">
          <w:rPr>
            <w:noProof/>
            <w:webHidden/>
          </w:rPr>
          <w:instrText xml:space="preserve"> PAGEREF _Toc180142309 \h </w:instrText>
        </w:r>
        <w:r w:rsidR="00A061A4">
          <w:rPr>
            <w:noProof/>
            <w:webHidden/>
          </w:rPr>
        </w:r>
        <w:r w:rsidR="00A061A4">
          <w:rPr>
            <w:noProof/>
            <w:webHidden/>
          </w:rPr>
          <w:fldChar w:fldCharType="separate"/>
        </w:r>
        <w:r w:rsidR="004A6DF6">
          <w:rPr>
            <w:noProof/>
            <w:webHidden/>
          </w:rPr>
          <w:t>97</w:t>
        </w:r>
        <w:r w:rsidR="00A061A4">
          <w:rPr>
            <w:noProof/>
            <w:webHidden/>
          </w:rPr>
          <w:fldChar w:fldCharType="end"/>
        </w:r>
      </w:hyperlink>
    </w:p>
    <w:p w14:paraId="0977EF17" w14:textId="4381D507"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10" w:history="1">
        <w:r w:rsidR="00A061A4" w:rsidRPr="008D077F">
          <w:rPr>
            <w:rStyle w:val="Hyperlink"/>
            <w:noProof/>
          </w:rPr>
          <w:t>Table 24: Acalabrutinib, Ibrutinib and zanubrutinib for mantle cell lymphoma – relapsed refractory</w:t>
        </w:r>
        <w:r w:rsidR="00A061A4">
          <w:rPr>
            <w:noProof/>
            <w:webHidden/>
          </w:rPr>
          <w:tab/>
        </w:r>
        <w:r w:rsidR="00A061A4">
          <w:rPr>
            <w:noProof/>
            <w:webHidden/>
          </w:rPr>
          <w:fldChar w:fldCharType="begin"/>
        </w:r>
        <w:r w:rsidR="00A061A4">
          <w:rPr>
            <w:noProof/>
            <w:webHidden/>
          </w:rPr>
          <w:instrText xml:space="preserve"> PAGEREF _Toc180142310 \h </w:instrText>
        </w:r>
        <w:r w:rsidR="00A061A4">
          <w:rPr>
            <w:noProof/>
            <w:webHidden/>
          </w:rPr>
        </w:r>
        <w:r w:rsidR="00A061A4">
          <w:rPr>
            <w:noProof/>
            <w:webHidden/>
          </w:rPr>
          <w:fldChar w:fldCharType="separate"/>
        </w:r>
        <w:r w:rsidR="004A6DF6">
          <w:rPr>
            <w:noProof/>
            <w:webHidden/>
          </w:rPr>
          <w:t>99</w:t>
        </w:r>
        <w:r w:rsidR="00A061A4">
          <w:rPr>
            <w:noProof/>
            <w:webHidden/>
          </w:rPr>
          <w:fldChar w:fldCharType="end"/>
        </w:r>
      </w:hyperlink>
    </w:p>
    <w:p w14:paraId="591BF8E8" w14:textId="4735187D"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11" w:history="1">
        <w:r w:rsidR="00A061A4" w:rsidRPr="008D077F">
          <w:rPr>
            <w:rStyle w:val="Hyperlink"/>
            <w:noProof/>
          </w:rPr>
          <w:t>Table 25: Lenalidomide with bortezomib and dexamethasone for multiple myeloma</w:t>
        </w:r>
        <w:r w:rsidR="00A061A4">
          <w:rPr>
            <w:noProof/>
            <w:webHidden/>
          </w:rPr>
          <w:tab/>
        </w:r>
        <w:r w:rsidR="00A061A4">
          <w:rPr>
            <w:noProof/>
            <w:webHidden/>
          </w:rPr>
          <w:fldChar w:fldCharType="begin"/>
        </w:r>
        <w:r w:rsidR="00A061A4">
          <w:rPr>
            <w:noProof/>
            <w:webHidden/>
          </w:rPr>
          <w:instrText xml:space="preserve"> PAGEREF _Toc180142311 \h </w:instrText>
        </w:r>
        <w:r w:rsidR="00A061A4">
          <w:rPr>
            <w:noProof/>
            <w:webHidden/>
          </w:rPr>
        </w:r>
        <w:r w:rsidR="00A061A4">
          <w:rPr>
            <w:noProof/>
            <w:webHidden/>
          </w:rPr>
          <w:fldChar w:fldCharType="separate"/>
        </w:r>
        <w:r w:rsidR="004A6DF6">
          <w:rPr>
            <w:noProof/>
            <w:webHidden/>
          </w:rPr>
          <w:t>101</w:t>
        </w:r>
        <w:r w:rsidR="00A061A4">
          <w:rPr>
            <w:noProof/>
            <w:webHidden/>
          </w:rPr>
          <w:fldChar w:fldCharType="end"/>
        </w:r>
      </w:hyperlink>
    </w:p>
    <w:p w14:paraId="2128B4EC" w14:textId="26831F8A" w:rsidR="00A061A4"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42312" w:history="1">
        <w:r w:rsidR="00A061A4" w:rsidRPr="008D077F">
          <w:rPr>
            <w:rStyle w:val="Hyperlink"/>
            <w:noProof/>
          </w:rPr>
          <w:t>Table 26: Pomalidomide and dexamethasone for relapsed or refractory multiple myeloma</w:t>
        </w:r>
        <w:r w:rsidR="00A061A4">
          <w:rPr>
            <w:noProof/>
            <w:webHidden/>
          </w:rPr>
          <w:tab/>
        </w:r>
        <w:r w:rsidR="00A061A4">
          <w:rPr>
            <w:noProof/>
            <w:webHidden/>
          </w:rPr>
          <w:fldChar w:fldCharType="begin"/>
        </w:r>
        <w:r w:rsidR="00A061A4">
          <w:rPr>
            <w:noProof/>
            <w:webHidden/>
          </w:rPr>
          <w:instrText xml:space="preserve"> PAGEREF _Toc180142312 \h </w:instrText>
        </w:r>
        <w:r w:rsidR="00A061A4">
          <w:rPr>
            <w:noProof/>
            <w:webHidden/>
          </w:rPr>
        </w:r>
        <w:r w:rsidR="00A061A4">
          <w:rPr>
            <w:noProof/>
            <w:webHidden/>
          </w:rPr>
          <w:fldChar w:fldCharType="separate"/>
        </w:r>
        <w:r w:rsidR="004A6DF6">
          <w:rPr>
            <w:noProof/>
            <w:webHidden/>
          </w:rPr>
          <w:t>103</w:t>
        </w:r>
        <w:r w:rsidR="00A061A4">
          <w:rPr>
            <w:noProof/>
            <w:webHidden/>
          </w:rPr>
          <w:fldChar w:fldCharType="end"/>
        </w:r>
      </w:hyperlink>
    </w:p>
    <w:p w14:paraId="06CE54F4" w14:textId="31B19701" w:rsidR="0023519F" w:rsidRPr="00E44F3E" w:rsidRDefault="00483132" w:rsidP="003A5FEA">
      <w:r w:rsidRPr="00E44F3E">
        <w:fldChar w:fldCharType="end"/>
      </w:r>
    </w:p>
    <w:p w14:paraId="01EEEDD0" w14:textId="59B6169F" w:rsidR="0033448B" w:rsidRPr="00E44F3E" w:rsidRDefault="0033448B" w:rsidP="0033448B"/>
    <w:p w14:paraId="5E86BC6A" w14:textId="15D2BE39" w:rsidR="00A8063B" w:rsidRPr="00E44F3E" w:rsidRDefault="00A8063B" w:rsidP="003A5FEA">
      <w:r w:rsidRPr="00E44F3E">
        <w:br w:type="page"/>
      </w:r>
    </w:p>
    <w:p w14:paraId="69644F39" w14:textId="77777777" w:rsidR="00A8063B" w:rsidRPr="00E44F3E" w:rsidRDefault="00A8063B" w:rsidP="00A8063B">
      <w:pPr>
        <w:jc w:val="center"/>
        <w:rPr>
          <w:rFonts w:ascii="Montserrat" w:hAnsi="Montserrat"/>
          <w:b/>
          <w:bCs/>
          <w:color w:val="0AB58F"/>
          <w:sz w:val="52"/>
          <w:szCs w:val="52"/>
        </w:rPr>
      </w:pPr>
    </w:p>
    <w:p w14:paraId="66A6DF6F" w14:textId="77777777" w:rsidR="00A8063B" w:rsidRPr="00E44F3E" w:rsidRDefault="00A8063B" w:rsidP="00A8063B">
      <w:pPr>
        <w:jc w:val="center"/>
        <w:rPr>
          <w:rFonts w:ascii="Montserrat" w:hAnsi="Montserrat"/>
          <w:b/>
          <w:bCs/>
          <w:color w:val="0AB58F"/>
          <w:sz w:val="52"/>
          <w:szCs w:val="52"/>
        </w:rPr>
      </w:pPr>
    </w:p>
    <w:p w14:paraId="02A2242A" w14:textId="77777777" w:rsidR="00A8063B" w:rsidRPr="00E44F3E" w:rsidRDefault="00A8063B" w:rsidP="00A8063B">
      <w:pPr>
        <w:jc w:val="center"/>
        <w:rPr>
          <w:rFonts w:ascii="Montserrat" w:hAnsi="Montserrat"/>
          <w:b/>
          <w:bCs/>
          <w:color w:val="0AB58F"/>
          <w:sz w:val="52"/>
          <w:szCs w:val="52"/>
        </w:rPr>
      </w:pPr>
    </w:p>
    <w:p w14:paraId="08268CE9" w14:textId="77777777" w:rsidR="00A8063B" w:rsidRPr="00E44F3E" w:rsidRDefault="00A8063B" w:rsidP="00A8063B">
      <w:pPr>
        <w:jc w:val="center"/>
        <w:rPr>
          <w:rFonts w:ascii="Montserrat" w:hAnsi="Montserrat"/>
          <w:b/>
          <w:bCs/>
          <w:color w:val="0AB58F"/>
          <w:sz w:val="52"/>
          <w:szCs w:val="52"/>
        </w:rPr>
      </w:pPr>
    </w:p>
    <w:p w14:paraId="2E08572A" w14:textId="77777777" w:rsidR="00A8063B" w:rsidRPr="00E44F3E" w:rsidRDefault="00A8063B" w:rsidP="00A8063B">
      <w:pPr>
        <w:jc w:val="center"/>
        <w:rPr>
          <w:rFonts w:ascii="Montserrat" w:hAnsi="Montserrat"/>
          <w:b/>
          <w:bCs/>
          <w:color w:val="0AB58F"/>
          <w:sz w:val="52"/>
          <w:szCs w:val="52"/>
        </w:rPr>
      </w:pPr>
    </w:p>
    <w:p w14:paraId="46E1F271" w14:textId="27B01824" w:rsidR="00B5474A" w:rsidRPr="00E44F3E" w:rsidRDefault="00B5474A" w:rsidP="00A8063B">
      <w:pPr>
        <w:jc w:val="center"/>
        <w:rPr>
          <w:rFonts w:ascii="Montserrat" w:hAnsi="Montserrat"/>
          <w:b/>
          <w:bCs/>
          <w:color w:val="0AB58F"/>
          <w:sz w:val="52"/>
          <w:szCs w:val="52"/>
        </w:rPr>
      </w:pPr>
      <w:r w:rsidRPr="00E44F3E">
        <w:rPr>
          <w:rFonts w:ascii="Montserrat" w:hAnsi="Montserrat"/>
          <w:b/>
          <w:bCs/>
          <w:color w:val="0AB58F"/>
          <w:sz w:val="52"/>
          <w:szCs w:val="52"/>
        </w:rPr>
        <w:t xml:space="preserve">Mā </w:t>
      </w:r>
      <w:proofErr w:type="spellStart"/>
      <w:r w:rsidRPr="00E44F3E">
        <w:rPr>
          <w:rFonts w:ascii="Montserrat" w:hAnsi="Montserrat"/>
          <w:b/>
          <w:bCs/>
          <w:color w:val="0AB58F"/>
          <w:sz w:val="52"/>
          <w:szCs w:val="52"/>
        </w:rPr>
        <w:t>te</w:t>
      </w:r>
      <w:proofErr w:type="spellEnd"/>
      <w:r w:rsidRPr="00E44F3E">
        <w:rPr>
          <w:rFonts w:ascii="Montserrat" w:hAnsi="Montserrat"/>
          <w:b/>
          <w:bCs/>
          <w:color w:val="0AB58F"/>
          <w:sz w:val="52"/>
          <w:szCs w:val="52"/>
        </w:rPr>
        <w:t xml:space="preserve"> </w:t>
      </w:r>
      <w:proofErr w:type="spellStart"/>
      <w:r w:rsidRPr="00E44F3E">
        <w:rPr>
          <w:rFonts w:ascii="Montserrat" w:hAnsi="Montserrat"/>
          <w:b/>
          <w:bCs/>
          <w:color w:val="0AB58F"/>
          <w:sz w:val="52"/>
          <w:szCs w:val="52"/>
        </w:rPr>
        <w:t>kimi</w:t>
      </w:r>
      <w:proofErr w:type="spellEnd"/>
      <w:r w:rsidRPr="00E44F3E">
        <w:rPr>
          <w:rFonts w:ascii="Montserrat" w:hAnsi="Montserrat"/>
          <w:b/>
          <w:bCs/>
          <w:color w:val="0AB58F"/>
          <w:sz w:val="52"/>
          <w:szCs w:val="52"/>
        </w:rPr>
        <w:t xml:space="preserve"> ka kite,</w:t>
      </w:r>
    </w:p>
    <w:p w14:paraId="36914088" w14:textId="77777777" w:rsidR="00B5474A" w:rsidRPr="00E44F3E" w:rsidRDefault="00B5474A" w:rsidP="00B5474A">
      <w:pPr>
        <w:jc w:val="center"/>
        <w:rPr>
          <w:rFonts w:ascii="Montserrat" w:hAnsi="Montserrat"/>
          <w:b/>
          <w:bCs/>
          <w:color w:val="0AB58F"/>
          <w:sz w:val="52"/>
          <w:szCs w:val="52"/>
        </w:rPr>
      </w:pPr>
      <w:r w:rsidRPr="00E44F3E">
        <w:rPr>
          <w:rFonts w:ascii="Montserrat" w:hAnsi="Montserrat"/>
          <w:b/>
          <w:bCs/>
          <w:color w:val="0AB58F"/>
          <w:sz w:val="52"/>
          <w:szCs w:val="52"/>
        </w:rPr>
        <w:t xml:space="preserve">mā </w:t>
      </w:r>
      <w:proofErr w:type="spellStart"/>
      <w:r w:rsidRPr="00E44F3E">
        <w:rPr>
          <w:rFonts w:ascii="Montserrat" w:hAnsi="Montserrat"/>
          <w:b/>
          <w:bCs/>
          <w:color w:val="0AB58F"/>
          <w:sz w:val="52"/>
          <w:szCs w:val="52"/>
        </w:rPr>
        <w:t>te</w:t>
      </w:r>
      <w:proofErr w:type="spellEnd"/>
      <w:r w:rsidRPr="00E44F3E">
        <w:rPr>
          <w:rFonts w:ascii="Montserrat" w:hAnsi="Montserrat"/>
          <w:b/>
          <w:bCs/>
          <w:color w:val="0AB58F"/>
          <w:sz w:val="52"/>
          <w:szCs w:val="52"/>
        </w:rPr>
        <w:t xml:space="preserve"> kite ka </w:t>
      </w:r>
      <w:proofErr w:type="spellStart"/>
      <w:r w:rsidRPr="00E44F3E">
        <w:rPr>
          <w:rFonts w:ascii="Montserrat" w:hAnsi="Montserrat"/>
          <w:b/>
          <w:bCs/>
          <w:color w:val="0AB58F"/>
          <w:sz w:val="52"/>
          <w:szCs w:val="52"/>
        </w:rPr>
        <w:t>mōhio</w:t>
      </w:r>
      <w:proofErr w:type="spellEnd"/>
      <w:r w:rsidRPr="00E44F3E">
        <w:rPr>
          <w:rFonts w:ascii="Montserrat" w:hAnsi="Montserrat"/>
          <w:b/>
          <w:bCs/>
          <w:color w:val="0AB58F"/>
          <w:sz w:val="52"/>
          <w:szCs w:val="52"/>
        </w:rPr>
        <w:t>,</w:t>
      </w:r>
    </w:p>
    <w:p w14:paraId="26024882" w14:textId="29477CF3" w:rsidR="00B5474A" w:rsidRPr="00E44F3E" w:rsidRDefault="00B5474A" w:rsidP="00B5474A">
      <w:pPr>
        <w:jc w:val="center"/>
        <w:rPr>
          <w:rFonts w:ascii="Montserrat" w:hAnsi="Montserrat"/>
          <w:b/>
          <w:bCs/>
          <w:color w:val="0AB58F"/>
          <w:sz w:val="52"/>
          <w:szCs w:val="52"/>
        </w:rPr>
      </w:pPr>
      <w:r w:rsidRPr="00E44F3E">
        <w:rPr>
          <w:rFonts w:ascii="Montserrat" w:hAnsi="Montserrat"/>
          <w:b/>
          <w:bCs/>
          <w:color w:val="0AB58F"/>
          <w:sz w:val="52"/>
          <w:szCs w:val="52"/>
        </w:rPr>
        <w:t xml:space="preserve">mā </w:t>
      </w:r>
      <w:proofErr w:type="spellStart"/>
      <w:r w:rsidRPr="00E44F3E">
        <w:rPr>
          <w:rFonts w:ascii="Montserrat" w:hAnsi="Montserrat"/>
          <w:b/>
          <w:bCs/>
          <w:color w:val="0AB58F"/>
          <w:sz w:val="52"/>
          <w:szCs w:val="52"/>
        </w:rPr>
        <w:t>te</w:t>
      </w:r>
      <w:proofErr w:type="spellEnd"/>
      <w:r w:rsidRPr="00E44F3E">
        <w:rPr>
          <w:rFonts w:ascii="Montserrat" w:hAnsi="Montserrat"/>
          <w:b/>
          <w:bCs/>
          <w:color w:val="0AB58F"/>
          <w:sz w:val="52"/>
          <w:szCs w:val="52"/>
        </w:rPr>
        <w:t xml:space="preserve"> </w:t>
      </w:r>
      <w:proofErr w:type="spellStart"/>
      <w:r w:rsidRPr="00E44F3E">
        <w:rPr>
          <w:rFonts w:ascii="Montserrat" w:hAnsi="Montserrat"/>
          <w:b/>
          <w:bCs/>
          <w:color w:val="0AB58F"/>
          <w:sz w:val="52"/>
          <w:szCs w:val="52"/>
        </w:rPr>
        <w:t>mōhio</w:t>
      </w:r>
      <w:proofErr w:type="spellEnd"/>
      <w:r w:rsidRPr="00E44F3E">
        <w:rPr>
          <w:rFonts w:ascii="Montserrat" w:hAnsi="Montserrat"/>
          <w:b/>
          <w:bCs/>
          <w:color w:val="0AB58F"/>
          <w:sz w:val="52"/>
          <w:szCs w:val="52"/>
        </w:rPr>
        <w:t xml:space="preserve"> ka </w:t>
      </w:r>
      <w:proofErr w:type="spellStart"/>
      <w:r w:rsidRPr="00E44F3E">
        <w:rPr>
          <w:rFonts w:ascii="Montserrat" w:hAnsi="Montserrat"/>
          <w:b/>
          <w:bCs/>
          <w:color w:val="0AB58F"/>
          <w:sz w:val="52"/>
          <w:szCs w:val="52"/>
        </w:rPr>
        <w:t>mārama</w:t>
      </w:r>
      <w:proofErr w:type="spellEnd"/>
      <w:r w:rsidRPr="00E44F3E">
        <w:rPr>
          <w:rFonts w:ascii="Montserrat" w:hAnsi="Montserrat"/>
          <w:b/>
          <w:bCs/>
          <w:color w:val="0AB58F"/>
          <w:sz w:val="52"/>
          <w:szCs w:val="52"/>
        </w:rPr>
        <w:t>.</w:t>
      </w:r>
    </w:p>
    <w:p w14:paraId="40A46A69" w14:textId="77777777" w:rsidR="00B5474A" w:rsidRPr="00E44F3E" w:rsidRDefault="00B5474A" w:rsidP="00B5474A">
      <w:pPr>
        <w:jc w:val="center"/>
        <w:rPr>
          <w:rFonts w:ascii="Montserrat" w:hAnsi="Montserrat"/>
          <w:b/>
          <w:bCs/>
          <w:color w:val="0AB58F"/>
          <w:sz w:val="52"/>
          <w:szCs w:val="52"/>
        </w:rPr>
      </w:pPr>
    </w:p>
    <w:p w14:paraId="54610440" w14:textId="28ECE098" w:rsidR="00B5474A" w:rsidRPr="00E44F3E" w:rsidRDefault="00B5474A" w:rsidP="00B5474A">
      <w:pPr>
        <w:jc w:val="center"/>
        <w:rPr>
          <w:rFonts w:ascii="Montserrat" w:hAnsi="Montserrat"/>
          <w:b/>
          <w:bCs/>
          <w:color w:val="0AB58F"/>
          <w:sz w:val="52"/>
          <w:szCs w:val="52"/>
        </w:rPr>
      </w:pPr>
      <w:r w:rsidRPr="00E44F3E">
        <w:rPr>
          <w:rFonts w:ascii="Montserrat" w:hAnsi="Montserrat"/>
          <w:b/>
          <w:bCs/>
          <w:color w:val="0AB58F"/>
          <w:sz w:val="52"/>
          <w:szCs w:val="52"/>
        </w:rPr>
        <w:t>Seek and discover,</w:t>
      </w:r>
    </w:p>
    <w:p w14:paraId="1B226B41" w14:textId="2270FCCA" w:rsidR="00B5474A" w:rsidRPr="00E44F3E" w:rsidRDefault="00B5474A" w:rsidP="00B5474A">
      <w:pPr>
        <w:jc w:val="center"/>
        <w:rPr>
          <w:rFonts w:ascii="Montserrat" w:hAnsi="Montserrat"/>
          <w:b/>
          <w:bCs/>
          <w:color w:val="0AB58F"/>
          <w:sz w:val="52"/>
          <w:szCs w:val="52"/>
        </w:rPr>
      </w:pPr>
      <w:r w:rsidRPr="00E44F3E">
        <w:rPr>
          <w:rFonts w:ascii="Montserrat" w:hAnsi="Montserrat"/>
          <w:b/>
          <w:bCs/>
          <w:color w:val="0AB58F"/>
          <w:sz w:val="52"/>
          <w:szCs w:val="52"/>
        </w:rPr>
        <w:t>discover and know,</w:t>
      </w:r>
    </w:p>
    <w:p w14:paraId="01336F3F" w14:textId="5CD9E6F7" w:rsidR="00B5474A" w:rsidRPr="00E44F3E" w:rsidRDefault="00B5474A" w:rsidP="00B5474A">
      <w:pPr>
        <w:jc w:val="center"/>
        <w:rPr>
          <w:rFonts w:ascii="Montserrat" w:hAnsi="Montserrat"/>
          <w:b/>
          <w:bCs/>
          <w:color w:val="0AB58F"/>
          <w:sz w:val="52"/>
          <w:szCs w:val="52"/>
        </w:rPr>
      </w:pPr>
      <w:r w:rsidRPr="00E44F3E">
        <w:rPr>
          <w:rFonts w:ascii="Montserrat" w:hAnsi="Montserrat"/>
          <w:b/>
          <w:bCs/>
          <w:color w:val="0AB58F"/>
          <w:sz w:val="52"/>
          <w:szCs w:val="52"/>
        </w:rPr>
        <w:t>know and become enlightened</w:t>
      </w:r>
      <w:r w:rsidR="00C8641F" w:rsidRPr="00E44F3E">
        <w:rPr>
          <w:rFonts w:ascii="Montserrat" w:hAnsi="Montserrat"/>
          <w:b/>
          <w:bCs/>
          <w:color w:val="0AB58F"/>
          <w:sz w:val="52"/>
          <w:szCs w:val="52"/>
        </w:rPr>
        <w:t>.</w:t>
      </w:r>
    </w:p>
    <w:p w14:paraId="6C236919" w14:textId="7DD80383" w:rsidR="006E2886" w:rsidRPr="00E44F3E" w:rsidRDefault="00162AAA" w:rsidP="00F54E74">
      <w:pPr>
        <w:pStyle w:val="Heading1"/>
      </w:pPr>
      <w:bookmarkStart w:id="6" w:name="_Toc180062091"/>
      <w:r w:rsidRPr="00E44F3E">
        <w:lastRenderedPageBreak/>
        <w:t xml:space="preserve">HE WHAKARĀPOPOTONGA </w:t>
      </w:r>
      <w:r w:rsidRPr="00E44F3E">
        <w:rPr>
          <w:color w:val="FFFFFF" w:themeColor="background1"/>
        </w:rPr>
        <w:t>|</w:t>
      </w:r>
      <w:r w:rsidRPr="00E44F3E">
        <w:br/>
      </w:r>
      <w:r w:rsidRPr="00E44F3E">
        <w:rPr>
          <w:color w:val="0AB58F"/>
        </w:rPr>
        <w:t>EXECUTIVE SUMMARY</w:t>
      </w:r>
      <w:bookmarkEnd w:id="6"/>
    </w:p>
    <w:p w14:paraId="2583C75D" w14:textId="288C1DB7" w:rsidR="00852C5D" w:rsidRPr="00E44F3E" w:rsidRDefault="00C1010A" w:rsidP="00B83E7B">
      <w:pPr>
        <w:spacing w:before="360" w:after="120"/>
      </w:pPr>
      <w:r w:rsidRPr="00E44F3E">
        <w:rPr>
          <w:noProof/>
        </w:rPr>
        <mc:AlternateContent>
          <mc:Choice Requires="wpg">
            <w:drawing>
              <wp:anchor distT="0" distB="0" distL="114300" distR="114300" simplePos="0" relativeHeight="251658246" behindDoc="1" locked="0" layoutInCell="1" allowOverlap="1" wp14:anchorId="225CC402" wp14:editId="5C5A9BA2">
                <wp:simplePos x="0" y="0"/>
                <wp:positionH relativeFrom="column">
                  <wp:posOffset>135255</wp:posOffset>
                </wp:positionH>
                <wp:positionV relativeFrom="paragraph">
                  <wp:posOffset>24618</wp:posOffset>
                </wp:positionV>
                <wp:extent cx="445135" cy="403860"/>
                <wp:effectExtent l="0" t="0" r="0" b="0"/>
                <wp:wrapNone/>
                <wp:docPr id="4139" name="Group 4139"/>
                <wp:cNvGraphicFramePr/>
                <a:graphic xmlns:a="http://schemas.openxmlformats.org/drawingml/2006/main">
                  <a:graphicData uri="http://schemas.microsoft.com/office/word/2010/wordprocessingGroup">
                    <wpg:wgp>
                      <wpg:cNvGrpSpPr/>
                      <wpg:grpSpPr>
                        <a:xfrm>
                          <a:off x="0" y="0"/>
                          <a:ext cx="445135" cy="403860"/>
                          <a:chOff x="115427" y="0"/>
                          <a:chExt cx="1143000" cy="1143000"/>
                        </a:xfrm>
                      </wpg:grpSpPr>
                      <pic:pic xmlns:pic="http://schemas.openxmlformats.org/drawingml/2006/picture">
                        <pic:nvPicPr>
                          <pic:cNvPr id="4140" name="Picture 4140"/>
                          <pic:cNvPicPr>
                            <a:picLocks noChangeAspect="1"/>
                          </pic:cNvPicPr>
                        </pic:nvPicPr>
                        <pic:blipFill>
                          <a:blip r:embed="rId17"/>
                          <a:stretch>
                            <a:fillRect/>
                          </a:stretch>
                        </pic:blipFill>
                        <pic:spPr>
                          <a:xfrm>
                            <a:off x="115427" y="0"/>
                            <a:ext cx="1143000" cy="1143000"/>
                          </a:xfrm>
                          <a:prstGeom prst="rect">
                            <a:avLst/>
                          </a:prstGeom>
                        </pic:spPr>
                      </pic:pic>
                      <pic:pic xmlns:pic="http://schemas.openxmlformats.org/drawingml/2006/picture">
                        <pic:nvPicPr>
                          <pic:cNvPr id="4141" name="Picture 4141"/>
                          <pic:cNvPicPr>
                            <a:picLocks noChangeAspect="1"/>
                          </pic:cNvPicPr>
                        </pic:nvPicPr>
                        <pic:blipFill rotWithShape="1">
                          <a:blip r:embed="rId18"/>
                          <a:srcRect l="61019" t="45736" r="22665" b="28826"/>
                          <a:stretch/>
                        </pic:blipFill>
                        <pic:spPr>
                          <a:xfrm>
                            <a:off x="256119" y="366298"/>
                            <a:ext cx="240223" cy="374541"/>
                          </a:xfrm>
                          <a:prstGeom prst="rect">
                            <a:avLst/>
                          </a:prstGeom>
                          <a:solidFill>
                            <a:schemeClr val="accent4">
                              <a:lumMod val="20000"/>
                              <a:lumOff val="80000"/>
                            </a:schemeClr>
                          </a:solidFill>
                          <a:ln w="38100">
                            <a:noFill/>
                          </a:ln>
                        </pic:spPr>
                      </pic:pic>
                      <pic:pic xmlns:pic="http://schemas.openxmlformats.org/drawingml/2006/picture">
                        <pic:nvPicPr>
                          <pic:cNvPr id="4142" name="Picture 4142"/>
                          <pic:cNvPicPr>
                            <a:picLocks noChangeAspect="1"/>
                          </pic:cNvPicPr>
                        </pic:nvPicPr>
                        <pic:blipFill rotWithShape="1">
                          <a:blip r:embed="rId18"/>
                          <a:srcRect l="21733" t="27165" r="37812" b="30057"/>
                          <a:stretch/>
                        </pic:blipFill>
                        <pic:spPr>
                          <a:xfrm>
                            <a:off x="851860" y="435885"/>
                            <a:ext cx="256512" cy="271230"/>
                          </a:xfrm>
                          <a:prstGeom prst="rect">
                            <a:avLst/>
                          </a:prstGeom>
                          <a:solidFill>
                            <a:schemeClr val="accent4">
                              <a:lumMod val="20000"/>
                              <a:lumOff val="80000"/>
                            </a:schemeClr>
                          </a:solidFill>
                          <a:ln w="38100">
                            <a:noFill/>
                          </a:ln>
                        </pic:spPr>
                      </pic:pic>
                    </wpg:wgp>
                  </a:graphicData>
                </a:graphic>
              </wp:anchor>
            </w:drawing>
          </mc:Choice>
          <mc:Fallback>
            <w:pict>
              <v:group w14:anchorId="7393A7FA" id="Group 4139" o:spid="_x0000_s1026" style="position:absolute;margin-left:10.65pt;margin-top:1.95pt;width:35.05pt;height:31.8pt;z-index:-251658234" coordorigin="1154" coordsize="11430,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0" o:spid="_x0000_s1027" type="#_x0000_t75" style="position:absolute;left:1154;width:1143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">
                  <v:imagedata r:id="rId25" o:title=""/>
                </v:shape>
                <v:shape id="Picture 4141" o:spid="_x0000_s1028" type="#_x0000_t75" style="position:absolute;left:2561;top:3662;width:2402;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" filled="t" fillcolor="#e5dfec [663]" strokeweight="3pt">
                  <v:imagedata r:id="rId26" o:title="" croptop="29974f" cropbottom="18891f" cropleft="39989f" cropright="14854f"/>
                </v:shape>
                <v:shape id="Picture 4142" o:spid="_x0000_s1029" type="#_x0000_t75" style="position:absolute;left:8518;top:4358;width:2565;height:2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" filled="t" fillcolor="#e5dfec [663]" strokeweight="3pt">
                  <v:imagedata r:id="rId26" o:title="" croptop="17803f" cropbottom="19698f" cropleft="14243f" cropright="24780f"/>
                </v:shape>
              </v:group>
            </w:pict>
          </mc:Fallback>
        </mc:AlternateContent>
      </w:r>
      <w:r w:rsidR="00070C66" w:rsidRPr="00E44F3E">
        <w:rPr>
          <w:noProof/>
        </w:rPr>
        <mc:AlternateContent>
          <mc:Choice Requires="wps">
            <w:drawing>
              <wp:inline distT="0" distB="0" distL="0" distR="0" wp14:anchorId="4BD4AE54" wp14:editId="3930B5CA">
                <wp:extent cx="675640" cy="403860"/>
                <wp:effectExtent l="19050" t="19050" r="10160" b="15240"/>
                <wp:docPr id="140915552" name="Rectangle: Rounded Corners 140915552"/>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4B094F" w14:textId="77777777" w:rsidR="00070C66" w:rsidRPr="00E6204D" w:rsidRDefault="00070C66" w:rsidP="00E6204D"/>
                        </w:txbxContent>
                      </wps:txbx>
                      <wps:bodyPr wrap="square" lIns="0" tIns="0" rIns="0" bIns="0" rtlCol="0" anchor="ctr">
                        <a:noAutofit/>
                      </wps:bodyPr>
                    </wps:wsp>
                  </a:graphicData>
                </a:graphic>
              </wp:inline>
            </w:drawing>
          </mc:Choice>
          <mc:Fallback>
            <w:pict>
              <v:roundrect w14:anchorId="4BD4AE54" id="Rectangle: Rounded Corners 140915552" o:spid="_x0000_s1026"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" filled="f" strokecolor="#2c463b" strokeweight="3pt">
                <v:textbox inset="0,0,0,0">
                  <w:txbxContent>
                    <w:p w14:paraId="034B094F" w14:textId="77777777" w:rsidR="00070C66" w:rsidRPr="00E6204D" w:rsidRDefault="00070C66" w:rsidP="00E6204D"/>
                  </w:txbxContent>
                </v:textbox>
                <w10:anchorlock/>
              </v:roundrect>
            </w:pict>
          </mc:Fallback>
        </mc:AlternateContent>
      </w:r>
      <w:r w:rsidR="0063401D" w:rsidRPr="00E44F3E">
        <w:t xml:space="preserve"> </w:t>
      </w:r>
      <w:r w:rsidR="0097515D" w:rsidRPr="00E44F3E">
        <w:rPr>
          <w:noProof/>
        </w:rPr>
        <mc:AlternateContent>
          <mc:Choice Requires="wps">
            <w:drawing>
              <wp:inline distT="0" distB="0" distL="0" distR="0" wp14:anchorId="5EAA1762" wp14:editId="20A8B49B">
                <wp:extent cx="4262004" cy="403860"/>
                <wp:effectExtent l="19050" t="19050" r="24765" b="15240"/>
                <wp:docPr id="4148" name="Rectangle: Rounded Corners 4148"/>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FA377" w14:textId="77777777" w:rsidR="0097515D" w:rsidRPr="002F3513" w:rsidRDefault="0097515D" w:rsidP="0097515D">
                            <w:pPr>
                              <w:rPr>
                                <w:rFonts w:cstheme="minorBidi"/>
                                <w:b/>
                                <w:bCs/>
                                <w:color w:val="FFF7E9"/>
                                <w:kern w:val="24"/>
                                <w:sz w:val="24"/>
                                <w:szCs w:val="24"/>
                              </w:rPr>
                            </w:pPr>
                            <w:r w:rsidRPr="002F3513">
                              <w:rPr>
                                <w:rFonts w:cstheme="minorBidi"/>
                                <w:b/>
                                <w:bCs/>
                                <w:color w:val="FFF7E9"/>
                                <w:kern w:val="24"/>
                                <w:sz w:val="24"/>
                                <w:szCs w:val="24"/>
                              </w:rPr>
                              <w:t xml:space="preserve">What this report </w:t>
                            </w:r>
                            <w:r>
                              <w:rPr>
                                <w:rFonts w:cstheme="minorBidi"/>
                                <w:b/>
                                <w:bCs/>
                                <w:color w:val="FFF7E9"/>
                                <w:kern w:val="24"/>
                                <w:sz w:val="24"/>
                                <w:szCs w:val="24"/>
                              </w:rPr>
                              <w:t>is about</w:t>
                            </w:r>
                          </w:p>
                        </w:txbxContent>
                      </wps:txbx>
                      <wps:bodyPr wrap="square" rtlCol="0" anchor="ctr">
                        <a:noAutofit/>
                      </wps:bodyPr>
                    </wps:wsp>
                  </a:graphicData>
                </a:graphic>
              </wp:inline>
            </w:drawing>
          </mc:Choice>
          <mc:Fallback>
            <w:pict>
              <v:roundrect w14:anchorId="5EAA1762" id="Rectangle: Rounded Corners 4148" o:spid="_x0000_s1027"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" fillcolor="#2c463b" strokecolor="#2c463b" strokeweight="3pt">
                <v:textbox>
                  <w:txbxContent>
                    <w:p w14:paraId="54DFA377" w14:textId="77777777" w:rsidR="0097515D" w:rsidRPr="002F3513" w:rsidRDefault="0097515D" w:rsidP="0097515D">
                      <w:pPr>
                        <w:rPr>
                          <w:rFonts w:cstheme="minorBidi"/>
                          <w:b/>
                          <w:bCs/>
                          <w:color w:val="FFF7E9"/>
                          <w:kern w:val="24"/>
                          <w:sz w:val="24"/>
                          <w:szCs w:val="24"/>
                        </w:rPr>
                      </w:pPr>
                      <w:r w:rsidRPr="002F3513">
                        <w:rPr>
                          <w:rFonts w:cstheme="minorBidi"/>
                          <w:b/>
                          <w:bCs/>
                          <w:color w:val="FFF7E9"/>
                          <w:kern w:val="24"/>
                          <w:sz w:val="24"/>
                          <w:szCs w:val="24"/>
                        </w:rPr>
                        <w:t xml:space="preserve">What this report </w:t>
                      </w:r>
                      <w:r>
                        <w:rPr>
                          <w:rFonts w:cstheme="minorBidi"/>
                          <w:b/>
                          <w:bCs/>
                          <w:color w:val="FFF7E9"/>
                          <w:kern w:val="24"/>
                          <w:sz w:val="24"/>
                          <w:szCs w:val="24"/>
                        </w:rPr>
                        <w:t>is about</w:t>
                      </w:r>
                    </w:p>
                  </w:txbxContent>
                </v:textbox>
                <w10:anchorlock/>
              </v:roundrect>
            </w:pict>
          </mc:Fallback>
        </mc:AlternateContent>
      </w:r>
      <w:r w:rsidR="0097515D" w:rsidRPr="00E44F3E">
        <w:t xml:space="preserve"> </w:t>
      </w:r>
    </w:p>
    <w:p w14:paraId="6D2EA144" w14:textId="14A1CA1D" w:rsidR="0063401D" w:rsidRPr="00E44F3E" w:rsidRDefault="0063401D" w:rsidP="00260ACB">
      <w:pPr>
        <w:spacing w:after="120"/>
      </w:pPr>
      <w:r w:rsidRPr="00E44F3E">
        <w:rPr>
          <w:noProof/>
        </w:rPr>
        <mc:AlternateContent>
          <mc:Choice Requires="wps">
            <w:drawing>
              <wp:inline distT="0" distB="0" distL="0" distR="0" wp14:anchorId="1DD36E51" wp14:editId="464377DC">
                <wp:extent cx="4998085" cy="680085"/>
                <wp:effectExtent l="19050" t="19050" r="12065" b="13970"/>
                <wp:docPr id="29" name="Rectangle: Rounded Corners 29">
                  <a:extLst xmlns:a="http://schemas.openxmlformats.org/drawingml/2006/main">
                    <a:ext uri="{FF2B5EF4-FFF2-40B4-BE49-F238E27FC236}">
                      <a16:creationId xmlns:a16="http://schemas.microsoft.com/office/drawing/2014/main" id="{2F9126B5-58FA-F45B-8520-2CA80ACAD63C}"/>
                    </a:ext>
                  </a:extLst>
                </wp:docPr>
                <wp:cNvGraphicFramePr/>
                <a:graphic xmlns:a="http://schemas.openxmlformats.org/drawingml/2006/main">
                  <a:graphicData uri="http://schemas.microsoft.com/office/word/2010/wordprocessingShape">
                    <wps:wsp>
                      <wps:cNvSpPr/>
                      <wps:spPr>
                        <a:xfrm>
                          <a:off x="0" y="0"/>
                          <a:ext cx="4998085" cy="680085"/>
                        </a:xfrm>
                        <a:prstGeom prst="roundRect">
                          <a:avLst>
                            <a:gd name="adj" fmla="val 9798"/>
                          </a:avLst>
                        </a:prstGeom>
                        <a:solidFill>
                          <a:srgbClr val="C2D9BA"/>
                        </a:solidFill>
                        <a:ln w="38100">
                          <a:solidFill>
                            <a:srgbClr val="C2D9BA"/>
                          </a:solidFill>
                        </a:ln>
                      </wps:spPr>
                      <wps:style>
                        <a:lnRef idx="2">
                          <a:schemeClr val="accent6"/>
                        </a:lnRef>
                        <a:fillRef idx="1">
                          <a:schemeClr val="lt1"/>
                        </a:fillRef>
                        <a:effectRef idx="0">
                          <a:schemeClr val="accent6"/>
                        </a:effectRef>
                        <a:fontRef idx="minor">
                          <a:schemeClr val="dk1"/>
                        </a:fontRef>
                      </wps:style>
                      <wps:txbx>
                        <w:txbxContent>
                          <w:p w14:paraId="65621DCB" w14:textId="40A3D2A7" w:rsidR="0063401D" w:rsidRPr="00021EB7" w:rsidRDefault="0063401D" w:rsidP="0063401D">
                            <w:r w:rsidRPr="00021EB7">
                              <w:t xml:space="preserve">This report summarises the similarities and differences in the publicly funded medicines used in the treatment of blood cancers between Australia and </w:t>
                            </w:r>
                            <w:r>
                              <w:t>Aotearoa New Zealand</w:t>
                            </w:r>
                            <w:r w:rsidRPr="00021EB7">
                              <w:t xml:space="preserve">. </w:t>
                            </w:r>
                          </w:p>
                        </w:txbxContent>
                      </wps:txbx>
                      <wps:bodyPr wrap="square" rtlCol="0" anchor="ctr">
                        <a:spAutoFit/>
                      </wps:bodyPr>
                    </wps:wsp>
                  </a:graphicData>
                </a:graphic>
              </wp:inline>
            </w:drawing>
          </mc:Choice>
          <mc:Fallback>
            <w:pict>
              <v:roundrect w14:anchorId="1DD36E51" id="Rectangle: Rounded Corners 29" o:spid="_x0000_s1028" style="width:393.55pt;height:53.55pt;visibility:visible;mso-wrap-style:square;mso-left-percent:-10001;mso-top-percent:-10001;mso-position-horizontal:absolute;mso-position-horizontal-relative:char;mso-position-vertical:absolute;mso-position-vertical-relative:line;mso-left-percent:-10001;mso-top-percent:-10001;v-text-anchor:middle" arcsize="6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" fillcolor="#c2d9ba" strokecolor="#c2d9ba" strokeweight="3pt">
                <v:textbox style="mso-fit-shape-to-text:t">
                  <w:txbxContent>
                    <w:p w14:paraId="65621DCB" w14:textId="40A3D2A7" w:rsidR="0063401D" w:rsidRPr="00021EB7" w:rsidRDefault="0063401D" w:rsidP="0063401D">
                      <w:r w:rsidRPr="00021EB7">
                        <w:t xml:space="preserve">This report summarises the similarities and differences in the publicly funded medicines used in the treatment of blood cancers between Australia and </w:t>
                      </w:r>
                      <w:r>
                        <w:t>Aotearoa New Zealand</w:t>
                      </w:r>
                      <w:r w:rsidRPr="00021EB7">
                        <w:t xml:space="preserve">. </w:t>
                      </w:r>
                    </w:p>
                  </w:txbxContent>
                </v:textbox>
                <w10:anchorlock/>
              </v:roundrect>
            </w:pict>
          </mc:Fallback>
        </mc:AlternateContent>
      </w:r>
    </w:p>
    <w:p w14:paraId="7A77D3F2" w14:textId="12189CAF" w:rsidR="00BC5334" w:rsidRPr="00E44F3E" w:rsidRDefault="00880591" w:rsidP="00BD6DF9">
      <w:pPr>
        <w:spacing w:before="360" w:after="120"/>
      </w:pPr>
      <w:r w:rsidRPr="00E44F3E">
        <w:rPr>
          <w:noProof/>
        </w:rPr>
        <w:drawing>
          <wp:anchor distT="0" distB="0" distL="114300" distR="114300" simplePos="0" relativeHeight="251658241" behindDoc="1" locked="0" layoutInCell="1" allowOverlap="1" wp14:anchorId="553F8F15" wp14:editId="3F97CB06">
            <wp:simplePos x="0" y="0"/>
            <wp:positionH relativeFrom="column">
              <wp:posOffset>200751</wp:posOffset>
            </wp:positionH>
            <wp:positionV relativeFrom="paragraph">
              <wp:posOffset>223883</wp:posOffset>
            </wp:positionV>
            <wp:extent cx="307340" cy="307340"/>
            <wp:effectExtent l="0" t="0" r="0" b="0"/>
            <wp:wrapNone/>
            <wp:docPr id="4101" name="Picture 4101" descr="Why Icons - Free SVG &amp; PNG Why Images ...">
              <a:extLst xmlns:a="http://schemas.openxmlformats.org/drawingml/2006/main">
                <a:ext uri="{FF2B5EF4-FFF2-40B4-BE49-F238E27FC236}">
                  <a16:creationId xmlns:a16="http://schemas.microsoft.com/office/drawing/2014/main" id="{BFA0FF6D-43AE-451F-8919-0674E4FA9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2" descr="Why Icons - Free SVG &amp; PNG Why Images ...">
                      <a:extLst>
                        <a:ext uri="{FF2B5EF4-FFF2-40B4-BE49-F238E27FC236}">
                          <a16:creationId xmlns:a16="http://schemas.microsoft.com/office/drawing/2014/main" id="{BFA0FF6D-43AE-451F-8919-0674E4FA9A3F}"/>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solidFill>
                      <a:srgbClr val="595454"/>
                    </a:solidFill>
                  </pic:spPr>
                </pic:pic>
              </a:graphicData>
            </a:graphic>
          </wp:anchor>
        </w:drawing>
      </w:r>
      <w:r w:rsidR="00BC5334" w:rsidRPr="00E44F3E">
        <w:rPr>
          <w:noProof/>
        </w:rPr>
        <mc:AlternateContent>
          <mc:Choice Requires="wps">
            <w:drawing>
              <wp:inline distT="0" distB="0" distL="0" distR="0" wp14:anchorId="560205A1" wp14:editId="269EDBE3">
                <wp:extent cx="675640" cy="403860"/>
                <wp:effectExtent l="19050" t="19050" r="10160" b="15240"/>
                <wp:docPr id="1481191867" name="Rectangle: Rounded Corners 1481191867"/>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77330" w14:textId="77777777" w:rsidR="00BC5334" w:rsidRPr="00487204" w:rsidRDefault="00BC5334" w:rsidP="00BC5334">
                            <w:pPr>
                              <w:jc w:val="center"/>
                              <w:rPr>
                                <w:noProof/>
                                <w:sz w:val="12"/>
                                <w:szCs w:val="12"/>
                              </w:rPr>
                            </w:pPr>
                          </w:p>
                        </w:txbxContent>
                      </wps:txbx>
                      <wps:bodyPr wrap="square" lIns="0" tIns="0" rIns="0" bIns="0" rtlCol="0" anchor="ctr">
                        <a:noAutofit/>
                      </wps:bodyPr>
                    </wps:wsp>
                  </a:graphicData>
                </a:graphic>
              </wp:inline>
            </w:drawing>
          </mc:Choice>
          <mc:Fallback>
            <w:pict>
              <v:roundrect w14:anchorId="560205A1" id="Rectangle: Rounded Corners 1481191867" o:spid="_x0000_s1029"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" filled="f" strokecolor="#2c463b" strokeweight="3pt">
                <v:textbox inset="0,0,0,0">
                  <w:txbxContent>
                    <w:p w14:paraId="31B77330" w14:textId="77777777" w:rsidR="00BC5334" w:rsidRPr="00487204" w:rsidRDefault="00BC5334" w:rsidP="00BC5334">
                      <w:pPr>
                        <w:jc w:val="center"/>
                        <w:rPr>
                          <w:noProof/>
                          <w:sz w:val="12"/>
                          <w:szCs w:val="12"/>
                        </w:rPr>
                      </w:pPr>
                    </w:p>
                  </w:txbxContent>
                </v:textbox>
                <w10:anchorlock/>
              </v:roundrect>
            </w:pict>
          </mc:Fallback>
        </mc:AlternateContent>
      </w:r>
      <w:r w:rsidR="00BC5334" w:rsidRPr="00E44F3E">
        <w:t xml:space="preserve"> </w:t>
      </w:r>
      <w:r w:rsidR="00BC5334" w:rsidRPr="00E44F3E">
        <w:rPr>
          <w:noProof/>
        </w:rPr>
        <mc:AlternateContent>
          <mc:Choice Requires="wps">
            <w:drawing>
              <wp:inline distT="0" distB="0" distL="0" distR="0" wp14:anchorId="37666A9B" wp14:editId="6F149FA9">
                <wp:extent cx="4262004" cy="403860"/>
                <wp:effectExtent l="19050" t="19050" r="24765" b="15240"/>
                <wp:docPr id="1532818405" name="Rectangle: Rounded Corners 1532818405"/>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AD20D" w14:textId="176F5FCB" w:rsidR="00BC5334" w:rsidRPr="002F3513" w:rsidRDefault="00BC5334" w:rsidP="00BC5334">
                            <w:pPr>
                              <w:rPr>
                                <w:rFonts w:cstheme="minorBidi"/>
                                <w:b/>
                                <w:bCs/>
                                <w:color w:val="FFF7E9"/>
                                <w:kern w:val="24"/>
                                <w:sz w:val="24"/>
                                <w:szCs w:val="24"/>
                              </w:rPr>
                            </w:pPr>
                            <w:r w:rsidRPr="00BC5334">
                              <w:rPr>
                                <w:rFonts w:cstheme="minorBidi"/>
                                <w:b/>
                                <w:bCs/>
                                <w:color w:val="FFF7E9"/>
                                <w:kern w:val="24"/>
                                <w:sz w:val="24"/>
                                <w:szCs w:val="24"/>
                              </w:rPr>
                              <w:t>Why are we interested in this?</w:t>
                            </w:r>
                          </w:p>
                        </w:txbxContent>
                      </wps:txbx>
                      <wps:bodyPr wrap="square" rtlCol="0" anchor="ctr">
                        <a:noAutofit/>
                      </wps:bodyPr>
                    </wps:wsp>
                  </a:graphicData>
                </a:graphic>
              </wp:inline>
            </w:drawing>
          </mc:Choice>
          <mc:Fallback>
            <w:pict>
              <v:roundrect w14:anchorId="37666A9B" id="Rectangle: Rounded Corners 1532818405" o:spid="_x0000_s1030"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" fillcolor="#2c463b" strokecolor="#2c463b" strokeweight="3pt">
                <v:textbox>
                  <w:txbxContent>
                    <w:p w14:paraId="65CAD20D" w14:textId="176F5FCB" w:rsidR="00BC5334" w:rsidRPr="002F3513" w:rsidRDefault="00BC5334" w:rsidP="00BC5334">
                      <w:pPr>
                        <w:rPr>
                          <w:rFonts w:cstheme="minorBidi"/>
                          <w:b/>
                          <w:bCs/>
                          <w:color w:val="FFF7E9"/>
                          <w:kern w:val="24"/>
                          <w:sz w:val="24"/>
                          <w:szCs w:val="24"/>
                        </w:rPr>
                      </w:pPr>
                      <w:r w:rsidRPr="00BC5334">
                        <w:rPr>
                          <w:rFonts w:cstheme="minorBidi"/>
                          <w:b/>
                          <w:bCs/>
                          <w:color w:val="FFF7E9"/>
                          <w:kern w:val="24"/>
                          <w:sz w:val="24"/>
                          <w:szCs w:val="24"/>
                        </w:rPr>
                        <w:t>Why are we interested in this?</w:t>
                      </w:r>
                    </w:p>
                  </w:txbxContent>
                </v:textbox>
                <w10:anchorlock/>
              </v:roundrect>
            </w:pict>
          </mc:Fallback>
        </mc:AlternateContent>
      </w:r>
      <w:r w:rsidR="00BC5334" w:rsidRPr="00E44F3E">
        <w:t xml:space="preserve"> </w:t>
      </w:r>
    </w:p>
    <w:p w14:paraId="620ADE60" w14:textId="77777777" w:rsidR="00BC5334" w:rsidRPr="00E44F3E" w:rsidRDefault="00BC5334" w:rsidP="00BC5334">
      <w:pPr>
        <w:spacing w:after="120"/>
      </w:pPr>
      <w:r w:rsidRPr="00E44F3E">
        <w:rPr>
          <w:noProof/>
        </w:rPr>
        <mc:AlternateContent>
          <mc:Choice Requires="wps">
            <w:drawing>
              <wp:inline distT="0" distB="0" distL="0" distR="0" wp14:anchorId="053E110E" wp14:editId="0F715B51">
                <wp:extent cx="4998085" cy="3325284"/>
                <wp:effectExtent l="19050" t="19050" r="12065" b="12065"/>
                <wp:docPr id="1427708765" name="Rectangle: Rounded Corners 1427708765"/>
                <wp:cNvGraphicFramePr/>
                <a:graphic xmlns:a="http://schemas.openxmlformats.org/drawingml/2006/main">
                  <a:graphicData uri="http://schemas.microsoft.com/office/word/2010/wordprocessingShape">
                    <wps:wsp>
                      <wps:cNvSpPr/>
                      <wps:spPr>
                        <a:xfrm>
                          <a:off x="0" y="0"/>
                          <a:ext cx="4998085" cy="3325284"/>
                        </a:xfrm>
                        <a:prstGeom prst="roundRect">
                          <a:avLst>
                            <a:gd name="adj" fmla="val 9798"/>
                          </a:avLst>
                        </a:prstGeom>
                        <a:solidFill>
                          <a:srgbClr val="C2D9BA"/>
                        </a:solidFill>
                        <a:ln w="38100">
                          <a:solidFill>
                            <a:srgbClr val="C2D9BA"/>
                          </a:solidFill>
                        </a:ln>
                      </wps:spPr>
                      <wps:style>
                        <a:lnRef idx="2">
                          <a:schemeClr val="accent6"/>
                        </a:lnRef>
                        <a:fillRef idx="1">
                          <a:schemeClr val="lt1"/>
                        </a:fillRef>
                        <a:effectRef idx="0">
                          <a:schemeClr val="accent6"/>
                        </a:effectRef>
                        <a:fontRef idx="minor">
                          <a:schemeClr val="dk1"/>
                        </a:fontRef>
                      </wps:style>
                      <wps:txbx>
                        <w:txbxContent>
                          <w:p w14:paraId="53A1091F" w14:textId="60325320" w:rsidR="00BC5334" w:rsidRPr="002235F1" w:rsidRDefault="00BC5334" w:rsidP="00BC5334">
                            <w:r w:rsidRPr="002235F1">
                              <w:t>Cancer medicines are a key part of providing</w:t>
                            </w:r>
                            <w:r>
                              <w:t xml:space="preserve"> </w:t>
                            </w:r>
                            <w:r w:rsidRPr="002235F1">
                              <w:t xml:space="preserve">quality </w:t>
                            </w:r>
                            <w:r>
                              <w:t xml:space="preserve">clinical </w:t>
                            </w:r>
                            <w:r w:rsidRPr="002235F1">
                              <w:t xml:space="preserve">cancer </w:t>
                            </w:r>
                            <w:r>
                              <w:t>treatment</w:t>
                            </w:r>
                            <w:r w:rsidRPr="002235F1">
                              <w:t xml:space="preserve"> along with radiation </w:t>
                            </w:r>
                            <w:r>
                              <w:t xml:space="preserve">therapy </w:t>
                            </w:r>
                            <w:r w:rsidRPr="002235F1">
                              <w:t xml:space="preserve">and surgery. People with cancer, their </w:t>
                            </w:r>
                            <w:r>
                              <w:t>w</w:t>
                            </w:r>
                            <w:r w:rsidRPr="002235F1">
                              <w:t>hānau</w:t>
                            </w:r>
                            <w:r w:rsidR="007A3CF2">
                              <w:t>,</w:t>
                            </w:r>
                            <w:r>
                              <w:t xml:space="preserve"> </w:t>
                            </w:r>
                            <w:r w:rsidRPr="002235F1">
                              <w:t xml:space="preserve">and cancer clinicians expect </w:t>
                            </w:r>
                            <w:r>
                              <w:t xml:space="preserve">the appropriate </w:t>
                            </w:r>
                            <w:r w:rsidRPr="002235F1">
                              <w:t xml:space="preserve">medicines </w:t>
                            </w:r>
                            <w:r>
                              <w:t>t</w:t>
                            </w:r>
                            <w:r w:rsidRPr="002235F1">
                              <w:t>o be available when need</w:t>
                            </w:r>
                            <w:r>
                              <w:t>ed</w:t>
                            </w:r>
                            <w:r w:rsidRPr="002235F1">
                              <w:t>.</w:t>
                            </w:r>
                          </w:p>
                          <w:p w14:paraId="63E7C2AD" w14:textId="77777777" w:rsidR="00BC5334" w:rsidRPr="002235F1" w:rsidRDefault="00BC5334" w:rsidP="00BC5334"/>
                          <w:p w14:paraId="4D244D93" w14:textId="12677365" w:rsidR="00BC5334" w:rsidRPr="002235F1" w:rsidRDefault="00BC5334" w:rsidP="00BC5334">
                            <w:r w:rsidRPr="002235F1">
                              <w:t xml:space="preserve">It is often acknowledged that </w:t>
                            </w:r>
                            <w:r>
                              <w:t>Aotearoa</w:t>
                            </w:r>
                            <w:r w:rsidR="001D2145">
                              <w:t xml:space="preserve"> New Zealand</w:t>
                            </w:r>
                            <w:r w:rsidRPr="002235F1">
                              <w:t xml:space="preserve"> has lower access to cancer medicines than other high-income countries like Australia and the United Kingdom. This report set out </w:t>
                            </w:r>
                            <w:r>
                              <w:t>to improve understanding of the difference in availability of publicly funded blood cancer medicines between Australia and Aotearoa</w:t>
                            </w:r>
                            <w:r w:rsidR="001D2145">
                              <w:t xml:space="preserve"> New Zealand</w:t>
                            </w:r>
                            <w:r>
                              <w:t xml:space="preserve">. </w:t>
                            </w:r>
                            <w:r w:rsidRPr="002235F1">
                              <w:t xml:space="preserve">In addition, it sought to describe the magnitude of clinical benefit or opportunity that might be realised if these medicines were funded and available in </w:t>
                            </w:r>
                            <w:r>
                              <w:t>Aotearoa</w:t>
                            </w:r>
                            <w:r w:rsidR="00F92769">
                              <w:t xml:space="preserve"> New Zealand</w:t>
                            </w:r>
                            <w:r w:rsidRPr="002235F1">
                              <w:t xml:space="preserve">. </w:t>
                            </w:r>
                          </w:p>
                          <w:p w14:paraId="04C0DB5F" w14:textId="77777777" w:rsidR="00BC5334" w:rsidRPr="002235F1" w:rsidRDefault="00BC5334" w:rsidP="00BC5334">
                            <w:pPr>
                              <w:rPr>
                                <w:color w:val="000000" w:themeColor="dark1"/>
                                <w:kern w:val="24"/>
                                <w:sz w:val="22"/>
                                <w:szCs w:val="22"/>
                              </w:rPr>
                            </w:pPr>
                          </w:p>
                          <w:p w14:paraId="30E91FDB" w14:textId="21C887F7" w:rsidR="00BC5334" w:rsidRPr="001C2EB2" w:rsidRDefault="00BC5334" w:rsidP="00BC5334">
                            <w:pPr>
                              <w:rPr>
                                <w:color w:val="000000" w:themeColor="dark1"/>
                                <w:kern w:val="24"/>
                                <w:sz w:val="22"/>
                                <w:szCs w:val="22"/>
                              </w:rPr>
                            </w:pPr>
                            <w:r w:rsidRPr="00900AC2">
                              <w:t>We think this information will be useful and informative to the public and policy makers. It is not intended to inform medicine funding decisions in isolation of a range of other factors being considered</w:t>
                            </w:r>
                            <w:r w:rsidRPr="002235F1">
                              <w:rPr>
                                <w:color w:val="000000" w:themeColor="dark1"/>
                                <w:kern w:val="24"/>
                                <w:sz w:val="22"/>
                                <w:szCs w:val="22"/>
                              </w:rPr>
                              <w:t>.</w:t>
                            </w:r>
                          </w:p>
                        </w:txbxContent>
                      </wps:txbx>
                      <wps:bodyPr wrap="square" rtlCol="0" anchor="ctr">
                        <a:spAutoFit/>
                      </wps:bodyPr>
                    </wps:wsp>
                  </a:graphicData>
                </a:graphic>
              </wp:inline>
            </w:drawing>
          </mc:Choice>
          <mc:Fallback>
            <w:pict>
              <v:roundrect w14:anchorId="053E110E" id="Rectangle: Rounded Corners 1427708765" o:spid="_x0000_s1031" style="width:393.55pt;height:261.85pt;visibility:visible;mso-wrap-style:square;mso-left-percent:-10001;mso-top-percent:-10001;mso-position-horizontal:absolute;mso-position-horizontal-relative:char;mso-position-vertical:absolute;mso-position-vertical-relative:line;mso-left-percent:-10001;mso-top-percent:-10001;v-text-anchor:middle" arcsize="6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" fillcolor="#c2d9ba" strokecolor="#c2d9ba" strokeweight="3pt">
                <v:textbox style="mso-fit-shape-to-text:t">
                  <w:txbxContent>
                    <w:p w14:paraId="53A1091F" w14:textId="60325320" w:rsidR="00BC5334" w:rsidRPr="002235F1" w:rsidRDefault="00BC5334" w:rsidP="00BC5334">
                      <w:r w:rsidRPr="002235F1">
                        <w:t>Cancer medicines are a key part of providing</w:t>
                      </w:r>
                      <w:r>
                        <w:t xml:space="preserve"> </w:t>
                      </w:r>
                      <w:r w:rsidRPr="002235F1">
                        <w:t xml:space="preserve">quality </w:t>
                      </w:r>
                      <w:r>
                        <w:t xml:space="preserve">clinical </w:t>
                      </w:r>
                      <w:r w:rsidRPr="002235F1">
                        <w:t xml:space="preserve">cancer </w:t>
                      </w:r>
                      <w:r>
                        <w:t>treatment</w:t>
                      </w:r>
                      <w:r w:rsidRPr="002235F1">
                        <w:t xml:space="preserve"> along with radiation </w:t>
                      </w:r>
                      <w:r>
                        <w:t xml:space="preserve">therapy </w:t>
                      </w:r>
                      <w:r w:rsidRPr="002235F1">
                        <w:t xml:space="preserve">and surgery. People with cancer, their </w:t>
                      </w:r>
                      <w:r>
                        <w:t>w</w:t>
                      </w:r>
                      <w:r w:rsidRPr="002235F1">
                        <w:t>hānau</w:t>
                      </w:r>
                      <w:r w:rsidR="007A3CF2">
                        <w:t>,</w:t>
                      </w:r>
                      <w:r>
                        <w:t xml:space="preserve"> </w:t>
                      </w:r>
                      <w:r w:rsidRPr="002235F1">
                        <w:t xml:space="preserve">and cancer clinicians expect </w:t>
                      </w:r>
                      <w:r>
                        <w:t xml:space="preserve">the appropriate </w:t>
                      </w:r>
                      <w:r w:rsidRPr="002235F1">
                        <w:t xml:space="preserve">medicines </w:t>
                      </w:r>
                      <w:r>
                        <w:t>t</w:t>
                      </w:r>
                      <w:r w:rsidRPr="002235F1">
                        <w:t>o be available when need</w:t>
                      </w:r>
                      <w:r>
                        <w:t>ed</w:t>
                      </w:r>
                      <w:r w:rsidRPr="002235F1">
                        <w:t>.</w:t>
                      </w:r>
                    </w:p>
                    <w:p w14:paraId="63E7C2AD" w14:textId="77777777" w:rsidR="00BC5334" w:rsidRPr="002235F1" w:rsidRDefault="00BC5334" w:rsidP="00BC5334"/>
                    <w:p w14:paraId="4D244D93" w14:textId="12677365" w:rsidR="00BC5334" w:rsidRPr="002235F1" w:rsidRDefault="00BC5334" w:rsidP="00BC5334">
                      <w:r w:rsidRPr="002235F1">
                        <w:t xml:space="preserve">It is often acknowledged that </w:t>
                      </w:r>
                      <w:r>
                        <w:t>Aotearoa</w:t>
                      </w:r>
                      <w:r w:rsidR="001D2145">
                        <w:t xml:space="preserve"> New Zealand</w:t>
                      </w:r>
                      <w:r w:rsidRPr="002235F1">
                        <w:t xml:space="preserve"> has lower access to cancer medicines than other high-income countries like Australia and the United Kingdom. This report set out </w:t>
                      </w:r>
                      <w:r>
                        <w:t>to improve understanding of the difference in availability of publicly funded blood cancer medicines between Australia and Aotearoa</w:t>
                      </w:r>
                      <w:r w:rsidR="001D2145">
                        <w:t xml:space="preserve"> New Zealand</w:t>
                      </w:r>
                      <w:r>
                        <w:t xml:space="preserve">. </w:t>
                      </w:r>
                      <w:r w:rsidRPr="002235F1">
                        <w:t xml:space="preserve">In addition, it sought to describe the magnitude of clinical benefit or opportunity that might be realised if these medicines were funded and available in </w:t>
                      </w:r>
                      <w:r>
                        <w:t>Aotearoa</w:t>
                      </w:r>
                      <w:r w:rsidR="00F92769">
                        <w:t xml:space="preserve"> New Zealand</w:t>
                      </w:r>
                      <w:r w:rsidRPr="002235F1">
                        <w:t xml:space="preserve">. </w:t>
                      </w:r>
                    </w:p>
                    <w:p w14:paraId="04C0DB5F" w14:textId="77777777" w:rsidR="00BC5334" w:rsidRPr="002235F1" w:rsidRDefault="00BC5334" w:rsidP="00BC5334">
                      <w:pPr>
                        <w:rPr>
                          <w:color w:val="000000" w:themeColor="dark1"/>
                          <w:kern w:val="24"/>
                          <w:sz w:val="22"/>
                          <w:szCs w:val="22"/>
                        </w:rPr>
                      </w:pPr>
                    </w:p>
                    <w:p w14:paraId="30E91FDB" w14:textId="21C887F7" w:rsidR="00BC5334" w:rsidRPr="001C2EB2" w:rsidRDefault="00BC5334" w:rsidP="00BC5334">
                      <w:pPr>
                        <w:rPr>
                          <w:color w:val="000000" w:themeColor="dark1"/>
                          <w:kern w:val="24"/>
                          <w:sz w:val="22"/>
                          <w:szCs w:val="22"/>
                        </w:rPr>
                      </w:pPr>
                      <w:r w:rsidRPr="00900AC2">
                        <w:t>We think this information will be useful and informative to the public and policy makers. It is not intended to inform medicine funding decisions in isolation of a range of other factors being considered</w:t>
                      </w:r>
                      <w:r w:rsidRPr="002235F1">
                        <w:rPr>
                          <w:color w:val="000000" w:themeColor="dark1"/>
                          <w:kern w:val="24"/>
                          <w:sz w:val="22"/>
                          <w:szCs w:val="22"/>
                        </w:rPr>
                        <w:t>.</w:t>
                      </w:r>
                    </w:p>
                  </w:txbxContent>
                </v:textbox>
                <w10:anchorlock/>
              </v:roundrect>
            </w:pict>
          </mc:Fallback>
        </mc:AlternateContent>
      </w:r>
    </w:p>
    <w:p w14:paraId="4B392476" w14:textId="74045198" w:rsidR="001C2EB2" w:rsidRPr="00E44F3E" w:rsidRDefault="00880591" w:rsidP="00BD6DF9">
      <w:pPr>
        <w:keepNext/>
        <w:spacing w:before="360" w:after="120"/>
      </w:pPr>
      <w:r w:rsidRPr="00E44F3E">
        <w:rPr>
          <w:noProof/>
        </w:rPr>
        <w:lastRenderedPageBreak/>
        <mc:AlternateContent>
          <mc:Choice Requires="wpg">
            <w:drawing>
              <wp:anchor distT="0" distB="0" distL="114300" distR="114300" simplePos="0" relativeHeight="251658242" behindDoc="1" locked="0" layoutInCell="1" allowOverlap="1" wp14:anchorId="64BB35C5" wp14:editId="69C4095F">
                <wp:simplePos x="0" y="0"/>
                <wp:positionH relativeFrom="column">
                  <wp:posOffset>115570</wp:posOffset>
                </wp:positionH>
                <wp:positionV relativeFrom="paragraph">
                  <wp:posOffset>25854</wp:posOffset>
                </wp:positionV>
                <wp:extent cx="459105" cy="370205"/>
                <wp:effectExtent l="0" t="0" r="0" b="0"/>
                <wp:wrapNone/>
                <wp:docPr id="4150" name="Group 4150"/>
                <wp:cNvGraphicFramePr/>
                <a:graphic xmlns:a="http://schemas.openxmlformats.org/drawingml/2006/main">
                  <a:graphicData uri="http://schemas.microsoft.com/office/word/2010/wordprocessingGroup">
                    <wpg:wgp>
                      <wpg:cNvGrpSpPr/>
                      <wpg:grpSpPr>
                        <a:xfrm>
                          <a:off x="0" y="0"/>
                          <a:ext cx="459105" cy="370205"/>
                          <a:chOff x="42832" y="3917985"/>
                          <a:chExt cx="3018717" cy="2809875"/>
                        </a:xfrm>
                      </wpg:grpSpPr>
                      <pic:pic xmlns:pic="http://schemas.openxmlformats.org/drawingml/2006/picture">
                        <pic:nvPicPr>
                          <pic:cNvPr id="4151" name="Picture 4151"/>
                          <pic:cNvPicPr>
                            <a:picLocks noChangeAspect="1"/>
                          </pic:cNvPicPr>
                        </pic:nvPicPr>
                        <pic:blipFill>
                          <a:blip r:embed="rId28"/>
                          <a:stretch>
                            <a:fillRect/>
                          </a:stretch>
                        </pic:blipFill>
                        <pic:spPr>
                          <a:xfrm>
                            <a:off x="42832" y="3917985"/>
                            <a:ext cx="3018717" cy="2809875"/>
                          </a:xfrm>
                          <a:prstGeom prst="rect">
                            <a:avLst/>
                          </a:prstGeom>
                          <a:ln>
                            <a:noFill/>
                          </a:ln>
                        </pic:spPr>
                      </pic:pic>
                      <pic:pic xmlns:pic="http://schemas.openxmlformats.org/drawingml/2006/picture">
                        <pic:nvPicPr>
                          <pic:cNvPr id="4152" name="Graphic 4152" descr="IV with solid fill"/>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504795" y="4599022"/>
                            <a:ext cx="476250" cy="476250"/>
                          </a:xfrm>
                          <a:prstGeom prst="rect">
                            <a:avLst/>
                          </a:prstGeom>
                        </pic:spPr>
                      </pic:pic>
                      <pic:pic xmlns:pic="http://schemas.openxmlformats.org/drawingml/2006/picture">
                        <pic:nvPicPr>
                          <pic:cNvPr id="4157" name="Graphic 4157" descr="Medicine with solid fill"/>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833407" y="4713322"/>
                            <a:ext cx="495299" cy="495299"/>
                          </a:xfrm>
                          <a:prstGeom prst="rect">
                            <a:avLst/>
                          </a:prstGeom>
                        </pic:spPr>
                      </pic:pic>
                    </wpg:wgp>
                  </a:graphicData>
                </a:graphic>
              </wp:anchor>
            </w:drawing>
          </mc:Choice>
          <mc:Fallback>
            <w:pict>
              <v:group w14:anchorId="016CC19E" id="Group 4150" o:spid="_x0000_s1026" style="position:absolute;margin-left:9.1pt;margin-top:2.05pt;width:36.15pt;height:29.15pt;z-index:-251658238" coordorigin="428,39179" coordsize="30187,2809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">
                <v:shape id="Picture 4151" o:spid="_x0000_s1027" type="#_x0000_t75" style="position:absolute;left:428;top:39179;width:30187;height:28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">
                  <v:imagedata r:id="rId33" o:title=""/>
                </v:shape>
                <v:shape id="Graphic 4152" o:spid="_x0000_s1028" type="#_x0000_t75" alt="IV with solid fill" style="position:absolute;left:5047;top:45990;width:4763;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">
                  <v:imagedata r:id="rId34" o:title="IV with solid fill"/>
                </v:shape>
                <v:shape id="Graphic 4157" o:spid="_x0000_s1029" type="#_x0000_t75" alt="Medicine with solid fill" style="position:absolute;left:8334;top:47133;width:4953;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">
                  <v:imagedata r:id="rId35" o:title="Medicine with solid fill"/>
                </v:shape>
              </v:group>
            </w:pict>
          </mc:Fallback>
        </mc:AlternateContent>
      </w:r>
      <w:r w:rsidR="001C2EB2" w:rsidRPr="00E44F3E">
        <w:rPr>
          <w:noProof/>
        </w:rPr>
        <mc:AlternateContent>
          <mc:Choice Requires="wps">
            <w:drawing>
              <wp:inline distT="0" distB="0" distL="0" distR="0" wp14:anchorId="18B85F3D" wp14:editId="742A6D84">
                <wp:extent cx="675640" cy="403860"/>
                <wp:effectExtent l="19050" t="19050" r="10160" b="15240"/>
                <wp:docPr id="1730623710" name="Rectangle: Rounded Corners 1730623710"/>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795B1" w14:textId="77777777" w:rsidR="001C2EB2" w:rsidRPr="00487204" w:rsidRDefault="001C2EB2" w:rsidP="001C2EB2">
                            <w:pPr>
                              <w:jc w:val="center"/>
                              <w:rPr>
                                <w:noProof/>
                                <w:sz w:val="12"/>
                                <w:szCs w:val="12"/>
                              </w:rPr>
                            </w:pPr>
                          </w:p>
                        </w:txbxContent>
                      </wps:txbx>
                      <wps:bodyPr wrap="square" lIns="0" tIns="0" rIns="0" bIns="0" rtlCol="0" anchor="ctr">
                        <a:noAutofit/>
                      </wps:bodyPr>
                    </wps:wsp>
                  </a:graphicData>
                </a:graphic>
              </wp:inline>
            </w:drawing>
          </mc:Choice>
          <mc:Fallback>
            <w:pict>
              <v:roundrect w14:anchorId="18B85F3D" id="Rectangle: Rounded Corners 1730623710" o:spid="_x0000_s1032"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" filled="f" strokecolor="#2c463b" strokeweight="3pt">
                <v:textbox inset="0,0,0,0">
                  <w:txbxContent>
                    <w:p w14:paraId="664795B1" w14:textId="77777777" w:rsidR="001C2EB2" w:rsidRPr="00487204" w:rsidRDefault="001C2EB2" w:rsidP="001C2EB2">
                      <w:pPr>
                        <w:jc w:val="center"/>
                        <w:rPr>
                          <w:noProof/>
                          <w:sz w:val="12"/>
                          <w:szCs w:val="12"/>
                        </w:rPr>
                      </w:pPr>
                    </w:p>
                  </w:txbxContent>
                </v:textbox>
                <w10:anchorlock/>
              </v:roundrect>
            </w:pict>
          </mc:Fallback>
        </mc:AlternateContent>
      </w:r>
      <w:r w:rsidR="001C2EB2" w:rsidRPr="00E44F3E">
        <w:t xml:space="preserve"> </w:t>
      </w:r>
      <w:r w:rsidR="001C2EB2" w:rsidRPr="00E44F3E">
        <w:rPr>
          <w:noProof/>
        </w:rPr>
        <mc:AlternateContent>
          <mc:Choice Requires="wps">
            <w:drawing>
              <wp:inline distT="0" distB="0" distL="0" distR="0" wp14:anchorId="1AB8504D" wp14:editId="2BED4A74">
                <wp:extent cx="4262004" cy="403860"/>
                <wp:effectExtent l="19050" t="19050" r="24765" b="15240"/>
                <wp:docPr id="1553100889" name="Rectangle: Rounded Corners 1553100889"/>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4686FB" w14:textId="4A7A9B6D" w:rsidR="001C2EB2" w:rsidRPr="002F3513" w:rsidRDefault="001C2EB2" w:rsidP="001C2EB2">
                            <w:pPr>
                              <w:rPr>
                                <w:rFonts w:cstheme="minorBidi"/>
                                <w:b/>
                                <w:bCs/>
                                <w:color w:val="FFF7E9"/>
                                <w:kern w:val="24"/>
                                <w:sz w:val="24"/>
                                <w:szCs w:val="24"/>
                              </w:rPr>
                            </w:pPr>
                            <w:r w:rsidRPr="001C2EB2">
                              <w:rPr>
                                <w:rFonts w:cstheme="minorBidi"/>
                                <w:b/>
                                <w:bCs/>
                                <w:color w:val="FFF7E9"/>
                                <w:kern w:val="24"/>
                                <w:sz w:val="24"/>
                                <w:szCs w:val="24"/>
                              </w:rPr>
                              <w:t>What we did</w:t>
                            </w:r>
                          </w:p>
                        </w:txbxContent>
                      </wps:txbx>
                      <wps:bodyPr wrap="square" rtlCol="0" anchor="ctr">
                        <a:noAutofit/>
                      </wps:bodyPr>
                    </wps:wsp>
                  </a:graphicData>
                </a:graphic>
              </wp:inline>
            </w:drawing>
          </mc:Choice>
          <mc:Fallback>
            <w:pict>
              <v:roundrect w14:anchorId="1AB8504D" id="Rectangle: Rounded Corners 1553100889" o:spid="_x0000_s1033"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" fillcolor="#2c463b" strokecolor="#2c463b" strokeweight="3pt">
                <v:textbox>
                  <w:txbxContent>
                    <w:p w14:paraId="634686FB" w14:textId="4A7A9B6D" w:rsidR="001C2EB2" w:rsidRPr="002F3513" w:rsidRDefault="001C2EB2" w:rsidP="001C2EB2">
                      <w:pPr>
                        <w:rPr>
                          <w:rFonts w:cstheme="minorBidi"/>
                          <w:b/>
                          <w:bCs/>
                          <w:color w:val="FFF7E9"/>
                          <w:kern w:val="24"/>
                          <w:sz w:val="24"/>
                          <w:szCs w:val="24"/>
                        </w:rPr>
                      </w:pPr>
                      <w:r w:rsidRPr="001C2EB2">
                        <w:rPr>
                          <w:rFonts w:cstheme="minorBidi"/>
                          <w:b/>
                          <w:bCs/>
                          <w:color w:val="FFF7E9"/>
                          <w:kern w:val="24"/>
                          <w:sz w:val="24"/>
                          <w:szCs w:val="24"/>
                        </w:rPr>
                        <w:t>What we did</w:t>
                      </w:r>
                    </w:p>
                  </w:txbxContent>
                </v:textbox>
                <w10:anchorlock/>
              </v:roundrect>
            </w:pict>
          </mc:Fallback>
        </mc:AlternateContent>
      </w:r>
      <w:r w:rsidR="001C2EB2" w:rsidRPr="00E44F3E">
        <w:t xml:space="preserve"> </w:t>
      </w:r>
    </w:p>
    <w:p w14:paraId="6A389BA8" w14:textId="41AC950C" w:rsidR="001C2EB2" w:rsidRPr="00E44F3E" w:rsidRDefault="001C2EB2" w:rsidP="001C2EB2">
      <w:pPr>
        <w:spacing w:after="120"/>
      </w:pPr>
      <w:r w:rsidRPr="00E44F3E">
        <w:rPr>
          <w:noProof/>
        </w:rPr>
        <mc:AlternateContent>
          <mc:Choice Requires="wps">
            <w:drawing>
              <wp:inline distT="0" distB="0" distL="0" distR="0" wp14:anchorId="494E0B9F" wp14:editId="4EA62DDA">
                <wp:extent cx="4998085" cy="3735070"/>
                <wp:effectExtent l="19050" t="19050" r="12065" b="13970"/>
                <wp:docPr id="1083571373" name="Rectangle: Rounded Corners 1083571373"/>
                <wp:cNvGraphicFramePr/>
                <a:graphic xmlns:a="http://schemas.openxmlformats.org/drawingml/2006/main">
                  <a:graphicData uri="http://schemas.microsoft.com/office/word/2010/wordprocessingShape">
                    <wps:wsp>
                      <wps:cNvSpPr/>
                      <wps:spPr>
                        <a:xfrm>
                          <a:off x="0" y="0"/>
                          <a:ext cx="4998085" cy="3735070"/>
                        </a:xfrm>
                        <a:prstGeom prst="roundRect">
                          <a:avLst>
                            <a:gd name="adj" fmla="val 9798"/>
                          </a:avLst>
                        </a:prstGeom>
                        <a:solidFill>
                          <a:srgbClr val="C2D9BA"/>
                        </a:solidFill>
                        <a:ln w="38100">
                          <a:solidFill>
                            <a:srgbClr val="C2D9BA"/>
                          </a:solidFill>
                        </a:ln>
                      </wps:spPr>
                      <wps:style>
                        <a:lnRef idx="2">
                          <a:schemeClr val="accent6"/>
                        </a:lnRef>
                        <a:fillRef idx="1">
                          <a:schemeClr val="lt1"/>
                        </a:fillRef>
                        <a:effectRef idx="0">
                          <a:schemeClr val="accent6"/>
                        </a:effectRef>
                        <a:fontRef idx="minor">
                          <a:schemeClr val="dk1"/>
                        </a:fontRef>
                      </wps:style>
                      <wps:txbx>
                        <w:txbxContent>
                          <w:p w14:paraId="64DD75C0" w14:textId="7DC531B8" w:rsidR="001C2EB2" w:rsidRPr="002235F1" w:rsidRDefault="001C2EB2" w:rsidP="001C2EB2">
                            <w:r w:rsidRPr="002235F1">
                              <w:t xml:space="preserve">We compared all the blood cancer medicines that are publicly funded in Australia through </w:t>
                            </w:r>
                            <w:r>
                              <w:t>the</w:t>
                            </w:r>
                            <w:r w:rsidRPr="002235F1">
                              <w:t xml:space="preserve"> Pharmaceutical Benefit Scheme with those publicly funded in </w:t>
                            </w:r>
                            <w:r>
                              <w:t>Aotearoa</w:t>
                            </w:r>
                            <w:r w:rsidR="00C518C8">
                              <w:t xml:space="preserve"> New Zealand</w:t>
                            </w:r>
                            <w:r w:rsidRPr="002235F1">
                              <w:t xml:space="preserve"> </w:t>
                            </w:r>
                            <w:r>
                              <w:t>through</w:t>
                            </w:r>
                            <w:r w:rsidRPr="002235F1">
                              <w:t xml:space="preserve"> </w:t>
                            </w:r>
                            <w:proofErr w:type="spellStart"/>
                            <w:r w:rsidRPr="002235F1">
                              <w:t>Pharmac’s</w:t>
                            </w:r>
                            <w:proofErr w:type="spellEnd"/>
                            <w:r w:rsidRPr="002235F1">
                              <w:t xml:space="preserve"> Pharmaceutical Schedule. This identif</w:t>
                            </w:r>
                            <w:r>
                              <w:t xml:space="preserve">ied </w:t>
                            </w:r>
                            <w:r w:rsidRPr="002235F1">
                              <w:t xml:space="preserve">what blood cancer medicines were available only in Australia, only in </w:t>
                            </w:r>
                            <w:r>
                              <w:t>Aotearoa</w:t>
                            </w:r>
                            <w:r w:rsidR="00BC6D6C">
                              <w:t xml:space="preserve"> New Zealand</w:t>
                            </w:r>
                            <w:r>
                              <w:t>,</w:t>
                            </w:r>
                            <w:r w:rsidRPr="002235F1">
                              <w:t xml:space="preserve"> or in both </w:t>
                            </w:r>
                            <w:r>
                              <w:t>countries</w:t>
                            </w:r>
                            <w:r w:rsidRPr="002235F1">
                              <w:t xml:space="preserve">. </w:t>
                            </w:r>
                          </w:p>
                          <w:p w14:paraId="1EFB3EDD" w14:textId="77777777" w:rsidR="001C2EB2" w:rsidRPr="002235F1" w:rsidRDefault="001C2EB2" w:rsidP="001C2EB2"/>
                          <w:p w14:paraId="2E0FB949" w14:textId="0766EF82" w:rsidR="00406DA2" w:rsidRDefault="001C2EB2" w:rsidP="001C2EB2">
                            <w:r w:rsidRPr="002235F1">
                              <w:t>We looked at medicine availability in terms of</w:t>
                            </w:r>
                            <w:r w:rsidR="00406DA2">
                              <w:t>:</w:t>
                            </w:r>
                            <w:r w:rsidRPr="002235F1">
                              <w:t xml:space="preserve"> </w:t>
                            </w:r>
                          </w:p>
                          <w:p w14:paraId="133C40BF" w14:textId="06628398" w:rsidR="00406DA2" w:rsidRDefault="001C2EB2" w:rsidP="00D4752B">
                            <w:pPr>
                              <w:pStyle w:val="Bullet"/>
                            </w:pPr>
                            <w:r w:rsidRPr="002235F1">
                              <w:t xml:space="preserve">the number of </w:t>
                            </w:r>
                            <w:r>
                              <w:t>individual</w:t>
                            </w:r>
                            <w:r w:rsidRPr="002235F1">
                              <w:t xml:space="preserve"> medicines</w:t>
                            </w:r>
                          </w:p>
                          <w:p w14:paraId="3255FBB8" w14:textId="737A1DE4" w:rsidR="00406DA2" w:rsidRDefault="001C2EB2" w:rsidP="00D4752B">
                            <w:pPr>
                              <w:pStyle w:val="Bullet"/>
                            </w:pPr>
                            <w:r w:rsidRPr="002235F1">
                              <w:t xml:space="preserve">the number of </w:t>
                            </w:r>
                            <w:r w:rsidR="00CE439D">
                              <w:t>medicine</w:t>
                            </w:r>
                            <w:r w:rsidRPr="002235F1">
                              <w:t>-indication pairs (one medicine might have multiple specific uses</w:t>
                            </w:r>
                            <w:r>
                              <w:t xml:space="preserve"> (indications)</w:t>
                            </w:r>
                            <w:r w:rsidR="00C529E6">
                              <w:t>;</w:t>
                            </w:r>
                            <w:r>
                              <w:t xml:space="preserve"> </w:t>
                            </w:r>
                            <w:r w:rsidR="00C529E6">
                              <w:t>‘</w:t>
                            </w:r>
                            <w:r>
                              <w:t>medicine-indication pairs</w:t>
                            </w:r>
                            <w:r w:rsidR="00C529E6">
                              <w:t>’</w:t>
                            </w:r>
                            <w:r>
                              <w:t xml:space="preserve"> refer</w:t>
                            </w:r>
                            <w:r w:rsidR="00C529E6">
                              <w:t>s</w:t>
                            </w:r>
                            <w:r>
                              <w:t xml:space="preserve"> to each specific indication for a medicine</w:t>
                            </w:r>
                            <w:r w:rsidR="00C529E6">
                              <w:t>’</w:t>
                            </w:r>
                            <w:r>
                              <w:t>s use</w:t>
                            </w:r>
                            <w:r w:rsidRPr="002235F1">
                              <w:t>)</w:t>
                            </w:r>
                          </w:p>
                          <w:p w14:paraId="27A75E48" w14:textId="4C164150" w:rsidR="001C2EB2" w:rsidRPr="002235F1" w:rsidRDefault="001C2EB2" w:rsidP="00D4752B">
                            <w:pPr>
                              <w:pStyle w:val="Bullet"/>
                            </w:pPr>
                            <w:r>
                              <w:t>regimen</w:t>
                            </w:r>
                            <w:r w:rsidR="00A71021">
                              <w:t>-indication</w:t>
                            </w:r>
                            <w:r w:rsidR="001978D9">
                              <w:t xml:space="preserve"> pairs</w:t>
                            </w:r>
                            <w:r>
                              <w:t xml:space="preserve"> </w:t>
                            </w:r>
                            <w:r w:rsidRPr="002235F1">
                              <w:t>(</w:t>
                            </w:r>
                            <w:r>
                              <w:t xml:space="preserve">a regimen requires </w:t>
                            </w:r>
                            <w:r w:rsidRPr="002235F1">
                              <w:t xml:space="preserve">multiple medicines </w:t>
                            </w:r>
                            <w:r>
                              <w:t>to be</w:t>
                            </w:r>
                            <w:r w:rsidRPr="002235F1">
                              <w:t xml:space="preserve"> used together for a specific </w:t>
                            </w:r>
                            <w:r>
                              <w:t>treatment</w:t>
                            </w:r>
                            <w:r w:rsidR="00A71021">
                              <w:t xml:space="preserve"> of an indication</w:t>
                            </w:r>
                            <w:r w:rsidRPr="002235F1">
                              <w:t xml:space="preserve">). </w:t>
                            </w:r>
                          </w:p>
                          <w:p w14:paraId="5AD8BA42" w14:textId="77777777" w:rsidR="001C2EB2" w:rsidRPr="002235F1" w:rsidRDefault="001C2EB2" w:rsidP="001C2EB2"/>
                          <w:p w14:paraId="061E15DB" w14:textId="15447F5E" w:rsidR="001C2EB2" w:rsidRPr="001C2EB2" w:rsidRDefault="001C2EB2" w:rsidP="001C2EB2">
                            <w:r w:rsidRPr="002235F1">
                              <w:t xml:space="preserve">For medicines only funded in Australia, we </w:t>
                            </w:r>
                            <w:r>
                              <w:t>assessed the</w:t>
                            </w:r>
                            <w:r w:rsidRPr="002235F1">
                              <w:t xml:space="preserve"> clinical benefit th</w:t>
                            </w:r>
                            <w:r>
                              <w:t>ey w</w:t>
                            </w:r>
                            <w:r w:rsidRPr="002235F1">
                              <w:t xml:space="preserve">ould provide if they were funded in </w:t>
                            </w:r>
                            <w:r>
                              <w:t>Aotearoa</w:t>
                            </w:r>
                            <w:r w:rsidR="005C18C1">
                              <w:t xml:space="preserve"> New Zealand</w:t>
                            </w:r>
                            <w:r>
                              <w:t xml:space="preserve">. We used </w:t>
                            </w:r>
                            <w:r w:rsidRPr="002235F1">
                              <w:t xml:space="preserve">a scoring system called the </w:t>
                            </w:r>
                            <w:r w:rsidR="00D57E15" w:rsidRPr="00D57E15">
                              <w:t xml:space="preserve">European Society for Medical Oncology </w:t>
                            </w:r>
                            <w:r w:rsidR="00783501">
                              <w:t xml:space="preserve">– </w:t>
                            </w:r>
                            <w:r w:rsidR="00D57E15" w:rsidRPr="00D57E15">
                              <w:t xml:space="preserve">Magnitude of Clinical Benefit Scale </w:t>
                            </w:r>
                            <w:r w:rsidRPr="002235F1">
                              <w:t xml:space="preserve">for </w:t>
                            </w:r>
                            <w:r w:rsidR="004A65D4">
                              <w:t>H</w:t>
                            </w:r>
                            <w:r w:rsidRPr="002235F1">
                              <w:t xml:space="preserve">aematological </w:t>
                            </w:r>
                            <w:r w:rsidR="004A65D4" w:rsidRPr="004A65D4">
                              <w:t>Malignancies</w:t>
                            </w:r>
                            <w:r w:rsidR="004A65D4" w:rsidRPr="004A65D4" w:rsidDel="004A65D4">
                              <w:t xml:space="preserve"> </w:t>
                            </w:r>
                            <w:r w:rsidRPr="002235F1">
                              <w:t xml:space="preserve">(ESMO-MCBS: H). These scores were classified into </w:t>
                            </w:r>
                            <w:r w:rsidR="00D3323E">
                              <w:t>substantial</w:t>
                            </w:r>
                            <w:r w:rsidRPr="002235F1">
                              <w:t xml:space="preserve"> </w:t>
                            </w:r>
                            <w:r>
                              <w:t xml:space="preserve">or </w:t>
                            </w:r>
                            <w:r w:rsidR="00D3323E">
                              <w:t>not substantial</w:t>
                            </w:r>
                            <w:r>
                              <w:t xml:space="preserve"> </w:t>
                            </w:r>
                            <w:r w:rsidRPr="002235F1">
                              <w:t>magnitude of clinical benefit.</w:t>
                            </w:r>
                          </w:p>
                        </w:txbxContent>
                      </wps:txbx>
                      <wps:bodyPr wrap="square" rtlCol="0" anchor="ctr">
                        <a:spAutoFit/>
                      </wps:bodyPr>
                    </wps:wsp>
                  </a:graphicData>
                </a:graphic>
              </wp:inline>
            </w:drawing>
          </mc:Choice>
          <mc:Fallback>
            <w:pict>
              <v:roundrect w14:anchorId="494E0B9F" id="Rectangle: Rounded Corners 1083571373" o:spid="_x0000_s1034" style="width:393.55pt;height:294.1pt;visibility:visible;mso-wrap-style:square;mso-left-percent:-10001;mso-top-percent:-10001;mso-position-horizontal:absolute;mso-position-horizontal-relative:char;mso-position-vertical:absolute;mso-position-vertical-relative:line;mso-left-percent:-10001;mso-top-percent:-10001;v-text-anchor:middle" arcsize="6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" fillcolor="#c2d9ba" strokecolor="#c2d9ba" strokeweight="3pt">
                <v:textbox style="mso-fit-shape-to-text:t">
                  <w:txbxContent>
                    <w:p w14:paraId="64DD75C0" w14:textId="7DC531B8" w:rsidR="001C2EB2" w:rsidRPr="002235F1" w:rsidRDefault="001C2EB2" w:rsidP="001C2EB2">
                      <w:r w:rsidRPr="002235F1">
                        <w:t xml:space="preserve">We compared all the blood cancer medicines that are publicly funded in Australia through </w:t>
                      </w:r>
                      <w:r>
                        <w:t>the</w:t>
                      </w:r>
                      <w:r w:rsidRPr="002235F1">
                        <w:t xml:space="preserve"> Pharmaceutical Benefit Scheme with those publicly funded in </w:t>
                      </w:r>
                      <w:r>
                        <w:t>Aotearoa</w:t>
                      </w:r>
                      <w:r w:rsidR="00C518C8">
                        <w:t xml:space="preserve"> New Zealand</w:t>
                      </w:r>
                      <w:r w:rsidRPr="002235F1">
                        <w:t xml:space="preserve"> </w:t>
                      </w:r>
                      <w:r>
                        <w:t>through</w:t>
                      </w:r>
                      <w:r w:rsidRPr="002235F1">
                        <w:t xml:space="preserve"> Pharmac’s Pharmaceutical Schedule. This identif</w:t>
                      </w:r>
                      <w:r>
                        <w:t xml:space="preserve">ied </w:t>
                      </w:r>
                      <w:r w:rsidRPr="002235F1">
                        <w:t xml:space="preserve">what blood cancer medicines were available only in Australia, only in </w:t>
                      </w:r>
                      <w:r>
                        <w:t>Aotearoa</w:t>
                      </w:r>
                      <w:r w:rsidR="00BC6D6C">
                        <w:t xml:space="preserve"> New Zealand</w:t>
                      </w:r>
                      <w:r>
                        <w:t>,</w:t>
                      </w:r>
                      <w:r w:rsidRPr="002235F1">
                        <w:t xml:space="preserve"> or in both </w:t>
                      </w:r>
                      <w:r>
                        <w:t>countries</w:t>
                      </w:r>
                      <w:r w:rsidRPr="002235F1">
                        <w:t xml:space="preserve">. </w:t>
                      </w:r>
                    </w:p>
                    <w:p w14:paraId="1EFB3EDD" w14:textId="77777777" w:rsidR="001C2EB2" w:rsidRPr="002235F1" w:rsidRDefault="001C2EB2" w:rsidP="001C2EB2"/>
                    <w:p w14:paraId="2E0FB949" w14:textId="0766EF82" w:rsidR="00406DA2" w:rsidRDefault="001C2EB2" w:rsidP="001C2EB2">
                      <w:r w:rsidRPr="002235F1">
                        <w:t>We looked at medicine availability in terms of</w:t>
                      </w:r>
                      <w:r w:rsidR="00406DA2">
                        <w:t>:</w:t>
                      </w:r>
                      <w:r w:rsidRPr="002235F1">
                        <w:t xml:space="preserve"> </w:t>
                      </w:r>
                    </w:p>
                    <w:p w14:paraId="133C40BF" w14:textId="06628398" w:rsidR="00406DA2" w:rsidRDefault="001C2EB2" w:rsidP="00D4752B">
                      <w:pPr>
                        <w:pStyle w:val="Bullet"/>
                      </w:pPr>
                      <w:r w:rsidRPr="002235F1">
                        <w:t xml:space="preserve">the number of </w:t>
                      </w:r>
                      <w:r>
                        <w:t>individual</w:t>
                      </w:r>
                      <w:r w:rsidRPr="002235F1">
                        <w:t xml:space="preserve"> medicines</w:t>
                      </w:r>
                    </w:p>
                    <w:p w14:paraId="3255FBB8" w14:textId="737A1DE4" w:rsidR="00406DA2" w:rsidRDefault="001C2EB2" w:rsidP="00D4752B">
                      <w:pPr>
                        <w:pStyle w:val="Bullet"/>
                      </w:pPr>
                      <w:r w:rsidRPr="002235F1">
                        <w:t xml:space="preserve">the number of </w:t>
                      </w:r>
                      <w:r w:rsidR="00CE439D">
                        <w:t>medicine</w:t>
                      </w:r>
                      <w:r w:rsidRPr="002235F1">
                        <w:t>-indication pairs (one medicine might have multiple specific uses</w:t>
                      </w:r>
                      <w:r>
                        <w:t xml:space="preserve"> (indications)</w:t>
                      </w:r>
                      <w:r w:rsidR="00C529E6">
                        <w:t>;</w:t>
                      </w:r>
                      <w:r>
                        <w:t xml:space="preserve"> </w:t>
                      </w:r>
                      <w:r w:rsidR="00C529E6">
                        <w:t>‘</w:t>
                      </w:r>
                      <w:r>
                        <w:t>medicine-indication pairs</w:t>
                      </w:r>
                      <w:r w:rsidR="00C529E6">
                        <w:t>’</w:t>
                      </w:r>
                      <w:r>
                        <w:t xml:space="preserve"> refer</w:t>
                      </w:r>
                      <w:r w:rsidR="00C529E6">
                        <w:t>s</w:t>
                      </w:r>
                      <w:r>
                        <w:t xml:space="preserve"> to each specific indication for a medicine</w:t>
                      </w:r>
                      <w:r w:rsidR="00C529E6">
                        <w:t>’</w:t>
                      </w:r>
                      <w:r>
                        <w:t>s use</w:t>
                      </w:r>
                      <w:r w:rsidRPr="002235F1">
                        <w:t>)</w:t>
                      </w:r>
                    </w:p>
                    <w:p w14:paraId="27A75E48" w14:textId="4C164150" w:rsidR="001C2EB2" w:rsidRPr="002235F1" w:rsidRDefault="001C2EB2" w:rsidP="00D4752B">
                      <w:pPr>
                        <w:pStyle w:val="Bullet"/>
                      </w:pPr>
                      <w:r>
                        <w:t>regimen</w:t>
                      </w:r>
                      <w:r w:rsidR="00A71021">
                        <w:t>-indication</w:t>
                      </w:r>
                      <w:r w:rsidR="001978D9">
                        <w:t xml:space="preserve"> pairs</w:t>
                      </w:r>
                      <w:r>
                        <w:t xml:space="preserve"> </w:t>
                      </w:r>
                      <w:r w:rsidRPr="002235F1">
                        <w:t>(</w:t>
                      </w:r>
                      <w:r>
                        <w:t xml:space="preserve">a regimen requires </w:t>
                      </w:r>
                      <w:r w:rsidRPr="002235F1">
                        <w:t xml:space="preserve">multiple medicines </w:t>
                      </w:r>
                      <w:r>
                        <w:t>to be</w:t>
                      </w:r>
                      <w:r w:rsidRPr="002235F1">
                        <w:t xml:space="preserve"> used together for a specific </w:t>
                      </w:r>
                      <w:r>
                        <w:t>treatment</w:t>
                      </w:r>
                      <w:r w:rsidR="00A71021">
                        <w:t xml:space="preserve"> of an indication</w:t>
                      </w:r>
                      <w:r w:rsidRPr="002235F1">
                        <w:t xml:space="preserve">). </w:t>
                      </w:r>
                    </w:p>
                    <w:p w14:paraId="5AD8BA42" w14:textId="77777777" w:rsidR="001C2EB2" w:rsidRPr="002235F1" w:rsidRDefault="001C2EB2" w:rsidP="001C2EB2"/>
                    <w:p w14:paraId="061E15DB" w14:textId="15447F5E" w:rsidR="001C2EB2" w:rsidRPr="001C2EB2" w:rsidRDefault="001C2EB2" w:rsidP="001C2EB2">
                      <w:r w:rsidRPr="002235F1">
                        <w:t xml:space="preserve">For medicines only funded in Australia, we </w:t>
                      </w:r>
                      <w:r>
                        <w:t>assessed the</w:t>
                      </w:r>
                      <w:r w:rsidRPr="002235F1">
                        <w:t xml:space="preserve"> clinical benefit th</w:t>
                      </w:r>
                      <w:r>
                        <w:t>ey w</w:t>
                      </w:r>
                      <w:r w:rsidRPr="002235F1">
                        <w:t xml:space="preserve">ould provide if they were funded in </w:t>
                      </w:r>
                      <w:r>
                        <w:t>Aotearoa</w:t>
                      </w:r>
                      <w:r w:rsidR="005C18C1">
                        <w:t xml:space="preserve"> New Zealand</w:t>
                      </w:r>
                      <w:r>
                        <w:t xml:space="preserve">. We used </w:t>
                      </w:r>
                      <w:r w:rsidRPr="002235F1">
                        <w:t xml:space="preserve">a scoring system called the </w:t>
                      </w:r>
                      <w:r w:rsidR="00D57E15" w:rsidRPr="00D57E15">
                        <w:t xml:space="preserve">European Society for Medical Oncology </w:t>
                      </w:r>
                      <w:r w:rsidR="00783501">
                        <w:t xml:space="preserve">– </w:t>
                      </w:r>
                      <w:r w:rsidR="00D57E15" w:rsidRPr="00D57E15">
                        <w:t xml:space="preserve">Magnitude of Clinical Benefit Scale </w:t>
                      </w:r>
                      <w:r w:rsidRPr="002235F1">
                        <w:t xml:space="preserve">for </w:t>
                      </w:r>
                      <w:r w:rsidR="004A65D4">
                        <w:t>H</w:t>
                      </w:r>
                      <w:r w:rsidRPr="002235F1">
                        <w:t xml:space="preserve">aematological </w:t>
                      </w:r>
                      <w:r w:rsidR="004A65D4" w:rsidRPr="004A65D4">
                        <w:t>Malignancies</w:t>
                      </w:r>
                      <w:r w:rsidR="004A65D4" w:rsidRPr="004A65D4" w:rsidDel="004A65D4">
                        <w:t xml:space="preserve"> </w:t>
                      </w:r>
                      <w:r w:rsidRPr="002235F1">
                        <w:t xml:space="preserve">(ESMO-MCBS: H). These scores were classified into </w:t>
                      </w:r>
                      <w:r w:rsidR="00D3323E">
                        <w:t>substantial</w:t>
                      </w:r>
                      <w:r w:rsidRPr="002235F1">
                        <w:t xml:space="preserve"> </w:t>
                      </w:r>
                      <w:r>
                        <w:t xml:space="preserve">or </w:t>
                      </w:r>
                      <w:r w:rsidR="00D3323E">
                        <w:t>not substantial</w:t>
                      </w:r>
                      <w:r>
                        <w:t xml:space="preserve"> </w:t>
                      </w:r>
                      <w:r w:rsidRPr="002235F1">
                        <w:t>magnitude of clinical benefit.</w:t>
                      </w:r>
                    </w:p>
                  </w:txbxContent>
                </v:textbox>
                <w10:anchorlock/>
              </v:roundrect>
            </w:pict>
          </mc:Fallback>
        </mc:AlternateContent>
      </w:r>
    </w:p>
    <w:p w14:paraId="7D8F7FC6" w14:textId="14DEC8B3" w:rsidR="004B584B" w:rsidRPr="00E44F3E" w:rsidRDefault="00880591" w:rsidP="00BD6DF9">
      <w:pPr>
        <w:keepNext/>
        <w:spacing w:before="360" w:after="120"/>
      </w:pPr>
      <w:r w:rsidRPr="00E44F3E">
        <w:rPr>
          <w:noProof/>
        </w:rPr>
        <mc:AlternateContent>
          <mc:Choice Requires="wpg">
            <w:drawing>
              <wp:anchor distT="0" distB="0" distL="114300" distR="114300" simplePos="0" relativeHeight="251658243" behindDoc="1" locked="0" layoutInCell="1" allowOverlap="1" wp14:anchorId="248397AA" wp14:editId="4277AD97">
                <wp:simplePos x="0" y="0"/>
                <wp:positionH relativeFrom="column">
                  <wp:posOffset>116659</wp:posOffset>
                </wp:positionH>
                <wp:positionV relativeFrom="paragraph">
                  <wp:posOffset>140970</wp:posOffset>
                </wp:positionV>
                <wp:extent cx="476885" cy="481965"/>
                <wp:effectExtent l="0" t="0" r="0" b="0"/>
                <wp:wrapNone/>
                <wp:docPr id="3084" name="Group 3084"/>
                <wp:cNvGraphicFramePr/>
                <a:graphic xmlns:a="http://schemas.openxmlformats.org/drawingml/2006/main">
                  <a:graphicData uri="http://schemas.microsoft.com/office/word/2010/wordprocessingGroup">
                    <wpg:wgp>
                      <wpg:cNvGrpSpPr/>
                      <wpg:grpSpPr>
                        <a:xfrm>
                          <a:off x="0" y="0"/>
                          <a:ext cx="476885" cy="481965"/>
                          <a:chOff x="160605" y="0"/>
                          <a:chExt cx="1143000" cy="1143000"/>
                        </a:xfrm>
                      </wpg:grpSpPr>
                      <pic:pic xmlns:pic="http://schemas.openxmlformats.org/drawingml/2006/picture">
                        <pic:nvPicPr>
                          <pic:cNvPr id="3085" name="Picture 3085"/>
                          <pic:cNvPicPr>
                            <a:picLocks noChangeAspect="1"/>
                          </pic:cNvPicPr>
                        </pic:nvPicPr>
                        <pic:blipFill>
                          <a:blip r:embed="rId17"/>
                          <a:stretch>
                            <a:fillRect/>
                          </a:stretch>
                        </pic:blipFill>
                        <pic:spPr>
                          <a:xfrm>
                            <a:off x="160605" y="0"/>
                            <a:ext cx="1143000" cy="1143000"/>
                          </a:xfrm>
                          <a:prstGeom prst="rect">
                            <a:avLst/>
                          </a:prstGeom>
                        </pic:spPr>
                      </pic:pic>
                      <pic:pic xmlns:pic="http://schemas.openxmlformats.org/drawingml/2006/picture">
                        <pic:nvPicPr>
                          <pic:cNvPr id="3086" name="Graphic 4106" descr="IV with solid fill"/>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236360" y="468003"/>
                            <a:ext cx="217259" cy="211377"/>
                          </a:xfrm>
                          <a:prstGeom prst="rect">
                            <a:avLst/>
                          </a:prstGeom>
                        </pic:spPr>
                      </pic:pic>
                      <pic:pic xmlns:pic="http://schemas.openxmlformats.org/drawingml/2006/picture">
                        <pic:nvPicPr>
                          <pic:cNvPr id="3087" name="Graphic 4107" descr="Medicine with solid fill"/>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386269" y="518733"/>
                            <a:ext cx="225949" cy="219831"/>
                          </a:xfrm>
                          <a:prstGeom prst="rect">
                            <a:avLst/>
                          </a:prstGeom>
                        </pic:spPr>
                      </pic:pic>
                      <pic:pic xmlns:pic="http://schemas.openxmlformats.org/drawingml/2006/picture">
                        <pic:nvPicPr>
                          <pic:cNvPr id="3088" name="Graphic 4108" descr="IV with solid fill"/>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864698" y="468003"/>
                            <a:ext cx="217259" cy="211377"/>
                          </a:xfrm>
                          <a:prstGeom prst="rect">
                            <a:avLst/>
                          </a:prstGeom>
                        </pic:spPr>
                      </pic:pic>
                      <pic:pic xmlns:pic="http://schemas.openxmlformats.org/drawingml/2006/picture">
                        <pic:nvPicPr>
                          <pic:cNvPr id="3089" name="Graphic 4109" descr="Medicine with solid fill"/>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1014607" y="518733"/>
                            <a:ext cx="225949" cy="219831"/>
                          </a:xfrm>
                          <a:prstGeom prst="rect">
                            <a:avLst/>
                          </a:prstGeom>
                        </pic:spPr>
                      </pic:pic>
                    </wpg:wgp>
                  </a:graphicData>
                </a:graphic>
              </wp:anchor>
            </w:drawing>
          </mc:Choice>
          <mc:Fallback>
            <w:pict>
              <v:group w14:anchorId="2758A7ED" id="Group 3084" o:spid="_x0000_s1026" style="position:absolute;margin-left:9.2pt;margin-top:11.1pt;width:37.55pt;height:37.95pt;z-index:-251658237" coordorigin="1606" coordsize="11430,11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">
                <v:shape id="Picture 3085" o:spid="_x0000_s1027" type="#_x0000_t75" style="position:absolute;left:1606;width:1143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">
                  <v:imagedata r:id="rId25" o:title=""/>
                </v:shape>
                <v:shape id="Graphic 4106" o:spid="_x0000_s1028" type="#_x0000_t75" alt="IV with solid fill" style="position:absolute;left:2363;top:4680;width:2173;height:2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">
                  <v:imagedata r:id="rId34" o:title="IV with solid fill"/>
                </v:shape>
                <v:shape id="Graphic 4107" o:spid="_x0000_s1029" type="#_x0000_t75" alt="Medicine with solid fill" style="position:absolute;left:3862;top:5187;width:2260;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">
                  <v:imagedata r:id="rId35" o:title="Medicine with solid fill"/>
                </v:shape>
                <v:shape id="Graphic 4108" o:spid="_x0000_s1030" type="#_x0000_t75" alt="IV with solid fill" style="position:absolute;left:8646;top:4680;width:2173;height:2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">
                  <v:imagedata r:id="rId34" o:title="IV with solid fill"/>
                </v:shape>
                <v:shape id="Graphic 4109" o:spid="_x0000_s1031" type="#_x0000_t75" alt="Medicine with solid fill" style="position:absolute;left:10146;top:5187;width:2259;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">
                  <v:imagedata r:id="rId35" o:title="Medicine with solid fill"/>
                </v:shape>
              </v:group>
            </w:pict>
          </mc:Fallback>
        </mc:AlternateContent>
      </w:r>
      <w:r w:rsidR="004B584B" w:rsidRPr="00E44F3E">
        <w:rPr>
          <w:noProof/>
        </w:rPr>
        <mc:AlternateContent>
          <mc:Choice Requires="wps">
            <w:drawing>
              <wp:inline distT="0" distB="0" distL="0" distR="0" wp14:anchorId="1499B358" wp14:editId="6782033E">
                <wp:extent cx="675640" cy="403860"/>
                <wp:effectExtent l="19050" t="19050" r="10160" b="15240"/>
                <wp:docPr id="1580506209" name="Rectangle: Rounded Corners 1580506209"/>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6A3A2" w14:textId="77777777" w:rsidR="004B584B" w:rsidRPr="00487204" w:rsidRDefault="004B584B" w:rsidP="004B584B">
                            <w:pPr>
                              <w:jc w:val="center"/>
                              <w:rPr>
                                <w:noProof/>
                                <w:sz w:val="12"/>
                                <w:szCs w:val="12"/>
                              </w:rPr>
                            </w:pPr>
                          </w:p>
                        </w:txbxContent>
                      </wps:txbx>
                      <wps:bodyPr wrap="square" lIns="0" tIns="0" rIns="0" bIns="0" rtlCol="0" anchor="ctr">
                        <a:noAutofit/>
                      </wps:bodyPr>
                    </wps:wsp>
                  </a:graphicData>
                </a:graphic>
              </wp:inline>
            </w:drawing>
          </mc:Choice>
          <mc:Fallback>
            <w:pict>
              <v:roundrect w14:anchorId="1499B358" id="Rectangle: Rounded Corners 1580506209" o:spid="_x0000_s1035"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" filled="f" strokecolor="#2c463b" strokeweight="3pt">
                <v:textbox inset="0,0,0,0">
                  <w:txbxContent>
                    <w:p w14:paraId="54D6A3A2" w14:textId="77777777" w:rsidR="004B584B" w:rsidRPr="00487204" w:rsidRDefault="004B584B" w:rsidP="004B584B">
                      <w:pPr>
                        <w:jc w:val="center"/>
                        <w:rPr>
                          <w:noProof/>
                          <w:sz w:val="12"/>
                          <w:szCs w:val="12"/>
                        </w:rPr>
                      </w:pPr>
                    </w:p>
                  </w:txbxContent>
                </v:textbox>
                <w10:anchorlock/>
              </v:roundrect>
            </w:pict>
          </mc:Fallback>
        </mc:AlternateContent>
      </w:r>
      <w:r w:rsidR="004B584B" w:rsidRPr="00E44F3E">
        <w:t xml:space="preserve"> </w:t>
      </w:r>
      <w:r w:rsidR="004B584B" w:rsidRPr="00E44F3E">
        <w:rPr>
          <w:noProof/>
        </w:rPr>
        <mc:AlternateContent>
          <mc:Choice Requires="wps">
            <w:drawing>
              <wp:inline distT="0" distB="0" distL="0" distR="0" wp14:anchorId="01C35E48" wp14:editId="3F04B431">
                <wp:extent cx="4262004" cy="403860"/>
                <wp:effectExtent l="19050" t="19050" r="24765" b="15240"/>
                <wp:docPr id="1153994156" name="Rectangle: Rounded Corners 1153994156"/>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506481" w14:textId="50D4226F" w:rsidR="004B584B" w:rsidRPr="002F3513" w:rsidRDefault="004B584B" w:rsidP="004B584B">
                            <w:pPr>
                              <w:rPr>
                                <w:rFonts w:cstheme="minorBidi"/>
                                <w:b/>
                                <w:bCs/>
                                <w:color w:val="FFF7E9"/>
                                <w:kern w:val="24"/>
                                <w:sz w:val="24"/>
                                <w:szCs w:val="24"/>
                              </w:rPr>
                            </w:pPr>
                            <w:r w:rsidRPr="004B584B">
                              <w:rPr>
                                <w:rFonts w:cstheme="minorBidi"/>
                                <w:b/>
                                <w:bCs/>
                                <w:color w:val="FFF7E9"/>
                                <w:kern w:val="24"/>
                                <w:sz w:val="24"/>
                                <w:szCs w:val="24"/>
                              </w:rPr>
                              <w:t>What we found</w:t>
                            </w:r>
                          </w:p>
                        </w:txbxContent>
                      </wps:txbx>
                      <wps:bodyPr wrap="square" rtlCol="0" anchor="ctr">
                        <a:noAutofit/>
                      </wps:bodyPr>
                    </wps:wsp>
                  </a:graphicData>
                </a:graphic>
              </wp:inline>
            </w:drawing>
          </mc:Choice>
          <mc:Fallback>
            <w:pict>
              <v:roundrect w14:anchorId="01C35E48" id="Rectangle: Rounded Corners 1153994156" o:spid="_x0000_s1036"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" fillcolor="#2c463b" strokecolor="#2c463b" strokeweight="3pt">
                <v:textbox>
                  <w:txbxContent>
                    <w:p w14:paraId="49506481" w14:textId="50D4226F" w:rsidR="004B584B" w:rsidRPr="002F3513" w:rsidRDefault="004B584B" w:rsidP="004B584B">
                      <w:pPr>
                        <w:rPr>
                          <w:rFonts w:cstheme="minorBidi"/>
                          <w:b/>
                          <w:bCs/>
                          <w:color w:val="FFF7E9"/>
                          <w:kern w:val="24"/>
                          <w:sz w:val="24"/>
                          <w:szCs w:val="24"/>
                        </w:rPr>
                      </w:pPr>
                      <w:r w:rsidRPr="004B584B">
                        <w:rPr>
                          <w:rFonts w:cstheme="minorBidi"/>
                          <w:b/>
                          <w:bCs/>
                          <w:color w:val="FFF7E9"/>
                          <w:kern w:val="24"/>
                          <w:sz w:val="24"/>
                          <w:szCs w:val="24"/>
                        </w:rPr>
                        <w:t>What we found</w:t>
                      </w:r>
                    </w:p>
                  </w:txbxContent>
                </v:textbox>
                <w10:anchorlock/>
              </v:roundrect>
            </w:pict>
          </mc:Fallback>
        </mc:AlternateContent>
      </w:r>
    </w:p>
    <w:p w14:paraId="0525C240" w14:textId="049A6AE6" w:rsidR="004B584B" w:rsidRPr="00E44F3E" w:rsidRDefault="00B56717" w:rsidP="004B584B">
      <w:pPr>
        <w:spacing w:after="120"/>
      </w:pPr>
      <w:r w:rsidRPr="00B56717">
        <w:rPr>
          <w:noProof/>
        </w:rPr>
        <w:drawing>
          <wp:inline distT="0" distB="0" distL="0" distR="0" wp14:anchorId="230EEBBD" wp14:editId="73EA7CA5">
            <wp:extent cx="5023485" cy="2819842"/>
            <wp:effectExtent l="0" t="0" r="5715" b="0"/>
            <wp:docPr id="1201452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67" cy="2823088"/>
                    </a:xfrm>
                    <a:prstGeom prst="rect">
                      <a:avLst/>
                    </a:prstGeom>
                    <a:noFill/>
                    <a:ln>
                      <a:noFill/>
                    </a:ln>
                  </pic:spPr>
                </pic:pic>
              </a:graphicData>
            </a:graphic>
          </wp:inline>
        </w:drawing>
      </w:r>
    </w:p>
    <w:p w14:paraId="73B48527" w14:textId="18A75336" w:rsidR="007D54F9" w:rsidRPr="00E44F3E" w:rsidRDefault="007A6A5F" w:rsidP="00963AAE">
      <w:pPr>
        <w:keepNext/>
        <w:spacing w:before="240" w:after="120"/>
      </w:pPr>
      <w:r w:rsidRPr="00E44F3E">
        <w:rPr>
          <w:noProof/>
        </w:rPr>
        <w:lastRenderedPageBreak/>
        <w:drawing>
          <wp:anchor distT="0" distB="0" distL="114300" distR="114300" simplePos="0" relativeHeight="251658244" behindDoc="1" locked="0" layoutInCell="1" allowOverlap="1" wp14:anchorId="66300067" wp14:editId="13D1C66F">
            <wp:simplePos x="0" y="0"/>
            <wp:positionH relativeFrom="column">
              <wp:posOffset>158931</wp:posOffset>
            </wp:positionH>
            <wp:positionV relativeFrom="paragraph">
              <wp:posOffset>19685</wp:posOffset>
            </wp:positionV>
            <wp:extent cx="391160" cy="391160"/>
            <wp:effectExtent l="0" t="0" r="0" b="8890"/>
            <wp:wrapNone/>
            <wp:docPr id="4147" name="Graphic 4147" descr="Social network with solid fill">
              <a:extLst xmlns:a="http://schemas.openxmlformats.org/drawingml/2006/main">
                <a:ext uri="{FF2B5EF4-FFF2-40B4-BE49-F238E27FC236}">
                  <a16:creationId xmlns:a16="http://schemas.microsoft.com/office/drawing/2014/main" id="{AE660CFA-5C05-D519-2B8D-98257199B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 name="Graphic 4146" descr="Social network with solid fill">
                      <a:extLst>
                        <a:ext uri="{FF2B5EF4-FFF2-40B4-BE49-F238E27FC236}">
                          <a16:creationId xmlns:a16="http://schemas.microsoft.com/office/drawing/2014/main" id="{AE660CFA-5C05-D519-2B8D-98257199BF4D}"/>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91160" cy="391160"/>
                    </a:xfrm>
                    <a:prstGeom prst="rect">
                      <a:avLst/>
                    </a:prstGeom>
                  </pic:spPr>
                </pic:pic>
              </a:graphicData>
            </a:graphic>
          </wp:anchor>
        </w:drawing>
      </w:r>
      <w:r w:rsidR="007D54F9" w:rsidRPr="00E44F3E">
        <w:rPr>
          <w:noProof/>
        </w:rPr>
        <mc:AlternateContent>
          <mc:Choice Requires="wps">
            <w:drawing>
              <wp:inline distT="0" distB="0" distL="0" distR="0" wp14:anchorId="132B1EB7" wp14:editId="78461025">
                <wp:extent cx="675640" cy="403860"/>
                <wp:effectExtent l="19050" t="19050" r="10160" b="15240"/>
                <wp:docPr id="664816958" name="Rectangle: Rounded Corners 664816958"/>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2A6E40" w14:textId="77777777" w:rsidR="007D54F9" w:rsidRPr="00487204" w:rsidRDefault="007D54F9" w:rsidP="007D54F9">
                            <w:pPr>
                              <w:jc w:val="center"/>
                              <w:rPr>
                                <w:noProof/>
                                <w:sz w:val="12"/>
                                <w:szCs w:val="12"/>
                              </w:rPr>
                            </w:pPr>
                          </w:p>
                        </w:txbxContent>
                      </wps:txbx>
                      <wps:bodyPr wrap="square" lIns="0" tIns="0" rIns="0" bIns="0" rtlCol="0" anchor="ctr">
                        <a:noAutofit/>
                      </wps:bodyPr>
                    </wps:wsp>
                  </a:graphicData>
                </a:graphic>
              </wp:inline>
            </w:drawing>
          </mc:Choice>
          <mc:Fallback>
            <w:pict>
              <v:roundrect w14:anchorId="132B1EB7" id="Rectangle: Rounded Corners 664816958" o:spid="_x0000_s1037"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" filled="f" strokecolor="#2c463b" strokeweight="3pt">
                <v:textbox inset="0,0,0,0">
                  <w:txbxContent>
                    <w:p w14:paraId="302A6E40" w14:textId="77777777" w:rsidR="007D54F9" w:rsidRPr="00487204" w:rsidRDefault="007D54F9" w:rsidP="007D54F9">
                      <w:pPr>
                        <w:jc w:val="center"/>
                        <w:rPr>
                          <w:noProof/>
                          <w:sz w:val="12"/>
                          <w:szCs w:val="12"/>
                        </w:rPr>
                      </w:pPr>
                    </w:p>
                  </w:txbxContent>
                </v:textbox>
                <w10:anchorlock/>
              </v:roundrect>
            </w:pict>
          </mc:Fallback>
        </mc:AlternateContent>
      </w:r>
      <w:r w:rsidR="007D54F9" w:rsidRPr="00E44F3E">
        <w:t xml:space="preserve"> </w:t>
      </w:r>
      <w:r w:rsidR="007D54F9" w:rsidRPr="00E44F3E">
        <w:rPr>
          <w:noProof/>
        </w:rPr>
        <mc:AlternateContent>
          <mc:Choice Requires="wps">
            <w:drawing>
              <wp:inline distT="0" distB="0" distL="0" distR="0" wp14:anchorId="32E64817" wp14:editId="47685C84">
                <wp:extent cx="4262004" cy="403860"/>
                <wp:effectExtent l="19050" t="19050" r="24765" b="15240"/>
                <wp:docPr id="1403167655" name="Rectangle: Rounded Corners 1403167655"/>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D4697C" w14:textId="0593AEB3" w:rsidR="007D54F9" w:rsidRPr="002F3513" w:rsidRDefault="007D54F9" w:rsidP="007D54F9">
                            <w:pPr>
                              <w:rPr>
                                <w:rFonts w:cstheme="minorBidi"/>
                                <w:b/>
                                <w:bCs/>
                                <w:color w:val="FFF7E9"/>
                                <w:kern w:val="24"/>
                                <w:sz w:val="24"/>
                                <w:szCs w:val="24"/>
                              </w:rPr>
                            </w:pPr>
                            <w:r w:rsidRPr="007D54F9">
                              <w:rPr>
                                <w:rFonts w:cstheme="minorBidi"/>
                                <w:b/>
                                <w:bCs/>
                                <w:color w:val="FFF7E9"/>
                                <w:kern w:val="24"/>
                                <w:sz w:val="24"/>
                                <w:szCs w:val="24"/>
                              </w:rPr>
                              <w:t>Who will be interested?</w:t>
                            </w:r>
                          </w:p>
                        </w:txbxContent>
                      </wps:txbx>
                      <wps:bodyPr wrap="square" rtlCol="0" anchor="ctr">
                        <a:noAutofit/>
                      </wps:bodyPr>
                    </wps:wsp>
                  </a:graphicData>
                </a:graphic>
              </wp:inline>
            </w:drawing>
          </mc:Choice>
          <mc:Fallback>
            <w:pict>
              <v:roundrect w14:anchorId="32E64817" id="Rectangle: Rounded Corners 1403167655" o:spid="_x0000_s1038"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" fillcolor="#2c463b" strokecolor="#2c463b" strokeweight="3pt">
                <v:textbox>
                  <w:txbxContent>
                    <w:p w14:paraId="66D4697C" w14:textId="0593AEB3" w:rsidR="007D54F9" w:rsidRPr="002F3513" w:rsidRDefault="007D54F9" w:rsidP="007D54F9">
                      <w:pPr>
                        <w:rPr>
                          <w:rFonts w:cstheme="minorBidi"/>
                          <w:b/>
                          <w:bCs/>
                          <w:color w:val="FFF7E9"/>
                          <w:kern w:val="24"/>
                          <w:sz w:val="24"/>
                          <w:szCs w:val="24"/>
                        </w:rPr>
                      </w:pPr>
                      <w:r w:rsidRPr="007D54F9">
                        <w:rPr>
                          <w:rFonts w:cstheme="minorBidi"/>
                          <w:b/>
                          <w:bCs/>
                          <w:color w:val="FFF7E9"/>
                          <w:kern w:val="24"/>
                          <w:sz w:val="24"/>
                          <w:szCs w:val="24"/>
                        </w:rPr>
                        <w:t>Who will be interested?</w:t>
                      </w:r>
                    </w:p>
                  </w:txbxContent>
                </v:textbox>
                <w10:anchorlock/>
              </v:roundrect>
            </w:pict>
          </mc:Fallback>
        </mc:AlternateContent>
      </w:r>
    </w:p>
    <w:p w14:paraId="6F651031" w14:textId="585B9815" w:rsidR="007D54F9" w:rsidRPr="00E44F3E" w:rsidRDefault="007D54F9" w:rsidP="007D54F9">
      <w:pPr>
        <w:spacing w:after="120"/>
      </w:pPr>
      <w:r w:rsidRPr="00E44F3E">
        <w:rPr>
          <w:noProof/>
        </w:rPr>
        <mc:AlternateContent>
          <mc:Choice Requires="wps">
            <w:drawing>
              <wp:inline distT="0" distB="0" distL="0" distR="0" wp14:anchorId="09B21CB5" wp14:editId="3A771F66">
                <wp:extent cx="4998085" cy="680085"/>
                <wp:effectExtent l="19050" t="19050" r="12065" b="13970"/>
                <wp:docPr id="489924643" name="Rectangle: Rounded Corners 489924643"/>
                <wp:cNvGraphicFramePr/>
                <a:graphic xmlns:a="http://schemas.openxmlformats.org/drawingml/2006/main">
                  <a:graphicData uri="http://schemas.microsoft.com/office/word/2010/wordprocessingShape">
                    <wps:wsp>
                      <wps:cNvSpPr/>
                      <wps:spPr>
                        <a:xfrm>
                          <a:off x="0" y="0"/>
                          <a:ext cx="4998085" cy="680085"/>
                        </a:xfrm>
                        <a:prstGeom prst="roundRect">
                          <a:avLst>
                            <a:gd name="adj" fmla="val 9798"/>
                          </a:avLst>
                        </a:prstGeom>
                        <a:solidFill>
                          <a:srgbClr val="C2D9BA"/>
                        </a:solidFill>
                        <a:ln w="38100">
                          <a:solidFill>
                            <a:srgbClr val="C2D9BA"/>
                          </a:solidFill>
                        </a:ln>
                      </wps:spPr>
                      <wps:style>
                        <a:lnRef idx="2">
                          <a:schemeClr val="accent6"/>
                        </a:lnRef>
                        <a:fillRef idx="1">
                          <a:schemeClr val="lt1"/>
                        </a:fillRef>
                        <a:effectRef idx="0">
                          <a:schemeClr val="accent6"/>
                        </a:effectRef>
                        <a:fontRef idx="minor">
                          <a:schemeClr val="dk1"/>
                        </a:fontRef>
                      </wps:style>
                      <wps:txbx>
                        <w:txbxContent>
                          <w:p w14:paraId="08ABB570" w14:textId="50A5C253" w:rsidR="007D54F9" w:rsidRPr="00021EB7" w:rsidRDefault="007D54F9" w:rsidP="007D54F9">
                            <w:r w:rsidRPr="002235F1">
                              <w:t xml:space="preserve">We </w:t>
                            </w:r>
                            <w:r>
                              <w:t xml:space="preserve">expect </w:t>
                            </w:r>
                            <w:r w:rsidRPr="002235F1">
                              <w:t xml:space="preserve">the </w:t>
                            </w:r>
                            <w:r>
                              <w:t>scale and magnitude of clinical benefit of medicine gaps in Aotearoa</w:t>
                            </w:r>
                            <w:r w:rsidR="007B63DE">
                              <w:t xml:space="preserve"> New Zealand</w:t>
                            </w:r>
                            <w:r>
                              <w:t xml:space="preserve"> will be of interest to people with cancer and their whānau, the health sector, Pharmac, the New Zealand Government, </w:t>
                            </w:r>
                            <w:r w:rsidR="0084559F">
                              <w:t>n</w:t>
                            </w:r>
                            <w:r>
                              <w:t>on-</w:t>
                            </w:r>
                            <w:r w:rsidR="0084559F">
                              <w:t>g</w:t>
                            </w:r>
                            <w:r>
                              <w:t xml:space="preserve">overnmental </w:t>
                            </w:r>
                            <w:r w:rsidR="0084559F">
                              <w:t>o</w:t>
                            </w:r>
                            <w:r>
                              <w:t xml:space="preserve">rganisations, and the </w:t>
                            </w:r>
                            <w:proofErr w:type="gramStart"/>
                            <w:r>
                              <w:t>general public</w:t>
                            </w:r>
                            <w:proofErr w:type="gramEnd"/>
                            <w:r>
                              <w:t>.</w:t>
                            </w:r>
                          </w:p>
                        </w:txbxContent>
                      </wps:txbx>
                      <wps:bodyPr wrap="square" rtlCol="0" anchor="ctr">
                        <a:spAutoFit/>
                      </wps:bodyPr>
                    </wps:wsp>
                  </a:graphicData>
                </a:graphic>
              </wp:inline>
            </w:drawing>
          </mc:Choice>
          <mc:Fallback>
            <w:pict>
              <v:roundrect w14:anchorId="09B21CB5" id="Rectangle: Rounded Corners 489924643" o:spid="_x0000_s1039" style="width:393.55pt;height:53.55pt;visibility:visible;mso-wrap-style:square;mso-left-percent:-10001;mso-top-percent:-10001;mso-position-horizontal:absolute;mso-position-horizontal-relative:char;mso-position-vertical:absolute;mso-position-vertical-relative:line;mso-left-percent:-10001;mso-top-percent:-10001;v-text-anchor:middle" arcsize="6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" fillcolor="#c2d9ba" strokecolor="#c2d9ba" strokeweight="3pt">
                <v:textbox style="mso-fit-shape-to-text:t">
                  <w:txbxContent>
                    <w:p w14:paraId="08ABB570" w14:textId="50A5C253" w:rsidR="007D54F9" w:rsidRPr="00021EB7" w:rsidRDefault="007D54F9" w:rsidP="007D54F9">
                      <w:r w:rsidRPr="002235F1">
                        <w:t xml:space="preserve">We </w:t>
                      </w:r>
                      <w:r>
                        <w:t xml:space="preserve">expect </w:t>
                      </w:r>
                      <w:r w:rsidRPr="002235F1">
                        <w:t xml:space="preserve">the </w:t>
                      </w:r>
                      <w:r>
                        <w:t>scale and magnitude of clinical benefit of medicine gaps in Aotearoa</w:t>
                      </w:r>
                      <w:r w:rsidR="007B63DE">
                        <w:t xml:space="preserve"> New Zealand</w:t>
                      </w:r>
                      <w:r>
                        <w:t xml:space="preserve"> will be of interest to people with cancer and their whānau, the health sector, Pharmac, the New Zealand Government, </w:t>
                      </w:r>
                      <w:r w:rsidR="0084559F">
                        <w:t>n</w:t>
                      </w:r>
                      <w:r>
                        <w:t>on-</w:t>
                      </w:r>
                      <w:r w:rsidR="0084559F">
                        <w:t>g</w:t>
                      </w:r>
                      <w:r>
                        <w:t xml:space="preserve">overnmental </w:t>
                      </w:r>
                      <w:r w:rsidR="0084559F">
                        <w:t>o</w:t>
                      </w:r>
                      <w:r>
                        <w:t>rganisations, and the general public.</w:t>
                      </w:r>
                    </w:p>
                  </w:txbxContent>
                </v:textbox>
                <w10:anchorlock/>
              </v:roundrect>
            </w:pict>
          </mc:Fallback>
        </mc:AlternateContent>
      </w:r>
    </w:p>
    <w:p w14:paraId="01B8C4C1" w14:textId="4CE64F25" w:rsidR="007D54F9" w:rsidRPr="00E44F3E" w:rsidRDefault="007A6A5F" w:rsidP="00BD6DF9">
      <w:pPr>
        <w:keepNext/>
        <w:spacing w:before="360" w:after="120"/>
      </w:pPr>
      <w:r w:rsidRPr="00E44F3E">
        <w:rPr>
          <w:noProof/>
        </w:rPr>
        <w:drawing>
          <wp:anchor distT="0" distB="0" distL="114300" distR="114300" simplePos="0" relativeHeight="251658245" behindDoc="1" locked="0" layoutInCell="1" allowOverlap="1" wp14:anchorId="26176461" wp14:editId="7F43397A">
            <wp:simplePos x="0" y="0"/>
            <wp:positionH relativeFrom="column">
              <wp:posOffset>137795</wp:posOffset>
            </wp:positionH>
            <wp:positionV relativeFrom="paragraph">
              <wp:posOffset>190701</wp:posOffset>
            </wp:positionV>
            <wp:extent cx="403860" cy="381635"/>
            <wp:effectExtent l="0" t="0" r="0" b="0"/>
            <wp:wrapNone/>
            <wp:docPr id="4146" name="Graphic 4146" descr="Chevron arrows with solid fill">
              <a:extLst xmlns:a="http://schemas.openxmlformats.org/drawingml/2006/main">
                <a:ext uri="{FF2B5EF4-FFF2-40B4-BE49-F238E27FC236}">
                  <a16:creationId xmlns:a16="http://schemas.microsoft.com/office/drawing/2014/main" id="{183A1BB6-1513-E088-C92F-430CA93F66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 name="Graphic 4145" descr="Chevron arrows with solid fill">
                      <a:extLst>
                        <a:ext uri="{FF2B5EF4-FFF2-40B4-BE49-F238E27FC236}">
                          <a16:creationId xmlns:a16="http://schemas.microsoft.com/office/drawing/2014/main" id="{183A1BB6-1513-E088-C92F-430CA93F66E0}"/>
                        </a:ext>
                      </a:extLst>
                    </pic:cNvPr>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03860" cy="381635"/>
                    </a:xfrm>
                    <a:prstGeom prst="rect">
                      <a:avLst/>
                    </a:prstGeom>
                  </pic:spPr>
                </pic:pic>
              </a:graphicData>
            </a:graphic>
          </wp:anchor>
        </w:drawing>
      </w:r>
      <w:r w:rsidR="007D54F9" w:rsidRPr="00E44F3E">
        <w:rPr>
          <w:noProof/>
        </w:rPr>
        <mc:AlternateContent>
          <mc:Choice Requires="wps">
            <w:drawing>
              <wp:inline distT="0" distB="0" distL="0" distR="0" wp14:anchorId="26D5ABB2" wp14:editId="6E2882BC">
                <wp:extent cx="675640" cy="403860"/>
                <wp:effectExtent l="19050" t="19050" r="10160" b="15240"/>
                <wp:docPr id="599389663" name="Rectangle: Rounded Corners 599389663"/>
                <wp:cNvGraphicFramePr/>
                <a:graphic xmlns:a="http://schemas.openxmlformats.org/drawingml/2006/main">
                  <a:graphicData uri="http://schemas.microsoft.com/office/word/2010/wordprocessingShape">
                    <wps:wsp>
                      <wps:cNvSpPr/>
                      <wps:spPr>
                        <a:xfrm>
                          <a:off x="0" y="0"/>
                          <a:ext cx="675640" cy="403860"/>
                        </a:xfrm>
                        <a:prstGeom prst="roundRect">
                          <a:avLst/>
                        </a:prstGeom>
                        <a:no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19080" w14:textId="77777777" w:rsidR="007D54F9" w:rsidRPr="00487204" w:rsidRDefault="007D54F9" w:rsidP="007D54F9">
                            <w:pPr>
                              <w:jc w:val="center"/>
                              <w:rPr>
                                <w:noProof/>
                                <w:sz w:val="12"/>
                                <w:szCs w:val="12"/>
                              </w:rPr>
                            </w:pPr>
                          </w:p>
                        </w:txbxContent>
                      </wps:txbx>
                      <wps:bodyPr wrap="square" lIns="0" tIns="0" rIns="0" bIns="0" rtlCol="0" anchor="ctr">
                        <a:noAutofit/>
                      </wps:bodyPr>
                    </wps:wsp>
                  </a:graphicData>
                </a:graphic>
              </wp:inline>
            </w:drawing>
          </mc:Choice>
          <mc:Fallback>
            <w:pict>
              <v:roundrect w14:anchorId="26D5ABB2" id="Rectangle: Rounded Corners 599389663" o:spid="_x0000_s1040" style="width:53.2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" filled="f" strokecolor="#2c463b" strokeweight="3pt">
                <v:textbox inset="0,0,0,0">
                  <w:txbxContent>
                    <w:p w14:paraId="61019080" w14:textId="77777777" w:rsidR="007D54F9" w:rsidRPr="00487204" w:rsidRDefault="007D54F9" w:rsidP="007D54F9">
                      <w:pPr>
                        <w:jc w:val="center"/>
                        <w:rPr>
                          <w:noProof/>
                          <w:sz w:val="12"/>
                          <w:szCs w:val="12"/>
                        </w:rPr>
                      </w:pPr>
                    </w:p>
                  </w:txbxContent>
                </v:textbox>
                <w10:anchorlock/>
              </v:roundrect>
            </w:pict>
          </mc:Fallback>
        </mc:AlternateContent>
      </w:r>
      <w:r w:rsidR="007D54F9" w:rsidRPr="00E44F3E">
        <w:t xml:space="preserve"> </w:t>
      </w:r>
      <w:r w:rsidR="007D54F9" w:rsidRPr="00E44F3E">
        <w:rPr>
          <w:noProof/>
        </w:rPr>
        <mc:AlternateContent>
          <mc:Choice Requires="wps">
            <w:drawing>
              <wp:inline distT="0" distB="0" distL="0" distR="0" wp14:anchorId="232C538B" wp14:editId="768DCF0A">
                <wp:extent cx="4262004" cy="403860"/>
                <wp:effectExtent l="19050" t="19050" r="24765" b="15240"/>
                <wp:docPr id="1078250460" name="Rectangle: Rounded Corners 1078250460"/>
                <wp:cNvGraphicFramePr/>
                <a:graphic xmlns:a="http://schemas.openxmlformats.org/drawingml/2006/main">
                  <a:graphicData uri="http://schemas.microsoft.com/office/word/2010/wordprocessingShape">
                    <wps:wsp>
                      <wps:cNvSpPr/>
                      <wps:spPr>
                        <a:xfrm>
                          <a:off x="0" y="0"/>
                          <a:ext cx="4262004" cy="403860"/>
                        </a:xfrm>
                        <a:prstGeom prst="roundRect">
                          <a:avLst/>
                        </a:prstGeom>
                        <a:solidFill>
                          <a:srgbClr val="2C463B"/>
                        </a:solidFill>
                        <a:ln w="38100">
                          <a:solidFill>
                            <a:srgbClr val="2C463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5A8DB" w14:textId="1A48E29B" w:rsidR="007D54F9" w:rsidRPr="002F3513" w:rsidRDefault="007D54F9" w:rsidP="007D54F9">
                            <w:pPr>
                              <w:rPr>
                                <w:rFonts w:cstheme="minorBidi"/>
                                <w:b/>
                                <w:bCs/>
                                <w:color w:val="FFF7E9"/>
                                <w:kern w:val="24"/>
                                <w:sz w:val="24"/>
                                <w:szCs w:val="24"/>
                              </w:rPr>
                            </w:pPr>
                            <w:r w:rsidRPr="007D54F9">
                              <w:rPr>
                                <w:rFonts w:cstheme="minorBidi"/>
                                <w:b/>
                                <w:bCs/>
                                <w:color w:val="FFF7E9"/>
                                <w:kern w:val="24"/>
                                <w:sz w:val="24"/>
                                <w:szCs w:val="24"/>
                              </w:rPr>
                              <w:t>In conclusion</w:t>
                            </w:r>
                          </w:p>
                        </w:txbxContent>
                      </wps:txbx>
                      <wps:bodyPr wrap="square" rtlCol="0" anchor="ctr">
                        <a:noAutofit/>
                      </wps:bodyPr>
                    </wps:wsp>
                  </a:graphicData>
                </a:graphic>
              </wp:inline>
            </w:drawing>
          </mc:Choice>
          <mc:Fallback>
            <w:pict>
              <v:roundrect w14:anchorId="232C538B" id="Rectangle: Rounded Corners 1078250460" o:spid="_x0000_s1041" style="width:335.6pt;height:3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" fillcolor="#2c463b" strokecolor="#2c463b" strokeweight="3pt">
                <v:textbox>
                  <w:txbxContent>
                    <w:p w14:paraId="7C25A8DB" w14:textId="1A48E29B" w:rsidR="007D54F9" w:rsidRPr="002F3513" w:rsidRDefault="007D54F9" w:rsidP="007D54F9">
                      <w:pPr>
                        <w:rPr>
                          <w:rFonts w:cstheme="minorBidi"/>
                          <w:b/>
                          <w:bCs/>
                          <w:color w:val="FFF7E9"/>
                          <w:kern w:val="24"/>
                          <w:sz w:val="24"/>
                          <w:szCs w:val="24"/>
                        </w:rPr>
                      </w:pPr>
                      <w:r w:rsidRPr="007D54F9">
                        <w:rPr>
                          <w:rFonts w:cstheme="minorBidi"/>
                          <w:b/>
                          <w:bCs/>
                          <w:color w:val="FFF7E9"/>
                          <w:kern w:val="24"/>
                          <w:sz w:val="24"/>
                          <w:szCs w:val="24"/>
                        </w:rPr>
                        <w:t>In conclusion</w:t>
                      </w:r>
                    </w:p>
                  </w:txbxContent>
                </v:textbox>
                <w10:anchorlock/>
              </v:roundrect>
            </w:pict>
          </mc:Fallback>
        </mc:AlternateContent>
      </w:r>
      <w:r w:rsidR="007D54F9" w:rsidRPr="00E44F3E">
        <w:t xml:space="preserve"> </w:t>
      </w:r>
    </w:p>
    <w:p w14:paraId="2860DB9C" w14:textId="77777777" w:rsidR="007D54F9" w:rsidRPr="00E44F3E" w:rsidRDefault="007D54F9" w:rsidP="007D54F9">
      <w:pPr>
        <w:spacing w:after="120"/>
      </w:pPr>
      <w:r w:rsidRPr="00E44F3E">
        <w:rPr>
          <w:noProof/>
        </w:rPr>
        <mc:AlternateContent>
          <mc:Choice Requires="wps">
            <w:drawing>
              <wp:inline distT="0" distB="0" distL="0" distR="0" wp14:anchorId="394CA0C7" wp14:editId="62B1935B">
                <wp:extent cx="4998085" cy="3416300"/>
                <wp:effectExtent l="19050" t="19050" r="12065" b="21590"/>
                <wp:docPr id="1169413304" name="Rectangle: Rounded Corners 1169413304"/>
                <wp:cNvGraphicFramePr/>
                <a:graphic xmlns:a="http://schemas.openxmlformats.org/drawingml/2006/main">
                  <a:graphicData uri="http://schemas.microsoft.com/office/word/2010/wordprocessingShape">
                    <wps:wsp>
                      <wps:cNvSpPr/>
                      <wps:spPr>
                        <a:xfrm>
                          <a:off x="0" y="0"/>
                          <a:ext cx="4998085" cy="3416300"/>
                        </a:xfrm>
                        <a:prstGeom prst="roundRect">
                          <a:avLst>
                            <a:gd name="adj" fmla="val 9798"/>
                          </a:avLst>
                        </a:prstGeom>
                        <a:solidFill>
                          <a:srgbClr val="C2D9BA"/>
                        </a:solidFill>
                        <a:ln w="38100">
                          <a:solidFill>
                            <a:srgbClr val="C2D9BA"/>
                          </a:solidFill>
                        </a:ln>
                      </wps:spPr>
                      <wps:style>
                        <a:lnRef idx="2">
                          <a:schemeClr val="accent6"/>
                        </a:lnRef>
                        <a:fillRef idx="1">
                          <a:schemeClr val="lt1"/>
                        </a:fillRef>
                        <a:effectRef idx="0">
                          <a:schemeClr val="accent6"/>
                        </a:effectRef>
                        <a:fontRef idx="minor">
                          <a:schemeClr val="dk1"/>
                        </a:fontRef>
                      </wps:style>
                      <wps:txbx>
                        <w:txbxContent>
                          <w:p w14:paraId="01559596" w14:textId="77777777" w:rsidR="007D54F9" w:rsidRDefault="007D54F9" w:rsidP="007D54F9">
                            <w:r w:rsidRPr="009D7789">
                              <w:t>This report highlight</w:t>
                            </w:r>
                            <w:r>
                              <w:t>s</w:t>
                            </w:r>
                            <w:r w:rsidRPr="009D7789">
                              <w:t xml:space="preserve"> a</w:t>
                            </w:r>
                            <w:r>
                              <w:t xml:space="preserve">reas where cancer medicines could be used more effectively to deliver quality, timely </w:t>
                            </w:r>
                            <w:r w:rsidRPr="009D7789">
                              <w:t>cancer care</w:t>
                            </w:r>
                            <w:r>
                              <w:t>.</w:t>
                            </w:r>
                          </w:p>
                          <w:p w14:paraId="4B584873" w14:textId="77777777" w:rsidR="007D54F9" w:rsidRDefault="007D54F9" w:rsidP="007D54F9"/>
                          <w:p w14:paraId="14E03D05" w14:textId="62108852" w:rsidR="007D54F9" w:rsidRPr="002235F1" w:rsidRDefault="007D54F9" w:rsidP="007D54F9">
                            <w:r>
                              <w:t>Cancer m</w:t>
                            </w:r>
                            <w:r w:rsidRPr="002235F1">
                              <w:t xml:space="preserve">edicines are an important part of </w:t>
                            </w:r>
                            <w:r>
                              <w:t xml:space="preserve">providing quality </w:t>
                            </w:r>
                            <w:r w:rsidRPr="002235F1">
                              <w:t>cancer care</w:t>
                            </w:r>
                            <w:r>
                              <w:t>, yet they do not exist in isolation</w:t>
                            </w:r>
                            <w:r w:rsidRPr="002235F1">
                              <w:t>.</w:t>
                            </w:r>
                            <w:r>
                              <w:t xml:space="preserve"> T</w:t>
                            </w:r>
                            <w:r w:rsidRPr="002235F1">
                              <w:t xml:space="preserve">he </w:t>
                            </w:r>
                            <w:r>
                              <w:t xml:space="preserve">full </w:t>
                            </w:r>
                            <w:r w:rsidRPr="002235F1">
                              <w:t>health benefit</w:t>
                            </w:r>
                            <w:r>
                              <w:t xml:space="preserve">s </w:t>
                            </w:r>
                            <w:r w:rsidRPr="002235F1">
                              <w:t xml:space="preserve">of </w:t>
                            </w:r>
                            <w:r>
                              <w:t xml:space="preserve">cancer </w:t>
                            </w:r>
                            <w:r w:rsidRPr="002235F1">
                              <w:t xml:space="preserve">medicines can only be realised if all </w:t>
                            </w:r>
                            <w:r>
                              <w:t xml:space="preserve">parts </w:t>
                            </w:r>
                            <w:r w:rsidRPr="002235F1">
                              <w:t xml:space="preserve">of the cancer care continuum are </w:t>
                            </w:r>
                            <w:r>
                              <w:t xml:space="preserve">working </w:t>
                            </w:r>
                            <w:r w:rsidRPr="002235F1">
                              <w:t>well and equitably. This includes ensuring people can access funded medicines</w:t>
                            </w:r>
                            <w:r>
                              <w:t xml:space="preserve"> and other treatments</w:t>
                            </w:r>
                            <w:r w:rsidRPr="002235F1">
                              <w:t xml:space="preserve"> in a timely </w:t>
                            </w:r>
                            <w:r>
                              <w:t>way (i</w:t>
                            </w:r>
                            <w:r w:rsidRPr="002235F1">
                              <w:t>deally through early diagnosis</w:t>
                            </w:r>
                            <w:r>
                              <w:t>)</w:t>
                            </w:r>
                            <w:r w:rsidRPr="002235F1">
                              <w:t xml:space="preserve"> </w:t>
                            </w:r>
                            <w:r>
                              <w:t>and close to home. This relies on having a resourced workforce, and services acro</w:t>
                            </w:r>
                            <w:r w:rsidRPr="002235F1">
                              <w:t xml:space="preserve">ss the </w:t>
                            </w:r>
                            <w:r>
                              <w:t>whole cancer system, i</w:t>
                            </w:r>
                            <w:r w:rsidRPr="002235F1">
                              <w:t xml:space="preserve">ncluding </w:t>
                            </w:r>
                            <w:r>
                              <w:t xml:space="preserve">nurses, clinicians, </w:t>
                            </w:r>
                            <w:r w:rsidRPr="002235F1">
                              <w:t xml:space="preserve">haematologists, pathologists, </w:t>
                            </w:r>
                            <w:proofErr w:type="gramStart"/>
                            <w:r w:rsidRPr="002235F1">
                              <w:t>labs</w:t>
                            </w:r>
                            <w:proofErr w:type="gramEnd"/>
                            <w:r w:rsidRPr="002235F1">
                              <w:t xml:space="preserve"> and imaging. </w:t>
                            </w:r>
                          </w:p>
                          <w:p w14:paraId="7991B491" w14:textId="77777777" w:rsidR="007D54F9" w:rsidRPr="002235F1" w:rsidRDefault="007D54F9" w:rsidP="007D54F9"/>
                          <w:p w14:paraId="6503AFE1" w14:textId="7E39F0AE" w:rsidR="007D54F9" w:rsidRPr="00021EB7" w:rsidRDefault="007D54F9" w:rsidP="007D54F9">
                            <w:r w:rsidRPr="002235F1">
                              <w:t xml:space="preserve">Te Aho o Te Kahu remains committed to </w:t>
                            </w:r>
                            <w:r>
                              <w:t xml:space="preserve">our </w:t>
                            </w:r>
                            <w:r w:rsidRPr="002235F1">
                              <w:t>vision of fewer cancers, better survival</w:t>
                            </w:r>
                            <w:r>
                              <w:t>,</w:t>
                            </w:r>
                            <w:r w:rsidRPr="002235F1">
                              <w:t xml:space="preserve"> and equity for all</w:t>
                            </w:r>
                            <w:r>
                              <w:t xml:space="preserve">, </w:t>
                            </w:r>
                            <w:r w:rsidRPr="002235F1">
                              <w:t xml:space="preserve">supported by a reliable, </w:t>
                            </w:r>
                            <w:proofErr w:type="gramStart"/>
                            <w:r w:rsidRPr="002235F1">
                              <w:t>modern</w:t>
                            </w:r>
                            <w:proofErr w:type="gramEnd"/>
                            <w:r w:rsidRPr="002235F1">
                              <w:t xml:space="preserve"> and consistent health</w:t>
                            </w:r>
                            <w:r w:rsidR="00E44F3E">
                              <w:t xml:space="preserve"> </w:t>
                            </w:r>
                            <w:r w:rsidRPr="002235F1">
                              <w:t xml:space="preserve">care system. </w:t>
                            </w:r>
                            <w:r>
                              <w:t xml:space="preserve">We </w:t>
                            </w:r>
                            <w:r w:rsidRPr="002235F1">
                              <w:t>will continue work</w:t>
                            </w:r>
                            <w:r>
                              <w:t>ing</w:t>
                            </w:r>
                            <w:r w:rsidRPr="002235F1">
                              <w:t xml:space="preserve"> with our </w:t>
                            </w:r>
                            <w:r>
                              <w:t>s</w:t>
                            </w:r>
                            <w:r w:rsidRPr="002235F1">
                              <w:t xml:space="preserve">ector partners to </w:t>
                            </w:r>
                            <w:r>
                              <w:t xml:space="preserve">continually </w:t>
                            </w:r>
                            <w:r w:rsidRPr="002235F1">
                              <w:t xml:space="preserve">strengthen the cancer </w:t>
                            </w:r>
                            <w:proofErr w:type="gramStart"/>
                            <w:r>
                              <w:t xml:space="preserve">system </w:t>
                            </w:r>
                            <w:r w:rsidRPr="002235F1">
                              <w:t>as a whole, including</w:t>
                            </w:r>
                            <w:proofErr w:type="gramEnd"/>
                            <w:r w:rsidRPr="002235F1">
                              <w:t xml:space="preserve"> medicines. </w:t>
                            </w:r>
                          </w:p>
                        </w:txbxContent>
                      </wps:txbx>
                      <wps:bodyPr wrap="square" rtlCol="0" anchor="ctr">
                        <a:spAutoFit/>
                      </wps:bodyPr>
                    </wps:wsp>
                  </a:graphicData>
                </a:graphic>
              </wp:inline>
            </w:drawing>
          </mc:Choice>
          <mc:Fallback>
            <w:pict>
              <v:roundrect w14:anchorId="394CA0C7" id="Rectangle: Rounded Corners 1169413304" o:spid="_x0000_s1042" style="width:393.55pt;height:269pt;visibility:visible;mso-wrap-style:square;mso-left-percent:-10001;mso-top-percent:-10001;mso-position-horizontal:absolute;mso-position-horizontal-relative:char;mso-position-vertical:absolute;mso-position-vertical-relative:line;mso-left-percent:-10001;mso-top-percent:-10001;v-text-anchor:middle" arcsize="6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" fillcolor="#c2d9ba" strokecolor="#c2d9ba" strokeweight="3pt">
                <v:textbox style="mso-fit-shape-to-text:t">
                  <w:txbxContent>
                    <w:p w14:paraId="01559596" w14:textId="77777777" w:rsidR="007D54F9" w:rsidRDefault="007D54F9" w:rsidP="007D54F9">
                      <w:r w:rsidRPr="009D7789">
                        <w:t>This report highlight</w:t>
                      </w:r>
                      <w:r>
                        <w:t>s</w:t>
                      </w:r>
                      <w:r w:rsidRPr="009D7789">
                        <w:t xml:space="preserve"> a</w:t>
                      </w:r>
                      <w:r>
                        <w:t xml:space="preserve">reas where cancer medicines could be used more effectively to deliver quality, timely </w:t>
                      </w:r>
                      <w:r w:rsidRPr="009D7789">
                        <w:t>cancer care</w:t>
                      </w:r>
                      <w:r>
                        <w:t>.</w:t>
                      </w:r>
                    </w:p>
                    <w:p w14:paraId="4B584873" w14:textId="77777777" w:rsidR="007D54F9" w:rsidRDefault="007D54F9" w:rsidP="007D54F9"/>
                    <w:p w14:paraId="14E03D05" w14:textId="62108852" w:rsidR="007D54F9" w:rsidRPr="002235F1" w:rsidRDefault="007D54F9" w:rsidP="007D54F9">
                      <w:r>
                        <w:t>Cancer m</w:t>
                      </w:r>
                      <w:r w:rsidRPr="002235F1">
                        <w:t xml:space="preserve">edicines are an important part of </w:t>
                      </w:r>
                      <w:r>
                        <w:t xml:space="preserve">providing quality </w:t>
                      </w:r>
                      <w:r w:rsidRPr="002235F1">
                        <w:t>cancer care</w:t>
                      </w:r>
                      <w:r>
                        <w:t>, yet they do not exist in isolation</w:t>
                      </w:r>
                      <w:r w:rsidRPr="002235F1">
                        <w:t>.</w:t>
                      </w:r>
                      <w:r>
                        <w:t xml:space="preserve"> T</w:t>
                      </w:r>
                      <w:r w:rsidRPr="002235F1">
                        <w:t xml:space="preserve">he </w:t>
                      </w:r>
                      <w:r>
                        <w:t xml:space="preserve">full </w:t>
                      </w:r>
                      <w:r w:rsidRPr="002235F1">
                        <w:t>health benefit</w:t>
                      </w:r>
                      <w:r>
                        <w:t xml:space="preserve">s </w:t>
                      </w:r>
                      <w:r w:rsidRPr="002235F1">
                        <w:t xml:space="preserve">of </w:t>
                      </w:r>
                      <w:r>
                        <w:t xml:space="preserve">cancer </w:t>
                      </w:r>
                      <w:r w:rsidRPr="002235F1">
                        <w:t xml:space="preserve">medicines can only be realised if all </w:t>
                      </w:r>
                      <w:r>
                        <w:t xml:space="preserve">parts </w:t>
                      </w:r>
                      <w:r w:rsidRPr="002235F1">
                        <w:t xml:space="preserve">of the cancer care continuum are </w:t>
                      </w:r>
                      <w:r>
                        <w:t xml:space="preserve">working </w:t>
                      </w:r>
                      <w:r w:rsidRPr="002235F1">
                        <w:t>well and equitably. This includes ensuring people can access funded medicines</w:t>
                      </w:r>
                      <w:r>
                        <w:t xml:space="preserve"> and other treatments</w:t>
                      </w:r>
                      <w:r w:rsidRPr="002235F1">
                        <w:t xml:space="preserve"> in a timely </w:t>
                      </w:r>
                      <w:r>
                        <w:t>way (i</w:t>
                      </w:r>
                      <w:r w:rsidRPr="002235F1">
                        <w:t>deally through early diagnosis</w:t>
                      </w:r>
                      <w:r>
                        <w:t>)</w:t>
                      </w:r>
                      <w:r w:rsidRPr="002235F1">
                        <w:t xml:space="preserve"> </w:t>
                      </w:r>
                      <w:r>
                        <w:t>and close to home. This relies on having a resourced workforce, and services acro</w:t>
                      </w:r>
                      <w:r w:rsidRPr="002235F1">
                        <w:t xml:space="preserve">ss the </w:t>
                      </w:r>
                      <w:r>
                        <w:t>whole cancer system, i</w:t>
                      </w:r>
                      <w:r w:rsidRPr="002235F1">
                        <w:t xml:space="preserve">ncluding </w:t>
                      </w:r>
                      <w:r>
                        <w:t xml:space="preserve">nurses, clinicians, </w:t>
                      </w:r>
                      <w:r w:rsidRPr="002235F1">
                        <w:t xml:space="preserve">haematologists, pathologists, labs and imaging. </w:t>
                      </w:r>
                    </w:p>
                    <w:p w14:paraId="7991B491" w14:textId="77777777" w:rsidR="007D54F9" w:rsidRPr="002235F1" w:rsidRDefault="007D54F9" w:rsidP="007D54F9"/>
                    <w:p w14:paraId="6503AFE1" w14:textId="7E39F0AE" w:rsidR="007D54F9" w:rsidRPr="00021EB7" w:rsidRDefault="007D54F9" w:rsidP="007D54F9">
                      <w:r w:rsidRPr="002235F1">
                        <w:t xml:space="preserve">Te Aho o Te Kahu remains committed to </w:t>
                      </w:r>
                      <w:r>
                        <w:t xml:space="preserve">our </w:t>
                      </w:r>
                      <w:r w:rsidRPr="002235F1">
                        <w:t>vision of fewer cancers, better survival</w:t>
                      </w:r>
                      <w:r>
                        <w:t>,</w:t>
                      </w:r>
                      <w:r w:rsidRPr="002235F1">
                        <w:t xml:space="preserve"> and equity for all</w:t>
                      </w:r>
                      <w:r>
                        <w:t xml:space="preserve">, </w:t>
                      </w:r>
                      <w:r w:rsidRPr="002235F1">
                        <w:t>supported by a reliable, modern and consistent health</w:t>
                      </w:r>
                      <w:r w:rsidR="00E44F3E">
                        <w:t xml:space="preserve"> </w:t>
                      </w:r>
                      <w:r w:rsidRPr="002235F1">
                        <w:t xml:space="preserve">care system. </w:t>
                      </w:r>
                      <w:r>
                        <w:t xml:space="preserve">We </w:t>
                      </w:r>
                      <w:r w:rsidRPr="002235F1">
                        <w:t>will continue work</w:t>
                      </w:r>
                      <w:r>
                        <w:t>ing</w:t>
                      </w:r>
                      <w:r w:rsidRPr="002235F1">
                        <w:t xml:space="preserve"> with our </w:t>
                      </w:r>
                      <w:r>
                        <w:t>s</w:t>
                      </w:r>
                      <w:r w:rsidRPr="002235F1">
                        <w:t xml:space="preserve">ector partners to </w:t>
                      </w:r>
                      <w:r>
                        <w:t xml:space="preserve">continually </w:t>
                      </w:r>
                      <w:r w:rsidRPr="002235F1">
                        <w:t xml:space="preserve">strengthen the cancer </w:t>
                      </w:r>
                      <w:r>
                        <w:t xml:space="preserve">system </w:t>
                      </w:r>
                      <w:r w:rsidRPr="002235F1">
                        <w:t xml:space="preserve">as a whole, including medicines. </w:t>
                      </w:r>
                    </w:p>
                  </w:txbxContent>
                </v:textbox>
                <w10:anchorlock/>
              </v:roundrect>
            </w:pict>
          </mc:Fallback>
        </mc:AlternateContent>
      </w:r>
    </w:p>
    <w:p w14:paraId="4B840830" w14:textId="77777777" w:rsidR="00852C5D" w:rsidRPr="00E44F3E" w:rsidRDefault="00852C5D" w:rsidP="00260ACB">
      <w:pPr>
        <w:spacing w:after="120"/>
      </w:pPr>
    </w:p>
    <w:p w14:paraId="233AE544" w14:textId="77777777" w:rsidR="00F16595" w:rsidRPr="00E44F3E" w:rsidRDefault="00F16595" w:rsidP="00260ACB">
      <w:pPr>
        <w:spacing w:after="120"/>
      </w:pPr>
    </w:p>
    <w:p w14:paraId="257A34A7" w14:textId="77777777" w:rsidR="001D3E4E" w:rsidRPr="00E44F3E" w:rsidRDefault="001D3E4E" w:rsidP="003A5FEA">
      <w:pPr>
        <w:sectPr w:rsidR="001D3E4E" w:rsidRPr="00E44F3E" w:rsidSect="002950CD">
          <w:headerReference w:type="even" r:id="rId41"/>
          <w:headerReference w:type="default" r:id="rId42"/>
          <w:footerReference w:type="even" r:id="rId43"/>
          <w:footerReference w:type="default" r:id="rId44"/>
          <w:headerReference w:type="first" r:id="rId45"/>
          <w:pgSz w:w="11907" w:h="16840" w:code="9"/>
          <w:pgMar w:top="1418" w:right="1701" w:bottom="1418" w:left="1843" w:header="284" w:footer="425" w:gutter="284"/>
          <w:pgNumType w:fmt="lowerRoman"/>
          <w:cols w:space="720"/>
        </w:sectPr>
      </w:pPr>
    </w:p>
    <w:p w14:paraId="60F666BC" w14:textId="630BAA8E" w:rsidR="009A2970" w:rsidRPr="00E44F3E" w:rsidRDefault="009A2970" w:rsidP="009A2970">
      <w:pPr>
        <w:pStyle w:val="Heading1"/>
        <w:rPr>
          <w:color w:val="0AB58F"/>
        </w:rPr>
      </w:pPr>
      <w:bookmarkStart w:id="7" w:name="_Toc180062092"/>
      <w:r w:rsidRPr="00E44F3E">
        <w:lastRenderedPageBreak/>
        <w:t xml:space="preserve">KŌRERO O MUA </w:t>
      </w:r>
      <w:r w:rsidRPr="00E44F3E">
        <w:rPr>
          <w:color w:val="FFFFFF" w:themeColor="background1"/>
        </w:rPr>
        <w:t>|</w:t>
      </w:r>
      <w:r w:rsidRPr="00E44F3E">
        <w:br/>
      </w:r>
      <w:r w:rsidRPr="00E44F3E">
        <w:rPr>
          <w:color w:val="0AB58F"/>
        </w:rPr>
        <w:t>BACKGROUND</w:t>
      </w:r>
      <w:bookmarkEnd w:id="7"/>
    </w:p>
    <w:p w14:paraId="24119927" w14:textId="77777777" w:rsidR="001B1FFA" w:rsidRPr="00E44F3E" w:rsidRDefault="001B1FFA" w:rsidP="001B1FFA">
      <w:pPr>
        <w:pStyle w:val="Heading2"/>
      </w:pPr>
      <w:bookmarkStart w:id="8" w:name="_Toc180062093"/>
      <w:r w:rsidRPr="00E44F3E">
        <w:t>Cancer medicine availability</w:t>
      </w:r>
      <w:bookmarkEnd w:id="8"/>
    </w:p>
    <w:p w14:paraId="2C85DADC" w14:textId="7820B06C" w:rsidR="001B1FFA" w:rsidRPr="00E44F3E" w:rsidRDefault="001B1FFA" w:rsidP="001B1FFA">
      <w:r w:rsidRPr="00E44F3E">
        <w:t xml:space="preserve">We know that timely access to cancer medicines is a central part of cancer treatment for many New Zealanders. We also know that the public funding of medicines, including cancer medicines, is complex due to the considerable number of medicines available, the increasing cost of medicines and limited budgets. Although these factors are not unique to our country, it is generally established that </w:t>
      </w:r>
      <w:r w:rsidR="00E1600F">
        <w:t xml:space="preserve">Aotearoa </w:t>
      </w:r>
      <w:r w:rsidR="00A76B5B">
        <w:t>New </w:t>
      </w:r>
      <w:r w:rsidR="00E1600F">
        <w:t>Zealand</w:t>
      </w:r>
      <w:r w:rsidRPr="00E44F3E">
        <w:t xml:space="preserve"> has access to fewer cancer medicines than countries we like to compare ourselves to</w:t>
      </w:r>
      <w:r w:rsidR="002867A7">
        <w:t>,</w:t>
      </w:r>
      <w:r w:rsidRPr="00E44F3E">
        <w:t xml:space="preserve"> including Australia, the United Kingdom and Canada. </w:t>
      </w:r>
    </w:p>
    <w:p w14:paraId="1C1467E8" w14:textId="77777777" w:rsidR="001B1FFA" w:rsidRPr="00E44F3E" w:rsidRDefault="001B1FFA" w:rsidP="001B1FFA"/>
    <w:p w14:paraId="31F0E344" w14:textId="32D77D0E" w:rsidR="001B1FFA" w:rsidRPr="00E44F3E" w:rsidRDefault="001B1FFA" w:rsidP="001B1FFA">
      <w:r w:rsidRPr="00E44F3E">
        <w:t xml:space="preserve">In 2022 Te Aho o Te Kahu published </w:t>
      </w:r>
      <w:r w:rsidR="006C4DC0" w:rsidRPr="00E82F59">
        <w:rPr>
          <w:i/>
          <w:iCs/>
        </w:rPr>
        <w:t xml:space="preserve">Mārama ana ki </w:t>
      </w:r>
      <w:proofErr w:type="spellStart"/>
      <w:r w:rsidR="006C4DC0" w:rsidRPr="00E82F59">
        <w:rPr>
          <w:i/>
          <w:iCs/>
        </w:rPr>
        <w:t>te</w:t>
      </w:r>
      <w:proofErr w:type="spellEnd"/>
      <w:r w:rsidR="006C4DC0" w:rsidRPr="00E82F59">
        <w:rPr>
          <w:i/>
          <w:iCs/>
        </w:rPr>
        <w:t xml:space="preserve"> Āputa: he tātari </w:t>
      </w:r>
      <w:proofErr w:type="spellStart"/>
      <w:r w:rsidR="006C4DC0" w:rsidRPr="00E82F59">
        <w:rPr>
          <w:i/>
          <w:iCs/>
        </w:rPr>
        <w:t>i</w:t>
      </w:r>
      <w:proofErr w:type="spellEnd"/>
      <w:r w:rsidR="006C4DC0" w:rsidRPr="00E82F59">
        <w:rPr>
          <w:i/>
          <w:iCs/>
        </w:rPr>
        <w:t xml:space="preserve"> </w:t>
      </w:r>
      <w:proofErr w:type="spellStart"/>
      <w:r w:rsidR="006C4DC0" w:rsidRPr="00E82F59">
        <w:rPr>
          <w:i/>
          <w:iCs/>
        </w:rPr>
        <w:t>te</w:t>
      </w:r>
      <w:proofErr w:type="spellEnd"/>
      <w:r w:rsidR="006C4DC0" w:rsidRPr="00E82F59">
        <w:rPr>
          <w:i/>
          <w:iCs/>
        </w:rPr>
        <w:t xml:space="preserve"> wāteatanga o </w:t>
      </w:r>
      <w:proofErr w:type="spellStart"/>
      <w:r w:rsidR="006C4DC0" w:rsidRPr="00E82F59">
        <w:rPr>
          <w:i/>
          <w:iCs/>
        </w:rPr>
        <w:t>ngā</w:t>
      </w:r>
      <w:proofErr w:type="spellEnd"/>
      <w:r w:rsidR="006C4DC0" w:rsidRPr="00E82F59">
        <w:rPr>
          <w:i/>
          <w:iCs/>
        </w:rPr>
        <w:t xml:space="preserve"> rongoā mate </w:t>
      </w:r>
      <w:proofErr w:type="spellStart"/>
      <w:r w:rsidR="006C4DC0" w:rsidRPr="00E82F59">
        <w:rPr>
          <w:i/>
          <w:iCs/>
        </w:rPr>
        <w:t>pukupuku</w:t>
      </w:r>
      <w:proofErr w:type="spellEnd"/>
      <w:r w:rsidR="006C4DC0" w:rsidRPr="00E82F59">
        <w:rPr>
          <w:i/>
          <w:iCs/>
        </w:rPr>
        <w:t xml:space="preserve"> </w:t>
      </w:r>
      <w:proofErr w:type="spellStart"/>
      <w:r w:rsidR="006C4DC0" w:rsidRPr="00E82F59">
        <w:rPr>
          <w:i/>
          <w:iCs/>
        </w:rPr>
        <w:t>i</w:t>
      </w:r>
      <w:proofErr w:type="spellEnd"/>
      <w:r w:rsidR="006C4DC0" w:rsidRPr="00E82F59">
        <w:rPr>
          <w:i/>
          <w:iCs/>
        </w:rPr>
        <w:t xml:space="preserve"> Aotearoa | Understanding the Gap: an analysis of the availability of cancer medicines in Aotearoa</w:t>
      </w:r>
      <w:r w:rsidR="006C4DC0">
        <w:rPr>
          <w:rStyle w:val="Hyperlink"/>
          <w:b w:val="0"/>
          <w:bCs/>
          <w:i/>
          <w:iCs/>
          <w:color w:val="auto"/>
        </w:rPr>
        <w:t xml:space="preserve"> </w:t>
      </w:r>
      <w:r w:rsidR="006C4DC0" w:rsidRPr="00E82F59">
        <w:t>(</w:t>
      </w:r>
      <w:r w:rsidR="00C9556D" w:rsidRPr="00C9556D">
        <w:t xml:space="preserve">Te Aho o Te </w:t>
      </w:r>
      <w:r w:rsidR="00C9556D" w:rsidRPr="008E0E0B">
        <w:t xml:space="preserve">Kahu 2022; </w:t>
      </w:r>
      <w:r w:rsidR="004B6DEB" w:rsidRPr="008E0E0B">
        <w:t>hereafter</w:t>
      </w:r>
      <w:r w:rsidR="004B6DEB" w:rsidRPr="004B6DEB">
        <w:t xml:space="preserve"> referred to as</w:t>
      </w:r>
      <w:r w:rsidR="004B6DEB" w:rsidRPr="004B6DEB">
        <w:rPr>
          <w:rStyle w:val="Hyperlink"/>
          <w:b w:val="0"/>
          <w:color w:val="auto"/>
        </w:rPr>
        <w:t xml:space="preserve"> </w:t>
      </w:r>
      <w:r w:rsidR="002906A9">
        <w:rPr>
          <w:rStyle w:val="Hyperlink"/>
          <w:b w:val="0"/>
          <w:bCs/>
          <w:i/>
          <w:iCs/>
          <w:color w:val="auto"/>
        </w:rPr>
        <w:t>‘</w:t>
      </w:r>
      <w:r w:rsidRPr="00E44F3E">
        <w:t xml:space="preserve">the 2022 </w:t>
      </w:r>
      <w:r w:rsidR="00E93F27">
        <w:t>r</w:t>
      </w:r>
      <w:r w:rsidRPr="00E44F3E">
        <w:t>eport</w:t>
      </w:r>
      <w:r w:rsidR="002906A9">
        <w:t>’</w:t>
      </w:r>
      <w:r w:rsidRPr="00E44F3E">
        <w:t xml:space="preserve">). The 2022 </w:t>
      </w:r>
      <w:r w:rsidR="00C0098A">
        <w:t>report described</w:t>
      </w:r>
      <w:r w:rsidR="00C0098A" w:rsidRPr="00E44F3E">
        <w:t xml:space="preserve"> </w:t>
      </w:r>
      <w:r w:rsidRPr="00E44F3E">
        <w:t xml:space="preserve">the medicine gaps between Australia and </w:t>
      </w:r>
      <w:r w:rsidR="00E1600F">
        <w:t xml:space="preserve">Aotearoa </w:t>
      </w:r>
      <w:r w:rsidR="00A76B5B">
        <w:t>New </w:t>
      </w:r>
      <w:r w:rsidR="00E1600F">
        <w:t>Zealand</w:t>
      </w:r>
      <w:r w:rsidRPr="00E44F3E">
        <w:t xml:space="preserve"> for solid tumour and blood cancer medicines. </w:t>
      </w:r>
      <w:bookmarkStart w:id="9" w:name="_Hlk177728778"/>
      <w:r w:rsidRPr="00E44F3E">
        <w:t xml:space="preserve">However, the report was only able to describe the magnitude of clinical benefit for solid tumour medicines funded in Australia but not in </w:t>
      </w:r>
      <w:r w:rsidR="00E1600F">
        <w:t xml:space="preserve">Aotearoa </w:t>
      </w:r>
      <w:r w:rsidR="00A76B5B">
        <w:t>New </w:t>
      </w:r>
      <w:r w:rsidR="00E1600F">
        <w:t>Zealand</w:t>
      </w:r>
      <w:r w:rsidRPr="00E44F3E">
        <w:t xml:space="preserve">. The magnitude </w:t>
      </w:r>
      <w:r w:rsidR="00FD3AF6">
        <w:t>of</w:t>
      </w:r>
      <w:r w:rsidR="00FD3AF6" w:rsidRPr="00E44F3E">
        <w:t xml:space="preserve"> </w:t>
      </w:r>
      <w:r w:rsidRPr="00E44F3E">
        <w:t xml:space="preserve">clinical benefit for identified gaps was not able to be presented for blood cancer medicines because the assessment tool </w:t>
      </w:r>
      <w:r w:rsidR="00FD3AF6">
        <w:t xml:space="preserve">– the </w:t>
      </w:r>
      <w:r w:rsidR="00FD3AF6" w:rsidRPr="00FD3AF6">
        <w:t xml:space="preserve">European Society for Medical Oncology </w:t>
      </w:r>
      <w:r w:rsidR="002A2CEF">
        <w:t xml:space="preserve">– </w:t>
      </w:r>
      <w:r w:rsidR="00FD3AF6" w:rsidRPr="00FD3AF6">
        <w:t xml:space="preserve">Magnitude of Clinical Benefit Scale </w:t>
      </w:r>
      <w:r w:rsidRPr="00E44F3E">
        <w:t xml:space="preserve">(ESMO-MCBS) </w:t>
      </w:r>
      <w:r w:rsidR="00FD3AF6">
        <w:t xml:space="preserve">– </w:t>
      </w:r>
      <w:r w:rsidRPr="00E44F3E">
        <w:t>was not validated for use</w:t>
      </w:r>
      <w:r w:rsidR="000E2A68" w:rsidRPr="000E2A68">
        <w:t xml:space="preserve"> </w:t>
      </w:r>
      <w:r w:rsidR="000E2A68">
        <w:t xml:space="preserve">with </w:t>
      </w:r>
      <w:r w:rsidR="000E2A68" w:rsidRPr="00E44F3E">
        <w:t>blood cancer</w:t>
      </w:r>
      <w:r w:rsidR="000E2A68">
        <w:t xml:space="preserve"> medicines</w:t>
      </w:r>
      <w:r w:rsidRPr="00E44F3E">
        <w:t xml:space="preserve">. In mid-2023, a validated ESMO-MCBS was released specifically for the assessment of clinical benefit </w:t>
      </w:r>
      <w:r w:rsidR="003F39CD">
        <w:t xml:space="preserve">of </w:t>
      </w:r>
      <w:r w:rsidRPr="00E44F3E">
        <w:t>blood cancer medicines. Therefore</w:t>
      </w:r>
      <w:bookmarkEnd w:id="9"/>
      <w:r w:rsidRPr="00E44F3E">
        <w:t xml:space="preserve">, this analysis and report is a follow-on from the 2022 </w:t>
      </w:r>
      <w:r w:rsidR="00E93F27">
        <w:t>r</w:t>
      </w:r>
      <w:r w:rsidRPr="00E44F3E">
        <w:t xml:space="preserve">eport that aims to complete the understanding of medicines availability by re-assessing the gaps in publicly funded blood cancer medicines between Australia and </w:t>
      </w:r>
      <w:r w:rsidR="00E1600F">
        <w:t xml:space="preserve">Aotearoa </w:t>
      </w:r>
      <w:r w:rsidR="00A76B5B">
        <w:t>New </w:t>
      </w:r>
      <w:r w:rsidR="00E1600F">
        <w:t>Zealand</w:t>
      </w:r>
      <w:r w:rsidRPr="00E44F3E">
        <w:t xml:space="preserve"> and determine the likely magnitude of clinical benefit if the identified gaps were publicly funded in </w:t>
      </w:r>
      <w:r w:rsidR="00E1600F">
        <w:t xml:space="preserve">Aotearoa </w:t>
      </w:r>
      <w:r w:rsidR="00A76B5B">
        <w:t>New </w:t>
      </w:r>
      <w:r w:rsidR="00E1600F">
        <w:t>Zealand</w:t>
      </w:r>
      <w:r w:rsidRPr="00E44F3E">
        <w:t xml:space="preserve">. </w:t>
      </w:r>
    </w:p>
    <w:p w14:paraId="014B8285" w14:textId="77777777" w:rsidR="001B1FFA" w:rsidRPr="00E44F3E" w:rsidRDefault="001B1FFA" w:rsidP="001B1FFA"/>
    <w:p w14:paraId="48DAE17D" w14:textId="536C28DD" w:rsidR="001B1FFA" w:rsidRPr="00E44F3E" w:rsidRDefault="001B1FFA" w:rsidP="001B1FFA">
      <w:r w:rsidRPr="00E44F3E">
        <w:t xml:space="preserve">The 2022 </w:t>
      </w:r>
      <w:r w:rsidR="00E93F27">
        <w:t>r</w:t>
      </w:r>
      <w:r w:rsidRPr="00E44F3E">
        <w:t xml:space="preserve">eport found 72 individual cancer medicines </w:t>
      </w:r>
      <w:r w:rsidR="00D2171F" w:rsidRPr="00E44F3E">
        <w:t xml:space="preserve">that were </w:t>
      </w:r>
      <w:r w:rsidRPr="00E44F3E">
        <w:t xml:space="preserve">available in Australia but not in </w:t>
      </w:r>
      <w:r w:rsidR="00451144">
        <w:t xml:space="preserve">Aotearoa </w:t>
      </w:r>
      <w:r w:rsidR="00A76B5B">
        <w:t>New </w:t>
      </w:r>
      <w:r w:rsidR="00451144">
        <w:t>Zealand</w:t>
      </w:r>
      <w:r w:rsidRPr="00E44F3E">
        <w:t>.</w:t>
      </w:r>
      <w:r w:rsidR="00992972">
        <w:rPr>
          <w:rStyle w:val="FootnoteReference"/>
        </w:rPr>
        <w:footnoteReference w:id="2"/>
      </w:r>
      <w:r w:rsidRPr="00E44F3E">
        <w:t xml:space="preserve"> This included medicines that were available in </w:t>
      </w:r>
      <w:r w:rsidR="00451144">
        <w:t xml:space="preserve">Aotearoa </w:t>
      </w:r>
      <w:r w:rsidR="00A76B5B">
        <w:t>New </w:t>
      </w:r>
      <w:r w:rsidR="00451144">
        <w:t>Zealand</w:t>
      </w:r>
      <w:r w:rsidRPr="00E44F3E">
        <w:t xml:space="preserve"> but for the treatment of a different cancer than </w:t>
      </w:r>
      <w:r w:rsidR="009C4CD5">
        <w:t>they are</w:t>
      </w:r>
      <w:r w:rsidRPr="00E44F3E">
        <w:t xml:space="preserve"> used for in Australia. </w:t>
      </w:r>
      <w:r w:rsidR="009C4CD5">
        <w:t xml:space="preserve">The </w:t>
      </w:r>
      <w:r w:rsidRPr="00E44F3E">
        <w:t xml:space="preserve">72 individual medicines translated to 126 different treatment uses, called indications, 98 of which were for solid tumour cancers and 28 for blood cancers. This decreased to 88 regimens for solid tumour cancers and 26 for blood cancers when medicines used in combination were </w:t>
      </w:r>
      <w:proofErr w:type="gramStart"/>
      <w:r w:rsidRPr="00E44F3E">
        <w:t>taken into account</w:t>
      </w:r>
      <w:proofErr w:type="gramEnd"/>
      <w:r w:rsidRPr="00E44F3E">
        <w:t xml:space="preserve"> (that is</w:t>
      </w:r>
      <w:r w:rsidR="009C4CD5">
        <w:t>,</w:t>
      </w:r>
      <w:r w:rsidRPr="00E44F3E">
        <w:t xml:space="preserve"> when two or more medicines are used at the same time as part of one treatment). Three of the identified gaps were likely to be associated with substantial clinical benefit in a curative clinical setting</w:t>
      </w:r>
      <w:r w:rsidR="009C4CD5">
        <w:t>,</w:t>
      </w:r>
      <w:r w:rsidRPr="00E44F3E">
        <w:t xml:space="preserve"> and 17 additional gaps were likely to be associated with substantial clinical benefit in a non-curative setting. Since the publication of </w:t>
      </w:r>
      <w:r w:rsidR="00295928">
        <w:t xml:space="preserve">the 2022 </w:t>
      </w:r>
      <w:r w:rsidR="00E93F27">
        <w:t>r</w:t>
      </w:r>
      <w:r w:rsidR="00295928">
        <w:t>eport</w:t>
      </w:r>
      <w:r w:rsidRPr="00E44F3E">
        <w:t xml:space="preserve">, five of the identified 20 have been funded by Pharmac and are publicly available in </w:t>
      </w:r>
      <w:r w:rsidR="00451144">
        <w:t xml:space="preserve">Aotearoa </w:t>
      </w:r>
      <w:r w:rsidR="00A76B5B">
        <w:t>New </w:t>
      </w:r>
      <w:r w:rsidR="00451144">
        <w:t>Zealand</w:t>
      </w:r>
      <w:r w:rsidRPr="00E44F3E">
        <w:t xml:space="preserve">. </w:t>
      </w:r>
    </w:p>
    <w:p w14:paraId="10094298" w14:textId="49B11BCE" w:rsidR="001B1FFA" w:rsidRPr="00E44F3E" w:rsidRDefault="001B1FFA" w:rsidP="001B1FFA">
      <w:pPr>
        <w:pStyle w:val="Heading2"/>
      </w:pPr>
      <w:bookmarkStart w:id="10" w:name="_Toc175228989"/>
      <w:bookmarkStart w:id="11" w:name="_Toc180062094"/>
      <w:r w:rsidRPr="00E44F3E">
        <w:lastRenderedPageBreak/>
        <w:t>Cancer has a significant impact on the health and wellbeing of New</w:t>
      </w:r>
      <w:r w:rsidR="00A76B5B">
        <w:t> </w:t>
      </w:r>
      <w:r w:rsidRPr="00E44F3E">
        <w:t>Zealanders</w:t>
      </w:r>
      <w:bookmarkEnd w:id="10"/>
      <w:bookmarkEnd w:id="11"/>
      <w:r w:rsidRPr="00E44F3E">
        <w:t xml:space="preserve"> </w:t>
      </w:r>
    </w:p>
    <w:p w14:paraId="4E4C796A" w14:textId="3849DB3A" w:rsidR="001B1FFA" w:rsidRPr="00E44F3E" w:rsidRDefault="001B1FFA" w:rsidP="001B1FFA">
      <w:r w:rsidRPr="00E44F3E">
        <w:t xml:space="preserve">Cancer is the leading cause of death in Aotearoa New Zealand, and a major contributor to health loss (Te Aho o Te Kahu 2021). </w:t>
      </w:r>
      <w:r w:rsidR="00D83E90">
        <w:t>Each year, a</w:t>
      </w:r>
      <w:r w:rsidRPr="00E44F3E">
        <w:t xml:space="preserve">pproximately 27,000 people are diagnosed with cancer and around 9,000 people die of cancer in </w:t>
      </w:r>
      <w:r w:rsidR="00451144">
        <w:t xml:space="preserve">Aotearoa </w:t>
      </w:r>
      <w:r w:rsidR="00A76B5B">
        <w:t>New </w:t>
      </w:r>
      <w:r w:rsidR="00451144">
        <w:t>Zealand</w:t>
      </w:r>
      <w:r w:rsidRPr="00E44F3E">
        <w:t xml:space="preserve">. </w:t>
      </w:r>
      <w:proofErr w:type="gramStart"/>
      <w:r w:rsidRPr="00E44F3E">
        <w:t>The majority of</w:t>
      </w:r>
      <w:proofErr w:type="gramEnd"/>
      <w:r w:rsidRPr="00E44F3E">
        <w:t xml:space="preserve"> people diagnosed with cancer have a solid tumour, with the most common solid tumour cancers being breast, lung, prostate and colorectal. However, around 10% of cancer diagnos</w:t>
      </w:r>
      <w:r w:rsidR="005F79B2">
        <w:t>e</w:t>
      </w:r>
      <w:r w:rsidRPr="00E44F3E">
        <w:t xml:space="preserve">s and deaths in </w:t>
      </w:r>
      <w:r w:rsidR="00451144">
        <w:t xml:space="preserve">Aotearoa </w:t>
      </w:r>
      <w:r w:rsidR="00A76B5B">
        <w:t>New </w:t>
      </w:r>
      <w:r w:rsidR="00451144">
        <w:t>Zealand</w:t>
      </w:r>
      <w:r w:rsidRPr="00E44F3E">
        <w:t xml:space="preserve"> are due to blood cancers, most commonly non-Hodgkin’s lymphoma, acute </w:t>
      </w:r>
      <w:proofErr w:type="spellStart"/>
      <w:r w:rsidRPr="00E44F3E">
        <w:t>leukaemias</w:t>
      </w:r>
      <w:proofErr w:type="spellEnd"/>
      <w:r w:rsidRPr="00E44F3E">
        <w:t xml:space="preserve"> and multiple myeloma.</w:t>
      </w:r>
    </w:p>
    <w:p w14:paraId="66DABA30" w14:textId="77777777" w:rsidR="001B1FFA" w:rsidRPr="00E44F3E" w:rsidRDefault="001B1FFA" w:rsidP="001B1FFA"/>
    <w:p w14:paraId="7025A5BE" w14:textId="17C96EE9" w:rsidR="001B1FFA" w:rsidRPr="00E44F3E" w:rsidRDefault="001B1FFA" w:rsidP="001B1FFA">
      <w:r w:rsidRPr="00E44F3E">
        <w:t>Cancer does not impact everyone equally. The burden of cancer disproportionally impacts Māori</w:t>
      </w:r>
      <w:r w:rsidR="00AD5DF3">
        <w:t>,</w:t>
      </w:r>
      <w:r w:rsidRPr="00E44F3E">
        <w:t xml:space="preserve"> who are more likely to be diagnosed with cancer, get cancer at a younger age, to be diagnosed with more severe disease</w:t>
      </w:r>
      <w:r w:rsidR="00856D4B">
        <w:t>,</w:t>
      </w:r>
      <w:r w:rsidRPr="00E44F3E">
        <w:t xml:space="preserve"> and have poorer survival than non-Māori (</w:t>
      </w:r>
      <w:r w:rsidR="0028335E" w:rsidRPr="0028335E">
        <w:t>Gurney, Robson et al 2020</w:t>
      </w:r>
      <w:r w:rsidR="0028335E">
        <w:t xml:space="preserve">; </w:t>
      </w:r>
      <w:r w:rsidR="0028335E" w:rsidRPr="00E44F3E">
        <w:t>Gurney</w:t>
      </w:r>
      <w:r w:rsidR="0028335E">
        <w:t>,</w:t>
      </w:r>
      <w:r w:rsidR="0028335E" w:rsidRPr="0028335E">
        <w:t xml:space="preserve"> Stanley</w:t>
      </w:r>
      <w:r w:rsidR="0028335E" w:rsidRPr="00E44F3E">
        <w:t xml:space="preserve"> et al 2020; </w:t>
      </w:r>
      <w:r w:rsidRPr="00E44F3E">
        <w:t>Te Aho o Te Kahu 2021). Other inequities in cancer are evident</w:t>
      </w:r>
      <w:r w:rsidR="0028335E">
        <w:t>,</w:t>
      </w:r>
      <w:r w:rsidRPr="00E44F3E">
        <w:t xml:space="preserve"> with high rates of cancer incidence and cancer death being experienced by Pacific peoples, disabled people and those living in the most deprived areas of </w:t>
      </w:r>
      <w:r w:rsidR="00451144">
        <w:t xml:space="preserve">Aotearoa </w:t>
      </w:r>
      <w:r w:rsidR="00A76B5B">
        <w:t>New </w:t>
      </w:r>
      <w:r w:rsidR="00451144">
        <w:t>Zealand</w:t>
      </w:r>
      <w:r w:rsidRPr="00E44F3E">
        <w:t xml:space="preserve"> (Te Aho o Te Kahu 2021). These inequities in cancer are unjust and unfair and are the result of many factors</w:t>
      </w:r>
      <w:r w:rsidR="004B12DD">
        <w:t xml:space="preserve">, including </w:t>
      </w:r>
      <w:r w:rsidRPr="00E44F3E">
        <w:t xml:space="preserve">differential access to the social determinants of health; differential exposure to cancer risk factors; poorer access to cancer screening and diagnostic services; and the accessibility, </w:t>
      </w:r>
      <w:proofErr w:type="gramStart"/>
      <w:r w:rsidRPr="00E44F3E">
        <w:t>timeliness</w:t>
      </w:r>
      <w:proofErr w:type="gramEnd"/>
      <w:r w:rsidRPr="00E44F3E">
        <w:t xml:space="preserve"> and cultural safety of subsequent care (Te Aho o Te Kahu 2021</w:t>
      </w:r>
      <w:r w:rsidR="00371666">
        <w:t>;</w:t>
      </w:r>
      <w:r w:rsidR="00371666" w:rsidRPr="00371666">
        <w:t xml:space="preserve"> </w:t>
      </w:r>
      <w:proofErr w:type="spellStart"/>
      <w:r w:rsidR="00371666" w:rsidRPr="00371666">
        <w:t>Vaccarella</w:t>
      </w:r>
      <w:proofErr w:type="spellEnd"/>
      <w:r w:rsidR="00371666">
        <w:t xml:space="preserve"> et al 2019</w:t>
      </w:r>
      <w:r w:rsidRPr="00E44F3E">
        <w:t xml:space="preserve">). </w:t>
      </w:r>
    </w:p>
    <w:p w14:paraId="6F544FD9" w14:textId="77777777" w:rsidR="001B1FFA" w:rsidRPr="00E44F3E" w:rsidRDefault="001B1FFA" w:rsidP="001B1FFA"/>
    <w:p w14:paraId="10883258" w14:textId="15CB9345" w:rsidR="001B1FFA" w:rsidRPr="00E44F3E" w:rsidRDefault="001B1FFA" w:rsidP="001B1FFA">
      <w:r w:rsidRPr="00E44F3E">
        <w:t xml:space="preserve">When combined, blood cancers are the fourth </w:t>
      </w:r>
      <w:proofErr w:type="gramStart"/>
      <w:r w:rsidRPr="00E44F3E">
        <w:t>most commonly diagnosed</w:t>
      </w:r>
      <w:proofErr w:type="gramEnd"/>
      <w:r w:rsidRPr="00E44F3E">
        <w:t xml:space="preserve"> cancer for Māori, the sixth most commonly diagnosed for non-Māori and the third most common cause of cancer death for all New Zealanders. Around 1,000 New Zealanders die from a blood cancer each year (Te Aho o Te Kahu 2021).</w:t>
      </w:r>
      <w:r w:rsidR="00B1682D" w:rsidRPr="00E44F3E">
        <w:t xml:space="preserve"> </w:t>
      </w:r>
      <w:r w:rsidRPr="00E44F3E">
        <w:t>For blood cancers specifically, Māori have higher age-standardised rates of incidence and have lower survival rates</w:t>
      </w:r>
      <w:r w:rsidR="008A6D6C">
        <w:t xml:space="preserve"> </w:t>
      </w:r>
      <w:r w:rsidRPr="00E44F3E">
        <w:t>(</w:t>
      </w:r>
      <w:r w:rsidR="00454BD9" w:rsidRPr="00454BD9">
        <w:t>Gurney, Robson et al 2020; Gurney, Stanley et al 2020</w:t>
      </w:r>
      <w:r w:rsidRPr="00E44F3E">
        <w:t>).</w:t>
      </w:r>
    </w:p>
    <w:p w14:paraId="54000CD8" w14:textId="0AA50B1B" w:rsidR="001B1FFA" w:rsidRPr="00E44F3E" w:rsidRDefault="001B1FFA" w:rsidP="001B1FFA">
      <w:pPr>
        <w:pStyle w:val="Heading2"/>
      </w:pPr>
      <w:bookmarkStart w:id="12" w:name="_Toc175228990"/>
      <w:bookmarkStart w:id="13" w:name="_Toc180062095"/>
      <w:r w:rsidRPr="00E44F3E">
        <w:t>Cancer medicines are a critical part of cancer treatment and high</w:t>
      </w:r>
      <w:r w:rsidR="009A6784" w:rsidRPr="00E44F3E">
        <w:t>-</w:t>
      </w:r>
      <w:r w:rsidRPr="00E44F3E">
        <w:t>quality care</w:t>
      </w:r>
      <w:bookmarkEnd w:id="12"/>
      <w:bookmarkEnd w:id="13"/>
      <w:r w:rsidRPr="00E44F3E">
        <w:t xml:space="preserve"> </w:t>
      </w:r>
    </w:p>
    <w:p w14:paraId="20F9A11F" w14:textId="0A5F69A1" w:rsidR="001B1FFA" w:rsidRPr="00E44F3E" w:rsidRDefault="001B1FFA" w:rsidP="001B1FFA">
      <w:pPr>
        <w:rPr>
          <w:rFonts w:eastAsia="Calibri" w:cs="Arial"/>
        </w:rPr>
      </w:pPr>
      <w:r w:rsidRPr="00E44F3E">
        <w:rPr>
          <w:rFonts w:eastAsia="Calibri" w:cs="Arial"/>
        </w:rPr>
        <w:t>Access to appropriate and effective cancer medicines is central to providing high-quality cancer care and improving cancer outcomes. Whil</w:t>
      </w:r>
      <w:r w:rsidR="00182354">
        <w:rPr>
          <w:rFonts w:eastAsia="Calibri" w:cs="Arial"/>
        </w:rPr>
        <w:t>e</w:t>
      </w:r>
      <w:r w:rsidRPr="00E44F3E">
        <w:rPr>
          <w:rFonts w:eastAsia="Calibri" w:cs="Arial"/>
        </w:rPr>
        <w:t xml:space="preserve"> some people with blood cancer may </w:t>
      </w:r>
      <w:r w:rsidRPr="00E44F3E">
        <w:rPr>
          <w:rFonts w:eastAsia="Calibri"/>
        </w:rPr>
        <w:t>receive</w:t>
      </w:r>
      <w:r w:rsidRPr="00E44F3E">
        <w:rPr>
          <w:rFonts w:eastAsia="Calibri" w:cs="Arial"/>
        </w:rPr>
        <w:t xml:space="preserve"> radi</w:t>
      </w:r>
      <w:r w:rsidR="00514150">
        <w:rPr>
          <w:rFonts w:eastAsia="Calibri" w:cs="Arial"/>
        </w:rPr>
        <w:t xml:space="preserve">ation </w:t>
      </w:r>
      <w:r w:rsidRPr="00E44F3E">
        <w:rPr>
          <w:rFonts w:eastAsia="Calibri" w:cs="Arial"/>
        </w:rPr>
        <w:t>therapy, and some may need surgery, these other treatment modalities play a much more critical role in the treatment of solid tumours. Access to medicines is critically important in the treatment of blood cancers.</w:t>
      </w:r>
    </w:p>
    <w:p w14:paraId="23A6F642" w14:textId="77777777" w:rsidR="001B1FFA" w:rsidRPr="00E44F3E" w:rsidRDefault="001B1FFA" w:rsidP="001B1FFA">
      <w:pPr>
        <w:rPr>
          <w:rFonts w:eastAsia="Calibri" w:cs="Arial"/>
        </w:rPr>
      </w:pPr>
    </w:p>
    <w:p w14:paraId="57420D34" w14:textId="2C5CE421" w:rsidR="001B1FFA" w:rsidRPr="00E44F3E" w:rsidRDefault="001B1FFA" w:rsidP="001B1FFA">
      <w:pPr>
        <w:rPr>
          <w:rFonts w:eastAsia="Calibri" w:cs="Arial"/>
        </w:rPr>
      </w:pPr>
      <w:r w:rsidRPr="00E44F3E">
        <w:rPr>
          <w:rFonts w:eastAsia="Calibri" w:cs="Arial"/>
        </w:rPr>
        <w:t xml:space="preserve">Cancer medicines are most often </w:t>
      </w:r>
      <w:r w:rsidR="00842940">
        <w:rPr>
          <w:rFonts w:eastAsia="Calibri" w:cs="Arial"/>
        </w:rPr>
        <w:t>administered</w:t>
      </w:r>
      <w:r w:rsidR="00842940" w:rsidRPr="00E44F3E">
        <w:rPr>
          <w:rFonts w:eastAsia="Calibri" w:cs="Arial"/>
        </w:rPr>
        <w:t xml:space="preserve"> </w:t>
      </w:r>
      <w:r w:rsidRPr="00E44F3E">
        <w:rPr>
          <w:rFonts w:eastAsia="Calibri" w:cs="Arial"/>
        </w:rPr>
        <w:t xml:space="preserve">as a series of infusions in a hospital </w:t>
      </w:r>
      <w:r w:rsidRPr="00E44F3E">
        <w:rPr>
          <w:rFonts w:eastAsia="Calibri"/>
        </w:rPr>
        <w:t>setting</w:t>
      </w:r>
      <w:r w:rsidR="00842940">
        <w:rPr>
          <w:rFonts w:eastAsia="Calibri"/>
        </w:rPr>
        <w:t>,</w:t>
      </w:r>
      <w:r w:rsidRPr="00E44F3E">
        <w:rPr>
          <w:rFonts w:eastAsia="Calibri" w:cs="Arial"/>
        </w:rPr>
        <w:t xml:space="preserve"> but some medicines can be taken orally as tablets or capsules. Cancer medicines typically have a fixed treatment duration or are taken until the cancer </w:t>
      </w:r>
      <w:r w:rsidRPr="00E44F3E">
        <w:rPr>
          <w:rFonts w:eastAsia="Calibri" w:cs="Arial"/>
        </w:rPr>
        <w:lastRenderedPageBreak/>
        <w:t>progresses or unacceptable medicine toxicity occurs. Cancer medicines may be used with an aim of curing cancer, extending survival and/or improving quality of life. For many New Zealanders impacted by cancer</w:t>
      </w:r>
      <w:r w:rsidR="00C57365">
        <w:rPr>
          <w:rFonts w:eastAsia="Calibri" w:cs="Arial"/>
        </w:rPr>
        <w:t>,</w:t>
      </w:r>
      <w:r w:rsidRPr="00E44F3E">
        <w:rPr>
          <w:rFonts w:eastAsia="Calibri" w:cs="Arial"/>
        </w:rPr>
        <w:t xml:space="preserve"> and their whānau, even small improvements in longevity and quality of life can be important. </w:t>
      </w:r>
    </w:p>
    <w:p w14:paraId="7D92084A" w14:textId="77777777" w:rsidR="001B1FFA" w:rsidRPr="00E44F3E" w:rsidRDefault="001B1FFA" w:rsidP="001B1FFA">
      <w:pPr>
        <w:pStyle w:val="Heading2"/>
      </w:pPr>
      <w:bookmarkStart w:id="14" w:name="_Toc175228991"/>
      <w:bookmarkStart w:id="15" w:name="_Toc180062096"/>
      <w:r w:rsidRPr="00E44F3E">
        <w:t>Ensuring</w:t>
      </w:r>
      <w:bookmarkEnd w:id="14"/>
      <w:r w:rsidRPr="00E44F3E">
        <w:t xml:space="preserve"> cancer medicines are available and accessible when needed can be challenging</w:t>
      </w:r>
      <w:bookmarkEnd w:id="15"/>
    </w:p>
    <w:p w14:paraId="6654F724" w14:textId="77E8295A" w:rsidR="001B1FFA" w:rsidRPr="00E44F3E" w:rsidRDefault="001B1FFA" w:rsidP="001B1FFA">
      <w:pPr>
        <w:rPr>
          <w:rFonts w:eastAsia="Calibri"/>
        </w:rPr>
      </w:pPr>
      <w:r w:rsidRPr="00E44F3E">
        <w:rPr>
          <w:rFonts w:eastAsia="Calibri"/>
        </w:rPr>
        <w:t xml:space="preserve">People with cancer, their whānau, and health professionals </w:t>
      </w:r>
      <w:r w:rsidR="000D2BEC">
        <w:rPr>
          <w:rFonts w:eastAsia="Calibri"/>
        </w:rPr>
        <w:t>who</w:t>
      </w:r>
      <w:r w:rsidR="000D2BEC" w:rsidRPr="00E44F3E">
        <w:rPr>
          <w:rFonts w:eastAsia="Calibri"/>
        </w:rPr>
        <w:t xml:space="preserve"> </w:t>
      </w:r>
      <w:r w:rsidRPr="00E44F3E">
        <w:rPr>
          <w:rFonts w:eastAsia="Calibri"/>
        </w:rPr>
        <w:t>provide cancer care expect to have the medicines they need funded and available when they need them. Worldwide, countries are struggling to meet this expectation. The gap between medicines that are funded and medicines that are approved to treat a particular stage and type of cancer is an increasing issue globally. Medicine availability is an understandably emotive topic for people with cancer, their whānau, health professionals providing cancer care and advocacy groups.</w:t>
      </w:r>
      <w:r w:rsidR="00B1682D" w:rsidRPr="00E44F3E">
        <w:rPr>
          <w:rFonts w:eastAsia="Calibri"/>
        </w:rPr>
        <w:t xml:space="preserve"> </w:t>
      </w:r>
    </w:p>
    <w:p w14:paraId="649A0E72" w14:textId="77777777" w:rsidR="001B1FFA" w:rsidRPr="00E44F3E" w:rsidRDefault="001B1FFA" w:rsidP="001B1FFA">
      <w:pPr>
        <w:rPr>
          <w:rFonts w:eastAsia="Calibri"/>
        </w:rPr>
      </w:pPr>
    </w:p>
    <w:p w14:paraId="05291A9D" w14:textId="53759DCB" w:rsidR="001B1FFA" w:rsidRPr="00E44F3E" w:rsidRDefault="001B1FFA" w:rsidP="001B1FFA">
      <w:pPr>
        <w:rPr>
          <w:rFonts w:eastAsia="Calibri"/>
        </w:rPr>
      </w:pPr>
      <w:r w:rsidRPr="00E44F3E">
        <w:rPr>
          <w:rFonts w:eastAsia="Calibri"/>
        </w:rPr>
        <w:t xml:space="preserve">While optimising the availability of cancer medicines and their role in improving health outcomes for people with cancer is particularly important, medicine availability cannot be considered in isolation. Coordinated and prioritised action across the entire cancer care continuum is required to ensure outcomes for New Zealanders with cancer improve to the greatest extent possible. The wider cancer health system, </w:t>
      </w:r>
      <w:r w:rsidR="00EF33A2">
        <w:rPr>
          <w:rFonts w:eastAsia="Calibri"/>
        </w:rPr>
        <w:t xml:space="preserve">which </w:t>
      </w:r>
      <w:r w:rsidRPr="00E44F3E">
        <w:rPr>
          <w:rFonts w:eastAsia="Calibri"/>
        </w:rPr>
        <w:t>works to prevent cancer and provide access to diagnosis and treatment across the cancer continuum, must be functioning well.</w:t>
      </w:r>
    </w:p>
    <w:p w14:paraId="14EE9B6E" w14:textId="77777777" w:rsidR="001B1FFA" w:rsidRPr="00E44F3E" w:rsidRDefault="001B1FFA" w:rsidP="001B1FFA">
      <w:pPr>
        <w:rPr>
          <w:rFonts w:eastAsia="Calibri"/>
        </w:rPr>
      </w:pPr>
    </w:p>
    <w:p w14:paraId="20CD8CC0" w14:textId="0B9A83B9" w:rsidR="001B1FFA" w:rsidRPr="00E44F3E" w:rsidRDefault="001B1FFA" w:rsidP="001B1FFA">
      <w:pPr>
        <w:rPr>
          <w:rFonts w:eastAsia="Calibri"/>
        </w:rPr>
      </w:pPr>
      <w:r w:rsidRPr="00E44F3E">
        <w:rPr>
          <w:rFonts w:eastAsia="Calibri"/>
        </w:rPr>
        <w:t xml:space="preserve">There are many reasons why </w:t>
      </w:r>
      <w:r w:rsidR="00451144">
        <w:rPr>
          <w:rFonts w:eastAsia="Calibri"/>
        </w:rPr>
        <w:t xml:space="preserve">Aotearoa </w:t>
      </w:r>
      <w:r w:rsidR="00A76B5B">
        <w:rPr>
          <w:rFonts w:eastAsia="Calibri"/>
        </w:rPr>
        <w:t>New </w:t>
      </w:r>
      <w:r w:rsidR="00451144">
        <w:rPr>
          <w:rFonts w:eastAsia="Calibri"/>
        </w:rPr>
        <w:t>Zealand</w:t>
      </w:r>
      <w:r w:rsidRPr="00E44F3E">
        <w:rPr>
          <w:rFonts w:eastAsia="Calibri"/>
        </w:rPr>
        <w:t xml:space="preserve"> and other countries globally are struggling to ensure cancer medicine availability meets cancer need.</w:t>
      </w:r>
      <w:r w:rsidR="00046F14">
        <w:rPr>
          <w:rFonts w:eastAsia="Calibri"/>
        </w:rPr>
        <w:t xml:space="preserve"> Four reasons are described below.</w:t>
      </w:r>
      <w:r w:rsidRPr="00E44F3E">
        <w:rPr>
          <w:rFonts w:eastAsia="Calibri"/>
        </w:rPr>
        <w:t xml:space="preserve"> </w:t>
      </w:r>
    </w:p>
    <w:p w14:paraId="089D67A9" w14:textId="77777777" w:rsidR="001B1FFA" w:rsidRPr="00E44F3E" w:rsidRDefault="001B1FFA" w:rsidP="001B1FFA">
      <w:pPr>
        <w:rPr>
          <w:rFonts w:eastAsia="Calibri"/>
        </w:rPr>
      </w:pPr>
    </w:p>
    <w:p w14:paraId="199E83EE" w14:textId="0765CB56" w:rsidR="001B1FFA" w:rsidRPr="00E44F3E" w:rsidRDefault="00827659" w:rsidP="001B1FFA">
      <w:pPr>
        <w:pStyle w:val="Keystatementsorpulloutquotes"/>
        <w:rPr>
          <w:rFonts w:eastAsia="Calibri"/>
        </w:rPr>
      </w:pPr>
      <w:r>
        <w:rPr>
          <w:rFonts w:eastAsia="Calibri"/>
        </w:rPr>
        <w:t>C</w:t>
      </w:r>
      <w:r w:rsidRPr="00E44F3E">
        <w:rPr>
          <w:rFonts w:eastAsia="Calibri"/>
        </w:rPr>
        <w:t xml:space="preserve">ancer medicines </w:t>
      </w:r>
      <w:r>
        <w:rPr>
          <w:rFonts w:eastAsia="Calibri"/>
        </w:rPr>
        <w:t>are developing rapidly.</w:t>
      </w:r>
    </w:p>
    <w:p w14:paraId="71380A83" w14:textId="065F1C53" w:rsidR="001B1FFA" w:rsidRPr="00E44F3E" w:rsidRDefault="001B1FFA" w:rsidP="001B1FFA">
      <w:pPr>
        <w:pStyle w:val="ListParagraph"/>
        <w:ind w:left="0"/>
        <w:rPr>
          <w:rFonts w:eastAsia="Calibri"/>
        </w:rPr>
      </w:pPr>
      <w:r w:rsidRPr="00E44F3E">
        <w:rPr>
          <w:rFonts w:eastAsia="Calibri"/>
        </w:rPr>
        <w:t>The population is growing and people are living for longer, which means more people are developing cancer</w:t>
      </w:r>
      <w:r w:rsidR="00640C39">
        <w:rPr>
          <w:rFonts w:eastAsia="Calibri"/>
        </w:rPr>
        <w:t>,</w:t>
      </w:r>
      <w:r w:rsidRPr="00E44F3E">
        <w:rPr>
          <w:rFonts w:eastAsia="Calibri"/>
        </w:rPr>
        <w:t xml:space="preserve"> and the need for cancer treatments is increasing. Additionally, </w:t>
      </w:r>
      <w:proofErr w:type="gramStart"/>
      <w:r w:rsidRPr="00E44F3E">
        <w:rPr>
          <w:rFonts w:eastAsia="Calibri"/>
        </w:rPr>
        <w:t>scientific</w:t>
      </w:r>
      <w:proofErr w:type="gramEnd"/>
      <w:r w:rsidRPr="00E44F3E">
        <w:rPr>
          <w:rFonts w:eastAsia="Calibri"/>
        </w:rPr>
        <w:t xml:space="preserve"> and technological research and developments are occurring at pace, rapidly increasing our understanding of how cancer works and how cancer treatments could be developed to target specific cancers more effectively. As a result, more and more cancer medicines are being developed and becoming available, many with very specific clinical indications. Progress in cancer medicine development and improvements in cancer survival also mean that many more lines of therapy are required and available for patients than there have been historically.</w:t>
      </w:r>
      <w:r w:rsidRPr="00E44F3E">
        <w:t xml:space="preserve"> </w:t>
      </w:r>
    </w:p>
    <w:p w14:paraId="0DF8479E" w14:textId="77777777" w:rsidR="001B1FFA" w:rsidRPr="00E44F3E" w:rsidRDefault="001B1FFA" w:rsidP="00B27EE1">
      <w:pPr>
        <w:rPr>
          <w:rFonts w:eastAsia="Calibri"/>
        </w:rPr>
      </w:pPr>
    </w:p>
    <w:p w14:paraId="08E02DFA" w14:textId="77777777" w:rsidR="001B1FFA" w:rsidRPr="00E44F3E" w:rsidRDefault="001B1FFA" w:rsidP="00B27EE1">
      <w:pPr>
        <w:pStyle w:val="Keystatementsorpulloutquotes"/>
        <w:rPr>
          <w:rFonts w:eastAsia="Calibri"/>
        </w:rPr>
      </w:pPr>
      <w:r w:rsidRPr="00E44F3E">
        <w:rPr>
          <w:rFonts w:eastAsia="Calibri"/>
        </w:rPr>
        <w:t xml:space="preserve">Cancer medicine spend is increasing. </w:t>
      </w:r>
    </w:p>
    <w:p w14:paraId="1B507E6E" w14:textId="77777777" w:rsidR="001B1FFA" w:rsidRPr="00E44F3E" w:rsidRDefault="001B1FFA" w:rsidP="00B27EE1">
      <w:pPr>
        <w:rPr>
          <w:rFonts w:eastAsia="Calibri"/>
        </w:rPr>
      </w:pPr>
      <w:r w:rsidRPr="00E44F3E">
        <w:rPr>
          <w:rFonts w:eastAsia="Calibri"/>
        </w:rPr>
        <w:t xml:space="preserve">While the number of cancer medicines is growing, the cost of cancer medicines is also increasing. New cancer medicines are costly and increasingly unaffordable for health care systems and patients. </w:t>
      </w:r>
    </w:p>
    <w:p w14:paraId="7A0EF4AF" w14:textId="77777777" w:rsidR="001B1FFA" w:rsidRPr="00E44F3E" w:rsidRDefault="001B1FFA" w:rsidP="00B27EE1">
      <w:pPr>
        <w:rPr>
          <w:rFonts w:eastAsia="Calibri"/>
        </w:rPr>
      </w:pPr>
    </w:p>
    <w:p w14:paraId="2ACDDCA7" w14:textId="2AA06966" w:rsidR="001B1FFA" w:rsidRPr="00E44F3E" w:rsidRDefault="001B1FFA" w:rsidP="00B27EE1">
      <w:pPr>
        <w:rPr>
          <w:rFonts w:eastAsia="Calibri"/>
        </w:rPr>
      </w:pPr>
      <w:r w:rsidRPr="00E44F3E">
        <w:rPr>
          <w:rFonts w:eastAsia="Calibri"/>
        </w:rPr>
        <w:t>Cancer medicines are often more expensive than other medicines</w:t>
      </w:r>
      <w:r w:rsidR="003B249D">
        <w:rPr>
          <w:rFonts w:eastAsia="Calibri"/>
        </w:rPr>
        <w:t>,</w:t>
      </w:r>
      <w:r w:rsidRPr="00E44F3E">
        <w:rPr>
          <w:rFonts w:eastAsia="Calibri"/>
        </w:rPr>
        <w:t xml:space="preserve"> and they are also more rapidly increasing in price (Bach 2009; Savage </w:t>
      </w:r>
      <w:r w:rsidR="00EC1065" w:rsidRPr="00E44F3E">
        <w:rPr>
          <w:rFonts w:eastAsia="Calibri"/>
        </w:rPr>
        <w:t>et al</w:t>
      </w:r>
      <w:r w:rsidRPr="00E44F3E">
        <w:rPr>
          <w:rFonts w:eastAsia="Calibri"/>
        </w:rPr>
        <w:t xml:space="preserve"> 2017). There is growing concern that the cost of some medicines does not align with the health benefit those medicines </w:t>
      </w:r>
      <w:r w:rsidRPr="00E44F3E">
        <w:rPr>
          <w:rFonts w:eastAsia="Calibri"/>
        </w:rPr>
        <w:lastRenderedPageBreak/>
        <w:t xml:space="preserve">provide (Hwang </w:t>
      </w:r>
      <w:r w:rsidR="00EC1065" w:rsidRPr="00E44F3E">
        <w:rPr>
          <w:rFonts w:eastAsia="Calibri"/>
        </w:rPr>
        <w:t>et al</w:t>
      </w:r>
      <w:r w:rsidRPr="00E44F3E">
        <w:rPr>
          <w:rFonts w:eastAsia="Calibri"/>
        </w:rPr>
        <w:t xml:space="preserve"> 2022; </w:t>
      </w:r>
      <w:proofErr w:type="spellStart"/>
      <w:r w:rsidRPr="00E44F3E">
        <w:rPr>
          <w:rFonts w:eastAsia="Calibri"/>
        </w:rPr>
        <w:t>Vivot</w:t>
      </w:r>
      <w:proofErr w:type="spellEnd"/>
      <w:r w:rsidRPr="00E44F3E">
        <w:rPr>
          <w:rFonts w:eastAsia="Calibri"/>
        </w:rPr>
        <w:t xml:space="preserve"> </w:t>
      </w:r>
      <w:r w:rsidR="00EC1065" w:rsidRPr="00E44F3E">
        <w:rPr>
          <w:rFonts w:eastAsia="Calibri"/>
        </w:rPr>
        <w:t>et al</w:t>
      </w:r>
      <w:r w:rsidRPr="00E44F3E">
        <w:rPr>
          <w:rFonts w:eastAsia="Calibri"/>
        </w:rPr>
        <w:t xml:space="preserve"> 2017; </w:t>
      </w:r>
      <w:proofErr w:type="spellStart"/>
      <w:r w:rsidRPr="00E44F3E">
        <w:rPr>
          <w:rFonts w:eastAsia="Calibri"/>
        </w:rPr>
        <w:t>Vokinger</w:t>
      </w:r>
      <w:proofErr w:type="spellEnd"/>
      <w:r w:rsidRPr="00E44F3E">
        <w:rPr>
          <w:rFonts w:eastAsia="Calibri"/>
        </w:rPr>
        <w:t xml:space="preserve"> </w:t>
      </w:r>
      <w:r w:rsidR="00EC1065" w:rsidRPr="00E44F3E">
        <w:rPr>
          <w:rFonts w:eastAsia="Calibri"/>
        </w:rPr>
        <w:t>et al</w:t>
      </w:r>
      <w:r w:rsidRPr="00E44F3E">
        <w:rPr>
          <w:rFonts w:eastAsia="Calibri"/>
        </w:rPr>
        <w:t xml:space="preserve"> 2020). Pharmaceutical companies argue that the high prices reflect the high cost of developing effective medicines. Ultimately, this makes it difficult for countries to fund all available cancer medicines (World Health Organization 2018). The impact that cost has on medicine availability varies by </w:t>
      </w:r>
      <w:r w:rsidR="00335DB1" w:rsidRPr="00E44F3E">
        <w:rPr>
          <w:rFonts w:eastAsia="Calibri"/>
        </w:rPr>
        <w:t>countr</w:t>
      </w:r>
      <w:r w:rsidR="00335DB1">
        <w:rPr>
          <w:rFonts w:eastAsia="Calibri"/>
        </w:rPr>
        <w:t>y</w:t>
      </w:r>
      <w:r w:rsidR="00335DB1" w:rsidRPr="00E44F3E">
        <w:rPr>
          <w:rFonts w:eastAsia="Calibri"/>
        </w:rPr>
        <w:t xml:space="preserve"> </w:t>
      </w:r>
      <w:r w:rsidRPr="00E44F3E">
        <w:rPr>
          <w:rFonts w:eastAsia="Calibri"/>
        </w:rPr>
        <w:t xml:space="preserve">due to different funding pathways. For example, countries like the United States provide cancer medicines through insurance policies where some of the cost can be passed on to the insurer and onto patients, whereas there will be different medicine accessibility in countries like </w:t>
      </w:r>
      <w:r w:rsidR="00E6006E">
        <w:rPr>
          <w:rFonts w:eastAsia="Calibri"/>
        </w:rPr>
        <w:t>Aotearoa New </w:t>
      </w:r>
      <w:r w:rsidR="00451144">
        <w:rPr>
          <w:rFonts w:eastAsia="Calibri"/>
        </w:rPr>
        <w:t>Zealand</w:t>
      </w:r>
      <w:r w:rsidRPr="00E44F3E">
        <w:rPr>
          <w:rFonts w:eastAsia="Calibri"/>
        </w:rPr>
        <w:t xml:space="preserve"> and Australia </w:t>
      </w:r>
      <w:r w:rsidR="00C40AAE">
        <w:rPr>
          <w:rFonts w:eastAsia="Calibri"/>
        </w:rPr>
        <w:t xml:space="preserve">that </w:t>
      </w:r>
      <w:r w:rsidRPr="00E44F3E">
        <w:rPr>
          <w:rFonts w:eastAsia="Calibri"/>
        </w:rPr>
        <w:t xml:space="preserve">cover the full cost of medicines through a limited public health budget. </w:t>
      </w:r>
    </w:p>
    <w:p w14:paraId="3696CEE8" w14:textId="77777777" w:rsidR="001B1FFA" w:rsidRPr="00E44F3E" w:rsidRDefault="001B1FFA" w:rsidP="00E03E91">
      <w:pPr>
        <w:rPr>
          <w:rFonts w:eastAsia="Calibri"/>
        </w:rPr>
      </w:pPr>
    </w:p>
    <w:p w14:paraId="6F025571" w14:textId="77777777" w:rsidR="001B1FFA" w:rsidRPr="00E44F3E" w:rsidRDefault="001B1FFA" w:rsidP="00E03E91">
      <w:pPr>
        <w:pStyle w:val="Keystatementsorpulloutquotes"/>
        <w:rPr>
          <w:rFonts w:eastAsia="Calibri"/>
        </w:rPr>
      </w:pPr>
      <w:r w:rsidRPr="00E44F3E">
        <w:rPr>
          <w:rFonts w:eastAsia="Calibri"/>
        </w:rPr>
        <w:t xml:space="preserve">It is increasingly difficult to determine what the value-add of some new medicines will be. </w:t>
      </w:r>
    </w:p>
    <w:p w14:paraId="33147EA4" w14:textId="237967C1" w:rsidR="001B1FFA" w:rsidRPr="00E44F3E" w:rsidRDefault="001B1FFA" w:rsidP="001B1FFA">
      <w:pPr>
        <w:pStyle w:val="ListParagraph"/>
        <w:ind w:left="0"/>
        <w:rPr>
          <w:rFonts w:eastAsia="Calibri"/>
        </w:rPr>
      </w:pPr>
      <w:r w:rsidRPr="00E44F3E">
        <w:rPr>
          <w:rFonts w:eastAsia="Calibri"/>
        </w:rPr>
        <w:t>Evaluation of the benefit of a new cancer medicine is conducted through clinical trials. The most useful clinical trials aim to demonstrate a new cancer medicine has an increased duration of survival or improved quality of life compared to currently available treatments. Sometimes direct comparison trials are not possible and single</w:t>
      </w:r>
      <w:r w:rsidR="00E40CD1">
        <w:rPr>
          <w:rFonts w:eastAsia="Calibri"/>
        </w:rPr>
        <w:t>-</w:t>
      </w:r>
      <w:r w:rsidRPr="00E44F3E">
        <w:rPr>
          <w:rFonts w:eastAsia="Calibri"/>
        </w:rPr>
        <w:t>arm clinical trials are conducted, usually for rare cancers. Many clinical trials measure outcomes using surrogate markers</w:t>
      </w:r>
      <w:r w:rsidR="001C5043">
        <w:rPr>
          <w:rFonts w:eastAsia="Calibri"/>
        </w:rPr>
        <w:t xml:space="preserve"> –</w:t>
      </w:r>
      <w:r w:rsidRPr="00E44F3E">
        <w:rPr>
          <w:rFonts w:eastAsia="Calibri"/>
        </w:rPr>
        <w:t xml:space="preserve"> that is, markers intended to indicate that increased survival and/or improved quality of life will be achieved sometime in the future. In practice</w:t>
      </w:r>
      <w:r w:rsidR="001C5043">
        <w:rPr>
          <w:rFonts w:eastAsia="Calibri"/>
        </w:rPr>
        <w:t>,</w:t>
      </w:r>
      <w:r w:rsidRPr="00E44F3E">
        <w:rPr>
          <w:rFonts w:eastAsia="Calibri"/>
        </w:rPr>
        <w:t xml:space="preserve"> surrogate markers do not always correlate with improved clinical outcomes. </w:t>
      </w:r>
    </w:p>
    <w:p w14:paraId="344B1E5D" w14:textId="77777777" w:rsidR="001B1FFA" w:rsidRPr="00E44F3E" w:rsidRDefault="001B1FFA" w:rsidP="001B1FFA">
      <w:pPr>
        <w:pStyle w:val="ListParagraph"/>
        <w:ind w:left="0"/>
        <w:rPr>
          <w:rFonts w:eastAsia="Calibri"/>
        </w:rPr>
      </w:pPr>
    </w:p>
    <w:p w14:paraId="40D8A5E2" w14:textId="0DE18509" w:rsidR="001B1FFA" w:rsidRPr="00E44F3E" w:rsidRDefault="001B1FFA" w:rsidP="001B1FFA">
      <w:pPr>
        <w:pStyle w:val="ListParagraph"/>
        <w:ind w:left="0"/>
        <w:rPr>
          <w:rFonts w:eastAsia="Calibri"/>
        </w:rPr>
      </w:pPr>
      <w:r w:rsidRPr="00E44F3E">
        <w:rPr>
          <w:rFonts w:eastAsia="Calibri"/>
        </w:rPr>
        <w:t xml:space="preserve">Common examples of surrogate markers include progression-free survival (the length of time during and after treatment where the cancer is still present but does not get worse) </w:t>
      </w:r>
      <w:r w:rsidR="008A7626">
        <w:rPr>
          <w:rFonts w:eastAsia="Calibri"/>
        </w:rPr>
        <w:t>and</w:t>
      </w:r>
      <w:r w:rsidRPr="00E44F3E">
        <w:rPr>
          <w:rFonts w:eastAsia="Calibri"/>
        </w:rPr>
        <w:t xml:space="preserve"> disease-free survival (the length of time after treatment that a patient survives without signs or symptoms of cancer). While these measures demonstrate that medicines have an impact on the biological progression of cancer, they do not always translate into improved quality of life or overall survival. That is, although biologically the cancer might not be worsening, there may not </w:t>
      </w:r>
      <w:r w:rsidR="001C5043">
        <w:rPr>
          <w:rFonts w:eastAsia="Calibri"/>
        </w:rPr>
        <w:t xml:space="preserve">be </w:t>
      </w:r>
      <w:r w:rsidRPr="00E44F3E">
        <w:rPr>
          <w:rFonts w:eastAsia="Calibri"/>
        </w:rPr>
        <w:t>any change to how a person feels physically or how long they will live for.</w:t>
      </w:r>
      <w:r w:rsidR="00B1682D" w:rsidRPr="00E44F3E">
        <w:rPr>
          <w:rFonts w:eastAsia="Calibri"/>
        </w:rPr>
        <w:t xml:space="preserve"> </w:t>
      </w:r>
    </w:p>
    <w:p w14:paraId="5260AF9C" w14:textId="77777777" w:rsidR="001B1FFA" w:rsidRPr="00E44F3E" w:rsidRDefault="001B1FFA" w:rsidP="001B1FFA">
      <w:pPr>
        <w:pStyle w:val="ListParagraph"/>
        <w:ind w:left="0"/>
        <w:rPr>
          <w:rFonts w:eastAsia="Calibri"/>
        </w:rPr>
      </w:pPr>
    </w:p>
    <w:p w14:paraId="623DCBB6" w14:textId="536F6FAC" w:rsidR="001B1FFA" w:rsidRPr="00E44F3E" w:rsidRDefault="001B1FFA" w:rsidP="001B1FFA">
      <w:pPr>
        <w:pStyle w:val="ListParagraph"/>
        <w:ind w:left="0"/>
        <w:rPr>
          <w:rFonts w:eastAsia="Calibri"/>
        </w:rPr>
      </w:pPr>
      <w:r w:rsidRPr="00E44F3E">
        <w:rPr>
          <w:rFonts w:eastAsia="Calibri"/>
        </w:rPr>
        <w:t>Accelerated approval pathways for medicines, using early evidence based on surrogate markers</w:t>
      </w:r>
      <w:r w:rsidR="00534717">
        <w:rPr>
          <w:rFonts w:eastAsia="Calibri"/>
        </w:rPr>
        <w:t>,</w:t>
      </w:r>
      <w:r w:rsidRPr="00E44F3E">
        <w:rPr>
          <w:rFonts w:eastAsia="Calibri"/>
        </w:rPr>
        <w:t xml:space="preserve"> are increasingly used internationally</w:t>
      </w:r>
      <w:r w:rsidR="00534717">
        <w:rPr>
          <w:rFonts w:eastAsia="Calibri"/>
        </w:rPr>
        <w:t>,</w:t>
      </w:r>
      <w:r w:rsidRPr="00E44F3E">
        <w:rPr>
          <w:rFonts w:eastAsia="Calibri"/>
        </w:rPr>
        <w:t xml:space="preserve"> including by the Food and Drug Administration (FDA) in the United States and the European Medicines Agency (EMA). This can have a negative impact on the global understanding of medicine benefits, with minimal emphasis placed on assessment of whether surrogate markers translate into positive health outcomes (</w:t>
      </w:r>
      <w:proofErr w:type="spellStart"/>
      <w:r w:rsidRPr="00E44F3E">
        <w:rPr>
          <w:rFonts w:eastAsia="Calibri"/>
        </w:rPr>
        <w:t>Akhade</w:t>
      </w:r>
      <w:proofErr w:type="spellEnd"/>
      <w:r w:rsidRPr="00E44F3E">
        <w:rPr>
          <w:rFonts w:eastAsia="Calibri"/>
        </w:rPr>
        <w:t xml:space="preserve"> </w:t>
      </w:r>
      <w:r w:rsidR="00EC1065" w:rsidRPr="00E44F3E">
        <w:rPr>
          <w:rFonts w:eastAsia="Calibri"/>
        </w:rPr>
        <w:t>et al</w:t>
      </w:r>
      <w:r w:rsidRPr="00E44F3E">
        <w:rPr>
          <w:rFonts w:eastAsia="Calibri"/>
        </w:rPr>
        <w:t xml:space="preserve"> 2022). In the long term, accelerated medicine approval disincentivises investment in longer</w:t>
      </w:r>
      <w:r w:rsidR="00AA1A1F">
        <w:rPr>
          <w:rFonts w:eastAsia="Calibri"/>
        </w:rPr>
        <w:t>-</w:t>
      </w:r>
      <w:r w:rsidRPr="00E44F3E">
        <w:rPr>
          <w:rFonts w:eastAsia="Calibri"/>
        </w:rPr>
        <w:t xml:space="preserve">term trials that are more costly but necessary to demonstrate that a medicine </w:t>
      </w:r>
      <w:r w:rsidR="00A35990" w:rsidRPr="00E44F3E">
        <w:rPr>
          <w:rFonts w:eastAsia="Calibri"/>
        </w:rPr>
        <w:t>meaningful</w:t>
      </w:r>
      <w:r w:rsidR="00A35990">
        <w:rPr>
          <w:rFonts w:eastAsia="Calibri"/>
        </w:rPr>
        <w:t>ly</w:t>
      </w:r>
      <w:r w:rsidR="00A35990" w:rsidRPr="00E44F3E">
        <w:rPr>
          <w:rFonts w:eastAsia="Calibri"/>
        </w:rPr>
        <w:t xml:space="preserve"> </w:t>
      </w:r>
      <w:r w:rsidRPr="00E44F3E">
        <w:rPr>
          <w:rFonts w:eastAsia="Calibri"/>
        </w:rPr>
        <w:t>improves quality of life and/or survival outcomes (</w:t>
      </w:r>
      <w:proofErr w:type="spellStart"/>
      <w:r w:rsidRPr="00E44F3E">
        <w:rPr>
          <w:rFonts w:eastAsia="Calibri"/>
        </w:rPr>
        <w:t>Akhade</w:t>
      </w:r>
      <w:proofErr w:type="spellEnd"/>
      <w:r w:rsidRPr="00E44F3E">
        <w:rPr>
          <w:rFonts w:eastAsia="Calibri"/>
        </w:rPr>
        <w:t xml:space="preserve"> </w:t>
      </w:r>
      <w:r w:rsidR="00EC1065" w:rsidRPr="00E44F3E">
        <w:rPr>
          <w:rFonts w:eastAsia="Calibri"/>
        </w:rPr>
        <w:t>et al</w:t>
      </w:r>
      <w:r w:rsidRPr="00E44F3E">
        <w:rPr>
          <w:rFonts w:eastAsia="Calibri"/>
        </w:rPr>
        <w:t xml:space="preserve"> 2022). It is important to be able to consistently evaluate the quality of the literature and studies that have led to </w:t>
      </w:r>
      <w:r w:rsidR="00287E63">
        <w:rPr>
          <w:rFonts w:eastAsia="Calibri"/>
        </w:rPr>
        <w:t xml:space="preserve">the </w:t>
      </w:r>
      <w:r w:rsidRPr="00E44F3E">
        <w:rPr>
          <w:rFonts w:eastAsia="Calibri"/>
        </w:rPr>
        <w:t xml:space="preserve">approval of a new cancer treatment. It is for this reason the European Society </w:t>
      </w:r>
      <w:r w:rsidR="00783501">
        <w:rPr>
          <w:rFonts w:eastAsia="Calibri"/>
        </w:rPr>
        <w:t>for</w:t>
      </w:r>
      <w:r w:rsidRPr="00E44F3E">
        <w:rPr>
          <w:rFonts w:eastAsia="Calibri"/>
        </w:rPr>
        <w:t xml:space="preserve"> Medical Oncology </w:t>
      </w:r>
      <w:r w:rsidR="009E0EA0">
        <w:rPr>
          <w:rFonts w:eastAsia="Calibri"/>
        </w:rPr>
        <w:t xml:space="preserve">(ESMO) </w:t>
      </w:r>
      <w:r w:rsidRPr="00E44F3E">
        <w:rPr>
          <w:rFonts w:eastAsia="Calibri"/>
        </w:rPr>
        <w:t xml:space="preserve">developed </w:t>
      </w:r>
      <w:r w:rsidR="00783501">
        <w:rPr>
          <w:rFonts w:eastAsia="Calibri"/>
        </w:rPr>
        <w:t>t</w:t>
      </w:r>
      <w:r w:rsidRPr="00E44F3E">
        <w:rPr>
          <w:rFonts w:eastAsia="Calibri"/>
        </w:rPr>
        <w:t>he Magnitude of Clinical Benefit Scale</w:t>
      </w:r>
      <w:r w:rsidR="0058773A">
        <w:rPr>
          <w:rFonts w:eastAsia="Calibri"/>
        </w:rPr>
        <w:t xml:space="preserve"> (MCBS)</w:t>
      </w:r>
      <w:r w:rsidRPr="00E44F3E">
        <w:rPr>
          <w:rFonts w:eastAsia="Calibri"/>
        </w:rPr>
        <w:t xml:space="preserve">. </w:t>
      </w:r>
    </w:p>
    <w:p w14:paraId="2637B25B" w14:textId="77777777" w:rsidR="001B1FFA" w:rsidRPr="00E44F3E" w:rsidRDefault="001B1FFA" w:rsidP="001B1FFA">
      <w:pPr>
        <w:pStyle w:val="ListParagraph"/>
        <w:ind w:left="0"/>
        <w:rPr>
          <w:rFonts w:eastAsia="Calibri"/>
        </w:rPr>
      </w:pPr>
    </w:p>
    <w:p w14:paraId="41C2125E" w14:textId="77777777" w:rsidR="001B1FFA" w:rsidRPr="00E44F3E" w:rsidRDefault="001B1FFA" w:rsidP="00E03E91">
      <w:pPr>
        <w:pStyle w:val="Keystatementsorpulloutquotes"/>
        <w:rPr>
          <w:rFonts w:eastAsia="Calibri"/>
        </w:rPr>
      </w:pPr>
      <w:r w:rsidRPr="00E44F3E">
        <w:rPr>
          <w:rFonts w:eastAsia="Calibri"/>
        </w:rPr>
        <w:t xml:space="preserve">The benefit of medicines can only be realised if the health system is able to support the provision of high-quality care to all those in need of care. </w:t>
      </w:r>
    </w:p>
    <w:p w14:paraId="4A398F6B" w14:textId="7A7C3D6C" w:rsidR="001B1FFA" w:rsidRPr="00E44F3E" w:rsidRDefault="001B1FFA" w:rsidP="00E03E91">
      <w:pPr>
        <w:rPr>
          <w:rFonts w:eastAsia="Calibri"/>
        </w:rPr>
      </w:pPr>
      <w:r w:rsidRPr="00E44F3E">
        <w:rPr>
          <w:rFonts w:eastAsia="Calibri"/>
        </w:rPr>
        <w:t>For funded cancer medicines to be effective</w:t>
      </w:r>
      <w:r w:rsidR="00A35990">
        <w:rPr>
          <w:rFonts w:eastAsia="Calibri"/>
        </w:rPr>
        <w:t>,</w:t>
      </w:r>
      <w:r w:rsidRPr="00E44F3E">
        <w:rPr>
          <w:rFonts w:eastAsia="Calibri"/>
        </w:rPr>
        <w:t xml:space="preserve"> the health system must ensure the medicines are truly accessible to people who need them. The health</w:t>
      </w:r>
      <w:r w:rsidR="00A35990">
        <w:rPr>
          <w:rFonts w:eastAsia="Calibri"/>
        </w:rPr>
        <w:t xml:space="preserve"> </w:t>
      </w:r>
      <w:r w:rsidRPr="00E44F3E">
        <w:rPr>
          <w:rFonts w:eastAsia="Calibri"/>
        </w:rPr>
        <w:t xml:space="preserve">care system must have capacity to provide all the care associated with the treatment regime. This includes sufficient health workforce (including nurses, haematologists, oncologists, pharmacists, laboratory and imaging specialists, allied health services, </w:t>
      </w:r>
      <w:r w:rsidR="001C4AF3">
        <w:rPr>
          <w:rFonts w:eastAsia="Calibri"/>
        </w:rPr>
        <w:t xml:space="preserve">and </w:t>
      </w:r>
      <w:r w:rsidRPr="00E44F3E">
        <w:rPr>
          <w:rFonts w:eastAsia="Calibri"/>
        </w:rPr>
        <w:t xml:space="preserve">administrators), </w:t>
      </w:r>
      <w:r w:rsidRPr="00E44F3E">
        <w:rPr>
          <w:rFonts w:eastAsia="Calibri"/>
        </w:rPr>
        <w:lastRenderedPageBreak/>
        <w:t xml:space="preserve">appropriate infrastructure (such as infusion sites, laboratories, pharmacies, radiology services </w:t>
      </w:r>
      <w:r w:rsidR="001C4AF3">
        <w:rPr>
          <w:rFonts w:eastAsia="Calibri"/>
        </w:rPr>
        <w:t xml:space="preserve">and </w:t>
      </w:r>
      <w:r w:rsidRPr="00E44F3E">
        <w:rPr>
          <w:rFonts w:eastAsia="Calibri"/>
        </w:rPr>
        <w:t xml:space="preserve">clinic rooms) and all other required services and equipment. For example, a patient receiving intravenous systemic anti-cancer therapy (chemotherapy) every 3 weeks for a blood cancer will require: </w:t>
      </w:r>
    </w:p>
    <w:p w14:paraId="1D3FD689" w14:textId="5B0D5CA5" w:rsidR="001B1FFA" w:rsidRPr="00E44F3E" w:rsidRDefault="001B1FFA" w:rsidP="00D172EE">
      <w:pPr>
        <w:pStyle w:val="Bullet"/>
        <w:rPr>
          <w:rFonts w:eastAsia="Calibri"/>
        </w:rPr>
      </w:pPr>
      <w:r w:rsidRPr="00E44F3E">
        <w:rPr>
          <w:rFonts w:eastAsia="Calibri"/>
        </w:rPr>
        <w:t>multiple interactions with their haematologist</w:t>
      </w:r>
      <w:r w:rsidR="001C4AF3">
        <w:rPr>
          <w:rFonts w:eastAsia="Calibri"/>
        </w:rPr>
        <w:t>,</w:t>
      </w:r>
      <w:r w:rsidRPr="00E44F3E">
        <w:rPr>
          <w:rFonts w:eastAsia="Calibri"/>
        </w:rPr>
        <w:t xml:space="preserve"> who will decide what medicine they need and will monitor the ongoing effects of treatment on the patient and their cancer</w:t>
      </w:r>
    </w:p>
    <w:p w14:paraId="3516175E" w14:textId="62D3BB68" w:rsidR="001B1FFA" w:rsidRPr="00E44F3E" w:rsidRDefault="001B1FFA" w:rsidP="00D172EE">
      <w:pPr>
        <w:pStyle w:val="Bullet"/>
        <w:rPr>
          <w:rFonts w:eastAsia="Calibri"/>
        </w:rPr>
      </w:pPr>
      <w:r w:rsidRPr="00E44F3E">
        <w:rPr>
          <w:rFonts w:eastAsia="Calibri"/>
        </w:rPr>
        <w:t>a pharmacist to check and make up the individual medicine doses each time the patient has an infusion</w:t>
      </w:r>
    </w:p>
    <w:p w14:paraId="2B8B4392" w14:textId="719D8725" w:rsidR="001B1FFA" w:rsidRPr="00E44F3E" w:rsidRDefault="001B1FFA" w:rsidP="00D172EE">
      <w:pPr>
        <w:pStyle w:val="Bullet"/>
        <w:rPr>
          <w:rFonts w:eastAsia="Calibri"/>
        </w:rPr>
      </w:pPr>
      <w:r w:rsidRPr="00E44F3E">
        <w:rPr>
          <w:rFonts w:eastAsia="Calibri"/>
        </w:rPr>
        <w:t xml:space="preserve">multiple blood tests and imaging tests to determine how the patient’s cancer, and body generally, is responding to cancer treatment </w:t>
      </w:r>
      <w:r w:rsidR="00C07131">
        <w:rPr>
          <w:rFonts w:eastAsia="Calibri"/>
        </w:rPr>
        <w:t>– t</w:t>
      </w:r>
      <w:r w:rsidRPr="00E44F3E">
        <w:rPr>
          <w:rFonts w:eastAsia="Calibri"/>
        </w:rPr>
        <w:t xml:space="preserve">hese tests need to be completed, reviewed, </w:t>
      </w:r>
      <w:proofErr w:type="gramStart"/>
      <w:r w:rsidRPr="00E44F3E">
        <w:rPr>
          <w:rFonts w:eastAsia="Calibri"/>
        </w:rPr>
        <w:t>interpreted</w:t>
      </w:r>
      <w:proofErr w:type="gramEnd"/>
      <w:r w:rsidRPr="00E44F3E">
        <w:rPr>
          <w:rFonts w:eastAsia="Calibri"/>
        </w:rPr>
        <w:t xml:space="preserve"> and communicated across a range of health professionals</w:t>
      </w:r>
    </w:p>
    <w:p w14:paraId="18AC0A63" w14:textId="6745E3E0" w:rsidR="001B1FFA" w:rsidRPr="00E44F3E" w:rsidRDefault="001B1FFA" w:rsidP="00D172EE">
      <w:pPr>
        <w:pStyle w:val="Bullet"/>
        <w:rPr>
          <w:rFonts w:eastAsia="Calibri"/>
        </w:rPr>
      </w:pPr>
      <w:r w:rsidRPr="00E44F3E">
        <w:rPr>
          <w:rFonts w:eastAsia="Calibri"/>
        </w:rPr>
        <w:t>an administrator to schedule the patient’s infusion appointments and follow-up clinical appointments</w:t>
      </w:r>
    </w:p>
    <w:p w14:paraId="1B174358" w14:textId="09640B1A" w:rsidR="001B1FFA" w:rsidRPr="00E44F3E" w:rsidRDefault="001B1FFA" w:rsidP="00D172EE">
      <w:pPr>
        <w:pStyle w:val="Bullet"/>
        <w:rPr>
          <w:rFonts w:eastAsia="Calibri"/>
        </w:rPr>
      </w:pPr>
      <w:r w:rsidRPr="00E44F3E">
        <w:rPr>
          <w:rFonts w:eastAsia="Calibri"/>
        </w:rPr>
        <w:t xml:space="preserve">multiple interactions with nursing staff who are likely to administer the infusions and monitor the patient during the treatment </w:t>
      </w:r>
    </w:p>
    <w:p w14:paraId="667F5677" w14:textId="78494A0E" w:rsidR="001B1FFA" w:rsidRPr="00E44F3E" w:rsidRDefault="001B1FFA" w:rsidP="00D172EE">
      <w:pPr>
        <w:pStyle w:val="Bullet"/>
        <w:rPr>
          <w:rFonts w:eastAsia="Calibri"/>
        </w:rPr>
      </w:pPr>
      <w:r w:rsidRPr="00E44F3E">
        <w:rPr>
          <w:rFonts w:eastAsia="Calibri"/>
        </w:rPr>
        <w:t>possible interactions with the patient’s</w:t>
      </w:r>
      <w:r w:rsidR="00DB2F14">
        <w:rPr>
          <w:rFonts w:eastAsia="Calibri"/>
        </w:rPr>
        <w:t xml:space="preserve"> General Pract</w:t>
      </w:r>
      <w:r w:rsidR="00916863">
        <w:rPr>
          <w:rFonts w:eastAsia="Calibri"/>
        </w:rPr>
        <w:t>itioner (</w:t>
      </w:r>
      <w:r w:rsidRPr="00E44F3E">
        <w:rPr>
          <w:rFonts w:eastAsia="Calibri"/>
        </w:rPr>
        <w:t>GP</w:t>
      </w:r>
      <w:r w:rsidR="00916863">
        <w:rPr>
          <w:rFonts w:eastAsia="Calibri"/>
        </w:rPr>
        <w:t>)</w:t>
      </w:r>
      <w:r w:rsidRPr="00E44F3E">
        <w:rPr>
          <w:rFonts w:eastAsia="Calibri"/>
        </w:rPr>
        <w:t>or emergency department staff if adverse events or side effects occur</w:t>
      </w:r>
    </w:p>
    <w:p w14:paraId="3E2508B8" w14:textId="3710AB79" w:rsidR="001B1FFA" w:rsidRPr="00E44F3E" w:rsidRDefault="001C4AF3" w:rsidP="00D172EE">
      <w:pPr>
        <w:pStyle w:val="Bullet"/>
        <w:rPr>
          <w:rFonts w:eastAsia="Calibri"/>
        </w:rPr>
      </w:pPr>
      <w:r>
        <w:rPr>
          <w:rFonts w:eastAsia="Calibri"/>
        </w:rPr>
        <w:t>s</w:t>
      </w:r>
      <w:r w:rsidR="001B1FFA" w:rsidRPr="00E44F3E">
        <w:rPr>
          <w:rFonts w:eastAsia="Calibri"/>
        </w:rPr>
        <w:t>upport from allied health services and psychosocial services</w:t>
      </w:r>
    </w:p>
    <w:p w14:paraId="2DCC4D7E" w14:textId="0E559DEF" w:rsidR="001B1FFA" w:rsidRPr="00E44F3E" w:rsidRDefault="001C4AF3" w:rsidP="00D172EE">
      <w:pPr>
        <w:pStyle w:val="Bullet"/>
        <w:rPr>
          <w:rFonts w:eastAsia="Calibri"/>
        </w:rPr>
      </w:pPr>
      <w:r>
        <w:rPr>
          <w:rFonts w:eastAsia="Calibri"/>
        </w:rPr>
        <w:t>o</w:t>
      </w:r>
      <w:r w:rsidR="001B1FFA" w:rsidRPr="00E44F3E">
        <w:rPr>
          <w:rFonts w:eastAsia="Calibri"/>
        </w:rPr>
        <w:t>n occasions, liaising with the blood bank</w:t>
      </w:r>
      <w:r w:rsidR="00437C30">
        <w:rPr>
          <w:rFonts w:eastAsia="Calibri"/>
        </w:rPr>
        <w:t>,</w:t>
      </w:r>
      <w:r w:rsidR="001B1FFA" w:rsidRPr="00E44F3E">
        <w:rPr>
          <w:rFonts w:eastAsia="Calibri"/>
        </w:rPr>
        <w:t xml:space="preserve"> and the subsequent administration of blood products. </w:t>
      </w:r>
    </w:p>
    <w:p w14:paraId="11C59BAA" w14:textId="77777777" w:rsidR="001B1FFA" w:rsidRPr="00E44F3E" w:rsidRDefault="001B1FFA" w:rsidP="001B1FFA">
      <w:pPr>
        <w:pStyle w:val="ListParagraph"/>
        <w:ind w:left="0"/>
        <w:rPr>
          <w:rFonts w:eastAsia="Calibri"/>
        </w:rPr>
      </w:pPr>
    </w:p>
    <w:p w14:paraId="64F187C5" w14:textId="49D2FEA2" w:rsidR="001B1FFA" w:rsidRPr="00E44F3E" w:rsidRDefault="001B1FFA" w:rsidP="001B1FFA">
      <w:pPr>
        <w:pStyle w:val="ListParagraph"/>
        <w:ind w:left="0"/>
        <w:rPr>
          <w:rFonts w:eastAsia="Calibri"/>
        </w:rPr>
      </w:pPr>
      <w:r w:rsidRPr="00E44F3E">
        <w:rPr>
          <w:rFonts w:eastAsia="Calibri"/>
        </w:rPr>
        <w:t xml:space="preserve">Therefore, providing cancer care and administering medicines safely to those who need them requires a significant amount of resource that is additional to the cost of funding the actual medicine itself. Health systems, in </w:t>
      </w:r>
      <w:r w:rsidR="00E6006E">
        <w:rPr>
          <w:rFonts w:eastAsia="Calibri"/>
        </w:rPr>
        <w:t>Aotearoa New </w:t>
      </w:r>
      <w:r w:rsidR="00451144">
        <w:rPr>
          <w:rFonts w:eastAsia="Calibri"/>
        </w:rPr>
        <w:t>Zealand</w:t>
      </w:r>
      <w:r w:rsidRPr="00E44F3E">
        <w:rPr>
          <w:rFonts w:eastAsia="Calibri"/>
        </w:rPr>
        <w:t xml:space="preserve"> and internationally, are grappling with workforce shortages and pressures to reduce hospital expenditure, which in turn is impacting the health system capacity. This is a growing challenge with rising health care costs in the context of growing and aging populations. </w:t>
      </w:r>
    </w:p>
    <w:p w14:paraId="20F2878E" w14:textId="77777777" w:rsidR="001B1FFA" w:rsidRPr="00E44F3E" w:rsidRDefault="001B1FFA" w:rsidP="001B1FFA">
      <w:pPr>
        <w:pStyle w:val="ListParagraph"/>
        <w:ind w:left="0"/>
        <w:rPr>
          <w:rFonts w:eastAsia="Calibri"/>
        </w:rPr>
      </w:pPr>
    </w:p>
    <w:p w14:paraId="13471726" w14:textId="77777777" w:rsidR="001B1FFA" w:rsidRPr="00E44F3E" w:rsidRDefault="001B1FFA" w:rsidP="001B1FFA">
      <w:pPr>
        <w:pStyle w:val="ListParagraph"/>
        <w:ind w:left="0"/>
        <w:rPr>
          <w:rFonts w:eastAsia="Calibri"/>
        </w:rPr>
      </w:pPr>
      <w:r w:rsidRPr="00E44F3E">
        <w:rPr>
          <w:rFonts w:eastAsia="Calibri"/>
        </w:rPr>
        <w:t xml:space="preserve">Investment in any new medicines must be considered alongside the resources and services needed to ensure patients and whānau receive timely, </w:t>
      </w:r>
      <w:proofErr w:type="gramStart"/>
      <w:r w:rsidRPr="00E44F3E">
        <w:rPr>
          <w:rFonts w:eastAsia="Calibri"/>
        </w:rPr>
        <w:t>effective</w:t>
      </w:r>
      <w:proofErr w:type="gramEnd"/>
      <w:r w:rsidRPr="00E44F3E">
        <w:rPr>
          <w:rFonts w:eastAsia="Calibri"/>
        </w:rPr>
        <w:t xml:space="preserve"> and safe cancer treatment. </w:t>
      </w:r>
    </w:p>
    <w:p w14:paraId="294FC800" w14:textId="77777777" w:rsidR="001B1FFA" w:rsidRPr="00E44F3E" w:rsidRDefault="001B1FFA" w:rsidP="00D172EE">
      <w:pPr>
        <w:pStyle w:val="Heading2"/>
      </w:pPr>
      <w:bookmarkStart w:id="16" w:name="_Toc175228992"/>
      <w:bookmarkStart w:id="17" w:name="_Ref177034262"/>
      <w:bookmarkStart w:id="18" w:name="_Ref177034266"/>
      <w:bookmarkStart w:id="19" w:name="_Toc180062097"/>
      <w:r w:rsidRPr="00E44F3E">
        <w:t>Deciding what medicines are funded publicly is complex</w:t>
      </w:r>
      <w:bookmarkEnd w:id="16"/>
      <w:bookmarkEnd w:id="17"/>
      <w:bookmarkEnd w:id="18"/>
      <w:bookmarkEnd w:id="19"/>
      <w:r w:rsidRPr="00E44F3E">
        <w:t xml:space="preserve"> </w:t>
      </w:r>
    </w:p>
    <w:p w14:paraId="74B86E81" w14:textId="77777777" w:rsidR="001B1FFA" w:rsidRPr="00E44F3E" w:rsidRDefault="001B1FFA" w:rsidP="00D172EE">
      <w:r w:rsidRPr="00E44F3E">
        <w:t xml:space="preserve">All countries must assess the value of new </w:t>
      </w:r>
      <w:r w:rsidRPr="00E44F3E" w:rsidDel="00C56C66">
        <w:t>medicines and</w:t>
      </w:r>
      <w:r w:rsidRPr="00E44F3E">
        <w:t xml:space="preserve"> choose which medicines to fund. The way this is achieved varies between countries, but the assessment and decision-making process is always complex. There are benefits and drawbacks to all approaches. </w:t>
      </w:r>
    </w:p>
    <w:p w14:paraId="0AF54AD3" w14:textId="77777777" w:rsidR="00D172EE" w:rsidRPr="00E44F3E" w:rsidRDefault="00D172EE" w:rsidP="001B1FFA">
      <w:pPr>
        <w:pStyle w:val="ListParagraph"/>
        <w:ind w:left="0"/>
        <w:rPr>
          <w:rFonts w:eastAsia="Calibri"/>
        </w:rPr>
      </w:pPr>
    </w:p>
    <w:p w14:paraId="62744824" w14:textId="7A266353" w:rsidR="001B1FFA" w:rsidRPr="00E44F3E" w:rsidRDefault="001B1FFA" w:rsidP="001B1FFA">
      <w:pPr>
        <w:pStyle w:val="ListParagraph"/>
        <w:ind w:left="0"/>
        <w:rPr>
          <w:rFonts w:eastAsia="Calibri"/>
        </w:rPr>
      </w:pPr>
      <w:r w:rsidRPr="00E44F3E">
        <w:rPr>
          <w:rFonts w:eastAsia="Calibri"/>
        </w:rPr>
        <w:t>Funding available for health systems is limited</w:t>
      </w:r>
      <w:r w:rsidR="003C5E92">
        <w:rPr>
          <w:rFonts w:eastAsia="Calibri"/>
        </w:rPr>
        <w:t>,</w:t>
      </w:r>
      <w:r w:rsidRPr="00E44F3E">
        <w:rPr>
          <w:rFonts w:eastAsia="Calibri"/>
        </w:rPr>
        <w:t xml:space="preserve"> and there is an increasingly wide spectrum of health conditions, </w:t>
      </w:r>
      <w:r w:rsidR="00804937">
        <w:rPr>
          <w:rFonts w:eastAsia="Calibri"/>
        </w:rPr>
        <w:t xml:space="preserve">which is </w:t>
      </w:r>
      <w:r w:rsidRPr="00E44F3E">
        <w:rPr>
          <w:rFonts w:eastAsia="Calibri"/>
        </w:rPr>
        <w:t>associated with an increasing number of people requiring care, many with complex needs. One part of this challenge globally is determining how much resource should be put towards cancer.</w:t>
      </w:r>
      <w:r w:rsidR="00B1682D" w:rsidRPr="00E44F3E">
        <w:rPr>
          <w:rFonts w:eastAsia="Calibri"/>
        </w:rPr>
        <w:t xml:space="preserve"> </w:t>
      </w:r>
      <w:r w:rsidRPr="00E44F3E">
        <w:rPr>
          <w:rFonts w:eastAsia="Calibri"/>
        </w:rPr>
        <w:t xml:space="preserve">There are multiple ways </w:t>
      </w:r>
      <w:r w:rsidRPr="00E44F3E">
        <w:rPr>
          <w:rFonts w:eastAsia="Calibri"/>
        </w:rPr>
        <w:lastRenderedPageBreak/>
        <w:t>to assess the trade-offs that go into making these decisions</w:t>
      </w:r>
      <w:r w:rsidR="00804937">
        <w:rPr>
          <w:rFonts w:eastAsia="Calibri"/>
        </w:rPr>
        <w:t>,</w:t>
      </w:r>
      <w:r w:rsidRPr="00E44F3E">
        <w:rPr>
          <w:rFonts w:eastAsia="Calibri"/>
        </w:rPr>
        <w:t xml:space="preserve"> and there is no ‘right’ amount to spend on cancer or public medicines. </w:t>
      </w:r>
    </w:p>
    <w:p w14:paraId="220081E5" w14:textId="77777777" w:rsidR="001B1FFA" w:rsidRPr="00E44F3E" w:rsidRDefault="001B1FFA" w:rsidP="001B1FFA"/>
    <w:p w14:paraId="477AC306" w14:textId="1D840196" w:rsidR="001B1FFA" w:rsidRPr="00E44F3E" w:rsidRDefault="001B1FFA" w:rsidP="001B1FFA">
      <w:r w:rsidRPr="00E44F3E">
        <w:t xml:space="preserve">Decisions about which medicines are publicly funded in </w:t>
      </w:r>
      <w:r w:rsidR="00E6006E">
        <w:t>Aotearoa New </w:t>
      </w:r>
      <w:r w:rsidR="00451144">
        <w:t>Zealand</w:t>
      </w:r>
      <w:r w:rsidRPr="00E44F3E">
        <w:t xml:space="preserve"> are made by Pharmac. Pharmac is an independent Crown </w:t>
      </w:r>
      <w:r w:rsidR="00804937">
        <w:t>e</w:t>
      </w:r>
      <w:r w:rsidRPr="00E44F3E">
        <w:t xml:space="preserve">ntity tasked with publicly funding medicines that secure the best health outcomes that can reasonably be achieved within the fixed pharmaceutical budget </w:t>
      </w:r>
      <w:r w:rsidR="00102590">
        <w:t>it is</w:t>
      </w:r>
      <w:r w:rsidRPr="00E44F3E">
        <w:t xml:space="preserve"> allocated by the Government. </w:t>
      </w:r>
    </w:p>
    <w:p w14:paraId="4B989F2F" w14:textId="77777777" w:rsidR="001B1FFA" w:rsidRPr="00E44F3E" w:rsidRDefault="001B1FFA" w:rsidP="001B1FFA"/>
    <w:p w14:paraId="391FBE64" w14:textId="275EE4C8" w:rsidR="001B1FFA" w:rsidRPr="00E44F3E" w:rsidRDefault="001B1FFA" w:rsidP="001B1FFA">
      <w:r w:rsidRPr="00E44F3E">
        <w:t xml:space="preserve">Budget constraints, combined with the high cost of many medicines, mean </w:t>
      </w:r>
      <w:r w:rsidR="00E6006E">
        <w:t>Aotearoa New </w:t>
      </w:r>
      <w:r w:rsidR="00451144">
        <w:t>Zealand</w:t>
      </w:r>
      <w:r w:rsidRPr="00E44F3E">
        <w:t xml:space="preserve">, like other countries, cannot fund every medicine on the market. This requires prioritised decisions about the medicines that can be funded in </w:t>
      </w:r>
      <w:r w:rsidR="00E6006E">
        <w:t>Aotearoa New </w:t>
      </w:r>
      <w:r w:rsidR="00451144">
        <w:t>Zealand</w:t>
      </w:r>
      <w:r w:rsidRPr="00E44F3E">
        <w:t>.</w:t>
      </w:r>
      <w:r w:rsidRPr="00E44F3E" w:rsidDel="00EE2EAF">
        <w:t xml:space="preserve"> </w:t>
      </w:r>
    </w:p>
    <w:p w14:paraId="11D7E6E3" w14:textId="77777777" w:rsidR="001B1FFA" w:rsidRPr="00E44F3E" w:rsidRDefault="001B1FFA" w:rsidP="001B1FFA"/>
    <w:p w14:paraId="22C13CCD" w14:textId="77777777" w:rsidR="001B1FFA" w:rsidRPr="00E44F3E" w:rsidRDefault="001B1FFA" w:rsidP="001B1FFA">
      <w:r w:rsidRPr="00E44F3E">
        <w:t>Pharmac uses a framework called the Factors for Consideration to evaluate the benefit of a proposed new medicine and how this compares to other proposed new medicines. The Factors for Consideration include:</w:t>
      </w:r>
    </w:p>
    <w:p w14:paraId="6A465000" w14:textId="77777777" w:rsidR="001B1FFA" w:rsidRPr="00E44F3E" w:rsidRDefault="001B1FFA" w:rsidP="00D172EE">
      <w:pPr>
        <w:pStyle w:val="Bullet"/>
      </w:pPr>
      <w:r w:rsidRPr="00E44F3E">
        <w:t>the health need of the patient population</w:t>
      </w:r>
    </w:p>
    <w:p w14:paraId="2677ED70" w14:textId="3BD4B6C8" w:rsidR="001B1FFA" w:rsidRPr="00E44F3E" w:rsidRDefault="001B1FFA" w:rsidP="00D172EE">
      <w:pPr>
        <w:pStyle w:val="Bullet"/>
      </w:pPr>
      <w:r w:rsidRPr="00E44F3E">
        <w:t>the health/clinical benefits of the new medicine compared to what is already available</w:t>
      </w:r>
    </w:p>
    <w:p w14:paraId="61DCA891" w14:textId="2006ED21" w:rsidR="001B1FFA" w:rsidRPr="00E44F3E" w:rsidRDefault="001B1FFA" w:rsidP="00D172EE">
      <w:pPr>
        <w:pStyle w:val="Bullet"/>
      </w:pPr>
      <w:r w:rsidRPr="00E44F3E">
        <w:t>the cost implication of funding this new medicine, including potential savings</w:t>
      </w:r>
    </w:p>
    <w:p w14:paraId="693BBC6F" w14:textId="0AB388DB" w:rsidR="001B1FFA" w:rsidRPr="00E44F3E" w:rsidRDefault="001B1FFA" w:rsidP="00D172EE">
      <w:pPr>
        <w:pStyle w:val="Bullet"/>
      </w:pPr>
      <w:r w:rsidRPr="00E44F3E">
        <w:t>how suitable the new medicine is</w:t>
      </w:r>
      <w:r w:rsidR="00F978FB">
        <w:t>,</w:t>
      </w:r>
      <w:r w:rsidRPr="00E44F3E">
        <w:t xml:space="preserve"> compared to what patients receive now. </w:t>
      </w:r>
    </w:p>
    <w:p w14:paraId="7588338E" w14:textId="77777777" w:rsidR="00D172EE" w:rsidRPr="00E44F3E" w:rsidRDefault="00D172EE" w:rsidP="001B1FFA"/>
    <w:p w14:paraId="33B8CE89" w14:textId="58F094E8" w:rsidR="001B1FFA" w:rsidRPr="00E44F3E" w:rsidRDefault="001B1FFA" w:rsidP="00D172EE">
      <w:r w:rsidRPr="00E44F3E">
        <w:t>The Factors for Consideration and the Pharmac decision</w:t>
      </w:r>
      <w:r w:rsidR="004F2836">
        <w:t>-</w:t>
      </w:r>
      <w:r w:rsidRPr="00E44F3E">
        <w:t>making process also specifically consider the health outcomes of population groups experiencing health disparities, the impact of the medicine on Māori areas of focus</w:t>
      </w:r>
      <w:r w:rsidR="004F2836">
        <w:t>,</w:t>
      </w:r>
      <w:r w:rsidRPr="00E44F3E">
        <w:t xml:space="preserve"> and Māori health outcomes. </w:t>
      </w:r>
    </w:p>
    <w:p w14:paraId="53D819F0" w14:textId="77777777" w:rsidR="001B1FFA" w:rsidRPr="00E44F3E" w:rsidRDefault="001B1FFA" w:rsidP="001B1FFA"/>
    <w:p w14:paraId="2467E08F" w14:textId="424D8797" w:rsidR="001B1FFA" w:rsidRPr="00E44F3E" w:rsidRDefault="001B1FFA" w:rsidP="001B1FFA">
      <w:r w:rsidRPr="00E44F3E">
        <w:t xml:space="preserve">Using the Factors for Consideration, Pharmac creates a list of medicines in priority order that </w:t>
      </w:r>
      <w:r w:rsidR="00B473B6">
        <w:t>it</w:t>
      </w:r>
      <w:r w:rsidR="00B473B6" w:rsidRPr="00E44F3E">
        <w:t xml:space="preserve"> </w:t>
      </w:r>
      <w:r w:rsidRPr="00E44F3E">
        <w:t xml:space="preserve">would fund if/when budget is available. This is the Options for Investment </w:t>
      </w:r>
      <w:r w:rsidR="001C1FE1">
        <w:t xml:space="preserve">(OFI) </w:t>
      </w:r>
      <w:r w:rsidRPr="00E44F3E">
        <w:t>list. Additional budget to fund new medicines primarily arises due to:</w:t>
      </w:r>
    </w:p>
    <w:p w14:paraId="401E95A8" w14:textId="1B8E3C05" w:rsidR="001B1FFA" w:rsidRPr="00E44F3E" w:rsidRDefault="001B1FFA" w:rsidP="00D172EE">
      <w:pPr>
        <w:pStyle w:val="Bullet"/>
      </w:pPr>
      <w:r w:rsidRPr="00E44F3E">
        <w:t>savings Pharmac achieves in payment for medicines it already funds</w:t>
      </w:r>
    </w:p>
    <w:p w14:paraId="70602159" w14:textId="77777777" w:rsidR="001B1FFA" w:rsidRPr="00E44F3E" w:rsidRDefault="001B1FFA" w:rsidP="00D172EE">
      <w:pPr>
        <w:pStyle w:val="Bullet"/>
      </w:pPr>
      <w:r w:rsidRPr="00E44F3E">
        <w:t xml:space="preserve">additional budget provided by the Government. </w:t>
      </w:r>
    </w:p>
    <w:p w14:paraId="32EC52F0" w14:textId="77777777" w:rsidR="001B1FFA" w:rsidRPr="00E44F3E" w:rsidRDefault="001B1FFA" w:rsidP="001B1FFA"/>
    <w:p w14:paraId="2F36818D" w14:textId="7910432E" w:rsidR="001B1FFA" w:rsidRPr="00E44F3E" w:rsidRDefault="001B1FFA" w:rsidP="001B1FFA">
      <w:r w:rsidRPr="00E44F3E">
        <w:t xml:space="preserve">As of June 2024, there are 140 medicines on the OFI </w:t>
      </w:r>
      <w:r w:rsidR="001C1FE1">
        <w:t xml:space="preserve">list </w:t>
      </w:r>
      <w:r w:rsidRPr="00E44F3E">
        <w:t xml:space="preserve">that Pharmac would fund if </w:t>
      </w:r>
      <w:r w:rsidR="00B473B6">
        <w:t xml:space="preserve">it </w:t>
      </w:r>
      <w:r w:rsidRPr="00E44F3E">
        <w:t xml:space="preserve">had available budget. </w:t>
      </w:r>
      <w:r w:rsidR="00C80CF6">
        <w:t>Fifty-seven</w:t>
      </w:r>
      <w:r w:rsidRPr="00E44F3E">
        <w:t xml:space="preserve"> are for the treatment of cancer generally, with 17 specifically for blood cancers. </w:t>
      </w:r>
    </w:p>
    <w:p w14:paraId="5914D92F" w14:textId="77777777" w:rsidR="001B1FFA" w:rsidRPr="00E44F3E" w:rsidRDefault="001B1FFA" w:rsidP="001B1FFA"/>
    <w:p w14:paraId="088FBCC8" w14:textId="24C1A235" w:rsidR="002F06BB" w:rsidRDefault="001B1FFA" w:rsidP="004C32B9">
      <w:r w:rsidRPr="00E44F3E">
        <w:t>In this report, we are comparing</w:t>
      </w:r>
      <w:r w:rsidR="003F3AB6" w:rsidRPr="003F3AB6">
        <w:t xml:space="preserve"> </w:t>
      </w:r>
      <w:r w:rsidR="003F3AB6">
        <w:t xml:space="preserve">the availability of blood cancer </w:t>
      </w:r>
      <w:r w:rsidR="003F3AB6" w:rsidRPr="00E44F3E">
        <w:t>medicine</w:t>
      </w:r>
      <w:r w:rsidR="003F3AB6">
        <w:t>s</w:t>
      </w:r>
      <w:r w:rsidR="003F3AB6" w:rsidRPr="00E44F3E">
        <w:t xml:space="preserve"> in Australia with </w:t>
      </w:r>
      <w:r w:rsidR="003F3AB6">
        <w:t xml:space="preserve">their availability in </w:t>
      </w:r>
      <w:r w:rsidR="00E6006E">
        <w:t>Aotearoa New </w:t>
      </w:r>
      <w:r w:rsidR="00451144">
        <w:t>Zealand</w:t>
      </w:r>
      <w:r w:rsidRPr="00E44F3E">
        <w:t>.</w:t>
      </w:r>
    </w:p>
    <w:p w14:paraId="5E4EDB6B" w14:textId="77777777" w:rsidR="004A6DF6" w:rsidRPr="00E44F3E" w:rsidRDefault="001B1FFA" w:rsidP="004C32B9">
      <w:r w:rsidRPr="00E44F3E">
        <w:t xml:space="preserve"> </w:t>
      </w:r>
      <w:r w:rsidRPr="00E44F3E">
        <w:fldChar w:fldCharType="begin"/>
      </w:r>
      <w:r w:rsidRPr="00E44F3E">
        <w:instrText xml:space="preserve"> REF _Ref166510937 \h </w:instrText>
      </w:r>
      <w:r w:rsidRPr="00E44F3E">
        <w:fldChar w:fldCharType="separate"/>
      </w:r>
    </w:p>
    <w:p w14:paraId="0FDCCD8C" w14:textId="6BE42A13" w:rsidR="001B1FFA" w:rsidRPr="00E44F3E" w:rsidRDefault="004A6DF6" w:rsidP="001B1FFA">
      <w:r w:rsidRPr="00E44F3E">
        <w:t xml:space="preserve">Table </w:t>
      </w:r>
      <w:r>
        <w:rPr>
          <w:noProof/>
        </w:rPr>
        <w:t>1</w:t>
      </w:r>
      <w:r w:rsidR="001B1FFA" w:rsidRPr="00E44F3E">
        <w:fldChar w:fldCharType="end"/>
      </w:r>
      <w:r w:rsidR="001B1FFA" w:rsidRPr="00E44F3E">
        <w:t xml:space="preserve"> provides a high-level summary of some of the differences between how medicines are funded in </w:t>
      </w:r>
      <w:r w:rsidR="00E6006E">
        <w:t>Aotearoa New </w:t>
      </w:r>
      <w:r w:rsidR="00451144">
        <w:t>Zealand</w:t>
      </w:r>
      <w:r w:rsidR="001B1FFA" w:rsidRPr="00E44F3E">
        <w:t xml:space="preserve"> compared with Australia. This provides useful context to consider when interpreting the results of the availability analysis. </w:t>
      </w:r>
    </w:p>
    <w:p w14:paraId="0329DE13" w14:textId="6F784A37" w:rsidR="00BA23F6" w:rsidRPr="00E44F3E" w:rsidRDefault="00BA23F6" w:rsidP="00B47C82">
      <w:r w:rsidRPr="00E44F3E">
        <w:br w:type="page"/>
      </w:r>
    </w:p>
    <w:p w14:paraId="2B167DA8" w14:textId="77777777" w:rsidR="004C32B9" w:rsidRPr="00E44F3E" w:rsidRDefault="004C32B9" w:rsidP="004C32B9">
      <w:bookmarkStart w:id="20" w:name="_Ref166510937"/>
      <w:bookmarkStart w:id="21" w:name="_Toc175241592"/>
    </w:p>
    <w:p w14:paraId="3214A017" w14:textId="28E99FAE" w:rsidR="00615E9F" w:rsidRPr="00E44F3E" w:rsidRDefault="00615E9F" w:rsidP="00BA23F6">
      <w:pPr>
        <w:pStyle w:val="Table"/>
      </w:pPr>
      <w:bookmarkStart w:id="22" w:name="_Ref177049696"/>
      <w:bookmarkStart w:id="23" w:name="_Toc180142287"/>
      <w:r w:rsidRPr="00E44F3E">
        <w:t xml:space="preserve">Table </w:t>
      </w:r>
      <w:r w:rsidR="00D97615">
        <w:fldChar w:fldCharType="begin"/>
      </w:r>
      <w:r w:rsidR="00D97615">
        <w:instrText xml:space="preserve"> SEQ Table \* ARABIC </w:instrText>
      </w:r>
      <w:r w:rsidR="00D97615">
        <w:fldChar w:fldCharType="separate"/>
      </w:r>
      <w:r w:rsidR="004A6DF6">
        <w:rPr>
          <w:noProof/>
        </w:rPr>
        <w:t>1</w:t>
      </w:r>
      <w:r w:rsidR="00D97615">
        <w:rPr>
          <w:noProof/>
        </w:rPr>
        <w:fldChar w:fldCharType="end"/>
      </w:r>
      <w:bookmarkEnd w:id="20"/>
      <w:bookmarkEnd w:id="22"/>
      <w:r w:rsidR="00C1304B" w:rsidRPr="00E44F3E">
        <w:t>:</w:t>
      </w:r>
      <w:r w:rsidRPr="00E44F3E">
        <w:t xml:space="preserve"> Comparison of medicine funding processes between Australia and </w:t>
      </w:r>
      <w:bookmarkEnd w:id="21"/>
      <w:r w:rsidR="00E6006E">
        <w:t>Aotearoa New </w:t>
      </w:r>
      <w:r w:rsidR="00451144">
        <w:t>Zealand</w:t>
      </w:r>
      <w:bookmarkEnd w:id="23"/>
      <w:r w:rsidR="00B1682D" w:rsidRPr="00E44F3E">
        <w:t xml:space="preserve"> </w:t>
      </w:r>
    </w:p>
    <w:tbl>
      <w:tblPr>
        <w:tblStyle w:val="TableGrid"/>
        <w:tblW w:w="5000" w:type="pct"/>
        <w:tblLook w:val="04A0" w:firstRow="1" w:lastRow="0" w:firstColumn="1" w:lastColumn="0" w:noHBand="0" w:noVBand="1"/>
      </w:tblPr>
      <w:tblGrid>
        <w:gridCol w:w="1413"/>
        <w:gridCol w:w="3499"/>
        <w:gridCol w:w="3157"/>
      </w:tblGrid>
      <w:tr w:rsidR="00615E9F" w:rsidRPr="00E44F3E" w14:paraId="2CCA8D50" w14:textId="77777777" w:rsidTr="00BA23F6">
        <w:trPr>
          <w:cantSplit/>
          <w:tblHeader/>
        </w:trPr>
        <w:tc>
          <w:tcPr>
            <w:tcW w:w="876" w:type="pct"/>
            <w:shd w:val="clear" w:color="auto" w:fill="C2D9BA"/>
          </w:tcPr>
          <w:p w14:paraId="4466E523" w14:textId="77777777" w:rsidR="00615E9F" w:rsidRPr="00E44F3E" w:rsidRDefault="00615E9F" w:rsidP="00615E9F">
            <w:pPr>
              <w:pStyle w:val="TableText"/>
              <w:keepNext/>
              <w:rPr>
                <w:b/>
                <w:bCs/>
              </w:rPr>
            </w:pPr>
          </w:p>
        </w:tc>
        <w:tc>
          <w:tcPr>
            <w:tcW w:w="2168" w:type="pct"/>
            <w:shd w:val="clear" w:color="auto" w:fill="C2D9BA"/>
          </w:tcPr>
          <w:p w14:paraId="3A713925" w14:textId="1EB5D01F" w:rsidR="00615E9F" w:rsidRPr="00E44F3E" w:rsidRDefault="00615E9F" w:rsidP="00615E9F">
            <w:pPr>
              <w:pStyle w:val="TableText"/>
              <w:keepNext/>
              <w:rPr>
                <w:b/>
                <w:bCs/>
              </w:rPr>
            </w:pPr>
            <w:r w:rsidRPr="00E44F3E">
              <w:rPr>
                <w:b/>
                <w:bCs/>
              </w:rPr>
              <w:t>Australia</w:t>
            </w:r>
            <w:r w:rsidR="0072462A" w:rsidRPr="00E44F3E">
              <w:rPr>
                <w:b/>
                <w:bCs/>
              </w:rPr>
              <w:t>*</w:t>
            </w:r>
          </w:p>
        </w:tc>
        <w:tc>
          <w:tcPr>
            <w:tcW w:w="1956" w:type="pct"/>
            <w:shd w:val="clear" w:color="auto" w:fill="C2D9BA"/>
          </w:tcPr>
          <w:p w14:paraId="24AA1A95" w14:textId="4BB22E3D" w:rsidR="00615E9F" w:rsidRPr="00E44F3E" w:rsidRDefault="00E6006E" w:rsidP="00615E9F">
            <w:pPr>
              <w:pStyle w:val="TableText"/>
              <w:keepNext/>
              <w:rPr>
                <w:b/>
                <w:bCs/>
              </w:rPr>
            </w:pPr>
            <w:r>
              <w:rPr>
                <w:b/>
                <w:bCs/>
              </w:rPr>
              <w:t>Aotearoa New </w:t>
            </w:r>
            <w:r w:rsidR="00451144">
              <w:rPr>
                <w:b/>
                <w:bCs/>
              </w:rPr>
              <w:t>Zealand</w:t>
            </w:r>
            <w:r w:rsidR="00615E9F" w:rsidRPr="00E44F3E">
              <w:rPr>
                <w:b/>
                <w:bCs/>
              </w:rPr>
              <w:t xml:space="preserve"> </w:t>
            </w:r>
          </w:p>
        </w:tc>
      </w:tr>
      <w:tr w:rsidR="00615E9F" w:rsidRPr="00E44F3E" w14:paraId="00AC354A" w14:textId="77777777" w:rsidTr="00BA23F6">
        <w:trPr>
          <w:cantSplit/>
        </w:trPr>
        <w:tc>
          <w:tcPr>
            <w:tcW w:w="876" w:type="pct"/>
            <w:shd w:val="clear" w:color="auto" w:fill="FFF7E9"/>
          </w:tcPr>
          <w:p w14:paraId="719BFEF7" w14:textId="77777777" w:rsidR="00615E9F" w:rsidRPr="00E44F3E" w:rsidRDefault="00615E9F" w:rsidP="00615E9F">
            <w:pPr>
              <w:pStyle w:val="TableText"/>
              <w:keepNext/>
              <w:rPr>
                <w:b/>
                <w:bCs/>
              </w:rPr>
            </w:pPr>
            <w:r w:rsidRPr="00E44F3E">
              <w:rPr>
                <w:b/>
                <w:bCs/>
              </w:rPr>
              <w:t xml:space="preserve">Payer </w:t>
            </w:r>
          </w:p>
        </w:tc>
        <w:tc>
          <w:tcPr>
            <w:tcW w:w="2168" w:type="pct"/>
          </w:tcPr>
          <w:p w14:paraId="08913FD2" w14:textId="1372C9D7" w:rsidR="00615E9F" w:rsidRPr="00E44F3E" w:rsidRDefault="00615E9F" w:rsidP="00615E9F">
            <w:pPr>
              <w:pStyle w:val="TableText"/>
              <w:keepNext/>
            </w:pPr>
            <w:r w:rsidRPr="00E44F3E">
              <w:t xml:space="preserve">The Australian Government </w:t>
            </w:r>
            <w:r w:rsidR="00DD0697">
              <w:t>subsidises</w:t>
            </w:r>
            <w:r w:rsidR="00DD0697" w:rsidRPr="00E44F3E">
              <w:t xml:space="preserve"> </w:t>
            </w:r>
            <w:r w:rsidRPr="00E44F3E">
              <w:t xml:space="preserve">or fully covers the cost of many medicines through the Pharmaceutical </w:t>
            </w:r>
            <w:r w:rsidR="00611147" w:rsidRPr="00E44F3E">
              <w:t>Benefit</w:t>
            </w:r>
            <w:r w:rsidR="00611147">
              <w:t>s</w:t>
            </w:r>
            <w:r w:rsidR="00611147" w:rsidRPr="00E44F3E">
              <w:t xml:space="preserve"> </w:t>
            </w:r>
            <w:r w:rsidRPr="00E44F3E">
              <w:t>Scheme (PBS)</w:t>
            </w:r>
            <w:r w:rsidR="00D43C30">
              <w:t>.</w:t>
            </w:r>
          </w:p>
        </w:tc>
        <w:tc>
          <w:tcPr>
            <w:tcW w:w="1956" w:type="pct"/>
          </w:tcPr>
          <w:p w14:paraId="474A18F4" w14:textId="6B97E461" w:rsidR="00615E9F" w:rsidRPr="00E44F3E" w:rsidRDefault="00615E9F" w:rsidP="00615E9F">
            <w:pPr>
              <w:pStyle w:val="TableText"/>
              <w:keepNext/>
            </w:pPr>
            <w:r w:rsidRPr="00E44F3E">
              <w:t xml:space="preserve">The New Zealand Government </w:t>
            </w:r>
            <w:r w:rsidR="00F43421" w:rsidRPr="00F43421">
              <w:t>subsidises</w:t>
            </w:r>
            <w:r w:rsidR="00F43421" w:rsidRPr="00F43421" w:rsidDel="00F43421">
              <w:t xml:space="preserve"> </w:t>
            </w:r>
            <w:r w:rsidRPr="00E44F3E">
              <w:t xml:space="preserve">or fully covers the cost of many medicines through the Pharmaceutical Budget, which is managed by the </w:t>
            </w:r>
            <w:r w:rsidR="00B570EC">
              <w:t>g</w:t>
            </w:r>
            <w:r w:rsidRPr="00E44F3E">
              <w:t xml:space="preserve">overnment </w:t>
            </w:r>
            <w:r w:rsidR="00D43C30">
              <w:t>a</w:t>
            </w:r>
            <w:r w:rsidRPr="00E44F3E">
              <w:t xml:space="preserve">gency Pharmac. </w:t>
            </w:r>
          </w:p>
        </w:tc>
      </w:tr>
      <w:tr w:rsidR="00615E9F" w:rsidRPr="00E44F3E" w14:paraId="74FD17A9" w14:textId="77777777" w:rsidTr="00BA23F6">
        <w:trPr>
          <w:cantSplit/>
        </w:trPr>
        <w:tc>
          <w:tcPr>
            <w:tcW w:w="876" w:type="pct"/>
            <w:shd w:val="clear" w:color="auto" w:fill="FFF7E9"/>
          </w:tcPr>
          <w:p w14:paraId="698519E4" w14:textId="77777777" w:rsidR="00615E9F" w:rsidRPr="00E44F3E" w:rsidRDefault="00615E9F">
            <w:pPr>
              <w:pStyle w:val="TableText"/>
              <w:rPr>
                <w:b/>
                <w:bCs/>
              </w:rPr>
            </w:pPr>
            <w:r w:rsidRPr="00E44F3E">
              <w:rPr>
                <w:b/>
                <w:bCs/>
              </w:rPr>
              <w:t>Patient costs</w:t>
            </w:r>
          </w:p>
        </w:tc>
        <w:tc>
          <w:tcPr>
            <w:tcW w:w="2168" w:type="pct"/>
          </w:tcPr>
          <w:p w14:paraId="323F4102" w14:textId="77C5D9A2" w:rsidR="00615E9F" w:rsidRPr="00E44F3E" w:rsidRDefault="00615E9F">
            <w:pPr>
              <w:pStyle w:val="TableText"/>
            </w:pPr>
            <w:r w:rsidRPr="00E44F3E">
              <w:t>Patient co-payments for hospital and community medicines range from AU$6.80</w:t>
            </w:r>
            <w:r w:rsidR="00C45FE5" w:rsidRPr="00E44F3E">
              <w:t>–</w:t>
            </w:r>
            <w:r w:rsidRPr="00E44F3E">
              <w:t>$42.50.</w:t>
            </w:r>
          </w:p>
          <w:p w14:paraId="3FADAE5C" w14:textId="579BE0BB" w:rsidR="00615E9F" w:rsidRPr="00E44F3E" w:rsidRDefault="00615E9F">
            <w:pPr>
              <w:pStyle w:val="TableText"/>
            </w:pPr>
            <w:r w:rsidRPr="00E44F3E">
              <w:t>Patient co-payments for medicines in 2020</w:t>
            </w:r>
            <w:r w:rsidR="00FE7220">
              <w:t>–</w:t>
            </w:r>
            <w:r w:rsidRPr="00E44F3E">
              <w:t>2021 was AU$1.4 billion.</w:t>
            </w:r>
            <w:r w:rsidR="00B1682D" w:rsidRPr="00E44F3E">
              <w:t xml:space="preserve"> </w:t>
            </w:r>
          </w:p>
        </w:tc>
        <w:tc>
          <w:tcPr>
            <w:tcW w:w="1956" w:type="pct"/>
          </w:tcPr>
          <w:p w14:paraId="0506E7F3" w14:textId="46CDB3D9" w:rsidR="00615E9F" w:rsidRPr="00E44F3E" w:rsidRDefault="00B570EC">
            <w:pPr>
              <w:pStyle w:val="TableText"/>
            </w:pPr>
            <w:r>
              <w:t>The p</w:t>
            </w:r>
            <w:r w:rsidR="00615E9F" w:rsidRPr="00E44F3E">
              <w:t xml:space="preserve">atient co-payment on </w:t>
            </w:r>
            <w:proofErr w:type="gramStart"/>
            <w:r w:rsidR="00615E9F" w:rsidRPr="00E44F3E">
              <w:t>the majority of</w:t>
            </w:r>
            <w:proofErr w:type="gramEnd"/>
            <w:r w:rsidR="00615E9F" w:rsidRPr="00E44F3E">
              <w:t xml:space="preserve"> publicly funded medicines administered in the community </w:t>
            </w:r>
            <w:r>
              <w:t>is</w:t>
            </w:r>
            <w:r w:rsidR="00615E9F" w:rsidRPr="00E44F3E">
              <w:t xml:space="preserve"> $5</w:t>
            </w:r>
            <w:r w:rsidR="00C45FE5" w:rsidRPr="00E44F3E">
              <w:t>.</w:t>
            </w:r>
            <w:r w:rsidR="00C45FE5" w:rsidRPr="00D73DDD">
              <w:rPr>
                <w:vertAlign w:val="superscript"/>
              </w:rPr>
              <w:t>†</w:t>
            </w:r>
            <w:r w:rsidR="00615E9F" w:rsidRPr="00E44F3E">
              <w:t xml:space="preserve"> Medicines administered in a hospital setting do not have a patient co-payment. </w:t>
            </w:r>
          </w:p>
        </w:tc>
      </w:tr>
      <w:tr w:rsidR="00615E9F" w:rsidRPr="00E44F3E" w14:paraId="3D031E44" w14:textId="77777777" w:rsidTr="00BA23F6">
        <w:trPr>
          <w:cantSplit/>
        </w:trPr>
        <w:tc>
          <w:tcPr>
            <w:tcW w:w="876" w:type="pct"/>
            <w:shd w:val="clear" w:color="auto" w:fill="FFF7E9"/>
          </w:tcPr>
          <w:p w14:paraId="2C81AC0D" w14:textId="77777777" w:rsidR="00615E9F" w:rsidRPr="00E44F3E" w:rsidRDefault="00615E9F">
            <w:pPr>
              <w:pStyle w:val="TableText"/>
              <w:rPr>
                <w:b/>
                <w:bCs/>
              </w:rPr>
            </w:pPr>
            <w:r w:rsidRPr="00E44F3E">
              <w:rPr>
                <w:b/>
                <w:bCs/>
              </w:rPr>
              <w:t xml:space="preserve">Budget </w:t>
            </w:r>
          </w:p>
        </w:tc>
        <w:tc>
          <w:tcPr>
            <w:tcW w:w="2168" w:type="pct"/>
          </w:tcPr>
          <w:p w14:paraId="05B239BB" w14:textId="4AE1C012" w:rsidR="00615E9F" w:rsidRPr="00E44F3E" w:rsidRDefault="00615E9F">
            <w:pPr>
              <w:pStyle w:val="TableText"/>
            </w:pPr>
            <w:r w:rsidRPr="00E44F3E">
              <w:t>Expenditure on medicines funded through the PBS is uncapped</w:t>
            </w:r>
            <w:r w:rsidR="00AE6F02">
              <w:t>,</w:t>
            </w:r>
            <w:r w:rsidRPr="00E44F3E">
              <w:t xml:space="preserve"> meaning new medicines can be added and funded as demand grows. Future expenditure is therefore expected to increase but with the intention that it will stay in line with 0.7% of Australia’s </w:t>
            </w:r>
            <w:r w:rsidR="006A5DEE">
              <w:t>g</w:t>
            </w:r>
            <w:r w:rsidRPr="00E44F3E">
              <w:t xml:space="preserve">ross </w:t>
            </w:r>
            <w:r w:rsidR="006A5DEE">
              <w:t>d</w:t>
            </w:r>
            <w:r w:rsidRPr="00E44F3E">
              <w:t xml:space="preserve">omestic </w:t>
            </w:r>
            <w:r w:rsidR="006A5DEE">
              <w:t>p</w:t>
            </w:r>
            <w:r w:rsidRPr="00E44F3E">
              <w:t>roduct.</w:t>
            </w:r>
          </w:p>
        </w:tc>
        <w:tc>
          <w:tcPr>
            <w:tcW w:w="1956" w:type="pct"/>
          </w:tcPr>
          <w:p w14:paraId="215D6798" w14:textId="4C97D93B" w:rsidR="00615E9F" w:rsidRPr="00E44F3E" w:rsidRDefault="00615E9F">
            <w:pPr>
              <w:pStyle w:val="TableText"/>
            </w:pPr>
            <w:r w:rsidRPr="00E44F3E">
              <w:t xml:space="preserve">The Pharmaceutical Budget in </w:t>
            </w:r>
            <w:r w:rsidR="00E6006E">
              <w:t>Aotearoa New </w:t>
            </w:r>
            <w:r w:rsidR="00451144">
              <w:t>Zealand</w:t>
            </w:r>
            <w:r w:rsidRPr="00E44F3E">
              <w:t xml:space="preserve"> is fixed and is allocated each year as part of the annual </w:t>
            </w:r>
            <w:r w:rsidR="002256E5">
              <w:t>B</w:t>
            </w:r>
            <w:r w:rsidRPr="00E44F3E">
              <w:t xml:space="preserve">udget cycle (Vote: Health). Pharmac is legislated to work within a fixed budget. </w:t>
            </w:r>
          </w:p>
          <w:p w14:paraId="175BEF96" w14:textId="78758DEA" w:rsidR="00615E9F" w:rsidRPr="00E44F3E" w:rsidRDefault="00615E9F">
            <w:pPr>
              <w:pStyle w:val="TableText"/>
            </w:pPr>
            <w:r w:rsidRPr="00E44F3E">
              <w:t xml:space="preserve">Pharmac generates some additional budget from savings generated by the annual tender (negotiation of better prices for medicines Pharmac already </w:t>
            </w:r>
            <w:r w:rsidR="00F43421" w:rsidRPr="00F43421">
              <w:t>subsidises</w:t>
            </w:r>
            <w:r w:rsidRPr="00E44F3E">
              <w:t>) or the introduction of generic/biosimilar products upon patent expiry</w:t>
            </w:r>
            <w:r w:rsidR="002256E5">
              <w:t>.</w:t>
            </w:r>
            <w:r w:rsidRPr="00E44F3E">
              <w:t xml:space="preserve"> </w:t>
            </w:r>
          </w:p>
        </w:tc>
      </w:tr>
      <w:tr w:rsidR="00615E9F" w:rsidRPr="00E44F3E" w14:paraId="24B936E3" w14:textId="77777777" w:rsidTr="00BA23F6">
        <w:trPr>
          <w:cantSplit/>
        </w:trPr>
        <w:tc>
          <w:tcPr>
            <w:tcW w:w="876" w:type="pct"/>
            <w:shd w:val="clear" w:color="auto" w:fill="FFF7E9"/>
          </w:tcPr>
          <w:p w14:paraId="737B22D7" w14:textId="72F1E86F" w:rsidR="00615E9F" w:rsidRPr="00E44F3E" w:rsidRDefault="00615E9F" w:rsidP="006479B0">
            <w:pPr>
              <w:pStyle w:val="TableText"/>
              <w:rPr>
                <w:b/>
                <w:bCs/>
              </w:rPr>
            </w:pPr>
            <w:r w:rsidRPr="00E44F3E">
              <w:rPr>
                <w:b/>
                <w:bCs/>
              </w:rPr>
              <w:t>Expenditure 2022/23</w:t>
            </w:r>
            <w:r w:rsidR="002256E5">
              <w:rPr>
                <w:b/>
                <w:bCs/>
              </w:rPr>
              <w:t xml:space="preserve"> </w:t>
            </w:r>
            <w:r w:rsidRPr="00E44F3E">
              <w:rPr>
                <w:b/>
                <w:bCs/>
              </w:rPr>
              <w:t>(net)</w:t>
            </w:r>
          </w:p>
        </w:tc>
        <w:tc>
          <w:tcPr>
            <w:tcW w:w="2168" w:type="pct"/>
          </w:tcPr>
          <w:p w14:paraId="1FD4D285" w14:textId="7A2EAF8A" w:rsidR="00615E9F" w:rsidRPr="00E44F3E" w:rsidRDefault="00615E9F">
            <w:pPr>
              <w:pStyle w:val="TableText"/>
            </w:pPr>
            <w:r w:rsidRPr="00E44F3E">
              <w:t xml:space="preserve">Spent </w:t>
            </w:r>
            <w:r w:rsidR="00CB3508">
              <w:t>$</w:t>
            </w:r>
            <w:r w:rsidRPr="00E44F3E">
              <w:t>16.7 billion</w:t>
            </w:r>
            <w:r w:rsidR="00010420" w:rsidRPr="00DD0DF5">
              <w:rPr>
                <w:vertAlign w:val="superscript"/>
              </w:rPr>
              <w:t>‡</w:t>
            </w:r>
          </w:p>
        </w:tc>
        <w:tc>
          <w:tcPr>
            <w:tcW w:w="1956" w:type="pct"/>
          </w:tcPr>
          <w:p w14:paraId="1DB786C0" w14:textId="4ED219DD" w:rsidR="00615E9F" w:rsidRPr="00E44F3E" w:rsidRDefault="00615E9F">
            <w:pPr>
              <w:pStyle w:val="TableText"/>
            </w:pPr>
            <w:r w:rsidRPr="00E44F3E">
              <w:t xml:space="preserve">Spent </w:t>
            </w:r>
            <w:r w:rsidR="00CB3508">
              <w:t>$</w:t>
            </w:r>
            <w:r w:rsidRPr="00E44F3E">
              <w:t>1.177 billion</w:t>
            </w:r>
            <w:r w:rsidR="00010420" w:rsidRPr="00DD0DF5">
              <w:rPr>
                <w:vertAlign w:val="superscript"/>
              </w:rPr>
              <w:t>§</w:t>
            </w:r>
          </w:p>
        </w:tc>
      </w:tr>
      <w:tr w:rsidR="00615E9F" w:rsidRPr="00E44F3E" w14:paraId="77DB3EE8" w14:textId="77777777" w:rsidTr="00BA23F6">
        <w:trPr>
          <w:cantSplit/>
        </w:trPr>
        <w:tc>
          <w:tcPr>
            <w:tcW w:w="876" w:type="pct"/>
            <w:shd w:val="clear" w:color="auto" w:fill="FFF7E9"/>
          </w:tcPr>
          <w:p w14:paraId="707B72B6" w14:textId="5C8802C8" w:rsidR="00615E9F" w:rsidRPr="00E44F3E" w:rsidRDefault="00615E9F">
            <w:pPr>
              <w:pStyle w:val="TableText"/>
              <w:rPr>
                <w:b/>
                <w:bCs/>
              </w:rPr>
            </w:pPr>
            <w:r w:rsidRPr="00E44F3E">
              <w:rPr>
                <w:b/>
                <w:bCs/>
              </w:rPr>
              <w:t>Population 31</w:t>
            </w:r>
            <w:r w:rsidR="006479B0" w:rsidRPr="00E44F3E">
              <w:rPr>
                <w:b/>
                <w:bCs/>
              </w:rPr>
              <w:t> </w:t>
            </w:r>
            <w:r w:rsidRPr="00E44F3E">
              <w:rPr>
                <w:b/>
                <w:bCs/>
              </w:rPr>
              <w:t>Dec</w:t>
            </w:r>
            <w:r w:rsidR="006479B0" w:rsidRPr="00E44F3E">
              <w:rPr>
                <w:b/>
                <w:bCs/>
              </w:rPr>
              <w:t> </w:t>
            </w:r>
            <w:r w:rsidRPr="00E44F3E">
              <w:rPr>
                <w:b/>
                <w:bCs/>
              </w:rPr>
              <w:t>2022</w:t>
            </w:r>
          </w:p>
        </w:tc>
        <w:tc>
          <w:tcPr>
            <w:tcW w:w="2168" w:type="pct"/>
          </w:tcPr>
          <w:p w14:paraId="4AEC9E90" w14:textId="7545EB90" w:rsidR="00615E9F" w:rsidRPr="00E44F3E" w:rsidRDefault="00615E9F">
            <w:pPr>
              <w:pStyle w:val="TableText"/>
            </w:pPr>
            <w:r w:rsidRPr="00E44F3E">
              <w:t>26,268,359</w:t>
            </w:r>
            <w:r w:rsidR="00010420" w:rsidRPr="00DD0DF5">
              <w:rPr>
                <w:vertAlign w:val="superscript"/>
              </w:rPr>
              <w:t>¶</w:t>
            </w:r>
          </w:p>
        </w:tc>
        <w:tc>
          <w:tcPr>
            <w:tcW w:w="1956" w:type="pct"/>
          </w:tcPr>
          <w:p w14:paraId="728BCA42" w14:textId="3575A0E3" w:rsidR="00615E9F" w:rsidRPr="00E44F3E" w:rsidRDefault="00615E9F">
            <w:pPr>
              <w:pStyle w:val="TableText"/>
            </w:pPr>
            <w:r w:rsidRPr="00E44F3E">
              <w:t>5,151,600</w:t>
            </w:r>
            <w:r w:rsidR="00010420" w:rsidRPr="00DD0DF5">
              <w:rPr>
                <w:vertAlign w:val="superscript"/>
              </w:rPr>
              <w:t>#</w:t>
            </w:r>
          </w:p>
        </w:tc>
      </w:tr>
      <w:tr w:rsidR="00615E9F" w:rsidRPr="00E44F3E" w14:paraId="52428BC1" w14:textId="77777777" w:rsidTr="00BA23F6">
        <w:trPr>
          <w:cantSplit/>
        </w:trPr>
        <w:tc>
          <w:tcPr>
            <w:tcW w:w="876" w:type="pct"/>
            <w:shd w:val="clear" w:color="auto" w:fill="FFF7E9"/>
          </w:tcPr>
          <w:p w14:paraId="31095114" w14:textId="77777777" w:rsidR="00615E9F" w:rsidRPr="00E44F3E" w:rsidRDefault="00615E9F">
            <w:pPr>
              <w:pStyle w:val="TableText"/>
              <w:rPr>
                <w:b/>
                <w:bCs/>
              </w:rPr>
            </w:pPr>
            <w:r w:rsidRPr="00E44F3E">
              <w:rPr>
                <w:b/>
                <w:bCs/>
              </w:rPr>
              <w:t xml:space="preserve">Expenditure per person </w:t>
            </w:r>
          </w:p>
        </w:tc>
        <w:tc>
          <w:tcPr>
            <w:tcW w:w="2168" w:type="pct"/>
          </w:tcPr>
          <w:p w14:paraId="4D783D6A" w14:textId="77777777" w:rsidR="00615E9F" w:rsidRPr="00E44F3E" w:rsidRDefault="00615E9F">
            <w:pPr>
              <w:pStyle w:val="TableText"/>
            </w:pPr>
            <w:r w:rsidRPr="00E44F3E">
              <w:t>$636</w:t>
            </w:r>
          </w:p>
        </w:tc>
        <w:tc>
          <w:tcPr>
            <w:tcW w:w="1956" w:type="pct"/>
          </w:tcPr>
          <w:p w14:paraId="18D8DA7C" w14:textId="77777777" w:rsidR="00615E9F" w:rsidRPr="00E44F3E" w:rsidRDefault="00615E9F">
            <w:pPr>
              <w:pStyle w:val="TableText"/>
            </w:pPr>
            <w:r w:rsidRPr="00E44F3E">
              <w:t>$343</w:t>
            </w:r>
          </w:p>
        </w:tc>
      </w:tr>
      <w:tr w:rsidR="00615E9F" w:rsidRPr="00E44F3E" w14:paraId="3C2082DB" w14:textId="77777777" w:rsidTr="00BA23F6">
        <w:trPr>
          <w:cantSplit/>
        </w:trPr>
        <w:tc>
          <w:tcPr>
            <w:tcW w:w="876" w:type="pct"/>
            <w:shd w:val="clear" w:color="auto" w:fill="FFF7E9"/>
          </w:tcPr>
          <w:p w14:paraId="5DF85A9B" w14:textId="50D22FE9" w:rsidR="00615E9F" w:rsidRPr="00E44F3E" w:rsidRDefault="00615E9F">
            <w:pPr>
              <w:pStyle w:val="TableText"/>
              <w:rPr>
                <w:b/>
                <w:bCs/>
              </w:rPr>
            </w:pPr>
            <w:r w:rsidRPr="00E44F3E">
              <w:rPr>
                <w:b/>
                <w:bCs/>
              </w:rPr>
              <w:t xml:space="preserve">Medicines </w:t>
            </w:r>
            <w:r w:rsidR="003737D0">
              <w:rPr>
                <w:b/>
                <w:bCs/>
              </w:rPr>
              <w:t>r</w:t>
            </w:r>
            <w:r w:rsidRPr="00E44F3E">
              <w:rPr>
                <w:b/>
                <w:bCs/>
              </w:rPr>
              <w:t xml:space="preserve">egulator </w:t>
            </w:r>
          </w:p>
        </w:tc>
        <w:tc>
          <w:tcPr>
            <w:tcW w:w="2168" w:type="pct"/>
          </w:tcPr>
          <w:p w14:paraId="1BB8D0F1" w14:textId="77777777" w:rsidR="00615E9F" w:rsidRPr="00E44F3E" w:rsidRDefault="00615E9F">
            <w:pPr>
              <w:pStyle w:val="TableText"/>
            </w:pPr>
            <w:r w:rsidRPr="00E44F3E">
              <w:t xml:space="preserve">Therapeutic Goods Administration (TGA). </w:t>
            </w:r>
          </w:p>
          <w:p w14:paraId="1C345EDB" w14:textId="0565372B" w:rsidR="00615E9F" w:rsidRPr="00E44F3E" w:rsidRDefault="00615E9F">
            <w:pPr>
              <w:pStyle w:val="TableText"/>
            </w:pPr>
            <w:r w:rsidRPr="00E44F3E">
              <w:t>Medicine safety approval and funding can be considered in parallel</w:t>
            </w:r>
            <w:r w:rsidR="00B9630B">
              <w:t>.</w:t>
            </w:r>
            <w:r w:rsidRPr="00E44F3E">
              <w:t xml:space="preserve"> </w:t>
            </w:r>
          </w:p>
        </w:tc>
        <w:tc>
          <w:tcPr>
            <w:tcW w:w="1956" w:type="pct"/>
          </w:tcPr>
          <w:p w14:paraId="2027BEF8" w14:textId="77777777" w:rsidR="00615E9F" w:rsidRPr="00E44F3E" w:rsidRDefault="00615E9F">
            <w:pPr>
              <w:pStyle w:val="TableText"/>
            </w:pPr>
            <w:proofErr w:type="spellStart"/>
            <w:r w:rsidRPr="00E44F3E">
              <w:t>Medsafe</w:t>
            </w:r>
            <w:proofErr w:type="spellEnd"/>
            <w:r w:rsidRPr="00E44F3E">
              <w:t xml:space="preserve">. </w:t>
            </w:r>
          </w:p>
          <w:p w14:paraId="2FD5E78B" w14:textId="4A737F1C" w:rsidR="00615E9F" w:rsidRPr="00E44F3E" w:rsidRDefault="00615E9F">
            <w:pPr>
              <w:pStyle w:val="TableText"/>
            </w:pPr>
            <w:r w:rsidRPr="00E44F3E">
              <w:t>Medicine safety approval and funding can be considered in parallel</w:t>
            </w:r>
            <w:r w:rsidR="00B9630B">
              <w:t>.</w:t>
            </w:r>
          </w:p>
        </w:tc>
      </w:tr>
      <w:tr w:rsidR="00615E9F" w:rsidRPr="00E44F3E" w14:paraId="764105C9" w14:textId="77777777" w:rsidTr="00BA23F6">
        <w:trPr>
          <w:cantSplit/>
        </w:trPr>
        <w:tc>
          <w:tcPr>
            <w:tcW w:w="876" w:type="pct"/>
            <w:shd w:val="clear" w:color="auto" w:fill="FFF7E9"/>
          </w:tcPr>
          <w:p w14:paraId="4648F0B6" w14:textId="1900F0F7" w:rsidR="00615E9F" w:rsidRPr="00E44F3E" w:rsidRDefault="003B2C8A" w:rsidP="00BA23F6">
            <w:pPr>
              <w:pStyle w:val="TableText"/>
              <w:keepNext/>
              <w:rPr>
                <w:b/>
                <w:bCs/>
              </w:rPr>
            </w:pPr>
            <w:r w:rsidRPr="00E44F3E">
              <w:rPr>
                <w:b/>
                <w:bCs/>
              </w:rPr>
              <w:lastRenderedPageBreak/>
              <w:t>Method of new medicine approval</w:t>
            </w:r>
          </w:p>
        </w:tc>
        <w:tc>
          <w:tcPr>
            <w:tcW w:w="2168" w:type="pct"/>
          </w:tcPr>
          <w:p w14:paraId="77475832" w14:textId="77777777" w:rsidR="00615E9F" w:rsidRPr="00E44F3E" w:rsidRDefault="00615E9F" w:rsidP="00BA23F6">
            <w:pPr>
              <w:pStyle w:val="TableText"/>
              <w:keepNext/>
            </w:pPr>
            <w:r w:rsidRPr="00E44F3E">
              <w:t xml:space="preserve">Medicines are evaluated for approval by the Pharmaceutical Benefits Advisory Committee (PBAC), an independent expert body appointed by the Government. </w:t>
            </w:r>
          </w:p>
          <w:p w14:paraId="070F6D74" w14:textId="187EF586" w:rsidR="00615E9F" w:rsidRPr="00E44F3E" w:rsidRDefault="00615E9F" w:rsidP="00BA23F6">
            <w:pPr>
              <w:pStyle w:val="TableText"/>
              <w:keepNext/>
            </w:pPr>
            <w:r w:rsidRPr="00E44F3E">
              <w:t>PBAC’s assessment of the value of a new medicine includes consideration of cost, clinical effectiveness, safety, quality and efficacy</w:t>
            </w:r>
            <w:r w:rsidR="008B01BB">
              <w:t>,</w:t>
            </w:r>
            <w:r w:rsidRPr="00E44F3E">
              <w:t xml:space="preserve"> and cost-effectiveness of the medicine compared to other treatments for the same condition.</w:t>
            </w:r>
          </w:p>
          <w:p w14:paraId="75E6B535" w14:textId="2A84D8AF" w:rsidR="00615E9F" w:rsidRPr="00E44F3E" w:rsidRDefault="00615E9F" w:rsidP="00BA23F6">
            <w:pPr>
              <w:pStyle w:val="TableText"/>
              <w:keepNext/>
            </w:pPr>
            <w:r w:rsidRPr="00E44F3E">
              <w:t>A medicine must be given a positive recommendation by PBAC to be funded in Australia</w:t>
            </w:r>
            <w:r w:rsidR="008B01BB">
              <w:t>,</w:t>
            </w:r>
            <w:r w:rsidRPr="00E44F3E">
              <w:t xml:space="preserve"> after which </w:t>
            </w:r>
            <w:r w:rsidR="008B01BB">
              <w:t xml:space="preserve">the </w:t>
            </w:r>
            <w:r w:rsidRPr="00E44F3E">
              <w:t>medicine supplier must negotiate the listing</w:t>
            </w:r>
            <w:r w:rsidR="008B01BB">
              <w:t>,</w:t>
            </w:r>
            <w:r w:rsidRPr="00E44F3E">
              <w:t xml:space="preserve"> including pricing</w:t>
            </w:r>
            <w:r w:rsidR="008B01BB">
              <w:t>,</w:t>
            </w:r>
            <w:r w:rsidRPr="00E44F3E">
              <w:t xml:space="preserve"> with the Department of Health. Decisions under $20 million </w:t>
            </w:r>
            <w:r w:rsidR="008B01BB">
              <w:t>per</w:t>
            </w:r>
            <w:r w:rsidRPr="00E44F3E">
              <w:t xml:space="preserve"> year are made by the Minister of Health. Investments over $20 million require Cabinet approval. </w:t>
            </w:r>
          </w:p>
          <w:p w14:paraId="2EC2A9B1" w14:textId="77777777" w:rsidR="00615E9F" w:rsidRPr="00E44F3E" w:rsidRDefault="00615E9F" w:rsidP="00BA23F6">
            <w:pPr>
              <w:pStyle w:val="TableText"/>
              <w:keepNext/>
            </w:pPr>
            <w:r w:rsidRPr="00E44F3E">
              <w:t xml:space="preserve">Not all medicines are given a positive recommendation by PBAC. Some may be declined, and some may be deferred until additional information is available. </w:t>
            </w:r>
          </w:p>
        </w:tc>
        <w:tc>
          <w:tcPr>
            <w:tcW w:w="1956" w:type="pct"/>
          </w:tcPr>
          <w:p w14:paraId="7CF4B374" w14:textId="2508F4F9" w:rsidR="00615E9F" w:rsidRPr="00E44F3E" w:rsidRDefault="00615E9F" w:rsidP="00BA23F6">
            <w:pPr>
              <w:pStyle w:val="TableText"/>
              <w:keepNext/>
            </w:pPr>
            <w:r w:rsidRPr="00E44F3E">
              <w:t>Applications for new medicines are received and assessed by Pharmac with input from clinical advice committees.</w:t>
            </w:r>
            <w:r w:rsidR="00B1682D" w:rsidRPr="00E44F3E">
              <w:t xml:space="preserve"> </w:t>
            </w:r>
          </w:p>
          <w:p w14:paraId="52956645" w14:textId="13175445" w:rsidR="00615E9F" w:rsidRPr="008B01BB" w:rsidRDefault="00615E9F" w:rsidP="00BA23F6">
            <w:pPr>
              <w:pStyle w:val="TableText"/>
              <w:keepNext/>
            </w:pPr>
            <w:r w:rsidRPr="00E44F3E">
              <w:t>Pharmac assesses the value of a new medicine using the Factors of Consideration Framework, which considers the health need, health benefit, costs/savings and suitability of a new medicine compared to what is already available. These factors are consid</w:t>
            </w:r>
            <w:r w:rsidRPr="008B01BB">
              <w:t xml:space="preserve">ered at a patient, </w:t>
            </w:r>
            <w:r w:rsidRPr="009B11F5">
              <w:t>whānau</w:t>
            </w:r>
            <w:r w:rsidR="00C37536">
              <w:t xml:space="preserve"> </w:t>
            </w:r>
            <w:r w:rsidRPr="008B01BB">
              <w:t>and health system level.</w:t>
            </w:r>
            <w:r w:rsidR="00B1682D" w:rsidRPr="008B01BB">
              <w:t xml:space="preserve"> </w:t>
            </w:r>
          </w:p>
          <w:p w14:paraId="48814C18" w14:textId="37091263" w:rsidR="00615E9F" w:rsidRPr="00E44F3E" w:rsidRDefault="00615E9F" w:rsidP="00BA23F6">
            <w:pPr>
              <w:pStyle w:val="TableText"/>
              <w:keepNext/>
            </w:pPr>
            <w:r w:rsidRPr="00E44F3E">
              <w:t xml:space="preserve">Using the Factors of Consideration, Pharmac prioritises new medicine applications against each other to form the </w:t>
            </w:r>
            <w:r w:rsidR="00C80CF6">
              <w:t>OFI l</w:t>
            </w:r>
            <w:r w:rsidRPr="00E44F3E">
              <w:t xml:space="preserve">ist. The </w:t>
            </w:r>
            <w:r w:rsidR="00C80CF6">
              <w:t>OFI l</w:t>
            </w:r>
            <w:r w:rsidRPr="00E44F3E">
              <w:t xml:space="preserve">ist represents a prioritised list of medicines that Pharmac would fund if there was an available budget. </w:t>
            </w:r>
          </w:p>
          <w:p w14:paraId="23510532" w14:textId="336638F5" w:rsidR="00615E9F" w:rsidRPr="00E44F3E" w:rsidRDefault="00615E9F" w:rsidP="00BA23F6">
            <w:pPr>
              <w:pStyle w:val="TableText"/>
              <w:keepNext/>
            </w:pPr>
            <w:r w:rsidRPr="00E44F3E">
              <w:t xml:space="preserve">Not all assessed medicines are ranked on the </w:t>
            </w:r>
            <w:r w:rsidR="00C80CF6">
              <w:t>OFI l</w:t>
            </w:r>
            <w:r w:rsidRPr="00E44F3E">
              <w:t xml:space="preserve">ist. Some may be recommended for decline and others may be ranked on </w:t>
            </w:r>
            <w:r w:rsidR="002D52D5">
              <w:t xml:space="preserve">an </w:t>
            </w:r>
            <w:r w:rsidRPr="00E44F3E">
              <w:t xml:space="preserve">‘Only if cost neutral/cost-saving’ list. Medicines ranked on the latter are those </w:t>
            </w:r>
            <w:r w:rsidR="002D52D5">
              <w:t>that</w:t>
            </w:r>
            <w:r w:rsidR="002D52D5" w:rsidRPr="00E44F3E">
              <w:t xml:space="preserve"> </w:t>
            </w:r>
            <w:r w:rsidRPr="00E44F3E">
              <w:t xml:space="preserve">provide similar benefit to medicines that are already available so will only be funded if the cost of the medicine or to the health system is the same as what is already available. </w:t>
            </w:r>
          </w:p>
        </w:tc>
      </w:tr>
    </w:tbl>
    <w:p w14:paraId="596FED7D" w14:textId="3BE5F399" w:rsidR="0051095D" w:rsidRPr="00121A51" w:rsidRDefault="0051095D" w:rsidP="00C3152B">
      <w:pPr>
        <w:pStyle w:val="Note"/>
      </w:pPr>
      <w:r w:rsidRPr="00121A51">
        <w:t xml:space="preserve">* </w:t>
      </w:r>
      <w:r w:rsidR="000E40A9" w:rsidRPr="00121A51">
        <w:tab/>
      </w:r>
      <w:r w:rsidRPr="00121A51">
        <w:t>Parliament of Australia (2022).</w:t>
      </w:r>
    </w:p>
    <w:p w14:paraId="1E47E5E3" w14:textId="5386A2D7" w:rsidR="003B2C8A" w:rsidRPr="00121A51" w:rsidRDefault="00C45FE5" w:rsidP="00C3152B">
      <w:pPr>
        <w:pStyle w:val="Note"/>
      </w:pPr>
      <w:r w:rsidRPr="00121A51">
        <w:t>†</w:t>
      </w:r>
      <w:r w:rsidR="00B1682D" w:rsidRPr="00121A51">
        <w:t xml:space="preserve"> </w:t>
      </w:r>
      <w:r w:rsidR="000E40A9" w:rsidRPr="00121A51">
        <w:tab/>
      </w:r>
      <w:r w:rsidR="003B2C8A" w:rsidRPr="00121A51">
        <w:t xml:space="preserve">The $5 patient co-payment for community pharmaceuticals in </w:t>
      </w:r>
      <w:r w:rsidR="00E6006E">
        <w:t>Aotearoa New </w:t>
      </w:r>
      <w:r w:rsidR="00451144">
        <w:t>Zealand</w:t>
      </w:r>
      <w:r w:rsidR="003B2C8A" w:rsidRPr="00121A51">
        <w:t xml:space="preserve"> was removed between 1 July 2023 to 1 July 2024. During this </w:t>
      </w:r>
      <w:proofErr w:type="gramStart"/>
      <w:r w:rsidR="003B2C8A" w:rsidRPr="00121A51">
        <w:t>time period</w:t>
      </w:r>
      <w:proofErr w:type="gramEnd"/>
      <w:r w:rsidR="003B2C8A" w:rsidRPr="00121A51">
        <w:t xml:space="preserve"> there was no patient co-payment for community pharmaceuticals. </w:t>
      </w:r>
    </w:p>
    <w:p w14:paraId="474AFB00" w14:textId="57D51F91" w:rsidR="003B2C8A" w:rsidRPr="00121A51" w:rsidRDefault="003B2C8A" w:rsidP="00D43C30">
      <w:pPr>
        <w:pStyle w:val="Note"/>
        <w:ind w:firstLine="0"/>
      </w:pPr>
      <w:r w:rsidRPr="00121A51">
        <w:t xml:space="preserve">For further information on how medicines are funded in </w:t>
      </w:r>
      <w:r w:rsidR="00E6006E">
        <w:t>Aotearoa New </w:t>
      </w:r>
      <w:r w:rsidR="00451144">
        <w:t>Zealand</w:t>
      </w:r>
      <w:r w:rsidR="00C52BD5" w:rsidRPr="00121A51">
        <w:t>,</w:t>
      </w:r>
      <w:r w:rsidRPr="00121A51">
        <w:t xml:space="preserve"> see page 9 of the 2022 </w:t>
      </w:r>
      <w:r w:rsidR="00E93F27" w:rsidRPr="00121A51">
        <w:t>r</w:t>
      </w:r>
      <w:r w:rsidRPr="00121A51">
        <w:t xml:space="preserve">eport or </w:t>
      </w:r>
      <w:proofErr w:type="spellStart"/>
      <w:r w:rsidRPr="00121A51">
        <w:t>Pharmac’s</w:t>
      </w:r>
      <w:proofErr w:type="spellEnd"/>
      <w:r w:rsidRPr="00121A51">
        <w:t xml:space="preserve"> web page </w:t>
      </w:r>
      <w:r w:rsidR="006D5A54" w:rsidRPr="00121A51">
        <w:t>titled</w:t>
      </w:r>
      <w:r w:rsidRPr="00121A51">
        <w:t xml:space="preserve"> </w:t>
      </w:r>
      <w:r w:rsidR="004456A6" w:rsidRPr="00121A51">
        <w:t>‘</w:t>
      </w:r>
      <w:r w:rsidRPr="00121A51">
        <w:t>The funding process</w:t>
      </w:r>
      <w:r w:rsidR="004456A6" w:rsidRPr="00121A51">
        <w:t>’ (</w:t>
      </w:r>
      <w:hyperlink r:id="rId46" w:history="1">
        <w:r w:rsidR="004456A6" w:rsidRPr="00121A51">
          <w:rPr>
            <w:rStyle w:val="Hyperlink"/>
          </w:rPr>
          <w:t>pharmac.govt.nz/medicine-funding-and-supply/the-funding-process</w:t>
        </w:r>
      </w:hyperlink>
      <w:r w:rsidR="004456A6" w:rsidRPr="00121A51">
        <w:t xml:space="preserve">). </w:t>
      </w:r>
    </w:p>
    <w:p w14:paraId="12A49A2F" w14:textId="08D509A3" w:rsidR="008C11AC" w:rsidRPr="00121A51" w:rsidRDefault="003B2C8A" w:rsidP="00D43C30">
      <w:pPr>
        <w:pStyle w:val="Note"/>
        <w:ind w:firstLine="0"/>
      </w:pPr>
      <w:r w:rsidRPr="00121A51">
        <w:t>For further information on how medicines are funded in Australia</w:t>
      </w:r>
      <w:r w:rsidR="006D5A54" w:rsidRPr="00121A51">
        <w:t>,</w:t>
      </w:r>
      <w:r w:rsidRPr="00121A51">
        <w:t xml:space="preserve"> see Parliament of Australia </w:t>
      </w:r>
      <w:r w:rsidR="00D43C30" w:rsidRPr="00121A51">
        <w:t>(2022)</w:t>
      </w:r>
      <w:r w:rsidRPr="00121A51">
        <w:t>.</w:t>
      </w:r>
    </w:p>
    <w:p w14:paraId="4D59D949" w14:textId="18D883AE" w:rsidR="0071652B" w:rsidRPr="00121A51" w:rsidRDefault="00010420" w:rsidP="00B64EA2">
      <w:pPr>
        <w:pStyle w:val="Note"/>
      </w:pPr>
      <w:r w:rsidRPr="00121A51">
        <w:t>‡</w:t>
      </w:r>
      <w:r w:rsidRPr="00121A51">
        <w:tab/>
      </w:r>
      <w:r w:rsidR="0071652B" w:rsidRPr="00121A51">
        <w:t>Australian Government Department of Health and Aged Care (2023)</w:t>
      </w:r>
      <w:r w:rsidR="00B12D61" w:rsidRPr="00121A51">
        <w:t>.</w:t>
      </w:r>
    </w:p>
    <w:p w14:paraId="0AF19373" w14:textId="2FCF3482" w:rsidR="0071652B" w:rsidRPr="00121A51" w:rsidRDefault="00B12D61" w:rsidP="00B64EA2">
      <w:pPr>
        <w:pStyle w:val="Note"/>
      </w:pPr>
      <w:r w:rsidRPr="00121A51">
        <w:t>§</w:t>
      </w:r>
      <w:r w:rsidRPr="00121A51">
        <w:tab/>
      </w:r>
      <w:r w:rsidR="0071652B" w:rsidRPr="00121A51">
        <w:t xml:space="preserve">Pharmac (2023). </w:t>
      </w:r>
    </w:p>
    <w:p w14:paraId="70B252A7" w14:textId="01CD4803" w:rsidR="0071652B" w:rsidRPr="00121A51" w:rsidRDefault="00B12D61" w:rsidP="00B64EA2">
      <w:pPr>
        <w:pStyle w:val="Note"/>
      </w:pPr>
      <w:r w:rsidRPr="00121A51">
        <w:t>¶</w:t>
      </w:r>
      <w:r w:rsidRPr="00121A51">
        <w:tab/>
      </w:r>
      <w:r w:rsidR="0071652B" w:rsidRPr="00121A51">
        <w:t>Sourced from Australian Bureau of Statistics</w:t>
      </w:r>
      <w:r w:rsidR="00C3152B" w:rsidRPr="00121A51">
        <w:t>.</w:t>
      </w:r>
      <w:r w:rsidR="0071652B" w:rsidRPr="00121A51">
        <w:t xml:space="preserve"> </w:t>
      </w:r>
    </w:p>
    <w:p w14:paraId="28DD21A4" w14:textId="4AD2E041" w:rsidR="0071652B" w:rsidRPr="00121A51" w:rsidRDefault="00B12D61" w:rsidP="00B64EA2">
      <w:pPr>
        <w:pStyle w:val="Note"/>
      </w:pPr>
      <w:r w:rsidRPr="00121A51">
        <w:t>#</w:t>
      </w:r>
      <w:r w:rsidRPr="00121A51">
        <w:tab/>
      </w:r>
      <w:r w:rsidR="0071652B" w:rsidRPr="00121A51">
        <w:t>Sourced from Stats NZ</w:t>
      </w:r>
      <w:r w:rsidR="00C3152B" w:rsidRPr="00121A51">
        <w:t>.</w:t>
      </w:r>
    </w:p>
    <w:p w14:paraId="243C9896" w14:textId="77777777" w:rsidR="00615E9F" w:rsidRPr="00E44F3E" w:rsidRDefault="00615E9F" w:rsidP="00701F45">
      <w:pPr>
        <w:pStyle w:val="Heading2"/>
        <w:pageBreakBefore/>
      </w:pPr>
      <w:bookmarkStart w:id="24" w:name="_Toc99442403"/>
      <w:bookmarkStart w:id="25" w:name="_Toc99443148"/>
      <w:bookmarkStart w:id="26" w:name="_Toc99443559"/>
      <w:bookmarkStart w:id="27" w:name="_Toc99443714"/>
      <w:bookmarkStart w:id="28" w:name="_Toc100739011"/>
      <w:bookmarkStart w:id="29" w:name="_Toc175228993"/>
      <w:bookmarkStart w:id="30" w:name="_Toc180062098"/>
      <w:r w:rsidRPr="00E44F3E">
        <w:lastRenderedPageBreak/>
        <w:t>What this analysis sets out to achieve</w:t>
      </w:r>
      <w:bookmarkEnd w:id="24"/>
      <w:bookmarkEnd w:id="25"/>
      <w:bookmarkEnd w:id="26"/>
      <w:bookmarkEnd w:id="27"/>
      <w:bookmarkEnd w:id="28"/>
      <w:bookmarkEnd w:id="29"/>
      <w:bookmarkEnd w:id="30"/>
    </w:p>
    <w:p w14:paraId="43B681B1" w14:textId="69EED29F" w:rsidR="00615E9F" w:rsidRPr="00E44F3E" w:rsidRDefault="00615E9F" w:rsidP="00701F45">
      <w:r w:rsidRPr="00E44F3E">
        <w:t xml:space="preserve">This report aims to compare the current state of publicly funded blood cancer medicine availability in </w:t>
      </w:r>
      <w:r w:rsidR="00E6006E">
        <w:t>Aotearoa New </w:t>
      </w:r>
      <w:r w:rsidR="00451144">
        <w:t>Zealand</w:t>
      </w:r>
      <w:r w:rsidRPr="00E44F3E">
        <w:t xml:space="preserve"> with publicly funded blood cancer medicine availability in Australia. For blood cancer medicines identified as being available in Australia but not in </w:t>
      </w:r>
      <w:r w:rsidR="00E6006E">
        <w:t>Aotearoa New </w:t>
      </w:r>
      <w:r w:rsidR="00451144">
        <w:t>Zealand</w:t>
      </w:r>
      <w:r w:rsidRPr="00E44F3E">
        <w:t xml:space="preserve">, the magnitude of clinical benefit of the identified medicine gaps is described using the European Society </w:t>
      </w:r>
      <w:r w:rsidR="005203EE">
        <w:t>for</w:t>
      </w:r>
      <w:r w:rsidRPr="00E44F3E">
        <w:t xml:space="preserve"> Medical Oncology </w:t>
      </w:r>
      <w:r w:rsidR="005203EE">
        <w:t xml:space="preserve">– </w:t>
      </w:r>
      <w:r w:rsidRPr="00E44F3E">
        <w:t xml:space="preserve">Magnitude of Clinical Benefit Scale for Haematological </w:t>
      </w:r>
      <w:r w:rsidR="007C44DC" w:rsidRPr="007C44DC">
        <w:t>Malignancies</w:t>
      </w:r>
      <w:r w:rsidR="007C44DC" w:rsidRPr="007C44DC" w:rsidDel="007C44DC">
        <w:t xml:space="preserve"> </w:t>
      </w:r>
      <w:r w:rsidRPr="00E44F3E">
        <w:t xml:space="preserve">(ESMO-MCBS:H). </w:t>
      </w:r>
    </w:p>
    <w:p w14:paraId="4B9A3CEA" w14:textId="77777777" w:rsidR="00615E9F" w:rsidRPr="00E44F3E" w:rsidRDefault="00615E9F" w:rsidP="00615E9F"/>
    <w:p w14:paraId="771FC023" w14:textId="77777777" w:rsidR="00615E9F" w:rsidRPr="00E44F3E" w:rsidRDefault="00615E9F" w:rsidP="00615E9F">
      <w:r w:rsidRPr="00E44F3E">
        <w:t>The analysis was designed to establish a system-level understanding of the medicine availability between the countries to inform public discourse.</w:t>
      </w:r>
    </w:p>
    <w:p w14:paraId="0CD360FE" w14:textId="77777777" w:rsidR="00615E9F" w:rsidRPr="00E44F3E" w:rsidRDefault="00615E9F">
      <w:pPr>
        <w:rPr>
          <w:lang w:eastAsia="en-US"/>
        </w:rPr>
      </w:pPr>
    </w:p>
    <w:p w14:paraId="20CD786D" w14:textId="24B88677" w:rsidR="004B3A98" w:rsidRPr="00E44F3E" w:rsidRDefault="004B3A98" w:rsidP="004B3A98">
      <w:pPr>
        <w:pStyle w:val="Heading1"/>
        <w:rPr>
          <w:color w:val="0AB58F"/>
        </w:rPr>
      </w:pPr>
      <w:bookmarkStart w:id="31" w:name="_Ref177645678"/>
      <w:bookmarkStart w:id="32" w:name="_Toc180062099"/>
      <w:r w:rsidRPr="00E44F3E">
        <w:lastRenderedPageBreak/>
        <w:t xml:space="preserve">NGĀ TUKANGA </w:t>
      </w:r>
      <w:r w:rsidRPr="00E44F3E">
        <w:rPr>
          <w:color w:val="FFFFFF" w:themeColor="background1"/>
        </w:rPr>
        <w:t>|</w:t>
      </w:r>
      <w:r w:rsidRPr="00E44F3E">
        <w:br/>
      </w:r>
      <w:r w:rsidRPr="00E44F3E">
        <w:rPr>
          <w:color w:val="0AB58F"/>
        </w:rPr>
        <w:t>METHODS</w:t>
      </w:r>
      <w:bookmarkEnd w:id="31"/>
      <w:bookmarkEnd w:id="32"/>
    </w:p>
    <w:p w14:paraId="50C7EFE7" w14:textId="7A05B395" w:rsidR="00A94523" w:rsidRPr="00E44F3E" w:rsidRDefault="00A94523" w:rsidP="00A94523">
      <w:r w:rsidRPr="00E44F3E">
        <w:t xml:space="preserve">The primary purpose of this analysis was to complete the original objective of the 2022 report by conducting an analysis comparing the availability of publicly funded blood cancer medicines in Australia with the availability of publicly funded blood cancer medicines in </w:t>
      </w:r>
      <w:r w:rsidR="00E6006E">
        <w:t>Aotearoa New </w:t>
      </w:r>
      <w:r w:rsidR="00451144">
        <w:t>Zealand</w:t>
      </w:r>
      <w:r w:rsidRPr="00E44F3E">
        <w:t xml:space="preserve">. For the blood cancer medicines that were identified as being available in Australia but not </w:t>
      </w:r>
      <w:r w:rsidR="00761832">
        <w:t xml:space="preserve">in </w:t>
      </w:r>
      <w:r w:rsidR="00E6006E">
        <w:t>Aotearoa New </w:t>
      </w:r>
      <w:r w:rsidR="00451144">
        <w:t>Zealand</w:t>
      </w:r>
      <w:r w:rsidRPr="00E44F3E">
        <w:t xml:space="preserve">, the analysis also determines the materiality of the gap by assessing the magnitude of clinical benefit. </w:t>
      </w:r>
    </w:p>
    <w:p w14:paraId="214B6369" w14:textId="77777777" w:rsidR="00A94523" w:rsidRPr="00E44F3E" w:rsidRDefault="00A94523" w:rsidP="00A94523"/>
    <w:p w14:paraId="64317B99" w14:textId="5AD737EB" w:rsidR="00A94523" w:rsidRPr="00E44F3E" w:rsidRDefault="00A94523" w:rsidP="00A94523">
      <w:r w:rsidRPr="00E44F3E">
        <w:t xml:space="preserve">The 2022 </w:t>
      </w:r>
      <w:r w:rsidR="00EA4A06">
        <w:t>r</w:t>
      </w:r>
      <w:r w:rsidRPr="00E44F3E">
        <w:t xml:space="preserve">eport did list the gaps in blood cancer medicine availability between Australia and </w:t>
      </w:r>
      <w:r w:rsidR="00E6006E">
        <w:t>Aotearoa New </w:t>
      </w:r>
      <w:r w:rsidR="00451144">
        <w:t>Zealand</w:t>
      </w:r>
      <w:r w:rsidRPr="00E44F3E">
        <w:t xml:space="preserve"> but did not comment on any likely clinical benefit of the identified gaps. This was because the tool used to measure the magnitude of clinical benefit (</w:t>
      </w:r>
      <w:r w:rsidR="00775FDC">
        <w:t xml:space="preserve">the </w:t>
      </w:r>
      <w:r w:rsidRPr="00E44F3E">
        <w:t xml:space="preserve">ESMO-MCBS) was not validated for use with blood cancer medicines at that time. In mid-2023, a variation of the ESMO-MCBS specific to blood cancer medicines </w:t>
      </w:r>
      <w:r w:rsidR="00BA1589">
        <w:t xml:space="preserve">– </w:t>
      </w:r>
      <w:r w:rsidR="00775FDC">
        <w:t xml:space="preserve">the </w:t>
      </w:r>
      <w:r w:rsidR="00775FDC" w:rsidRPr="00775FDC">
        <w:t>ESMO-MCBS:H</w:t>
      </w:r>
      <w:r w:rsidR="00BA1589">
        <w:t xml:space="preserve"> –</w:t>
      </w:r>
      <w:r w:rsidR="00775FDC" w:rsidRPr="00775FDC">
        <w:t xml:space="preserve"> </w:t>
      </w:r>
      <w:r w:rsidRPr="00E44F3E">
        <w:t xml:space="preserve">became available. </w:t>
      </w:r>
    </w:p>
    <w:p w14:paraId="595F8F39" w14:textId="77777777" w:rsidR="00A94523" w:rsidRPr="00E44F3E" w:rsidRDefault="00A94523" w:rsidP="00A94523"/>
    <w:p w14:paraId="42065419" w14:textId="4814A0D1" w:rsidR="00A94523" w:rsidRPr="00E44F3E" w:rsidRDefault="00A94523" w:rsidP="00A94523">
      <w:r w:rsidRPr="00E44F3E">
        <w:t xml:space="preserve">Because this analysis is a continuation of the 2022 </w:t>
      </w:r>
      <w:r w:rsidR="00EA4A06">
        <w:t>r</w:t>
      </w:r>
      <w:r w:rsidRPr="00E44F3E">
        <w:t xml:space="preserve">eport, this analysis utilised the same methodology that was outlined in the 2022 </w:t>
      </w:r>
      <w:r w:rsidR="00EA4A06">
        <w:t>r</w:t>
      </w:r>
      <w:r w:rsidRPr="00E44F3E">
        <w:t xml:space="preserve">eport. A high-level summary of the methodology is explained here. For further information, please refer to the 2022 </w:t>
      </w:r>
      <w:r w:rsidR="00EA4A06">
        <w:t>r</w:t>
      </w:r>
      <w:r w:rsidRPr="00E44F3E">
        <w:t>eport</w:t>
      </w:r>
      <w:r w:rsidR="00F40E5A">
        <w:t xml:space="preserve"> (</w:t>
      </w:r>
      <w:r w:rsidR="00F40E5A" w:rsidRPr="00F40E5A">
        <w:t>Te Aho o Te Kahu 2022</w:t>
      </w:r>
      <w:r w:rsidR="00F40E5A">
        <w:t>)</w:t>
      </w:r>
      <w:r w:rsidRPr="00E44F3E">
        <w:t xml:space="preserve">. </w:t>
      </w:r>
    </w:p>
    <w:p w14:paraId="183E9ED4" w14:textId="5A6A55F4" w:rsidR="00A94523" w:rsidRPr="00E44F3E" w:rsidRDefault="00A94523" w:rsidP="00A94523">
      <w:pPr>
        <w:pStyle w:val="Heading2"/>
      </w:pPr>
      <w:bookmarkStart w:id="33" w:name="_Toc175228995"/>
      <w:bookmarkStart w:id="34" w:name="_Toc180062100"/>
      <w:r w:rsidRPr="00E44F3E">
        <w:t xml:space="preserve">Why did we compare medicine availability in </w:t>
      </w:r>
      <w:r w:rsidR="00E6006E">
        <w:t>Aotearoa New </w:t>
      </w:r>
      <w:r w:rsidR="00451144">
        <w:t>Zealand</w:t>
      </w:r>
      <w:r w:rsidRPr="00E44F3E">
        <w:t xml:space="preserve"> with that in Australia?</w:t>
      </w:r>
      <w:bookmarkEnd w:id="33"/>
      <w:bookmarkEnd w:id="34"/>
    </w:p>
    <w:p w14:paraId="355FE802" w14:textId="41C3743E" w:rsidR="00A94523" w:rsidRPr="00E44F3E" w:rsidRDefault="00A94523" w:rsidP="00A94523">
      <w:r w:rsidRPr="00E44F3E">
        <w:t xml:space="preserve">Australia was selected as a comparator country for </w:t>
      </w:r>
      <w:r w:rsidR="00872425">
        <w:t xml:space="preserve">the following </w:t>
      </w:r>
      <w:r w:rsidR="00872425" w:rsidRPr="00E44F3E">
        <w:t>reasons</w:t>
      </w:r>
      <w:r w:rsidR="00872425">
        <w:t>.</w:t>
      </w:r>
    </w:p>
    <w:p w14:paraId="3B546906" w14:textId="77777777" w:rsidR="00A94523" w:rsidRPr="00E44F3E" w:rsidRDefault="00A94523" w:rsidP="00A94523">
      <w:pPr>
        <w:pStyle w:val="Bullet"/>
      </w:pPr>
      <w:r w:rsidRPr="00E44F3E">
        <w:t xml:space="preserve">Australia has a broadly similar health system and approach to pharmaceutical funding. </w:t>
      </w:r>
    </w:p>
    <w:p w14:paraId="304DCBEB" w14:textId="77777777" w:rsidR="00A94523" w:rsidRPr="00E44F3E" w:rsidRDefault="00A94523" w:rsidP="00A94523">
      <w:pPr>
        <w:pStyle w:val="Bullet"/>
      </w:pPr>
      <w:r w:rsidRPr="00E44F3E">
        <w:t xml:space="preserve">Information on which medicines are publicly funded is clear and easily accessible. </w:t>
      </w:r>
    </w:p>
    <w:p w14:paraId="3394CDD0" w14:textId="78069172" w:rsidR="00A94523" w:rsidRPr="00E44F3E" w:rsidRDefault="00A94523" w:rsidP="00A94523">
      <w:pPr>
        <w:pStyle w:val="Bullet"/>
      </w:pPr>
      <w:r w:rsidRPr="00E44F3E">
        <w:t xml:space="preserve">Comparisons between Australia and </w:t>
      </w:r>
      <w:r w:rsidR="00E6006E">
        <w:t>Aotearoa New </w:t>
      </w:r>
      <w:r w:rsidR="00451144">
        <w:t>Zealand</w:t>
      </w:r>
      <w:r w:rsidRPr="00E44F3E">
        <w:t xml:space="preserve"> with respect to health care outcomes and health care availability, particularly for cancer, </w:t>
      </w:r>
      <w:r w:rsidR="00FB66FA">
        <w:t>are</w:t>
      </w:r>
      <w:r w:rsidR="00FB66FA" w:rsidRPr="00E44F3E">
        <w:t xml:space="preserve"> </w:t>
      </w:r>
      <w:r w:rsidRPr="00E44F3E">
        <w:t xml:space="preserve">relatively common in public discourse. Australia is a country </w:t>
      </w:r>
      <w:r w:rsidR="00E6006E">
        <w:t>Aotearoa New </w:t>
      </w:r>
      <w:r w:rsidR="00451144">
        <w:t>Zealand</w:t>
      </w:r>
      <w:r w:rsidRPr="00E44F3E">
        <w:t xml:space="preserve"> often compares and benchmarks itself against. </w:t>
      </w:r>
    </w:p>
    <w:p w14:paraId="6EA87D6D" w14:textId="77777777" w:rsidR="00A94523" w:rsidRPr="00E44F3E" w:rsidRDefault="00A94523" w:rsidP="00A94523">
      <w:pPr>
        <w:pStyle w:val="Heading2"/>
      </w:pPr>
      <w:bookmarkStart w:id="35" w:name="_Toc180062101"/>
      <w:r w:rsidRPr="00E44F3E">
        <w:t>How did we determine differences in medicine availability?</w:t>
      </w:r>
      <w:bookmarkEnd w:id="35"/>
    </w:p>
    <w:p w14:paraId="50E0A8C5" w14:textId="2F06B1C2" w:rsidR="00A94523" w:rsidRPr="00E44F3E" w:rsidRDefault="00A94523" w:rsidP="00A94523">
      <w:r w:rsidRPr="00E44F3E">
        <w:t xml:space="preserve">In this report, we compared the list of medicines for the treatment of blood cancers that are publicly funded in Australia with those that are publicly funded in </w:t>
      </w:r>
      <w:r w:rsidR="00E6006E">
        <w:t xml:space="preserve">Aotearoa </w:t>
      </w:r>
      <w:r w:rsidR="00E6006E">
        <w:lastRenderedPageBreak/>
        <w:t>New </w:t>
      </w:r>
      <w:r w:rsidR="003B42AA">
        <w:t>Zealand</w:t>
      </w:r>
      <w:r w:rsidRPr="00E44F3E">
        <w:t xml:space="preserve">. From this comparison we were able to determine which blood cancer medicines are available in: </w:t>
      </w:r>
    </w:p>
    <w:p w14:paraId="55B7763D" w14:textId="2EDE3652" w:rsidR="00A94523" w:rsidRPr="00E44F3E" w:rsidRDefault="00A94523" w:rsidP="00A94523">
      <w:pPr>
        <w:pStyle w:val="Bullet"/>
      </w:pPr>
      <w:r w:rsidRPr="00E44F3E">
        <w:t xml:space="preserve">both Australia and </w:t>
      </w:r>
      <w:r w:rsidR="00E6006E">
        <w:t>Aotearoa New </w:t>
      </w:r>
      <w:r w:rsidR="003B42AA">
        <w:t>Zealand</w:t>
      </w:r>
      <w:r w:rsidRPr="00E44F3E">
        <w:t xml:space="preserve"> </w:t>
      </w:r>
    </w:p>
    <w:p w14:paraId="7A3FF8D8" w14:textId="1DD6AF46" w:rsidR="00A94523" w:rsidRPr="00E44F3E" w:rsidRDefault="00A94523" w:rsidP="00A94523">
      <w:pPr>
        <w:pStyle w:val="Bullet"/>
      </w:pPr>
      <w:r w:rsidRPr="00E44F3E">
        <w:t xml:space="preserve">Australia but not in </w:t>
      </w:r>
      <w:r w:rsidR="00E6006E">
        <w:t>Aotearoa New </w:t>
      </w:r>
      <w:r w:rsidR="003B42AA">
        <w:t>Zealand</w:t>
      </w:r>
    </w:p>
    <w:p w14:paraId="033A6BE3" w14:textId="500ECED8" w:rsidR="00A94523" w:rsidRPr="00E44F3E" w:rsidRDefault="00E6006E" w:rsidP="00A94523">
      <w:pPr>
        <w:pStyle w:val="Bullet"/>
      </w:pPr>
      <w:r>
        <w:t>Aotearoa New </w:t>
      </w:r>
      <w:r w:rsidR="003B42AA">
        <w:t>Zealand</w:t>
      </w:r>
      <w:r w:rsidR="00A94523" w:rsidRPr="00E44F3E">
        <w:t xml:space="preserve"> but not in Australia. </w:t>
      </w:r>
    </w:p>
    <w:p w14:paraId="734988DA" w14:textId="77777777" w:rsidR="00A94523" w:rsidRPr="00E44F3E" w:rsidRDefault="00A94523" w:rsidP="00A94523"/>
    <w:p w14:paraId="67140589" w14:textId="63221A12" w:rsidR="00A94523" w:rsidRPr="00E44F3E" w:rsidRDefault="00A94523" w:rsidP="00A94523">
      <w:r w:rsidRPr="00E44F3E">
        <w:t>A list of</w:t>
      </w:r>
      <w:r w:rsidRPr="00E44F3E" w:rsidDel="00D57070">
        <w:t xml:space="preserve"> </w:t>
      </w:r>
      <w:r w:rsidRPr="00E44F3E">
        <w:t xml:space="preserve">medicines publicly funded in Australia is available through the </w:t>
      </w:r>
      <w:bookmarkStart w:id="36" w:name="_Hlk177464487"/>
      <w:r w:rsidRPr="00E44F3E">
        <w:t>Pharmaceutical Benefits Scheme</w:t>
      </w:r>
      <w:r w:rsidR="00D43C30">
        <w:t xml:space="preserve"> (PBS)</w:t>
      </w:r>
      <w:bookmarkEnd w:id="36"/>
      <w:r w:rsidR="00C6170B">
        <w:t>,</w:t>
      </w:r>
      <w:r w:rsidRPr="00E44F3E">
        <w:t xml:space="preserve"> which is a part of Australia’s Department of Health and Aged Care. A list of</w:t>
      </w:r>
      <w:r w:rsidRPr="00E44F3E" w:rsidDel="00BF706E">
        <w:t xml:space="preserve"> </w:t>
      </w:r>
      <w:r w:rsidRPr="00E44F3E">
        <w:t xml:space="preserve">medicines publicly funded in </w:t>
      </w:r>
      <w:r w:rsidR="00E6006E">
        <w:t>Aotearoa New </w:t>
      </w:r>
      <w:r w:rsidR="003B42AA">
        <w:t>Zealand</w:t>
      </w:r>
      <w:r w:rsidRPr="00E44F3E">
        <w:t xml:space="preserve"> is available through </w:t>
      </w:r>
      <w:proofErr w:type="spellStart"/>
      <w:r w:rsidRPr="00E44F3E">
        <w:t>Pharmac’s</w:t>
      </w:r>
      <w:proofErr w:type="spellEnd"/>
      <w:r w:rsidRPr="00E44F3E">
        <w:t xml:space="preserve"> Pharmaceutical Schedule. We compared blood cancer medicine availability between the two lists as of 1 January 2024.</w:t>
      </w:r>
    </w:p>
    <w:p w14:paraId="062550BC" w14:textId="77777777" w:rsidR="00A94523" w:rsidRPr="00E44F3E" w:rsidRDefault="00A94523" w:rsidP="00A94523">
      <w:pPr>
        <w:pStyle w:val="Heading2"/>
      </w:pPr>
      <w:bookmarkStart w:id="37" w:name="_Toc175228996"/>
      <w:bookmarkStart w:id="38" w:name="_Ref177044462"/>
      <w:bookmarkStart w:id="39" w:name="_Ref177044479"/>
      <w:bookmarkStart w:id="40" w:name="_Toc180062102"/>
      <w:r w:rsidRPr="00E44F3E">
        <w:t>What was considered a gap?</w:t>
      </w:r>
      <w:bookmarkEnd w:id="37"/>
      <w:bookmarkEnd w:id="38"/>
      <w:bookmarkEnd w:id="39"/>
      <w:bookmarkEnd w:id="40"/>
    </w:p>
    <w:p w14:paraId="6096E85A" w14:textId="5542C7D0" w:rsidR="00A94523" w:rsidRPr="00E44F3E" w:rsidRDefault="00A94523" w:rsidP="00A94523">
      <w:r w:rsidRPr="00E44F3E">
        <w:t xml:space="preserve">One cancer medicine may be used in the treatment of more than one cancer type or clinical circumstance. The specific clinical circumstance a medicine is used for is called the </w:t>
      </w:r>
      <w:r w:rsidRPr="00E44F3E">
        <w:rPr>
          <w:b/>
          <w:bCs/>
        </w:rPr>
        <w:t>indication</w:t>
      </w:r>
      <w:r w:rsidR="00C6170B" w:rsidRPr="00681571">
        <w:t>.</w:t>
      </w:r>
      <w:r w:rsidRPr="00E44F3E">
        <w:t xml:space="preserve"> An example of this is the blood cancer medicine called pembrolizumab</w:t>
      </w:r>
      <w:r w:rsidR="00C6170B">
        <w:t>,</w:t>
      </w:r>
      <w:r w:rsidRPr="00E44F3E">
        <w:t xml:space="preserve"> which can be used for two indications: one being relapsed or refractory Hodgkin’s lymphoma and the other being relapsed or refractory primary mediastinal B-cell lymphoma. Some cancer treatment consists of more than one cancer medicine being used at the same time (</w:t>
      </w:r>
      <w:proofErr w:type="spellStart"/>
      <w:r w:rsidR="0083352C">
        <w:t>ie</w:t>
      </w:r>
      <w:proofErr w:type="spellEnd"/>
      <w:r w:rsidRPr="00E44F3E">
        <w:t xml:space="preserve">, used in combination) for a specific indication. The combination of treatments to treat a single indication is called a </w:t>
      </w:r>
      <w:r w:rsidRPr="00E44F3E">
        <w:rPr>
          <w:b/>
          <w:bCs/>
        </w:rPr>
        <w:t>regimen</w:t>
      </w:r>
      <w:r w:rsidR="007A1744" w:rsidRPr="00681571">
        <w:t>.</w:t>
      </w:r>
      <w:r w:rsidRPr="00E44F3E">
        <w:t xml:space="preserve"> </w:t>
      </w:r>
    </w:p>
    <w:p w14:paraId="185CBD68" w14:textId="77777777" w:rsidR="00A94523" w:rsidRPr="00E44F3E" w:rsidRDefault="00A94523" w:rsidP="00A94523"/>
    <w:p w14:paraId="38DB0A29" w14:textId="7DF85A5D" w:rsidR="00A94523" w:rsidRPr="00E44F3E" w:rsidRDefault="00A94523" w:rsidP="00A94523">
      <w:r w:rsidRPr="00E44F3E">
        <w:t xml:space="preserve">This report defines gaps in medicine availability between Australia and </w:t>
      </w:r>
      <w:r w:rsidR="00E6006E">
        <w:t>Aotearoa New </w:t>
      </w:r>
      <w:r w:rsidR="003B42AA">
        <w:t>Zealand</w:t>
      </w:r>
      <w:r w:rsidRPr="00E44F3E">
        <w:t xml:space="preserve"> in three ways: </w:t>
      </w:r>
    </w:p>
    <w:p w14:paraId="46219665" w14:textId="3BAF9FE4" w:rsidR="00A94523" w:rsidRPr="00E44F3E" w:rsidRDefault="00A94523" w:rsidP="007A1744">
      <w:pPr>
        <w:pStyle w:val="ListNumber"/>
        <w:spacing w:before="240"/>
        <w:rPr>
          <w:b/>
          <w:bCs/>
        </w:rPr>
      </w:pPr>
      <w:bookmarkStart w:id="41" w:name="_Ref166510924"/>
      <w:r w:rsidRPr="00E44F3E">
        <w:rPr>
          <w:b/>
          <w:bCs/>
        </w:rPr>
        <w:t>Individual medicine gaps (</w:t>
      </w:r>
      <w:proofErr w:type="spellStart"/>
      <w:r w:rsidR="0083352C">
        <w:rPr>
          <w:b/>
          <w:bCs/>
        </w:rPr>
        <w:t>eg</w:t>
      </w:r>
      <w:proofErr w:type="spellEnd"/>
      <w:r w:rsidR="0083352C">
        <w:rPr>
          <w:b/>
          <w:bCs/>
        </w:rPr>
        <w:t>,</w:t>
      </w:r>
      <w:r w:rsidRPr="00E44F3E">
        <w:rPr>
          <w:b/>
          <w:bCs/>
        </w:rPr>
        <w:t xml:space="preserve"> azacitidine)</w:t>
      </w:r>
      <w:bookmarkEnd w:id="41"/>
      <w:r w:rsidRPr="00E44F3E">
        <w:rPr>
          <w:b/>
          <w:bCs/>
        </w:rPr>
        <w:t xml:space="preserve"> </w:t>
      </w:r>
    </w:p>
    <w:p w14:paraId="11936FD2" w14:textId="5B95BC47" w:rsidR="00A94523" w:rsidRPr="00E44F3E" w:rsidRDefault="00D84658" w:rsidP="00797461">
      <w:pPr>
        <w:pStyle w:val="Normalindent"/>
      </w:pPr>
      <w:r>
        <w:t>‘</w:t>
      </w:r>
      <w:r w:rsidR="00A94523" w:rsidRPr="00E44F3E">
        <w:t>Individual medicine gaps</w:t>
      </w:r>
      <w:r>
        <w:t>’</w:t>
      </w:r>
      <w:r w:rsidR="00A94523" w:rsidRPr="00E44F3E">
        <w:t xml:space="preserve"> refer</w:t>
      </w:r>
      <w:r>
        <w:t>s</w:t>
      </w:r>
      <w:r w:rsidR="00A94523" w:rsidRPr="00E44F3E">
        <w:t xml:space="preserve"> to individual medicines that are funded in Australia but not in </w:t>
      </w:r>
      <w:r w:rsidR="00E6006E">
        <w:t>Aotearoa New </w:t>
      </w:r>
      <w:r w:rsidR="003B42AA">
        <w:t>Zealand</w:t>
      </w:r>
      <w:r w:rsidR="00A94523" w:rsidRPr="00E44F3E">
        <w:t xml:space="preserve"> irrespective of the specific clinical circumstance the medicine is used for (indication) or whether it needs to be used with another medicine at the same time (regimen). </w:t>
      </w:r>
    </w:p>
    <w:p w14:paraId="60357792" w14:textId="77777777" w:rsidR="00A94523" w:rsidRPr="00E44F3E" w:rsidRDefault="00A94523" w:rsidP="00797461">
      <w:pPr>
        <w:pStyle w:val="Normalindent"/>
      </w:pPr>
    </w:p>
    <w:p w14:paraId="7E390349" w14:textId="1A64D074" w:rsidR="00A94523" w:rsidRPr="00E44F3E" w:rsidRDefault="00A94523" w:rsidP="00797461">
      <w:pPr>
        <w:pStyle w:val="ListNumber"/>
        <w:ind w:left="357" w:hanging="357"/>
        <w:rPr>
          <w:b/>
          <w:bCs/>
        </w:rPr>
      </w:pPr>
      <w:bookmarkStart w:id="42" w:name="_Hlk177114816"/>
      <w:r w:rsidRPr="00E44F3E">
        <w:rPr>
          <w:b/>
          <w:bCs/>
        </w:rPr>
        <w:t xml:space="preserve">Medicine-indication pair gaps </w:t>
      </w:r>
      <w:bookmarkEnd w:id="42"/>
      <w:r w:rsidRPr="00E44F3E">
        <w:rPr>
          <w:b/>
          <w:bCs/>
        </w:rPr>
        <w:t>(</w:t>
      </w:r>
      <w:proofErr w:type="spellStart"/>
      <w:r w:rsidR="0083352C">
        <w:rPr>
          <w:b/>
          <w:bCs/>
        </w:rPr>
        <w:t>eg</w:t>
      </w:r>
      <w:proofErr w:type="spellEnd"/>
      <w:r w:rsidR="0083352C">
        <w:rPr>
          <w:b/>
          <w:bCs/>
        </w:rPr>
        <w:t>,</w:t>
      </w:r>
      <w:r w:rsidRPr="00E44F3E">
        <w:rPr>
          <w:b/>
          <w:bCs/>
        </w:rPr>
        <w:t xml:space="preserve"> azacitidine for patients who are unfit for intensive chemotherapy) </w:t>
      </w:r>
    </w:p>
    <w:p w14:paraId="712FC209" w14:textId="44B91B1F" w:rsidR="00A94523" w:rsidRPr="00E44F3E" w:rsidRDefault="00763F15" w:rsidP="00AF0DB9">
      <w:pPr>
        <w:pStyle w:val="Normalindent"/>
      </w:pPr>
      <w:r>
        <w:t>‘</w:t>
      </w:r>
      <w:r w:rsidR="00A94523" w:rsidRPr="00E44F3E">
        <w:t>Medicine-indication pair gaps</w:t>
      </w:r>
      <w:r>
        <w:t>’</w:t>
      </w:r>
      <w:r w:rsidR="00A94523" w:rsidRPr="00E44F3E">
        <w:t xml:space="preserve"> refer</w:t>
      </w:r>
      <w:r>
        <w:t>s</w:t>
      </w:r>
      <w:r w:rsidR="00A94523" w:rsidRPr="00E44F3E">
        <w:t xml:space="preserve"> to medicines that are funded in Australia but not in </w:t>
      </w:r>
      <w:r w:rsidR="00E6006E">
        <w:t>Aotearoa New </w:t>
      </w:r>
      <w:r w:rsidR="003B42AA">
        <w:t>Zealand</w:t>
      </w:r>
      <w:r w:rsidR="00A94523" w:rsidRPr="00E44F3E">
        <w:t>, with reference to each specific and different indication for the medicine</w:t>
      </w:r>
      <w:r w:rsidR="00474562">
        <w:t>’</w:t>
      </w:r>
      <w:r w:rsidR="00A94523" w:rsidRPr="00E44F3E">
        <w:t xml:space="preserve">s use. One medicine might be funded for several indications and all the identified indications would need to be funded to close the gap. </w:t>
      </w:r>
    </w:p>
    <w:p w14:paraId="5033C53C" w14:textId="77777777" w:rsidR="00A94523" w:rsidRPr="00E44F3E" w:rsidRDefault="00A94523" w:rsidP="00AF0DB9">
      <w:pPr>
        <w:pStyle w:val="Normalindent"/>
      </w:pPr>
    </w:p>
    <w:p w14:paraId="6D227346" w14:textId="3D08A71F" w:rsidR="00A94523" w:rsidRPr="00E44F3E" w:rsidRDefault="00A94523" w:rsidP="00AF0DB9">
      <w:pPr>
        <w:pStyle w:val="Normalindent"/>
      </w:pPr>
      <w:r w:rsidRPr="00E44F3E">
        <w:t xml:space="preserve">Medicines that are part of medicine regimens and are funded in Australia but not </w:t>
      </w:r>
      <w:r w:rsidR="00761832">
        <w:t xml:space="preserve">in </w:t>
      </w:r>
      <w:r w:rsidR="00E6006E">
        <w:t>Aotearoa New </w:t>
      </w:r>
      <w:r w:rsidR="003B42AA">
        <w:t>Zealand</w:t>
      </w:r>
      <w:r w:rsidRPr="00E44F3E">
        <w:t xml:space="preserve"> will be counted as medicine-indication</w:t>
      </w:r>
      <w:r w:rsidR="000E51A7">
        <w:t xml:space="preserve"> pair</w:t>
      </w:r>
      <w:r w:rsidRPr="00E44F3E">
        <w:t xml:space="preserve"> gaps individually. For example, if medicine A was available in Australia (but not </w:t>
      </w:r>
      <w:r w:rsidR="00334995">
        <w:t xml:space="preserve">in </w:t>
      </w:r>
      <w:r w:rsidR="00E6006E">
        <w:t>Aotearoa New </w:t>
      </w:r>
      <w:r w:rsidR="003B42AA">
        <w:t>Zealand</w:t>
      </w:r>
      <w:r w:rsidRPr="00E44F3E">
        <w:t xml:space="preserve">) for indication X and indication Y, this would be counted as two separate medicine-indication </w:t>
      </w:r>
      <w:r w:rsidR="000E51A7">
        <w:t xml:space="preserve">pair </w:t>
      </w:r>
      <w:r w:rsidRPr="00E44F3E">
        <w:t xml:space="preserve">gaps. In addition, if medicine B was used in combination with medicine C for indication Z this would be counted as two separate medicine-indication </w:t>
      </w:r>
      <w:r w:rsidR="000E51A7">
        <w:t xml:space="preserve">pair </w:t>
      </w:r>
      <w:r w:rsidRPr="00E44F3E">
        <w:t xml:space="preserve">gaps: Medicine B for indication Z would be one gap and medicine C for indication Z would be a separate gap. </w:t>
      </w:r>
    </w:p>
    <w:p w14:paraId="5DAD3485" w14:textId="77777777" w:rsidR="00A94523" w:rsidRPr="00E44F3E" w:rsidRDefault="00A94523" w:rsidP="00AF0DB9">
      <w:pPr>
        <w:pStyle w:val="Normalindent"/>
      </w:pPr>
    </w:p>
    <w:p w14:paraId="58C4C854" w14:textId="19973279" w:rsidR="00A94523" w:rsidRPr="00E44F3E" w:rsidRDefault="00CE38A3" w:rsidP="00F15082">
      <w:pPr>
        <w:pStyle w:val="ListNumber"/>
        <w:keepNext/>
        <w:ind w:left="357" w:hanging="357"/>
        <w:rPr>
          <w:b/>
          <w:bCs/>
        </w:rPr>
      </w:pPr>
      <w:r>
        <w:rPr>
          <w:b/>
          <w:bCs/>
        </w:rPr>
        <w:lastRenderedPageBreak/>
        <w:t>R</w:t>
      </w:r>
      <w:r w:rsidR="00A94523" w:rsidRPr="00E44F3E">
        <w:rPr>
          <w:b/>
          <w:bCs/>
        </w:rPr>
        <w:t>egimen</w:t>
      </w:r>
      <w:r>
        <w:rPr>
          <w:b/>
          <w:bCs/>
        </w:rPr>
        <w:t>-indication</w:t>
      </w:r>
      <w:r w:rsidR="00CE439D">
        <w:rPr>
          <w:b/>
          <w:bCs/>
        </w:rPr>
        <w:t xml:space="preserve"> pair</w:t>
      </w:r>
      <w:r w:rsidR="00A94523" w:rsidRPr="00E44F3E">
        <w:rPr>
          <w:b/>
          <w:bCs/>
        </w:rPr>
        <w:t xml:space="preserve"> gaps (</w:t>
      </w:r>
      <w:proofErr w:type="spellStart"/>
      <w:r w:rsidR="0083352C">
        <w:rPr>
          <w:b/>
          <w:bCs/>
        </w:rPr>
        <w:t>eg</w:t>
      </w:r>
      <w:proofErr w:type="spellEnd"/>
      <w:r w:rsidR="0083352C">
        <w:rPr>
          <w:b/>
          <w:bCs/>
        </w:rPr>
        <w:t>,</w:t>
      </w:r>
      <w:r w:rsidR="00A94523" w:rsidRPr="00E44F3E">
        <w:rPr>
          <w:b/>
          <w:bCs/>
        </w:rPr>
        <w:t xml:space="preserve"> azacitidine with </w:t>
      </w:r>
      <w:proofErr w:type="spellStart"/>
      <w:r w:rsidR="00A94523" w:rsidRPr="00E44F3E">
        <w:rPr>
          <w:b/>
          <w:bCs/>
        </w:rPr>
        <w:t>venetoclax</w:t>
      </w:r>
      <w:proofErr w:type="spellEnd"/>
      <w:r w:rsidR="00A94523" w:rsidRPr="00E44F3E">
        <w:rPr>
          <w:b/>
          <w:bCs/>
        </w:rPr>
        <w:t xml:space="preserve"> for patients who are unfit for intensive chemotherapy)</w:t>
      </w:r>
    </w:p>
    <w:p w14:paraId="6C9CC72B" w14:textId="0E641176" w:rsidR="00A94523" w:rsidRPr="00E44F3E" w:rsidRDefault="00334995" w:rsidP="00AF0DB9">
      <w:pPr>
        <w:pStyle w:val="Normalindent"/>
      </w:pPr>
      <w:r>
        <w:t>‘</w:t>
      </w:r>
      <w:r w:rsidR="00CE38A3">
        <w:t>R</w:t>
      </w:r>
      <w:r w:rsidR="00A94523" w:rsidRPr="00E44F3E">
        <w:t>egimen</w:t>
      </w:r>
      <w:r w:rsidR="00CE38A3">
        <w:t>-</w:t>
      </w:r>
      <w:r w:rsidR="00AD19BF">
        <w:t xml:space="preserve">indication’ </w:t>
      </w:r>
      <w:r w:rsidR="00CE439D">
        <w:t>pair</w:t>
      </w:r>
      <w:r w:rsidR="00A94523" w:rsidRPr="00E44F3E">
        <w:t xml:space="preserve"> gaps</w:t>
      </w:r>
      <w:r>
        <w:t>’</w:t>
      </w:r>
      <w:r w:rsidR="00A94523" w:rsidRPr="00E44F3E">
        <w:rPr>
          <w:b/>
          <w:bCs/>
        </w:rPr>
        <w:t xml:space="preserve"> </w:t>
      </w:r>
      <w:r w:rsidR="00A94523" w:rsidRPr="00E44F3E">
        <w:t>refer</w:t>
      </w:r>
      <w:r>
        <w:t>s</w:t>
      </w:r>
      <w:r w:rsidR="00A94523" w:rsidRPr="00E44F3E">
        <w:t xml:space="preserve"> to the situation where more than one medicine will be required for a particular treatment and that all those medicines need to be funded to close that </w:t>
      </w:r>
      <w:proofErr w:type="gramStart"/>
      <w:r w:rsidR="00A94523" w:rsidRPr="00E44F3E">
        <w:t>particular treatment</w:t>
      </w:r>
      <w:proofErr w:type="gramEnd"/>
      <w:r w:rsidR="00A94523" w:rsidRPr="00E44F3E">
        <w:t xml:space="preserve"> gap. </w:t>
      </w:r>
    </w:p>
    <w:p w14:paraId="5591A49F" w14:textId="77777777" w:rsidR="00A94523" w:rsidRPr="00E44F3E" w:rsidRDefault="00A94523" w:rsidP="00AF0DB9">
      <w:pPr>
        <w:pStyle w:val="Normalindent"/>
      </w:pPr>
    </w:p>
    <w:p w14:paraId="4F654619" w14:textId="5A275D69" w:rsidR="00A94523" w:rsidRPr="00E44F3E" w:rsidRDefault="00A94523" w:rsidP="00AF0DB9">
      <w:pPr>
        <w:pStyle w:val="Normalindent"/>
      </w:pPr>
      <w:r w:rsidRPr="00E44F3E">
        <w:t>If two separate medicines are part of the same regimen for the same indication</w:t>
      </w:r>
      <w:r w:rsidR="009C4BD5">
        <w:t>,</w:t>
      </w:r>
      <w:r w:rsidRPr="00E44F3E">
        <w:t xml:space="preserve"> this will be counted as a single regimen</w:t>
      </w:r>
      <w:r w:rsidR="00AD19BF">
        <w:t>-indication</w:t>
      </w:r>
      <w:r w:rsidRPr="00E44F3E">
        <w:t xml:space="preserve"> </w:t>
      </w:r>
      <w:r w:rsidR="00CE439D">
        <w:t xml:space="preserve">pair </w:t>
      </w:r>
      <w:r w:rsidRPr="00E44F3E">
        <w:t>gap to reflect that both these medicines will need to be funded to close the identified gap. For example, if medicine B was used in combination with medicine C for indication Z</w:t>
      </w:r>
      <w:r w:rsidR="009C4BD5">
        <w:t>,</w:t>
      </w:r>
      <w:r w:rsidRPr="00E44F3E">
        <w:t xml:space="preserve"> this would be considered a single </w:t>
      </w:r>
      <w:bookmarkStart w:id="43" w:name="_Hlk177115383"/>
      <w:r w:rsidRPr="00E44F3E">
        <w:t>regimen</w:t>
      </w:r>
      <w:r w:rsidR="00AD19BF">
        <w:t>-indication</w:t>
      </w:r>
      <w:r w:rsidRPr="00E44F3E">
        <w:t xml:space="preserve"> </w:t>
      </w:r>
      <w:bookmarkEnd w:id="43"/>
      <w:r w:rsidR="00CE439D">
        <w:t xml:space="preserve">pair </w:t>
      </w:r>
      <w:r w:rsidRPr="00E44F3E">
        <w:t xml:space="preserve">gap. </w:t>
      </w:r>
    </w:p>
    <w:p w14:paraId="7B3EFADB" w14:textId="77777777" w:rsidR="00A94523" w:rsidRPr="00E44F3E" w:rsidRDefault="00A94523" w:rsidP="00AF0DB9">
      <w:pPr>
        <w:pStyle w:val="Normalindent"/>
      </w:pPr>
    </w:p>
    <w:p w14:paraId="3A2A923A" w14:textId="36DB9562" w:rsidR="00A94523" w:rsidRPr="00E44F3E" w:rsidRDefault="00A94523" w:rsidP="0005253A">
      <w:r w:rsidRPr="00E44F3E">
        <w:t>Where a generic or biosimilar product is available in one country</w:t>
      </w:r>
      <w:r w:rsidR="00B1682D" w:rsidRPr="00E44F3E">
        <w:t xml:space="preserve"> </w:t>
      </w:r>
      <w:r w:rsidRPr="00E44F3E">
        <w:t>and the reference product (often called the originator, innovator, or brand-name product) was available in another, these were considered identical for the purpose of this analysis. Furthermore, if several medicines of the same class for the same indication were available in a jurisdiction, this was only considered once. For example, if medicine</w:t>
      </w:r>
      <w:r w:rsidR="002C6992">
        <w:t>s</w:t>
      </w:r>
      <w:r w:rsidRPr="00E44F3E">
        <w:t xml:space="preserve"> E and F are medicines from the same class with the same mechanism of action and were both funded in Australia for indication W, this would only be considered as single gap. This is because only one of medicine E or F would need to be funded in </w:t>
      </w:r>
      <w:r w:rsidR="00E6006E">
        <w:t>Aotearoa New </w:t>
      </w:r>
      <w:r w:rsidR="003B42AA">
        <w:t>Zealand</w:t>
      </w:r>
      <w:r w:rsidRPr="00E44F3E">
        <w:t xml:space="preserve"> to close the identified gap</w:t>
      </w:r>
      <w:r w:rsidR="002C6992">
        <w:t xml:space="preserve"> –</w:t>
      </w:r>
      <w:r w:rsidRPr="00E44F3E">
        <w:t xml:space="preserve"> </w:t>
      </w:r>
      <w:r w:rsidR="002C6992">
        <w:t>for example</w:t>
      </w:r>
      <w:r w:rsidR="0083352C">
        <w:t>,</w:t>
      </w:r>
      <w:r w:rsidRPr="00E44F3E">
        <w:t xml:space="preserve"> </w:t>
      </w:r>
      <w:r w:rsidR="004E5BEA">
        <w:t>i</w:t>
      </w:r>
      <w:r w:rsidRPr="00E44F3E">
        <w:t xml:space="preserve">brutinib or </w:t>
      </w:r>
      <w:proofErr w:type="spellStart"/>
      <w:r w:rsidR="008B3013">
        <w:t>z</w:t>
      </w:r>
      <w:r w:rsidRPr="00E44F3E">
        <w:t>anubrutinib</w:t>
      </w:r>
      <w:proofErr w:type="spellEnd"/>
      <w:r w:rsidRPr="00E44F3E">
        <w:t xml:space="preserve"> for the treatment of relapsed or refractory </w:t>
      </w:r>
      <w:r w:rsidR="00D02935">
        <w:t>m</w:t>
      </w:r>
      <w:r w:rsidRPr="00E44F3E">
        <w:t xml:space="preserve">antle </w:t>
      </w:r>
      <w:r w:rsidR="00D02935">
        <w:t>c</w:t>
      </w:r>
      <w:r w:rsidRPr="00E44F3E">
        <w:t xml:space="preserve">ell </w:t>
      </w:r>
      <w:r w:rsidR="00D02935">
        <w:t>n</w:t>
      </w:r>
      <w:r w:rsidRPr="00E44F3E">
        <w:t xml:space="preserve">on-Hodgkin’s </w:t>
      </w:r>
      <w:r w:rsidR="00D02935">
        <w:t>l</w:t>
      </w:r>
      <w:r w:rsidRPr="00E44F3E">
        <w:t>ymphoma.</w:t>
      </w:r>
    </w:p>
    <w:p w14:paraId="0E389FDA" w14:textId="77777777" w:rsidR="00A94523" w:rsidRPr="00E44F3E" w:rsidRDefault="00A94523" w:rsidP="00AF0DB9">
      <w:pPr>
        <w:pStyle w:val="Heading2"/>
      </w:pPr>
      <w:bookmarkStart w:id="44" w:name="_Toc175228997"/>
      <w:bookmarkStart w:id="45" w:name="_Toc180062103"/>
      <w:r w:rsidRPr="00E44F3E">
        <w:t>How did we measure magnitude of clinical benefit?</w:t>
      </w:r>
      <w:bookmarkEnd w:id="44"/>
      <w:bookmarkEnd w:id="45"/>
    </w:p>
    <w:p w14:paraId="2D592D70" w14:textId="39A8F0DC" w:rsidR="00A94523" w:rsidRPr="00E44F3E" w:rsidRDefault="00A94523" w:rsidP="00AF0DB9">
      <w:r w:rsidRPr="00E44F3E">
        <w:t>Not all gaps in medicine availability offer the same level of benefit. Clinical benefit is primarily driven by the medicine’s clinical efficacy (</w:t>
      </w:r>
      <w:proofErr w:type="spellStart"/>
      <w:r w:rsidRPr="00E44F3E">
        <w:t>ie</w:t>
      </w:r>
      <w:proofErr w:type="spellEnd"/>
      <w:r w:rsidR="0083352C">
        <w:t>,</w:t>
      </w:r>
      <w:r w:rsidRPr="00E44F3E">
        <w:t xml:space="preserve"> how good the medicine is at its intended purpose) and how much additional benefit the new medicine would provide compared to what patients would get otherwise. Determining the magnitude of clinical benefit for medicines available in Australia but not in </w:t>
      </w:r>
      <w:r w:rsidR="00E6006E">
        <w:t>Aotearoa New </w:t>
      </w:r>
      <w:r w:rsidR="003B42AA">
        <w:t>Zealand</w:t>
      </w:r>
      <w:r w:rsidRPr="00E44F3E">
        <w:t xml:space="preserve"> allows us to understand which gaps are most significant. For example, some medicines may not be available in </w:t>
      </w:r>
      <w:r w:rsidR="00E6006E">
        <w:t>Aotearoa New </w:t>
      </w:r>
      <w:r w:rsidR="003B42AA">
        <w:t>Zealand</w:t>
      </w:r>
      <w:r w:rsidRPr="00E44F3E">
        <w:t>, but a newer or more effective medicine is available instead. This identified gap, therefore, offers no clinical benefit.</w:t>
      </w:r>
      <w:r w:rsidR="00B1682D" w:rsidRPr="00E44F3E">
        <w:t xml:space="preserve"> </w:t>
      </w:r>
    </w:p>
    <w:p w14:paraId="5130E0DA" w14:textId="77777777" w:rsidR="00A94523" w:rsidRPr="00E44F3E" w:rsidRDefault="00A94523" w:rsidP="00AF0DB9"/>
    <w:p w14:paraId="5B2EE9C1" w14:textId="0154F985" w:rsidR="00A94523" w:rsidRPr="00E44F3E" w:rsidRDefault="00A94523" w:rsidP="00AF0DB9">
      <w:r w:rsidRPr="00E44F3E">
        <w:t xml:space="preserve">The likely magnitude of clinical benefit that could be realised if the medicine gaps were addressed was assessed using the ESMO-MCBS:H. </w:t>
      </w:r>
    </w:p>
    <w:p w14:paraId="31CA73CC" w14:textId="77777777" w:rsidR="00A94523" w:rsidRPr="00E44F3E" w:rsidRDefault="00A94523" w:rsidP="00AF0DB9"/>
    <w:p w14:paraId="1D7A69E5" w14:textId="1B9D4906" w:rsidR="004542C1" w:rsidRDefault="00A94523" w:rsidP="00AF0DB9">
      <w:pPr>
        <w:rPr>
          <w:rFonts w:cs="Segoe UI"/>
        </w:rPr>
      </w:pPr>
      <w:r w:rsidRPr="00E44F3E">
        <w:rPr>
          <w:rFonts w:cs="Segoe UI"/>
        </w:rPr>
        <w:t>The ESMO-MCBS</w:t>
      </w:r>
      <w:r w:rsidR="004D40E5">
        <w:rPr>
          <w:rFonts w:cs="Segoe UI"/>
        </w:rPr>
        <w:t xml:space="preserve"> and the </w:t>
      </w:r>
      <w:r w:rsidR="004D40E5" w:rsidRPr="004D40E5">
        <w:rPr>
          <w:rFonts w:cs="Segoe UI"/>
        </w:rPr>
        <w:t>ESMO-MCBS</w:t>
      </w:r>
      <w:r w:rsidR="004D40E5">
        <w:rPr>
          <w:rFonts w:cs="Segoe UI"/>
        </w:rPr>
        <w:t>:H were</w:t>
      </w:r>
      <w:r w:rsidRPr="00E44F3E">
        <w:rPr>
          <w:rFonts w:cs="Segoe UI"/>
        </w:rPr>
        <w:t xml:space="preserve"> developed to</w:t>
      </w:r>
      <w:r w:rsidR="00EE2041">
        <w:rPr>
          <w:rFonts w:cs="Segoe UI"/>
        </w:rPr>
        <w:t>:</w:t>
      </w:r>
      <w:r w:rsidRPr="00E44F3E">
        <w:rPr>
          <w:rFonts w:cs="Segoe UI"/>
        </w:rPr>
        <w:t xml:space="preserve"> </w:t>
      </w:r>
    </w:p>
    <w:p w14:paraId="39AFEED0" w14:textId="7C072FD0" w:rsidR="004542C1" w:rsidRDefault="00A94523" w:rsidP="00ED3642">
      <w:pPr>
        <w:pStyle w:val="Bullet"/>
      </w:pPr>
      <w:r w:rsidRPr="00E44F3E">
        <w:t xml:space="preserve">improve the critical evaluation of medicines </w:t>
      </w:r>
    </w:p>
    <w:p w14:paraId="24B2AEDF" w14:textId="3AC22717" w:rsidR="004542C1" w:rsidRDefault="00A94523" w:rsidP="00ED3642">
      <w:pPr>
        <w:pStyle w:val="Bullet"/>
      </w:pPr>
      <w:r w:rsidRPr="00E44F3E">
        <w:t>ensure consistency in evaluation</w:t>
      </w:r>
    </w:p>
    <w:p w14:paraId="6A87E70F" w14:textId="45625FD1" w:rsidR="004542C1" w:rsidRDefault="00A94523" w:rsidP="00ED3642">
      <w:pPr>
        <w:pStyle w:val="Bullet"/>
      </w:pPr>
      <w:r w:rsidRPr="00E44F3E">
        <w:t xml:space="preserve">reduce </w:t>
      </w:r>
      <w:r w:rsidR="00EE2041">
        <w:t xml:space="preserve">the </w:t>
      </w:r>
      <w:r w:rsidRPr="00E44F3E">
        <w:t xml:space="preserve">risk of bias that can occur with the interpretation of clinical trial data </w:t>
      </w:r>
    </w:p>
    <w:p w14:paraId="067D1617" w14:textId="6A02B32F" w:rsidR="00AA6F1D" w:rsidRDefault="00A94523" w:rsidP="00EE2041">
      <w:pPr>
        <w:pStyle w:val="Bullet"/>
      </w:pPr>
      <w:r w:rsidRPr="00E44F3E">
        <w:t xml:space="preserve">provide a reliable and fair evaluation of the benefit cancer medicines can have </w:t>
      </w:r>
      <w:r w:rsidR="00EE2041">
        <w:t xml:space="preserve">to </w:t>
      </w:r>
      <w:r w:rsidRPr="00E44F3E">
        <w:t xml:space="preserve">help inform cancer service planning and prioritisation </w:t>
      </w:r>
    </w:p>
    <w:p w14:paraId="3EC9150D" w14:textId="04A0FF40" w:rsidR="00A94523" w:rsidRPr="00E44F3E" w:rsidRDefault="00A94523" w:rsidP="00ED3642">
      <w:pPr>
        <w:pStyle w:val="Bullet"/>
      </w:pPr>
      <w:r w:rsidRPr="00E44F3E">
        <w:t>reduce unwarranted ‘hype’ around</w:t>
      </w:r>
      <w:r w:rsidR="00AF0DB9" w:rsidRPr="00E44F3E">
        <w:t xml:space="preserve"> </w:t>
      </w:r>
      <w:r w:rsidRPr="00E44F3E">
        <w:t xml:space="preserve">some new medicines. </w:t>
      </w:r>
    </w:p>
    <w:p w14:paraId="4339798D" w14:textId="77777777" w:rsidR="00A94523" w:rsidRPr="00E44F3E" w:rsidRDefault="00A94523" w:rsidP="00AF0DB9"/>
    <w:p w14:paraId="0EF8EA4C" w14:textId="36F91C17" w:rsidR="00A94523" w:rsidRPr="00E44F3E" w:rsidRDefault="00BE4662" w:rsidP="00ED3642">
      <w:pPr>
        <w:keepNext/>
      </w:pPr>
      <w:r>
        <w:lastRenderedPageBreak/>
        <w:t>We used t</w:t>
      </w:r>
      <w:r w:rsidRPr="00E44F3E">
        <w:t>he ESMO-MCBS</w:t>
      </w:r>
      <w:r w:rsidR="00CD7BAC">
        <w:t>:H</w:t>
      </w:r>
      <w:r w:rsidRPr="00E44F3E">
        <w:t xml:space="preserve"> </w:t>
      </w:r>
      <w:r>
        <w:t>because</w:t>
      </w:r>
      <w:r w:rsidR="00A94523" w:rsidRPr="00E44F3E">
        <w:t xml:space="preserve">: </w:t>
      </w:r>
    </w:p>
    <w:p w14:paraId="7E411170" w14:textId="7672D794" w:rsidR="00A94523" w:rsidRPr="00E44F3E" w:rsidRDefault="00E43FD6" w:rsidP="00AF0DB9">
      <w:pPr>
        <w:pStyle w:val="Bullet"/>
      </w:pPr>
      <w:r>
        <w:t>i</w:t>
      </w:r>
      <w:r w:rsidR="00A94523" w:rsidRPr="00E44F3E">
        <w:t xml:space="preserve">t </w:t>
      </w:r>
      <w:r w:rsidR="00CD7BAC">
        <w:t xml:space="preserve">is based on the </w:t>
      </w:r>
      <w:r w:rsidR="00CD7BAC" w:rsidRPr="00CD7BAC">
        <w:t>ESMO-MCBS</w:t>
      </w:r>
      <w:r w:rsidR="00CD7BAC">
        <w:t>,</w:t>
      </w:r>
      <w:r w:rsidR="00CD7BAC" w:rsidRPr="00CD7BAC">
        <w:t xml:space="preserve"> </w:t>
      </w:r>
      <w:r w:rsidR="00CD7BAC">
        <w:t xml:space="preserve">which </w:t>
      </w:r>
      <w:r w:rsidR="00A94523" w:rsidRPr="00E44F3E">
        <w:t xml:space="preserve">was the tool selected and used in the 2022 </w:t>
      </w:r>
      <w:r w:rsidR="00EA4A06">
        <w:t>r</w:t>
      </w:r>
      <w:r w:rsidR="00A94523" w:rsidRPr="00E44F3E">
        <w:t>eport</w:t>
      </w:r>
      <w:r w:rsidR="00E426F2">
        <w:t>,</w:t>
      </w:r>
      <w:r w:rsidR="00A94523" w:rsidRPr="00E44F3E">
        <w:t xml:space="preserve"> and it was important to ensure </w:t>
      </w:r>
      <w:r w:rsidR="00BE4662">
        <w:t xml:space="preserve">we assessed </w:t>
      </w:r>
      <w:r w:rsidR="00A94523" w:rsidRPr="00E44F3E">
        <w:t xml:space="preserve">identified gaps for blood cancers in a comparable manner to the previous assessment of solid tumour cancers </w:t>
      </w:r>
    </w:p>
    <w:p w14:paraId="2146FFDC" w14:textId="2EC52F6B" w:rsidR="00A94523" w:rsidRPr="00E44F3E" w:rsidRDefault="00BE4662" w:rsidP="00AF0DB9">
      <w:pPr>
        <w:pStyle w:val="Bullet"/>
      </w:pPr>
      <w:r>
        <w:t xml:space="preserve">it </w:t>
      </w:r>
      <w:r w:rsidR="00A94523" w:rsidRPr="00E44F3E">
        <w:t xml:space="preserve">is internationally recognised and validated. </w:t>
      </w:r>
    </w:p>
    <w:p w14:paraId="3BD24C4D" w14:textId="0EEBE859" w:rsidR="00A94523" w:rsidRPr="00E44F3E" w:rsidRDefault="00A94523" w:rsidP="00AF0DB9"/>
    <w:p w14:paraId="0DC5F45A" w14:textId="5DB8F004" w:rsidR="00A94523" w:rsidRPr="00E44F3E" w:rsidRDefault="00A94523" w:rsidP="00AF0DB9">
      <w:pPr>
        <w:rPr>
          <w:rFonts w:ascii="Segoe UI" w:hAnsi="Segoe UI" w:cs="Segoe UI"/>
          <w:sz w:val="18"/>
          <w:szCs w:val="18"/>
        </w:rPr>
      </w:pPr>
      <w:r w:rsidRPr="00E44F3E">
        <w:t>T</w:t>
      </w:r>
      <w:r w:rsidRPr="00E44F3E">
        <w:rPr>
          <w:rFonts w:cs="Segoe UI"/>
        </w:rPr>
        <w:t>he ESMO-MCBS</w:t>
      </w:r>
      <w:r w:rsidR="00E4595C">
        <w:rPr>
          <w:rFonts w:cs="Segoe UI"/>
        </w:rPr>
        <w:t>:H</w:t>
      </w:r>
      <w:r w:rsidRPr="00E44F3E">
        <w:rPr>
          <w:rFonts w:cs="Segoe UI"/>
        </w:rPr>
        <w:t xml:space="preserve"> aims to highlight those medicines that have a significant positive impact on quality of life and/or survival and distinguish these medicines from those </w:t>
      </w:r>
      <w:r w:rsidR="00DC6F44">
        <w:rPr>
          <w:rFonts w:cs="Segoe UI"/>
        </w:rPr>
        <w:t>that</w:t>
      </w:r>
      <w:r w:rsidR="00DC6F44" w:rsidRPr="00E44F3E">
        <w:rPr>
          <w:rFonts w:cs="Segoe UI"/>
        </w:rPr>
        <w:t xml:space="preserve"> </w:t>
      </w:r>
      <w:r w:rsidRPr="00E44F3E">
        <w:rPr>
          <w:rFonts w:cs="Segoe UI"/>
        </w:rPr>
        <w:t>offer marginal benefits or delay disease progression with no impact on quality of life or survival.</w:t>
      </w:r>
      <w:r w:rsidR="00B1682D" w:rsidRPr="00E44F3E">
        <w:rPr>
          <w:rFonts w:cs="Segoe UI"/>
        </w:rPr>
        <w:t xml:space="preserve"> </w:t>
      </w:r>
    </w:p>
    <w:p w14:paraId="7E3BD405" w14:textId="77777777" w:rsidR="00A94523" w:rsidRPr="00E44F3E" w:rsidRDefault="00A94523" w:rsidP="00AF0DB9"/>
    <w:p w14:paraId="5841ADEA" w14:textId="3D1A68BF" w:rsidR="00A94523" w:rsidRPr="00E44F3E" w:rsidRDefault="00A94523" w:rsidP="00AF0DB9">
      <w:r w:rsidRPr="00E44F3E">
        <w:t xml:space="preserve">There are several different scoring forms used depending on the clinical trial evidence available and the reported primary endpoints. The </w:t>
      </w:r>
      <w:r w:rsidR="00DC6F44" w:rsidRPr="00DC6F44">
        <w:t>ESMO-MCBS</w:t>
      </w:r>
      <w:r w:rsidR="00491B59">
        <w:t>:H</w:t>
      </w:r>
      <w:r w:rsidRPr="00E44F3E">
        <w:t xml:space="preserve"> assesses only the clinical trials that </w:t>
      </w:r>
      <w:r w:rsidR="00DE7C89">
        <w:t>led</w:t>
      </w:r>
      <w:r w:rsidR="00DE7C89" w:rsidRPr="00E44F3E">
        <w:t xml:space="preserve"> </w:t>
      </w:r>
      <w:r w:rsidRPr="00E44F3E">
        <w:t>to the medicine being licen</w:t>
      </w:r>
      <w:r w:rsidR="00DC6F44">
        <w:t>s</w:t>
      </w:r>
      <w:r w:rsidRPr="00E44F3E">
        <w:t xml:space="preserve">ed. Other evidence of medicine efficacy and benefit, including real-world studies, cannot be used in this methodology. </w:t>
      </w:r>
    </w:p>
    <w:p w14:paraId="6AB9CBA3" w14:textId="77777777" w:rsidR="00A94523" w:rsidRPr="00E44F3E" w:rsidRDefault="00A94523" w:rsidP="00AF0DB9"/>
    <w:p w14:paraId="74C6200D" w14:textId="6F63EA5A" w:rsidR="00A94523" w:rsidRPr="00E44F3E" w:rsidRDefault="00A94523" w:rsidP="00AF0DB9">
      <w:r w:rsidRPr="00E44F3E">
        <w:rPr>
          <w:rFonts w:cs="Segoe UI"/>
        </w:rPr>
        <w:t>The resulting scores can be:</w:t>
      </w:r>
      <w:r w:rsidR="00AF0DB9" w:rsidRPr="00E44F3E">
        <w:t xml:space="preserve"> </w:t>
      </w:r>
    </w:p>
    <w:p w14:paraId="6FC88BE1" w14:textId="3931323E" w:rsidR="00A94523" w:rsidRPr="00E44F3E" w:rsidRDefault="00A94523" w:rsidP="00AF0DB9">
      <w:pPr>
        <w:pStyle w:val="Bullet"/>
        <w:rPr>
          <w:sz w:val="22"/>
          <w:szCs w:val="22"/>
        </w:rPr>
      </w:pPr>
      <w:r w:rsidRPr="00E44F3E">
        <w:rPr>
          <w:rFonts w:cs="Segoe UI"/>
        </w:rPr>
        <w:t>A, B or C – these scores indicate medicines that are used with curative intent.</w:t>
      </w:r>
      <w:r w:rsidR="00B1682D" w:rsidRPr="00E44F3E">
        <w:rPr>
          <w:rFonts w:cs="Segoe UI"/>
        </w:rPr>
        <w:t xml:space="preserve"> </w:t>
      </w:r>
      <w:r w:rsidRPr="00E44F3E">
        <w:rPr>
          <w:rFonts w:cs="Segoe UI"/>
        </w:rPr>
        <w:t>Medicines scored with an A or B indicate substantially clinical benefit would be achieved if they were available</w:t>
      </w:r>
      <w:r w:rsidR="00B1682D" w:rsidRPr="00E44F3E">
        <w:rPr>
          <w:rFonts w:cs="Segoe UI"/>
        </w:rPr>
        <w:t xml:space="preserve"> </w:t>
      </w:r>
    </w:p>
    <w:p w14:paraId="7BAB2BFF" w14:textId="4C0507F2" w:rsidR="00A94523" w:rsidRPr="00F961D7" w:rsidRDefault="00DE7C89" w:rsidP="00AF0DB9">
      <w:pPr>
        <w:pStyle w:val="Bullet"/>
        <w:rPr>
          <w:sz w:val="22"/>
          <w:szCs w:val="22"/>
        </w:rPr>
      </w:pPr>
      <w:r>
        <w:rPr>
          <w:rFonts w:cs="Segoe UI"/>
        </w:rPr>
        <w:t>5, 4, 3, 2 or 1</w:t>
      </w:r>
      <w:r w:rsidR="00A94523" w:rsidRPr="00E44F3E">
        <w:rPr>
          <w:rFonts w:cs="Segoe UI"/>
        </w:rPr>
        <w:t xml:space="preserve"> – these scores indicate medicines that are used in a non-curative setting</w:t>
      </w:r>
      <w:r w:rsidR="001F5AD5">
        <w:rPr>
          <w:rFonts w:cs="Segoe UI"/>
        </w:rPr>
        <w:t>;</w:t>
      </w:r>
      <w:r w:rsidR="00A94523" w:rsidRPr="00E44F3E">
        <w:rPr>
          <w:rFonts w:cs="Segoe UI"/>
        </w:rPr>
        <w:t xml:space="preserve"> </w:t>
      </w:r>
      <w:r w:rsidR="001F5AD5">
        <w:rPr>
          <w:rFonts w:cs="Segoe UI"/>
        </w:rPr>
        <w:t>t</w:t>
      </w:r>
      <w:r w:rsidR="00A94523" w:rsidRPr="00E44F3E">
        <w:rPr>
          <w:rFonts w:cs="Segoe UI"/>
        </w:rPr>
        <w:t xml:space="preserve">hat is, they improve quality of life or increase survival but will not cure the cancer. Medicines scored with a </w:t>
      </w:r>
      <w:r>
        <w:rPr>
          <w:rFonts w:cs="Segoe UI"/>
        </w:rPr>
        <w:t xml:space="preserve">5 or 4 </w:t>
      </w:r>
      <w:r w:rsidR="00A94523" w:rsidRPr="00E44F3E">
        <w:rPr>
          <w:rFonts w:cs="Segoe UI"/>
        </w:rPr>
        <w:t>indicate substantial clinical benefit would be achieved if they were available.</w:t>
      </w:r>
      <w:r w:rsidR="00B1682D" w:rsidRPr="00E44F3E">
        <w:rPr>
          <w:rFonts w:cs="Segoe UI"/>
        </w:rPr>
        <w:t xml:space="preserve"> </w:t>
      </w:r>
    </w:p>
    <w:p w14:paraId="495B56FC" w14:textId="77777777" w:rsidR="008E55D1" w:rsidRDefault="008E55D1" w:rsidP="008E55D1">
      <w:pPr>
        <w:pStyle w:val="Bullet"/>
      </w:pPr>
      <w:r>
        <w:t xml:space="preserve">No evaluable benefit (NEB) – These scores indicate that the trial evidence did not provide evidence of benefit. </w:t>
      </w:r>
    </w:p>
    <w:p w14:paraId="5024ED38" w14:textId="77777777" w:rsidR="008E55D1" w:rsidRDefault="008E55D1" w:rsidP="008E55D1">
      <w:pPr>
        <w:pStyle w:val="Bullet"/>
      </w:pPr>
      <w:r>
        <w:t>Non-scorable – This indicates the trial information was not able to be applied to the ESMO-MCBS:H.</w:t>
      </w:r>
    </w:p>
    <w:p w14:paraId="70C3E02D" w14:textId="77777777" w:rsidR="00A94523" w:rsidRPr="00E44F3E" w:rsidRDefault="00A94523" w:rsidP="009B7254"/>
    <w:p w14:paraId="0DFCA1CE" w14:textId="0A7E2FAE" w:rsidR="009B7254" w:rsidRDefault="00DB4729" w:rsidP="009B7254">
      <w:pPr>
        <w:rPr>
          <w:rFonts w:cs="Segoe UI"/>
        </w:rPr>
      </w:pPr>
      <w:r w:rsidRPr="00E44F3E">
        <w:rPr>
          <w:rFonts w:cs="Segoe UI"/>
        </w:rPr>
        <w:t>Medicine-indication</w:t>
      </w:r>
      <w:r>
        <w:rPr>
          <w:rFonts w:cs="Segoe UI"/>
        </w:rPr>
        <w:t xml:space="preserve"> or </w:t>
      </w:r>
      <w:r w:rsidRPr="00E44F3E">
        <w:rPr>
          <w:rFonts w:cs="Segoe UI"/>
        </w:rPr>
        <w:t>regimen</w:t>
      </w:r>
      <w:r>
        <w:rPr>
          <w:rFonts w:cs="Segoe UI"/>
        </w:rPr>
        <w:t>-indication</w:t>
      </w:r>
      <w:r w:rsidRPr="00E44F3E">
        <w:rPr>
          <w:rFonts w:cs="Segoe UI"/>
        </w:rPr>
        <w:t xml:space="preserve"> </w:t>
      </w:r>
      <w:r>
        <w:rPr>
          <w:rFonts w:cs="Segoe UI"/>
        </w:rPr>
        <w:t xml:space="preserve">pair </w:t>
      </w:r>
      <w:r w:rsidRPr="00E44F3E">
        <w:rPr>
          <w:rFonts w:cs="Segoe UI"/>
        </w:rPr>
        <w:t>gaps that were determined to have a substantial magnitude of clinical benefit were of principal interest in this analysis</w:t>
      </w:r>
      <w:r>
        <w:rPr>
          <w:rFonts w:cs="Segoe UI"/>
        </w:rPr>
        <w:t>. For the purposes of this report</w:t>
      </w:r>
      <w:r w:rsidR="007654A0">
        <w:rPr>
          <w:rFonts w:cs="Segoe UI"/>
        </w:rPr>
        <w:t>, each medicine-indication pair</w:t>
      </w:r>
      <w:r w:rsidR="00477A3E">
        <w:rPr>
          <w:rFonts w:cs="Segoe UI"/>
        </w:rPr>
        <w:t xml:space="preserve"> gap</w:t>
      </w:r>
      <w:r w:rsidR="007654A0">
        <w:rPr>
          <w:rFonts w:cs="Segoe UI"/>
        </w:rPr>
        <w:t xml:space="preserve"> was </w:t>
      </w:r>
      <w:r w:rsidR="0082275C">
        <w:rPr>
          <w:rFonts w:cs="Segoe UI"/>
        </w:rPr>
        <w:t>categorised</w:t>
      </w:r>
      <w:r w:rsidR="007654A0">
        <w:rPr>
          <w:rFonts w:cs="Segoe UI"/>
        </w:rPr>
        <w:t xml:space="preserve"> as one of the following: </w:t>
      </w:r>
    </w:p>
    <w:p w14:paraId="0B3A7F26" w14:textId="79DE5F92" w:rsidR="00636EEE" w:rsidRPr="00341CAF" w:rsidRDefault="00636EEE" w:rsidP="00F961D7">
      <w:pPr>
        <w:pStyle w:val="Bullet"/>
        <w:tabs>
          <w:tab w:val="clear" w:pos="284"/>
        </w:tabs>
        <w:rPr>
          <w:rFonts w:cs="Segoe UI"/>
        </w:rPr>
      </w:pPr>
      <w:r w:rsidRPr="00341CAF">
        <w:rPr>
          <w:rFonts w:cs="Segoe UI"/>
        </w:rPr>
        <w:t>Gap</w:t>
      </w:r>
      <w:r w:rsidR="005348BD">
        <w:rPr>
          <w:rFonts w:cs="Segoe UI"/>
        </w:rPr>
        <w:t xml:space="preserve"> - </w:t>
      </w:r>
      <w:r w:rsidRPr="00341CAF">
        <w:rPr>
          <w:rFonts w:cs="Segoe UI"/>
        </w:rPr>
        <w:t>substantial clinical benefit (</w:t>
      </w:r>
      <w:proofErr w:type="spellStart"/>
      <w:r w:rsidRPr="00341CAF">
        <w:rPr>
          <w:rFonts w:cs="Segoe UI"/>
        </w:rPr>
        <w:t>ie</w:t>
      </w:r>
      <w:proofErr w:type="spellEnd"/>
      <w:r w:rsidRPr="00341CAF">
        <w:rPr>
          <w:rFonts w:cs="Segoe UI"/>
        </w:rPr>
        <w:t xml:space="preserve">, ESMO-MCBS score A, B, 4 or 5) </w:t>
      </w:r>
    </w:p>
    <w:p w14:paraId="5826A4E6" w14:textId="6F3DC453" w:rsidR="00BC1EE3" w:rsidRPr="00341CAF" w:rsidRDefault="00636EEE" w:rsidP="00F961D7">
      <w:pPr>
        <w:pStyle w:val="Bullet"/>
        <w:tabs>
          <w:tab w:val="clear" w:pos="284"/>
        </w:tabs>
        <w:rPr>
          <w:rFonts w:cs="Segoe UI"/>
        </w:rPr>
      </w:pPr>
      <w:r w:rsidRPr="00341CAF">
        <w:rPr>
          <w:rFonts w:cs="Segoe UI"/>
        </w:rPr>
        <w:t>Gap – not substantial clinical benefit (</w:t>
      </w:r>
      <w:proofErr w:type="spellStart"/>
      <w:r w:rsidRPr="00341CAF">
        <w:rPr>
          <w:rFonts w:cs="Segoe UI"/>
        </w:rPr>
        <w:t>ie</w:t>
      </w:r>
      <w:proofErr w:type="spellEnd"/>
      <w:r w:rsidRPr="00341CAF">
        <w:rPr>
          <w:rFonts w:cs="Segoe UI"/>
        </w:rPr>
        <w:t xml:space="preserve">, ESMO-MCBS score </w:t>
      </w:r>
      <w:r w:rsidR="00BC1EE3" w:rsidRPr="00341CAF">
        <w:rPr>
          <w:rFonts w:cs="Segoe UI"/>
        </w:rPr>
        <w:t>C, 3, 2, 1)</w:t>
      </w:r>
    </w:p>
    <w:p w14:paraId="5528A1DD" w14:textId="29365AB0" w:rsidR="007654A0" w:rsidRPr="00341CAF" w:rsidRDefault="00636EEE" w:rsidP="00F961D7">
      <w:pPr>
        <w:pStyle w:val="Bullet"/>
        <w:tabs>
          <w:tab w:val="clear" w:pos="284"/>
        </w:tabs>
        <w:rPr>
          <w:rFonts w:cs="Segoe UI"/>
        </w:rPr>
      </w:pPr>
      <w:r w:rsidRPr="00341CAF">
        <w:rPr>
          <w:rFonts w:cs="Segoe UI"/>
        </w:rPr>
        <w:t xml:space="preserve">Gap – </w:t>
      </w:r>
      <w:r w:rsidR="00341CAF" w:rsidRPr="00341CAF">
        <w:rPr>
          <w:rFonts w:cs="Segoe UI"/>
        </w:rPr>
        <w:t>n</w:t>
      </w:r>
      <w:r w:rsidR="00BC1EE3" w:rsidRPr="00341CAF">
        <w:rPr>
          <w:rFonts w:cs="Segoe UI"/>
        </w:rPr>
        <w:t xml:space="preserve">o evaluable benefit (NEB) </w:t>
      </w:r>
    </w:p>
    <w:p w14:paraId="75C31210" w14:textId="1C9D384C" w:rsidR="00341CAF" w:rsidRPr="00341CAF" w:rsidRDefault="00341CAF" w:rsidP="00F961D7">
      <w:pPr>
        <w:pStyle w:val="Bullet"/>
        <w:tabs>
          <w:tab w:val="clear" w:pos="284"/>
        </w:tabs>
        <w:rPr>
          <w:rFonts w:cs="Segoe UI"/>
        </w:rPr>
      </w:pPr>
      <w:r w:rsidRPr="00341CAF">
        <w:rPr>
          <w:rFonts w:cs="Segoe UI"/>
        </w:rPr>
        <w:t xml:space="preserve">Gap – not scorable </w:t>
      </w:r>
    </w:p>
    <w:p w14:paraId="2C29930E" w14:textId="03598540" w:rsidR="009B7254" w:rsidRPr="00E44F3E" w:rsidRDefault="009B7254" w:rsidP="009B7254">
      <w:pPr>
        <w:pStyle w:val="Figure"/>
      </w:pPr>
      <w:bookmarkStart w:id="46" w:name="_Ref165625892"/>
      <w:bookmarkStart w:id="47" w:name="_Toc175241533"/>
      <w:bookmarkStart w:id="48" w:name="_Toc180062135"/>
      <w:r w:rsidRPr="00E44F3E">
        <w:t xml:space="preserve">Figure </w:t>
      </w:r>
      <w:r w:rsidR="00D97615">
        <w:fldChar w:fldCharType="begin"/>
      </w:r>
      <w:r w:rsidR="00D97615">
        <w:instrText xml:space="preserve"> SEQ Figure \* ARABIC </w:instrText>
      </w:r>
      <w:r w:rsidR="00D97615">
        <w:fldChar w:fldCharType="separate"/>
      </w:r>
      <w:r w:rsidR="004A6DF6">
        <w:rPr>
          <w:noProof/>
        </w:rPr>
        <w:t>1</w:t>
      </w:r>
      <w:r w:rsidR="00D97615">
        <w:rPr>
          <w:noProof/>
        </w:rPr>
        <w:fldChar w:fldCharType="end"/>
      </w:r>
      <w:bookmarkEnd w:id="46"/>
      <w:r w:rsidRPr="00E44F3E">
        <w:t>: ESMO-MCBS:H possible scores and definition of magnitude of clinical benefit</w:t>
      </w:r>
      <w:bookmarkEnd w:id="47"/>
      <w:bookmarkEnd w:id="48"/>
      <w:r w:rsidRPr="00E44F3E">
        <w:t xml:space="preserve"> </w:t>
      </w:r>
    </w:p>
    <w:p w14:paraId="039907D0" w14:textId="37A29F0F" w:rsidR="004B3A98" w:rsidRPr="00E44F3E" w:rsidRDefault="009B7254" w:rsidP="009B7254">
      <w:r w:rsidRPr="00E44F3E">
        <w:rPr>
          <w:noProof/>
        </w:rPr>
        <w:drawing>
          <wp:inline distT="0" distB="0" distL="0" distR="0" wp14:anchorId="2E96BA3C" wp14:editId="3E9BA597">
            <wp:extent cx="4926563" cy="175744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8994" cy="1758307"/>
                    </a:xfrm>
                    <a:prstGeom prst="rect">
                      <a:avLst/>
                    </a:prstGeom>
                    <a:noFill/>
                    <a:ln>
                      <a:noFill/>
                    </a:ln>
                  </pic:spPr>
                </pic:pic>
              </a:graphicData>
            </a:graphic>
          </wp:inline>
        </w:drawing>
      </w:r>
    </w:p>
    <w:p w14:paraId="1BC3D3ED" w14:textId="687E57A7" w:rsidR="009B7254" w:rsidRPr="00E44F3E" w:rsidRDefault="009B7254" w:rsidP="009B7254">
      <w:r w:rsidRPr="00E44F3E">
        <w:lastRenderedPageBreak/>
        <w:t xml:space="preserve">It is important to note that there is no single approach to measuring the likely magnitude of clinical benefit, and while the ESMO-MCBS:H is one validated and recognised tool, it has </w:t>
      </w:r>
      <w:r w:rsidR="00C42BB3">
        <w:t xml:space="preserve">the following </w:t>
      </w:r>
      <w:r w:rsidRPr="00E44F3E">
        <w:t xml:space="preserve">limitations. </w:t>
      </w:r>
    </w:p>
    <w:p w14:paraId="42A5F401" w14:textId="36080D87" w:rsidR="009B7254" w:rsidRPr="00E44F3E" w:rsidRDefault="009B7254" w:rsidP="00CC300B">
      <w:pPr>
        <w:pStyle w:val="Bullet"/>
      </w:pPr>
      <w:r w:rsidRPr="00E44F3E">
        <w:t xml:space="preserve">The </w:t>
      </w:r>
      <w:r w:rsidR="00C42BB3" w:rsidRPr="00C42BB3">
        <w:t>ESMO-MCBS:H</w:t>
      </w:r>
      <w:r w:rsidR="00C42BB3" w:rsidRPr="00C42BB3" w:rsidDel="00C42BB3">
        <w:t xml:space="preserve"> </w:t>
      </w:r>
      <w:r w:rsidRPr="00E44F3E">
        <w:t xml:space="preserve">is reasonably prescriptive, meaning some of the nuances of the trials are not easily captured, or some of the clinical trials evaluating the medicines did not contain the information required to be scored. </w:t>
      </w:r>
    </w:p>
    <w:p w14:paraId="738E9A16" w14:textId="6DFBC88F" w:rsidR="009B7254" w:rsidRPr="00E44F3E" w:rsidRDefault="009B7254" w:rsidP="00CC300B">
      <w:pPr>
        <w:pStyle w:val="Bullet"/>
      </w:pPr>
      <w:r w:rsidRPr="00E44F3E">
        <w:t xml:space="preserve">The </w:t>
      </w:r>
      <w:r w:rsidR="00C42BB3" w:rsidRPr="00C42BB3">
        <w:t>ESMO-MCBS:H</w:t>
      </w:r>
      <w:r w:rsidRPr="00E44F3E">
        <w:t xml:space="preserve"> requires that the clinical trial that led to the medicine being licensed is assessed to determine </w:t>
      </w:r>
      <w:r w:rsidR="00C42BB3">
        <w:t xml:space="preserve">the </w:t>
      </w:r>
      <w:r w:rsidRPr="00E44F3E">
        <w:t xml:space="preserve">magnitude of clinical benefit. While the majority of these are trials are robust and of high quality, the benefit demonstrated in a clinical trial environment may not accurately reflect the clinical benefit that is realised in a real-world environment. </w:t>
      </w:r>
    </w:p>
    <w:p w14:paraId="40BA2206" w14:textId="6F4A11F4" w:rsidR="009B7254" w:rsidRPr="00E44F3E" w:rsidRDefault="009B7254" w:rsidP="00CC300B">
      <w:pPr>
        <w:pStyle w:val="Bullet"/>
      </w:pPr>
      <w:r w:rsidRPr="00E44F3E">
        <w:t xml:space="preserve">The </w:t>
      </w:r>
      <w:r w:rsidR="00BD03B7" w:rsidRPr="00BD03B7">
        <w:t>ESMO-MCBS:H</w:t>
      </w:r>
      <w:r w:rsidR="00BD03B7" w:rsidRPr="00BD03B7" w:rsidDel="00BD03B7">
        <w:t xml:space="preserve"> </w:t>
      </w:r>
      <w:r w:rsidRPr="00E44F3E">
        <w:t xml:space="preserve">assesses clinical benefit based on the average or median experience of patients in the clinical trials. While this is the most appropriate method for assessing the clinical benefit provided by medicines, it obscures the benefit individuals may experience. With any medicine some people will experience better outcomes than others. </w:t>
      </w:r>
    </w:p>
    <w:p w14:paraId="3FB8068A" w14:textId="079FAF29" w:rsidR="009B7254" w:rsidRPr="00E44F3E" w:rsidRDefault="009B7254" w:rsidP="00CC300B">
      <w:pPr>
        <w:pStyle w:val="Bullet"/>
      </w:pPr>
      <w:r w:rsidRPr="00E44F3E">
        <w:t xml:space="preserve">The scoring system and the assessed clinical trials </w:t>
      </w:r>
      <w:r w:rsidR="00BD03B7">
        <w:t xml:space="preserve">do </w:t>
      </w:r>
      <w:r w:rsidRPr="00E44F3E">
        <w:t>not include assessment of whether closing the gaps identified in this analysis would make a difference to equitable access to cancer treatment and to cancer outcomes.</w:t>
      </w:r>
    </w:p>
    <w:p w14:paraId="11DFA51E" w14:textId="0790A608" w:rsidR="009B7254" w:rsidRPr="00E44F3E" w:rsidRDefault="009B7254" w:rsidP="00CC300B">
      <w:pPr>
        <w:pStyle w:val="Bullet"/>
      </w:pPr>
      <w:r w:rsidRPr="00E44F3E">
        <w:t xml:space="preserve">Sometimes the medicine that was used as a comparator in the clinical trial was different to the medicine that would be used for that treatment purpose in </w:t>
      </w:r>
      <w:r w:rsidR="00E6006E">
        <w:t>Aotearoa New </w:t>
      </w:r>
      <w:r w:rsidR="003B42AA">
        <w:t>Zealand</w:t>
      </w:r>
      <w:r w:rsidRPr="00E44F3E">
        <w:t xml:space="preserve">. This means the magnitude of clinical benefit derived does not reflect the true magnitude of clinical benefit in </w:t>
      </w:r>
      <w:r w:rsidR="00E6006E">
        <w:t>Aotearoa New </w:t>
      </w:r>
      <w:r w:rsidR="003B42AA">
        <w:t>Zealand</w:t>
      </w:r>
      <w:r w:rsidRPr="00E44F3E">
        <w:t xml:space="preserve">. While the </w:t>
      </w:r>
      <w:r w:rsidR="0074099F" w:rsidRPr="0074099F">
        <w:t xml:space="preserve">ESMO-MCBS:H </w:t>
      </w:r>
      <w:r w:rsidRPr="00E44F3E">
        <w:t xml:space="preserve">does </w:t>
      </w:r>
      <w:r w:rsidR="00BC675E">
        <w:t>not</w:t>
      </w:r>
      <w:r w:rsidRPr="00E44F3E">
        <w:t xml:space="preserve"> have a process for adjusting derived scores to manage this, the project team did </w:t>
      </w:r>
      <w:proofErr w:type="gramStart"/>
      <w:r w:rsidRPr="00E44F3E">
        <w:t>make adjustments</w:t>
      </w:r>
      <w:proofErr w:type="gramEnd"/>
      <w:r w:rsidRPr="00E44F3E">
        <w:t xml:space="preserve"> occasionally on a case-by-case basis as required. </w:t>
      </w:r>
    </w:p>
    <w:p w14:paraId="4BCE203A" w14:textId="77777777" w:rsidR="009B7254" w:rsidRPr="00E44F3E" w:rsidRDefault="009B7254" w:rsidP="00CC300B"/>
    <w:p w14:paraId="3DB730FB" w14:textId="3F75174A" w:rsidR="009B7254" w:rsidRPr="00E44F3E" w:rsidRDefault="009B7254" w:rsidP="00CC300B">
      <w:r w:rsidRPr="00E44F3E">
        <w:t xml:space="preserve">As an additional check, </w:t>
      </w:r>
      <w:r w:rsidR="002B6685">
        <w:t>w</w:t>
      </w:r>
      <w:r w:rsidR="00223508">
        <w:t>h</w:t>
      </w:r>
      <w:r w:rsidR="002B6685">
        <w:t xml:space="preserve">ere possible </w:t>
      </w:r>
      <w:r w:rsidRPr="00E44F3E">
        <w:t xml:space="preserve">the scores derived by the project team were checked against the </w:t>
      </w:r>
      <w:r w:rsidR="005A6321">
        <w:t xml:space="preserve">ESMO-MCBS:H </w:t>
      </w:r>
      <w:r w:rsidR="002B6685">
        <w:t>score</w:t>
      </w:r>
      <w:r w:rsidR="005A6321">
        <w:t>s derived</w:t>
      </w:r>
      <w:r w:rsidR="002B6685">
        <w:t xml:space="preserve"> </w:t>
      </w:r>
      <w:r w:rsidR="005A6321">
        <w:t xml:space="preserve">during the </w:t>
      </w:r>
      <w:r w:rsidR="009449A9">
        <w:t>tool’s</w:t>
      </w:r>
      <w:r w:rsidR="005A6321">
        <w:t xml:space="preserve"> evaluation and validation process</w:t>
      </w:r>
      <w:r w:rsidR="00DC2C65">
        <w:t xml:space="preserve"> (</w:t>
      </w:r>
      <w:proofErr w:type="spellStart"/>
      <w:r w:rsidR="00DC2C65">
        <w:t>Kiese</w:t>
      </w:r>
      <w:r w:rsidR="009449A9">
        <w:t>wetter</w:t>
      </w:r>
      <w:proofErr w:type="spellEnd"/>
      <w:r w:rsidR="009449A9">
        <w:t xml:space="preserve"> 20</w:t>
      </w:r>
      <w:r w:rsidR="00364481">
        <w:t>20</w:t>
      </w:r>
      <w:r w:rsidR="009449A9">
        <w:t>)</w:t>
      </w:r>
      <w:r w:rsidR="00DC2C65">
        <w:t xml:space="preserve">. </w:t>
      </w:r>
    </w:p>
    <w:p w14:paraId="7A71C3F5" w14:textId="77777777" w:rsidR="009B7254" w:rsidRPr="00E44F3E" w:rsidRDefault="009B7254" w:rsidP="00CC300B">
      <w:pPr>
        <w:pStyle w:val="Heading2"/>
      </w:pPr>
      <w:bookmarkStart w:id="49" w:name="_Toc180062104"/>
      <w:r w:rsidRPr="00E44F3E">
        <w:t>What was the scope of our analysis?</w:t>
      </w:r>
      <w:bookmarkEnd w:id="49"/>
      <w:r w:rsidRPr="00E44F3E">
        <w:t xml:space="preserve"> </w:t>
      </w:r>
    </w:p>
    <w:p w14:paraId="77A63AE2" w14:textId="76479FEB" w:rsidR="009B7254" w:rsidRPr="00E44F3E" w:rsidRDefault="009B7254" w:rsidP="00CC300B">
      <w:r w:rsidRPr="00E44F3E">
        <w:t xml:space="preserve">The assessment of publicly funded blood cancer medicines in Australia and </w:t>
      </w:r>
      <w:r w:rsidR="00E6006E">
        <w:t>Aotearoa New </w:t>
      </w:r>
      <w:r w:rsidR="003B42AA">
        <w:t>Zealand</w:t>
      </w:r>
      <w:r w:rsidRPr="00E44F3E">
        <w:t xml:space="preserve"> was conducted based on medicine availability as of 1 January 2024. </w:t>
      </w:r>
    </w:p>
    <w:p w14:paraId="3F2DD614" w14:textId="77777777" w:rsidR="009B7254" w:rsidRPr="00E44F3E" w:rsidRDefault="009B7254" w:rsidP="00CC300B"/>
    <w:p w14:paraId="5C7A9F58" w14:textId="38B7AC07" w:rsidR="009B7254" w:rsidRPr="00E44F3E" w:rsidRDefault="009B7254" w:rsidP="00CC300B">
      <w:r w:rsidRPr="00E44F3E">
        <w:t>Blood cancer medicines were defined as any medicine used to actively treat blood cancer. Medicines used exclusively to manage symptoms or side</w:t>
      </w:r>
      <w:r w:rsidR="00E40CD1">
        <w:t xml:space="preserve"> </w:t>
      </w:r>
      <w:r w:rsidRPr="00E44F3E">
        <w:t>effects without any direct effect on the cancer, whil</w:t>
      </w:r>
      <w:r w:rsidR="00182354">
        <w:t>e</w:t>
      </w:r>
      <w:r w:rsidRPr="00E44F3E">
        <w:t xml:space="preserve"> critical to cancer care, were considered out of scope of this report. Further information on the scope of the analysis is noted in</w:t>
      </w:r>
      <w:r w:rsidR="0052203A" w:rsidRPr="00E44F3E">
        <w:t xml:space="preserve"> </w:t>
      </w:r>
      <w:r w:rsidR="00992F40" w:rsidRPr="00E44F3E">
        <w:fldChar w:fldCharType="begin"/>
      </w:r>
      <w:r w:rsidR="00992F40" w:rsidRPr="00E44F3E">
        <w:instrText xml:space="preserve"> REF _Ref176264405 \h </w:instrText>
      </w:r>
      <w:r w:rsidR="00992F40" w:rsidRPr="00E44F3E">
        <w:fldChar w:fldCharType="separate"/>
      </w:r>
      <w:r w:rsidR="004A6DF6" w:rsidRPr="00E44F3E">
        <w:t xml:space="preserve">Table </w:t>
      </w:r>
      <w:r w:rsidR="004A6DF6">
        <w:rPr>
          <w:noProof/>
        </w:rPr>
        <w:t>2</w:t>
      </w:r>
      <w:r w:rsidR="00992F40" w:rsidRPr="00E44F3E">
        <w:fldChar w:fldCharType="end"/>
      </w:r>
      <w:r w:rsidRPr="00E44F3E">
        <w:t xml:space="preserve">. </w:t>
      </w:r>
    </w:p>
    <w:p w14:paraId="673FEA41" w14:textId="77777777" w:rsidR="009B7254" w:rsidRPr="00E44F3E" w:rsidRDefault="009B7254" w:rsidP="00CC300B"/>
    <w:p w14:paraId="1A0AA00C" w14:textId="36B07A2C" w:rsidR="009B7254" w:rsidRPr="00E44F3E" w:rsidRDefault="0052203A" w:rsidP="00992F40">
      <w:pPr>
        <w:pStyle w:val="Table"/>
      </w:pPr>
      <w:bookmarkStart w:id="50" w:name="_Ref176264405"/>
      <w:bookmarkStart w:id="51" w:name="_Toc175241534"/>
      <w:bookmarkStart w:id="52" w:name="_Toc180142288"/>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w:t>
      </w:r>
      <w:r w:rsidR="00D97615">
        <w:rPr>
          <w:noProof/>
        </w:rPr>
        <w:fldChar w:fldCharType="end"/>
      </w:r>
      <w:bookmarkEnd w:id="50"/>
      <w:r w:rsidR="009B7254" w:rsidRPr="00E44F3E">
        <w:t>: Scope of analysis inclusions and exclusions for blood</w:t>
      </w:r>
      <w:bookmarkEnd w:id="51"/>
      <w:r w:rsidR="000631CA">
        <w:t xml:space="preserve"> cancer medicines</w:t>
      </w:r>
      <w:bookmarkEnd w:id="52"/>
    </w:p>
    <w:tbl>
      <w:tblPr>
        <w:tblStyle w:val="TableGrid"/>
        <w:tblW w:w="5000" w:type="pct"/>
        <w:tblLook w:val="04A0" w:firstRow="1" w:lastRow="0" w:firstColumn="1" w:lastColumn="0" w:noHBand="0" w:noVBand="1"/>
      </w:tblPr>
      <w:tblGrid>
        <w:gridCol w:w="734"/>
        <w:gridCol w:w="3463"/>
        <w:gridCol w:w="3872"/>
      </w:tblGrid>
      <w:tr w:rsidR="00036A02" w:rsidRPr="00E44F3E" w14:paraId="4967781A" w14:textId="77777777" w:rsidTr="00036A02">
        <w:trPr>
          <w:trHeight w:val="20"/>
        </w:trPr>
        <w:tc>
          <w:tcPr>
            <w:tcW w:w="455" w:type="pct"/>
            <w:shd w:val="clear" w:color="auto" w:fill="C2D9BA"/>
          </w:tcPr>
          <w:p w14:paraId="360E8A37" w14:textId="77777777" w:rsidR="00036A02" w:rsidRPr="00E44F3E" w:rsidRDefault="00036A02" w:rsidP="00036A02">
            <w:pPr>
              <w:pStyle w:val="Table"/>
            </w:pPr>
          </w:p>
        </w:tc>
        <w:tc>
          <w:tcPr>
            <w:tcW w:w="2146" w:type="pct"/>
            <w:shd w:val="clear" w:color="auto" w:fill="C2D9BA"/>
          </w:tcPr>
          <w:p w14:paraId="75AFD732" w14:textId="4C187933" w:rsidR="00036A02" w:rsidRPr="00E44F3E" w:rsidRDefault="00036A02" w:rsidP="00036A02">
            <w:pPr>
              <w:pStyle w:val="Table"/>
            </w:pPr>
            <w:r w:rsidRPr="00E44F3E">
              <w:t xml:space="preserve">Australia </w:t>
            </w:r>
          </w:p>
        </w:tc>
        <w:tc>
          <w:tcPr>
            <w:tcW w:w="2399" w:type="pct"/>
            <w:shd w:val="clear" w:color="auto" w:fill="C2D9BA"/>
          </w:tcPr>
          <w:p w14:paraId="66D93A44" w14:textId="60A4FD92" w:rsidR="00036A02" w:rsidRPr="00E44F3E" w:rsidRDefault="00E6006E" w:rsidP="00036A02">
            <w:pPr>
              <w:pStyle w:val="Table"/>
            </w:pPr>
            <w:r>
              <w:t>Aotearoa New </w:t>
            </w:r>
            <w:r w:rsidR="003B42AA">
              <w:t>Zealand</w:t>
            </w:r>
            <w:r w:rsidR="00036A02" w:rsidRPr="00E44F3E">
              <w:t xml:space="preserve"> </w:t>
            </w:r>
          </w:p>
        </w:tc>
      </w:tr>
      <w:tr w:rsidR="00036A02" w:rsidRPr="00E44F3E" w14:paraId="1FF7C740" w14:textId="77777777" w:rsidTr="00036A02">
        <w:trPr>
          <w:cantSplit/>
          <w:trHeight w:val="20"/>
        </w:trPr>
        <w:tc>
          <w:tcPr>
            <w:tcW w:w="455" w:type="pct"/>
            <w:shd w:val="clear" w:color="auto" w:fill="C2D9BA"/>
            <w:textDirection w:val="btLr"/>
          </w:tcPr>
          <w:p w14:paraId="78F50D5B" w14:textId="1E4DE5E1" w:rsidR="00036A02" w:rsidRPr="00E44F3E" w:rsidRDefault="00036A02" w:rsidP="00036A02">
            <w:pPr>
              <w:pStyle w:val="Table"/>
              <w:jc w:val="center"/>
            </w:pPr>
            <w:r w:rsidRPr="00E44F3E">
              <w:t>Included</w:t>
            </w:r>
          </w:p>
        </w:tc>
        <w:tc>
          <w:tcPr>
            <w:tcW w:w="2146" w:type="pct"/>
          </w:tcPr>
          <w:p w14:paraId="669FA9A7" w14:textId="229388DC" w:rsidR="00036A02" w:rsidRPr="00E44F3E" w:rsidRDefault="00036A02" w:rsidP="00036A02">
            <w:pPr>
              <w:pStyle w:val="TableBullet"/>
            </w:pPr>
            <w:r w:rsidRPr="00E44F3E">
              <w:t xml:space="preserve">Blood cancer medicines listed on the </w:t>
            </w:r>
            <w:r w:rsidR="00CD4145" w:rsidRPr="00E44F3E">
              <w:t>Pharmaceutical Benefit</w:t>
            </w:r>
            <w:r w:rsidR="00611147">
              <w:t>s</w:t>
            </w:r>
            <w:r w:rsidR="00CD4145" w:rsidRPr="00E44F3E">
              <w:t xml:space="preserve"> </w:t>
            </w:r>
            <w:r w:rsidR="00CD4145">
              <w:t xml:space="preserve">Scheme </w:t>
            </w:r>
            <w:r w:rsidR="00CD4145" w:rsidRPr="00E44F3E">
              <w:t xml:space="preserve">(PBS) </w:t>
            </w:r>
            <w:r w:rsidR="00CD4145" w:rsidRPr="00CD4145">
              <w:t xml:space="preserve">Schedule </w:t>
            </w:r>
            <w:r w:rsidRPr="00E44F3E">
              <w:t xml:space="preserve">that were consistently available across Australia </w:t>
            </w:r>
          </w:p>
        </w:tc>
        <w:tc>
          <w:tcPr>
            <w:tcW w:w="2399" w:type="pct"/>
          </w:tcPr>
          <w:p w14:paraId="6C0E45DB" w14:textId="5375BB4F" w:rsidR="00036A02" w:rsidRPr="00E44F3E" w:rsidRDefault="00036A02" w:rsidP="00036A02">
            <w:pPr>
              <w:pStyle w:val="TableBullet"/>
            </w:pPr>
            <w:r w:rsidRPr="00E44F3E">
              <w:t xml:space="preserve">Blood cancer medicines funded via </w:t>
            </w:r>
            <w:proofErr w:type="spellStart"/>
            <w:r w:rsidRPr="00E44F3E">
              <w:t>Pharmac’s</w:t>
            </w:r>
            <w:proofErr w:type="spellEnd"/>
            <w:r w:rsidRPr="00E44F3E">
              <w:t xml:space="preserve"> Pharmaceutical Schedule </w:t>
            </w:r>
          </w:p>
        </w:tc>
      </w:tr>
      <w:tr w:rsidR="00036A02" w:rsidRPr="00E44F3E" w14:paraId="7DBB52EE" w14:textId="77777777" w:rsidTr="00036A02">
        <w:trPr>
          <w:cantSplit/>
          <w:trHeight w:val="20"/>
        </w:trPr>
        <w:tc>
          <w:tcPr>
            <w:tcW w:w="455" w:type="pct"/>
            <w:shd w:val="clear" w:color="auto" w:fill="C2D9BA"/>
            <w:textDirection w:val="btLr"/>
          </w:tcPr>
          <w:p w14:paraId="417A54D4" w14:textId="790A77AE" w:rsidR="00036A02" w:rsidRPr="00E44F3E" w:rsidRDefault="00036A02" w:rsidP="007C1B03">
            <w:pPr>
              <w:pStyle w:val="Table"/>
              <w:jc w:val="center"/>
            </w:pPr>
            <w:r w:rsidRPr="00E44F3E">
              <w:t>Excluded</w:t>
            </w:r>
          </w:p>
        </w:tc>
        <w:tc>
          <w:tcPr>
            <w:tcW w:w="2146" w:type="pct"/>
          </w:tcPr>
          <w:p w14:paraId="48B8B5EF" w14:textId="2E69DC06" w:rsidR="00036A02" w:rsidRPr="00E44F3E" w:rsidRDefault="00036A02" w:rsidP="00036A02">
            <w:pPr>
              <w:pStyle w:val="TableBullet"/>
            </w:pPr>
            <w:r w:rsidRPr="00E44F3E">
              <w:t>Medicines publicly funded in Australia by other means</w:t>
            </w:r>
            <w:r>
              <w:t>,</w:t>
            </w:r>
            <w:r w:rsidRPr="00E44F3E">
              <w:t xml:space="preserve"> including public hospital inpatient settings or provided by an individual state or hospital </w:t>
            </w:r>
          </w:p>
          <w:p w14:paraId="46E7A72D" w14:textId="2E2A952B" w:rsidR="00036A02" w:rsidRPr="00E44F3E" w:rsidRDefault="00036A02" w:rsidP="00036A02">
            <w:pPr>
              <w:pStyle w:val="TableBullet"/>
            </w:pPr>
            <w:r w:rsidRPr="00E44F3E">
              <w:t>Medicines accessed privately through private financing, private health insurance or through pharmaceutical company compassionate supply</w:t>
            </w:r>
          </w:p>
        </w:tc>
        <w:tc>
          <w:tcPr>
            <w:tcW w:w="2399" w:type="pct"/>
          </w:tcPr>
          <w:p w14:paraId="0D152841" w14:textId="32A954EF" w:rsidR="00036A02" w:rsidRPr="00E44F3E" w:rsidRDefault="00036A02" w:rsidP="00CC300B">
            <w:pPr>
              <w:pStyle w:val="TableBullet"/>
            </w:pPr>
            <w:r w:rsidRPr="00E44F3E">
              <w:t>Medicines publicly funded by other means</w:t>
            </w:r>
            <w:r>
              <w:t>,</w:t>
            </w:r>
            <w:r w:rsidRPr="00E44F3E">
              <w:t xml:space="preserve"> including </w:t>
            </w:r>
            <w:proofErr w:type="spellStart"/>
            <w:r w:rsidRPr="00E44F3E">
              <w:t>Pharmac’s</w:t>
            </w:r>
            <w:proofErr w:type="spellEnd"/>
            <w:r w:rsidRPr="00E44F3E">
              <w:t xml:space="preserve"> exceptional circumstances process, paediatric cancer medicines or clinical trials</w:t>
            </w:r>
          </w:p>
          <w:p w14:paraId="7FB5F3EA" w14:textId="252C2526" w:rsidR="00036A02" w:rsidRPr="00E44F3E" w:rsidRDefault="00036A02" w:rsidP="00CC300B">
            <w:pPr>
              <w:pStyle w:val="TableBullet"/>
            </w:pPr>
            <w:r w:rsidRPr="00E44F3E">
              <w:t>Medicines funded outside the publicly funded system</w:t>
            </w:r>
            <w:r>
              <w:t>,</w:t>
            </w:r>
            <w:r w:rsidRPr="00E44F3E">
              <w:t xml:space="preserve"> including through private financing, private health insurance or through pharmaceutical company compassionate supply</w:t>
            </w:r>
          </w:p>
        </w:tc>
      </w:tr>
    </w:tbl>
    <w:p w14:paraId="2D14593D" w14:textId="77777777" w:rsidR="009B7254" w:rsidRPr="00E44F3E" w:rsidRDefault="009B7254" w:rsidP="009B7254"/>
    <w:p w14:paraId="1C665A8F" w14:textId="77777777" w:rsidR="007C1B03" w:rsidRPr="00E44F3E" w:rsidRDefault="007C1B03" w:rsidP="007C1B03">
      <w:pPr>
        <w:pStyle w:val="Heading2"/>
      </w:pPr>
      <w:bookmarkStart w:id="53" w:name="_Toc175228998"/>
      <w:bookmarkStart w:id="54" w:name="_Toc180062105"/>
      <w:r w:rsidRPr="00E44F3E">
        <w:t>Our process</w:t>
      </w:r>
      <w:bookmarkEnd w:id="53"/>
      <w:bookmarkEnd w:id="54"/>
    </w:p>
    <w:p w14:paraId="1DACD96C" w14:textId="7F63DCA3" w:rsidR="007C1B03" w:rsidRPr="00E44F3E" w:rsidRDefault="007C1B03" w:rsidP="007C1B03">
      <w:r w:rsidRPr="00E44F3E">
        <w:t xml:space="preserve">The general methodology of the analysis for this report was </w:t>
      </w:r>
      <w:proofErr w:type="gramStart"/>
      <w:r w:rsidRPr="00E44F3E">
        <w:t>similar to</w:t>
      </w:r>
      <w:proofErr w:type="gramEnd"/>
      <w:r w:rsidRPr="00E44F3E">
        <w:t xml:space="preserve"> the 2022 </w:t>
      </w:r>
      <w:r w:rsidR="00EA4A06">
        <w:t>r</w:t>
      </w:r>
      <w:r w:rsidRPr="00E44F3E">
        <w:t xml:space="preserve">eport. The main difference was that in the 2022 </w:t>
      </w:r>
      <w:r w:rsidR="00EA4A06">
        <w:t>r</w:t>
      </w:r>
      <w:r w:rsidRPr="00E44F3E">
        <w:t>eport the magnitude of clinical benefit scores for solid tumour medicines identified as medicine gaps were primarily taken from the scores previously derived and published by ESMO. Only a small number were scored by project staff, when a published ESMO</w:t>
      </w:r>
      <w:r w:rsidR="0028174A">
        <w:t>-</w:t>
      </w:r>
      <w:r w:rsidR="00596F6E" w:rsidRPr="00596F6E">
        <w:t>MCBS</w:t>
      </w:r>
      <w:r w:rsidRPr="00E44F3E">
        <w:t xml:space="preserve"> score was unavailable for a particular medicine. Published ESMO</w:t>
      </w:r>
      <w:r w:rsidR="00596F6E">
        <w:t>-</w:t>
      </w:r>
      <w:r w:rsidR="00596F6E" w:rsidRPr="00596F6E">
        <w:t>MCBS</w:t>
      </w:r>
      <w:r w:rsidR="006B2496">
        <w:t>:H</w:t>
      </w:r>
      <w:r w:rsidRPr="00E44F3E">
        <w:t xml:space="preserve"> scores were not available for blood cancer medicines when the analysis was undertaken for </w:t>
      </w:r>
      <w:r w:rsidR="00EA4A06">
        <w:t>this</w:t>
      </w:r>
      <w:r w:rsidR="00EA4A06" w:rsidRPr="00E44F3E">
        <w:t xml:space="preserve"> </w:t>
      </w:r>
      <w:r w:rsidRPr="00E44F3E">
        <w:t xml:space="preserve">2024 </w:t>
      </w:r>
      <w:r w:rsidR="00EA4A06">
        <w:t>r</w:t>
      </w:r>
      <w:r w:rsidRPr="00E44F3E">
        <w:t xml:space="preserve">eport. As a result, the scoring of clinical benefit for blood cancer medicines identified as gaps was completed by the project team. </w:t>
      </w:r>
    </w:p>
    <w:p w14:paraId="0B1DC3ED" w14:textId="77777777" w:rsidR="007C1B03" w:rsidRPr="00E44F3E" w:rsidRDefault="007C1B03" w:rsidP="007C1B03"/>
    <w:p w14:paraId="0FF21DB6" w14:textId="744F70D6" w:rsidR="007C1B03" w:rsidRPr="00E44F3E" w:rsidRDefault="007C1B03" w:rsidP="007C1B03">
      <w:r w:rsidRPr="00E44F3E">
        <w:t>To ensure the score determination process was robust and reliable, a two-step review and moderation process was carried out. In the first step, two members of the project team conducted</w:t>
      </w:r>
      <w:r w:rsidRPr="00E44F3E" w:rsidDel="00DD6B00">
        <w:t xml:space="preserve"> </w:t>
      </w:r>
      <w:r w:rsidRPr="00E44F3E">
        <w:t xml:space="preserve">independent evaluations of each medicine’s magnitude of clinical benefit </w:t>
      </w:r>
      <w:r w:rsidR="00C17850">
        <w:t xml:space="preserve">and determined </w:t>
      </w:r>
      <w:r w:rsidR="004545A3">
        <w:t>a</w:t>
      </w:r>
      <w:r w:rsidR="00C17850">
        <w:t xml:space="preserve"> </w:t>
      </w:r>
      <w:r w:rsidRPr="00E44F3E">
        <w:t>score. The two members then met to discuss their findings and moderate any differences. Once moderation was complete, the scoring forms were sent to two haematologists who independently reviewed the scores and how they were derived. Again, where difference in opinion occurred, the entire project team met to discuss and moderate the information and come to a resolution. Where there was some uncertainty, the project team favoured the highest score possible for the medicine.</w:t>
      </w:r>
      <w:r w:rsidRPr="00E44F3E">
        <w:rPr>
          <w:bCs/>
        </w:rPr>
        <w:t xml:space="preserve"> The process of the analysis is detailed in</w:t>
      </w:r>
      <w:r w:rsidR="00657206" w:rsidRPr="00E44F3E">
        <w:rPr>
          <w:bCs/>
        </w:rPr>
        <w:t xml:space="preserve"> </w:t>
      </w:r>
      <w:r w:rsidR="00657206" w:rsidRPr="00E44F3E">
        <w:rPr>
          <w:bCs/>
        </w:rPr>
        <w:fldChar w:fldCharType="begin"/>
      </w:r>
      <w:r w:rsidR="00657206" w:rsidRPr="00E44F3E">
        <w:rPr>
          <w:bCs/>
        </w:rPr>
        <w:instrText xml:space="preserve"> REF _Ref176269551 \h </w:instrText>
      </w:r>
      <w:r w:rsidR="00657206" w:rsidRPr="00E44F3E">
        <w:rPr>
          <w:bCs/>
        </w:rPr>
      </w:r>
      <w:r w:rsidR="00657206" w:rsidRPr="00E44F3E">
        <w:rPr>
          <w:bCs/>
        </w:rPr>
        <w:fldChar w:fldCharType="separate"/>
      </w:r>
      <w:r w:rsidR="004A6DF6" w:rsidRPr="00E44F3E">
        <w:t xml:space="preserve">Figure </w:t>
      </w:r>
      <w:r w:rsidR="004A6DF6">
        <w:rPr>
          <w:noProof/>
        </w:rPr>
        <w:t>2</w:t>
      </w:r>
      <w:r w:rsidR="00657206" w:rsidRPr="00E44F3E">
        <w:rPr>
          <w:bCs/>
        </w:rPr>
        <w:fldChar w:fldCharType="end"/>
      </w:r>
      <w:r w:rsidRPr="00E44F3E">
        <w:t>.</w:t>
      </w:r>
    </w:p>
    <w:p w14:paraId="566A94F3" w14:textId="77777777" w:rsidR="007C1B03" w:rsidRPr="00E44F3E" w:rsidRDefault="007C1B03" w:rsidP="007C1B03"/>
    <w:p w14:paraId="51E11334" w14:textId="0AEFA367" w:rsidR="007C1B03" w:rsidRPr="00E44F3E" w:rsidRDefault="007C1B03" w:rsidP="007C1B03">
      <w:r w:rsidRPr="00E44F3E">
        <w:t xml:space="preserve">The magnitude of clinical benefit score allocation relied on the assessment of outcomes from the specific clinical trial that </w:t>
      </w:r>
      <w:r w:rsidR="00596F6E">
        <w:t>led</w:t>
      </w:r>
      <w:r w:rsidR="00596F6E" w:rsidRPr="00E44F3E">
        <w:t xml:space="preserve"> </w:t>
      </w:r>
      <w:r w:rsidRPr="00E44F3E">
        <w:t xml:space="preserve">to the medicine being licensed. </w:t>
      </w:r>
      <w:r w:rsidRPr="00E44F3E" w:rsidDel="00E66F77">
        <w:t xml:space="preserve">Some </w:t>
      </w:r>
      <w:r w:rsidRPr="00E44F3E">
        <w:t xml:space="preserve">clinical benefit </w:t>
      </w:r>
      <w:r w:rsidRPr="00E44F3E" w:rsidDel="00E66F77">
        <w:t xml:space="preserve">scores were amended </w:t>
      </w:r>
      <w:r w:rsidRPr="00E44F3E">
        <w:t xml:space="preserve">for accuracy in the </w:t>
      </w:r>
      <w:r w:rsidRPr="00E44F3E" w:rsidDel="00E66F77">
        <w:t>context</w:t>
      </w:r>
      <w:r w:rsidRPr="00E44F3E">
        <w:t xml:space="preserve"> of </w:t>
      </w:r>
      <w:r w:rsidR="00E6006E">
        <w:t>Aotearoa New </w:t>
      </w:r>
      <w:r w:rsidR="003B42AA">
        <w:t>Zealand</w:t>
      </w:r>
      <w:r w:rsidRPr="00E44F3E" w:rsidDel="00E66F77">
        <w:t xml:space="preserve">. </w:t>
      </w:r>
      <w:r w:rsidRPr="00E44F3E">
        <w:t xml:space="preserve">This was necessary because, at times, there was a difference between the medicine that was used as a comparator in the clinical trial to the medicine that would be used for that treatment purpose in </w:t>
      </w:r>
      <w:r w:rsidR="00E6006E">
        <w:t>Aotearoa New </w:t>
      </w:r>
      <w:r w:rsidR="003B42AA">
        <w:t>Zealand</w:t>
      </w:r>
      <w:r w:rsidRPr="00E44F3E">
        <w:t xml:space="preserve">. Without allowing for this context, the score allocated might not have reflected the potential benefit offered by the medicine should it be made publicly available in </w:t>
      </w:r>
      <w:r w:rsidR="00E6006E">
        <w:t>Aotearoa New </w:t>
      </w:r>
      <w:r w:rsidR="003B42AA">
        <w:t>Zealand</w:t>
      </w:r>
      <w:r w:rsidRPr="00E44F3E">
        <w:t xml:space="preserve">. Again, the project team erred on </w:t>
      </w:r>
      <w:r w:rsidRPr="00E44F3E">
        <w:lastRenderedPageBreak/>
        <w:t>allocating the highest possible score for the medicine in this instance. Where several medicines with the same mode of action</w:t>
      </w:r>
      <w:r w:rsidR="00227A7C">
        <w:t xml:space="preserve"> (</w:t>
      </w:r>
      <w:r w:rsidR="00D525B1">
        <w:t>such as multiple options within the same medicine class)</w:t>
      </w:r>
      <w:r w:rsidRPr="00E44F3E">
        <w:t xml:space="preserve"> and used for the same indication were available in Australia, these were represented as a single medicine gap with the highest ESMO-MCBS</w:t>
      </w:r>
      <w:r w:rsidR="006B2496">
        <w:t>:H</w:t>
      </w:r>
      <w:r w:rsidRPr="00E44F3E">
        <w:t xml:space="preserve"> score applied. </w:t>
      </w:r>
    </w:p>
    <w:p w14:paraId="7A940A91" w14:textId="77777777" w:rsidR="007C1B03" w:rsidRPr="00E44F3E" w:rsidRDefault="007C1B03" w:rsidP="009B7254"/>
    <w:p w14:paraId="73CDF734" w14:textId="1ED79DE9" w:rsidR="007C1B03" w:rsidRPr="00E44F3E" w:rsidRDefault="007C1B03" w:rsidP="007C1B03">
      <w:pPr>
        <w:pStyle w:val="Table"/>
      </w:pPr>
      <w:bookmarkStart w:id="55" w:name="_Ref176269551"/>
      <w:bookmarkStart w:id="56" w:name="_Toc175241593"/>
      <w:bookmarkStart w:id="57" w:name="_Toc180062136"/>
      <w:r w:rsidRPr="00E44F3E">
        <w:t xml:space="preserve">Figure </w:t>
      </w:r>
      <w:r w:rsidR="00D97615">
        <w:fldChar w:fldCharType="begin"/>
      </w:r>
      <w:r w:rsidR="00D97615">
        <w:instrText xml:space="preserve"> SEQ Figure \* ARABIC </w:instrText>
      </w:r>
      <w:r w:rsidR="00D97615">
        <w:fldChar w:fldCharType="separate"/>
      </w:r>
      <w:r w:rsidR="004A6DF6">
        <w:rPr>
          <w:noProof/>
        </w:rPr>
        <w:t>2</w:t>
      </w:r>
      <w:r w:rsidR="00D97615">
        <w:rPr>
          <w:noProof/>
        </w:rPr>
        <w:fldChar w:fldCharType="end"/>
      </w:r>
      <w:bookmarkEnd w:id="55"/>
      <w:r w:rsidRPr="00E44F3E">
        <w:t>: Summary of analysis methodology</w:t>
      </w:r>
      <w:bookmarkEnd w:id="56"/>
      <w:bookmarkEnd w:id="57"/>
    </w:p>
    <w:p w14:paraId="46C0F6EF" w14:textId="5449F297" w:rsidR="007C1B03" w:rsidRPr="00E44F3E" w:rsidRDefault="006E7BFF" w:rsidP="009B7254">
      <w:r w:rsidRPr="006E7BFF">
        <w:t xml:space="preserve"> </w:t>
      </w:r>
      <w:r w:rsidR="00264A98" w:rsidRPr="00264A98">
        <w:rPr>
          <w:noProof/>
        </w:rPr>
        <w:drawing>
          <wp:inline distT="0" distB="0" distL="0" distR="0" wp14:anchorId="2061040D" wp14:editId="31F37535">
            <wp:extent cx="5130165" cy="6563360"/>
            <wp:effectExtent l="0" t="0" r="0" b="8890"/>
            <wp:docPr id="16453023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30165" cy="6563360"/>
                    </a:xfrm>
                    <a:prstGeom prst="rect">
                      <a:avLst/>
                    </a:prstGeom>
                    <a:noFill/>
                    <a:ln>
                      <a:noFill/>
                    </a:ln>
                  </pic:spPr>
                </pic:pic>
              </a:graphicData>
            </a:graphic>
          </wp:inline>
        </w:drawing>
      </w:r>
    </w:p>
    <w:p w14:paraId="0A141AAE" w14:textId="77777777" w:rsidR="00B722EE" w:rsidRPr="00E44F3E" w:rsidRDefault="00B722EE" w:rsidP="009B7254"/>
    <w:p w14:paraId="08AA35B6" w14:textId="28995563" w:rsidR="00B722EE" w:rsidRPr="00E44F3E" w:rsidRDefault="00B722EE" w:rsidP="00B722EE">
      <w:pPr>
        <w:pStyle w:val="Heading1"/>
        <w:rPr>
          <w:color w:val="0AB58F"/>
        </w:rPr>
      </w:pPr>
      <w:bookmarkStart w:id="58" w:name="_Ref177645754"/>
      <w:bookmarkStart w:id="59" w:name="_Ref177738521"/>
      <w:bookmarkStart w:id="60" w:name="_Toc180062106"/>
      <w:r w:rsidRPr="00E44F3E">
        <w:lastRenderedPageBreak/>
        <w:t xml:space="preserve">NGĀ HUA </w:t>
      </w:r>
      <w:r w:rsidRPr="00E44F3E">
        <w:rPr>
          <w:color w:val="FFFFFF" w:themeColor="background1"/>
        </w:rPr>
        <w:t>|</w:t>
      </w:r>
      <w:r w:rsidRPr="00E44F3E">
        <w:br/>
      </w:r>
      <w:r w:rsidRPr="00E44F3E">
        <w:rPr>
          <w:color w:val="0AB58F"/>
        </w:rPr>
        <w:t>RESULTS</w:t>
      </w:r>
      <w:bookmarkEnd w:id="58"/>
      <w:bookmarkEnd w:id="59"/>
      <w:bookmarkEnd w:id="60"/>
    </w:p>
    <w:p w14:paraId="101D5493" w14:textId="77777777" w:rsidR="00B722EE" w:rsidRPr="00E44F3E" w:rsidRDefault="00B722EE" w:rsidP="00B722EE">
      <w:pPr>
        <w:pStyle w:val="Heading2"/>
      </w:pPr>
      <w:bookmarkStart w:id="61" w:name="_Toc175229000"/>
      <w:bookmarkStart w:id="62" w:name="_Toc180062107"/>
      <w:r w:rsidRPr="00E44F3E">
        <w:t>Overall comparison of blood cancer medicine availability</w:t>
      </w:r>
      <w:bookmarkEnd w:id="61"/>
      <w:bookmarkEnd w:id="62"/>
      <w:r w:rsidRPr="00E44F3E">
        <w:t xml:space="preserve"> </w:t>
      </w:r>
    </w:p>
    <w:p w14:paraId="50424D1D" w14:textId="22CBB1D1" w:rsidR="00B722EE" w:rsidRPr="00E44F3E" w:rsidRDefault="00B722EE" w:rsidP="00B722EE">
      <w:r w:rsidRPr="00E44F3E">
        <w:t xml:space="preserve">In comparing the publicly funded blood cancer medicines that were available in Australia and </w:t>
      </w:r>
      <w:r w:rsidR="00E6006E">
        <w:t>Aotearoa New </w:t>
      </w:r>
      <w:r w:rsidR="003B42AA">
        <w:t>Zealand</w:t>
      </w:r>
      <w:r w:rsidRPr="00E44F3E">
        <w:t xml:space="preserve"> on 1 January 2024</w:t>
      </w:r>
      <w:r w:rsidR="00BE7B9C">
        <w:t>,</w:t>
      </w:r>
      <w:r w:rsidRPr="00E44F3E">
        <w:t xml:space="preserve"> we found that: </w:t>
      </w:r>
    </w:p>
    <w:p w14:paraId="69659FC2" w14:textId="52A9D7EF" w:rsidR="00B722EE" w:rsidRPr="00E44F3E" w:rsidRDefault="00F724E7" w:rsidP="00B722EE">
      <w:pPr>
        <w:pStyle w:val="Bullet"/>
      </w:pPr>
      <w:r>
        <w:t>58</w:t>
      </w:r>
      <w:r w:rsidR="00B722EE" w:rsidRPr="00E44F3E">
        <w:t xml:space="preserve"> medicines were publicly available for the treatment of blood cancer in both Australia and </w:t>
      </w:r>
      <w:r w:rsidR="00E6006E">
        <w:t>Aotearoa New </w:t>
      </w:r>
      <w:r w:rsidR="003B42AA">
        <w:t>Zealand</w:t>
      </w:r>
    </w:p>
    <w:p w14:paraId="7AAEC484" w14:textId="5CB96EEA" w:rsidR="00B722EE" w:rsidRPr="00E44F3E" w:rsidRDefault="00B722EE" w:rsidP="00B722EE">
      <w:pPr>
        <w:pStyle w:val="Bullet"/>
      </w:pPr>
      <w:r w:rsidRPr="00E27C6E">
        <w:t>13 medicines</w:t>
      </w:r>
      <w:r w:rsidRPr="00E44F3E">
        <w:t xml:space="preserve"> were publicly available for the treatment of blood cancer in </w:t>
      </w:r>
      <w:r w:rsidR="00E6006E">
        <w:t>Aotearoa New </w:t>
      </w:r>
      <w:r w:rsidR="003B42AA">
        <w:t>Zealand</w:t>
      </w:r>
      <w:r w:rsidRPr="00E44F3E">
        <w:t xml:space="preserve"> but not </w:t>
      </w:r>
      <w:r w:rsidR="00F746C8">
        <w:t xml:space="preserve">in </w:t>
      </w:r>
      <w:r w:rsidRPr="00E44F3E">
        <w:t>Australia</w:t>
      </w:r>
    </w:p>
    <w:p w14:paraId="1DB60380" w14:textId="3C80D735" w:rsidR="00B722EE" w:rsidRPr="00E44F3E" w:rsidRDefault="00B722EE" w:rsidP="00B722EE">
      <w:pPr>
        <w:pStyle w:val="Bullet"/>
      </w:pPr>
      <w:r w:rsidRPr="00544262">
        <w:t>2</w:t>
      </w:r>
      <w:r w:rsidR="00EB337A" w:rsidRPr="00544262">
        <w:t>4</w:t>
      </w:r>
      <w:r w:rsidRPr="00544262">
        <w:t xml:space="preserve"> medicines were publicly available for the treatment of blood cancer in Australia but</w:t>
      </w:r>
      <w:r w:rsidRPr="00E44F3E">
        <w:t xml:space="preserve"> not </w:t>
      </w:r>
      <w:r w:rsidR="00761832">
        <w:t xml:space="preserve">in </w:t>
      </w:r>
      <w:r w:rsidR="00E6006E">
        <w:t>Aotearoa New </w:t>
      </w:r>
      <w:r w:rsidR="003B42AA">
        <w:t>Zealand</w:t>
      </w:r>
      <w:r w:rsidRPr="00E44F3E">
        <w:t xml:space="preserve">. </w:t>
      </w:r>
    </w:p>
    <w:p w14:paraId="6AB10F9A" w14:textId="77777777" w:rsidR="00B722EE" w:rsidRPr="00E44F3E" w:rsidRDefault="00B722EE" w:rsidP="00B722EE"/>
    <w:p w14:paraId="25B07970" w14:textId="37FF6093" w:rsidR="00B722EE" w:rsidRPr="00E44F3E" w:rsidRDefault="00B722EE" w:rsidP="00B722EE">
      <w:r w:rsidRPr="00544262">
        <w:t>The 24</w:t>
      </w:r>
      <w:r w:rsidRPr="00E44F3E">
        <w:t xml:space="preserve"> individual medicines funded in Australia but not in </w:t>
      </w:r>
      <w:r w:rsidR="00E6006E">
        <w:t>Aotearoa New </w:t>
      </w:r>
      <w:r w:rsidR="003B42AA">
        <w:t>Zealand</w:t>
      </w:r>
      <w:r w:rsidRPr="00E44F3E">
        <w:t xml:space="preserve"> made up </w:t>
      </w:r>
      <w:r w:rsidR="0090735C">
        <w:t>4</w:t>
      </w:r>
      <w:r w:rsidR="00A2413D">
        <w:t>2</w:t>
      </w:r>
      <w:r w:rsidRPr="00E44F3E">
        <w:t xml:space="preserve"> medicine-indication pairs and </w:t>
      </w:r>
      <w:r w:rsidR="0090735C">
        <w:t>3</w:t>
      </w:r>
      <w:r w:rsidR="00A2413D">
        <w:t>7</w:t>
      </w:r>
      <w:r w:rsidRPr="00E44F3E">
        <w:t xml:space="preserve"> regimen</w:t>
      </w:r>
      <w:r w:rsidR="00AD19BF">
        <w:t>-indication</w:t>
      </w:r>
      <w:r w:rsidRPr="00E44F3E">
        <w:t xml:space="preserve"> pairs. </w:t>
      </w:r>
    </w:p>
    <w:p w14:paraId="7E2F8624" w14:textId="77777777" w:rsidR="00B722EE" w:rsidRPr="00E44F3E" w:rsidRDefault="00B722EE" w:rsidP="00B722EE"/>
    <w:p w14:paraId="629852B8" w14:textId="1A3EA954" w:rsidR="00B722EE" w:rsidRDefault="00B722EE" w:rsidP="002828D1">
      <w:pPr>
        <w:pStyle w:val="Figure"/>
        <w:rPr>
          <w:noProof/>
        </w:rPr>
      </w:pPr>
      <w:bookmarkStart w:id="63" w:name="_Ref177646370"/>
      <w:bookmarkStart w:id="64" w:name="_Toc175241535"/>
      <w:bookmarkStart w:id="65" w:name="_Toc180062137"/>
      <w:r w:rsidRPr="00E44F3E">
        <w:t xml:space="preserve">Figure </w:t>
      </w:r>
      <w:r w:rsidR="00D97615">
        <w:fldChar w:fldCharType="begin"/>
      </w:r>
      <w:r w:rsidR="00D97615">
        <w:instrText xml:space="preserve"> SEQ Figure \* ARABIC </w:instrText>
      </w:r>
      <w:r w:rsidR="00D97615">
        <w:fldChar w:fldCharType="separate"/>
      </w:r>
      <w:r w:rsidR="004A6DF6">
        <w:rPr>
          <w:noProof/>
        </w:rPr>
        <w:t>3</w:t>
      </w:r>
      <w:r w:rsidR="00D97615">
        <w:rPr>
          <w:noProof/>
        </w:rPr>
        <w:fldChar w:fldCharType="end"/>
      </w:r>
      <w:bookmarkEnd w:id="63"/>
      <w:r w:rsidRPr="00E44F3E">
        <w:t xml:space="preserve">: Summary of similarities and differences in blood cancer medicine availability in Australia and </w:t>
      </w:r>
      <w:r w:rsidR="00E6006E">
        <w:t>Aotearoa New </w:t>
      </w:r>
      <w:r w:rsidR="003B42AA">
        <w:t>Zealand</w:t>
      </w:r>
      <w:bookmarkEnd w:id="64"/>
      <w:bookmarkEnd w:id="65"/>
      <w:r w:rsidRPr="00E44F3E">
        <w:t xml:space="preserve"> </w:t>
      </w:r>
    </w:p>
    <w:p w14:paraId="793B0E38" w14:textId="0E609D64" w:rsidR="002828D1" w:rsidRPr="002828D1" w:rsidRDefault="002305E9" w:rsidP="002828D1">
      <w:r w:rsidRPr="002305E9">
        <w:rPr>
          <w:noProof/>
        </w:rPr>
        <w:drawing>
          <wp:inline distT="0" distB="0" distL="0" distR="0" wp14:anchorId="52AB9959" wp14:editId="02EEE2FC">
            <wp:extent cx="5130165" cy="3324860"/>
            <wp:effectExtent l="0" t="0" r="0" b="8890"/>
            <wp:docPr id="11865920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30165" cy="3324860"/>
                    </a:xfrm>
                    <a:prstGeom prst="rect">
                      <a:avLst/>
                    </a:prstGeom>
                    <a:noFill/>
                    <a:ln>
                      <a:noFill/>
                    </a:ln>
                  </pic:spPr>
                </pic:pic>
              </a:graphicData>
            </a:graphic>
          </wp:inline>
        </w:drawing>
      </w:r>
    </w:p>
    <w:p w14:paraId="5C039E6D" w14:textId="77777777" w:rsidR="000D066E" w:rsidRPr="00E44F3E" w:rsidRDefault="000D066E" w:rsidP="009B7254"/>
    <w:p w14:paraId="1661E015" w14:textId="77777777" w:rsidR="00EF2216" w:rsidRDefault="00EF2216" w:rsidP="00EF2216">
      <w:bookmarkStart w:id="66" w:name="_Toc175229001"/>
    </w:p>
    <w:p w14:paraId="3DF4217C" w14:textId="77777777" w:rsidR="00EF2216" w:rsidRDefault="00EF2216" w:rsidP="00EF2216"/>
    <w:p w14:paraId="48CE5169" w14:textId="75687D86" w:rsidR="00EF2216" w:rsidRDefault="000D066E" w:rsidP="00EF2216">
      <w:r w:rsidRPr="00E44F3E">
        <w:lastRenderedPageBreak/>
        <w:t xml:space="preserve">The 2022 </w:t>
      </w:r>
      <w:r w:rsidR="00EA4A06">
        <w:t>r</w:t>
      </w:r>
      <w:r w:rsidRPr="00E44F3E">
        <w:t>eport noted 28 medicine-indication pair gaps for blood cancers</w:t>
      </w:r>
      <w:r w:rsidR="00186A2E">
        <w:t>,</w:t>
      </w:r>
      <w:r w:rsidRPr="00E44F3E">
        <w:t xml:space="preserve"> which represented 26 medicine treatment regimens. Two of the 28 medicine-indication pairs have since been funded in New Zealand. These were brentuximab </w:t>
      </w:r>
      <w:proofErr w:type="spellStart"/>
      <w:r w:rsidRPr="00E44F3E">
        <w:t>vedotin</w:t>
      </w:r>
      <w:proofErr w:type="spellEnd"/>
      <w:r w:rsidRPr="00E44F3E">
        <w:t xml:space="preserve"> for relapsed or refractory anaplastic large cell lymphoma and for relapsed or refractory Hodgkin</w:t>
      </w:r>
      <w:r w:rsidR="00650559">
        <w:t>’s</w:t>
      </w:r>
      <w:r w:rsidRPr="00E44F3E">
        <w:t xml:space="preserve"> lymphoma (funded on 1 December 2022). </w:t>
      </w:r>
      <w:r w:rsidR="00EF2216">
        <w:t xml:space="preserve">The remaining 26 blood cancer medicine-indication pairs were still considered gaps as of 1 January 2024. </w:t>
      </w:r>
    </w:p>
    <w:p w14:paraId="2E160289" w14:textId="77777777" w:rsidR="00EF2216" w:rsidRDefault="00EF2216" w:rsidP="00EF2216"/>
    <w:p w14:paraId="1D6C0FFF" w14:textId="77777777" w:rsidR="00EF2216" w:rsidRDefault="00EF2216" w:rsidP="00EF2216">
      <w:pPr>
        <w:rPr>
          <w:b/>
        </w:rPr>
      </w:pPr>
      <w:r w:rsidRPr="00523C9F">
        <w:t xml:space="preserve">The 2024 report found that the number of blood cancer medicine-indication pair gaps had increased to 42.  Since </w:t>
      </w:r>
      <w:r>
        <w:t>the</w:t>
      </w:r>
      <w:r w:rsidRPr="00523C9F">
        <w:t xml:space="preserve"> assessment of gaps on the 1 January 2024, 6 medicine-indication pairs have been funded by Pharmac. This means in October 2024, 36 medicine-indication gaps were identified between Australia and Aotearoa </w:t>
      </w:r>
      <w:r>
        <w:t xml:space="preserve">New Zealand </w:t>
      </w:r>
      <w:r w:rsidRPr="00523C9F">
        <w:t xml:space="preserve">for blood cancer medicines. </w:t>
      </w:r>
    </w:p>
    <w:p w14:paraId="66FB2DEF" w14:textId="77777777" w:rsidR="000D066E" w:rsidRPr="00E44F3E" w:rsidRDefault="000D066E" w:rsidP="000D066E">
      <w:pPr>
        <w:pStyle w:val="Heading2"/>
      </w:pPr>
      <w:bookmarkStart w:id="67" w:name="_Toc180062108"/>
      <w:r w:rsidRPr="00E44F3E">
        <w:t>Blood cancer medicines funded in both jurisdictions</w:t>
      </w:r>
      <w:bookmarkEnd w:id="66"/>
      <w:bookmarkEnd w:id="67"/>
      <w:r w:rsidRPr="00E44F3E">
        <w:t xml:space="preserve"> </w:t>
      </w:r>
    </w:p>
    <w:p w14:paraId="182E0C81" w14:textId="757F451C" w:rsidR="000D066E" w:rsidRPr="00E44F3E" w:rsidRDefault="00E00234" w:rsidP="000D066E">
      <w:r w:rsidRPr="005A208B">
        <w:t>Fifty-</w:t>
      </w:r>
      <w:r w:rsidR="005A208B" w:rsidRPr="005A208B">
        <w:t>eight</w:t>
      </w:r>
      <w:r w:rsidR="000D066E" w:rsidRPr="005A208B">
        <w:t xml:space="preserve"> </w:t>
      </w:r>
      <w:r w:rsidR="000D066E" w:rsidRPr="00E44F3E">
        <w:t xml:space="preserve">blood cancer medicines were funded in both Australia and </w:t>
      </w:r>
      <w:r w:rsidR="00E6006E">
        <w:t>Aotearoa New </w:t>
      </w:r>
      <w:r w:rsidR="003B42AA">
        <w:t>Zealand</w:t>
      </w:r>
      <w:r w:rsidR="000D066E" w:rsidRPr="00E44F3E">
        <w:t xml:space="preserve">. These medicines were either funded with the same restrictions in both countries </w:t>
      </w:r>
      <w:proofErr w:type="gramStart"/>
      <w:r w:rsidR="000D066E" w:rsidRPr="00E44F3E">
        <w:t>or</w:t>
      </w:r>
      <w:proofErr w:type="gramEnd"/>
      <w:r w:rsidR="000D066E" w:rsidRPr="00E44F3E">
        <w:t xml:space="preserve"> were funded without restriction for use (</w:t>
      </w:r>
      <w:proofErr w:type="spellStart"/>
      <w:r w:rsidR="000D066E" w:rsidRPr="00E44F3E">
        <w:t>ie</w:t>
      </w:r>
      <w:proofErr w:type="spellEnd"/>
      <w:r w:rsidR="000F68E7">
        <w:t>,</w:t>
      </w:r>
      <w:r w:rsidR="000D066E" w:rsidRPr="00E44F3E">
        <w:t xml:space="preserve"> open-listed) according to the licensed indications. </w:t>
      </w:r>
    </w:p>
    <w:p w14:paraId="39A26BC2" w14:textId="77777777" w:rsidR="000D066E" w:rsidRPr="00E44F3E" w:rsidRDefault="000D066E" w:rsidP="000D066E"/>
    <w:p w14:paraId="270CC27A" w14:textId="5BDA25ED" w:rsidR="000D066E" w:rsidRPr="00E44F3E" w:rsidRDefault="000D066E" w:rsidP="000D066E">
      <w:r w:rsidRPr="00E44F3E">
        <w:t>These 5</w:t>
      </w:r>
      <w:r w:rsidR="00161F1C">
        <w:t>8</w:t>
      </w:r>
      <w:r w:rsidRPr="00E44F3E">
        <w:t xml:space="preserve"> medicines were used for multiple different indications, including some which are used for solid tumour cancers as well as blood cancers. This means some of these medicines may have also been identified in the 2022 </w:t>
      </w:r>
      <w:r w:rsidR="00EA4A06">
        <w:t>r</w:t>
      </w:r>
      <w:r w:rsidRPr="00E44F3E">
        <w:t xml:space="preserve">eport where </w:t>
      </w:r>
      <w:r w:rsidR="005A14A8">
        <w:t xml:space="preserve">they are </w:t>
      </w:r>
      <w:r w:rsidRPr="00E44F3E">
        <w:t xml:space="preserve">indicated for treatment of solid tumour cancers. </w:t>
      </w:r>
    </w:p>
    <w:p w14:paraId="2F8D835C" w14:textId="77777777" w:rsidR="000D066E" w:rsidRPr="00E44F3E" w:rsidRDefault="000D066E" w:rsidP="000D066E"/>
    <w:p w14:paraId="62F52D5F" w14:textId="19315828" w:rsidR="000D066E" w:rsidRPr="00E44F3E" w:rsidRDefault="000D066E" w:rsidP="000D066E">
      <w:pPr>
        <w:rPr>
          <w:highlight w:val="yellow"/>
        </w:rPr>
      </w:pPr>
      <w:r w:rsidRPr="00E44F3E">
        <w:t xml:space="preserve">The full list of blood cancer medicines funded in </w:t>
      </w:r>
      <w:r w:rsidR="00187411">
        <w:t xml:space="preserve">both </w:t>
      </w:r>
      <w:r w:rsidRPr="00E44F3E">
        <w:t xml:space="preserve">Australia and </w:t>
      </w:r>
      <w:r w:rsidR="00E6006E">
        <w:t>Aotearoa New </w:t>
      </w:r>
      <w:r w:rsidR="003B42AA">
        <w:t>Zealand</w:t>
      </w:r>
      <w:r w:rsidRPr="00E44F3E">
        <w:t xml:space="preserve"> can be found in </w:t>
      </w:r>
      <w:r w:rsidR="00CB0AD0">
        <w:fldChar w:fldCharType="begin"/>
      </w:r>
      <w:r w:rsidR="00CB0AD0">
        <w:instrText xml:space="preserve"> REF App3 \h </w:instrText>
      </w:r>
      <w:r w:rsidR="00CB0AD0">
        <w:fldChar w:fldCharType="separate"/>
      </w:r>
      <w:r w:rsidR="004A6DF6" w:rsidRPr="00E44F3E">
        <w:t>Appendix 3</w:t>
      </w:r>
      <w:r w:rsidR="00CB0AD0">
        <w:fldChar w:fldCharType="end"/>
      </w:r>
      <w:r w:rsidR="00CB0AD0">
        <w:t>.</w:t>
      </w:r>
    </w:p>
    <w:p w14:paraId="72DA8441" w14:textId="3DC171DF" w:rsidR="000D066E" w:rsidRPr="00E44F3E" w:rsidRDefault="000D066E" w:rsidP="005B6D35">
      <w:pPr>
        <w:pStyle w:val="Heading2"/>
      </w:pPr>
      <w:bookmarkStart w:id="68" w:name="_Toc175229002"/>
      <w:bookmarkStart w:id="69" w:name="_Toc180062109"/>
      <w:bookmarkStart w:id="70" w:name="_Toc99443164"/>
      <w:bookmarkStart w:id="71" w:name="_Toc99443575"/>
      <w:bookmarkStart w:id="72" w:name="_Toc99443730"/>
      <w:bookmarkStart w:id="73" w:name="_Toc99451915"/>
      <w:bookmarkStart w:id="74" w:name="_Toc99456186"/>
      <w:bookmarkStart w:id="75" w:name="_Toc100738325"/>
      <w:bookmarkStart w:id="76" w:name="_Toc100739027"/>
      <w:r w:rsidRPr="00E44F3E">
        <w:t xml:space="preserve">Blood cancer medicines funded in </w:t>
      </w:r>
      <w:r w:rsidR="00E6006E">
        <w:t>Aotearoa New </w:t>
      </w:r>
      <w:r w:rsidR="003B42AA">
        <w:t>Zealand</w:t>
      </w:r>
      <w:r w:rsidRPr="00E44F3E">
        <w:t xml:space="preserve"> </w:t>
      </w:r>
      <w:r w:rsidR="00187411">
        <w:t>but</w:t>
      </w:r>
      <w:r w:rsidR="00187411" w:rsidRPr="00E44F3E">
        <w:t xml:space="preserve"> </w:t>
      </w:r>
      <w:r w:rsidRPr="00E44F3E">
        <w:t>not in Australia</w:t>
      </w:r>
      <w:bookmarkEnd w:id="68"/>
      <w:bookmarkEnd w:id="69"/>
      <w:r w:rsidRPr="00E44F3E">
        <w:t xml:space="preserve"> </w:t>
      </w:r>
      <w:bookmarkEnd w:id="70"/>
      <w:bookmarkEnd w:id="71"/>
      <w:bookmarkEnd w:id="72"/>
      <w:bookmarkEnd w:id="73"/>
      <w:bookmarkEnd w:id="74"/>
      <w:bookmarkEnd w:id="75"/>
      <w:bookmarkEnd w:id="76"/>
    </w:p>
    <w:p w14:paraId="44109D49" w14:textId="5860802C" w:rsidR="000D066E" w:rsidRDefault="006D4A57" w:rsidP="005B6D35">
      <w:r w:rsidRPr="00161F1C">
        <w:t>Thirteen</w:t>
      </w:r>
      <w:r w:rsidR="000D066E" w:rsidRPr="00E44F3E">
        <w:t xml:space="preserve"> blood cancer medicines were funded in </w:t>
      </w:r>
      <w:r w:rsidR="00E6006E">
        <w:t>Aotearoa New </w:t>
      </w:r>
      <w:r w:rsidR="003B42AA">
        <w:t>Zealand</w:t>
      </w:r>
      <w:r w:rsidR="000D066E" w:rsidRPr="00E44F3E">
        <w:t xml:space="preserve"> but not </w:t>
      </w:r>
      <w:r w:rsidR="00187411">
        <w:t xml:space="preserve">in </w:t>
      </w:r>
      <w:r w:rsidR="000D066E" w:rsidRPr="00E44F3E">
        <w:t xml:space="preserve">Australia. It is important to note that, due to differences in funding arrangements between </w:t>
      </w:r>
      <w:r w:rsidR="00E6006E">
        <w:t>Aotearoa New </w:t>
      </w:r>
      <w:r w:rsidR="003B42AA">
        <w:t>Zealand</w:t>
      </w:r>
      <w:r w:rsidR="000D066E" w:rsidRPr="00E44F3E">
        <w:t xml:space="preserve"> and Australia, some of these identified gaps may be available in Australia through public funding mechanisms that sit outside the PBS. </w:t>
      </w:r>
    </w:p>
    <w:p w14:paraId="49BCE141" w14:textId="77777777" w:rsidR="009935CF" w:rsidRDefault="009935CF" w:rsidP="005B6D35"/>
    <w:p w14:paraId="70DDA977" w14:textId="5C9A259E" w:rsidR="009935CF" w:rsidRPr="00E44F3E" w:rsidRDefault="009935CF" w:rsidP="009935CF">
      <w:r>
        <w:t>S</w:t>
      </w:r>
      <w:r w:rsidRPr="00E44F3E">
        <w:t>ince the gaps analysis was conducted on 1 January 2024</w:t>
      </w:r>
      <w:r>
        <w:t xml:space="preserve">, Pharmac have funded </w:t>
      </w:r>
      <w:proofErr w:type="spellStart"/>
      <w:r>
        <w:t>bendamustine</w:t>
      </w:r>
      <w:proofErr w:type="spellEnd"/>
      <w:r>
        <w:t xml:space="preserve"> for </w:t>
      </w:r>
      <w:r w:rsidR="00F819FA" w:rsidRPr="00F819FA">
        <w:t>relapsed or refractory chronic lymphocytic leukaemia</w:t>
      </w:r>
      <w:r w:rsidR="00F819FA">
        <w:t xml:space="preserve">. </w:t>
      </w:r>
      <w:proofErr w:type="spellStart"/>
      <w:r w:rsidR="002620A3">
        <w:t>Bend</w:t>
      </w:r>
      <w:r w:rsidR="00C92399">
        <w:t>a</w:t>
      </w:r>
      <w:r w:rsidR="002620A3">
        <w:t>mustine</w:t>
      </w:r>
      <w:proofErr w:type="spellEnd"/>
      <w:r w:rsidR="002620A3">
        <w:t xml:space="preserve"> for this</w:t>
      </w:r>
      <w:r w:rsidR="00F819FA">
        <w:t xml:space="preserve"> indication will be available in </w:t>
      </w:r>
      <w:r w:rsidR="00C472A1">
        <w:t xml:space="preserve">Aotearoa </w:t>
      </w:r>
      <w:r w:rsidR="00F819FA">
        <w:t>New Zealand from the 1 Novembe</w:t>
      </w:r>
      <w:r w:rsidR="002620A3">
        <w:t>r</w:t>
      </w:r>
      <w:r w:rsidR="00F819FA">
        <w:t xml:space="preserve"> 2024</w:t>
      </w:r>
      <w:r w:rsidR="00C472A1">
        <w:t>.</w:t>
      </w:r>
      <w:r w:rsidR="002620A3">
        <w:t xml:space="preserve"> </w:t>
      </w:r>
      <w:proofErr w:type="spellStart"/>
      <w:r w:rsidR="002620A3">
        <w:t>Bend</w:t>
      </w:r>
      <w:r w:rsidR="00C92399">
        <w:t>a</w:t>
      </w:r>
      <w:r w:rsidR="002620A3">
        <w:t>mustine</w:t>
      </w:r>
      <w:proofErr w:type="spellEnd"/>
      <w:r w:rsidR="002620A3">
        <w:t xml:space="preserve"> for this indication is not currently publicly funded in Australia so is a medicine funding advantage in favour of Aotearoa New Zealand </w:t>
      </w:r>
    </w:p>
    <w:p w14:paraId="4C6ED41B" w14:textId="77777777" w:rsidR="000D066E" w:rsidRPr="00E44F3E" w:rsidRDefault="000D066E" w:rsidP="005B6D35"/>
    <w:p w14:paraId="52CC00CD" w14:textId="5101B78E" w:rsidR="000D066E" w:rsidRPr="00E44F3E" w:rsidRDefault="000D066E" w:rsidP="005B6D35">
      <w:r w:rsidRPr="00E44F3E">
        <w:t xml:space="preserve">A list of the </w:t>
      </w:r>
      <w:r w:rsidR="002B0055" w:rsidRPr="00E44F3E">
        <w:t xml:space="preserve">blood cancer </w:t>
      </w:r>
      <w:r w:rsidRPr="00E44F3E">
        <w:t xml:space="preserve">medicines funded in </w:t>
      </w:r>
      <w:r w:rsidR="00E6006E">
        <w:t>Aotearoa New </w:t>
      </w:r>
      <w:r w:rsidR="003B42AA">
        <w:t>Zealand</w:t>
      </w:r>
      <w:r w:rsidRPr="00E44F3E">
        <w:t xml:space="preserve"> </w:t>
      </w:r>
      <w:r w:rsidR="00187411">
        <w:t>but</w:t>
      </w:r>
      <w:r w:rsidR="00187411" w:rsidRPr="00E44F3E">
        <w:t xml:space="preserve"> </w:t>
      </w:r>
      <w:r w:rsidRPr="00E44F3E">
        <w:t xml:space="preserve">not in Australia via the PBS is presented in </w:t>
      </w:r>
      <w:bookmarkStart w:id="77" w:name="_Toc99443165"/>
      <w:bookmarkStart w:id="78" w:name="_Toc99443576"/>
      <w:bookmarkStart w:id="79" w:name="_Toc99443731"/>
      <w:bookmarkStart w:id="80" w:name="_Toc99451916"/>
      <w:bookmarkStart w:id="81" w:name="_Toc99456187"/>
      <w:bookmarkStart w:id="82" w:name="_Toc100738326"/>
      <w:bookmarkStart w:id="83" w:name="_Toc100739028"/>
      <w:r w:rsidR="002B0055">
        <w:fldChar w:fldCharType="begin"/>
      </w:r>
      <w:r w:rsidR="002B0055">
        <w:instrText xml:space="preserve"> REF App4 \h </w:instrText>
      </w:r>
      <w:r w:rsidR="002B0055">
        <w:fldChar w:fldCharType="separate"/>
      </w:r>
      <w:r w:rsidR="004A6DF6" w:rsidRPr="00E44F3E">
        <w:t>Appendix 4</w:t>
      </w:r>
      <w:r w:rsidR="002B0055">
        <w:fldChar w:fldCharType="end"/>
      </w:r>
      <w:r w:rsidR="002B0055">
        <w:t>.</w:t>
      </w:r>
    </w:p>
    <w:p w14:paraId="77478F03" w14:textId="2FDD3812" w:rsidR="000D066E" w:rsidRPr="00E44F3E" w:rsidRDefault="000D066E" w:rsidP="005B6D35">
      <w:pPr>
        <w:pStyle w:val="Heading2"/>
      </w:pPr>
      <w:bookmarkStart w:id="84" w:name="_Toc175229003"/>
      <w:bookmarkStart w:id="85" w:name="_Toc180062110"/>
      <w:r w:rsidRPr="00E44F3E">
        <w:lastRenderedPageBreak/>
        <w:t xml:space="preserve">Blood cancer medicines funded in Australia </w:t>
      </w:r>
      <w:r w:rsidR="002B0055">
        <w:t>but</w:t>
      </w:r>
      <w:r w:rsidR="002B0055" w:rsidRPr="00E44F3E">
        <w:t xml:space="preserve"> </w:t>
      </w:r>
      <w:r w:rsidRPr="00E44F3E">
        <w:t xml:space="preserve">not in </w:t>
      </w:r>
      <w:bookmarkEnd w:id="77"/>
      <w:bookmarkEnd w:id="78"/>
      <w:bookmarkEnd w:id="79"/>
      <w:bookmarkEnd w:id="80"/>
      <w:bookmarkEnd w:id="81"/>
      <w:bookmarkEnd w:id="82"/>
      <w:bookmarkEnd w:id="83"/>
      <w:bookmarkEnd w:id="84"/>
      <w:r w:rsidR="00E6006E">
        <w:t>Aotearoa New </w:t>
      </w:r>
      <w:r w:rsidR="003B42AA">
        <w:t>Zealand</w:t>
      </w:r>
      <w:bookmarkEnd w:id="85"/>
    </w:p>
    <w:p w14:paraId="0F465E6E" w14:textId="6ECB2A91" w:rsidR="000D066E" w:rsidRPr="00E44F3E" w:rsidRDefault="000D066E" w:rsidP="002E055C">
      <w:pPr>
        <w:keepLines/>
      </w:pPr>
      <w:r w:rsidRPr="00E44F3E">
        <w:t xml:space="preserve">On 1 January 2024 there </w:t>
      </w:r>
      <w:r w:rsidRPr="00943DCF">
        <w:t>were 24 individual</w:t>
      </w:r>
      <w:r w:rsidRPr="00E44F3E">
        <w:t xml:space="preserve"> blood cancer medicines that were available in Australia but not in </w:t>
      </w:r>
      <w:r w:rsidR="00E6006E">
        <w:t>Aotearoa New </w:t>
      </w:r>
      <w:r w:rsidR="003B42AA">
        <w:t>Zealand</w:t>
      </w:r>
      <w:r w:rsidRPr="00E44F3E">
        <w:t xml:space="preserve">. This corresponded to </w:t>
      </w:r>
      <w:r w:rsidR="00AC0783">
        <w:t>42</w:t>
      </w:r>
      <w:r w:rsidRPr="00E44F3E">
        <w:t xml:space="preserve"> medicine-indication pairs and </w:t>
      </w:r>
      <w:r w:rsidR="00AC0783">
        <w:t>37</w:t>
      </w:r>
      <w:r w:rsidRPr="00E44F3E">
        <w:t xml:space="preserve"> regimen</w:t>
      </w:r>
      <w:r w:rsidR="00DC5AE3">
        <w:t>-indication</w:t>
      </w:r>
      <w:r w:rsidRPr="00E44F3E">
        <w:t xml:space="preserve"> pairs. That is, there are </w:t>
      </w:r>
      <w:r w:rsidR="00AC0783">
        <w:t>37</w:t>
      </w:r>
      <w:r w:rsidRPr="00E44F3E">
        <w:t xml:space="preserve"> blood cancer treatment regimens available in Australia but not in </w:t>
      </w:r>
      <w:r w:rsidR="00E6006E">
        <w:t>Aotearoa New </w:t>
      </w:r>
      <w:r w:rsidR="003B42AA">
        <w:t>Zealand</w:t>
      </w:r>
      <w:r w:rsidRPr="00E44F3E">
        <w:t xml:space="preserve">, and </w:t>
      </w:r>
      <w:r w:rsidR="005709A6">
        <w:t>24</w:t>
      </w:r>
      <w:r w:rsidRPr="00E44F3E">
        <w:t xml:space="preserve"> different blood cancer medicines for </w:t>
      </w:r>
      <w:r w:rsidR="00AC0783">
        <w:t>42</w:t>
      </w:r>
      <w:r w:rsidRPr="00E44F3E">
        <w:t xml:space="preserve"> different indications would need to be funded in </w:t>
      </w:r>
      <w:r w:rsidR="00E6006E">
        <w:t>Aotearoa New </w:t>
      </w:r>
      <w:r w:rsidR="003B42AA">
        <w:t>Zealand</w:t>
      </w:r>
      <w:r w:rsidRPr="00E44F3E">
        <w:t xml:space="preserve"> to close the gap. </w:t>
      </w:r>
    </w:p>
    <w:p w14:paraId="19A14AA6" w14:textId="77777777" w:rsidR="000D066E" w:rsidRPr="00E44F3E" w:rsidRDefault="000D066E" w:rsidP="005B6D35"/>
    <w:p w14:paraId="5BB98DFB" w14:textId="71F093C4" w:rsidR="000D066E" w:rsidRPr="00E44F3E" w:rsidRDefault="000D066E" w:rsidP="00FB3898">
      <w:pPr>
        <w:keepNext/>
      </w:pPr>
      <w:r w:rsidRPr="00E44F3E">
        <w:t xml:space="preserve">Of the </w:t>
      </w:r>
      <w:r w:rsidR="00AC0783">
        <w:t>42</w:t>
      </w:r>
      <w:r w:rsidRPr="00E44F3E">
        <w:t xml:space="preserve"> </w:t>
      </w:r>
      <w:bookmarkStart w:id="86" w:name="_Hlk177115427"/>
      <w:r w:rsidRPr="00E44F3E">
        <w:t xml:space="preserve">medicine-indication </w:t>
      </w:r>
      <w:r w:rsidR="00B3455C">
        <w:t xml:space="preserve">pair </w:t>
      </w:r>
      <w:r w:rsidRPr="00E44F3E">
        <w:t>gaps</w:t>
      </w:r>
      <w:bookmarkEnd w:id="86"/>
      <w:r w:rsidRPr="00E44F3E">
        <w:t xml:space="preserve">, </w:t>
      </w:r>
      <w:r w:rsidR="005709A6">
        <w:t>12</w:t>
      </w:r>
      <w:r w:rsidRPr="00E44F3E">
        <w:t xml:space="preserve"> were found to have a </w:t>
      </w:r>
      <w:r w:rsidR="00330C35">
        <w:t>substantial</w:t>
      </w:r>
      <w:r w:rsidRPr="00E44F3E">
        <w:t xml:space="preserve"> magnitude of clinical benefit (</w:t>
      </w:r>
      <w:r w:rsidR="00627C35">
        <w:t>s</w:t>
      </w:r>
      <w:r w:rsidRPr="00E44F3E">
        <w:t xml:space="preserve">ee </w:t>
      </w:r>
      <w:r w:rsidRPr="00E44F3E">
        <w:fldChar w:fldCharType="begin"/>
      </w:r>
      <w:r w:rsidRPr="00E44F3E">
        <w:instrText xml:space="preserve"> REF _Ref167108232 \h </w:instrText>
      </w:r>
      <w:r w:rsidRPr="00E44F3E">
        <w:fldChar w:fldCharType="separate"/>
      </w:r>
      <w:r w:rsidR="004A6DF6" w:rsidRPr="00E44F3E">
        <w:t xml:space="preserve">Figure </w:t>
      </w:r>
      <w:r w:rsidR="004A6DF6">
        <w:rPr>
          <w:noProof/>
        </w:rPr>
        <w:t>4</w:t>
      </w:r>
      <w:r w:rsidRPr="00E44F3E">
        <w:fldChar w:fldCharType="end"/>
      </w:r>
      <w:r w:rsidRPr="00E44F3E">
        <w:t xml:space="preserve">). </w:t>
      </w:r>
    </w:p>
    <w:p w14:paraId="7888C18D" w14:textId="77777777" w:rsidR="000D066E" w:rsidRPr="00E44F3E" w:rsidRDefault="000D066E" w:rsidP="005B6D35"/>
    <w:p w14:paraId="31764997" w14:textId="78D77A1C" w:rsidR="000D066E" w:rsidRPr="00E44F3E" w:rsidRDefault="000D066E" w:rsidP="005B6D35">
      <w:r w:rsidRPr="00E44F3E">
        <w:t>The gaps found spanned the spectrum of blood cancer types</w:t>
      </w:r>
      <w:r w:rsidR="00124C66">
        <w:t>,</w:t>
      </w:r>
      <w:r w:rsidRPr="00E44F3E">
        <w:t xml:space="preserve"> with </w:t>
      </w:r>
      <w:r w:rsidR="00247569">
        <w:t>20</w:t>
      </w:r>
      <w:r w:rsidRPr="00E44F3E">
        <w:t xml:space="preserve"> gaps identified for the treatment of leukaemia, </w:t>
      </w:r>
      <w:r w:rsidR="00B24D0E">
        <w:t>11</w:t>
      </w:r>
      <w:r w:rsidRPr="00E44F3E">
        <w:t xml:space="preserve"> for the treatment of lymphoma, </w:t>
      </w:r>
      <w:r w:rsidR="002A2307">
        <w:t>seven</w:t>
      </w:r>
      <w:r w:rsidRPr="00E44F3E">
        <w:t xml:space="preserve"> for the treatment of myeloma and </w:t>
      </w:r>
      <w:r w:rsidR="00515686">
        <w:t>four</w:t>
      </w:r>
      <w:r w:rsidRPr="00E44F3E">
        <w:t xml:space="preserve"> for other blood cancers (</w:t>
      </w:r>
      <w:r w:rsidR="003971BE">
        <w:t>s</w:t>
      </w:r>
      <w:r w:rsidRPr="00E44F3E">
        <w:t xml:space="preserve">ee </w:t>
      </w:r>
      <w:r w:rsidRPr="00E44F3E">
        <w:fldChar w:fldCharType="begin"/>
      </w:r>
      <w:r w:rsidRPr="00E44F3E">
        <w:instrText xml:space="preserve"> REF _Ref167108388 \h </w:instrText>
      </w:r>
      <w:r w:rsidRPr="00E44F3E">
        <w:fldChar w:fldCharType="separate"/>
      </w:r>
      <w:r w:rsidR="004A6DF6" w:rsidRPr="00E44F3E">
        <w:t xml:space="preserve">Table </w:t>
      </w:r>
      <w:r w:rsidR="004A6DF6">
        <w:rPr>
          <w:noProof/>
        </w:rPr>
        <w:t>3</w:t>
      </w:r>
      <w:r w:rsidRPr="00E44F3E">
        <w:fldChar w:fldCharType="end"/>
      </w:r>
      <w:r w:rsidRPr="00E44F3E">
        <w:t xml:space="preserve">). </w:t>
      </w:r>
    </w:p>
    <w:p w14:paraId="21F1FA01" w14:textId="77777777" w:rsidR="000D066E" w:rsidRPr="00E44F3E" w:rsidRDefault="000D066E" w:rsidP="005B6D35"/>
    <w:p w14:paraId="4D24F6BB" w14:textId="4C0DBCF5" w:rsidR="009C0559" w:rsidRDefault="000D066E" w:rsidP="009C0559">
      <w:pPr>
        <w:pStyle w:val="Figure"/>
        <w:rPr>
          <w:noProof/>
        </w:rPr>
      </w:pPr>
      <w:bookmarkStart w:id="87" w:name="_Ref167108232"/>
      <w:bookmarkStart w:id="88" w:name="_Toc175241536"/>
      <w:bookmarkStart w:id="89" w:name="_Toc180062138"/>
      <w:r w:rsidRPr="00E44F3E">
        <w:t xml:space="preserve">Figure </w:t>
      </w:r>
      <w:r w:rsidR="00D97615">
        <w:fldChar w:fldCharType="begin"/>
      </w:r>
      <w:r w:rsidR="00D97615">
        <w:instrText xml:space="preserve"> SEQ Figure \* ARABIC </w:instrText>
      </w:r>
      <w:r w:rsidR="00D97615">
        <w:fldChar w:fldCharType="separate"/>
      </w:r>
      <w:r w:rsidR="004A6DF6">
        <w:rPr>
          <w:noProof/>
        </w:rPr>
        <w:t>4</w:t>
      </w:r>
      <w:r w:rsidR="00D97615">
        <w:rPr>
          <w:noProof/>
        </w:rPr>
        <w:fldChar w:fldCharType="end"/>
      </w:r>
      <w:bookmarkEnd w:id="87"/>
      <w:r w:rsidRPr="00E44F3E">
        <w:t>:</w:t>
      </w:r>
      <w:r w:rsidR="00B1682D" w:rsidRPr="00E44F3E">
        <w:t xml:space="preserve"> </w:t>
      </w:r>
      <w:r w:rsidRPr="00E44F3E">
        <w:t xml:space="preserve">Summary of analysis of medicines available in Australia but not in </w:t>
      </w:r>
      <w:bookmarkEnd w:id="88"/>
      <w:r w:rsidR="00E6006E">
        <w:t>Aotearoa New </w:t>
      </w:r>
      <w:r w:rsidR="003B42AA">
        <w:t>Zealand</w:t>
      </w:r>
      <w:bookmarkEnd w:id="89"/>
      <w:r w:rsidRPr="00E44F3E">
        <w:t xml:space="preserve"> </w:t>
      </w:r>
    </w:p>
    <w:p w14:paraId="298349F1" w14:textId="7A61C026" w:rsidR="000D066E" w:rsidRPr="00E44F3E" w:rsidRDefault="009C0559" w:rsidP="009C0559">
      <w:pPr>
        <w:pStyle w:val="Figure"/>
      </w:pPr>
      <w:r w:rsidRPr="009C0559">
        <w:t xml:space="preserve"> </w:t>
      </w:r>
      <w:r w:rsidR="00FF4572" w:rsidRPr="00FF4572">
        <w:rPr>
          <w:noProof/>
        </w:rPr>
        <w:drawing>
          <wp:inline distT="0" distB="0" distL="0" distR="0" wp14:anchorId="777DB53E" wp14:editId="24E0058C">
            <wp:extent cx="5130165" cy="1669415"/>
            <wp:effectExtent l="0" t="0" r="0" b="6985"/>
            <wp:docPr id="99271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30165" cy="1669415"/>
                    </a:xfrm>
                    <a:prstGeom prst="rect">
                      <a:avLst/>
                    </a:prstGeom>
                    <a:noFill/>
                    <a:ln>
                      <a:noFill/>
                    </a:ln>
                  </pic:spPr>
                </pic:pic>
              </a:graphicData>
            </a:graphic>
          </wp:inline>
        </w:drawing>
      </w:r>
    </w:p>
    <w:p w14:paraId="2CB87AAB" w14:textId="77777777" w:rsidR="000D066E" w:rsidRPr="00E44F3E" w:rsidRDefault="000D066E" w:rsidP="000D066E"/>
    <w:p w14:paraId="1396A7C7" w14:textId="70983CA4" w:rsidR="005B6D35" w:rsidRPr="00E44F3E" w:rsidRDefault="005B6D35" w:rsidP="005B6D35">
      <w:pPr>
        <w:pStyle w:val="Table"/>
      </w:pPr>
      <w:bookmarkStart w:id="90" w:name="_Ref167108388"/>
      <w:bookmarkStart w:id="91" w:name="_Toc175241594"/>
      <w:bookmarkStart w:id="92" w:name="_Toc180142289"/>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3</w:t>
      </w:r>
      <w:r w:rsidR="00D97615">
        <w:rPr>
          <w:noProof/>
        </w:rPr>
        <w:fldChar w:fldCharType="end"/>
      </w:r>
      <w:bookmarkEnd w:id="90"/>
      <w:r w:rsidRPr="00E44F3E">
        <w:t>: Summary of medicine availability gaps by type of cancer and ESMO-MCBS:H score</w:t>
      </w:r>
      <w:bookmarkEnd w:id="91"/>
      <w:bookmarkEnd w:id="92"/>
    </w:p>
    <w:tbl>
      <w:tblPr>
        <w:tblW w:w="0" w:type="auto"/>
        <w:tblBorders>
          <w:top w:val="dotted" w:sz="4" w:space="0" w:color="C2D9BA"/>
          <w:left w:val="dotted" w:sz="4" w:space="0" w:color="C2D9BA"/>
          <w:bottom w:val="dotted" w:sz="4" w:space="0" w:color="C2D9BA"/>
          <w:right w:val="dotted" w:sz="4" w:space="0" w:color="C2D9BA"/>
          <w:insideH w:val="dotted" w:sz="4" w:space="0" w:color="C2D9BA"/>
          <w:insideV w:val="dotted" w:sz="4" w:space="0" w:color="C2D9BA"/>
        </w:tblBorders>
        <w:tblCellMar>
          <w:left w:w="57" w:type="dxa"/>
          <w:right w:w="57" w:type="dxa"/>
        </w:tblCellMar>
        <w:tblLook w:val="04A0" w:firstRow="1" w:lastRow="0" w:firstColumn="1" w:lastColumn="0" w:noHBand="0" w:noVBand="1"/>
      </w:tblPr>
      <w:tblGrid>
        <w:gridCol w:w="2154"/>
        <w:gridCol w:w="538"/>
        <w:gridCol w:w="1107"/>
        <w:gridCol w:w="402"/>
        <w:gridCol w:w="409"/>
        <w:gridCol w:w="797"/>
        <w:gridCol w:w="575"/>
        <w:gridCol w:w="575"/>
        <w:gridCol w:w="498"/>
        <w:gridCol w:w="1014"/>
      </w:tblGrid>
      <w:tr w:rsidR="002063E5" w:rsidRPr="008F7AFA" w14:paraId="2E42DB56" w14:textId="77777777" w:rsidTr="0094393A">
        <w:trPr>
          <w:cantSplit/>
          <w:trHeight w:val="450"/>
          <w:tblHeader/>
        </w:trPr>
        <w:tc>
          <w:tcPr>
            <w:tcW w:w="0" w:type="auto"/>
            <w:vMerge w:val="restart"/>
            <w:tcBorders>
              <w:top w:val="single" w:sz="4" w:space="0" w:color="FFF7ED"/>
              <w:left w:val="single" w:sz="4" w:space="0" w:color="FFF7ED"/>
              <w:bottom w:val="single" w:sz="4" w:space="0" w:color="FFF7ED"/>
              <w:right w:val="single" w:sz="4" w:space="0" w:color="FFF7ED"/>
            </w:tcBorders>
            <w:shd w:val="clear" w:color="auto" w:fill="C2D9BA"/>
            <w:vAlign w:val="center"/>
          </w:tcPr>
          <w:p w14:paraId="3785BEF9" w14:textId="77777777" w:rsidR="002063E5" w:rsidRPr="008F7AFA" w:rsidRDefault="002063E5" w:rsidP="0094393A">
            <w:pPr>
              <w:pStyle w:val="Table"/>
              <w:jc w:val="center"/>
              <w:rPr>
                <w:sz w:val="18"/>
                <w:szCs w:val="18"/>
              </w:rPr>
            </w:pPr>
            <w:r w:rsidRPr="008F7AFA">
              <w:rPr>
                <w:sz w:val="18"/>
                <w:szCs w:val="18"/>
              </w:rPr>
              <w:t>Blood cancer type</w:t>
            </w:r>
          </w:p>
        </w:tc>
        <w:tc>
          <w:tcPr>
            <w:tcW w:w="0" w:type="auto"/>
            <w:vMerge w:val="restart"/>
            <w:tcBorders>
              <w:top w:val="single" w:sz="4" w:space="0" w:color="FFF7ED"/>
              <w:left w:val="single" w:sz="4" w:space="0" w:color="FFF7ED"/>
              <w:bottom w:val="single" w:sz="4" w:space="0" w:color="FFF7ED"/>
              <w:right w:val="single" w:sz="4" w:space="0" w:color="FFF7ED"/>
            </w:tcBorders>
            <w:shd w:val="clear" w:color="auto" w:fill="C2D9BA"/>
            <w:vAlign w:val="center"/>
          </w:tcPr>
          <w:p w14:paraId="20FC388A" w14:textId="77777777" w:rsidR="002063E5" w:rsidRPr="008F7AFA" w:rsidRDefault="002063E5" w:rsidP="0094393A">
            <w:pPr>
              <w:pStyle w:val="Table"/>
              <w:jc w:val="center"/>
              <w:rPr>
                <w:sz w:val="18"/>
                <w:szCs w:val="18"/>
              </w:rPr>
            </w:pPr>
            <w:r w:rsidRPr="008F7AFA">
              <w:rPr>
                <w:sz w:val="18"/>
                <w:szCs w:val="18"/>
              </w:rPr>
              <w:t>Total</w:t>
            </w:r>
          </w:p>
        </w:tc>
        <w:tc>
          <w:tcPr>
            <w:tcW w:w="0" w:type="auto"/>
            <w:gridSpan w:val="3"/>
            <w:tcBorders>
              <w:top w:val="single" w:sz="4" w:space="0" w:color="FFF7ED"/>
              <w:left w:val="single" w:sz="4" w:space="0" w:color="FFF7ED"/>
              <w:bottom w:val="single" w:sz="4" w:space="0" w:color="FFF7ED"/>
              <w:right w:val="single" w:sz="4" w:space="0" w:color="FFF7ED"/>
            </w:tcBorders>
            <w:shd w:val="clear" w:color="auto" w:fill="C2D9BA"/>
            <w:vAlign w:val="center"/>
          </w:tcPr>
          <w:p w14:paraId="0711D70F" w14:textId="77777777" w:rsidR="002063E5" w:rsidRPr="008F7AFA" w:rsidRDefault="002063E5" w:rsidP="0094393A">
            <w:pPr>
              <w:pStyle w:val="Table"/>
              <w:jc w:val="center"/>
              <w:rPr>
                <w:sz w:val="18"/>
                <w:szCs w:val="18"/>
              </w:rPr>
            </w:pPr>
            <w:r w:rsidRPr="008F7AFA">
              <w:rPr>
                <w:sz w:val="18"/>
                <w:szCs w:val="18"/>
              </w:rPr>
              <w:t>Substantial clinical benefit</w:t>
            </w:r>
          </w:p>
        </w:tc>
        <w:tc>
          <w:tcPr>
            <w:tcW w:w="0" w:type="auto"/>
            <w:gridSpan w:val="3"/>
            <w:tcBorders>
              <w:top w:val="single" w:sz="4" w:space="0" w:color="FFF7ED"/>
              <w:left w:val="single" w:sz="4" w:space="0" w:color="FFF7ED"/>
              <w:bottom w:val="single" w:sz="4" w:space="0" w:color="FFF7ED"/>
              <w:right w:val="single" w:sz="4" w:space="0" w:color="FFF7ED"/>
            </w:tcBorders>
            <w:shd w:val="clear" w:color="auto" w:fill="C2D9BA"/>
            <w:vAlign w:val="center"/>
          </w:tcPr>
          <w:p w14:paraId="52741485" w14:textId="77777777" w:rsidR="002063E5" w:rsidRPr="008F7AFA" w:rsidRDefault="002063E5" w:rsidP="0094393A">
            <w:pPr>
              <w:pStyle w:val="Table"/>
              <w:jc w:val="center"/>
              <w:rPr>
                <w:sz w:val="18"/>
                <w:szCs w:val="18"/>
              </w:rPr>
            </w:pPr>
            <w:r w:rsidRPr="008F7AFA">
              <w:rPr>
                <w:sz w:val="18"/>
                <w:szCs w:val="18"/>
              </w:rPr>
              <w:t>Not substantial clinical benefit</w:t>
            </w:r>
          </w:p>
        </w:tc>
        <w:tc>
          <w:tcPr>
            <w:tcW w:w="0" w:type="auto"/>
            <w:gridSpan w:val="2"/>
            <w:vMerge w:val="restart"/>
            <w:tcBorders>
              <w:top w:val="single" w:sz="4" w:space="0" w:color="FFF7ED"/>
              <w:left w:val="single" w:sz="4" w:space="0" w:color="FFF7ED"/>
              <w:right w:val="single" w:sz="4" w:space="0" w:color="FFF7ED"/>
            </w:tcBorders>
            <w:shd w:val="clear" w:color="auto" w:fill="C2D9BA"/>
            <w:vAlign w:val="center"/>
          </w:tcPr>
          <w:p w14:paraId="4A440363" w14:textId="77777777" w:rsidR="002063E5" w:rsidRPr="008F7AFA" w:rsidRDefault="002063E5" w:rsidP="0094393A">
            <w:pPr>
              <w:pStyle w:val="Table"/>
              <w:jc w:val="center"/>
              <w:rPr>
                <w:sz w:val="18"/>
                <w:szCs w:val="18"/>
              </w:rPr>
            </w:pPr>
          </w:p>
        </w:tc>
      </w:tr>
      <w:tr w:rsidR="002063E5" w:rsidRPr="008F7AFA" w14:paraId="1F1E5CA2" w14:textId="77777777" w:rsidTr="0094393A">
        <w:trPr>
          <w:cantSplit/>
          <w:trHeight w:val="450"/>
          <w:tblHeader/>
        </w:trPr>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55E53B12" w14:textId="77777777" w:rsidR="002063E5" w:rsidRPr="008F7AFA" w:rsidRDefault="002063E5" w:rsidP="0094393A">
            <w:pPr>
              <w:pStyle w:val="Table"/>
              <w:jc w:val="center"/>
              <w:rPr>
                <w:sz w:val="18"/>
                <w:szCs w:val="18"/>
              </w:rPr>
            </w:pPr>
          </w:p>
        </w:tc>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561810A8" w14:textId="77777777" w:rsidR="002063E5" w:rsidRPr="008F7AFA" w:rsidRDefault="002063E5" w:rsidP="0094393A">
            <w:pPr>
              <w:pStyle w:val="Table"/>
              <w:jc w:val="center"/>
              <w:rPr>
                <w:sz w:val="18"/>
                <w:szCs w:val="18"/>
              </w:rPr>
            </w:pP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7443E52E" w14:textId="77777777" w:rsidR="002063E5" w:rsidRPr="008F7AFA" w:rsidRDefault="002063E5" w:rsidP="0094393A">
            <w:pPr>
              <w:pStyle w:val="Table"/>
              <w:jc w:val="center"/>
              <w:rPr>
                <w:sz w:val="18"/>
                <w:szCs w:val="18"/>
              </w:rPr>
            </w:pPr>
            <w:r w:rsidRPr="008F7AFA">
              <w:rPr>
                <w:sz w:val="18"/>
                <w:szCs w:val="18"/>
              </w:rPr>
              <w:t>Curative</w:t>
            </w:r>
          </w:p>
        </w:tc>
        <w:tc>
          <w:tcPr>
            <w:tcW w:w="0" w:type="auto"/>
            <w:gridSpan w:val="5"/>
            <w:tcBorders>
              <w:top w:val="single" w:sz="4" w:space="0" w:color="FFF7ED"/>
              <w:left w:val="single" w:sz="4" w:space="0" w:color="FFF7ED"/>
              <w:bottom w:val="single" w:sz="4" w:space="0" w:color="FFF7ED"/>
              <w:right w:val="single" w:sz="4" w:space="0" w:color="FFF7ED"/>
            </w:tcBorders>
            <w:shd w:val="clear" w:color="auto" w:fill="C2D9BA"/>
            <w:vAlign w:val="center"/>
          </w:tcPr>
          <w:p w14:paraId="6BBC01FB" w14:textId="77777777" w:rsidR="002063E5" w:rsidRPr="008F7AFA" w:rsidRDefault="002063E5" w:rsidP="0094393A">
            <w:pPr>
              <w:pStyle w:val="Table"/>
              <w:jc w:val="center"/>
              <w:rPr>
                <w:sz w:val="18"/>
                <w:szCs w:val="18"/>
              </w:rPr>
            </w:pPr>
            <w:r w:rsidRPr="008F7AFA">
              <w:rPr>
                <w:sz w:val="18"/>
                <w:szCs w:val="18"/>
              </w:rPr>
              <w:t>Non-curative</w:t>
            </w:r>
          </w:p>
        </w:tc>
        <w:tc>
          <w:tcPr>
            <w:tcW w:w="0" w:type="auto"/>
            <w:gridSpan w:val="2"/>
            <w:vMerge/>
            <w:tcBorders>
              <w:left w:val="single" w:sz="4" w:space="0" w:color="FFF7ED"/>
              <w:bottom w:val="single" w:sz="4" w:space="0" w:color="FFF7ED"/>
              <w:right w:val="single" w:sz="4" w:space="0" w:color="FFF7ED"/>
            </w:tcBorders>
            <w:shd w:val="clear" w:color="auto" w:fill="C2D9BA"/>
            <w:vAlign w:val="center"/>
          </w:tcPr>
          <w:p w14:paraId="26A4E628" w14:textId="77777777" w:rsidR="002063E5" w:rsidRPr="008F7AFA" w:rsidRDefault="002063E5" w:rsidP="0094393A">
            <w:pPr>
              <w:pStyle w:val="Table"/>
              <w:jc w:val="center"/>
              <w:rPr>
                <w:sz w:val="18"/>
                <w:szCs w:val="18"/>
              </w:rPr>
            </w:pPr>
          </w:p>
        </w:tc>
      </w:tr>
      <w:tr w:rsidR="002063E5" w:rsidRPr="008F7AFA" w14:paraId="1D09838F" w14:textId="77777777" w:rsidTr="0094393A">
        <w:trPr>
          <w:cantSplit/>
          <w:trHeight w:val="450"/>
          <w:tblHeader/>
        </w:trPr>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6AD46CFE" w14:textId="77777777" w:rsidR="002063E5" w:rsidRPr="008F7AFA" w:rsidRDefault="002063E5" w:rsidP="0094393A">
            <w:pPr>
              <w:pStyle w:val="Table"/>
              <w:jc w:val="center"/>
              <w:rPr>
                <w:sz w:val="18"/>
                <w:szCs w:val="18"/>
              </w:rPr>
            </w:pPr>
          </w:p>
        </w:tc>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72664AAD" w14:textId="77777777" w:rsidR="002063E5" w:rsidRPr="008F7AFA" w:rsidRDefault="002063E5" w:rsidP="0094393A">
            <w:pPr>
              <w:pStyle w:val="Table"/>
              <w:jc w:val="center"/>
              <w:rPr>
                <w:sz w:val="18"/>
                <w:szCs w:val="18"/>
              </w:rPr>
            </w:pP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594BB92B" w14:textId="77777777" w:rsidR="002063E5" w:rsidRPr="008F7AFA" w:rsidRDefault="002063E5" w:rsidP="0094393A">
            <w:pPr>
              <w:pStyle w:val="Table"/>
              <w:jc w:val="center"/>
              <w:rPr>
                <w:sz w:val="18"/>
                <w:szCs w:val="18"/>
              </w:rPr>
            </w:pPr>
            <w:r w:rsidRPr="008F7AFA">
              <w:rPr>
                <w:sz w:val="18"/>
                <w:szCs w:val="18"/>
              </w:rPr>
              <w:t>A*</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490B9D3B" w14:textId="77777777" w:rsidR="002063E5" w:rsidRPr="008F7AFA" w:rsidRDefault="002063E5" w:rsidP="0094393A">
            <w:pPr>
              <w:pStyle w:val="Table"/>
              <w:jc w:val="center"/>
              <w:rPr>
                <w:sz w:val="18"/>
                <w:szCs w:val="18"/>
              </w:rPr>
            </w:pPr>
            <w:r w:rsidRPr="008F7AFA">
              <w:rPr>
                <w:sz w:val="18"/>
                <w:szCs w:val="18"/>
              </w:rPr>
              <w:t>5*</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5D9BCEE0" w14:textId="77777777" w:rsidR="002063E5" w:rsidRPr="008F7AFA" w:rsidRDefault="002063E5" w:rsidP="0094393A">
            <w:pPr>
              <w:pStyle w:val="Table"/>
              <w:jc w:val="center"/>
              <w:rPr>
                <w:sz w:val="18"/>
                <w:szCs w:val="18"/>
              </w:rPr>
            </w:pPr>
            <w:r w:rsidRPr="008F7AFA">
              <w:rPr>
                <w:sz w:val="18"/>
                <w:szCs w:val="18"/>
              </w:rPr>
              <w:t>4*</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3D5C5D8A" w14:textId="77777777" w:rsidR="002063E5" w:rsidRPr="008F7AFA" w:rsidRDefault="002063E5" w:rsidP="0094393A">
            <w:pPr>
              <w:pStyle w:val="Table"/>
              <w:jc w:val="center"/>
              <w:rPr>
                <w:sz w:val="18"/>
                <w:szCs w:val="18"/>
              </w:rPr>
            </w:pPr>
            <w:r w:rsidRPr="008F7AFA">
              <w:rPr>
                <w:sz w:val="18"/>
                <w:szCs w:val="18"/>
              </w:rPr>
              <w:t>3</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1B7D3BC5" w14:textId="77777777" w:rsidR="002063E5" w:rsidRPr="008F7AFA" w:rsidRDefault="002063E5" w:rsidP="0094393A">
            <w:pPr>
              <w:pStyle w:val="Table"/>
              <w:jc w:val="center"/>
              <w:rPr>
                <w:sz w:val="18"/>
                <w:szCs w:val="18"/>
              </w:rPr>
            </w:pPr>
            <w:r w:rsidRPr="008F7AFA">
              <w:rPr>
                <w:sz w:val="18"/>
                <w:szCs w:val="18"/>
              </w:rPr>
              <w:t>2</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2E6AB6BB" w14:textId="77777777" w:rsidR="002063E5" w:rsidRPr="008F7AFA" w:rsidRDefault="002063E5" w:rsidP="0094393A">
            <w:pPr>
              <w:pStyle w:val="Table"/>
              <w:jc w:val="center"/>
              <w:rPr>
                <w:sz w:val="18"/>
                <w:szCs w:val="18"/>
              </w:rPr>
            </w:pPr>
            <w:r w:rsidRPr="008F7AFA">
              <w:rPr>
                <w:sz w:val="18"/>
                <w:szCs w:val="18"/>
              </w:rPr>
              <w:t>1</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4EF0E652" w14:textId="77777777" w:rsidR="002063E5" w:rsidRPr="008F7AFA" w:rsidRDefault="002063E5" w:rsidP="0094393A">
            <w:pPr>
              <w:pStyle w:val="Table"/>
              <w:jc w:val="center"/>
              <w:rPr>
                <w:sz w:val="18"/>
                <w:szCs w:val="18"/>
              </w:rPr>
            </w:pPr>
            <w:r w:rsidRPr="008F7AFA">
              <w:rPr>
                <w:sz w:val="18"/>
                <w:szCs w:val="18"/>
              </w:rPr>
              <w:t>NEB</w:t>
            </w:r>
            <w:r w:rsidRPr="00411124">
              <w:rPr>
                <w:sz w:val="18"/>
                <w:szCs w:val="18"/>
                <w:vertAlign w:val="superscript"/>
              </w:rPr>
              <w:t>†</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0AC0AF16" w14:textId="77777777" w:rsidR="002063E5" w:rsidRPr="008F7AFA" w:rsidRDefault="002063E5" w:rsidP="0094393A">
            <w:pPr>
              <w:pStyle w:val="Table"/>
              <w:jc w:val="center"/>
              <w:rPr>
                <w:sz w:val="18"/>
                <w:szCs w:val="18"/>
              </w:rPr>
            </w:pPr>
            <w:r w:rsidRPr="008F7AFA">
              <w:rPr>
                <w:sz w:val="18"/>
                <w:szCs w:val="18"/>
              </w:rPr>
              <w:t>Not scorable</w:t>
            </w:r>
          </w:p>
        </w:tc>
      </w:tr>
      <w:tr w:rsidR="002063E5" w:rsidRPr="008F7AFA" w14:paraId="1A46D4DA" w14:textId="77777777" w:rsidTr="0094393A">
        <w:trPr>
          <w:cantSplit/>
          <w:trHeight w:val="265"/>
        </w:trPr>
        <w:tc>
          <w:tcPr>
            <w:tcW w:w="0" w:type="auto"/>
            <w:gridSpan w:val="10"/>
            <w:tcBorders>
              <w:top w:val="single" w:sz="4" w:space="0" w:color="FFF7ED"/>
              <w:left w:val="single" w:sz="4" w:space="0" w:color="C2D9BA"/>
              <w:bottom w:val="single" w:sz="4" w:space="0" w:color="C2D9BA"/>
              <w:right w:val="single" w:sz="4" w:space="0" w:color="C2D9BA"/>
            </w:tcBorders>
            <w:shd w:val="clear" w:color="auto" w:fill="B6D1AC"/>
            <w:vAlign w:val="center"/>
          </w:tcPr>
          <w:p w14:paraId="1108D101" w14:textId="77777777" w:rsidR="002063E5" w:rsidRPr="008F7AFA" w:rsidRDefault="002063E5" w:rsidP="0094393A">
            <w:pPr>
              <w:pStyle w:val="TableText"/>
              <w:keepNext/>
              <w:rPr>
                <w:b/>
                <w:bCs/>
                <w:szCs w:val="18"/>
              </w:rPr>
            </w:pPr>
            <w:r w:rsidRPr="008F7AFA">
              <w:rPr>
                <w:b/>
                <w:bCs/>
                <w:szCs w:val="18"/>
              </w:rPr>
              <w:t>Leukaemia</w:t>
            </w:r>
          </w:p>
        </w:tc>
      </w:tr>
      <w:tr w:rsidR="002063E5" w:rsidRPr="008F7AFA" w14:paraId="61613BC1"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2A607F98" w14:textId="77777777" w:rsidR="002063E5" w:rsidRPr="008F7AFA" w:rsidRDefault="002063E5" w:rsidP="0094393A">
            <w:pPr>
              <w:keepNext/>
              <w:spacing w:before="60" w:after="60"/>
              <w:rPr>
                <w:sz w:val="18"/>
                <w:szCs w:val="18"/>
              </w:rPr>
            </w:pPr>
            <w:r w:rsidRPr="008F7AFA">
              <w:rPr>
                <w:sz w:val="18"/>
                <w:szCs w:val="18"/>
              </w:rPr>
              <w:t>Acute lymphoblastic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530BC03C" w14:textId="77777777" w:rsidR="002063E5" w:rsidRPr="008F7AFA" w:rsidRDefault="002063E5" w:rsidP="0094393A">
            <w:pPr>
              <w:pStyle w:val="TableText"/>
              <w:keepNext/>
              <w:jc w:val="center"/>
              <w:rPr>
                <w:szCs w:val="18"/>
              </w:rPr>
            </w:pPr>
            <w:r w:rsidRPr="008F7AFA">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4DAABB8" w14:textId="77777777" w:rsidR="002063E5" w:rsidRPr="008F7AFA" w:rsidRDefault="002063E5" w:rsidP="0094393A">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3FA773A"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ABCCD8D"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48268020"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80E26AB"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21EE15D6"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5C8708F"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3592F22B" w14:textId="77777777" w:rsidR="002063E5" w:rsidRPr="008F7AFA" w:rsidRDefault="002063E5" w:rsidP="0094393A">
            <w:pPr>
              <w:pStyle w:val="TableText"/>
              <w:keepNext/>
              <w:jc w:val="center"/>
              <w:rPr>
                <w:szCs w:val="18"/>
              </w:rPr>
            </w:pPr>
            <w:r w:rsidRPr="008F7AFA">
              <w:rPr>
                <w:szCs w:val="18"/>
              </w:rPr>
              <w:t>–</w:t>
            </w:r>
          </w:p>
        </w:tc>
      </w:tr>
      <w:tr w:rsidR="002063E5" w:rsidRPr="008F7AFA" w14:paraId="6588756C"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6A3E36AC" w14:textId="77777777" w:rsidR="002063E5" w:rsidRPr="008F7AFA" w:rsidRDefault="002063E5" w:rsidP="0094393A">
            <w:pPr>
              <w:keepNext/>
              <w:spacing w:before="60" w:after="60"/>
              <w:rPr>
                <w:sz w:val="18"/>
                <w:szCs w:val="18"/>
              </w:rPr>
            </w:pPr>
            <w:r w:rsidRPr="008F7AFA">
              <w:rPr>
                <w:sz w:val="18"/>
                <w:szCs w:val="18"/>
              </w:rPr>
              <w:t>Acute myeloid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6FC46356" w14:textId="77777777" w:rsidR="002063E5" w:rsidRPr="008F7AFA" w:rsidRDefault="002063E5" w:rsidP="0094393A">
            <w:pPr>
              <w:pStyle w:val="TableText"/>
              <w:keepNext/>
              <w:jc w:val="center"/>
              <w:rPr>
                <w:szCs w:val="18"/>
              </w:rPr>
            </w:pPr>
            <w:r w:rsidRPr="008F7AFA">
              <w:rPr>
                <w:rFonts w:cs="Calibri"/>
                <w:color w:val="000000"/>
                <w:szCs w:val="18"/>
              </w:rPr>
              <w:t>6</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C23C7F0"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3BA1907"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55F0F63"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ADE2DBE"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88DB7B4"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FCD3A87"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F4B011E"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B76BEF5" w14:textId="77777777" w:rsidR="002063E5" w:rsidRPr="008F7AFA" w:rsidRDefault="002063E5" w:rsidP="0094393A">
            <w:pPr>
              <w:pStyle w:val="TableText"/>
              <w:keepNext/>
              <w:jc w:val="center"/>
              <w:rPr>
                <w:szCs w:val="18"/>
              </w:rPr>
            </w:pPr>
            <w:r w:rsidRPr="008F7AFA">
              <w:rPr>
                <w:rFonts w:cs="Calibri"/>
                <w:color w:val="000000"/>
                <w:szCs w:val="18"/>
              </w:rPr>
              <w:t>2</w:t>
            </w:r>
          </w:p>
        </w:tc>
      </w:tr>
      <w:tr w:rsidR="002063E5" w:rsidRPr="008F7AFA" w14:paraId="6E29FD11"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3F0DA7D2" w14:textId="77777777" w:rsidR="002063E5" w:rsidRPr="008F7AFA" w:rsidRDefault="002063E5" w:rsidP="0094393A">
            <w:pPr>
              <w:keepNext/>
              <w:spacing w:before="60" w:after="60"/>
              <w:rPr>
                <w:sz w:val="18"/>
                <w:szCs w:val="18"/>
              </w:rPr>
            </w:pPr>
            <w:r w:rsidRPr="008F7AFA">
              <w:rPr>
                <w:sz w:val="18"/>
                <w:szCs w:val="18"/>
              </w:rPr>
              <w:t>Chronic lymphoblastic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9EBF93C" w14:textId="77777777" w:rsidR="002063E5" w:rsidRPr="008F7AFA" w:rsidRDefault="002063E5" w:rsidP="0094393A">
            <w:pPr>
              <w:pStyle w:val="TableText"/>
              <w:keepNext/>
              <w:jc w:val="center"/>
              <w:rPr>
                <w:szCs w:val="18"/>
              </w:rPr>
            </w:pPr>
            <w:r w:rsidRPr="008F7AFA">
              <w:rPr>
                <w:rFonts w:cs="Calibri"/>
                <w:color w:val="000000"/>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CC5336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4512677"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83DAAB3" w14:textId="77777777" w:rsidR="002063E5" w:rsidRPr="008F7AFA" w:rsidRDefault="002063E5" w:rsidP="0094393A">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20CA7E74" w14:textId="77777777" w:rsidR="002063E5" w:rsidRPr="008F7AFA" w:rsidRDefault="002063E5" w:rsidP="0094393A">
            <w:pPr>
              <w:pStyle w:val="TableText"/>
              <w:keepNext/>
              <w:jc w:val="center"/>
              <w:rPr>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vAlign w:val="center"/>
          </w:tcPr>
          <w:p w14:paraId="1361F16C"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F778870"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17BA001D"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5A320B1" w14:textId="77777777" w:rsidR="002063E5" w:rsidRPr="008F7AFA" w:rsidRDefault="002063E5" w:rsidP="0094393A">
            <w:pPr>
              <w:pStyle w:val="TableText"/>
              <w:keepNext/>
              <w:jc w:val="center"/>
              <w:rPr>
                <w:szCs w:val="18"/>
              </w:rPr>
            </w:pPr>
            <w:r w:rsidRPr="008F7AFA">
              <w:rPr>
                <w:szCs w:val="18"/>
              </w:rPr>
              <w:t>–</w:t>
            </w:r>
          </w:p>
        </w:tc>
      </w:tr>
      <w:tr w:rsidR="002063E5" w:rsidRPr="008F7AFA" w14:paraId="0D3B34EA"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5BDE5C0D" w14:textId="77777777" w:rsidR="002063E5" w:rsidRPr="008F7AFA" w:rsidRDefault="002063E5" w:rsidP="0094393A">
            <w:pPr>
              <w:keepNext/>
              <w:spacing w:before="60" w:after="60"/>
              <w:rPr>
                <w:sz w:val="18"/>
                <w:szCs w:val="18"/>
              </w:rPr>
            </w:pPr>
            <w:r w:rsidRPr="008F7AFA">
              <w:rPr>
                <w:sz w:val="18"/>
                <w:szCs w:val="18"/>
              </w:rPr>
              <w:t>Chronic myeloid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7C7E47B2" w14:textId="77777777" w:rsidR="002063E5" w:rsidRPr="008F7AFA" w:rsidRDefault="002063E5" w:rsidP="0094393A">
            <w:pPr>
              <w:pStyle w:val="TableText"/>
              <w:keepNext/>
              <w:jc w:val="center"/>
              <w:rPr>
                <w:szCs w:val="18"/>
              </w:rPr>
            </w:pPr>
            <w:r>
              <w:rPr>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39163DD"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BB0D3DA"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9BC1F5F"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210C5CCD" w14:textId="77777777" w:rsidR="002063E5" w:rsidRPr="008F7AFA" w:rsidRDefault="002063E5" w:rsidP="0094393A">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7250DD6A"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34B2D83"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61DB3C3"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C860A06" w14:textId="77777777" w:rsidR="002063E5" w:rsidRPr="008F7AFA" w:rsidRDefault="002063E5" w:rsidP="0094393A">
            <w:pPr>
              <w:pStyle w:val="TableText"/>
              <w:keepNext/>
              <w:jc w:val="center"/>
              <w:rPr>
                <w:szCs w:val="18"/>
              </w:rPr>
            </w:pPr>
            <w:r>
              <w:rPr>
                <w:szCs w:val="18"/>
              </w:rPr>
              <w:t>1</w:t>
            </w:r>
          </w:p>
        </w:tc>
      </w:tr>
      <w:tr w:rsidR="002063E5" w:rsidRPr="008F7AFA" w14:paraId="79F8319E" w14:textId="77777777" w:rsidTr="0094393A">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3369B958" w14:textId="77777777" w:rsidR="002063E5" w:rsidRPr="008F7AFA" w:rsidRDefault="002063E5" w:rsidP="0094393A">
            <w:pPr>
              <w:pStyle w:val="TableText"/>
              <w:keepNext/>
              <w:rPr>
                <w:b/>
                <w:bCs/>
                <w:szCs w:val="18"/>
              </w:rPr>
            </w:pPr>
            <w:r w:rsidRPr="008F7AFA">
              <w:rPr>
                <w:b/>
                <w:bCs/>
                <w:szCs w:val="18"/>
              </w:rPr>
              <w:t>Lymphoma</w:t>
            </w:r>
          </w:p>
        </w:tc>
      </w:tr>
      <w:tr w:rsidR="002063E5" w:rsidRPr="008F7AFA" w14:paraId="37FBD786"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419473A2" w14:textId="77777777" w:rsidR="002063E5" w:rsidRPr="008F7AFA" w:rsidRDefault="002063E5" w:rsidP="0094393A">
            <w:pPr>
              <w:keepNext/>
              <w:spacing w:before="60" w:after="60"/>
              <w:rPr>
                <w:rFonts w:cs="Calibri"/>
                <w:bCs/>
                <w:color w:val="000000"/>
                <w:sz w:val="18"/>
                <w:szCs w:val="18"/>
              </w:rPr>
            </w:pPr>
            <w:r w:rsidRPr="008F7AFA">
              <w:rPr>
                <w:sz w:val="18"/>
                <w:szCs w:val="18"/>
              </w:rPr>
              <w:t>Hodgkin’s lymphoma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7724E3CB"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D43C9B2"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C9DA1AF"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6507F42" w14:textId="77777777" w:rsidR="002063E5" w:rsidRPr="008F7AFA" w:rsidRDefault="002063E5" w:rsidP="0094393A">
            <w:pPr>
              <w:pStyle w:val="TableText"/>
              <w:keepNext/>
              <w:jc w:val="center"/>
              <w:rPr>
                <w:szCs w:val="18"/>
              </w:rPr>
            </w:pPr>
          </w:p>
        </w:tc>
        <w:tc>
          <w:tcPr>
            <w:tcW w:w="0" w:type="auto"/>
            <w:tcBorders>
              <w:top w:val="single" w:sz="4" w:space="0" w:color="C2D9BA"/>
              <w:left w:val="single" w:sz="4" w:space="0" w:color="C2D9BA"/>
              <w:bottom w:val="single" w:sz="4" w:space="0" w:color="C2D9BA"/>
              <w:right w:val="single" w:sz="4" w:space="0" w:color="C2D9BA"/>
            </w:tcBorders>
            <w:vAlign w:val="center"/>
          </w:tcPr>
          <w:p w14:paraId="292EC1CC"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01CD7925"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2AD1F3D"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69433BE"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7E91BC90" w14:textId="77777777" w:rsidR="002063E5" w:rsidRPr="008F7AFA" w:rsidRDefault="002063E5" w:rsidP="0094393A">
            <w:pPr>
              <w:pStyle w:val="TableText"/>
              <w:keepNext/>
              <w:jc w:val="center"/>
              <w:rPr>
                <w:szCs w:val="18"/>
              </w:rPr>
            </w:pPr>
            <w:r w:rsidRPr="008F7AFA">
              <w:rPr>
                <w:szCs w:val="18"/>
              </w:rPr>
              <w:t>–</w:t>
            </w:r>
          </w:p>
        </w:tc>
      </w:tr>
      <w:tr w:rsidR="002063E5" w:rsidRPr="008F7AFA" w14:paraId="5DA30D5C"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53880938" w14:textId="77777777" w:rsidR="002063E5" w:rsidRPr="008F7AFA" w:rsidRDefault="002063E5" w:rsidP="0094393A">
            <w:pPr>
              <w:keepNext/>
              <w:spacing w:before="60" w:after="60"/>
              <w:rPr>
                <w:rFonts w:cs="Calibri"/>
                <w:bCs/>
                <w:color w:val="000000"/>
                <w:sz w:val="18"/>
                <w:szCs w:val="18"/>
              </w:rPr>
            </w:pPr>
            <w:r w:rsidRPr="008F7AFA">
              <w:rPr>
                <w:sz w:val="18"/>
                <w:szCs w:val="18"/>
              </w:rPr>
              <w:t>Non-Hodgkin’s lymphoma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4D68582"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4CC8FBC"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6B3126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ED539CD"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5176582"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D9E059D"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24A4CA0"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76A61E1" w14:textId="77777777" w:rsidR="002063E5" w:rsidRPr="008F7AFA" w:rsidRDefault="002063E5" w:rsidP="0094393A">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5739C0B7" w14:textId="77777777" w:rsidR="002063E5" w:rsidRPr="008F7AFA" w:rsidRDefault="002063E5" w:rsidP="0094393A">
            <w:pPr>
              <w:pStyle w:val="TableText"/>
              <w:keepNext/>
              <w:jc w:val="center"/>
              <w:rPr>
                <w:szCs w:val="18"/>
              </w:rPr>
            </w:pPr>
            <w:r w:rsidRPr="008F7AFA">
              <w:rPr>
                <w:szCs w:val="18"/>
              </w:rPr>
              <w:t>1</w:t>
            </w:r>
          </w:p>
        </w:tc>
      </w:tr>
      <w:tr w:rsidR="002063E5" w:rsidRPr="008F7AFA" w14:paraId="2220C644"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53447D4E" w14:textId="77777777" w:rsidR="002063E5" w:rsidRPr="008F7AFA" w:rsidRDefault="002063E5" w:rsidP="0094393A">
            <w:pPr>
              <w:keepNext/>
              <w:spacing w:before="60" w:after="60"/>
              <w:rPr>
                <w:sz w:val="18"/>
                <w:szCs w:val="18"/>
              </w:rPr>
            </w:pPr>
            <w:r w:rsidRPr="008F7AFA">
              <w:rPr>
                <w:sz w:val="18"/>
                <w:szCs w:val="18"/>
              </w:rPr>
              <w:t>Lymphoma B-cell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587EEFC"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AE7DE4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C468A54"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935981F"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819D4C6"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2047EFB"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71882EDC"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07A994C"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A57B753" w14:textId="77777777" w:rsidR="002063E5" w:rsidRPr="008F7AFA" w:rsidRDefault="002063E5" w:rsidP="0094393A">
            <w:pPr>
              <w:pStyle w:val="TableText"/>
              <w:keepNext/>
              <w:jc w:val="center"/>
              <w:rPr>
                <w:szCs w:val="18"/>
              </w:rPr>
            </w:pPr>
            <w:r w:rsidRPr="008F7AFA">
              <w:rPr>
                <w:szCs w:val="18"/>
              </w:rPr>
              <w:t>–</w:t>
            </w:r>
          </w:p>
        </w:tc>
      </w:tr>
      <w:tr w:rsidR="002063E5" w:rsidRPr="008F7AFA" w14:paraId="27D8EC9B"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5E62F3BF" w14:textId="77777777" w:rsidR="002063E5" w:rsidRPr="008F7AFA" w:rsidRDefault="002063E5" w:rsidP="0094393A">
            <w:pPr>
              <w:keepNext/>
              <w:spacing w:before="60" w:after="60"/>
              <w:rPr>
                <w:sz w:val="18"/>
                <w:szCs w:val="18"/>
              </w:rPr>
            </w:pPr>
            <w:r w:rsidRPr="008F7AFA">
              <w:rPr>
                <w:sz w:val="18"/>
                <w:szCs w:val="18"/>
              </w:rPr>
              <w:t>Lymphoma T-cell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152DC673" w14:textId="77777777" w:rsidR="002063E5" w:rsidRPr="008F7AFA" w:rsidRDefault="002063E5" w:rsidP="0094393A">
            <w:pPr>
              <w:pStyle w:val="TableText"/>
              <w:keepNext/>
              <w:jc w:val="center"/>
              <w:rPr>
                <w:szCs w:val="18"/>
              </w:rPr>
            </w:pPr>
            <w:r w:rsidRPr="008F7AFA">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822D80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BC5A157"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7CB4D90"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D6B67AE"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6C7533EF"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67563ABA" w14:textId="77777777" w:rsidR="002063E5" w:rsidRPr="008F7AFA" w:rsidRDefault="002063E5" w:rsidP="0094393A">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7217E8C7"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A4A1A20" w14:textId="77777777" w:rsidR="002063E5" w:rsidRPr="008F7AFA" w:rsidRDefault="002063E5" w:rsidP="0094393A">
            <w:pPr>
              <w:pStyle w:val="TableText"/>
              <w:keepNext/>
              <w:jc w:val="center"/>
              <w:rPr>
                <w:szCs w:val="18"/>
              </w:rPr>
            </w:pPr>
            <w:r w:rsidRPr="008F7AFA">
              <w:rPr>
                <w:szCs w:val="18"/>
              </w:rPr>
              <w:t>–</w:t>
            </w:r>
          </w:p>
        </w:tc>
      </w:tr>
      <w:tr w:rsidR="002063E5" w:rsidRPr="008F7AFA" w14:paraId="550F3AD9" w14:textId="77777777" w:rsidTr="0094393A">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47F9CBE0" w14:textId="77777777" w:rsidR="002063E5" w:rsidRPr="008F7AFA" w:rsidRDefault="002063E5" w:rsidP="0094393A">
            <w:pPr>
              <w:pStyle w:val="TableText"/>
              <w:keepNext/>
              <w:rPr>
                <w:b/>
                <w:bCs/>
                <w:szCs w:val="18"/>
              </w:rPr>
            </w:pPr>
            <w:r w:rsidRPr="008F7AFA">
              <w:rPr>
                <w:b/>
                <w:bCs/>
                <w:szCs w:val="18"/>
              </w:rPr>
              <w:t>Myeloma</w:t>
            </w:r>
          </w:p>
        </w:tc>
      </w:tr>
      <w:tr w:rsidR="002063E5" w:rsidRPr="008F7AFA" w14:paraId="448C96BC"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445174F1" w14:textId="77777777" w:rsidR="002063E5" w:rsidRPr="008F7AFA" w:rsidRDefault="002063E5" w:rsidP="0094393A">
            <w:pPr>
              <w:keepNext/>
              <w:spacing w:before="60" w:after="60"/>
              <w:rPr>
                <w:sz w:val="18"/>
                <w:szCs w:val="18"/>
              </w:rPr>
            </w:pPr>
            <w:r w:rsidRPr="008F7AFA">
              <w:rPr>
                <w:sz w:val="18"/>
                <w:szCs w:val="18"/>
              </w:rPr>
              <w:t>Multiple myeloma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40020CA" w14:textId="5662227B" w:rsidR="002063E5" w:rsidRPr="008F7AFA" w:rsidRDefault="00A93AB1" w:rsidP="0094393A">
            <w:pPr>
              <w:pStyle w:val="TableText"/>
              <w:keepNext/>
              <w:jc w:val="center"/>
              <w:rPr>
                <w:szCs w:val="18"/>
              </w:rPr>
            </w:pPr>
            <w:r>
              <w:rPr>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3F693B1"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58CAA84"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0767327" w14:textId="77777777" w:rsidR="002063E5" w:rsidRPr="008F7AFA" w:rsidRDefault="002063E5" w:rsidP="0094393A">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4B2C79E8" w14:textId="1DBF897A" w:rsidR="002063E5" w:rsidRPr="008F7AFA" w:rsidRDefault="00E40307" w:rsidP="0094393A">
            <w:pPr>
              <w:pStyle w:val="TableText"/>
              <w:keepNext/>
              <w:jc w:val="center"/>
              <w:rPr>
                <w:szCs w:val="18"/>
              </w:rPr>
            </w:pPr>
            <w:r>
              <w:rPr>
                <w:szCs w:val="18"/>
              </w:rPr>
              <w:t>3</w:t>
            </w:r>
          </w:p>
        </w:tc>
        <w:tc>
          <w:tcPr>
            <w:tcW w:w="0" w:type="auto"/>
            <w:tcBorders>
              <w:top w:val="single" w:sz="4" w:space="0" w:color="C2D9BA"/>
              <w:left w:val="single" w:sz="4" w:space="0" w:color="C2D9BA"/>
              <w:bottom w:val="single" w:sz="4" w:space="0" w:color="C2D9BA"/>
              <w:right w:val="single" w:sz="4" w:space="0" w:color="C2D9BA"/>
            </w:tcBorders>
            <w:vAlign w:val="center"/>
          </w:tcPr>
          <w:p w14:paraId="044D91DA" w14:textId="77777777" w:rsidR="002063E5" w:rsidRPr="008F7AFA" w:rsidRDefault="002063E5" w:rsidP="0094393A">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2EE10022"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8CEEB13"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51CFFC3" w14:textId="77777777" w:rsidR="002063E5" w:rsidRPr="008F7AFA" w:rsidRDefault="002063E5" w:rsidP="0094393A">
            <w:pPr>
              <w:pStyle w:val="TableText"/>
              <w:keepNext/>
              <w:jc w:val="center"/>
              <w:rPr>
                <w:szCs w:val="18"/>
              </w:rPr>
            </w:pPr>
            <w:r w:rsidRPr="008F7AFA">
              <w:rPr>
                <w:szCs w:val="18"/>
              </w:rPr>
              <w:t>–</w:t>
            </w:r>
          </w:p>
        </w:tc>
      </w:tr>
      <w:tr w:rsidR="002063E5" w:rsidRPr="008F7AFA" w14:paraId="15A9D3A6" w14:textId="77777777" w:rsidTr="0094393A">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607F7B4B" w14:textId="77777777" w:rsidR="002063E5" w:rsidRPr="008F7AFA" w:rsidRDefault="002063E5" w:rsidP="0094393A">
            <w:pPr>
              <w:pStyle w:val="TableText"/>
              <w:keepNext/>
              <w:rPr>
                <w:b/>
                <w:bCs/>
                <w:szCs w:val="18"/>
              </w:rPr>
            </w:pPr>
            <w:r w:rsidRPr="008F7AFA">
              <w:rPr>
                <w:b/>
                <w:bCs/>
                <w:szCs w:val="18"/>
              </w:rPr>
              <w:t>Other</w:t>
            </w:r>
          </w:p>
        </w:tc>
      </w:tr>
      <w:tr w:rsidR="002063E5" w:rsidRPr="008F7AFA" w14:paraId="3ACEA335"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2F295442" w14:textId="77777777" w:rsidR="002063E5" w:rsidRPr="008F7AFA" w:rsidRDefault="002063E5" w:rsidP="0094393A">
            <w:pPr>
              <w:keepNext/>
              <w:spacing w:before="60" w:after="60"/>
              <w:rPr>
                <w:sz w:val="18"/>
                <w:szCs w:val="18"/>
              </w:rPr>
            </w:pPr>
            <w:r w:rsidRPr="008F7AFA">
              <w:rPr>
                <w:sz w:val="18"/>
                <w:szCs w:val="18"/>
              </w:rPr>
              <w:t>Other</w:t>
            </w:r>
            <w:r w:rsidRPr="008F7AFA">
              <w:rPr>
                <w:sz w:val="18"/>
                <w:szCs w:val="18"/>
                <w:vertAlign w:val="superscript"/>
              </w:rPr>
              <w:t>‡</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5F92305B" w14:textId="77777777" w:rsidR="002063E5" w:rsidRPr="008F7AFA" w:rsidRDefault="002063E5" w:rsidP="0094393A">
            <w:pPr>
              <w:pStyle w:val="TableText"/>
              <w:keepNext/>
              <w:jc w:val="center"/>
              <w:rPr>
                <w:szCs w:val="18"/>
              </w:rPr>
            </w:pPr>
            <w:r>
              <w:rPr>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655FEBC"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C1A267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241CD71"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31731C5A"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28137A4C" w14:textId="77777777" w:rsidR="002063E5" w:rsidRPr="008F7AFA" w:rsidRDefault="002063E5" w:rsidP="0094393A">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0E4778AC"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66ED27C3" w14:textId="77777777" w:rsidR="002063E5" w:rsidRPr="008F7AFA" w:rsidRDefault="002063E5" w:rsidP="0094393A">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331B5668" w14:textId="77777777" w:rsidR="002063E5" w:rsidRPr="008F7AFA" w:rsidRDefault="002063E5" w:rsidP="0094393A">
            <w:pPr>
              <w:pStyle w:val="TableText"/>
              <w:keepNext/>
              <w:jc w:val="center"/>
              <w:rPr>
                <w:szCs w:val="18"/>
              </w:rPr>
            </w:pPr>
            <w:r>
              <w:rPr>
                <w:szCs w:val="18"/>
              </w:rPr>
              <w:t>2</w:t>
            </w:r>
          </w:p>
        </w:tc>
      </w:tr>
      <w:tr w:rsidR="002063E5" w:rsidRPr="008F7AFA" w14:paraId="5CAEC2E9" w14:textId="77777777" w:rsidTr="0094393A">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2457F069" w14:textId="77777777" w:rsidR="002063E5" w:rsidRPr="008F7AFA" w:rsidRDefault="002063E5" w:rsidP="0094393A">
            <w:pPr>
              <w:pStyle w:val="TableText"/>
              <w:keepNext/>
              <w:rPr>
                <w:rFonts w:cs="Calibri"/>
                <w:b/>
                <w:bCs/>
                <w:color w:val="000000"/>
                <w:szCs w:val="18"/>
              </w:rPr>
            </w:pPr>
            <w:r w:rsidRPr="008F7AFA">
              <w:rPr>
                <w:b/>
                <w:bCs/>
                <w:szCs w:val="18"/>
              </w:rPr>
              <w:t>Total</w:t>
            </w:r>
          </w:p>
        </w:tc>
      </w:tr>
      <w:tr w:rsidR="002063E5" w:rsidRPr="008F7AFA" w14:paraId="22CB1EC4" w14:textId="77777777" w:rsidTr="0094393A">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37784B86" w14:textId="77777777" w:rsidR="002063E5" w:rsidRPr="008F7AFA" w:rsidRDefault="002063E5" w:rsidP="0094393A">
            <w:pPr>
              <w:keepNext/>
              <w:spacing w:before="60" w:after="60"/>
              <w:rPr>
                <w:sz w:val="18"/>
                <w:szCs w:val="18"/>
              </w:rPr>
            </w:pPr>
            <w:r w:rsidRPr="008F7AFA">
              <w:rPr>
                <w:sz w:val="18"/>
                <w:szCs w:val="18"/>
              </w:rPr>
              <w:t>Total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1CF61638" w14:textId="5F3E936B" w:rsidR="002063E5" w:rsidRPr="008F7AFA" w:rsidRDefault="002063E5" w:rsidP="0094393A">
            <w:pPr>
              <w:pStyle w:val="TableText"/>
              <w:keepNext/>
              <w:jc w:val="center"/>
              <w:rPr>
                <w:rFonts w:cs="Calibri"/>
                <w:color w:val="000000"/>
                <w:szCs w:val="18"/>
              </w:rPr>
            </w:pPr>
            <w:r w:rsidRPr="008F7AFA">
              <w:rPr>
                <w:rFonts w:cs="Calibri"/>
                <w:color w:val="000000"/>
                <w:szCs w:val="18"/>
              </w:rPr>
              <w:t>4</w:t>
            </w:r>
            <w:r w:rsidR="00E40307">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7BF2136"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6A69D74D"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79759822"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F5A5786" w14:textId="0889AB8B" w:rsidR="002063E5" w:rsidRPr="008F7AFA" w:rsidRDefault="002063E5" w:rsidP="0094393A">
            <w:pPr>
              <w:pStyle w:val="TableText"/>
              <w:keepNext/>
              <w:jc w:val="center"/>
              <w:rPr>
                <w:rFonts w:cs="Calibri"/>
                <w:color w:val="000000"/>
                <w:szCs w:val="18"/>
              </w:rPr>
            </w:pPr>
            <w:r w:rsidRPr="008F7AFA">
              <w:rPr>
                <w:rFonts w:cs="Calibri"/>
                <w:color w:val="000000"/>
                <w:szCs w:val="18"/>
              </w:rPr>
              <w:t>1</w:t>
            </w:r>
            <w:r w:rsidR="00E40307">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7DC7D3B"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0BD1A33"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11A2E13C"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0A771F2" w14:textId="77777777" w:rsidR="002063E5" w:rsidRPr="008F7AFA" w:rsidRDefault="002063E5" w:rsidP="0094393A">
            <w:pPr>
              <w:pStyle w:val="TableText"/>
              <w:keepNext/>
              <w:jc w:val="center"/>
              <w:rPr>
                <w:rFonts w:cs="Calibri"/>
                <w:color w:val="000000"/>
                <w:szCs w:val="18"/>
              </w:rPr>
            </w:pPr>
            <w:r w:rsidRPr="008F7AFA">
              <w:rPr>
                <w:rFonts w:cs="Calibri"/>
                <w:color w:val="000000"/>
                <w:szCs w:val="18"/>
              </w:rPr>
              <w:t>6</w:t>
            </w:r>
          </w:p>
        </w:tc>
      </w:tr>
    </w:tbl>
    <w:p w14:paraId="3AB20846" w14:textId="48C2E139" w:rsidR="000D066E" w:rsidRPr="00E44F3E" w:rsidRDefault="00264266" w:rsidP="006858ED">
      <w:pPr>
        <w:pStyle w:val="Note"/>
        <w:ind w:left="0" w:firstLine="0"/>
      </w:pPr>
      <w:r w:rsidRPr="00E44F3E">
        <w:t xml:space="preserve">Note: </w:t>
      </w:r>
      <w:r w:rsidR="00C432F1" w:rsidRPr="00E44F3E">
        <w:t>G</w:t>
      </w:r>
      <w:r w:rsidRPr="00E44F3E">
        <w:t>aps shown are for medicine-indication pairs. Total gaps are less if regimen</w:t>
      </w:r>
      <w:r w:rsidR="00DC5AE3">
        <w:t>-indication</w:t>
      </w:r>
      <w:r w:rsidRPr="00E44F3E">
        <w:t xml:space="preserve"> pairs were considered. No gaps had an ESMO-MCBS:H score of B or C.</w:t>
      </w:r>
    </w:p>
    <w:p w14:paraId="748E4D62" w14:textId="52DC4465" w:rsidR="006858ED" w:rsidRPr="00121A51" w:rsidRDefault="006858ED">
      <w:pPr>
        <w:pStyle w:val="Note"/>
      </w:pPr>
      <w:r w:rsidRPr="00411124">
        <w:t>*</w:t>
      </w:r>
      <w:r w:rsidRPr="00121A51">
        <w:rPr>
          <w:b/>
        </w:rPr>
        <w:tab/>
      </w:r>
      <w:r w:rsidRPr="00121A51">
        <w:t>Indicates an ESMO-MCBS:H score of substantial clinical benefit</w:t>
      </w:r>
      <w:r w:rsidR="00CC486B">
        <w:t>.</w:t>
      </w:r>
    </w:p>
    <w:p w14:paraId="632912AE" w14:textId="654B9F08" w:rsidR="00831FD7" w:rsidRPr="00121A51" w:rsidRDefault="00831FD7" w:rsidP="00411124">
      <w:pPr>
        <w:pStyle w:val="Note"/>
      </w:pPr>
      <w:r w:rsidRPr="00121A51">
        <w:t>†</w:t>
      </w:r>
      <w:r w:rsidRPr="00121A51">
        <w:tab/>
        <w:t>NEB = no evaluable benefit</w:t>
      </w:r>
      <w:r w:rsidR="00CC486B">
        <w:t>.</w:t>
      </w:r>
    </w:p>
    <w:p w14:paraId="28D3999A" w14:textId="6738AD3B" w:rsidR="000D2E65" w:rsidRPr="00121A51" w:rsidRDefault="00831FD7" w:rsidP="006858ED">
      <w:pPr>
        <w:pStyle w:val="Note"/>
      </w:pPr>
      <w:r w:rsidRPr="00121A51">
        <w:t>‡</w:t>
      </w:r>
      <w:r w:rsidR="006858ED" w:rsidRPr="00121A51">
        <w:tab/>
      </w:r>
      <w:r w:rsidR="008F7AFA">
        <w:t>‘</w:t>
      </w:r>
      <w:r w:rsidR="006858ED" w:rsidRPr="00121A51">
        <w:t>Other</w:t>
      </w:r>
      <w:r w:rsidR="008F7AFA">
        <w:t>’</w:t>
      </w:r>
      <w:r w:rsidR="006858ED" w:rsidRPr="00121A51">
        <w:t xml:space="preserve"> includes systemic light chain amyloidosis, myelodysplastic syndrome and chronic myelomonocytic leukaemia.</w:t>
      </w:r>
    </w:p>
    <w:p w14:paraId="6065E200" w14:textId="77777777" w:rsidR="00F77352" w:rsidRDefault="00F77352">
      <w:pPr>
        <w:spacing w:line="240" w:lineRule="auto"/>
        <w:rPr>
          <w:rFonts w:ascii="Montserrat" w:hAnsi="Montserrat"/>
          <w:b/>
          <w:color w:val="2C463B"/>
          <w:spacing w:val="-5"/>
          <w:sz w:val="40"/>
        </w:rPr>
      </w:pPr>
      <w:r>
        <w:br w:type="page"/>
      </w:r>
    </w:p>
    <w:p w14:paraId="27619250" w14:textId="1BF3508D" w:rsidR="000D2E65" w:rsidRPr="00E44F3E" w:rsidRDefault="000D2E65" w:rsidP="000D2E65">
      <w:pPr>
        <w:pStyle w:val="Heading2"/>
      </w:pPr>
      <w:bookmarkStart w:id="93" w:name="_Toc180062111"/>
      <w:r w:rsidRPr="00E44F3E">
        <w:lastRenderedPageBreak/>
        <w:t>Gaps associated with substantial clinical benefit</w:t>
      </w:r>
      <w:bookmarkEnd w:id="93"/>
    </w:p>
    <w:p w14:paraId="6536CFBE" w14:textId="5F0AC603" w:rsidR="000D2E65" w:rsidRPr="00E44F3E" w:rsidRDefault="000D2E65" w:rsidP="0051762A">
      <w:r w:rsidRPr="00E44F3E">
        <w:t xml:space="preserve">Of the </w:t>
      </w:r>
      <w:r w:rsidR="00253452">
        <w:t>4</w:t>
      </w:r>
      <w:r w:rsidR="000E2076">
        <w:t>2</w:t>
      </w:r>
      <w:r w:rsidRPr="00E44F3E">
        <w:t xml:space="preserve"> medicine-indication </w:t>
      </w:r>
      <w:r w:rsidR="00B3455C">
        <w:t xml:space="preserve">pair </w:t>
      </w:r>
      <w:r w:rsidRPr="00E44F3E">
        <w:t xml:space="preserve">gaps found, </w:t>
      </w:r>
      <w:r w:rsidR="000219A3">
        <w:t>12</w:t>
      </w:r>
      <w:r w:rsidRPr="00E44F3E">
        <w:t xml:space="preserve"> </w:t>
      </w:r>
      <w:r w:rsidR="00BD6006" w:rsidRPr="00E44F3E">
        <w:t>were</w:t>
      </w:r>
      <w:r w:rsidRPr="00E44F3E">
        <w:t xml:space="preserve"> considered to have a substantial</w:t>
      </w:r>
      <w:r w:rsidR="00B1682D" w:rsidRPr="00E44F3E">
        <w:t xml:space="preserve"> </w:t>
      </w:r>
      <w:r w:rsidRPr="00E44F3E">
        <w:t xml:space="preserve">magnitude of clinical benefit using the ESMO-MCBS:H. </w:t>
      </w:r>
    </w:p>
    <w:p w14:paraId="02CC8D36" w14:textId="77777777" w:rsidR="000D2E65" w:rsidRPr="00E44F3E" w:rsidRDefault="000D2E65" w:rsidP="0051762A"/>
    <w:p w14:paraId="7C51F448" w14:textId="43A3D769" w:rsidR="000D2E65" w:rsidRPr="00E44F3E" w:rsidRDefault="000D2E65" w:rsidP="00BD6006">
      <w:pPr>
        <w:keepNext/>
      </w:pPr>
      <w:r w:rsidRPr="00E44F3E">
        <w:t xml:space="preserve">Of the 12 medicine-indication </w:t>
      </w:r>
      <w:r w:rsidR="00B3455C">
        <w:t xml:space="preserve">pair </w:t>
      </w:r>
      <w:r w:rsidRPr="00E44F3E">
        <w:t xml:space="preserve">gaps with substantial clinical benefit: </w:t>
      </w:r>
    </w:p>
    <w:p w14:paraId="6F1559AE" w14:textId="647ED1C0" w:rsidR="000D2E65" w:rsidRPr="00E44F3E" w:rsidRDefault="00DD720F" w:rsidP="0051762A">
      <w:pPr>
        <w:pStyle w:val="Bullet"/>
      </w:pPr>
      <w:r>
        <w:t>t</w:t>
      </w:r>
      <w:r w:rsidR="000D2E65" w:rsidRPr="00E44F3E">
        <w:t>hree of the medicine-indication</w:t>
      </w:r>
      <w:r w:rsidR="0092159F">
        <w:t xml:space="preserve"> pairs</w:t>
      </w:r>
      <w:r w:rsidR="000D2E65" w:rsidRPr="00E44F3E">
        <w:t xml:space="preserve"> have been funded since our gaps analysis</w:t>
      </w:r>
    </w:p>
    <w:p w14:paraId="211E4BCB" w14:textId="639311CB" w:rsidR="000D2E65" w:rsidRPr="00E44F3E" w:rsidRDefault="00DD720F" w:rsidP="0051762A">
      <w:pPr>
        <w:pStyle w:val="Bullet"/>
      </w:pPr>
      <w:r>
        <w:t>f</w:t>
      </w:r>
      <w:r w:rsidR="000D2E65" w:rsidRPr="00E44F3E">
        <w:t xml:space="preserve">our of the gaps identified are currently ranked on </w:t>
      </w:r>
      <w:proofErr w:type="spellStart"/>
      <w:r w:rsidR="000D2E65" w:rsidRPr="00E44F3E">
        <w:t>Pharmac’s</w:t>
      </w:r>
      <w:proofErr w:type="spellEnd"/>
      <w:r w:rsidR="000D2E65" w:rsidRPr="00E44F3E">
        <w:t xml:space="preserve"> </w:t>
      </w:r>
      <w:r w:rsidR="00C80CF6">
        <w:t>OFI</w:t>
      </w:r>
      <w:r w:rsidR="000D2E65" w:rsidRPr="00E44F3E">
        <w:t xml:space="preserve"> list, the prioritised list of medicines they would fund if a budget was available</w:t>
      </w:r>
    </w:p>
    <w:p w14:paraId="224E6DA9" w14:textId="1CF96463" w:rsidR="000D2E65" w:rsidRPr="00E44F3E" w:rsidRDefault="00DD720F" w:rsidP="0051762A">
      <w:pPr>
        <w:pStyle w:val="Bullet"/>
      </w:pPr>
      <w:r>
        <w:t>t</w:t>
      </w:r>
      <w:r w:rsidR="000D2E65" w:rsidRPr="00E44F3E">
        <w:t>wo are being assessed by Pharmac for funding</w:t>
      </w:r>
    </w:p>
    <w:p w14:paraId="35D1A7BD" w14:textId="268CE071" w:rsidR="000D2E65" w:rsidRPr="00E44F3E" w:rsidRDefault="00DD720F" w:rsidP="0051762A">
      <w:pPr>
        <w:pStyle w:val="Bullet"/>
      </w:pPr>
      <w:r>
        <w:t>t</w:t>
      </w:r>
      <w:r w:rsidR="000D2E65" w:rsidRPr="00E44F3E">
        <w:t xml:space="preserve">hree have not had an application for funding submitted to Pharmac. </w:t>
      </w:r>
    </w:p>
    <w:p w14:paraId="471CD21B" w14:textId="77777777" w:rsidR="000D2E65" w:rsidRPr="00E44F3E" w:rsidRDefault="000D2E65" w:rsidP="0051762A"/>
    <w:p w14:paraId="37B5247C" w14:textId="60683481" w:rsidR="000D2E65" w:rsidRPr="00E44F3E" w:rsidRDefault="000D2E65" w:rsidP="00DD720F">
      <w:r w:rsidRPr="00E44F3E">
        <w:fldChar w:fldCharType="begin"/>
      </w:r>
      <w:r w:rsidRPr="00E44F3E">
        <w:instrText xml:space="preserve"> REF _Ref167109116 \h  \* MERGEFORMAT </w:instrText>
      </w:r>
      <w:r w:rsidRPr="00E44F3E">
        <w:fldChar w:fldCharType="separate"/>
      </w:r>
      <w:r w:rsidR="004A6DF6" w:rsidRPr="004A6DF6">
        <w:rPr>
          <w:bCs/>
          <w:spacing w:val="-2"/>
        </w:rPr>
        <w:t xml:space="preserve">Table </w:t>
      </w:r>
      <w:r w:rsidR="004A6DF6">
        <w:rPr>
          <w:bCs/>
          <w:spacing w:val="-2"/>
        </w:rPr>
        <w:t>4</w:t>
      </w:r>
      <w:r w:rsidRPr="00E44F3E">
        <w:fldChar w:fldCharType="end"/>
      </w:r>
      <w:r w:rsidRPr="00E44F3E">
        <w:t xml:space="preserve"> </w:t>
      </w:r>
      <w:r w:rsidR="00DD720F" w:rsidRPr="00E44F3E">
        <w:t>summari</w:t>
      </w:r>
      <w:r w:rsidR="00DD720F">
        <w:t>s</w:t>
      </w:r>
      <w:r w:rsidR="00DD720F" w:rsidRPr="00E44F3E">
        <w:t>es</w:t>
      </w:r>
      <w:r w:rsidRPr="00E44F3E">
        <w:t xml:space="preserve"> the identified gaps of substantial clinical magnitude. Further detailed information on the gaps identified can be </w:t>
      </w:r>
      <w:r w:rsidRPr="00DD720F">
        <w:t>found</w:t>
      </w:r>
      <w:r w:rsidRPr="00E44F3E">
        <w:t xml:space="preserve"> in </w:t>
      </w:r>
      <w:r w:rsidR="00054876">
        <w:fldChar w:fldCharType="begin"/>
      </w:r>
      <w:r w:rsidR="00054876">
        <w:instrText xml:space="preserve"> REF App7 \h </w:instrText>
      </w:r>
      <w:r w:rsidR="00054876">
        <w:fldChar w:fldCharType="separate"/>
      </w:r>
      <w:r w:rsidR="004A6DF6" w:rsidRPr="00E44F3E">
        <w:t>Appendix 7</w:t>
      </w:r>
      <w:r w:rsidR="00054876">
        <w:fldChar w:fldCharType="end"/>
      </w:r>
      <w:r w:rsidR="00FA02A0">
        <w:t>.</w:t>
      </w:r>
      <w:r w:rsidRPr="00E44F3E">
        <w:t xml:space="preserve"> </w:t>
      </w:r>
    </w:p>
    <w:p w14:paraId="3B45783F" w14:textId="456253B0" w:rsidR="000D2E65" w:rsidRPr="00E44F3E" w:rsidRDefault="000D2E65" w:rsidP="0051762A">
      <w:pPr>
        <w:pStyle w:val="Heading2"/>
      </w:pPr>
      <w:bookmarkStart w:id="94" w:name="_Toc180062112"/>
      <w:r w:rsidRPr="00E44F3E">
        <w:t>Gaps associated with substantial clinical benefit</w:t>
      </w:r>
      <w:r w:rsidR="00321BB1" w:rsidRPr="00E44F3E">
        <w:t xml:space="preserve"> – </w:t>
      </w:r>
      <w:r w:rsidRPr="00E44F3E">
        <w:t>curative setting</w:t>
      </w:r>
      <w:bookmarkStart w:id="95" w:name="_Ref177733058"/>
      <w:r w:rsidRPr="00E44F3E">
        <w:rPr>
          <w:rStyle w:val="FootnoteReference"/>
        </w:rPr>
        <w:footnoteReference w:id="3"/>
      </w:r>
      <w:bookmarkEnd w:id="94"/>
      <w:bookmarkEnd w:id="95"/>
    </w:p>
    <w:p w14:paraId="7322E280" w14:textId="0FCBDE5B" w:rsidR="000D2E65" w:rsidRPr="00E44F3E" w:rsidRDefault="000D2E65" w:rsidP="0051762A">
      <w:r w:rsidRPr="00E44F3E">
        <w:t xml:space="preserve">Only </w:t>
      </w:r>
      <w:r w:rsidR="000219A3">
        <w:t>two</w:t>
      </w:r>
      <w:r w:rsidRPr="00E44F3E">
        <w:t xml:space="preserve"> medicine-indication pairs</w:t>
      </w:r>
      <w:r w:rsidR="00E51F06">
        <w:t xml:space="preserve"> –</w:t>
      </w:r>
      <w:r w:rsidRPr="00E44F3E">
        <w:t xml:space="preserve"> </w:t>
      </w:r>
      <w:proofErr w:type="spellStart"/>
      <w:r w:rsidRPr="00E44F3E">
        <w:t>midostaurin</w:t>
      </w:r>
      <w:proofErr w:type="spellEnd"/>
      <w:r w:rsidRPr="00E44F3E">
        <w:t xml:space="preserve"> for acute myeloid leukaemia and blinatumomab for precursor </w:t>
      </w:r>
      <w:r w:rsidR="007A18B6">
        <w:t>B</w:t>
      </w:r>
      <w:r w:rsidRPr="00E44F3E">
        <w:t>-cell acute lymphoblastic leukaemia</w:t>
      </w:r>
      <w:r w:rsidR="00E51F06">
        <w:t xml:space="preserve"> –</w:t>
      </w:r>
      <w:r w:rsidRPr="00E44F3E">
        <w:t xml:space="preserve"> were evaluated to have a</w:t>
      </w:r>
      <w:r w:rsidR="0066640B">
        <w:t>n</w:t>
      </w:r>
      <w:r w:rsidRPr="00E44F3E">
        <w:t xml:space="preserve"> ESMO-MCBS:H score of A</w:t>
      </w:r>
      <w:r w:rsidR="007A18B6">
        <w:t>,</w:t>
      </w:r>
      <w:r w:rsidRPr="00E44F3E">
        <w:t xml:space="preserve"> which indicates a substantial magnitude of clinical benefit in a curative setting. No identified medicine-indication </w:t>
      </w:r>
      <w:r w:rsidR="00B3455C">
        <w:t xml:space="preserve">pair </w:t>
      </w:r>
      <w:r w:rsidRPr="00E44F3E">
        <w:t>gaps were found to have a</w:t>
      </w:r>
      <w:r w:rsidR="0066640B">
        <w:t>n</w:t>
      </w:r>
      <w:r w:rsidRPr="00E44F3E">
        <w:t xml:space="preserve"> </w:t>
      </w:r>
      <w:r w:rsidR="007A18B6" w:rsidRPr="007A18B6">
        <w:t>ESMO-MCBS:H</w:t>
      </w:r>
      <w:r w:rsidRPr="00E44F3E">
        <w:t xml:space="preserve"> score of B</w:t>
      </w:r>
      <w:r w:rsidR="00446083">
        <w:t>,</w:t>
      </w:r>
      <w:r w:rsidRPr="00E44F3E">
        <w:t xml:space="preserve"> which also </w:t>
      </w:r>
      <w:r w:rsidR="007D41C1" w:rsidRPr="00E44F3E">
        <w:t>indicate</w:t>
      </w:r>
      <w:r w:rsidR="007D41C1">
        <w:t>s</w:t>
      </w:r>
      <w:r w:rsidR="007D41C1" w:rsidRPr="00E44F3E">
        <w:t xml:space="preserve"> </w:t>
      </w:r>
      <w:r w:rsidRPr="00E44F3E">
        <w:t xml:space="preserve">substantial clinical benefit in a curative setting. </w:t>
      </w:r>
    </w:p>
    <w:p w14:paraId="1C582BA2" w14:textId="77777777" w:rsidR="000D2E65" w:rsidRPr="00E44F3E" w:rsidRDefault="000D2E65" w:rsidP="0051762A"/>
    <w:p w14:paraId="7D8EA550" w14:textId="6B035293" w:rsidR="000D2E65" w:rsidRPr="00E44F3E" w:rsidRDefault="000D2E65" w:rsidP="0051762A">
      <w:r w:rsidRPr="00E44F3E">
        <w:t xml:space="preserve">See </w:t>
      </w:r>
      <w:r w:rsidRPr="00E44F3E">
        <w:fldChar w:fldCharType="begin"/>
      </w:r>
      <w:r w:rsidRPr="00E44F3E">
        <w:instrText xml:space="preserve"> REF _Ref167109116 \h </w:instrText>
      </w:r>
      <w:r w:rsidRPr="00E44F3E">
        <w:fldChar w:fldCharType="separate"/>
      </w:r>
      <w:r w:rsidR="004A6DF6" w:rsidRPr="00E44F3E">
        <w:rPr>
          <w:spacing w:val="-2"/>
        </w:rPr>
        <w:t xml:space="preserve">Table </w:t>
      </w:r>
      <w:r w:rsidR="004A6DF6">
        <w:rPr>
          <w:bCs/>
          <w:noProof/>
          <w:spacing w:val="-2"/>
        </w:rPr>
        <w:t>4</w:t>
      </w:r>
      <w:r w:rsidRPr="00E44F3E">
        <w:fldChar w:fldCharType="end"/>
      </w:r>
      <w:r w:rsidRPr="00E44F3E">
        <w:t xml:space="preserve"> and </w:t>
      </w:r>
      <w:r w:rsidR="00054876">
        <w:fldChar w:fldCharType="begin"/>
      </w:r>
      <w:r w:rsidR="00054876">
        <w:instrText xml:space="preserve"> REF App7 \h </w:instrText>
      </w:r>
      <w:r w:rsidR="00054876">
        <w:fldChar w:fldCharType="separate"/>
      </w:r>
      <w:r w:rsidR="004A6DF6" w:rsidRPr="00E44F3E">
        <w:t>Appendix 7</w:t>
      </w:r>
      <w:r w:rsidR="00054876">
        <w:fldChar w:fldCharType="end"/>
      </w:r>
      <w:r w:rsidR="007C3A78">
        <w:t xml:space="preserve"> </w:t>
      </w:r>
      <w:r w:rsidRPr="00E44F3E">
        <w:t xml:space="preserve">for more information. </w:t>
      </w:r>
    </w:p>
    <w:p w14:paraId="6468E87E" w14:textId="07AAF553" w:rsidR="000D2E65" w:rsidRPr="00E44F3E" w:rsidRDefault="000D2E65" w:rsidP="0051762A">
      <w:pPr>
        <w:pStyle w:val="Heading2"/>
      </w:pPr>
      <w:bookmarkStart w:id="96" w:name="_Toc180062113"/>
      <w:r w:rsidRPr="00E44F3E">
        <w:t>Gaps associated with substantial clinical benefit</w:t>
      </w:r>
      <w:r w:rsidR="00321BB1" w:rsidRPr="00E44F3E">
        <w:t xml:space="preserve"> – </w:t>
      </w:r>
      <w:r w:rsidRPr="00E44F3E">
        <w:t>non-curative setting</w:t>
      </w:r>
      <w:r w:rsidRPr="00E44F3E">
        <w:rPr>
          <w:vertAlign w:val="superscript"/>
        </w:rPr>
        <w:footnoteReference w:id="4"/>
      </w:r>
      <w:bookmarkEnd w:id="96"/>
    </w:p>
    <w:p w14:paraId="27AC227C" w14:textId="40ED57ED" w:rsidR="000D2E65" w:rsidRPr="00E44F3E" w:rsidRDefault="00446083" w:rsidP="0051762A">
      <w:r w:rsidRPr="004B2656">
        <w:t>Ten</w:t>
      </w:r>
      <w:r w:rsidR="000D2E65" w:rsidRPr="004B2656">
        <w:t xml:space="preserve"> of the </w:t>
      </w:r>
      <w:r w:rsidR="00CA6C36">
        <w:t>12</w:t>
      </w:r>
      <w:r w:rsidR="000D2E65" w:rsidRPr="004B2656">
        <w:t xml:space="preserve"> medicine-indication </w:t>
      </w:r>
      <w:r w:rsidR="00B3455C" w:rsidRPr="004B2656">
        <w:t xml:space="preserve">pair </w:t>
      </w:r>
      <w:r w:rsidR="000D2E65" w:rsidRPr="004B2656">
        <w:t xml:space="preserve">gaps identified </w:t>
      </w:r>
      <w:r w:rsidR="007C6BFE" w:rsidRPr="004B2656">
        <w:t xml:space="preserve">as </w:t>
      </w:r>
      <w:r w:rsidR="000D2E65" w:rsidRPr="004B2656">
        <w:t>having a substantial magnitude of clinical benefit were in a non-curative setting.</w:t>
      </w:r>
      <w:r w:rsidR="0066516C" w:rsidRPr="004B2656">
        <w:t xml:space="preserve"> </w:t>
      </w:r>
      <w:r w:rsidR="000D2E65" w:rsidRPr="004B2656">
        <w:t>Seven were for leukaemia, two were for multiple myeloma and one was for lymphoma.</w:t>
      </w:r>
      <w:r w:rsidR="000D2E65" w:rsidRPr="00E44F3E">
        <w:t xml:space="preserve"> </w:t>
      </w:r>
    </w:p>
    <w:p w14:paraId="11B3BA6E" w14:textId="77777777" w:rsidR="000D2E65" w:rsidRPr="00E44F3E" w:rsidRDefault="000D2E65" w:rsidP="0051762A"/>
    <w:p w14:paraId="3703B719" w14:textId="37CC1978" w:rsidR="000D2E65" w:rsidRPr="00E44F3E" w:rsidRDefault="000D2E65" w:rsidP="0051762A">
      <w:r w:rsidRPr="00E44F3E">
        <w:t xml:space="preserve">See </w:t>
      </w:r>
      <w:r w:rsidRPr="00E44F3E">
        <w:fldChar w:fldCharType="begin"/>
      </w:r>
      <w:r w:rsidRPr="00E44F3E">
        <w:instrText xml:space="preserve"> REF _Ref167109116 \h  \* MERGEFORMAT </w:instrText>
      </w:r>
      <w:r w:rsidRPr="00E44F3E">
        <w:fldChar w:fldCharType="separate"/>
      </w:r>
      <w:r w:rsidR="004A6DF6" w:rsidRPr="004A6DF6">
        <w:rPr>
          <w:bCs/>
          <w:spacing w:val="-2"/>
        </w:rPr>
        <w:t xml:space="preserve">Table </w:t>
      </w:r>
      <w:r w:rsidR="004A6DF6">
        <w:rPr>
          <w:bCs/>
          <w:spacing w:val="-2"/>
        </w:rPr>
        <w:t>4</w:t>
      </w:r>
      <w:r w:rsidRPr="00E44F3E">
        <w:fldChar w:fldCharType="end"/>
      </w:r>
      <w:r w:rsidRPr="00E44F3E">
        <w:t xml:space="preserve"> and </w:t>
      </w:r>
      <w:r w:rsidR="00054876">
        <w:fldChar w:fldCharType="begin"/>
      </w:r>
      <w:r w:rsidR="00054876">
        <w:instrText xml:space="preserve"> REF App7 \h </w:instrText>
      </w:r>
      <w:r w:rsidR="00054876">
        <w:fldChar w:fldCharType="separate"/>
      </w:r>
      <w:r w:rsidR="004A6DF6" w:rsidRPr="00E44F3E">
        <w:t>Appendix 7</w:t>
      </w:r>
      <w:r w:rsidR="00054876">
        <w:fldChar w:fldCharType="end"/>
      </w:r>
      <w:r w:rsidRPr="00E44F3E">
        <w:t xml:space="preserve"> for more information. </w:t>
      </w:r>
    </w:p>
    <w:p w14:paraId="38D49865" w14:textId="77777777" w:rsidR="0051762A" w:rsidRPr="00E44F3E" w:rsidRDefault="0051762A" w:rsidP="0051762A">
      <w:pPr>
        <w:sectPr w:rsidR="0051762A" w:rsidRPr="00E44F3E" w:rsidSect="002950CD">
          <w:headerReference w:type="even" r:id="rId51"/>
          <w:headerReference w:type="default" r:id="rId52"/>
          <w:footerReference w:type="even" r:id="rId53"/>
          <w:headerReference w:type="first" r:id="rId54"/>
          <w:pgSz w:w="11907" w:h="16834" w:code="9"/>
          <w:pgMar w:top="1418" w:right="1701" w:bottom="1418" w:left="1843" w:header="284" w:footer="425" w:gutter="284"/>
          <w:pgNumType w:start="1"/>
          <w:cols w:space="720"/>
          <w:docGrid w:linePitch="286"/>
        </w:sectPr>
      </w:pPr>
    </w:p>
    <w:p w14:paraId="14A4B9FA" w14:textId="47C0C370" w:rsidR="00AE0BA4" w:rsidRPr="00E44F3E" w:rsidRDefault="00AE0BA4" w:rsidP="00AE0BA4">
      <w:pPr>
        <w:pStyle w:val="Caption"/>
        <w:keepNext/>
        <w:rPr>
          <w:bCs w:val="0"/>
          <w:color w:val="auto"/>
          <w:spacing w:val="-2"/>
          <w:sz w:val="20"/>
          <w:szCs w:val="20"/>
        </w:rPr>
      </w:pPr>
      <w:bookmarkStart w:id="97" w:name="_Ref167109116"/>
      <w:bookmarkStart w:id="98" w:name="_Toc180142290"/>
      <w:r w:rsidRPr="00E44F3E">
        <w:rPr>
          <w:bCs w:val="0"/>
          <w:color w:val="auto"/>
          <w:spacing w:val="-2"/>
          <w:sz w:val="20"/>
          <w:szCs w:val="20"/>
        </w:rPr>
        <w:lastRenderedPageBreak/>
        <w:t xml:space="preserve">Table </w:t>
      </w:r>
      <w:r w:rsidRPr="00E44F3E">
        <w:rPr>
          <w:bCs w:val="0"/>
          <w:color w:val="auto"/>
          <w:spacing w:val="-2"/>
          <w:sz w:val="20"/>
          <w:szCs w:val="20"/>
        </w:rPr>
        <w:fldChar w:fldCharType="begin"/>
      </w:r>
      <w:r w:rsidRPr="00E44F3E">
        <w:rPr>
          <w:bCs w:val="0"/>
          <w:color w:val="auto"/>
          <w:spacing w:val="-2"/>
          <w:sz w:val="20"/>
          <w:szCs w:val="20"/>
        </w:rPr>
        <w:instrText xml:space="preserve"> SEQ Table \* ARABIC </w:instrText>
      </w:r>
      <w:r w:rsidRPr="00E44F3E">
        <w:rPr>
          <w:bCs w:val="0"/>
          <w:color w:val="auto"/>
          <w:spacing w:val="-2"/>
          <w:sz w:val="20"/>
          <w:szCs w:val="20"/>
        </w:rPr>
        <w:fldChar w:fldCharType="separate"/>
      </w:r>
      <w:r w:rsidR="004A6DF6">
        <w:rPr>
          <w:bCs w:val="0"/>
          <w:noProof/>
          <w:color w:val="auto"/>
          <w:spacing w:val="-2"/>
          <w:sz w:val="20"/>
          <w:szCs w:val="20"/>
        </w:rPr>
        <w:t>4</w:t>
      </w:r>
      <w:r w:rsidRPr="00E44F3E">
        <w:rPr>
          <w:bCs w:val="0"/>
          <w:color w:val="auto"/>
          <w:spacing w:val="-2"/>
          <w:sz w:val="20"/>
          <w:szCs w:val="20"/>
        </w:rPr>
        <w:fldChar w:fldCharType="end"/>
      </w:r>
      <w:bookmarkEnd w:id="97"/>
      <w:r w:rsidR="00CD2290" w:rsidRPr="00E44F3E">
        <w:rPr>
          <w:bCs w:val="0"/>
          <w:color w:val="auto"/>
          <w:spacing w:val="-2"/>
          <w:sz w:val="20"/>
          <w:szCs w:val="20"/>
        </w:rPr>
        <w:t>:</w:t>
      </w:r>
      <w:r w:rsidRPr="00E44F3E">
        <w:rPr>
          <w:bCs w:val="0"/>
          <w:color w:val="auto"/>
          <w:spacing w:val="-2"/>
          <w:sz w:val="20"/>
          <w:szCs w:val="20"/>
        </w:rPr>
        <w:t xml:space="preserve"> </w:t>
      </w:r>
      <w:r w:rsidR="00140BCE">
        <w:rPr>
          <w:bCs w:val="0"/>
          <w:color w:val="auto"/>
          <w:spacing w:val="-2"/>
          <w:sz w:val="20"/>
          <w:szCs w:val="20"/>
        </w:rPr>
        <w:t>Blood cancer m</w:t>
      </w:r>
      <w:r w:rsidRPr="00E44F3E">
        <w:rPr>
          <w:bCs w:val="0"/>
          <w:color w:val="auto"/>
          <w:spacing w:val="-2"/>
          <w:sz w:val="20"/>
          <w:szCs w:val="20"/>
        </w:rPr>
        <w:t xml:space="preserve">edicines funded in Australia but not in </w:t>
      </w:r>
      <w:r w:rsidR="00E6006E">
        <w:rPr>
          <w:bCs w:val="0"/>
          <w:color w:val="auto"/>
          <w:spacing w:val="-2"/>
          <w:sz w:val="20"/>
          <w:szCs w:val="20"/>
        </w:rPr>
        <w:t>Aotearoa New </w:t>
      </w:r>
      <w:r w:rsidR="003B42AA">
        <w:rPr>
          <w:bCs w:val="0"/>
          <w:color w:val="auto"/>
          <w:spacing w:val="-2"/>
          <w:sz w:val="20"/>
          <w:szCs w:val="20"/>
        </w:rPr>
        <w:t>Zealand</w:t>
      </w:r>
      <w:r w:rsidRPr="00E44F3E">
        <w:rPr>
          <w:bCs w:val="0"/>
          <w:color w:val="auto"/>
          <w:spacing w:val="-2"/>
          <w:sz w:val="20"/>
          <w:szCs w:val="20"/>
        </w:rPr>
        <w:t xml:space="preserve"> with a </w:t>
      </w:r>
      <w:r w:rsidR="00D3323E">
        <w:rPr>
          <w:bCs w:val="0"/>
          <w:color w:val="auto"/>
          <w:spacing w:val="-2"/>
          <w:sz w:val="20"/>
          <w:szCs w:val="20"/>
        </w:rPr>
        <w:t>substantial clinical benefit</w:t>
      </w:r>
      <w:r w:rsidRPr="00E44F3E">
        <w:rPr>
          <w:bCs w:val="0"/>
          <w:color w:val="auto"/>
          <w:spacing w:val="-2"/>
          <w:sz w:val="20"/>
          <w:szCs w:val="20"/>
        </w:rPr>
        <w:t xml:space="preserve"> ESMO-MCBS:H score</w:t>
      </w:r>
      <w:bookmarkEnd w:id="98"/>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454"/>
        <w:gridCol w:w="1488"/>
        <w:gridCol w:w="1937"/>
        <w:gridCol w:w="1676"/>
        <w:gridCol w:w="2613"/>
        <w:gridCol w:w="1498"/>
        <w:gridCol w:w="1246"/>
        <w:gridCol w:w="1360"/>
        <w:gridCol w:w="726"/>
      </w:tblGrid>
      <w:tr w:rsidR="00E5417E" w:rsidRPr="00E44F3E" w14:paraId="6F446F3A" w14:textId="77777777" w:rsidTr="0024653C">
        <w:trPr>
          <w:cantSplit/>
          <w:trHeight w:val="20"/>
          <w:tblHeader/>
        </w:trPr>
        <w:tc>
          <w:tcPr>
            <w:tcW w:w="0" w:type="auto"/>
            <w:tcBorders>
              <w:top w:val="nil"/>
              <w:bottom w:val="nil"/>
            </w:tcBorders>
            <w:shd w:val="clear" w:color="auto" w:fill="C2D9BA"/>
            <w:vAlign w:val="center"/>
          </w:tcPr>
          <w:p w14:paraId="0D048A4C" w14:textId="77777777" w:rsidR="00E5417E" w:rsidRPr="00E44F3E" w:rsidRDefault="00E5417E" w:rsidP="0024653C">
            <w:pPr>
              <w:pStyle w:val="TableText"/>
              <w:jc w:val="center"/>
              <w:rPr>
                <w:b/>
                <w:bCs/>
              </w:rPr>
            </w:pPr>
            <w:r w:rsidRPr="00E44F3E">
              <w:rPr>
                <w:b/>
                <w:bCs/>
              </w:rPr>
              <w:t>ESMO</w:t>
            </w:r>
            <w:r>
              <w:rPr>
                <w:b/>
                <w:bCs/>
              </w:rPr>
              <w:noBreakHyphen/>
            </w:r>
            <w:r w:rsidRPr="00E44F3E">
              <w:rPr>
                <w:b/>
                <w:bCs/>
              </w:rPr>
              <w:t>MCBS:H score</w:t>
            </w:r>
          </w:p>
        </w:tc>
        <w:tc>
          <w:tcPr>
            <w:tcW w:w="0" w:type="auto"/>
            <w:tcBorders>
              <w:top w:val="nil"/>
              <w:bottom w:val="nil"/>
            </w:tcBorders>
            <w:shd w:val="clear" w:color="auto" w:fill="C2D9BA"/>
            <w:vAlign w:val="center"/>
          </w:tcPr>
          <w:p w14:paraId="023A2DC6" w14:textId="77777777" w:rsidR="00E5417E" w:rsidRPr="00E44F3E" w:rsidRDefault="00E5417E" w:rsidP="0024653C">
            <w:pPr>
              <w:pStyle w:val="TableText"/>
              <w:rPr>
                <w:b/>
                <w:bCs/>
              </w:rPr>
            </w:pPr>
            <w:r w:rsidRPr="00E44F3E">
              <w:rPr>
                <w:b/>
                <w:bCs/>
              </w:rPr>
              <w:t>Medicine name</w:t>
            </w:r>
          </w:p>
        </w:tc>
        <w:tc>
          <w:tcPr>
            <w:tcW w:w="0" w:type="auto"/>
            <w:tcBorders>
              <w:top w:val="nil"/>
              <w:bottom w:val="nil"/>
            </w:tcBorders>
            <w:shd w:val="clear" w:color="auto" w:fill="C2D9BA"/>
            <w:vAlign w:val="center"/>
          </w:tcPr>
          <w:p w14:paraId="0CFAC632" w14:textId="77777777" w:rsidR="00E5417E" w:rsidRPr="00E44F3E" w:rsidRDefault="00E5417E" w:rsidP="0024653C">
            <w:pPr>
              <w:pStyle w:val="TableText"/>
              <w:rPr>
                <w:b/>
                <w:bCs/>
              </w:rPr>
            </w:pPr>
            <w:r w:rsidRPr="00E44F3E">
              <w:rPr>
                <w:b/>
                <w:bCs/>
              </w:rPr>
              <w:t>Used in combination with</w:t>
            </w:r>
          </w:p>
        </w:tc>
        <w:tc>
          <w:tcPr>
            <w:tcW w:w="0" w:type="auto"/>
            <w:tcBorders>
              <w:top w:val="nil"/>
              <w:bottom w:val="nil"/>
            </w:tcBorders>
            <w:shd w:val="clear" w:color="auto" w:fill="C2D9BA"/>
            <w:vAlign w:val="center"/>
          </w:tcPr>
          <w:p w14:paraId="0B9227AA" w14:textId="77777777" w:rsidR="00E5417E" w:rsidRPr="00E44F3E" w:rsidRDefault="00E5417E" w:rsidP="0024653C">
            <w:pPr>
              <w:pStyle w:val="TableText"/>
              <w:rPr>
                <w:b/>
                <w:bCs/>
              </w:rPr>
            </w:pPr>
            <w:r w:rsidRPr="00E44F3E">
              <w:rPr>
                <w:b/>
                <w:bCs/>
              </w:rPr>
              <w:t xml:space="preserve">Cancer </w:t>
            </w:r>
            <w:r>
              <w:rPr>
                <w:b/>
                <w:bCs/>
              </w:rPr>
              <w:t>t</w:t>
            </w:r>
            <w:r w:rsidRPr="00E44F3E">
              <w:rPr>
                <w:b/>
                <w:bCs/>
              </w:rPr>
              <w:t>ype</w:t>
            </w:r>
          </w:p>
        </w:tc>
        <w:tc>
          <w:tcPr>
            <w:tcW w:w="0" w:type="auto"/>
            <w:tcBorders>
              <w:top w:val="nil"/>
              <w:bottom w:val="nil"/>
            </w:tcBorders>
            <w:shd w:val="clear" w:color="auto" w:fill="C2D9BA"/>
            <w:vAlign w:val="center"/>
          </w:tcPr>
          <w:p w14:paraId="01085169" w14:textId="77777777" w:rsidR="00E5417E" w:rsidRPr="00E44F3E" w:rsidRDefault="00E5417E" w:rsidP="0024653C">
            <w:pPr>
              <w:pStyle w:val="TableText"/>
              <w:rPr>
                <w:b/>
                <w:bCs/>
              </w:rPr>
            </w:pPr>
            <w:r w:rsidRPr="00E44F3E">
              <w:rPr>
                <w:b/>
                <w:bCs/>
              </w:rPr>
              <w:t>Indication per PBS</w:t>
            </w:r>
          </w:p>
        </w:tc>
        <w:tc>
          <w:tcPr>
            <w:tcW w:w="0" w:type="auto"/>
            <w:tcBorders>
              <w:top w:val="nil"/>
              <w:bottom w:val="nil"/>
            </w:tcBorders>
            <w:shd w:val="clear" w:color="auto" w:fill="C2D9BA"/>
            <w:vAlign w:val="center"/>
          </w:tcPr>
          <w:p w14:paraId="3727D741" w14:textId="77777777" w:rsidR="00E5417E" w:rsidRPr="00E44F3E" w:rsidRDefault="00E5417E" w:rsidP="0024653C">
            <w:pPr>
              <w:pStyle w:val="TableText"/>
              <w:jc w:val="center"/>
              <w:rPr>
                <w:b/>
                <w:bCs/>
              </w:rPr>
            </w:pPr>
            <w:r w:rsidRPr="00E44F3E">
              <w:rPr>
                <w:b/>
                <w:bCs/>
              </w:rPr>
              <w:t>Formulation</w:t>
            </w:r>
          </w:p>
        </w:tc>
        <w:tc>
          <w:tcPr>
            <w:tcW w:w="0" w:type="auto"/>
            <w:tcBorders>
              <w:top w:val="nil"/>
              <w:bottom w:val="nil"/>
            </w:tcBorders>
            <w:shd w:val="clear" w:color="auto" w:fill="C2D9BA"/>
            <w:vAlign w:val="center"/>
          </w:tcPr>
          <w:p w14:paraId="0E79AEB3" w14:textId="77777777" w:rsidR="00E5417E" w:rsidRPr="00E44F3E" w:rsidRDefault="00E5417E" w:rsidP="0024653C">
            <w:pPr>
              <w:pStyle w:val="TableText"/>
              <w:jc w:val="center"/>
              <w:rPr>
                <w:b/>
                <w:bCs/>
              </w:rPr>
            </w:pPr>
            <w:r w:rsidRPr="00E44F3E">
              <w:rPr>
                <w:b/>
                <w:bCs/>
              </w:rPr>
              <w:t>Medicine funded in NZ for other indications</w:t>
            </w:r>
          </w:p>
        </w:tc>
        <w:tc>
          <w:tcPr>
            <w:tcW w:w="0" w:type="auto"/>
            <w:tcBorders>
              <w:top w:val="nil"/>
              <w:bottom w:val="nil"/>
            </w:tcBorders>
            <w:shd w:val="clear" w:color="auto" w:fill="C2D9BA"/>
            <w:vAlign w:val="center"/>
          </w:tcPr>
          <w:p w14:paraId="6D2FD3CE" w14:textId="77777777" w:rsidR="00E5417E" w:rsidRPr="00E44F3E" w:rsidRDefault="00E5417E" w:rsidP="0024653C">
            <w:pPr>
              <w:pStyle w:val="TableText"/>
              <w:jc w:val="center"/>
              <w:rPr>
                <w:b/>
                <w:bCs/>
              </w:rPr>
            </w:pPr>
            <w:r w:rsidRPr="00E44F3E">
              <w:rPr>
                <w:b/>
                <w:bCs/>
              </w:rPr>
              <w:t xml:space="preserve">Current Pharmac </w:t>
            </w:r>
            <w:r>
              <w:rPr>
                <w:b/>
                <w:bCs/>
              </w:rPr>
              <w:t>s</w:t>
            </w:r>
            <w:r w:rsidRPr="00E44F3E">
              <w:rPr>
                <w:b/>
                <w:bCs/>
              </w:rPr>
              <w:t>tatus (</w:t>
            </w:r>
            <w:r>
              <w:rPr>
                <w:b/>
                <w:bCs/>
              </w:rPr>
              <w:t>Oct 2024</w:t>
            </w:r>
            <w:r w:rsidRPr="00E44F3E">
              <w:rPr>
                <w:b/>
                <w:bCs/>
              </w:rPr>
              <w:t>)</w:t>
            </w:r>
            <w:r w:rsidRPr="00E44F3E">
              <w:rPr>
                <w:b/>
                <w:bCs/>
                <w:vertAlign w:val="superscript"/>
              </w:rPr>
              <w:t xml:space="preserve"> †</w:t>
            </w:r>
          </w:p>
        </w:tc>
        <w:tc>
          <w:tcPr>
            <w:tcW w:w="0" w:type="auto"/>
            <w:tcBorders>
              <w:top w:val="nil"/>
              <w:bottom w:val="nil"/>
            </w:tcBorders>
            <w:shd w:val="clear" w:color="auto" w:fill="C2D9BA"/>
            <w:vAlign w:val="center"/>
          </w:tcPr>
          <w:p w14:paraId="5EDD6A50" w14:textId="77777777" w:rsidR="00E5417E" w:rsidRPr="00E44F3E" w:rsidRDefault="00E5417E" w:rsidP="0024653C">
            <w:pPr>
              <w:pStyle w:val="TableText"/>
              <w:jc w:val="center"/>
              <w:rPr>
                <w:b/>
                <w:bCs/>
              </w:rPr>
            </w:pPr>
            <w:r w:rsidRPr="00E44F3E">
              <w:rPr>
                <w:b/>
                <w:bCs/>
              </w:rPr>
              <w:t>Noted as a gap in 2022</w:t>
            </w:r>
          </w:p>
        </w:tc>
      </w:tr>
      <w:tr w:rsidR="00E5417E" w:rsidRPr="00E44F3E" w14:paraId="5C9061A7" w14:textId="77777777" w:rsidTr="0024653C">
        <w:trPr>
          <w:cantSplit/>
          <w:trHeight w:val="20"/>
        </w:trPr>
        <w:tc>
          <w:tcPr>
            <w:tcW w:w="0" w:type="auto"/>
            <w:tcBorders>
              <w:top w:val="nil"/>
              <w:bottom w:val="single" w:sz="4" w:space="0" w:color="C2D9BA"/>
            </w:tcBorders>
            <w:shd w:val="clear" w:color="auto" w:fill="auto"/>
          </w:tcPr>
          <w:p w14:paraId="2F6C010D" w14:textId="77777777" w:rsidR="00E5417E" w:rsidRPr="00E44F3E" w:rsidRDefault="00E5417E" w:rsidP="0024653C">
            <w:pPr>
              <w:pStyle w:val="TableText"/>
              <w:jc w:val="center"/>
              <w:rPr>
                <w:b/>
                <w:bCs/>
              </w:rPr>
            </w:pPr>
            <w:r w:rsidRPr="00E44F3E">
              <w:rPr>
                <w:b/>
                <w:bCs/>
              </w:rPr>
              <w:t>A</w:t>
            </w:r>
          </w:p>
          <w:p w14:paraId="5D7128A9" w14:textId="77777777" w:rsidR="00E5417E" w:rsidRPr="00E44F3E" w:rsidRDefault="00E5417E" w:rsidP="0024653C">
            <w:pPr>
              <w:pStyle w:val="TableText"/>
              <w:jc w:val="center"/>
            </w:pPr>
            <w:r w:rsidRPr="00E44F3E">
              <w:t>Substantial clinical benefit – curative</w:t>
            </w:r>
          </w:p>
        </w:tc>
        <w:tc>
          <w:tcPr>
            <w:tcW w:w="0" w:type="auto"/>
            <w:tcBorders>
              <w:top w:val="nil"/>
              <w:bottom w:val="single" w:sz="4" w:space="0" w:color="C2D9BA"/>
            </w:tcBorders>
            <w:shd w:val="clear" w:color="auto" w:fill="auto"/>
          </w:tcPr>
          <w:p w14:paraId="5931CC89" w14:textId="77777777" w:rsidR="00E5417E" w:rsidRPr="00E44F3E" w:rsidRDefault="00E5417E" w:rsidP="0024653C">
            <w:pPr>
              <w:pStyle w:val="TableText"/>
            </w:pPr>
            <w:proofErr w:type="spellStart"/>
            <w:r w:rsidRPr="00E44F3E">
              <w:t>Midostaurin</w:t>
            </w:r>
            <w:proofErr w:type="spellEnd"/>
          </w:p>
        </w:tc>
        <w:tc>
          <w:tcPr>
            <w:tcW w:w="0" w:type="auto"/>
            <w:tcBorders>
              <w:top w:val="nil"/>
              <w:bottom w:val="single" w:sz="4" w:space="0" w:color="C2D9BA"/>
            </w:tcBorders>
            <w:shd w:val="clear" w:color="auto" w:fill="auto"/>
          </w:tcPr>
          <w:p w14:paraId="6680883F" w14:textId="77777777" w:rsidR="00E5417E" w:rsidRPr="00E44F3E" w:rsidRDefault="00E5417E" w:rsidP="0024653C">
            <w:pPr>
              <w:pStyle w:val="TableText"/>
            </w:pPr>
            <w:r w:rsidRPr="00E44F3E">
              <w:t xml:space="preserve">Anthracycline and cytarabine chemotherapy (both already funded in </w:t>
            </w:r>
            <w:r>
              <w:t>Aotearoa New Zealand</w:t>
            </w:r>
            <w:r w:rsidRPr="00E44F3E">
              <w:t>)</w:t>
            </w:r>
          </w:p>
        </w:tc>
        <w:tc>
          <w:tcPr>
            <w:tcW w:w="0" w:type="auto"/>
            <w:tcBorders>
              <w:top w:val="nil"/>
              <w:bottom w:val="single" w:sz="4" w:space="0" w:color="C2D9BA"/>
            </w:tcBorders>
            <w:shd w:val="clear" w:color="auto" w:fill="auto"/>
          </w:tcPr>
          <w:p w14:paraId="6BF7C8FA" w14:textId="77777777" w:rsidR="00E5417E" w:rsidRPr="00E44F3E" w:rsidRDefault="00E5417E" w:rsidP="0024653C">
            <w:pPr>
              <w:pStyle w:val="TableText"/>
            </w:pPr>
            <w:bookmarkStart w:id="99" w:name="_Hlk177464321"/>
            <w:r w:rsidRPr="00E44F3E">
              <w:t>Acute myeloid leukaemia (AML)</w:t>
            </w:r>
            <w:bookmarkEnd w:id="99"/>
          </w:p>
        </w:tc>
        <w:tc>
          <w:tcPr>
            <w:tcW w:w="0" w:type="auto"/>
            <w:tcBorders>
              <w:top w:val="nil"/>
              <w:bottom w:val="single" w:sz="4" w:space="0" w:color="C2D9BA"/>
            </w:tcBorders>
            <w:shd w:val="clear" w:color="auto" w:fill="auto"/>
          </w:tcPr>
          <w:p w14:paraId="1BE614D6" w14:textId="77777777" w:rsidR="00E5417E" w:rsidRPr="00E44F3E" w:rsidRDefault="00E5417E" w:rsidP="0024653C">
            <w:pPr>
              <w:pStyle w:val="TableText"/>
            </w:pPr>
            <w:r w:rsidRPr="00E44F3E">
              <w:t>Newly diagnosed patients with an internal tandem duplication (ITD) or tyrosine kinase domain (TKD) FMS-like tyrosine kinase 3 (FLT3) mutation</w:t>
            </w:r>
          </w:p>
        </w:tc>
        <w:tc>
          <w:tcPr>
            <w:tcW w:w="0" w:type="auto"/>
            <w:tcBorders>
              <w:top w:val="nil"/>
              <w:bottom w:val="single" w:sz="4" w:space="0" w:color="C2D9BA"/>
            </w:tcBorders>
            <w:shd w:val="clear" w:color="auto" w:fill="auto"/>
          </w:tcPr>
          <w:p w14:paraId="64BA0C83" w14:textId="77777777" w:rsidR="00E5417E" w:rsidRPr="00E44F3E" w:rsidRDefault="00E5417E" w:rsidP="0024653C">
            <w:pPr>
              <w:pStyle w:val="TableText"/>
              <w:jc w:val="center"/>
            </w:pPr>
            <w:r w:rsidRPr="00E44F3E">
              <w:t>Oral capsule</w:t>
            </w:r>
          </w:p>
        </w:tc>
        <w:tc>
          <w:tcPr>
            <w:tcW w:w="0" w:type="auto"/>
            <w:tcBorders>
              <w:top w:val="nil"/>
              <w:bottom w:val="single" w:sz="4" w:space="0" w:color="C2D9BA"/>
            </w:tcBorders>
            <w:shd w:val="clear" w:color="auto" w:fill="auto"/>
          </w:tcPr>
          <w:p w14:paraId="507EF553" w14:textId="77777777" w:rsidR="00E5417E" w:rsidRPr="00E44F3E" w:rsidRDefault="00E5417E" w:rsidP="0024653C">
            <w:pPr>
              <w:pStyle w:val="TableText"/>
              <w:jc w:val="center"/>
            </w:pPr>
            <w:r w:rsidRPr="00E44F3E">
              <w:t>No</w:t>
            </w:r>
          </w:p>
        </w:tc>
        <w:tc>
          <w:tcPr>
            <w:tcW w:w="0" w:type="auto"/>
            <w:tcBorders>
              <w:top w:val="nil"/>
              <w:bottom w:val="single" w:sz="4" w:space="0" w:color="C2D9BA"/>
            </w:tcBorders>
            <w:shd w:val="clear" w:color="auto" w:fill="auto"/>
          </w:tcPr>
          <w:p w14:paraId="31965508" w14:textId="77777777" w:rsidR="00E5417E" w:rsidRPr="00E44F3E" w:rsidRDefault="00E5417E" w:rsidP="0024653C">
            <w:pPr>
              <w:pStyle w:val="TableText"/>
              <w:jc w:val="center"/>
            </w:pPr>
            <w:r>
              <w:t>F</w:t>
            </w:r>
            <w:r w:rsidRPr="00E44F3E">
              <w:t>und</w:t>
            </w:r>
            <w:r>
              <w:t>ed</w:t>
            </w:r>
            <w:r w:rsidRPr="00E44F3E">
              <w:t xml:space="preserve"> from 1</w:t>
            </w:r>
            <w:r>
              <w:t> </w:t>
            </w:r>
            <w:r w:rsidRPr="00E44F3E">
              <w:t>July 2024</w:t>
            </w:r>
          </w:p>
        </w:tc>
        <w:tc>
          <w:tcPr>
            <w:tcW w:w="0" w:type="auto"/>
            <w:tcBorders>
              <w:top w:val="nil"/>
              <w:bottom w:val="single" w:sz="4" w:space="0" w:color="C2D9BA"/>
            </w:tcBorders>
            <w:shd w:val="clear" w:color="auto" w:fill="auto"/>
          </w:tcPr>
          <w:p w14:paraId="6F48F29D" w14:textId="77777777" w:rsidR="00E5417E" w:rsidRPr="00E44F3E" w:rsidRDefault="00E5417E" w:rsidP="0024653C">
            <w:pPr>
              <w:pStyle w:val="TableText"/>
              <w:jc w:val="center"/>
            </w:pPr>
            <w:r w:rsidRPr="00E44F3E">
              <w:t>Yes</w:t>
            </w:r>
          </w:p>
        </w:tc>
      </w:tr>
      <w:tr w:rsidR="00E5417E" w:rsidRPr="00E44F3E" w14:paraId="17AC722A" w14:textId="77777777" w:rsidTr="0024653C">
        <w:trPr>
          <w:cantSplit/>
          <w:trHeight w:val="20"/>
        </w:trPr>
        <w:tc>
          <w:tcPr>
            <w:tcW w:w="0" w:type="auto"/>
            <w:tcBorders>
              <w:top w:val="single" w:sz="4" w:space="0" w:color="C2D9BA"/>
              <w:bottom w:val="single" w:sz="4" w:space="0" w:color="C2D9BA"/>
            </w:tcBorders>
            <w:shd w:val="clear" w:color="auto" w:fill="auto"/>
          </w:tcPr>
          <w:p w14:paraId="29FF1DCF" w14:textId="77777777" w:rsidR="00E5417E" w:rsidRPr="00E44F3E" w:rsidRDefault="00E5417E" w:rsidP="0024653C">
            <w:pPr>
              <w:pStyle w:val="TableText"/>
              <w:jc w:val="center"/>
              <w:rPr>
                <w:b/>
                <w:bCs/>
              </w:rPr>
            </w:pPr>
            <w:r w:rsidRPr="00E44F3E">
              <w:rPr>
                <w:b/>
                <w:bCs/>
              </w:rPr>
              <w:t>A</w:t>
            </w:r>
          </w:p>
          <w:p w14:paraId="3B275562" w14:textId="77777777" w:rsidR="00E5417E" w:rsidRPr="00E44F3E" w:rsidRDefault="00E5417E" w:rsidP="0024653C">
            <w:pPr>
              <w:pStyle w:val="TableText"/>
              <w:jc w:val="center"/>
            </w:pPr>
            <w:r w:rsidRPr="00E44F3E">
              <w:t>Substantial clinical benefit – curative</w:t>
            </w:r>
          </w:p>
        </w:tc>
        <w:tc>
          <w:tcPr>
            <w:tcW w:w="0" w:type="auto"/>
            <w:tcBorders>
              <w:top w:val="single" w:sz="4" w:space="0" w:color="C2D9BA"/>
              <w:bottom w:val="single" w:sz="4" w:space="0" w:color="C2D9BA"/>
            </w:tcBorders>
            <w:shd w:val="clear" w:color="auto" w:fill="auto"/>
          </w:tcPr>
          <w:p w14:paraId="6F035981" w14:textId="77777777" w:rsidR="00E5417E" w:rsidRPr="00E44F3E" w:rsidRDefault="00E5417E" w:rsidP="0024653C">
            <w:pPr>
              <w:pStyle w:val="TableText"/>
            </w:pPr>
            <w:r w:rsidRPr="00E44F3E">
              <w:t>Blinatumomab</w:t>
            </w:r>
          </w:p>
        </w:tc>
        <w:tc>
          <w:tcPr>
            <w:tcW w:w="0" w:type="auto"/>
            <w:tcBorders>
              <w:top w:val="single" w:sz="4" w:space="0" w:color="C2D9BA"/>
              <w:bottom w:val="single" w:sz="4" w:space="0" w:color="C2D9BA"/>
            </w:tcBorders>
            <w:shd w:val="clear" w:color="auto" w:fill="auto"/>
          </w:tcPr>
          <w:p w14:paraId="6E8D9FF3" w14:textId="77777777" w:rsidR="00E5417E" w:rsidRPr="00E44F3E" w:rsidRDefault="00E5417E" w:rsidP="0024653C">
            <w:pPr>
              <w:pStyle w:val="TableText"/>
            </w:pPr>
            <w:r w:rsidRPr="00E44F3E">
              <w:t>Monotherapy</w:t>
            </w:r>
          </w:p>
        </w:tc>
        <w:tc>
          <w:tcPr>
            <w:tcW w:w="0" w:type="auto"/>
            <w:tcBorders>
              <w:top w:val="single" w:sz="4" w:space="0" w:color="C2D9BA"/>
              <w:bottom w:val="single" w:sz="4" w:space="0" w:color="C2D9BA"/>
            </w:tcBorders>
            <w:shd w:val="clear" w:color="auto" w:fill="auto"/>
          </w:tcPr>
          <w:p w14:paraId="4A3E114E" w14:textId="77777777" w:rsidR="00E5417E" w:rsidRPr="00E44F3E" w:rsidRDefault="00E5417E" w:rsidP="0024653C">
            <w:pPr>
              <w:pStyle w:val="TableText"/>
            </w:pPr>
            <w:r w:rsidRPr="00E44F3E">
              <w:t>Precursor B-cell acute lymphoblastic leukaemia (</w:t>
            </w:r>
            <w:r>
              <w:t>p</w:t>
            </w:r>
            <w:r w:rsidRPr="00E44F3E">
              <w:t>re-B-cell ALL)</w:t>
            </w:r>
          </w:p>
        </w:tc>
        <w:tc>
          <w:tcPr>
            <w:tcW w:w="0" w:type="auto"/>
            <w:tcBorders>
              <w:top w:val="single" w:sz="4" w:space="0" w:color="C2D9BA"/>
              <w:bottom w:val="single" w:sz="4" w:space="0" w:color="C2D9BA"/>
            </w:tcBorders>
            <w:shd w:val="clear" w:color="auto" w:fill="auto"/>
          </w:tcPr>
          <w:p w14:paraId="4A2ACA0E" w14:textId="77777777" w:rsidR="00E5417E" w:rsidRPr="00E44F3E" w:rsidRDefault="00E5417E" w:rsidP="0024653C">
            <w:pPr>
              <w:pStyle w:val="TableText"/>
            </w:pPr>
            <w:r w:rsidRPr="00E44F3E">
              <w:t xml:space="preserve">Complete haematological remission with measurable residual disease (MRD) </w:t>
            </w:r>
          </w:p>
        </w:tc>
        <w:tc>
          <w:tcPr>
            <w:tcW w:w="0" w:type="auto"/>
            <w:tcBorders>
              <w:top w:val="single" w:sz="4" w:space="0" w:color="C2D9BA"/>
              <w:bottom w:val="single" w:sz="4" w:space="0" w:color="C2D9BA"/>
            </w:tcBorders>
            <w:shd w:val="clear" w:color="auto" w:fill="auto"/>
          </w:tcPr>
          <w:p w14:paraId="66966A6D" w14:textId="77777777" w:rsidR="00E5417E" w:rsidRPr="00E44F3E" w:rsidRDefault="00E5417E" w:rsidP="0024653C">
            <w:pPr>
              <w:pStyle w:val="TableText"/>
              <w:jc w:val="center"/>
            </w:pPr>
            <w:r w:rsidRPr="00E44F3E">
              <w:t>Continuous intravenous infusion</w:t>
            </w:r>
          </w:p>
        </w:tc>
        <w:tc>
          <w:tcPr>
            <w:tcW w:w="0" w:type="auto"/>
            <w:tcBorders>
              <w:top w:val="single" w:sz="4" w:space="0" w:color="C2D9BA"/>
              <w:bottom w:val="single" w:sz="4" w:space="0" w:color="C2D9BA"/>
            </w:tcBorders>
            <w:shd w:val="clear" w:color="auto" w:fill="auto"/>
          </w:tcPr>
          <w:p w14:paraId="337DD4A7" w14:textId="77777777" w:rsidR="00E5417E" w:rsidRPr="00E44F3E" w:rsidRDefault="00E5417E" w:rsidP="0024653C">
            <w:pPr>
              <w:pStyle w:val="TableText"/>
              <w:jc w:val="center"/>
            </w:pPr>
            <w:r w:rsidRPr="00E44F3E">
              <w:t>No</w:t>
            </w:r>
          </w:p>
        </w:tc>
        <w:tc>
          <w:tcPr>
            <w:tcW w:w="0" w:type="auto"/>
            <w:tcBorders>
              <w:top w:val="single" w:sz="4" w:space="0" w:color="C2D9BA"/>
              <w:bottom w:val="single" w:sz="4" w:space="0" w:color="C2D9BA"/>
            </w:tcBorders>
            <w:shd w:val="clear" w:color="auto" w:fill="auto"/>
          </w:tcPr>
          <w:p w14:paraId="7D53EA93" w14:textId="77777777" w:rsidR="00E5417E" w:rsidRPr="00E44F3E" w:rsidRDefault="00E5417E" w:rsidP="0024653C">
            <w:pPr>
              <w:pStyle w:val="TableText"/>
              <w:jc w:val="center"/>
              <w:rPr>
                <w:rFonts w:cs="Calibri"/>
                <w:color w:val="000000"/>
                <w:lang w:eastAsia="en-NZ"/>
              </w:rPr>
            </w:pPr>
            <w:r w:rsidRPr="00E44F3E">
              <w:rPr>
                <w:rFonts w:cs="Calibri"/>
                <w:color w:val="000000"/>
              </w:rPr>
              <w:t xml:space="preserve">Seeking </w:t>
            </w:r>
            <w:r>
              <w:rPr>
                <w:rFonts w:cs="Calibri"/>
                <w:color w:val="000000"/>
              </w:rPr>
              <w:t>c</w:t>
            </w:r>
            <w:r w:rsidRPr="00E44F3E">
              <w:rPr>
                <w:rFonts w:cs="Calibri"/>
                <w:color w:val="000000"/>
              </w:rPr>
              <w:t xml:space="preserve">linical </w:t>
            </w:r>
            <w:r>
              <w:rPr>
                <w:rFonts w:cs="Calibri"/>
                <w:color w:val="000000"/>
              </w:rPr>
              <w:t>a</w:t>
            </w:r>
            <w:r w:rsidRPr="00E44F3E">
              <w:rPr>
                <w:rFonts w:cs="Calibri"/>
                <w:color w:val="000000"/>
              </w:rPr>
              <w:t>dvice</w:t>
            </w:r>
          </w:p>
        </w:tc>
        <w:tc>
          <w:tcPr>
            <w:tcW w:w="0" w:type="auto"/>
            <w:tcBorders>
              <w:top w:val="single" w:sz="4" w:space="0" w:color="C2D9BA"/>
              <w:bottom w:val="single" w:sz="4" w:space="0" w:color="C2D9BA"/>
            </w:tcBorders>
            <w:shd w:val="clear" w:color="auto" w:fill="auto"/>
          </w:tcPr>
          <w:p w14:paraId="175AF66D" w14:textId="77777777" w:rsidR="00E5417E" w:rsidRPr="00E44F3E" w:rsidRDefault="00E5417E" w:rsidP="0024653C">
            <w:pPr>
              <w:pStyle w:val="TableText"/>
              <w:jc w:val="center"/>
              <w:rPr>
                <w:rFonts w:ascii="Calibri" w:hAnsi="Calibri" w:cs="Calibri"/>
                <w:color w:val="000000"/>
                <w:sz w:val="22"/>
                <w:szCs w:val="22"/>
                <w:lang w:eastAsia="en-NZ"/>
              </w:rPr>
            </w:pPr>
            <w:r w:rsidRPr="00E44F3E">
              <w:rPr>
                <w:rFonts w:ascii="Calibri" w:hAnsi="Calibri" w:cs="Calibri"/>
                <w:color w:val="000000"/>
                <w:sz w:val="22"/>
                <w:szCs w:val="22"/>
              </w:rPr>
              <w:t>Yes</w:t>
            </w:r>
          </w:p>
        </w:tc>
      </w:tr>
      <w:tr w:rsidR="00E5417E" w:rsidRPr="00E44F3E" w14:paraId="4C2F6A68" w14:textId="77777777" w:rsidTr="0024653C">
        <w:trPr>
          <w:cantSplit/>
          <w:trHeight w:val="20"/>
        </w:trPr>
        <w:tc>
          <w:tcPr>
            <w:tcW w:w="0" w:type="auto"/>
            <w:tcBorders>
              <w:top w:val="single" w:sz="4" w:space="0" w:color="C2D9BA"/>
              <w:bottom w:val="single" w:sz="4" w:space="0" w:color="C2D9BA"/>
            </w:tcBorders>
          </w:tcPr>
          <w:p w14:paraId="4DA4826F" w14:textId="77777777" w:rsidR="00E5417E" w:rsidRPr="00E44F3E" w:rsidRDefault="00E5417E" w:rsidP="0024653C">
            <w:pPr>
              <w:pStyle w:val="TableText"/>
              <w:jc w:val="center"/>
              <w:rPr>
                <w:b/>
                <w:bCs/>
              </w:rPr>
            </w:pPr>
            <w:r w:rsidRPr="00E44F3E">
              <w:rPr>
                <w:b/>
                <w:bCs/>
              </w:rPr>
              <w:t>5</w:t>
            </w:r>
          </w:p>
          <w:p w14:paraId="3B2CB99C"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3DD974FB" w14:textId="77777777" w:rsidR="00E5417E" w:rsidRPr="00E44F3E" w:rsidRDefault="00E5417E" w:rsidP="0024653C">
            <w:pPr>
              <w:pStyle w:val="TableText"/>
            </w:pPr>
            <w:r w:rsidRPr="00E44F3E">
              <w:t>Azacitidine*</w:t>
            </w:r>
          </w:p>
        </w:tc>
        <w:tc>
          <w:tcPr>
            <w:tcW w:w="0" w:type="auto"/>
            <w:tcBorders>
              <w:top w:val="single" w:sz="4" w:space="0" w:color="C2D9BA"/>
              <w:bottom w:val="single" w:sz="4" w:space="0" w:color="C2D9BA"/>
            </w:tcBorders>
            <w:shd w:val="clear" w:color="auto" w:fill="auto"/>
          </w:tcPr>
          <w:p w14:paraId="5A699CD2" w14:textId="77777777" w:rsidR="00E5417E" w:rsidRPr="00E44F3E" w:rsidRDefault="00E5417E" w:rsidP="0024653C">
            <w:pPr>
              <w:pStyle w:val="TableText"/>
            </w:pPr>
            <w:proofErr w:type="spellStart"/>
            <w:r w:rsidRPr="00E44F3E">
              <w:t>Venetoclax</w:t>
            </w:r>
            <w:proofErr w:type="spellEnd"/>
            <w:r w:rsidRPr="00E44F3E">
              <w:t>*</w:t>
            </w:r>
          </w:p>
        </w:tc>
        <w:tc>
          <w:tcPr>
            <w:tcW w:w="0" w:type="auto"/>
            <w:tcBorders>
              <w:top w:val="single" w:sz="4" w:space="0" w:color="C2D9BA"/>
              <w:bottom w:val="single" w:sz="4" w:space="0" w:color="C2D9BA"/>
            </w:tcBorders>
          </w:tcPr>
          <w:p w14:paraId="20B203C0" w14:textId="77777777" w:rsidR="00E5417E" w:rsidRPr="00E44F3E" w:rsidRDefault="00E5417E" w:rsidP="0024653C">
            <w:pPr>
              <w:pStyle w:val="TableText"/>
            </w:pPr>
            <w:r w:rsidRPr="00E44F3E">
              <w:t>Acute myeloid</w:t>
            </w:r>
            <w:r>
              <w:t xml:space="preserve"> </w:t>
            </w:r>
            <w:r w:rsidRPr="00E44F3E">
              <w:t>leukaemia (AML)</w:t>
            </w:r>
          </w:p>
        </w:tc>
        <w:tc>
          <w:tcPr>
            <w:tcW w:w="0" w:type="auto"/>
            <w:tcBorders>
              <w:top w:val="single" w:sz="4" w:space="0" w:color="C2D9BA"/>
              <w:bottom w:val="single" w:sz="4" w:space="0" w:color="C2D9BA"/>
            </w:tcBorders>
            <w:shd w:val="clear" w:color="auto" w:fill="auto"/>
          </w:tcPr>
          <w:p w14:paraId="68469FF5" w14:textId="77777777" w:rsidR="00E5417E" w:rsidRPr="00E44F3E" w:rsidRDefault="00E5417E" w:rsidP="0024653C">
            <w:pPr>
              <w:pStyle w:val="TableText"/>
            </w:pPr>
            <w:r w:rsidRPr="00E44F3E">
              <w:t>Patients who are unfit for intensive chemotherapy</w:t>
            </w:r>
          </w:p>
        </w:tc>
        <w:tc>
          <w:tcPr>
            <w:tcW w:w="0" w:type="auto"/>
            <w:tcBorders>
              <w:top w:val="single" w:sz="4" w:space="0" w:color="C2D9BA"/>
              <w:bottom w:val="single" w:sz="4" w:space="0" w:color="C2D9BA"/>
            </w:tcBorders>
            <w:shd w:val="clear" w:color="auto" w:fill="auto"/>
          </w:tcPr>
          <w:p w14:paraId="78737795" w14:textId="77777777" w:rsidR="00E5417E" w:rsidRPr="00E44F3E" w:rsidRDefault="00E5417E" w:rsidP="0024653C">
            <w:pPr>
              <w:pStyle w:val="TableText"/>
              <w:jc w:val="center"/>
            </w:pPr>
            <w:r w:rsidRPr="00E44F3E">
              <w:t>Subcutaneous injection or intravenous infusion</w:t>
            </w:r>
          </w:p>
        </w:tc>
        <w:tc>
          <w:tcPr>
            <w:tcW w:w="0" w:type="auto"/>
            <w:tcBorders>
              <w:top w:val="single" w:sz="4" w:space="0" w:color="C2D9BA"/>
              <w:bottom w:val="single" w:sz="4" w:space="0" w:color="C2D9BA"/>
            </w:tcBorders>
          </w:tcPr>
          <w:p w14:paraId="00BF7975" w14:textId="77777777" w:rsidR="00E5417E" w:rsidRPr="00E44F3E" w:rsidRDefault="00E5417E" w:rsidP="0024653C">
            <w:pPr>
              <w:pStyle w:val="TableText"/>
              <w:jc w:val="center"/>
            </w:pPr>
            <w:r w:rsidRPr="00E44F3E">
              <w:t>Yes</w:t>
            </w:r>
          </w:p>
        </w:tc>
        <w:tc>
          <w:tcPr>
            <w:tcW w:w="0" w:type="auto"/>
            <w:tcBorders>
              <w:top w:val="single" w:sz="4" w:space="0" w:color="C2D9BA"/>
              <w:bottom w:val="single" w:sz="4" w:space="0" w:color="C2D9BA"/>
            </w:tcBorders>
          </w:tcPr>
          <w:p w14:paraId="4CA32763" w14:textId="77777777" w:rsidR="00E5417E" w:rsidRPr="00E44F3E" w:rsidRDefault="00E5417E" w:rsidP="0024653C">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2A2AEF69" w14:textId="77777777" w:rsidR="00E5417E" w:rsidRPr="00E44F3E" w:rsidRDefault="00E5417E" w:rsidP="0024653C">
            <w:pPr>
              <w:pStyle w:val="TableText"/>
              <w:jc w:val="center"/>
            </w:pPr>
            <w:r w:rsidRPr="00E44F3E">
              <w:t>No</w:t>
            </w:r>
          </w:p>
        </w:tc>
      </w:tr>
      <w:tr w:rsidR="00E5417E" w:rsidRPr="00E44F3E" w14:paraId="5FA4EBD9" w14:textId="77777777" w:rsidTr="0024653C">
        <w:trPr>
          <w:cantSplit/>
          <w:trHeight w:val="20"/>
        </w:trPr>
        <w:tc>
          <w:tcPr>
            <w:tcW w:w="0" w:type="auto"/>
            <w:tcBorders>
              <w:top w:val="single" w:sz="4" w:space="0" w:color="C2D9BA"/>
              <w:bottom w:val="single" w:sz="4" w:space="0" w:color="C2D9BA"/>
            </w:tcBorders>
          </w:tcPr>
          <w:p w14:paraId="5211FAC3" w14:textId="77777777" w:rsidR="00E5417E" w:rsidRPr="00E44F3E" w:rsidRDefault="00E5417E" w:rsidP="0024653C">
            <w:pPr>
              <w:pStyle w:val="TableText"/>
              <w:jc w:val="center"/>
              <w:rPr>
                <w:b/>
                <w:bCs/>
              </w:rPr>
            </w:pPr>
            <w:r w:rsidRPr="00E44F3E">
              <w:rPr>
                <w:b/>
                <w:bCs/>
              </w:rPr>
              <w:t>5</w:t>
            </w:r>
          </w:p>
          <w:p w14:paraId="16CDE2A9" w14:textId="77777777" w:rsidR="00E5417E" w:rsidRPr="00E44F3E" w:rsidRDefault="00E5417E" w:rsidP="0024653C">
            <w:pPr>
              <w:pStyle w:val="TableText"/>
              <w:jc w:val="center"/>
              <w:rPr>
                <w:bCs/>
              </w:rPr>
            </w:pPr>
            <w:r w:rsidRPr="00E44F3E">
              <w:t>Substantial clinical benefit – not curative</w:t>
            </w:r>
          </w:p>
        </w:tc>
        <w:tc>
          <w:tcPr>
            <w:tcW w:w="0" w:type="auto"/>
            <w:tcBorders>
              <w:top w:val="single" w:sz="4" w:space="0" w:color="C2D9BA"/>
              <w:bottom w:val="single" w:sz="4" w:space="0" w:color="C2D9BA"/>
            </w:tcBorders>
          </w:tcPr>
          <w:p w14:paraId="737D1C5F" w14:textId="77777777" w:rsidR="00E5417E" w:rsidRPr="00E44F3E" w:rsidRDefault="00E5417E" w:rsidP="0024653C">
            <w:pPr>
              <w:pStyle w:val="TableText"/>
              <w:rPr>
                <w:rFonts w:cs="Calibri"/>
                <w:bCs/>
                <w:color w:val="000000"/>
              </w:rPr>
            </w:pPr>
            <w:r w:rsidRPr="00E44F3E">
              <w:t>Blinatumomab</w:t>
            </w:r>
          </w:p>
        </w:tc>
        <w:tc>
          <w:tcPr>
            <w:tcW w:w="0" w:type="auto"/>
            <w:tcBorders>
              <w:top w:val="single" w:sz="4" w:space="0" w:color="C2D9BA"/>
              <w:bottom w:val="single" w:sz="4" w:space="0" w:color="C2D9BA"/>
            </w:tcBorders>
            <w:shd w:val="clear" w:color="auto" w:fill="auto"/>
          </w:tcPr>
          <w:p w14:paraId="21B66472" w14:textId="77777777" w:rsidR="00E5417E" w:rsidRPr="00E44F3E" w:rsidRDefault="00E5417E" w:rsidP="0024653C">
            <w:pPr>
              <w:pStyle w:val="TableText"/>
            </w:pPr>
            <w:r w:rsidRPr="00E44F3E">
              <w:t>Monotherapy</w:t>
            </w:r>
          </w:p>
        </w:tc>
        <w:tc>
          <w:tcPr>
            <w:tcW w:w="0" w:type="auto"/>
            <w:tcBorders>
              <w:top w:val="single" w:sz="4" w:space="0" w:color="C2D9BA"/>
              <w:bottom w:val="single" w:sz="4" w:space="0" w:color="C2D9BA"/>
            </w:tcBorders>
          </w:tcPr>
          <w:p w14:paraId="6D382DAC" w14:textId="77777777" w:rsidR="00E5417E" w:rsidRPr="00E44F3E" w:rsidRDefault="00E5417E" w:rsidP="0024653C">
            <w:pPr>
              <w:pStyle w:val="TableText"/>
              <w:rPr>
                <w:rFonts w:cs="Calibri"/>
                <w:color w:val="000000"/>
              </w:rPr>
            </w:pPr>
            <w:r w:rsidRPr="00E44F3E">
              <w:t>Precursor B-cell acute lymphoblastic leukaemia (</w:t>
            </w:r>
            <w:r>
              <w:t>p</w:t>
            </w:r>
            <w:r w:rsidRPr="00E44F3E">
              <w:t>re-B</w:t>
            </w:r>
            <w:r>
              <w:noBreakHyphen/>
            </w:r>
            <w:r w:rsidRPr="00E44F3E">
              <w:t>cell ALL)</w:t>
            </w:r>
          </w:p>
        </w:tc>
        <w:tc>
          <w:tcPr>
            <w:tcW w:w="0" w:type="auto"/>
            <w:tcBorders>
              <w:top w:val="single" w:sz="4" w:space="0" w:color="C2D9BA"/>
              <w:bottom w:val="single" w:sz="4" w:space="0" w:color="C2D9BA"/>
            </w:tcBorders>
            <w:shd w:val="clear" w:color="auto" w:fill="auto"/>
          </w:tcPr>
          <w:p w14:paraId="1F3D0B89" w14:textId="77777777" w:rsidR="00E5417E" w:rsidRPr="00E44F3E" w:rsidRDefault="00E5417E" w:rsidP="0024653C">
            <w:pPr>
              <w:pStyle w:val="TableText"/>
              <w:rPr>
                <w:rFonts w:cs="Calibri"/>
                <w:color w:val="000000"/>
              </w:rPr>
            </w:pPr>
            <w:r w:rsidRPr="00E44F3E">
              <w:t xml:space="preserve">Patients with relapsed or refractory disease </w:t>
            </w:r>
          </w:p>
        </w:tc>
        <w:tc>
          <w:tcPr>
            <w:tcW w:w="0" w:type="auto"/>
            <w:tcBorders>
              <w:top w:val="single" w:sz="4" w:space="0" w:color="C2D9BA"/>
              <w:bottom w:val="single" w:sz="4" w:space="0" w:color="C2D9BA"/>
            </w:tcBorders>
            <w:shd w:val="clear" w:color="auto" w:fill="auto"/>
          </w:tcPr>
          <w:p w14:paraId="03F0378D" w14:textId="77777777" w:rsidR="00E5417E" w:rsidRPr="00E44F3E" w:rsidRDefault="00E5417E" w:rsidP="0024653C">
            <w:pPr>
              <w:pStyle w:val="TableText"/>
              <w:jc w:val="center"/>
            </w:pPr>
            <w:r w:rsidRPr="00E44F3E">
              <w:t>Continuous intravenous infusion</w:t>
            </w:r>
          </w:p>
        </w:tc>
        <w:tc>
          <w:tcPr>
            <w:tcW w:w="0" w:type="auto"/>
            <w:tcBorders>
              <w:top w:val="single" w:sz="4" w:space="0" w:color="C2D9BA"/>
              <w:bottom w:val="single" w:sz="4" w:space="0" w:color="C2D9BA"/>
            </w:tcBorders>
          </w:tcPr>
          <w:p w14:paraId="318FD937" w14:textId="77777777" w:rsidR="00E5417E" w:rsidRPr="00E44F3E" w:rsidRDefault="00E5417E" w:rsidP="0024653C">
            <w:pPr>
              <w:pStyle w:val="TableText"/>
              <w:jc w:val="center"/>
              <w:rPr>
                <w:rFonts w:cs="Calibri"/>
                <w:color w:val="000000"/>
              </w:rPr>
            </w:pPr>
            <w:r w:rsidRPr="00E44F3E">
              <w:t>No</w:t>
            </w:r>
          </w:p>
        </w:tc>
        <w:tc>
          <w:tcPr>
            <w:tcW w:w="0" w:type="auto"/>
            <w:tcBorders>
              <w:top w:val="single" w:sz="4" w:space="0" w:color="C2D9BA"/>
              <w:bottom w:val="single" w:sz="4" w:space="0" w:color="C2D9BA"/>
            </w:tcBorders>
          </w:tcPr>
          <w:p w14:paraId="768CE746" w14:textId="77777777" w:rsidR="00E5417E" w:rsidRPr="00E44F3E" w:rsidRDefault="00E5417E" w:rsidP="0024653C">
            <w:pPr>
              <w:pStyle w:val="TableText"/>
              <w:jc w:val="center"/>
            </w:pPr>
            <w:r w:rsidRPr="00E44F3E">
              <w:t>No application</w:t>
            </w:r>
          </w:p>
        </w:tc>
        <w:tc>
          <w:tcPr>
            <w:tcW w:w="0" w:type="auto"/>
            <w:tcBorders>
              <w:top w:val="single" w:sz="4" w:space="0" w:color="C2D9BA"/>
              <w:bottom w:val="single" w:sz="4" w:space="0" w:color="C2D9BA"/>
            </w:tcBorders>
          </w:tcPr>
          <w:p w14:paraId="16914F89" w14:textId="77777777" w:rsidR="00E5417E" w:rsidRPr="00E44F3E" w:rsidRDefault="00E5417E" w:rsidP="0024653C">
            <w:pPr>
              <w:pStyle w:val="TableText"/>
              <w:jc w:val="center"/>
              <w:rPr>
                <w:rFonts w:cs="Calibri"/>
                <w:color w:val="000000"/>
              </w:rPr>
            </w:pPr>
            <w:r w:rsidRPr="00E44F3E">
              <w:t>Yes</w:t>
            </w:r>
          </w:p>
        </w:tc>
      </w:tr>
      <w:tr w:rsidR="00E5417E" w:rsidRPr="00E44F3E" w14:paraId="624C9575" w14:textId="77777777" w:rsidTr="0024653C">
        <w:trPr>
          <w:cantSplit/>
          <w:trHeight w:val="20"/>
        </w:trPr>
        <w:tc>
          <w:tcPr>
            <w:tcW w:w="0" w:type="auto"/>
            <w:tcBorders>
              <w:top w:val="single" w:sz="4" w:space="0" w:color="C2D9BA"/>
              <w:bottom w:val="single" w:sz="4" w:space="0" w:color="C2D9BA"/>
            </w:tcBorders>
          </w:tcPr>
          <w:p w14:paraId="54F8BCB2" w14:textId="77777777" w:rsidR="00E5417E" w:rsidRPr="00E44F3E" w:rsidRDefault="00E5417E" w:rsidP="0024653C">
            <w:pPr>
              <w:pStyle w:val="TableText"/>
              <w:jc w:val="center"/>
              <w:rPr>
                <w:b/>
                <w:bCs/>
              </w:rPr>
            </w:pPr>
            <w:r w:rsidRPr="00E44F3E">
              <w:rPr>
                <w:b/>
                <w:bCs/>
              </w:rPr>
              <w:t>5</w:t>
            </w:r>
          </w:p>
          <w:p w14:paraId="656BE2D6"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76EA1457" w14:textId="77777777" w:rsidR="00E5417E" w:rsidRPr="00E44F3E" w:rsidRDefault="00E5417E" w:rsidP="0024653C">
            <w:pPr>
              <w:pStyle w:val="TableText"/>
            </w:pPr>
            <w:proofErr w:type="spellStart"/>
            <w:r w:rsidRPr="00E44F3E">
              <w:t>Venetoclax</w:t>
            </w:r>
            <w:proofErr w:type="spellEnd"/>
            <w:r w:rsidRPr="00E44F3E">
              <w:t>*</w:t>
            </w:r>
          </w:p>
        </w:tc>
        <w:tc>
          <w:tcPr>
            <w:tcW w:w="0" w:type="auto"/>
            <w:tcBorders>
              <w:top w:val="single" w:sz="4" w:space="0" w:color="C2D9BA"/>
              <w:bottom w:val="single" w:sz="4" w:space="0" w:color="C2D9BA"/>
            </w:tcBorders>
            <w:shd w:val="clear" w:color="auto" w:fill="auto"/>
          </w:tcPr>
          <w:p w14:paraId="0D1B3D54" w14:textId="77777777" w:rsidR="00E5417E" w:rsidRPr="00E44F3E" w:rsidRDefault="00E5417E" w:rsidP="0024653C">
            <w:pPr>
              <w:pStyle w:val="TableText"/>
            </w:pPr>
            <w:r w:rsidRPr="00E44F3E">
              <w:t>Azacitidine*</w:t>
            </w:r>
          </w:p>
        </w:tc>
        <w:tc>
          <w:tcPr>
            <w:tcW w:w="0" w:type="auto"/>
            <w:tcBorders>
              <w:top w:val="single" w:sz="4" w:space="0" w:color="C2D9BA"/>
              <w:bottom w:val="single" w:sz="4" w:space="0" w:color="C2D9BA"/>
            </w:tcBorders>
          </w:tcPr>
          <w:p w14:paraId="690C6C65" w14:textId="77777777" w:rsidR="00E5417E" w:rsidRPr="00E44F3E" w:rsidRDefault="00E5417E" w:rsidP="0024653C">
            <w:pPr>
              <w:pStyle w:val="TableText"/>
            </w:pPr>
            <w:r w:rsidRPr="00E44F3E">
              <w:t>Acute myeloid leukaemia (AML)</w:t>
            </w:r>
          </w:p>
        </w:tc>
        <w:tc>
          <w:tcPr>
            <w:tcW w:w="0" w:type="auto"/>
            <w:tcBorders>
              <w:top w:val="single" w:sz="4" w:space="0" w:color="C2D9BA"/>
              <w:bottom w:val="single" w:sz="4" w:space="0" w:color="C2D9BA"/>
            </w:tcBorders>
            <w:shd w:val="clear" w:color="auto" w:fill="auto"/>
          </w:tcPr>
          <w:p w14:paraId="1CA75754" w14:textId="77777777" w:rsidR="00E5417E" w:rsidRPr="00E44F3E" w:rsidRDefault="00E5417E" w:rsidP="0024653C">
            <w:pPr>
              <w:pStyle w:val="TableText"/>
            </w:pPr>
            <w:r w:rsidRPr="00E44F3E">
              <w:t>Patients who are unfit for intensive chemotherapy</w:t>
            </w:r>
          </w:p>
        </w:tc>
        <w:tc>
          <w:tcPr>
            <w:tcW w:w="0" w:type="auto"/>
            <w:tcBorders>
              <w:top w:val="single" w:sz="4" w:space="0" w:color="C2D9BA"/>
              <w:bottom w:val="single" w:sz="4" w:space="0" w:color="C2D9BA"/>
            </w:tcBorders>
            <w:shd w:val="clear" w:color="auto" w:fill="auto"/>
          </w:tcPr>
          <w:p w14:paraId="5ACDF5ED" w14:textId="77777777" w:rsidR="00E5417E" w:rsidRPr="00E44F3E" w:rsidRDefault="00E5417E" w:rsidP="0024653C">
            <w:pPr>
              <w:pStyle w:val="TableText"/>
              <w:jc w:val="center"/>
            </w:pPr>
            <w:r w:rsidRPr="00E44F3E">
              <w:t>Oral tablet</w:t>
            </w:r>
          </w:p>
        </w:tc>
        <w:tc>
          <w:tcPr>
            <w:tcW w:w="0" w:type="auto"/>
            <w:tcBorders>
              <w:top w:val="single" w:sz="4" w:space="0" w:color="C2D9BA"/>
              <w:bottom w:val="single" w:sz="4" w:space="0" w:color="C2D9BA"/>
            </w:tcBorders>
          </w:tcPr>
          <w:p w14:paraId="2A6058B8" w14:textId="77777777" w:rsidR="00E5417E" w:rsidRPr="00E44F3E" w:rsidRDefault="00E5417E" w:rsidP="0024653C">
            <w:pPr>
              <w:pStyle w:val="TableText"/>
              <w:jc w:val="center"/>
            </w:pPr>
            <w:r w:rsidRPr="00E44F3E">
              <w:t>Yes</w:t>
            </w:r>
          </w:p>
        </w:tc>
        <w:tc>
          <w:tcPr>
            <w:tcW w:w="0" w:type="auto"/>
            <w:tcBorders>
              <w:top w:val="single" w:sz="4" w:space="0" w:color="C2D9BA"/>
              <w:bottom w:val="single" w:sz="4" w:space="0" w:color="C2D9BA"/>
            </w:tcBorders>
          </w:tcPr>
          <w:p w14:paraId="4D385998" w14:textId="77777777" w:rsidR="00E5417E" w:rsidRPr="00E44F3E" w:rsidRDefault="00E5417E" w:rsidP="0024653C">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05D1F264" w14:textId="77777777" w:rsidR="00E5417E" w:rsidRPr="00E44F3E" w:rsidRDefault="00E5417E" w:rsidP="0024653C">
            <w:pPr>
              <w:pStyle w:val="TableText"/>
              <w:jc w:val="center"/>
            </w:pPr>
            <w:r w:rsidRPr="00E44F3E">
              <w:t>No</w:t>
            </w:r>
          </w:p>
        </w:tc>
      </w:tr>
      <w:tr w:rsidR="00E5417E" w:rsidRPr="00E44F3E" w14:paraId="104A0CBC" w14:textId="77777777" w:rsidTr="0024653C">
        <w:trPr>
          <w:cantSplit/>
          <w:trHeight w:val="20"/>
        </w:trPr>
        <w:tc>
          <w:tcPr>
            <w:tcW w:w="0" w:type="auto"/>
            <w:tcBorders>
              <w:top w:val="single" w:sz="4" w:space="0" w:color="C2D9BA"/>
              <w:bottom w:val="single" w:sz="4" w:space="0" w:color="C2D9BA"/>
            </w:tcBorders>
          </w:tcPr>
          <w:p w14:paraId="2F0E8D03" w14:textId="77777777" w:rsidR="00E5417E" w:rsidRPr="00E44F3E" w:rsidRDefault="00E5417E" w:rsidP="0024653C">
            <w:pPr>
              <w:pStyle w:val="TableText"/>
              <w:jc w:val="center"/>
              <w:rPr>
                <w:b/>
                <w:bCs/>
              </w:rPr>
            </w:pPr>
            <w:r w:rsidRPr="00E44F3E">
              <w:rPr>
                <w:b/>
                <w:bCs/>
              </w:rPr>
              <w:lastRenderedPageBreak/>
              <w:t>4</w:t>
            </w:r>
          </w:p>
          <w:p w14:paraId="5C4467F5"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475500DD" w14:textId="77777777" w:rsidR="00E5417E" w:rsidRPr="00E44F3E" w:rsidRDefault="00E5417E" w:rsidP="0024653C">
            <w:pPr>
              <w:pStyle w:val="TableText"/>
            </w:pPr>
            <w:r w:rsidRPr="00E44F3E">
              <w:t xml:space="preserve">Acalabrutinib, </w:t>
            </w:r>
            <w:r>
              <w:t>i</w:t>
            </w:r>
            <w:r w:rsidRPr="00E44F3E">
              <w:t xml:space="preserve">brutinib or </w:t>
            </w:r>
            <w:proofErr w:type="spellStart"/>
            <w:r w:rsidRPr="00E44F3E">
              <w:t>zanubrutinib</w:t>
            </w:r>
            <w:proofErr w:type="spellEnd"/>
            <w:r w:rsidRPr="00E44F3E">
              <w:rPr>
                <w:vertAlign w:val="superscript"/>
              </w:rPr>
              <w:t>‡</w:t>
            </w:r>
          </w:p>
        </w:tc>
        <w:tc>
          <w:tcPr>
            <w:tcW w:w="0" w:type="auto"/>
            <w:tcBorders>
              <w:top w:val="single" w:sz="4" w:space="0" w:color="C2D9BA"/>
              <w:bottom w:val="single" w:sz="4" w:space="0" w:color="C2D9BA"/>
            </w:tcBorders>
            <w:shd w:val="clear" w:color="auto" w:fill="auto"/>
          </w:tcPr>
          <w:p w14:paraId="230EF67A" w14:textId="77777777" w:rsidR="00E5417E" w:rsidRPr="00E44F3E" w:rsidRDefault="00E5417E" w:rsidP="0024653C">
            <w:pPr>
              <w:pStyle w:val="TableText"/>
            </w:pPr>
            <w:r w:rsidRPr="00E44F3E">
              <w:t>Monotherapy</w:t>
            </w:r>
          </w:p>
        </w:tc>
        <w:tc>
          <w:tcPr>
            <w:tcW w:w="0" w:type="auto"/>
            <w:tcBorders>
              <w:top w:val="single" w:sz="4" w:space="0" w:color="C2D9BA"/>
              <w:bottom w:val="single" w:sz="4" w:space="0" w:color="C2D9BA"/>
            </w:tcBorders>
          </w:tcPr>
          <w:p w14:paraId="10127825" w14:textId="77777777" w:rsidR="00E5417E" w:rsidRPr="00E44F3E" w:rsidRDefault="00E5417E" w:rsidP="0024653C">
            <w:pPr>
              <w:pStyle w:val="TableText"/>
            </w:pPr>
            <w:r w:rsidRPr="00E44F3E">
              <w:t>Mantle cell lymphoma</w:t>
            </w:r>
            <w:r>
              <w:t xml:space="preserve"> </w:t>
            </w:r>
            <w:r w:rsidRPr="00E44F3E">
              <w:t>(MCL)</w:t>
            </w:r>
          </w:p>
        </w:tc>
        <w:tc>
          <w:tcPr>
            <w:tcW w:w="0" w:type="auto"/>
            <w:tcBorders>
              <w:top w:val="single" w:sz="4" w:space="0" w:color="C2D9BA"/>
              <w:bottom w:val="single" w:sz="4" w:space="0" w:color="C2D9BA"/>
            </w:tcBorders>
            <w:shd w:val="clear" w:color="auto" w:fill="auto"/>
          </w:tcPr>
          <w:p w14:paraId="2F97E468" w14:textId="77777777" w:rsidR="00E5417E" w:rsidRPr="00E44F3E" w:rsidRDefault="00E5417E" w:rsidP="0024653C">
            <w:pPr>
              <w:pStyle w:val="TableText"/>
            </w:pPr>
            <w:r w:rsidRPr="00E44F3E">
              <w:t xml:space="preserve">Relapsed or refractory to at least one prior therapy </w:t>
            </w:r>
          </w:p>
        </w:tc>
        <w:tc>
          <w:tcPr>
            <w:tcW w:w="0" w:type="auto"/>
            <w:tcBorders>
              <w:top w:val="single" w:sz="4" w:space="0" w:color="C2D9BA"/>
              <w:bottom w:val="single" w:sz="4" w:space="0" w:color="C2D9BA"/>
            </w:tcBorders>
            <w:shd w:val="clear" w:color="auto" w:fill="auto"/>
          </w:tcPr>
          <w:p w14:paraId="71222FC3" w14:textId="77777777" w:rsidR="00E5417E" w:rsidRPr="00E44F3E" w:rsidRDefault="00E5417E" w:rsidP="0024653C">
            <w:pPr>
              <w:pStyle w:val="TableText"/>
              <w:jc w:val="center"/>
            </w:pPr>
            <w:r w:rsidRPr="00E44F3E">
              <w:t>Oral capsule/ tablet</w:t>
            </w:r>
          </w:p>
        </w:tc>
        <w:tc>
          <w:tcPr>
            <w:tcW w:w="0" w:type="auto"/>
            <w:tcBorders>
              <w:top w:val="single" w:sz="4" w:space="0" w:color="C2D9BA"/>
              <w:bottom w:val="single" w:sz="4" w:space="0" w:color="C2D9BA"/>
            </w:tcBorders>
          </w:tcPr>
          <w:p w14:paraId="478F3EB4" w14:textId="77777777" w:rsidR="00E5417E" w:rsidRPr="00E44F3E" w:rsidRDefault="00E5417E" w:rsidP="0024653C">
            <w:pPr>
              <w:pStyle w:val="TableText"/>
              <w:jc w:val="center"/>
            </w:pPr>
            <w:r w:rsidRPr="00E44F3E">
              <w:t>Yes</w:t>
            </w:r>
          </w:p>
        </w:tc>
        <w:tc>
          <w:tcPr>
            <w:tcW w:w="0" w:type="auto"/>
            <w:tcBorders>
              <w:top w:val="single" w:sz="4" w:space="0" w:color="C2D9BA"/>
              <w:bottom w:val="single" w:sz="4" w:space="0" w:color="C2D9BA"/>
            </w:tcBorders>
          </w:tcPr>
          <w:p w14:paraId="5D656AC3" w14:textId="77777777" w:rsidR="00E5417E" w:rsidRPr="00135084" w:rsidRDefault="00E5417E" w:rsidP="0024653C">
            <w:pPr>
              <w:pStyle w:val="TableText"/>
              <w:jc w:val="center"/>
            </w:pPr>
            <w:r w:rsidRPr="00135084">
              <w:t xml:space="preserve">Acalabrutinib – </w:t>
            </w:r>
            <w:r>
              <w:t>n</w:t>
            </w:r>
            <w:r w:rsidRPr="00135084">
              <w:t xml:space="preserve">o </w:t>
            </w:r>
            <w:r>
              <w:t>a</w:t>
            </w:r>
            <w:r w:rsidRPr="00135084">
              <w:t>pplication</w:t>
            </w:r>
          </w:p>
          <w:p w14:paraId="16BD9FD9" w14:textId="77777777" w:rsidR="00E5417E" w:rsidRPr="00650975" w:rsidRDefault="00E5417E" w:rsidP="0024653C">
            <w:pPr>
              <w:pStyle w:val="TableText"/>
              <w:jc w:val="center"/>
            </w:pPr>
            <w:r w:rsidRPr="00135084">
              <w:t>Ibrutinib</w:t>
            </w:r>
            <w:r w:rsidRPr="00650975">
              <w:t xml:space="preserve"> – OFI</w:t>
            </w:r>
            <w:r>
              <w:t> </w:t>
            </w:r>
            <w:r w:rsidRPr="00650975">
              <w:t>list</w:t>
            </w:r>
          </w:p>
          <w:p w14:paraId="03A9F59E" w14:textId="77777777" w:rsidR="00E5417E" w:rsidRDefault="00E5417E" w:rsidP="0024653C">
            <w:pPr>
              <w:pStyle w:val="TableText"/>
              <w:jc w:val="center"/>
            </w:pPr>
            <w:r w:rsidRPr="00135084">
              <w:t xml:space="preserve">Zanubrutinib – </w:t>
            </w:r>
          </w:p>
          <w:p w14:paraId="2A406134" w14:textId="77777777" w:rsidR="00E5417E" w:rsidRPr="00E44F3E" w:rsidRDefault="00E5417E" w:rsidP="0024653C">
            <w:pPr>
              <w:pStyle w:val="TableText"/>
              <w:jc w:val="center"/>
            </w:pPr>
            <w:r>
              <w:t xml:space="preserve">OFI list </w:t>
            </w:r>
          </w:p>
        </w:tc>
        <w:tc>
          <w:tcPr>
            <w:tcW w:w="0" w:type="auto"/>
            <w:tcBorders>
              <w:top w:val="single" w:sz="4" w:space="0" w:color="C2D9BA"/>
              <w:bottom w:val="single" w:sz="4" w:space="0" w:color="C2D9BA"/>
            </w:tcBorders>
          </w:tcPr>
          <w:p w14:paraId="02DDC137" w14:textId="77777777" w:rsidR="00E5417E" w:rsidRPr="00E44F3E" w:rsidRDefault="00E5417E" w:rsidP="0024653C">
            <w:pPr>
              <w:pStyle w:val="TableText"/>
              <w:jc w:val="center"/>
            </w:pPr>
            <w:r w:rsidRPr="00E44F3E">
              <w:t>Yes</w:t>
            </w:r>
          </w:p>
        </w:tc>
      </w:tr>
      <w:tr w:rsidR="00E5417E" w:rsidRPr="00E44F3E" w14:paraId="0C6270EB" w14:textId="77777777" w:rsidTr="0024653C">
        <w:trPr>
          <w:cantSplit/>
          <w:trHeight w:val="20"/>
        </w:trPr>
        <w:tc>
          <w:tcPr>
            <w:tcW w:w="0" w:type="auto"/>
            <w:tcBorders>
              <w:top w:val="single" w:sz="4" w:space="0" w:color="C2D9BA"/>
              <w:bottom w:val="single" w:sz="4" w:space="0" w:color="C2D9BA"/>
            </w:tcBorders>
          </w:tcPr>
          <w:p w14:paraId="03D75328" w14:textId="77777777" w:rsidR="00E5417E" w:rsidRPr="00E44F3E" w:rsidRDefault="00E5417E" w:rsidP="0024653C">
            <w:pPr>
              <w:pStyle w:val="TableText"/>
              <w:jc w:val="center"/>
              <w:rPr>
                <w:b/>
                <w:bCs/>
              </w:rPr>
            </w:pPr>
            <w:r w:rsidRPr="00E44F3E">
              <w:rPr>
                <w:b/>
                <w:bCs/>
              </w:rPr>
              <w:t>4</w:t>
            </w:r>
          </w:p>
          <w:p w14:paraId="769DDB40"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20F12F85" w14:textId="77777777" w:rsidR="00E5417E" w:rsidRPr="00E44F3E" w:rsidRDefault="00E5417E" w:rsidP="0024653C">
            <w:pPr>
              <w:pStyle w:val="TableText"/>
              <w:rPr>
                <w:rFonts w:cs="Calibri"/>
                <w:bCs/>
                <w:color w:val="000000"/>
              </w:rPr>
            </w:pPr>
            <w:proofErr w:type="spellStart"/>
            <w:r w:rsidRPr="00E44F3E">
              <w:t>Asciminib</w:t>
            </w:r>
            <w:proofErr w:type="spellEnd"/>
          </w:p>
        </w:tc>
        <w:tc>
          <w:tcPr>
            <w:tcW w:w="0" w:type="auto"/>
            <w:tcBorders>
              <w:top w:val="single" w:sz="4" w:space="0" w:color="C2D9BA"/>
              <w:bottom w:val="single" w:sz="4" w:space="0" w:color="C2D9BA"/>
            </w:tcBorders>
            <w:shd w:val="clear" w:color="auto" w:fill="auto"/>
          </w:tcPr>
          <w:p w14:paraId="5FB8D22A" w14:textId="77777777" w:rsidR="00E5417E" w:rsidRPr="00E44F3E" w:rsidRDefault="00E5417E" w:rsidP="0024653C">
            <w:pPr>
              <w:pStyle w:val="TableText"/>
            </w:pPr>
            <w:r w:rsidRPr="00E44F3E">
              <w:t>Monotherapy</w:t>
            </w:r>
          </w:p>
        </w:tc>
        <w:tc>
          <w:tcPr>
            <w:tcW w:w="0" w:type="auto"/>
            <w:tcBorders>
              <w:top w:val="single" w:sz="4" w:space="0" w:color="C2D9BA"/>
              <w:bottom w:val="single" w:sz="4" w:space="0" w:color="C2D9BA"/>
            </w:tcBorders>
          </w:tcPr>
          <w:p w14:paraId="50636EB9" w14:textId="77777777" w:rsidR="00E5417E" w:rsidRPr="00E44F3E" w:rsidRDefault="00E5417E" w:rsidP="0024653C">
            <w:pPr>
              <w:pStyle w:val="TableText"/>
              <w:rPr>
                <w:rFonts w:cs="Calibri"/>
                <w:color w:val="000000"/>
              </w:rPr>
            </w:pPr>
            <w:bookmarkStart w:id="100" w:name="_Hlk177464373"/>
            <w:r w:rsidRPr="00E44F3E">
              <w:t>Chronic myeloid leukaemia (CML)</w:t>
            </w:r>
            <w:bookmarkEnd w:id="100"/>
          </w:p>
        </w:tc>
        <w:tc>
          <w:tcPr>
            <w:tcW w:w="0" w:type="auto"/>
            <w:tcBorders>
              <w:top w:val="single" w:sz="4" w:space="0" w:color="C2D9BA"/>
              <w:bottom w:val="single" w:sz="4" w:space="0" w:color="C2D9BA"/>
            </w:tcBorders>
            <w:shd w:val="clear" w:color="auto" w:fill="auto"/>
          </w:tcPr>
          <w:p w14:paraId="119B8467" w14:textId="77777777" w:rsidR="00E5417E" w:rsidRPr="00E44F3E" w:rsidRDefault="00E5417E" w:rsidP="0024653C">
            <w:pPr>
              <w:pStyle w:val="TableText"/>
              <w:rPr>
                <w:rFonts w:cs="Calibri"/>
                <w:color w:val="000000"/>
              </w:rPr>
            </w:pPr>
            <w:r w:rsidRPr="00E44F3E">
              <w:t>Philadelphia chromosome positive or with transcript BCR-ABL1 tyrosine kinase mutation positive without T315I mutation in chronic phase previously treated with two or more tyrosine kinase inhibitors</w:t>
            </w:r>
          </w:p>
        </w:tc>
        <w:tc>
          <w:tcPr>
            <w:tcW w:w="0" w:type="auto"/>
            <w:tcBorders>
              <w:top w:val="single" w:sz="4" w:space="0" w:color="C2D9BA"/>
              <w:bottom w:val="single" w:sz="4" w:space="0" w:color="C2D9BA"/>
            </w:tcBorders>
            <w:shd w:val="clear" w:color="auto" w:fill="auto"/>
          </w:tcPr>
          <w:p w14:paraId="16332B0D" w14:textId="77777777" w:rsidR="00E5417E" w:rsidRPr="00E44F3E" w:rsidRDefault="00E5417E" w:rsidP="0024653C">
            <w:pPr>
              <w:pStyle w:val="TableText"/>
              <w:jc w:val="center"/>
            </w:pPr>
            <w:r w:rsidRPr="00E44F3E">
              <w:t>Oral tablet</w:t>
            </w:r>
          </w:p>
        </w:tc>
        <w:tc>
          <w:tcPr>
            <w:tcW w:w="0" w:type="auto"/>
            <w:tcBorders>
              <w:top w:val="single" w:sz="4" w:space="0" w:color="C2D9BA"/>
              <w:bottom w:val="single" w:sz="4" w:space="0" w:color="C2D9BA"/>
            </w:tcBorders>
          </w:tcPr>
          <w:p w14:paraId="44075E13" w14:textId="77777777" w:rsidR="00E5417E" w:rsidRPr="00E44F3E" w:rsidRDefault="00E5417E" w:rsidP="0024653C">
            <w:pPr>
              <w:pStyle w:val="TableText"/>
              <w:jc w:val="center"/>
            </w:pPr>
            <w:r w:rsidRPr="00E44F3E">
              <w:t>No</w:t>
            </w:r>
          </w:p>
        </w:tc>
        <w:tc>
          <w:tcPr>
            <w:tcW w:w="0" w:type="auto"/>
            <w:tcBorders>
              <w:top w:val="single" w:sz="4" w:space="0" w:color="C2D9BA"/>
              <w:bottom w:val="single" w:sz="4" w:space="0" w:color="C2D9BA"/>
            </w:tcBorders>
          </w:tcPr>
          <w:p w14:paraId="69B0DC43" w14:textId="77777777" w:rsidR="00E5417E" w:rsidRPr="00E44F3E" w:rsidRDefault="00E5417E" w:rsidP="0024653C">
            <w:pPr>
              <w:pStyle w:val="TableText"/>
              <w:jc w:val="center"/>
            </w:pPr>
            <w:r>
              <w:t>Seeking clinical advice</w:t>
            </w:r>
          </w:p>
        </w:tc>
        <w:tc>
          <w:tcPr>
            <w:tcW w:w="0" w:type="auto"/>
            <w:tcBorders>
              <w:top w:val="single" w:sz="4" w:space="0" w:color="C2D9BA"/>
              <w:bottom w:val="single" w:sz="4" w:space="0" w:color="C2D9BA"/>
            </w:tcBorders>
          </w:tcPr>
          <w:p w14:paraId="40FEDC9E" w14:textId="77777777" w:rsidR="00E5417E" w:rsidRPr="00E44F3E" w:rsidRDefault="00E5417E" w:rsidP="0024653C">
            <w:pPr>
              <w:pStyle w:val="TableText"/>
              <w:jc w:val="center"/>
            </w:pPr>
            <w:r w:rsidRPr="00E44F3E">
              <w:t>No</w:t>
            </w:r>
          </w:p>
        </w:tc>
      </w:tr>
      <w:tr w:rsidR="00E5417E" w:rsidRPr="00E44F3E" w14:paraId="23F0E989" w14:textId="77777777" w:rsidTr="0024653C">
        <w:trPr>
          <w:cantSplit/>
          <w:trHeight w:val="20"/>
        </w:trPr>
        <w:tc>
          <w:tcPr>
            <w:tcW w:w="0" w:type="auto"/>
            <w:tcBorders>
              <w:top w:val="single" w:sz="4" w:space="0" w:color="C2D9BA"/>
              <w:bottom w:val="single" w:sz="4" w:space="0" w:color="C2D9BA"/>
            </w:tcBorders>
          </w:tcPr>
          <w:p w14:paraId="3792A0D8" w14:textId="77777777" w:rsidR="00E5417E" w:rsidRPr="00E44F3E" w:rsidRDefault="00E5417E" w:rsidP="0024653C">
            <w:pPr>
              <w:pStyle w:val="TableText"/>
              <w:jc w:val="center"/>
              <w:rPr>
                <w:b/>
                <w:bCs/>
              </w:rPr>
            </w:pPr>
            <w:r w:rsidRPr="00E44F3E">
              <w:rPr>
                <w:b/>
                <w:bCs/>
              </w:rPr>
              <w:t>4</w:t>
            </w:r>
          </w:p>
          <w:p w14:paraId="0F313E29"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6F2A6D81" w14:textId="77777777" w:rsidR="00E5417E" w:rsidRPr="00E44F3E" w:rsidRDefault="00E5417E" w:rsidP="0024653C">
            <w:pPr>
              <w:pStyle w:val="TableText"/>
              <w:rPr>
                <w:rFonts w:cs="Calibri"/>
                <w:bCs/>
                <w:color w:val="000000"/>
              </w:rPr>
            </w:pPr>
            <w:proofErr w:type="spellStart"/>
            <w:r w:rsidRPr="00E44F3E">
              <w:t>Gilteritinib</w:t>
            </w:r>
            <w:proofErr w:type="spellEnd"/>
          </w:p>
        </w:tc>
        <w:tc>
          <w:tcPr>
            <w:tcW w:w="0" w:type="auto"/>
            <w:tcBorders>
              <w:top w:val="single" w:sz="4" w:space="0" w:color="C2D9BA"/>
              <w:bottom w:val="single" w:sz="4" w:space="0" w:color="C2D9BA"/>
            </w:tcBorders>
            <w:shd w:val="clear" w:color="auto" w:fill="auto"/>
          </w:tcPr>
          <w:p w14:paraId="49B7DA0F" w14:textId="77777777" w:rsidR="00E5417E" w:rsidRPr="00E44F3E" w:rsidRDefault="00E5417E" w:rsidP="0024653C">
            <w:pPr>
              <w:pStyle w:val="TableText"/>
              <w:rPr>
                <w:rFonts w:cs="Calibri"/>
                <w:bCs/>
                <w:color w:val="000000"/>
              </w:rPr>
            </w:pPr>
            <w:r w:rsidRPr="00E44F3E">
              <w:t>Monotherapy</w:t>
            </w:r>
          </w:p>
        </w:tc>
        <w:tc>
          <w:tcPr>
            <w:tcW w:w="0" w:type="auto"/>
            <w:tcBorders>
              <w:top w:val="single" w:sz="4" w:space="0" w:color="C2D9BA"/>
              <w:bottom w:val="single" w:sz="4" w:space="0" w:color="C2D9BA"/>
            </w:tcBorders>
          </w:tcPr>
          <w:p w14:paraId="2D355661" w14:textId="77777777" w:rsidR="00E5417E" w:rsidRPr="00E44F3E" w:rsidRDefault="00E5417E" w:rsidP="0024653C">
            <w:pPr>
              <w:pStyle w:val="TableText"/>
              <w:rPr>
                <w:rFonts w:cs="Calibri"/>
                <w:color w:val="000000"/>
              </w:rPr>
            </w:pPr>
            <w:r w:rsidRPr="00E44F3E">
              <w:t>Acute myeloid leukaemia (AML)</w:t>
            </w:r>
          </w:p>
        </w:tc>
        <w:tc>
          <w:tcPr>
            <w:tcW w:w="0" w:type="auto"/>
            <w:tcBorders>
              <w:top w:val="single" w:sz="4" w:space="0" w:color="C2D9BA"/>
              <w:bottom w:val="single" w:sz="4" w:space="0" w:color="C2D9BA"/>
            </w:tcBorders>
            <w:shd w:val="clear" w:color="auto" w:fill="auto"/>
          </w:tcPr>
          <w:p w14:paraId="723F9469" w14:textId="77777777" w:rsidR="00E5417E" w:rsidRPr="00E44F3E" w:rsidRDefault="00E5417E" w:rsidP="0024653C">
            <w:pPr>
              <w:pStyle w:val="TableText"/>
              <w:rPr>
                <w:rFonts w:cs="Calibri"/>
                <w:color w:val="000000"/>
              </w:rPr>
            </w:pPr>
            <w:r w:rsidRPr="00E44F3E">
              <w:t>Relapsed or refractory with FLT3 ITD or TKD mutation</w:t>
            </w:r>
          </w:p>
        </w:tc>
        <w:tc>
          <w:tcPr>
            <w:tcW w:w="0" w:type="auto"/>
            <w:tcBorders>
              <w:top w:val="single" w:sz="4" w:space="0" w:color="C2D9BA"/>
              <w:bottom w:val="single" w:sz="4" w:space="0" w:color="C2D9BA"/>
            </w:tcBorders>
            <w:shd w:val="clear" w:color="auto" w:fill="auto"/>
          </w:tcPr>
          <w:p w14:paraId="0C2D83CC" w14:textId="77777777" w:rsidR="00E5417E" w:rsidRPr="00E44F3E" w:rsidRDefault="00E5417E" w:rsidP="0024653C">
            <w:pPr>
              <w:pStyle w:val="TableText"/>
              <w:jc w:val="center"/>
            </w:pPr>
            <w:r w:rsidRPr="00E44F3E">
              <w:t>Oral tablet</w:t>
            </w:r>
          </w:p>
        </w:tc>
        <w:tc>
          <w:tcPr>
            <w:tcW w:w="0" w:type="auto"/>
            <w:tcBorders>
              <w:top w:val="single" w:sz="4" w:space="0" w:color="C2D9BA"/>
              <w:bottom w:val="single" w:sz="4" w:space="0" w:color="C2D9BA"/>
            </w:tcBorders>
          </w:tcPr>
          <w:p w14:paraId="4925E221" w14:textId="77777777" w:rsidR="00E5417E" w:rsidRPr="00E44F3E" w:rsidRDefault="00E5417E" w:rsidP="0024653C">
            <w:pPr>
              <w:pStyle w:val="TableText"/>
              <w:jc w:val="center"/>
              <w:rPr>
                <w:rFonts w:cs="Calibri"/>
                <w:color w:val="000000"/>
              </w:rPr>
            </w:pPr>
            <w:r w:rsidRPr="00E44F3E">
              <w:t>No</w:t>
            </w:r>
          </w:p>
        </w:tc>
        <w:tc>
          <w:tcPr>
            <w:tcW w:w="0" w:type="auto"/>
            <w:tcBorders>
              <w:top w:val="single" w:sz="4" w:space="0" w:color="C2D9BA"/>
              <w:bottom w:val="single" w:sz="4" w:space="0" w:color="C2D9BA"/>
            </w:tcBorders>
          </w:tcPr>
          <w:p w14:paraId="4D60EE98" w14:textId="77777777" w:rsidR="00E5417E" w:rsidRPr="00E44F3E" w:rsidRDefault="00E5417E" w:rsidP="0024653C">
            <w:pPr>
              <w:pStyle w:val="TableText"/>
              <w:jc w:val="center"/>
            </w:pPr>
            <w:r w:rsidRPr="00E44F3E">
              <w:t>No application</w:t>
            </w:r>
          </w:p>
        </w:tc>
        <w:tc>
          <w:tcPr>
            <w:tcW w:w="0" w:type="auto"/>
            <w:tcBorders>
              <w:top w:val="single" w:sz="4" w:space="0" w:color="C2D9BA"/>
              <w:bottom w:val="single" w:sz="4" w:space="0" w:color="C2D9BA"/>
            </w:tcBorders>
          </w:tcPr>
          <w:p w14:paraId="1AAE188F" w14:textId="77777777" w:rsidR="00E5417E" w:rsidRPr="00E44F3E" w:rsidRDefault="00E5417E" w:rsidP="0024653C">
            <w:pPr>
              <w:pStyle w:val="TableText"/>
              <w:jc w:val="center"/>
              <w:rPr>
                <w:rFonts w:cs="Calibri"/>
                <w:color w:val="000000"/>
              </w:rPr>
            </w:pPr>
            <w:r w:rsidRPr="00E44F3E">
              <w:t>No</w:t>
            </w:r>
          </w:p>
        </w:tc>
      </w:tr>
      <w:tr w:rsidR="00E5417E" w:rsidRPr="00E44F3E" w14:paraId="1DB87231" w14:textId="77777777" w:rsidTr="0024653C">
        <w:trPr>
          <w:cantSplit/>
          <w:trHeight w:val="20"/>
        </w:trPr>
        <w:tc>
          <w:tcPr>
            <w:tcW w:w="0" w:type="auto"/>
            <w:tcBorders>
              <w:top w:val="single" w:sz="4" w:space="0" w:color="C2D9BA"/>
              <w:bottom w:val="single" w:sz="4" w:space="0" w:color="C2D9BA"/>
            </w:tcBorders>
          </w:tcPr>
          <w:p w14:paraId="6C3C0076" w14:textId="77777777" w:rsidR="00E5417E" w:rsidRPr="00E44F3E" w:rsidRDefault="00E5417E" w:rsidP="0024653C">
            <w:pPr>
              <w:pStyle w:val="TableText"/>
              <w:jc w:val="center"/>
              <w:rPr>
                <w:b/>
                <w:bCs/>
              </w:rPr>
            </w:pPr>
            <w:r w:rsidRPr="00E44F3E">
              <w:rPr>
                <w:b/>
                <w:bCs/>
              </w:rPr>
              <w:t>4</w:t>
            </w:r>
          </w:p>
          <w:p w14:paraId="54EAAAF3"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49ACFE53" w14:textId="77777777" w:rsidR="00E5417E" w:rsidRPr="00E44F3E" w:rsidRDefault="00E5417E" w:rsidP="0024653C">
            <w:pPr>
              <w:pStyle w:val="TableText"/>
            </w:pPr>
            <w:proofErr w:type="spellStart"/>
            <w:r w:rsidRPr="00E44F3E">
              <w:t>Idelalisib</w:t>
            </w:r>
            <w:proofErr w:type="spellEnd"/>
          </w:p>
        </w:tc>
        <w:tc>
          <w:tcPr>
            <w:tcW w:w="0" w:type="auto"/>
            <w:tcBorders>
              <w:top w:val="single" w:sz="4" w:space="0" w:color="C2D9BA"/>
              <w:bottom w:val="single" w:sz="4" w:space="0" w:color="C2D9BA"/>
            </w:tcBorders>
            <w:shd w:val="clear" w:color="auto" w:fill="auto"/>
          </w:tcPr>
          <w:p w14:paraId="0CA58C06" w14:textId="77777777" w:rsidR="00E5417E" w:rsidRPr="00E44F3E" w:rsidRDefault="00E5417E" w:rsidP="0024653C">
            <w:pPr>
              <w:pStyle w:val="TableText"/>
            </w:pPr>
            <w:r w:rsidRPr="00E44F3E">
              <w:t xml:space="preserve">Rituximab for 8 doses followed by monotherapy (already funded in </w:t>
            </w:r>
            <w:r>
              <w:t>Aotearoa New Zealand</w:t>
            </w:r>
            <w:r w:rsidRPr="00E44F3E">
              <w:t>)</w:t>
            </w:r>
          </w:p>
        </w:tc>
        <w:tc>
          <w:tcPr>
            <w:tcW w:w="0" w:type="auto"/>
            <w:tcBorders>
              <w:top w:val="single" w:sz="4" w:space="0" w:color="C2D9BA"/>
              <w:bottom w:val="single" w:sz="4" w:space="0" w:color="C2D9BA"/>
            </w:tcBorders>
          </w:tcPr>
          <w:p w14:paraId="45F97BCD" w14:textId="77777777" w:rsidR="00E5417E" w:rsidRPr="00E44F3E" w:rsidRDefault="00E5417E" w:rsidP="0024653C">
            <w:pPr>
              <w:pStyle w:val="TableText"/>
            </w:pPr>
            <w:bookmarkStart w:id="101" w:name="_Hlk177464354"/>
            <w:r w:rsidRPr="00E44F3E">
              <w:t xml:space="preserve">Chronic lymphocytic leukaemia (CLL) or </w:t>
            </w:r>
            <w:r>
              <w:t>s</w:t>
            </w:r>
            <w:r w:rsidRPr="00E44F3E">
              <w:t xml:space="preserve">mall </w:t>
            </w:r>
            <w:r>
              <w:t>l</w:t>
            </w:r>
            <w:r w:rsidRPr="00E44F3E">
              <w:t xml:space="preserve">ymphocytic </w:t>
            </w:r>
            <w:r>
              <w:t>l</w:t>
            </w:r>
            <w:r w:rsidRPr="00E44F3E">
              <w:t>ymphoma (SLL)</w:t>
            </w:r>
            <w:bookmarkEnd w:id="101"/>
          </w:p>
        </w:tc>
        <w:tc>
          <w:tcPr>
            <w:tcW w:w="0" w:type="auto"/>
            <w:tcBorders>
              <w:top w:val="single" w:sz="4" w:space="0" w:color="C2D9BA"/>
              <w:bottom w:val="single" w:sz="4" w:space="0" w:color="C2D9BA"/>
            </w:tcBorders>
            <w:shd w:val="clear" w:color="auto" w:fill="auto"/>
          </w:tcPr>
          <w:p w14:paraId="0F0F351A" w14:textId="77777777" w:rsidR="00E5417E" w:rsidRPr="00E44F3E" w:rsidRDefault="00E5417E" w:rsidP="0024653C">
            <w:pPr>
              <w:pStyle w:val="TableText"/>
            </w:pPr>
            <w:r w:rsidRPr="00E44F3E">
              <w:rPr>
                <w:rFonts w:cs="Calibri"/>
                <w:color w:val="000000"/>
              </w:rPr>
              <w:t>Relapsed or refractory to at least one prior therapy, CD20-positive</w:t>
            </w:r>
          </w:p>
        </w:tc>
        <w:tc>
          <w:tcPr>
            <w:tcW w:w="0" w:type="auto"/>
            <w:tcBorders>
              <w:top w:val="single" w:sz="4" w:space="0" w:color="C2D9BA"/>
              <w:bottom w:val="single" w:sz="4" w:space="0" w:color="C2D9BA"/>
            </w:tcBorders>
            <w:shd w:val="clear" w:color="auto" w:fill="auto"/>
          </w:tcPr>
          <w:p w14:paraId="5574E0D0" w14:textId="77777777" w:rsidR="00E5417E" w:rsidRPr="00E44F3E" w:rsidRDefault="00E5417E" w:rsidP="0024653C">
            <w:pPr>
              <w:pStyle w:val="TableText"/>
              <w:jc w:val="center"/>
            </w:pPr>
            <w:r w:rsidRPr="00E44F3E">
              <w:t>Oral tablet</w:t>
            </w:r>
          </w:p>
        </w:tc>
        <w:tc>
          <w:tcPr>
            <w:tcW w:w="0" w:type="auto"/>
            <w:tcBorders>
              <w:top w:val="single" w:sz="4" w:space="0" w:color="C2D9BA"/>
              <w:bottom w:val="single" w:sz="4" w:space="0" w:color="C2D9BA"/>
            </w:tcBorders>
          </w:tcPr>
          <w:p w14:paraId="7FE17881" w14:textId="77777777" w:rsidR="00E5417E" w:rsidRPr="00E44F3E" w:rsidRDefault="00E5417E" w:rsidP="0024653C">
            <w:pPr>
              <w:pStyle w:val="TableText"/>
              <w:jc w:val="center"/>
            </w:pPr>
            <w:r w:rsidRPr="00E44F3E">
              <w:t>No</w:t>
            </w:r>
          </w:p>
        </w:tc>
        <w:tc>
          <w:tcPr>
            <w:tcW w:w="0" w:type="auto"/>
            <w:tcBorders>
              <w:top w:val="single" w:sz="4" w:space="0" w:color="C2D9BA"/>
              <w:bottom w:val="single" w:sz="4" w:space="0" w:color="C2D9BA"/>
            </w:tcBorders>
          </w:tcPr>
          <w:p w14:paraId="07D8F11E" w14:textId="77777777" w:rsidR="00E5417E" w:rsidRPr="00E44F3E" w:rsidRDefault="00E5417E" w:rsidP="0024653C">
            <w:pPr>
              <w:pStyle w:val="TableText"/>
              <w:jc w:val="center"/>
            </w:pPr>
            <w:r w:rsidRPr="00E44F3E">
              <w:t>No application</w:t>
            </w:r>
          </w:p>
        </w:tc>
        <w:tc>
          <w:tcPr>
            <w:tcW w:w="0" w:type="auto"/>
            <w:tcBorders>
              <w:top w:val="single" w:sz="4" w:space="0" w:color="C2D9BA"/>
              <w:bottom w:val="single" w:sz="4" w:space="0" w:color="C2D9BA"/>
            </w:tcBorders>
          </w:tcPr>
          <w:p w14:paraId="28A6AFF1" w14:textId="77777777" w:rsidR="00E5417E" w:rsidRPr="00E44F3E" w:rsidRDefault="00E5417E" w:rsidP="0024653C">
            <w:pPr>
              <w:pStyle w:val="TableText"/>
              <w:jc w:val="center"/>
            </w:pPr>
            <w:r w:rsidRPr="00E44F3E">
              <w:t>Yes</w:t>
            </w:r>
          </w:p>
        </w:tc>
      </w:tr>
      <w:tr w:rsidR="00E5417E" w:rsidRPr="00E44F3E" w14:paraId="1A538180" w14:textId="77777777" w:rsidTr="0024653C">
        <w:trPr>
          <w:cantSplit/>
          <w:trHeight w:val="20"/>
        </w:trPr>
        <w:tc>
          <w:tcPr>
            <w:tcW w:w="0" w:type="auto"/>
            <w:tcBorders>
              <w:top w:val="single" w:sz="4" w:space="0" w:color="C2D9BA"/>
              <w:bottom w:val="single" w:sz="4" w:space="0" w:color="C2D9BA"/>
            </w:tcBorders>
          </w:tcPr>
          <w:p w14:paraId="480179C6" w14:textId="77777777" w:rsidR="00E5417E" w:rsidRPr="00E44F3E" w:rsidRDefault="00E5417E" w:rsidP="0024653C">
            <w:pPr>
              <w:pStyle w:val="TableText"/>
              <w:jc w:val="center"/>
              <w:rPr>
                <w:b/>
                <w:bCs/>
              </w:rPr>
            </w:pPr>
            <w:r w:rsidRPr="00E44F3E">
              <w:rPr>
                <w:b/>
                <w:bCs/>
              </w:rPr>
              <w:t>4</w:t>
            </w:r>
          </w:p>
          <w:p w14:paraId="7BA96EB4"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2E08DE10" w14:textId="77777777" w:rsidR="00E5417E" w:rsidRPr="00E44F3E" w:rsidRDefault="00E5417E" w:rsidP="0024653C">
            <w:pPr>
              <w:pStyle w:val="TableText"/>
            </w:pPr>
            <w:proofErr w:type="spellStart"/>
            <w:r w:rsidRPr="00E44F3E">
              <w:t>Inotuzumab</w:t>
            </w:r>
            <w:proofErr w:type="spellEnd"/>
            <w:r w:rsidRPr="00E44F3E">
              <w:t xml:space="preserve"> </w:t>
            </w:r>
            <w:proofErr w:type="spellStart"/>
            <w:r w:rsidRPr="00E44F3E">
              <w:t>ozogamicin</w:t>
            </w:r>
            <w:proofErr w:type="spellEnd"/>
          </w:p>
        </w:tc>
        <w:tc>
          <w:tcPr>
            <w:tcW w:w="0" w:type="auto"/>
            <w:tcBorders>
              <w:top w:val="single" w:sz="4" w:space="0" w:color="C2D9BA"/>
              <w:bottom w:val="single" w:sz="4" w:space="0" w:color="C2D9BA"/>
            </w:tcBorders>
            <w:shd w:val="clear" w:color="auto" w:fill="auto"/>
          </w:tcPr>
          <w:p w14:paraId="253BCA3B" w14:textId="77777777" w:rsidR="00E5417E" w:rsidRPr="00E44F3E" w:rsidRDefault="00E5417E" w:rsidP="0024653C">
            <w:pPr>
              <w:pStyle w:val="TableText"/>
            </w:pPr>
            <w:r w:rsidRPr="00E44F3E">
              <w:t>Monotherapy</w:t>
            </w:r>
          </w:p>
        </w:tc>
        <w:tc>
          <w:tcPr>
            <w:tcW w:w="0" w:type="auto"/>
            <w:tcBorders>
              <w:top w:val="single" w:sz="4" w:space="0" w:color="C2D9BA"/>
              <w:bottom w:val="single" w:sz="4" w:space="0" w:color="C2D9BA"/>
            </w:tcBorders>
          </w:tcPr>
          <w:p w14:paraId="01C9F8AD" w14:textId="77777777" w:rsidR="00E5417E" w:rsidRPr="00E44F3E" w:rsidRDefault="00E5417E" w:rsidP="0024653C">
            <w:pPr>
              <w:pStyle w:val="TableText"/>
              <w:rPr>
                <w:rFonts w:cs="Calibri"/>
                <w:color w:val="000000"/>
              </w:rPr>
            </w:pPr>
            <w:r w:rsidRPr="00E44F3E">
              <w:t>Precursor B-cell acute lymphoblastic leukaemia (</w:t>
            </w:r>
            <w:r>
              <w:t>p</w:t>
            </w:r>
            <w:r w:rsidRPr="00E44F3E">
              <w:t>re-B</w:t>
            </w:r>
            <w:r>
              <w:noBreakHyphen/>
            </w:r>
            <w:r w:rsidRPr="00E44F3E">
              <w:t xml:space="preserve">cell ALL) </w:t>
            </w:r>
          </w:p>
        </w:tc>
        <w:tc>
          <w:tcPr>
            <w:tcW w:w="0" w:type="auto"/>
            <w:tcBorders>
              <w:top w:val="single" w:sz="4" w:space="0" w:color="C2D9BA"/>
              <w:bottom w:val="single" w:sz="4" w:space="0" w:color="C2D9BA"/>
            </w:tcBorders>
            <w:shd w:val="clear" w:color="auto" w:fill="auto"/>
          </w:tcPr>
          <w:p w14:paraId="3C55C403" w14:textId="77777777" w:rsidR="00E5417E" w:rsidRPr="00E44F3E" w:rsidRDefault="00E5417E" w:rsidP="0024653C">
            <w:pPr>
              <w:pStyle w:val="TableText"/>
              <w:rPr>
                <w:rFonts w:cs="Calibri"/>
                <w:color w:val="000000"/>
              </w:rPr>
            </w:pPr>
            <w:r w:rsidRPr="00E44F3E">
              <w:t xml:space="preserve">Relapsed or refractory B-precursor cell, CD22-positive </w:t>
            </w:r>
          </w:p>
        </w:tc>
        <w:tc>
          <w:tcPr>
            <w:tcW w:w="0" w:type="auto"/>
            <w:tcBorders>
              <w:top w:val="single" w:sz="4" w:space="0" w:color="C2D9BA"/>
              <w:bottom w:val="single" w:sz="4" w:space="0" w:color="C2D9BA"/>
            </w:tcBorders>
            <w:shd w:val="clear" w:color="auto" w:fill="auto"/>
          </w:tcPr>
          <w:p w14:paraId="414D85A7" w14:textId="77777777" w:rsidR="00E5417E" w:rsidRPr="00E44F3E" w:rsidRDefault="00E5417E" w:rsidP="0024653C">
            <w:pPr>
              <w:pStyle w:val="TableText"/>
              <w:jc w:val="center"/>
            </w:pPr>
            <w:r w:rsidRPr="00E44F3E">
              <w:t>Intravenous infusion</w:t>
            </w:r>
          </w:p>
        </w:tc>
        <w:tc>
          <w:tcPr>
            <w:tcW w:w="0" w:type="auto"/>
            <w:tcBorders>
              <w:top w:val="single" w:sz="4" w:space="0" w:color="C2D9BA"/>
              <w:bottom w:val="single" w:sz="4" w:space="0" w:color="C2D9BA"/>
            </w:tcBorders>
          </w:tcPr>
          <w:p w14:paraId="560D2AFD" w14:textId="77777777" w:rsidR="00E5417E" w:rsidRPr="00E44F3E" w:rsidRDefault="00E5417E" w:rsidP="0024653C">
            <w:pPr>
              <w:pStyle w:val="TableText"/>
              <w:jc w:val="center"/>
            </w:pPr>
            <w:r w:rsidRPr="00E44F3E">
              <w:t>No</w:t>
            </w:r>
          </w:p>
        </w:tc>
        <w:tc>
          <w:tcPr>
            <w:tcW w:w="0" w:type="auto"/>
            <w:tcBorders>
              <w:top w:val="single" w:sz="4" w:space="0" w:color="C2D9BA"/>
              <w:bottom w:val="single" w:sz="4" w:space="0" w:color="C2D9BA"/>
            </w:tcBorders>
          </w:tcPr>
          <w:p w14:paraId="52370526" w14:textId="77777777" w:rsidR="00E5417E" w:rsidRPr="00E44F3E" w:rsidRDefault="00E5417E" w:rsidP="0024653C">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23CD6975" w14:textId="77777777" w:rsidR="00E5417E" w:rsidRPr="00E44F3E" w:rsidRDefault="00E5417E" w:rsidP="0024653C">
            <w:pPr>
              <w:pStyle w:val="TableText"/>
              <w:jc w:val="center"/>
            </w:pPr>
            <w:r w:rsidRPr="00E44F3E">
              <w:t>Yes</w:t>
            </w:r>
          </w:p>
        </w:tc>
      </w:tr>
      <w:tr w:rsidR="00E5417E" w:rsidRPr="00E44F3E" w14:paraId="27D12453" w14:textId="77777777" w:rsidTr="0024653C">
        <w:trPr>
          <w:cantSplit/>
          <w:trHeight w:val="20"/>
        </w:trPr>
        <w:tc>
          <w:tcPr>
            <w:tcW w:w="0" w:type="auto"/>
            <w:tcBorders>
              <w:top w:val="single" w:sz="4" w:space="0" w:color="C2D9BA"/>
              <w:bottom w:val="single" w:sz="4" w:space="0" w:color="C2D9BA"/>
            </w:tcBorders>
          </w:tcPr>
          <w:p w14:paraId="109BD6BB" w14:textId="77777777" w:rsidR="00E5417E" w:rsidRPr="00E44F3E" w:rsidRDefault="00E5417E" w:rsidP="0024653C">
            <w:pPr>
              <w:pStyle w:val="TableText"/>
              <w:jc w:val="center"/>
              <w:rPr>
                <w:b/>
                <w:bCs/>
              </w:rPr>
            </w:pPr>
            <w:r w:rsidRPr="00E44F3E">
              <w:rPr>
                <w:b/>
                <w:bCs/>
              </w:rPr>
              <w:lastRenderedPageBreak/>
              <w:t>4</w:t>
            </w:r>
          </w:p>
          <w:p w14:paraId="4589857F"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47D33081" w14:textId="77777777" w:rsidR="00E5417E" w:rsidRPr="00E44F3E" w:rsidRDefault="00E5417E" w:rsidP="0024653C">
            <w:pPr>
              <w:pStyle w:val="TableText"/>
            </w:pPr>
            <w:r w:rsidRPr="00E44F3E">
              <w:t>Lenalidomide</w:t>
            </w:r>
          </w:p>
        </w:tc>
        <w:tc>
          <w:tcPr>
            <w:tcW w:w="0" w:type="auto"/>
            <w:tcBorders>
              <w:top w:val="single" w:sz="4" w:space="0" w:color="C2D9BA"/>
              <w:bottom w:val="single" w:sz="4" w:space="0" w:color="C2D9BA"/>
            </w:tcBorders>
            <w:shd w:val="clear" w:color="auto" w:fill="auto"/>
          </w:tcPr>
          <w:p w14:paraId="0BF896C3" w14:textId="77777777" w:rsidR="00E5417E" w:rsidRPr="00E44F3E" w:rsidRDefault="00E5417E" w:rsidP="0024653C">
            <w:pPr>
              <w:pStyle w:val="TableText"/>
            </w:pPr>
            <w:r w:rsidRPr="00E44F3E">
              <w:t xml:space="preserve">Dexamethasone with or without </w:t>
            </w:r>
            <w:r>
              <w:t>b</w:t>
            </w:r>
            <w:r w:rsidRPr="00E44F3E">
              <w:t xml:space="preserve">ortezomib </w:t>
            </w:r>
          </w:p>
        </w:tc>
        <w:tc>
          <w:tcPr>
            <w:tcW w:w="0" w:type="auto"/>
            <w:tcBorders>
              <w:top w:val="single" w:sz="4" w:space="0" w:color="C2D9BA"/>
              <w:bottom w:val="single" w:sz="4" w:space="0" w:color="C2D9BA"/>
            </w:tcBorders>
          </w:tcPr>
          <w:p w14:paraId="5ABC7EC5" w14:textId="77777777" w:rsidR="00E5417E" w:rsidRPr="00E44F3E" w:rsidRDefault="00E5417E" w:rsidP="0024653C">
            <w:pPr>
              <w:pStyle w:val="TableText"/>
              <w:rPr>
                <w:rFonts w:cs="Calibri"/>
                <w:color w:val="000000"/>
              </w:rPr>
            </w:pPr>
            <w:r w:rsidRPr="00E44F3E">
              <w:t>Multiple myeloma (MM)</w:t>
            </w:r>
          </w:p>
        </w:tc>
        <w:tc>
          <w:tcPr>
            <w:tcW w:w="0" w:type="auto"/>
            <w:tcBorders>
              <w:top w:val="single" w:sz="4" w:space="0" w:color="C2D9BA"/>
              <w:bottom w:val="single" w:sz="4" w:space="0" w:color="C2D9BA"/>
            </w:tcBorders>
            <w:shd w:val="clear" w:color="auto" w:fill="auto"/>
          </w:tcPr>
          <w:p w14:paraId="0C5833CC" w14:textId="77777777" w:rsidR="00E5417E" w:rsidRPr="00E44F3E" w:rsidRDefault="00E5417E" w:rsidP="0024653C">
            <w:pPr>
              <w:pStyle w:val="TableText"/>
              <w:rPr>
                <w:rFonts w:cs="Calibri"/>
                <w:color w:val="000000"/>
              </w:rPr>
            </w:pPr>
            <w:r w:rsidRPr="00E44F3E">
              <w:t xml:space="preserve">Newly diagnosed </w:t>
            </w:r>
          </w:p>
        </w:tc>
        <w:tc>
          <w:tcPr>
            <w:tcW w:w="0" w:type="auto"/>
            <w:tcBorders>
              <w:top w:val="single" w:sz="4" w:space="0" w:color="C2D9BA"/>
              <w:bottom w:val="single" w:sz="4" w:space="0" w:color="C2D9BA"/>
            </w:tcBorders>
            <w:shd w:val="clear" w:color="auto" w:fill="auto"/>
          </w:tcPr>
          <w:p w14:paraId="2EC7BFA0" w14:textId="77777777" w:rsidR="00E5417E" w:rsidRPr="00E44F3E" w:rsidRDefault="00E5417E" w:rsidP="0024653C">
            <w:pPr>
              <w:pStyle w:val="TableText"/>
              <w:jc w:val="center"/>
            </w:pPr>
            <w:r w:rsidRPr="00E44F3E">
              <w:t>Oral capsule/</w:t>
            </w:r>
            <w:r w:rsidRPr="00E44F3E">
              <w:br/>
              <w:t>tablet</w:t>
            </w:r>
          </w:p>
        </w:tc>
        <w:tc>
          <w:tcPr>
            <w:tcW w:w="0" w:type="auto"/>
            <w:tcBorders>
              <w:top w:val="single" w:sz="4" w:space="0" w:color="C2D9BA"/>
              <w:bottom w:val="single" w:sz="4" w:space="0" w:color="C2D9BA"/>
            </w:tcBorders>
          </w:tcPr>
          <w:p w14:paraId="400F1E8A" w14:textId="77777777" w:rsidR="00E5417E" w:rsidRPr="00E44F3E" w:rsidRDefault="00E5417E" w:rsidP="0024653C">
            <w:pPr>
              <w:pStyle w:val="TableText"/>
              <w:jc w:val="center"/>
            </w:pPr>
            <w:r w:rsidRPr="00E44F3E">
              <w:t>Yes</w:t>
            </w:r>
          </w:p>
        </w:tc>
        <w:tc>
          <w:tcPr>
            <w:tcW w:w="0" w:type="auto"/>
            <w:tcBorders>
              <w:top w:val="single" w:sz="4" w:space="0" w:color="C2D9BA"/>
              <w:bottom w:val="single" w:sz="4" w:space="0" w:color="C2D9BA"/>
            </w:tcBorders>
          </w:tcPr>
          <w:p w14:paraId="1F135D91" w14:textId="77777777" w:rsidR="00E5417E" w:rsidRPr="00E44F3E" w:rsidRDefault="00E5417E" w:rsidP="0024653C">
            <w:pPr>
              <w:pStyle w:val="TableText"/>
              <w:jc w:val="center"/>
            </w:pPr>
            <w:r>
              <w:t>F</w:t>
            </w:r>
            <w:r w:rsidRPr="00E44F3E">
              <w:t>und</w:t>
            </w:r>
            <w:r>
              <w:t>ed</w:t>
            </w:r>
            <w:r w:rsidRPr="00E44F3E">
              <w:t xml:space="preserve"> from 1</w:t>
            </w:r>
            <w:r>
              <w:t> </w:t>
            </w:r>
            <w:r w:rsidRPr="00E44F3E">
              <w:t>August 2024</w:t>
            </w:r>
          </w:p>
        </w:tc>
        <w:tc>
          <w:tcPr>
            <w:tcW w:w="0" w:type="auto"/>
            <w:tcBorders>
              <w:top w:val="single" w:sz="4" w:space="0" w:color="C2D9BA"/>
              <w:bottom w:val="single" w:sz="4" w:space="0" w:color="C2D9BA"/>
            </w:tcBorders>
          </w:tcPr>
          <w:p w14:paraId="44F93774" w14:textId="77777777" w:rsidR="00E5417E" w:rsidRPr="00E44F3E" w:rsidRDefault="00E5417E" w:rsidP="0024653C">
            <w:pPr>
              <w:pStyle w:val="TableText"/>
              <w:jc w:val="center"/>
            </w:pPr>
            <w:r w:rsidRPr="00E44F3E">
              <w:t>Yes</w:t>
            </w:r>
          </w:p>
        </w:tc>
      </w:tr>
      <w:tr w:rsidR="00E5417E" w:rsidRPr="00E44F3E" w14:paraId="1389DEF1" w14:textId="77777777" w:rsidTr="0024653C">
        <w:trPr>
          <w:cantSplit/>
          <w:trHeight w:val="20"/>
        </w:trPr>
        <w:tc>
          <w:tcPr>
            <w:tcW w:w="0" w:type="auto"/>
            <w:tcBorders>
              <w:top w:val="single" w:sz="4" w:space="0" w:color="C2D9BA"/>
              <w:bottom w:val="single" w:sz="4" w:space="0" w:color="C2D9BA"/>
            </w:tcBorders>
          </w:tcPr>
          <w:p w14:paraId="1D6B4D0F" w14:textId="77777777" w:rsidR="00E5417E" w:rsidRPr="00E44F3E" w:rsidRDefault="00E5417E" w:rsidP="0024653C">
            <w:pPr>
              <w:pStyle w:val="TableText"/>
              <w:jc w:val="center"/>
              <w:rPr>
                <w:b/>
                <w:bCs/>
              </w:rPr>
            </w:pPr>
            <w:r w:rsidRPr="00E44F3E">
              <w:rPr>
                <w:b/>
                <w:bCs/>
              </w:rPr>
              <w:t>4</w:t>
            </w:r>
          </w:p>
          <w:p w14:paraId="3878082C" w14:textId="77777777" w:rsidR="00E5417E" w:rsidRPr="00E44F3E" w:rsidRDefault="00E5417E" w:rsidP="0024653C">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6FDE6403" w14:textId="77777777" w:rsidR="00E5417E" w:rsidRPr="00E44F3E" w:rsidRDefault="00E5417E" w:rsidP="0024653C">
            <w:pPr>
              <w:pStyle w:val="TableText"/>
            </w:pPr>
            <w:r w:rsidRPr="00E44F3E">
              <w:t>Pomalidomide</w:t>
            </w:r>
          </w:p>
        </w:tc>
        <w:tc>
          <w:tcPr>
            <w:tcW w:w="0" w:type="auto"/>
            <w:tcBorders>
              <w:top w:val="single" w:sz="4" w:space="0" w:color="C2D9BA"/>
              <w:bottom w:val="single" w:sz="4" w:space="0" w:color="C2D9BA"/>
            </w:tcBorders>
            <w:shd w:val="clear" w:color="auto" w:fill="auto"/>
          </w:tcPr>
          <w:p w14:paraId="41AFB3BC" w14:textId="77777777" w:rsidR="00E5417E" w:rsidRPr="00E44F3E" w:rsidRDefault="00E5417E" w:rsidP="0024653C">
            <w:pPr>
              <w:pStyle w:val="TableText"/>
            </w:pPr>
            <w:r w:rsidRPr="00E44F3E">
              <w:t xml:space="preserve">Dexamethasone (already funded in </w:t>
            </w:r>
            <w:r>
              <w:t>Aotearoa New Zealand</w:t>
            </w:r>
            <w:r w:rsidRPr="00E44F3E">
              <w:t>)</w:t>
            </w:r>
          </w:p>
        </w:tc>
        <w:tc>
          <w:tcPr>
            <w:tcW w:w="0" w:type="auto"/>
            <w:tcBorders>
              <w:top w:val="single" w:sz="4" w:space="0" w:color="C2D9BA"/>
              <w:bottom w:val="single" w:sz="4" w:space="0" w:color="C2D9BA"/>
            </w:tcBorders>
          </w:tcPr>
          <w:p w14:paraId="0C8F1BD3" w14:textId="77777777" w:rsidR="00E5417E" w:rsidRPr="00E44F3E" w:rsidRDefault="00E5417E" w:rsidP="0024653C">
            <w:pPr>
              <w:pStyle w:val="TableText"/>
            </w:pPr>
            <w:bookmarkStart w:id="102" w:name="_Hlk177464458"/>
            <w:r w:rsidRPr="00E44F3E">
              <w:t>Multiple myeloma (MM)</w:t>
            </w:r>
            <w:bookmarkEnd w:id="102"/>
          </w:p>
        </w:tc>
        <w:tc>
          <w:tcPr>
            <w:tcW w:w="0" w:type="auto"/>
            <w:tcBorders>
              <w:top w:val="single" w:sz="4" w:space="0" w:color="C2D9BA"/>
              <w:bottom w:val="single" w:sz="4" w:space="0" w:color="C2D9BA"/>
            </w:tcBorders>
            <w:shd w:val="clear" w:color="auto" w:fill="auto"/>
          </w:tcPr>
          <w:p w14:paraId="692B3009" w14:textId="77777777" w:rsidR="00E5417E" w:rsidRPr="00E44F3E" w:rsidRDefault="00E5417E" w:rsidP="0024653C">
            <w:pPr>
              <w:pStyle w:val="TableText"/>
            </w:pPr>
            <w:r w:rsidRPr="00E44F3E">
              <w:t>Relapsed or refractory third</w:t>
            </w:r>
            <w:r>
              <w:t>-</w:t>
            </w:r>
            <w:r w:rsidRPr="00E44F3E">
              <w:t>line treatment</w:t>
            </w:r>
          </w:p>
        </w:tc>
        <w:tc>
          <w:tcPr>
            <w:tcW w:w="0" w:type="auto"/>
            <w:tcBorders>
              <w:top w:val="single" w:sz="4" w:space="0" w:color="C2D9BA"/>
              <w:bottom w:val="single" w:sz="4" w:space="0" w:color="C2D9BA"/>
            </w:tcBorders>
            <w:shd w:val="clear" w:color="auto" w:fill="auto"/>
          </w:tcPr>
          <w:p w14:paraId="38DEC6ED" w14:textId="77777777" w:rsidR="00E5417E" w:rsidRPr="00E44F3E" w:rsidRDefault="00E5417E" w:rsidP="0024653C">
            <w:pPr>
              <w:pStyle w:val="TableText"/>
              <w:jc w:val="center"/>
            </w:pPr>
            <w:r w:rsidRPr="00E44F3E">
              <w:t>Oral capsule</w:t>
            </w:r>
          </w:p>
        </w:tc>
        <w:tc>
          <w:tcPr>
            <w:tcW w:w="0" w:type="auto"/>
            <w:tcBorders>
              <w:top w:val="single" w:sz="4" w:space="0" w:color="C2D9BA"/>
              <w:bottom w:val="single" w:sz="4" w:space="0" w:color="C2D9BA"/>
            </w:tcBorders>
          </w:tcPr>
          <w:p w14:paraId="55823D06" w14:textId="77777777" w:rsidR="00E5417E" w:rsidRPr="00E44F3E" w:rsidRDefault="00E5417E" w:rsidP="0024653C">
            <w:pPr>
              <w:pStyle w:val="TableText"/>
              <w:jc w:val="center"/>
            </w:pPr>
            <w:r w:rsidRPr="00E44F3E">
              <w:t>No</w:t>
            </w:r>
          </w:p>
        </w:tc>
        <w:tc>
          <w:tcPr>
            <w:tcW w:w="0" w:type="auto"/>
            <w:tcBorders>
              <w:top w:val="single" w:sz="4" w:space="0" w:color="C2D9BA"/>
              <w:bottom w:val="single" w:sz="4" w:space="0" w:color="C2D9BA"/>
            </w:tcBorders>
          </w:tcPr>
          <w:p w14:paraId="006C0199" w14:textId="77777777" w:rsidR="00E5417E" w:rsidRPr="00E44F3E" w:rsidRDefault="00E5417E" w:rsidP="0024653C">
            <w:pPr>
              <w:pStyle w:val="TableText"/>
              <w:jc w:val="center"/>
            </w:pPr>
            <w:r>
              <w:t>F</w:t>
            </w:r>
            <w:r w:rsidRPr="00E44F3E">
              <w:t>und</w:t>
            </w:r>
            <w:r>
              <w:t>ed</w:t>
            </w:r>
            <w:r w:rsidRPr="00E44F3E">
              <w:t xml:space="preserve"> from 1</w:t>
            </w:r>
            <w:r>
              <w:t> </w:t>
            </w:r>
            <w:r w:rsidRPr="00E44F3E">
              <w:t>August 2024</w:t>
            </w:r>
          </w:p>
        </w:tc>
        <w:tc>
          <w:tcPr>
            <w:tcW w:w="0" w:type="auto"/>
            <w:tcBorders>
              <w:top w:val="single" w:sz="4" w:space="0" w:color="C2D9BA"/>
              <w:bottom w:val="single" w:sz="4" w:space="0" w:color="C2D9BA"/>
            </w:tcBorders>
          </w:tcPr>
          <w:p w14:paraId="4A860C12" w14:textId="77777777" w:rsidR="00E5417E" w:rsidRPr="00E44F3E" w:rsidRDefault="00E5417E" w:rsidP="0024653C">
            <w:pPr>
              <w:pStyle w:val="TableText"/>
              <w:jc w:val="center"/>
            </w:pPr>
            <w:r w:rsidRPr="00E44F3E">
              <w:t>Yes</w:t>
            </w:r>
          </w:p>
        </w:tc>
      </w:tr>
    </w:tbl>
    <w:p w14:paraId="11640A84" w14:textId="256C8473" w:rsidR="00D97390" w:rsidRPr="00E44F3E" w:rsidRDefault="00D97390" w:rsidP="00EB0A8D">
      <w:pPr>
        <w:pStyle w:val="Note"/>
      </w:pPr>
      <w:r w:rsidRPr="00E44F3E">
        <w:t xml:space="preserve">Note: a score of A or B </w:t>
      </w:r>
      <w:r w:rsidR="006B0A66">
        <w:t>indicates</w:t>
      </w:r>
      <w:r w:rsidR="006B0A66" w:rsidRPr="00E44F3E">
        <w:t xml:space="preserve"> </w:t>
      </w:r>
      <w:r w:rsidRPr="00E44F3E">
        <w:t xml:space="preserve">curative, a score of </w:t>
      </w:r>
      <w:r w:rsidR="006B0A66">
        <w:t>5</w:t>
      </w:r>
      <w:r w:rsidRPr="00E44F3E">
        <w:t xml:space="preserve"> or </w:t>
      </w:r>
      <w:r w:rsidR="006B0A66">
        <w:t>4</w:t>
      </w:r>
      <w:r w:rsidRPr="00E44F3E">
        <w:t xml:space="preserve"> </w:t>
      </w:r>
      <w:r w:rsidR="006B0A66">
        <w:t>indicates</w:t>
      </w:r>
      <w:r w:rsidRPr="00E44F3E">
        <w:t xml:space="preserve"> substantial clinical benefit but not curative</w:t>
      </w:r>
      <w:r w:rsidR="00201EC6">
        <w:t>.</w:t>
      </w:r>
      <w:r w:rsidRPr="00E44F3E">
        <w:t xml:space="preserve"> </w:t>
      </w:r>
    </w:p>
    <w:p w14:paraId="73B00E1C" w14:textId="44A246DB" w:rsidR="00D444BE" w:rsidRPr="00126E8E" w:rsidRDefault="00D444BE" w:rsidP="00EB0A8D">
      <w:pPr>
        <w:pStyle w:val="Note"/>
      </w:pPr>
      <w:r w:rsidRPr="00126E8E">
        <w:t>*</w:t>
      </w:r>
      <w:r w:rsidR="00D97390" w:rsidRPr="00126E8E">
        <w:tab/>
      </w:r>
      <w:r w:rsidRPr="00126E8E">
        <w:t>Represents a regimen</w:t>
      </w:r>
      <w:r w:rsidR="00DC5AE3">
        <w:t xml:space="preserve">-indication </w:t>
      </w:r>
      <w:r w:rsidRPr="00126E8E">
        <w:t>pair – where more than one medicine is taken as part of the same treatment, and both would need to be funded to close the gap.</w:t>
      </w:r>
    </w:p>
    <w:p w14:paraId="441A47C6" w14:textId="01793736" w:rsidR="00D444BE" w:rsidRPr="00126E8E" w:rsidRDefault="00492973" w:rsidP="00EB0A8D">
      <w:pPr>
        <w:pStyle w:val="Note"/>
      </w:pPr>
      <w:r w:rsidRPr="00126E8E">
        <w:t>†</w:t>
      </w:r>
      <w:r w:rsidR="00D97390" w:rsidRPr="00126E8E">
        <w:tab/>
      </w:r>
      <w:r w:rsidR="00D444BE" w:rsidRPr="00126E8E">
        <w:t xml:space="preserve">Status as of May 2024. The status of medicine applications at Pharmac is constantly being progressed and updated. Please refer to </w:t>
      </w:r>
      <w:proofErr w:type="spellStart"/>
      <w:r w:rsidR="00D444BE" w:rsidRPr="00126E8E">
        <w:t>Pharmac’s</w:t>
      </w:r>
      <w:proofErr w:type="spellEnd"/>
      <w:r w:rsidR="00D444BE" w:rsidRPr="00126E8E">
        <w:t xml:space="preserve"> Application Tracker</w:t>
      </w:r>
      <w:r w:rsidR="002317A1">
        <w:t xml:space="preserve"> </w:t>
      </w:r>
      <w:r w:rsidR="004633B9">
        <w:t>(</w:t>
      </w:r>
      <w:hyperlink r:id="rId55" w:history="1">
        <w:r w:rsidR="004633B9" w:rsidRPr="00F216A7">
          <w:rPr>
            <w:rStyle w:val="Hyperlink"/>
          </w:rPr>
          <w:t>connect.pharmac.govt.nz/</w:t>
        </w:r>
        <w:proofErr w:type="spellStart"/>
        <w:r w:rsidR="004633B9" w:rsidRPr="00F216A7">
          <w:rPr>
            <w:rStyle w:val="Hyperlink"/>
          </w:rPr>
          <w:t>apptracker</w:t>
        </w:r>
        <w:proofErr w:type="spellEnd"/>
      </w:hyperlink>
      <w:r w:rsidR="004633B9">
        <w:t xml:space="preserve">) </w:t>
      </w:r>
      <w:r w:rsidR="00D444BE" w:rsidRPr="00126E8E">
        <w:t>for up</w:t>
      </w:r>
      <w:r w:rsidR="00907B7B">
        <w:t>-</w:t>
      </w:r>
      <w:r w:rsidR="00D444BE" w:rsidRPr="00126E8E">
        <w:t>to</w:t>
      </w:r>
      <w:r w:rsidR="00907B7B">
        <w:t>-</w:t>
      </w:r>
      <w:r w:rsidR="00D444BE" w:rsidRPr="00126E8E">
        <w:t>date information on a medicine application.</w:t>
      </w:r>
    </w:p>
    <w:p w14:paraId="69934D89" w14:textId="35FA7EBB" w:rsidR="00B82119" w:rsidRPr="00126E8E" w:rsidRDefault="00004402" w:rsidP="00EB0A8D">
      <w:pPr>
        <w:pStyle w:val="Note"/>
      </w:pPr>
      <w:r w:rsidRPr="00126E8E">
        <w:t>‡</w:t>
      </w:r>
      <w:r w:rsidR="00D97390" w:rsidRPr="00126E8E">
        <w:tab/>
      </w:r>
      <w:r w:rsidR="00D444BE" w:rsidRPr="00126E8E">
        <w:t xml:space="preserve">Medicines that are part of the </w:t>
      </w:r>
      <w:r w:rsidR="00D70A96" w:rsidRPr="00126E8E">
        <w:t>Bruton</w:t>
      </w:r>
      <w:r w:rsidR="00D70A96">
        <w:t>’s</w:t>
      </w:r>
      <w:r w:rsidR="00D444BE" w:rsidRPr="00126E8E">
        <w:t xml:space="preserve"> tyrosine kinase (BTK) inhibitors medicine class – only one medicine from the medicine classes would need to be funded to close the identified gap. </w:t>
      </w:r>
      <w:r w:rsidR="006B0A66">
        <w:t xml:space="preserve">The </w:t>
      </w:r>
      <w:r w:rsidR="00D444BE" w:rsidRPr="00126E8E">
        <w:t>ESMO-MCBS:H score reflects the highest score of the medicines scored in the class. Differences in ESMO-MCBS:H score are likely due to differences in trial design, follow-up periods and available data.</w:t>
      </w:r>
    </w:p>
    <w:p w14:paraId="070D4C17" w14:textId="77777777" w:rsidR="00B82119" w:rsidRPr="00E44F3E" w:rsidRDefault="00B82119" w:rsidP="0051762A"/>
    <w:p w14:paraId="49D8E2C8" w14:textId="77777777" w:rsidR="00B82119" w:rsidRPr="00E44F3E" w:rsidRDefault="00B82119" w:rsidP="0051762A">
      <w:pPr>
        <w:sectPr w:rsidR="00B82119" w:rsidRPr="00E44F3E" w:rsidSect="00D444BE">
          <w:headerReference w:type="even" r:id="rId56"/>
          <w:headerReference w:type="default" r:id="rId57"/>
          <w:footerReference w:type="even" r:id="rId58"/>
          <w:footerReference w:type="default" r:id="rId59"/>
          <w:headerReference w:type="first" r:id="rId60"/>
          <w:pgSz w:w="16834" w:h="11907" w:orient="landscape" w:code="9"/>
          <w:pgMar w:top="1418" w:right="1418" w:bottom="1418" w:left="1418" w:header="284" w:footer="425" w:gutter="284"/>
          <w:cols w:space="720"/>
          <w:docGrid w:linePitch="286"/>
        </w:sectPr>
      </w:pPr>
    </w:p>
    <w:p w14:paraId="67DB38AE" w14:textId="77777777" w:rsidR="001376F7" w:rsidRPr="00E44F3E" w:rsidRDefault="001376F7" w:rsidP="001376F7">
      <w:pPr>
        <w:pStyle w:val="Heading2"/>
      </w:pPr>
      <w:bookmarkStart w:id="103" w:name="_Toc180062114"/>
      <w:r w:rsidRPr="00E44F3E">
        <w:lastRenderedPageBreak/>
        <w:t>Gaps associated with substantial clinical benefit – by cancer type: Leukaemia</w:t>
      </w:r>
      <w:bookmarkEnd w:id="103"/>
      <w:r w:rsidRPr="00E44F3E">
        <w:t xml:space="preserve"> </w:t>
      </w:r>
    </w:p>
    <w:p w14:paraId="601A46C6" w14:textId="3AF1B430" w:rsidR="001376F7" w:rsidRPr="00E44F3E" w:rsidRDefault="001376F7" w:rsidP="001376F7">
      <w:r w:rsidRPr="00313C8C">
        <w:t>Eight</w:t>
      </w:r>
      <w:r w:rsidRPr="00E44F3E">
        <w:t xml:space="preserve"> regimen</w:t>
      </w:r>
      <w:r w:rsidR="00DC5AE3">
        <w:t>-indication</w:t>
      </w:r>
      <w:r w:rsidRPr="00E44F3E">
        <w:t xml:space="preserve"> </w:t>
      </w:r>
      <w:r w:rsidR="00B3455C">
        <w:t xml:space="preserve">pair </w:t>
      </w:r>
      <w:r w:rsidRPr="00E44F3E">
        <w:t>gaps of substantial clinical benefit were for the group of blood cancers called leukaemia</w:t>
      </w:r>
      <w:r w:rsidR="007E0583">
        <w:t xml:space="preserve"> (</w:t>
      </w:r>
      <w:r w:rsidR="007E0583">
        <w:fldChar w:fldCharType="begin"/>
      </w:r>
      <w:r w:rsidR="007E0583">
        <w:instrText xml:space="preserve"> REF _Ref101276144 \h </w:instrText>
      </w:r>
      <w:r w:rsidR="007E0583">
        <w:fldChar w:fldCharType="separate"/>
      </w:r>
      <w:r w:rsidR="004A6DF6" w:rsidRPr="00E44F3E">
        <w:t xml:space="preserve">Table </w:t>
      </w:r>
      <w:r w:rsidR="004A6DF6">
        <w:rPr>
          <w:noProof/>
        </w:rPr>
        <w:t>5</w:t>
      </w:r>
      <w:r w:rsidR="007E0583">
        <w:fldChar w:fldCharType="end"/>
      </w:r>
      <w:r w:rsidR="007E0583">
        <w:t>)</w:t>
      </w:r>
      <w:r w:rsidRPr="00E44F3E">
        <w:t xml:space="preserve">. </w:t>
      </w:r>
      <w:r w:rsidR="002C1999">
        <w:t>Six</w:t>
      </w:r>
      <w:r w:rsidR="002C1999" w:rsidRPr="00E44F3E">
        <w:t xml:space="preserve"> </w:t>
      </w:r>
      <w:r w:rsidRPr="00E44F3E">
        <w:t>of the identified gaps were determined to be providing benefit in a non-curative setting</w:t>
      </w:r>
      <w:r w:rsidR="002C1999">
        <w:t>, and t</w:t>
      </w:r>
      <w:r w:rsidRPr="00E44F3E">
        <w:t xml:space="preserve">wo of the identified gaps were determined to be providing benefit in a curative setting. </w:t>
      </w:r>
    </w:p>
    <w:p w14:paraId="6E864A34" w14:textId="77777777" w:rsidR="001376F7" w:rsidRPr="00E44F3E" w:rsidRDefault="001376F7" w:rsidP="001376F7"/>
    <w:p w14:paraId="6B19F26B" w14:textId="0CABAB18" w:rsidR="001376F7" w:rsidRPr="00E44F3E" w:rsidRDefault="001376F7" w:rsidP="001376F7">
      <w:pPr>
        <w:pStyle w:val="Table"/>
        <w:keepLines/>
      </w:pPr>
      <w:bookmarkStart w:id="104" w:name="Table_3"/>
      <w:bookmarkStart w:id="105" w:name="_Ref101276144"/>
      <w:bookmarkStart w:id="106" w:name="_Toc175241595"/>
      <w:bookmarkStart w:id="107" w:name="_Toc180142291"/>
      <w:bookmarkEnd w:id="104"/>
      <w:r w:rsidRPr="00E44F3E">
        <w:t xml:space="preserve">Table </w:t>
      </w:r>
      <w:r w:rsidR="00D97615">
        <w:fldChar w:fldCharType="begin"/>
      </w:r>
      <w:r w:rsidR="00D97615">
        <w:instrText xml:space="preserve"> SEQ Table \* ARABIC </w:instrText>
      </w:r>
      <w:r w:rsidR="00D97615">
        <w:fldChar w:fldCharType="separate"/>
      </w:r>
      <w:r w:rsidR="004A6DF6">
        <w:rPr>
          <w:noProof/>
        </w:rPr>
        <w:t>5</w:t>
      </w:r>
      <w:r w:rsidR="00D97615">
        <w:rPr>
          <w:noProof/>
        </w:rPr>
        <w:fldChar w:fldCharType="end"/>
      </w:r>
      <w:bookmarkEnd w:id="105"/>
      <w:r w:rsidRPr="00E44F3E">
        <w:t>: Substantial clinical benefit gaps in leukaemia</w:t>
      </w:r>
      <w:bookmarkEnd w:id="106"/>
      <w:bookmarkEnd w:id="107"/>
      <w:r w:rsidRPr="00E44F3E">
        <w:t xml:space="preserve"> </w:t>
      </w:r>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386"/>
        <w:gridCol w:w="1457"/>
        <w:gridCol w:w="1944"/>
        <w:gridCol w:w="925"/>
        <w:gridCol w:w="1406"/>
        <w:gridCol w:w="961"/>
      </w:tblGrid>
      <w:tr w:rsidR="00367AA3" w:rsidRPr="00E44F3E" w14:paraId="4DB0CEF3" w14:textId="77777777" w:rsidTr="008E1231">
        <w:trPr>
          <w:cantSplit/>
          <w:trHeight w:val="519"/>
          <w:tblHeader/>
        </w:trPr>
        <w:tc>
          <w:tcPr>
            <w:tcW w:w="0" w:type="auto"/>
            <w:tcBorders>
              <w:top w:val="nil"/>
              <w:bottom w:val="nil"/>
            </w:tcBorders>
            <w:shd w:val="clear" w:color="auto" w:fill="C2D9BA"/>
            <w:vAlign w:val="center"/>
          </w:tcPr>
          <w:p w14:paraId="5D75E091" w14:textId="77777777" w:rsidR="001376F7" w:rsidRPr="00E44F3E" w:rsidRDefault="001376F7">
            <w:pPr>
              <w:pStyle w:val="TableText"/>
              <w:rPr>
                <w:b/>
                <w:bCs/>
                <w:szCs w:val="18"/>
              </w:rPr>
            </w:pPr>
            <w:r w:rsidRPr="00E44F3E">
              <w:rPr>
                <w:b/>
                <w:bCs/>
              </w:rPr>
              <w:t>Medicine name</w:t>
            </w:r>
          </w:p>
        </w:tc>
        <w:tc>
          <w:tcPr>
            <w:tcW w:w="0" w:type="auto"/>
            <w:tcBorders>
              <w:top w:val="nil"/>
              <w:bottom w:val="nil"/>
            </w:tcBorders>
            <w:shd w:val="clear" w:color="auto" w:fill="C2D9BA"/>
            <w:vAlign w:val="center"/>
          </w:tcPr>
          <w:p w14:paraId="0E34F185" w14:textId="7DFB0935" w:rsidR="001376F7" w:rsidRPr="00E44F3E" w:rsidRDefault="001376F7">
            <w:pPr>
              <w:pStyle w:val="TableText"/>
              <w:rPr>
                <w:b/>
                <w:bCs/>
                <w:szCs w:val="18"/>
              </w:rPr>
            </w:pPr>
            <w:r w:rsidRPr="00E44F3E">
              <w:rPr>
                <w:b/>
                <w:bCs/>
              </w:rPr>
              <w:t xml:space="preserve">Cancer </w:t>
            </w:r>
            <w:r w:rsidR="001816EC">
              <w:rPr>
                <w:b/>
                <w:bCs/>
              </w:rPr>
              <w:t>t</w:t>
            </w:r>
            <w:r w:rsidRPr="00E44F3E">
              <w:rPr>
                <w:b/>
                <w:bCs/>
              </w:rPr>
              <w:t>ype</w:t>
            </w:r>
          </w:p>
        </w:tc>
        <w:tc>
          <w:tcPr>
            <w:tcW w:w="0" w:type="auto"/>
            <w:tcBorders>
              <w:top w:val="nil"/>
              <w:bottom w:val="nil"/>
            </w:tcBorders>
            <w:shd w:val="clear" w:color="auto" w:fill="C2D9BA"/>
            <w:vAlign w:val="center"/>
          </w:tcPr>
          <w:p w14:paraId="202242CD" w14:textId="77777777" w:rsidR="001376F7" w:rsidRPr="00E44F3E" w:rsidRDefault="001376F7">
            <w:pPr>
              <w:pStyle w:val="TableText"/>
              <w:rPr>
                <w:b/>
                <w:bCs/>
                <w:szCs w:val="18"/>
              </w:rPr>
            </w:pPr>
            <w:r w:rsidRPr="00E44F3E">
              <w:rPr>
                <w:b/>
                <w:bCs/>
                <w:szCs w:val="18"/>
              </w:rPr>
              <w:t>Indication per PBS</w:t>
            </w:r>
          </w:p>
        </w:tc>
        <w:tc>
          <w:tcPr>
            <w:tcW w:w="0" w:type="auto"/>
            <w:tcBorders>
              <w:top w:val="nil"/>
              <w:bottom w:val="nil"/>
            </w:tcBorders>
            <w:shd w:val="clear" w:color="auto" w:fill="C2D9BA"/>
            <w:vAlign w:val="center"/>
          </w:tcPr>
          <w:p w14:paraId="5D6970E3" w14:textId="77777777" w:rsidR="001376F7" w:rsidRPr="00E44F3E" w:rsidRDefault="001376F7">
            <w:pPr>
              <w:pStyle w:val="TableText"/>
              <w:jc w:val="center"/>
              <w:rPr>
                <w:b/>
                <w:bCs/>
              </w:rPr>
            </w:pPr>
            <w:r w:rsidRPr="00E44F3E">
              <w:rPr>
                <w:b/>
                <w:bCs/>
                <w:szCs w:val="18"/>
              </w:rPr>
              <w:t>ESMO-MCBS:H score</w:t>
            </w:r>
          </w:p>
        </w:tc>
        <w:tc>
          <w:tcPr>
            <w:tcW w:w="0" w:type="auto"/>
            <w:tcBorders>
              <w:top w:val="nil"/>
              <w:bottom w:val="nil"/>
            </w:tcBorders>
            <w:shd w:val="clear" w:color="auto" w:fill="C2D9BA"/>
            <w:vAlign w:val="center"/>
          </w:tcPr>
          <w:p w14:paraId="311C9A12" w14:textId="5E83B599" w:rsidR="001376F7" w:rsidRPr="00E44F3E" w:rsidRDefault="001376F7">
            <w:pPr>
              <w:pStyle w:val="TableText"/>
              <w:jc w:val="center"/>
              <w:rPr>
                <w:b/>
                <w:bCs/>
                <w:szCs w:val="18"/>
              </w:rPr>
            </w:pPr>
            <w:r w:rsidRPr="00E44F3E">
              <w:rPr>
                <w:b/>
                <w:bCs/>
              </w:rPr>
              <w:t xml:space="preserve">Current Pharmac </w:t>
            </w:r>
            <w:r w:rsidR="001816EC">
              <w:rPr>
                <w:b/>
                <w:bCs/>
              </w:rPr>
              <w:t>s</w:t>
            </w:r>
            <w:r w:rsidRPr="00E44F3E">
              <w:rPr>
                <w:b/>
                <w:bCs/>
              </w:rPr>
              <w:t>tatus (</w:t>
            </w:r>
            <w:r w:rsidR="004921B7">
              <w:rPr>
                <w:b/>
                <w:bCs/>
              </w:rPr>
              <w:t>October</w:t>
            </w:r>
            <w:r w:rsidR="001816EC">
              <w:rPr>
                <w:b/>
                <w:bCs/>
              </w:rPr>
              <w:t> 2024</w:t>
            </w:r>
            <w:r w:rsidRPr="00E44F3E">
              <w:rPr>
                <w:b/>
                <w:bCs/>
              </w:rPr>
              <w:t>)</w:t>
            </w:r>
          </w:p>
        </w:tc>
        <w:tc>
          <w:tcPr>
            <w:tcW w:w="0" w:type="auto"/>
            <w:tcBorders>
              <w:top w:val="nil"/>
              <w:bottom w:val="nil"/>
            </w:tcBorders>
            <w:shd w:val="clear" w:color="auto" w:fill="C2D9BA"/>
          </w:tcPr>
          <w:p w14:paraId="314F63B4" w14:textId="77777777" w:rsidR="001376F7" w:rsidRPr="00E44F3E" w:rsidRDefault="001376F7">
            <w:pPr>
              <w:pStyle w:val="TableText"/>
              <w:jc w:val="center"/>
              <w:rPr>
                <w:b/>
                <w:bCs/>
              </w:rPr>
            </w:pPr>
            <w:r w:rsidRPr="00E44F3E">
              <w:rPr>
                <w:b/>
              </w:rPr>
              <w:t>Appendix table for further detail</w:t>
            </w:r>
          </w:p>
        </w:tc>
      </w:tr>
      <w:tr w:rsidR="00367AA3" w:rsidRPr="00E44F3E" w14:paraId="673B48CA" w14:textId="77777777" w:rsidTr="000B2F96">
        <w:trPr>
          <w:cantSplit/>
          <w:trHeight w:val="306"/>
        </w:trPr>
        <w:tc>
          <w:tcPr>
            <w:tcW w:w="0" w:type="auto"/>
            <w:tcBorders>
              <w:top w:val="nil"/>
              <w:bottom w:val="single" w:sz="4" w:space="0" w:color="C2D9BA"/>
            </w:tcBorders>
            <w:shd w:val="clear" w:color="auto" w:fill="auto"/>
          </w:tcPr>
          <w:p w14:paraId="130022F6" w14:textId="77777777" w:rsidR="001376F7" w:rsidRPr="00E44F3E" w:rsidRDefault="001376F7">
            <w:pPr>
              <w:pStyle w:val="TableText"/>
              <w:rPr>
                <w:szCs w:val="18"/>
              </w:rPr>
            </w:pPr>
            <w:proofErr w:type="spellStart"/>
            <w:r w:rsidRPr="00E44F3E">
              <w:t>Midostaurin</w:t>
            </w:r>
            <w:proofErr w:type="spellEnd"/>
          </w:p>
        </w:tc>
        <w:tc>
          <w:tcPr>
            <w:tcW w:w="0" w:type="auto"/>
            <w:tcBorders>
              <w:top w:val="nil"/>
              <w:bottom w:val="single" w:sz="4" w:space="0" w:color="C2D9BA"/>
            </w:tcBorders>
            <w:shd w:val="clear" w:color="auto" w:fill="auto"/>
          </w:tcPr>
          <w:p w14:paraId="0749F350" w14:textId="77777777" w:rsidR="001376F7" w:rsidRPr="00E44F3E" w:rsidRDefault="001376F7">
            <w:pPr>
              <w:pStyle w:val="TableText"/>
              <w:rPr>
                <w:szCs w:val="18"/>
              </w:rPr>
            </w:pPr>
            <w:r w:rsidRPr="00E44F3E">
              <w:t>Acute myeloid leukaemia (AML)</w:t>
            </w:r>
          </w:p>
        </w:tc>
        <w:tc>
          <w:tcPr>
            <w:tcW w:w="0" w:type="auto"/>
            <w:tcBorders>
              <w:top w:val="nil"/>
              <w:bottom w:val="single" w:sz="4" w:space="0" w:color="C2D9BA"/>
            </w:tcBorders>
            <w:shd w:val="clear" w:color="auto" w:fill="auto"/>
          </w:tcPr>
          <w:p w14:paraId="3B080387" w14:textId="77777777" w:rsidR="001376F7" w:rsidRPr="00E44F3E" w:rsidRDefault="001376F7">
            <w:pPr>
              <w:pStyle w:val="TableText"/>
              <w:rPr>
                <w:szCs w:val="18"/>
              </w:rPr>
            </w:pPr>
            <w:r w:rsidRPr="00E44F3E">
              <w:t xml:space="preserve">Newly diagnosed patients with an </w:t>
            </w:r>
            <w:bookmarkStart w:id="108" w:name="_Hlk177464408"/>
            <w:r w:rsidRPr="00E44F3E">
              <w:t>internal tandem duplication (ITD)</w:t>
            </w:r>
            <w:bookmarkEnd w:id="108"/>
            <w:r w:rsidRPr="00E44F3E">
              <w:t xml:space="preserve"> or </w:t>
            </w:r>
            <w:bookmarkStart w:id="109" w:name="_Hlk177464415"/>
            <w:r w:rsidRPr="00E44F3E">
              <w:t>tyrosine kinase domain (TKD)</w:t>
            </w:r>
            <w:bookmarkEnd w:id="109"/>
            <w:r w:rsidRPr="00E44F3E">
              <w:t xml:space="preserve"> </w:t>
            </w:r>
            <w:bookmarkStart w:id="110" w:name="_Hlk177464422"/>
            <w:r w:rsidRPr="00E44F3E">
              <w:t xml:space="preserve">FMS-like tyrosine kinase 3 (FLT3) </w:t>
            </w:r>
            <w:bookmarkEnd w:id="110"/>
            <w:r w:rsidRPr="00E44F3E">
              <w:t>mutation</w:t>
            </w:r>
          </w:p>
        </w:tc>
        <w:tc>
          <w:tcPr>
            <w:tcW w:w="0" w:type="auto"/>
            <w:tcBorders>
              <w:top w:val="nil"/>
              <w:bottom w:val="single" w:sz="4" w:space="0" w:color="C2D9BA"/>
            </w:tcBorders>
            <w:shd w:val="clear" w:color="auto" w:fill="auto"/>
          </w:tcPr>
          <w:p w14:paraId="5ECEF8BB" w14:textId="206752E2" w:rsidR="001376F7" w:rsidRPr="00E44F3E" w:rsidRDefault="001376F7">
            <w:pPr>
              <w:pStyle w:val="TableText"/>
              <w:jc w:val="center"/>
            </w:pPr>
            <w:r w:rsidRPr="00E44F3E">
              <w:rPr>
                <w:b/>
                <w:szCs w:val="18"/>
              </w:rPr>
              <w:t>A</w:t>
            </w:r>
            <w:r w:rsidR="00861432" w:rsidRPr="00E44F3E">
              <w:rPr>
                <w:b/>
                <w:szCs w:val="18"/>
              </w:rPr>
              <w:br/>
            </w:r>
            <w:r w:rsidRPr="00E44F3E">
              <w:rPr>
                <w:szCs w:val="18"/>
              </w:rPr>
              <w:t>(curative)</w:t>
            </w:r>
          </w:p>
        </w:tc>
        <w:tc>
          <w:tcPr>
            <w:tcW w:w="0" w:type="auto"/>
            <w:tcBorders>
              <w:top w:val="nil"/>
              <w:bottom w:val="single" w:sz="4" w:space="0" w:color="C2D9BA"/>
            </w:tcBorders>
            <w:shd w:val="clear" w:color="auto" w:fill="auto"/>
          </w:tcPr>
          <w:p w14:paraId="452901BD" w14:textId="78A6837B" w:rsidR="001376F7" w:rsidRPr="00E44F3E" w:rsidRDefault="00567BBB" w:rsidP="000B2F96">
            <w:pPr>
              <w:pStyle w:val="TableText"/>
              <w:jc w:val="center"/>
              <w:rPr>
                <w:szCs w:val="18"/>
              </w:rPr>
            </w:pPr>
            <w:r>
              <w:t>F</w:t>
            </w:r>
            <w:r w:rsidRPr="00E44F3E">
              <w:t>und</w:t>
            </w:r>
            <w:r>
              <w:t>ed</w:t>
            </w:r>
            <w:r w:rsidRPr="00E44F3E">
              <w:t xml:space="preserve"> from 1</w:t>
            </w:r>
            <w:r>
              <w:t> </w:t>
            </w:r>
            <w:r w:rsidRPr="00E44F3E">
              <w:t>July 2024</w:t>
            </w:r>
          </w:p>
        </w:tc>
        <w:tc>
          <w:tcPr>
            <w:tcW w:w="0" w:type="auto"/>
            <w:tcBorders>
              <w:top w:val="nil"/>
              <w:bottom w:val="single" w:sz="4" w:space="0" w:color="C2D9BA"/>
            </w:tcBorders>
            <w:shd w:val="clear" w:color="auto" w:fill="auto"/>
          </w:tcPr>
          <w:p w14:paraId="51348767" w14:textId="3922B3EB" w:rsidR="001376F7" w:rsidRPr="00E44F3E" w:rsidRDefault="00811197">
            <w:pPr>
              <w:pStyle w:val="TableText"/>
              <w:jc w:val="center"/>
            </w:pPr>
            <w:r>
              <w:fldChar w:fldCharType="begin"/>
            </w:r>
            <w:r>
              <w:instrText xml:space="preserve"> REF _Ref177735607 \h </w:instrText>
            </w:r>
            <w:r w:rsidR="00C27C51">
              <w:instrText xml:space="preserve"> \* MERGEFORMAT </w:instrText>
            </w:r>
            <w:r>
              <w:fldChar w:fldCharType="separate"/>
            </w:r>
            <w:r w:rsidR="004A6DF6" w:rsidRPr="00E44F3E">
              <w:t xml:space="preserve">Table </w:t>
            </w:r>
            <w:r w:rsidR="004A6DF6">
              <w:rPr>
                <w:noProof/>
              </w:rPr>
              <w:t>22</w:t>
            </w:r>
            <w:r>
              <w:fldChar w:fldCharType="end"/>
            </w:r>
          </w:p>
        </w:tc>
      </w:tr>
      <w:tr w:rsidR="00367AA3" w:rsidRPr="00E44F3E" w14:paraId="297FF23C" w14:textId="77777777" w:rsidTr="000B2F96">
        <w:trPr>
          <w:cantSplit/>
          <w:trHeight w:val="306"/>
        </w:trPr>
        <w:tc>
          <w:tcPr>
            <w:tcW w:w="0" w:type="auto"/>
            <w:tcBorders>
              <w:top w:val="single" w:sz="4" w:space="0" w:color="C2D9BA"/>
              <w:bottom w:val="single" w:sz="4" w:space="0" w:color="C2D9BA"/>
            </w:tcBorders>
            <w:shd w:val="clear" w:color="auto" w:fill="auto"/>
          </w:tcPr>
          <w:p w14:paraId="68646D6F" w14:textId="77777777" w:rsidR="001376F7" w:rsidRPr="00E44F3E" w:rsidRDefault="001376F7">
            <w:pPr>
              <w:pStyle w:val="TableText"/>
            </w:pPr>
            <w:r w:rsidRPr="00E44F3E">
              <w:t>Blinatumomab</w:t>
            </w:r>
          </w:p>
        </w:tc>
        <w:tc>
          <w:tcPr>
            <w:tcW w:w="0" w:type="auto"/>
            <w:tcBorders>
              <w:top w:val="single" w:sz="4" w:space="0" w:color="C2D9BA"/>
              <w:bottom w:val="single" w:sz="4" w:space="0" w:color="C2D9BA"/>
            </w:tcBorders>
            <w:shd w:val="clear" w:color="auto" w:fill="auto"/>
          </w:tcPr>
          <w:p w14:paraId="6FC7256C" w14:textId="77777777" w:rsidR="001376F7" w:rsidRPr="00E44F3E" w:rsidRDefault="001376F7">
            <w:pPr>
              <w:pStyle w:val="TableText"/>
            </w:pPr>
            <w:bookmarkStart w:id="111" w:name="_Hlk177464311"/>
            <w:r w:rsidRPr="00E44F3E">
              <w:t>Acute lymphoblastic leukaemia (ALL)</w:t>
            </w:r>
            <w:bookmarkEnd w:id="111"/>
          </w:p>
        </w:tc>
        <w:tc>
          <w:tcPr>
            <w:tcW w:w="0" w:type="auto"/>
            <w:tcBorders>
              <w:top w:val="single" w:sz="4" w:space="0" w:color="C2D9BA"/>
              <w:bottom w:val="single" w:sz="4" w:space="0" w:color="C2D9BA"/>
            </w:tcBorders>
            <w:shd w:val="clear" w:color="auto" w:fill="auto"/>
          </w:tcPr>
          <w:p w14:paraId="45F381DE" w14:textId="77777777" w:rsidR="001376F7" w:rsidRPr="00E44F3E" w:rsidRDefault="001376F7">
            <w:pPr>
              <w:pStyle w:val="TableText"/>
            </w:pPr>
            <w:r w:rsidRPr="00E44F3E">
              <w:t xml:space="preserve">Complete haematological remission with </w:t>
            </w:r>
            <w:bookmarkStart w:id="112" w:name="_Hlk177464449"/>
            <w:r w:rsidRPr="00E44F3E">
              <w:t>measurable residual disease (MRD)</w:t>
            </w:r>
            <w:bookmarkEnd w:id="112"/>
          </w:p>
        </w:tc>
        <w:tc>
          <w:tcPr>
            <w:tcW w:w="0" w:type="auto"/>
            <w:tcBorders>
              <w:top w:val="single" w:sz="4" w:space="0" w:color="C2D9BA"/>
              <w:bottom w:val="single" w:sz="4" w:space="0" w:color="C2D9BA"/>
            </w:tcBorders>
            <w:shd w:val="clear" w:color="auto" w:fill="auto"/>
          </w:tcPr>
          <w:p w14:paraId="42EA514B" w14:textId="6FAE1C9F" w:rsidR="001376F7" w:rsidRPr="00E44F3E" w:rsidRDefault="001376F7">
            <w:pPr>
              <w:pStyle w:val="TableText"/>
              <w:jc w:val="center"/>
              <w:rPr>
                <w:b/>
                <w:szCs w:val="18"/>
              </w:rPr>
            </w:pPr>
            <w:r w:rsidRPr="00E44F3E">
              <w:rPr>
                <w:b/>
                <w:szCs w:val="18"/>
              </w:rPr>
              <w:t>A</w:t>
            </w:r>
            <w:r w:rsidR="00861432" w:rsidRPr="00E44F3E">
              <w:rPr>
                <w:b/>
                <w:szCs w:val="18"/>
              </w:rPr>
              <w:br/>
            </w:r>
            <w:r w:rsidRPr="00E44F3E">
              <w:rPr>
                <w:szCs w:val="18"/>
              </w:rPr>
              <w:t>(curative)</w:t>
            </w:r>
          </w:p>
        </w:tc>
        <w:tc>
          <w:tcPr>
            <w:tcW w:w="0" w:type="auto"/>
            <w:tcBorders>
              <w:top w:val="single" w:sz="4" w:space="0" w:color="C2D9BA"/>
              <w:bottom w:val="single" w:sz="4" w:space="0" w:color="C2D9BA"/>
            </w:tcBorders>
            <w:shd w:val="clear" w:color="auto" w:fill="auto"/>
          </w:tcPr>
          <w:p w14:paraId="323D74F3" w14:textId="663DF25C" w:rsidR="001376F7" w:rsidRPr="00E44F3E" w:rsidRDefault="001376F7" w:rsidP="000B2F96">
            <w:pPr>
              <w:pStyle w:val="TableText"/>
              <w:jc w:val="center"/>
              <w:rPr>
                <w:rFonts w:cs="Calibri"/>
                <w:color w:val="000000"/>
                <w:szCs w:val="18"/>
                <w:lang w:eastAsia="en-NZ"/>
              </w:rPr>
            </w:pPr>
            <w:r w:rsidRPr="00E44F3E">
              <w:rPr>
                <w:rFonts w:cs="Calibri"/>
                <w:color w:val="000000"/>
                <w:szCs w:val="18"/>
              </w:rPr>
              <w:t xml:space="preserve">Seeking </w:t>
            </w:r>
            <w:r w:rsidR="00180F5A">
              <w:rPr>
                <w:rFonts w:cs="Calibri"/>
                <w:color w:val="000000"/>
                <w:szCs w:val="18"/>
              </w:rPr>
              <w:t>c</w:t>
            </w:r>
            <w:r w:rsidRPr="00E44F3E">
              <w:rPr>
                <w:rFonts w:cs="Calibri"/>
                <w:color w:val="000000"/>
                <w:szCs w:val="18"/>
              </w:rPr>
              <w:t xml:space="preserve">linical </w:t>
            </w:r>
            <w:r w:rsidR="00180F5A">
              <w:rPr>
                <w:rFonts w:cs="Calibri"/>
                <w:color w:val="000000"/>
                <w:szCs w:val="18"/>
              </w:rPr>
              <w:t>a</w:t>
            </w:r>
            <w:r w:rsidRPr="00E44F3E">
              <w:rPr>
                <w:rFonts w:cs="Calibri"/>
                <w:color w:val="000000"/>
                <w:szCs w:val="18"/>
              </w:rPr>
              <w:t>dvice</w:t>
            </w:r>
          </w:p>
        </w:tc>
        <w:tc>
          <w:tcPr>
            <w:tcW w:w="0" w:type="auto"/>
            <w:tcBorders>
              <w:top w:val="single" w:sz="4" w:space="0" w:color="C2D9BA"/>
              <w:bottom w:val="single" w:sz="4" w:space="0" w:color="C2D9BA"/>
            </w:tcBorders>
            <w:shd w:val="clear" w:color="auto" w:fill="auto"/>
          </w:tcPr>
          <w:p w14:paraId="7ABC6BC9" w14:textId="1E0340C8" w:rsidR="001376F7" w:rsidRPr="00E44F3E" w:rsidRDefault="00811197">
            <w:pPr>
              <w:pStyle w:val="TableText"/>
              <w:jc w:val="center"/>
            </w:pPr>
            <w:r>
              <w:fldChar w:fldCharType="begin"/>
            </w:r>
            <w:r>
              <w:instrText xml:space="preserve"> REF _Ref177735638 \h </w:instrText>
            </w:r>
            <w:r>
              <w:fldChar w:fldCharType="separate"/>
            </w:r>
            <w:r w:rsidR="004A6DF6" w:rsidRPr="00E44F3E">
              <w:t xml:space="preserve">Table </w:t>
            </w:r>
            <w:r w:rsidR="004A6DF6">
              <w:rPr>
                <w:noProof/>
              </w:rPr>
              <w:t>17</w:t>
            </w:r>
            <w:r>
              <w:fldChar w:fldCharType="end"/>
            </w:r>
          </w:p>
        </w:tc>
      </w:tr>
      <w:tr w:rsidR="00367AA3" w:rsidRPr="00E44F3E" w14:paraId="5FDACB8A" w14:textId="77777777" w:rsidTr="000B2F96">
        <w:trPr>
          <w:cantSplit/>
          <w:trHeight w:val="306"/>
        </w:trPr>
        <w:tc>
          <w:tcPr>
            <w:tcW w:w="0" w:type="auto"/>
            <w:tcBorders>
              <w:top w:val="single" w:sz="4" w:space="0" w:color="C2D9BA"/>
              <w:bottom w:val="single" w:sz="4" w:space="0" w:color="C2D9BA"/>
            </w:tcBorders>
          </w:tcPr>
          <w:p w14:paraId="2C7CB726" w14:textId="0CE6B7E6" w:rsidR="001376F7" w:rsidRPr="00E44F3E" w:rsidRDefault="001376F7">
            <w:pPr>
              <w:pStyle w:val="TableText"/>
              <w:rPr>
                <w:szCs w:val="18"/>
              </w:rPr>
            </w:pPr>
            <w:r w:rsidRPr="00E44F3E">
              <w:t xml:space="preserve">Azacitidine with </w:t>
            </w:r>
            <w:proofErr w:type="spellStart"/>
            <w:r w:rsidR="00180F5A">
              <w:t>v</w:t>
            </w:r>
            <w:r w:rsidRPr="00E44F3E">
              <w:t>enetoclax</w:t>
            </w:r>
            <w:proofErr w:type="spellEnd"/>
            <w:r w:rsidRPr="00E44F3E">
              <w:t xml:space="preserve"> </w:t>
            </w:r>
          </w:p>
        </w:tc>
        <w:tc>
          <w:tcPr>
            <w:tcW w:w="0" w:type="auto"/>
            <w:tcBorders>
              <w:top w:val="single" w:sz="4" w:space="0" w:color="C2D9BA"/>
              <w:bottom w:val="single" w:sz="4" w:space="0" w:color="C2D9BA"/>
            </w:tcBorders>
          </w:tcPr>
          <w:p w14:paraId="478AEDFE" w14:textId="77777777" w:rsidR="001376F7" w:rsidRPr="00E44F3E" w:rsidRDefault="001376F7">
            <w:pPr>
              <w:pStyle w:val="TableText"/>
              <w:rPr>
                <w:szCs w:val="18"/>
              </w:rPr>
            </w:pPr>
            <w:r w:rsidRPr="00E44F3E">
              <w:t>Acute myeloid leukaemia (AML)</w:t>
            </w:r>
          </w:p>
        </w:tc>
        <w:tc>
          <w:tcPr>
            <w:tcW w:w="0" w:type="auto"/>
            <w:tcBorders>
              <w:top w:val="single" w:sz="4" w:space="0" w:color="C2D9BA"/>
              <w:bottom w:val="single" w:sz="4" w:space="0" w:color="C2D9BA"/>
            </w:tcBorders>
            <w:shd w:val="clear" w:color="auto" w:fill="auto"/>
          </w:tcPr>
          <w:p w14:paraId="37D9042A" w14:textId="77777777" w:rsidR="001376F7" w:rsidRPr="00E44F3E" w:rsidRDefault="001376F7">
            <w:pPr>
              <w:pStyle w:val="TableText"/>
              <w:rPr>
                <w:szCs w:val="18"/>
              </w:rPr>
            </w:pPr>
            <w:r w:rsidRPr="00E44F3E">
              <w:t>Patients who are unfit for intensive chemotherapy</w:t>
            </w:r>
          </w:p>
        </w:tc>
        <w:tc>
          <w:tcPr>
            <w:tcW w:w="0" w:type="auto"/>
            <w:tcBorders>
              <w:top w:val="single" w:sz="4" w:space="0" w:color="C2D9BA"/>
              <w:bottom w:val="single" w:sz="4" w:space="0" w:color="C2D9BA"/>
            </w:tcBorders>
          </w:tcPr>
          <w:p w14:paraId="5201321D" w14:textId="18AABAB5" w:rsidR="001376F7" w:rsidRPr="00E44F3E" w:rsidRDefault="001376F7">
            <w:pPr>
              <w:pStyle w:val="TableText"/>
              <w:jc w:val="center"/>
            </w:pPr>
            <w:r w:rsidRPr="00E44F3E">
              <w:rPr>
                <w:b/>
                <w:szCs w:val="18"/>
              </w:rPr>
              <w:t>5</w:t>
            </w:r>
            <w:r w:rsidR="00861432" w:rsidRPr="00E44F3E">
              <w:rPr>
                <w:b/>
                <w:szCs w:val="18"/>
              </w:rPr>
              <w:br/>
            </w:r>
            <w:r w:rsidRPr="00E44F3E">
              <w:rPr>
                <w:szCs w:val="18"/>
              </w:rPr>
              <w:t>(non-curative)</w:t>
            </w:r>
          </w:p>
        </w:tc>
        <w:tc>
          <w:tcPr>
            <w:tcW w:w="0" w:type="auto"/>
            <w:tcBorders>
              <w:top w:val="single" w:sz="4" w:space="0" w:color="C2D9BA"/>
              <w:bottom w:val="single" w:sz="4" w:space="0" w:color="C2D9BA"/>
            </w:tcBorders>
          </w:tcPr>
          <w:p w14:paraId="12EC5602" w14:textId="7ABC539C" w:rsidR="001376F7" w:rsidRPr="00E44F3E" w:rsidRDefault="00C80CF6" w:rsidP="000B2F96">
            <w:pPr>
              <w:pStyle w:val="TableText"/>
              <w:jc w:val="center"/>
              <w:rPr>
                <w:szCs w:val="18"/>
              </w:rPr>
            </w:pPr>
            <w:r w:rsidRPr="00C80CF6">
              <w:t>OFI</w:t>
            </w:r>
            <w:r w:rsidR="001376F7" w:rsidRPr="00E44F3E">
              <w:t xml:space="preserve"> </w:t>
            </w:r>
            <w:r w:rsidR="0050587D">
              <w:t>l</w:t>
            </w:r>
            <w:r w:rsidR="001376F7" w:rsidRPr="00E44F3E">
              <w:t>ist</w:t>
            </w:r>
          </w:p>
        </w:tc>
        <w:tc>
          <w:tcPr>
            <w:tcW w:w="0" w:type="auto"/>
            <w:tcBorders>
              <w:top w:val="single" w:sz="4" w:space="0" w:color="C2D9BA"/>
              <w:bottom w:val="single" w:sz="4" w:space="0" w:color="C2D9BA"/>
            </w:tcBorders>
          </w:tcPr>
          <w:p w14:paraId="0FAC4B8B" w14:textId="7AB5B79F" w:rsidR="001376F7" w:rsidRPr="00E44F3E" w:rsidRDefault="00811197">
            <w:pPr>
              <w:pStyle w:val="TableText"/>
              <w:jc w:val="center"/>
            </w:pPr>
            <w:r>
              <w:fldChar w:fldCharType="begin"/>
            </w:r>
            <w:r>
              <w:instrText xml:space="preserve"> REF _Ref177735655 \h </w:instrText>
            </w:r>
            <w:r>
              <w:fldChar w:fldCharType="separate"/>
            </w:r>
            <w:r w:rsidR="004A6DF6" w:rsidRPr="00E44F3E">
              <w:t xml:space="preserve">Table </w:t>
            </w:r>
            <w:r w:rsidR="004A6DF6">
              <w:rPr>
                <w:noProof/>
              </w:rPr>
              <w:t>23</w:t>
            </w:r>
            <w:r>
              <w:fldChar w:fldCharType="end"/>
            </w:r>
          </w:p>
        </w:tc>
      </w:tr>
      <w:tr w:rsidR="00367AA3" w:rsidRPr="00E44F3E" w14:paraId="703D806E" w14:textId="77777777" w:rsidTr="000B2F96">
        <w:trPr>
          <w:cantSplit/>
          <w:trHeight w:val="306"/>
        </w:trPr>
        <w:tc>
          <w:tcPr>
            <w:tcW w:w="0" w:type="auto"/>
            <w:tcBorders>
              <w:top w:val="single" w:sz="4" w:space="0" w:color="C2D9BA"/>
              <w:bottom w:val="single" w:sz="4" w:space="0" w:color="C2D9BA"/>
            </w:tcBorders>
          </w:tcPr>
          <w:p w14:paraId="67BF683D" w14:textId="77777777" w:rsidR="001376F7" w:rsidRPr="00E44F3E" w:rsidRDefault="001376F7">
            <w:pPr>
              <w:pStyle w:val="TableText"/>
            </w:pPr>
            <w:r w:rsidRPr="00E44F3E">
              <w:t>Blinatumomab</w:t>
            </w:r>
          </w:p>
        </w:tc>
        <w:tc>
          <w:tcPr>
            <w:tcW w:w="0" w:type="auto"/>
            <w:tcBorders>
              <w:top w:val="single" w:sz="4" w:space="0" w:color="C2D9BA"/>
              <w:bottom w:val="single" w:sz="4" w:space="0" w:color="C2D9BA"/>
            </w:tcBorders>
          </w:tcPr>
          <w:p w14:paraId="350ED6B6" w14:textId="77777777" w:rsidR="001376F7" w:rsidRPr="00E44F3E" w:rsidRDefault="001376F7">
            <w:pPr>
              <w:pStyle w:val="TableText"/>
            </w:pPr>
            <w:r w:rsidRPr="00E44F3E">
              <w:t>Acute lymphoblastic leukaemia (ALL)</w:t>
            </w:r>
          </w:p>
        </w:tc>
        <w:tc>
          <w:tcPr>
            <w:tcW w:w="0" w:type="auto"/>
            <w:tcBorders>
              <w:top w:val="single" w:sz="4" w:space="0" w:color="C2D9BA"/>
              <w:bottom w:val="single" w:sz="4" w:space="0" w:color="C2D9BA"/>
            </w:tcBorders>
            <w:shd w:val="clear" w:color="auto" w:fill="auto"/>
          </w:tcPr>
          <w:p w14:paraId="154FC2D6" w14:textId="7E1E3825" w:rsidR="001376F7" w:rsidRPr="00E44F3E" w:rsidRDefault="001376F7">
            <w:pPr>
              <w:pStyle w:val="TableText"/>
            </w:pPr>
            <w:r w:rsidRPr="00E44F3E">
              <w:t>Patients with relapsed or refractory disease, precursor B-</w:t>
            </w:r>
            <w:r w:rsidR="00180F5A">
              <w:t>c</w:t>
            </w:r>
            <w:r w:rsidRPr="00E44F3E">
              <w:t xml:space="preserve">ell </w:t>
            </w:r>
          </w:p>
        </w:tc>
        <w:tc>
          <w:tcPr>
            <w:tcW w:w="0" w:type="auto"/>
            <w:tcBorders>
              <w:top w:val="single" w:sz="4" w:space="0" w:color="C2D9BA"/>
              <w:bottom w:val="single" w:sz="4" w:space="0" w:color="C2D9BA"/>
            </w:tcBorders>
          </w:tcPr>
          <w:p w14:paraId="7BA0F6D0" w14:textId="47ABC449" w:rsidR="001376F7" w:rsidRPr="00E44F3E" w:rsidRDefault="001376F7">
            <w:pPr>
              <w:pStyle w:val="TableText"/>
              <w:jc w:val="center"/>
              <w:rPr>
                <w:b/>
                <w:szCs w:val="18"/>
              </w:rPr>
            </w:pPr>
            <w:r w:rsidRPr="00E44F3E">
              <w:rPr>
                <w:b/>
                <w:szCs w:val="18"/>
              </w:rPr>
              <w:t>5</w:t>
            </w:r>
            <w:r w:rsidR="00861432" w:rsidRPr="00E44F3E">
              <w:rPr>
                <w:b/>
                <w:szCs w:val="18"/>
              </w:rPr>
              <w:br/>
            </w:r>
            <w:r w:rsidRPr="00E44F3E">
              <w:rPr>
                <w:szCs w:val="18"/>
              </w:rPr>
              <w:t>(non-curative</w:t>
            </w:r>
            <w:r w:rsidR="00BE536D">
              <w:rPr>
                <w:szCs w:val="18"/>
              </w:rPr>
              <w:t>)</w:t>
            </w:r>
          </w:p>
        </w:tc>
        <w:tc>
          <w:tcPr>
            <w:tcW w:w="0" w:type="auto"/>
            <w:tcBorders>
              <w:top w:val="single" w:sz="4" w:space="0" w:color="C2D9BA"/>
              <w:bottom w:val="single" w:sz="4" w:space="0" w:color="C2D9BA"/>
            </w:tcBorders>
          </w:tcPr>
          <w:p w14:paraId="69298FFB" w14:textId="5A5CE8B5" w:rsidR="001376F7" w:rsidRPr="00E44F3E" w:rsidRDefault="001376F7" w:rsidP="000B2F96">
            <w:pPr>
              <w:pStyle w:val="TableText"/>
              <w:jc w:val="center"/>
            </w:pPr>
            <w:r w:rsidRPr="00E44F3E">
              <w:t>No application</w:t>
            </w:r>
          </w:p>
        </w:tc>
        <w:tc>
          <w:tcPr>
            <w:tcW w:w="0" w:type="auto"/>
            <w:tcBorders>
              <w:top w:val="single" w:sz="4" w:space="0" w:color="C2D9BA"/>
              <w:bottom w:val="single" w:sz="4" w:space="0" w:color="C2D9BA"/>
            </w:tcBorders>
          </w:tcPr>
          <w:p w14:paraId="7A858B4A" w14:textId="5C66764B" w:rsidR="001376F7" w:rsidRPr="00E44F3E" w:rsidRDefault="00811197">
            <w:pPr>
              <w:pStyle w:val="TableText"/>
              <w:jc w:val="center"/>
            </w:pPr>
            <w:r>
              <w:fldChar w:fldCharType="begin"/>
            </w:r>
            <w:r>
              <w:instrText xml:space="preserve"> REF _Ref177735645 \h </w:instrText>
            </w:r>
            <w:r>
              <w:fldChar w:fldCharType="separate"/>
            </w:r>
            <w:r w:rsidR="004A6DF6" w:rsidRPr="00E44F3E">
              <w:t xml:space="preserve">Table </w:t>
            </w:r>
            <w:r w:rsidR="004A6DF6">
              <w:rPr>
                <w:noProof/>
              </w:rPr>
              <w:t>18</w:t>
            </w:r>
            <w:r>
              <w:fldChar w:fldCharType="end"/>
            </w:r>
          </w:p>
        </w:tc>
      </w:tr>
      <w:tr w:rsidR="00367AA3" w:rsidRPr="00E44F3E" w14:paraId="564B6CB6" w14:textId="77777777" w:rsidTr="000B2F96">
        <w:trPr>
          <w:cantSplit/>
          <w:trHeight w:val="306"/>
        </w:trPr>
        <w:tc>
          <w:tcPr>
            <w:tcW w:w="0" w:type="auto"/>
            <w:tcBorders>
              <w:top w:val="single" w:sz="4" w:space="0" w:color="C2D9BA"/>
              <w:bottom w:val="single" w:sz="4" w:space="0" w:color="C2D9BA"/>
            </w:tcBorders>
          </w:tcPr>
          <w:p w14:paraId="0274E131" w14:textId="77777777" w:rsidR="001376F7" w:rsidRPr="00E44F3E" w:rsidRDefault="001376F7">
            <w:pPr>
              <w:pStyle w:val="TableText"/>
              <w:rPr>
                <w:rFonts w:cs="Calibri"/>
                <w:bCs/>
                <w:color w:val="000000"/>
                <w:szCs w:val="18"/>
              </w:rPr>
            </w:pPr>
            <w:proofErr w:type="spellStart"/>
            <w:r w:rsidRPr="00E44F3E">
              <w:t>Asciminib</w:t>
            </w:r>
            <w:proofErr w:type="spellEnd"/>
          </w:p>
        </w:tc>
        <w:tc>
          <w:tcPr>
            <w:tcW w:w="0" w:type="auto"/>
            <w:tcBorders>
              <w:top w:val="single" w:sz="4" w:space="0" w:color="C2D9BA"/>
              <w:bottom w:val="single" w:sz="4" w:space="0" w:color="C2D9BA"/>
            </w:tcBorders>
          </w:tcPr>
          <w:p w14:paraId="58EFD790" w14:textId="77777777" w:rsidR="001376F7" w:rsidRPr="00E44F3E" w:rsidRDefault="001376F7">
            <w:pPr>
              <w:pStyle w:val="TableText"/>
              <w:rPr>
                <w:rFonts w:cs="Calibri"/>
                <w:color w:val="000000"/>
                <w:szCs w:val="18"/>
              </w:rPr>
            </w:pPr>
            <w:r w:rsidRPr="00E44F3E">
              <w:t>Chronic myeloid leukaemia (CML)</w:t>
            </w:r>
          </w:p>
        </w:tc>
        <w:tc>
          <w:tcPr>
            <w:tcW w:w="0" w:type="auto"/>
            <w:tcBorders>
              <w:top w:val="single" w:sz="4" w:space="0" w:color="C2D9BA"/>
              <w:bottom w:val="single" w:sz="4" w:space="0" w:color="C2D9BA"/>
            </w:tcBorders>
            <w:shd w:val="clear" w:color="auto" w:fill="auto"/>
          </w:tcPr>
          <w:p w14:paraId="042D8317" w14:textId="7E3F91B5" w:rsidR="001376F7" w:rsidRPr="00E44F3E" w:rsidRDefault="001376F7">
            <w:pPr>
              <w:pStyle w:val="TableText"/>
              <w:rPr>
                <w:rFonts w:cs="Calibri"/>
                <w:color w:val="000000"/>
                <w:szCs w:val="18"/>
              </w:rPr>
            </w:pPr>
            <w:r w:rsidRPr="00E44F3E">
              <w:t xml:space="preserve">Philadelphia chromosome positive or with transcript BCR-ABL1 tyrosine kinase mutation </w:t>
            </w:r>
            <w:r w:rsidR="00E12A95" w:rsidRPr="00E44F3E">
              <w:t>positive</w:t>
            </w:r>
            <w:r w:rsidRPr="00E44F3E">
              <w:t xml:space="preserve"> without T315I mutation in </w:t>
            </w:r>
            <w:bookmarkStart w:id="113" w:name="_Hlk177464386"/>
            <w:r w:rsidRPr="00E44F3E">
              <w:t xml:space="preserve">chronic phase </w:t>
            </w:r>
            <w:bookmarkEnd w:id="113"/>
            <w:r w:rsidR="007D6A24">
              <w:t>p</w:t>
            </w:r>
            <w:r w:rsidRPr="00E44F3E">
              <w:t>reviously treated with two or more tyrosine kinase inhibitors</w:t>
            </w:r>
          </w:p>
        </w:tc>
        <w:tc>
          <w:tcPr>
            <w:tcW w:w="0" w:type="auto"/>
            <w:tcBorders>
              <w:top w:val="single" w:sz="4" w:space="0" w:color="C2D9BA"/>
              <w:bottom w:val="single" w:sz="4" w:space="0" w:color="C2D9BA"/>
            </w:tcBorders>
          </w:tcPr>
          <w:p w14:paraId="721AFEA5" w14:textId="3E624E68" w:rsidR="001376F7" w:rsidRPr="00E44F3E" w:rsidRDefault="001376F7">
            <w:pPr>
              <w:pStyle w:val="TableText"/>
              <w:jc w:val="center"/>
            </w:pPr>
            <w:r w:rsidRPr="00E44F3E">
              <w:rPr>
                <w:b/>
                <w:szCs w:val="18"/>
              </w:rPr>
              <w:t>4</w:t>
            </w:r>
            <w:r w:rsidR="00861432" w:rsidRPr="00E44F3E">
              <w:rPr>
                <w:b/>
                <w:szCs w:val="18"/>
              </w:rPr>
              <w:br/>
            </w:r>
            <w:r w:rsidRPr="00E44F3E">
              <w:rPr>
                <w:szCs w:val="18"/>
              </w:rPr>
              <w:t>(non-curative)</w:t>
            </w:r>
          </w:p>
        </w:tc>
        <w:tc>
          <w:tcPr>
            <w:tcW w:w="0" w:type="auto"/>
            <w:tcBorders>
              <w:top w:val="single" w:sz="4" w:space="0" w:color="C2D9BA"/>
              <w:bottom w:val="single" w:sz="4" w:space="0" w:color="C2D9BA"/>
            </w:tcBorders>
          </w:tcPr>
          <w:p w14:paraId="10A7FD60" w14:textId="5840CDAF" w:rsidR="001376F7" w:rsidRPr="00E44F3E" w:rsidRDefault="004921B7" w:rsidP="000B2F96">
            <w:pPr>
              <w:pStyle w:val="TableText"/>
              <w:jc w:val="center"/>
              <w:rPr>
                <w:szCs w:val="18"/>
              </w:rPr>
            </w:pPr>
            <w:r>
              <w:rPr>
                <w:szCs w:val="18"/>
              </w:rPr>
              <w:t xml:space="preserve">Seeking clinical advice </w:t>
            </w:r>
          </w:p>
        </w:tc>
        <w:tc>
          <w:tcPr>
            <w:tcW w:w="0" w:type="auto"/>
            <w:tcBorders>
              <w:top w:val="single" w:sz="4" w:space="0" w:color="C2D9BA"/>
              <w:bottom w:val="single" w:sz="4" w:space="0" w:color="C2D9BA"/>
            </w:tcBorders>
          </w:tcPr>
          <w:p w14:paraId="17B0020D" w14:textId="1E248E2F" w:rsidR="001376F7" w:rsidRPr="00E44F3E" w:rsidRDefault="00811197">
            <w:pPr>
              <w:pStyle w:val="TableText"/>
              <w:jc w:val="center"/>
            </w:pPr>
            <w:r>
              <w:fldChar w:fldCharType="begin"/>
            </w:r>
            <w:r>
              <w:instrText xml:space="preserve"> REF _Ref177735663 \h </w:instrText>
            </w:r>
            <w:r>
              <w:fldChar w:fldCharType="separate"/>
            </w:r>
            <w:r w:rsidR="004A6DF6" w:rsidRPr="00E44F3E">
              <w:t xml:space="preserve">Table </w:t>
            </w:r>
            <w:r w:rsidR="004A6DF6">
              <w:rPr>
                <w:noProof/>
              </w:rPr>
              <w:t>16</w:t>
            </w:r>
            <w:r>
              <w:fldChar w:fldCharType="end"/>
            </w:r>
          </w:p>
        </w:tc>
      </w:tr>
      <w:tr w:rsidR="00367AA3" w:rsidRPr="00E44F3E" w14:paraId="56930C1B" w14:textId="77777777" w:rsidTr="000B2F96">
        <w:trPr>
          <w:cantSplit/>
          <w:trHeight w:val="306"/>
        </w:trPr>
        <w:tc>
          <w:tcPr>
            <w:tcW w:w="0" w:type="auto"/>
            <w:tcBorders>
              <w:top w:val="single" w:sz="4" w:space="0" w:color="C2D9BA"/>
              <w:bottom w:val="single" w:sz="4" w:space="0" w:color="C2D9BA"/>
            </w:tcBorders>
          </w:tcPr>
          <w:p w14:paraId="2696609B" w14:textId="77777777" w:rsidR="001376F7" w:rsidRPr="00E44F3E" w:rsidRDefault="001376F7">
            <w:pPr>
              <w:pStyle w:val="TableText"/>
              <w:rPr>
                <w:rFonts w:cs="Calibri"/>
                <w:bCs/>
                <w:color w:val="000000"/>
                <w:szCs w:val="18"/>
              </w:rPr>
            </w:pPr>
            <w:proofErr w:type="spellStart"/>
            <w:r w:rsidRPr="00E44F3E">
              <w:lastRenderedPageBreak/>
              <w:t>Gilteritinib</w:t>
            </w:r>
            <w:proofErr w:type="spellEnd"/>
          </w:p>
        </w:tc>
        <w:tc>
          <w:tcPr>
            <w:tcW w:w="0" w:type="auto"/>
            <w:tcBorders>
              <w:top w:val="single" w:sz="4" w:space="0" w:color="C2D9BA"/>
              <w:bottom w:val="single" w:sz="4" w:space="0" w:color="C2D9BA"/>
            </w:tcBorders>
          </w:tcPr>
          <w:p w14:paraId="7204CFA8" w14:textId="77777777" w:rsidR="001376F7" w:rsidRPr="00E44F3E" w:rsidRDefault="001376F7">
            <w:pPr>
              <w:pStyle w:val="TableText"/>
              <w:rPr>
                <w:rFonts w:cs="Calibri"/>
                <w:color w:val="000000"/>
                <w:szCs w:val="18"/>
              </w:rPr>
            </w:pPr>
            <w:r w:rsidRPr="00E44F3E">
              <w:t>Acute myeloid leukaemia (AML)</w:t>
            </w:r>
          </w:p>
        </w:tc>
        <w:tc>
          <w:tcPr>
            <w:tcW w:w="0" w:type="auto"/>
            <w:tcBorders>
              <w:top w:val="single" w:sz="4" w:space="0" w:color="C2D9BA"/>
              <w:bottom w:val="single" w:sz="4" w:space="0" w:color="C2D9BA"/>
            </w:tcBorders>
            <w:shd w:val="clear" w:color="auto" w:fill="auto"/>
          </w:tcPr>
          <w:p w14:paraId="3D9F4675" w14:textId="77777777" w:rsidR="001376F7" w:rsidRPr="00E44F3E" w:rsidRDefault="001376F7">
            <w:pPr>
              <w:pStyle w:val="TableText"/>
              <w:rPr>
                <w:rFonts w:cs="Calibri"/>
                <w:color w:val="000000"/>
                <w:szCs w:val="18"/>
              </w:rPr>
            </w:pPr>
            <w:r w:rsidRPr="00E44F3E">
              <w:t>Relapsed or refractory with FLT3 ITD or TKD mutation</w:t>
            </w:r>
          </w:p>
        </w:tc>
        <w:tc>
          <w:tcPr>
            <w:tcW w:w="0" w:type="auto"/>
            <w:tcBorders>
              <w:top w:val="single" w:sz="4" w:space="0" w:color="C2D9BA"/>
              <w:bottom w:val="single" w:sz="4" w:space="0" w:color="C2D9BA"/>
            </w:tcBorders>
          </w:tcPr>
          <w:p w14:paraId="2C2BFD78" w14:textId="26260D63" w:rsidR="001376F7" w:rsidRPr="00E44F3E" w:rsidRDefault="001376F7">
            <w:pPr>
              <w:pStyle w:val="TableText"/>
              <w:jc w:val="center"/>
            </w:pPr>
            <w:r w:rsidRPr="00E44F3E">
              <w:rPr>
                <w:b/>
                <w:szCs w:val="18"/>
              </w:rPr>
              <w:t>4</w:t>
            </w:r>
            <w:r w:rsidR="00861432" w:rsidRPr="00E44F3E">
              <w:rPr>
                <w:b/>
                <w:szCs w:val="18"/>
              </w:rPr>
              <w:br/>
            </w:r>
            <w:r w:rsidRPr="00E44F3E">
              <w:rPr>
                <w:szCs w:val="18"/>
              </w:rPr>
              <w:t>(non-curative)</w:t>
            </w:r>
          </w:p>
        </w:tc>
        <w:tc>
          <w:tcPr>
            <w:tcW w:w="0" w:type="auto"/>
            <w:tcBorders>
              <w:top w:val="single" w:sz="4" w:space="0" w:color="C2D9BA"/>
              <w:bottom w:val="single" w:sz="4" w:space="0" w:color="C2D9BA"/>
            </w:tcBorders>
          </w:tcPr>
          <w:p w14:paraId="2EA7A0EA" w14:textId="77777777" w:rsidR="001376F7" w:rsidRPr="00E44F3E" w:rsidRDefault="001376F7" w:rsidP="000B2F96">
            <w:pPr>
              <w:pStyle w:val="TableText"/>
              <w:jc w:val="center"/>
              <w:rPr>
                <w:szCs w:val="18"/>
              </w:rPr>
            </w:pPr>
            <w:r w:rsidRPr="00E44F3E">
              <w:t>No application</w:t>
            </w:r>
          </w:p>
        </w:tc>
        <w:tc>
          <w:tcPr>
            <w:tcW w:w="0" w:type="auto"/>
            <w:tcBorders>
              <w:top w:val="single" w:sz="4" w:space="0" w:color="C2D9BA"/>
              <w:bottom w:val="single" w:sz="4" w:space="0" w:color="C2D9BA"/>
            </w:tcBorders>
          </w:tcPr>
          <w:p w14:paraId="6FD4ECF3" w14:textId="5060DEF5" w:rsidR="001376F7" w:rsidRPr="00E44F3E" w:rsidRDefault="00811197">
            <w:pPr>
              <w:pStyle w:val="TableText"/>
              <w:jc w:val="center"/>
            </w:pPr>
            <w:r>
              <w:fldChar w:fldCharType="begin"/>
            </w:r>
            <w:r>
              <w:instrText xml:space="preserve"> REF _Ref177735672 \h </w:instrText>
            </w:r>
            <w:r>
              <w:fldChar w:fldCharType="separate"/>
            </w:r>
            <w:r w:rsidR="004A6DF6" w:rsidRPr="00E44F3E">
              <w:t xml:space="preserve">Table </w:t>
            </w:r>
            <w:r w:rsidR="004A6DF6">
              <w:rPr>
                <w:noProof/>
              </w:rPr>
              <w:t>19</w:t>
            </w:r>
            <w:r>
              <w:fldChar w:fldCharType="end"/>
            </w:r>
          </w:p>
        </w:tc>
      </w:tr>
      <w:tr w:rsidR="00367AA3" w:rsidRPr="00E44F3E" w14:paraId="20C82B1C" w14:textId="77777777" w:rsidTr="000B2F96">
        <w:trPr>
          <w:cantSplit/>
          <w:trHeight w:val="306"/>
        </w:trPr>
        <w:tc>
          <w:tcPr>
            <w:tcW w:w="0" w:type="auto"/>
            <w:tcBorders>
              <w:top w:val="single" w:sz="4" w:space="0" w:color="C2D9BA"/>
              <w:bottom w:val="single" w:sz="4" w:space="0" w:color="C2D9BA"/>
            </w:tcBorders>
          </w:tcPr>
          <w:p w14:paraId="62443BF4" w14:textId="77777777" w:rsidR="001376F7" w:rsidRPr="00E44F3E" w:rsidRDefault="001376F7">
            <w:pPr>
              <w:pStyle w:val="TableText"/>
            </w:pPr>
            <w:proofErr w:type="spellStart"/>
            <w:r w:rsidRPr="00E44F3E">
              <w:t>Idelalisib</w:t>
            </w:r>
            <w:proofErr w:type="spellEnd"/>
            <w:r w:rsidRPr="00E44F3E">
              <w:t xml:space="preserve"> (with 8 cycles of rituximab) </w:t>
            </w:r>
          </w:p>
        </w:tc>
        <w:tc>
          <w:tcPr>
            <w:tcW w:w="0" w:type="auto"/>
            <w:tcBorders>
              <w:top w:val="single" w:sz="4" w:space="0" w:color="C2D9BA"/>
              <w:bottom w:val="single" w:sz="4" w:space="0" w:color="C2D9BA"/>
            </w:tcBorders>
          </w:tcPr>
          <w:p w14:paraId="6EBCD8CE" w14:textId="77777777" w:rsidR="001376F7" w:rsidRPr="00E44F3E" w:rsidRDefault="001376F7">
            <w:pPr>
              <w:pStyle w:val="TableText"/>
            </w:pPr>
            <w:r w:rsidRPr="00E44F3E">
              <w:t>Chronic lymphocytic leukaemia (CLL) or small lymphocytic lymphoma (SLL)</w:t>
            </w:r>
          </w:p>
        </w:tc>
        <w:tc>
          <w:tcPr>
            <w:tcW w:w="0" w:type="auto"/>
            <w:tcBorders>
              <w:top w:val="single" w:sz="4" w:space="0" w:color="C2D9BA"/>
              <w:bottom w:val="single" w:sz="4" w:space="0" w:color="C2D9BA"/>
            </w:tcBorders>
            <w:shd w:val="clear" w:color="auto" w:fill="auto"/>
          </w:tcPr>
          <w:p w14:paraId="5DD63685" w14:textId="70B1AA56" w:rsidR="001376F7" w:rsidRPr="00E44F3E" w:rsidRDefault="001376F7">
            <w:pPr>
              <w:pStyle w:val="TableText"/>
            </w:pPr>
            <w:r w:rsidRPr="00E44F3E">
              <w:rPr>
                <w:rFonts w:cs="Calibri"/>
                <w:color w:val="000000"/>
                <w:szCs w:val="18"/>
              </w:rPr>
              <w:t>Relapsed or refractory to at least one prior therapy, CD20-positive</w:t>
            </w:r>
          </w:p>
        </w:tc>
        <w:tc>
          <w:tcPr>
            <w:tcW w:w="0" w:type="auto"/>
            <w:tcBorders>
              <w:top w:val="single" w:sz="4" w:space="0" w:color="C2D9BA"/>
              <w:bottom w:val="single" w:sz="4" w:space="0" w:color="C2D9BA"/>
            </w:tcBorders>
          </w:tcPr>
          <w:p w14:paraId="707AA10C" w14:textId="416BEA97" w:rsidR="001376F7" w:rsidRPr="00E44F3E" w:rsidRDefault="001376F7">
            <w:pPr>
              <w:pStyle w:val="TableText"/>
              <w:jc w:val="center"/>
            </w:pPr>
            <w:r w:rsidRPr="00E44F3E">
              <w:rPr>
                <w:b/>
                <w:szCs w:val="18"/>
              </w:rPr>
              <w:t>4</w:t>
            </w:r>
            <w:r w:rsidR="00861432" w:rsidRPr="00E44F3E">
              <w:rPr>
                <w:b/>
                <w:szCs w:val="18"/>
              </w:rPr>
              <w:br/>
            </w:r>
            <w:r w:rsidRPr="00E44F3E">
              <w:rPr>
                <w:szCs w:val="18"/>
              </w:rPr>
              <w:t>(non-curative)</w:t>
            </w:r>
          </w:p>
        </w:tc>
        <w:tc>
          <w:tcPr>
            <w:tcW w:w="0" w:type="auto"/>
            <w:tcBorders>
              <w:top w:val="single" w:sz="4" w:space="0" w:color="C2D9BA"/>
              <w:bottom w:val="single" w:sz="4" w:space="0" w:color="C2D9BA"/>
            </w:tcBorders>
          </w:tcPr>
          <w:p w14:paraId="2B8130B0" w14:textId="77777777" w:rsidR="001376F7" w:rsidRPr="00E44F3E" w:rsidRDefault="001376F7" w:rsidP="000B2F96">
            <w:pPr>
              <w:pStyle w:val="TableText"/>
              <w:jc w:val="center"/>
            </w:pPr>
            <w:r w:rsidRPr="00E44F3E">
              <w:t>No application</w:t>
            </w:r>
          </w:p>
        </w:tc>
        <w:tc>
          <w:tcPr>
            <w:tcW w:w="0" w:type="auto"/>
            <w:tcBorders>
              <w:top w:val="single" w:sz="4" w:space="0" w:color="C2D9BA"/>
              <w:bottom w:val="single" w:sz="4" w:space="0" w:color="C2D9BA"/>
            </w:tcBorders>
          </w:tcPr>
          <w:p w14:paraId="16359600" w14:textId="746491D9" w:rsidR="001376F7" w:rsidRPr="00E44F3E" w:rsidRDefault="00811197">
            <w:pPr>
              <w:pStyle w:val="TableText"/>
              <w:jc w:val="center"/>
            </w:pPr>
            <w:r>
              <w:fldChar w:fldCharType="begin"/>
            </w:r>
            <w:r>
              <w:instrText xml:space="preserve"> REF _Ref177735677 \h </w:instrText>
            </w:r>
            <w:r>
              <w:fldChar w:fldCharType="separate"/>
            </w:r>
            <w:r w:rsidR="004A6DF6" w:rsidRPr="00E44F3E">
              <w:t xml:space="preserve">Table </w:t>
            </w:r>
            <w:r w:rsidR="004A6DF6">
              <w:rPr>
                <w:noProof/>
              </w:rPr>
              <w:t>20</w:t>
            </w:r>
            <w:r>
              <w:fldChar w:fldCharType="end"/>
            </w:r>
          </w:p>
        </w:tc>
      </w:tr>
      <w:tr w:rsidR="00367AA3" w:rsidRPr="00E44F3E" w14:paraId="58428556" w14:textId="77777777" w:rsidTr="00997E07">
        <w:trPr>
          <w:cantSplit/>
          <w:trHeight w:val="306"/>
        </w:trPr>
        <w:tc>
          <w:tcPr>
            <w:tcW w:w="0" w:type="auto"/>
            <w:tcBorders>
              <w:top w:val="single" w:sz="4" w:space="0" w:color="C2D9BA"/>
              <w:bottom w:val="single" w:sz="4" w:space="0" w:color="C2D9BA"/>
            </w:tcBorders>
          </w:tcPr>
          <w:p w14:paraId="3A2A91FC" w14:textId="77777777" w:rsidR="001376F7" w:rsidRPr="00E44F3E" w:rsidRDefault="001376F7" w:rsidP="00997E07">
            <w:pPr>
              <w:pStyle w:val="TableText"/>
            </w:pPr>
            <w:proofErr w:type="spellStart"/>
            <w:r w:rsidRPr="00E44F3E">
              <w:t>Inotuzumab</w:t>
            </w:r>
            <w:proofErr w:type="spellEnd"/>
            <w:r w:rsidRPr="00E44F3E">
              <w:t xml:space="preserve"> </w:t>
            </w:r>
            <w:proofErr w:type="spellStart"/>
            <w:r w:rsidRPr="00E44F3E">
              <w:t>ozogamicin</w:t>
            </w:r>
            <w:proofErr w:type="spellEnd"/>
          </w:p>
        </w:tc>
        <w:tc>
          <w:tcPr>
            <w:tcW w:w="0" w:type="auto"/>
            <w:tcBorders>
              <w:top w:val="single" w:sz="4" w:space="0" w:color="C2D9BA"/>
              <w:bottom w:val="single" w:sz="4" w:space="0" w:color="C2D9BA"/>
            </w:tcBorders>
            <w:vAlign w:val="center"/>
          </w:tcPr>
          <w:p w14:paraId="0E2F4EF6" w14:textId="77777777" w:rsidR="001376F7" w:rsidRPr="00E44F3E" w:rsidRDefault="001376F7">
            <w:pPr>
              <w:pStyle w:val="TableText"/>
            </w:pPr>
            <w:r w:rsidRPr="00E44F3E">
              <w:t>Acute lymphoblastic leukaemia (ALL)</w:t>
            </w:r>
          </w:p>
        </w:tc>
        <w:tc>
          <w:tcPr>
            <w:tcW w:w="0" w:type="auto"/>
            <w:tcBorders>
              <w:top w:val="single" w:sz="4" w:space="0" w:color="C2D9BA"/>
              <w:bottom w:val="single" w:sz="4" w:space="0" w:color="C2D9BA"/>
            </w:tcBorders>
            <w:shd w:val="clear" w:color="auto" w:fill="auto"/>
            <w:vAlign w:val="center"/>
          </w:tcPr>
          <w:p w14:paraId="47F4E1BF" w14:textId="16852BF2" w:rsidR="001376F7" w:rsidRPr="00E44F3E" w:rsidRDefault="001376F7">
            <w:pPr>
              <w:pStyle w:val="TableText"/>
              <w:rPr>
                <w:rFonts w:cs="Calibri"/>
                <w:color w:val="000000"/>
                <w:szCs w:val="18"/>
              </w:rPr>
            </w:pPr>
            <w:r w:rsidRPr="00E44F3E">
              <w:t>Relapsed or refractory B-precursor cell,</w:t>
            </w:r>
            <w:r w:rsidR="00B1682D" w:rsidRPr="00E44F3E">
              <w:t xml:space="preserve"> </w:t>
            </w:r>
            <w:r w:rsidRPr="00E44F3E">
              <w:t>CD22-positive ALL</w:t>
            </w:r>
          </w:p>
        </w:tc>
        <w:tc>
          <w:tcPr>
            <w:tcW w:w="0" w:type="auto"/>
            <w:tcBorders>
              <w:top w:val="single" w:sz="4" w:space="0" w:color="C2D9BA"/>
              <w:bottom w:val="single" w:sz="4" w:space="0" w:color="C2D9BA"/>
            </w:tcBorders>
          </w:tcPr>
          <w:p w14:paraId="4BFF23E7" w14:textId="5FEE0673" w:rsidR="001376F7" w:rsidRPr="00E44F3E" w:rsidRDefault="001376F7">
            <w:pPr>
              <w:pStyle w:val="TableText"/>
              <w:jc w:val="center"/>
              <w:rPr>
                <w:b/>
                <w:szCs w:val="18"/>
              </w:rPr>
            </w:pPr>
            <w:r w:rsidRPr="00E44F3E">
              <w:rPr>
                <w:b/>
                <w:szCs w:val="18"/>
              </w:rPr>
              <w:t>4</w:t>
            </w:r>
            <w:r w:rsidR="00861432" w:rsidRPr="00E44F3E">
              <w:rPr>
                <w:b/>
                <w:szCs w:val="18"/>
              </w:rPr>
              <w:br/>
            </w:r>
            <w:r w:rsidRPr="00E44F3E">
              <w:rPr>
                <w:szCs w:val="18"/>
              </w:rPr>
              <w:t>(non-curative)</w:t>
            </w:r>
          </w:p>
        </w:tc>
        <w:tc>
          <w:tcPr>
            <w:tcW w:w="0" w:type="auto"/>
            <w:tcBorders>
              <w:top w:val="single" w:sz="4" w:space="0" w:color="C2D9BA"/>
              <w:bottom w:val="single" w:sz="4" w:space="0" w:color="C2D9BA"/>
            </w:tcBorders>
          </w:tcPr>
          <w:p w14:paraId="16113009" w14:textId="4AA98F0B" w:rsidR="001376F7" w:rsidRPr="00E44F3E" w:rsidRDefault="00C80CF6" w:rsidP="000B2F96">
            <w:pPr>
              <w:pStyle w:val="TableText"/>
              <w:jc w:val="center"/>
            </w:pPr>
            <w:r w:rsidRPr="00C80CF6">
              <w:t>OFI</w:t>
            </w:r>
            <w:r w:rsidR="001376F7" w:rsidRPr="00E44F3E">
              <w:t xml:space="preserve"> </w:t>
            </w:r>
            <w:r w:rsidR="0050587D">
              <w:t>l</w:t>
            </w:r>
            <w:r w:rsidR="001376F7" w:rsidRPr="00E44F3E">
              <w:t>ist</w:t>
            </w:r>
          </w:p>
        </w:tc>
        <w:tc>
          <w:tcPr>
            <w:tcW w:w="0" w:type="auto"/>
            <w:tcBorders>
              <w:top w:val="single" w:sz="4" w:space="0" w:color="C2D9BA"/>
              <w:bottom w:val="single" w:sz="4" w:space="0" w:color="C2D9BA"/>
            </w:tcBorders>
          </w:tcPr>
          <w:p w14:paraId="2C6C77F4" w14:textId="62DB0B61" w:rsidR="001376F7" w:rsidRPr="00E44F3E" w:rsidRDefault="00C27C51">
            <w:pPr>
              <w:pStyle w:val="TableText"/>
              <w:jc w:val="center"/>
            </w:pPr>
            <w:r>
              <w:fldChar w:fldCharType="begin"/>
            </w:r>
            <w:r>
              <w:instrText xml:space="preserve"> REF _Ref177736093 \h </w:instrText>
            </w:r>
            <w:r w:rsidR="00997E07">
              <w:instrText xml:space="preserve"> \* MERGEFORMAT </w:instrText>
            </w:r>
            <w:r>
              <w:fldChar w:fldCharType="separate"/>
            </w:r>
            <w:r w:rsidR="004A6DF6" w:rsidRPr="00E44F3E">
              <w:t xml:space="preserve">Table </w:t>
            </w:r>
            <w:r w:rsidR="004A6DF6">
              <w:rPr>
                <w:noProof/>
              </w:rPr>
              <w:t>21</w:t>
            </w:r>
            <w:r>
              <w:fldChar w:fldCharType="end"/>
            </w:r>
          </w:p>
        </w:tc>
      </w:tr>
    </w:tbl>
    <w:p w14:paraId="6819D65A" w14:textId="77777777" w:rsidR="001376F7" w:rsidRPr="00E44F3E" w:rsidRDefault="001376F7" w:rsidP="000B4E6F">
      <w:pPr>
        <w:pStyle w:val="Heading3"/>
      </w:pPr>
      <w:r w:rsidRPr="00E44F3E">
        <w:rPr>
          <w:rFonts w:eastAsia="MS Gothic"/>
        </w:rPr>
        <w:t xml:space="preserve">Incidence of leukaemia </w:t>
      </w:r>
    </w:p>
    <w:p w14:paraId="42412804" w14:textId="22B42489" w:rsidR="001376F7" w:rsidRPr="00E44F3E" w:rsidRDefault="001376F7" w:rsidP="000B4E6F">
      <w:r w:rsidRPr="00E44F3E">
        <w:t xml:space="preserve">Leukaemia (acute and chronic combined, all ages) is the seventh </w:t>
      </w:r>
      <w:proofErr w:type="gramStart"/>
      <w:r w:rsidRPr="00E44F3E">
        <w:t>most commonly diagnosed</w:t>
      </w:r>
      <w:proofErr w:type="gramEnd"/>
      <w:r w:rsidRPr="00E44F3E">
        <w:t xml:space="preserve"> cancer in </w:t>
      </w:r>
      <w:r w:rsidR="00E6006E">
        <w:t>Aotearoa New </w:t>
      </w:r>
      <w:r w:rsidR="003B42AA">
        <w:t>Zealand</w:t>
      </w:r>
      <w:r w:rsidRPr="00E44F3E">
        <w:t xml:space="preserve"> – with an average of 650 people diagnosed each year, including 75 Māori. When age-standardised, the rate of leukaemia is higher for Māori (9</w:t>
      </w:r>
      <w:r w:rsidR="00FE79B3">
        <w:t> </w:t>
      </w:r>
      <w:r w:rsidRPr="00E44F3E">
        <w:t xml:space="preserve">per 100,000) compared with non-Māori (7 per 100,000). The rate of leukaemia is also higher among Pacific peoples (9 per 100,000) compared with the non-Māori, non-Pacific, </w:t>
      </w:r>
      <w:proofErr w:type="spellStart"/>
      <w:r w:rsidRPr="00E44F3E">
        <w:t>non-Asian</w:t>
      </w:r>
      <w:proofErr w:type="spellEnd"/>
      <w:r w:rsidRPr="00E44F3E">
        <w:t xml:space="preserve"> population (7 per 100,000) (Te Aho o Te Kahu 2021). </w:t>
      </w:r>
    </w:p>
    <w:p w14:paraId="58A8FBD1" w14:textId="3646E7B2" w:rsidR="001376F7" w:rsidRPr="00E44F3E" w:rsidRDefault="001376F7" w:rsidP="000B4E6F">
      <w:pPr>
        <w:pStyle w:val="Heading3"/>
        <w:rPr>
          <w:rFonts w:eastAsia="MS Gothic"/>
        </w:rPr>
      </w:pPr>
      <w:r w:rsidRPr="00E44F3E">
        <w:t>Leukaemia s</w:t>
      </w:r>
      <w:r w:rsidRPr="00E44F3E">
        <w:rPr>
          <w:rFonts w:eastAsia="MS Gothic"/>
        </w:rPr>
        <w:t>urvival</w:t>
      </w:r>
      <w:r w:rsidRPr="00E44F3E">
        <w:rPr>
          <w:rFonts w:eastAsia="MS Gothic"/>
          <w:vertAlign w:val="superscript"/>
        </w:rPr>
        <w:footnoteReference w:id="5"/>
      </w:r>
    </w:p>
    <w:p w14:paraId="65D15D03" w14:textId="4B2EAEE1" w:rsidR="001376F7" w:rsidRPr="00E44F3E" w:rsidRDefault="001376F7" w:rsidP="001376F7">
      <w:pPr>
        <w:rPr>
          <w:color w:val="000000"/>
          <w:shd w:val="clear" w:color="auto" w:fill="FFFFFF"/>
        </w:rPr>
      </w:pPr>
      <w:r w:rsidRPr="00E44F3E">
        <w:rPr>
          <w:color w:val="000000"/>
          <w:shd w:val="clear" w:color="auto" w:fill="FFFFFF"/>
        </w:rPr>
        <w:t>Approximately 60</w:t>
      </w:r>
      <w:r w:rsidR="00B17E21">
        <w:rPr>
          <w:color w:val="000000"/>
          <w:shd w:val="clear" w:color="auto" w:fill="FFFFFF"/>
        </w:rPr>
        <w:t>%</w:t>
      </w:r>
      <w:r w:rsidRPr="00E44F3E">
        <w:rPr>
          <w:color w:val="000000"/>
          <w:shd w:val="clear" w:color="auto" w:fill="FFFFFF"/>
        </w:rPr>
        <w:t xml:space="preserve"> of those diagnosed with leukaemia will survive to five years (60</w:t>
      </w:r>
      <w:r w:rsidR="00D91C1A">
        <w:rPr>
          <w:color w:val="000000"/>
          <w:shd w:val="clear" w:color="auto" w:fill="FFFFFF"/>
        </w:rPr>
        <w:t>%</w:t>
      </w:r>
      <w:r w:rsidRPr="00E44F3E">
        <w:rPr>
          <w:color w:val="000000"/>
          <w:shd w:val="clear" w:color="auto" w:fill="FFFFFF"/>
        </w:rPr>
        <w:t xml:space="preserve"> M</w:t>
      </w:r>
      <w:r w:rsidRPr="00E44F3E">
        <w:rPr>
          <w:rFonts w:cs="Fira Sans"/>
          <w:color w:val="000000"/>
          <w:shd w:val="clear" w:color="auto" w:fill="FFFFFF"/>
        </w:rPr>
        <w:t>ā</w:t>
      </w:r>
      <w:r w:rsidRPr="00E44F3E">
        <w:rPr>
          <w:color w:val="000000"/>
          <w:shd w:val="clear" w:color="auto" w:fill="FFFFFF"/>
        </w:rPr>
        <w:t>ori, 62</w:t>
      </w:r>
      <w:r w:rsidR="00D91C1A">
        <w:rPr>
          <w:color w:val="000000"/>
          <w:shd w:val="clear" w:color="auto" w:fill="FFFFFF"/>
        </w:rPr>
        <w:t>%</w:t>
      </w:r>
      <w:r w:rsidRPr="00E44F3E">
        <w:rPr>
          <w:color w:val="000000"/>
          <w:shd w:val="clear" w:color="auto" w:fill="FFFFFF"/>
        </w:rPr>
        <w:t xml:space="preserve"> non-M</w:t>
      </w:r>
      <w:r w:rsidRPr="00E44F3E">
        <w:rPr>
          <w:rFonts w:cs="Fira Sans"/>
          <w:color w:val="000000"/>
          <w:shd w:val="clear" w:color="auto" w:fill="FFFFFF"/>
        </w:rPr>
        <w:t>ā</w:t>
      </w:r>
      <w:r w:rsidRPr="00E44F3E">
        <w:rPr>
          <w:color w:val="000000"/>
          <w:shd w:val="clear" w:color="auto" w:fill="FFFFFF"/>
        </w:rPr>
        <w:t>ori) (</w:t>
      </w:r>
      <w:r w:rsidR="00CE72D6" w:rsidRPr="00CE72D6">
        <w:rPr>
          <w:color w:val="000000"/>
          <w:shd w:val="clear" w:color="auto" w:fill="FFFFFF"/>
        </w:rPr>
        <w:t>Gurney, Stanley et al 2020</w:t>
      </w:r>
      <w:r w:rsidRPr="00E44F3E">
        <w:rPr>
          <w:color w:val="000000"/>
          <w:shd w:val="clear" w:color="auto" w:fill="FFFFFF"/>
        </w:rPr>
        <w:t>). This can be compared to outcomes internationally</w:t>
      </w:r>
      <w:r w:rsidR="00434D68">
        <w:rPr>
          <w:color w:val="000000"/>
          <w:shd w:val="clear" w:color="auto" w:fill="FFFFFF"/>
        </w:rPr>
        <w:t>,</w:t>
      </w:r>
      <w:r w:rsidRPr="00E44F3E">
        <w:rPr>
          <w:color w:val="000000"/>
          <w:shd w:val="clear" w:color="auto" w:fill="FFFFFF"/>
        </w:rPr>
        <w:t xml:space="preserve"> with estimates from Cancer Research UK showing five-year survival in the United Kingdom at 56% for this cancer, while in the United States five-year survival is around 60</w:t>
      </w:r>
      <w:r w:rsidR="00B17E21">
        <w:rPr>
          <w:color w:val="000000"/>
          <w:shd w:val="clear" w:color="auto" w:fill="FFFFFF"/>
        </w:rPr>
        <w:t>%</w:t>
      </w:r>
      <w:r w:rsidRPr="00E44F3E">
        <w:rPr>
          <w:color w:val="000000"/>
          <w:shd w:val="clear" w:color="auto" w:fill="FFFFFF"/>
        </w:rPr>
        <w:t xml:space="preserve"> (Cancer Research UK 2023; Ellington </w:t>
      </w:r>
      <w:r w:rsidR="00EC1065" w:rsidRPr="00E44F3E">
        <w:rPr>
          <w:color w:val="000000"/>
          <w:shd w:val="clear" w:color="auto" w:fill="FFFFFF"/>
        </w:rPr>
        <w:t>et al</w:t>
      </w:r>
      <w:r w:rsidRPr="00E44F3E">
        <w:rPr>
          <w:color w:val="000000"/>
          <w:shd w:val="clear" w:color="auto" w:fill="FFFFFF"/>
        </w:rPr>
        <w:t xml:space="preserve"> 2023). Based on data from 2007</w:t>
      </w:r>
      <w:r w:rsidR="00D91C1A">
        <w:rPr>
          <w:color w:val="000000"/>
          <w:shd w:val="clear" w:color="auto" w:fill="FFFFFF"/>
        </w:rPr>
        <w:t xml:space="preserve"> to </w:t>
      </w:r>
      <w:r w:rsidRPr="00E44F3E">
        <w:rPr>
          <w:color w:val="000000"/>
          <w:shd w:val="clear" w:color="auto" w:fill="FFFFFF"/>
        </w:rPr>
        <w:t>2016, Māori with leukaemia are 64</w:t>
      </w:r>
      <w:r w:rsidR="00B17E21">
        <w:rPr>
          <w:color w:val="000000"/>
          <w:shd w:val="clear" w:color="auto" w:fill="FFFFFF"/>
        </w:rPr>
        <w:t>%</w:t>
      </w:r>
      <w:r w:rsidRPr="00E44F3E">
        <w:rPr>
          <w:color w:val="000000"/>
          <w:shd w:val="clear" w:color="auto" w:fill="FFFFFF"/>
        </w:rPr>
        <w:t xml:space="preserve"> more likely to die from their cancer than non-Māori with the same cancer (</w:t>
      </w:r>
      <w:r w:rsidR="00C63EC8" w:rsidRPr="00C63EC8">
        <w:rPr>
          <w:color w:val="000000"/>
          <w:shd w:val="clear" w:color="auto" w:fill="FFFFFF"/>
        </w:rPr>
        <w:t>Gurney, Stanley et al 2020</w:t>
      </w:r>
      <w:r w:rsidRPr="00E44F3E">
        <w:rPr>
          <w:color w:val="000000"/>
          <w:shd w:val="clear" w:color="auto" w:fill="FFFFFF"/>
        </w:rPr>
        <w:t>).</w:t>
      </w:r>
    </w:p>
    <w:p w14:paraId="2BEA1EFF" w14:textId="77777777" w:rsidR="001376F7" w:rsidRPr="00E44F3E" w:rsidRDefault="001376F7" w:rsidP="0030281E">
      <w:pPr>
        <w:pStyle w:val="Heading3"/>
        <w:rPr>
          <w:rFonts w:eastAsia="MS Gothic"/>
        </w:rPr>
      </w:pPr>
      <w:r w:rsidRPr="00E44F3E">
        <w:t>Leukaemia m</w:t>
      </w:r>
      <w:r w:rsidRPr="00E44F3E">
        <w:rPr>
          <w:rFonts w:eastAsia="MS Gothic"/>
        </w:rPr>
        <w:t xml:space="preserve">ortality </w:t>
      </w:r>
    </w:p>
    <w:p w14:paraId="4FB3ED7C" w14:textId="37B2A7C7" w:rsidR="001376F7" w:rsidRPr="00E44F3E" w:rsidRDefault="001376F7" w:rsidP="0030281E">
      <w:r w:rsidRPr="00E44F3E">
        <w:t xml:space="preserve">Over the last decade, there has been an average of approximately 310 deaths each year from leukaemia, including around 30 Māori (Te Aho o Te Kahu 2021). The age-standardised mortality rate for leukaemia is higher among Māori (3 per 100,000) compared with non-Māori (2 per 100,000). The leukaemia mortality rate is also higher for Pacific peoples (4 per 100,000) compared with the non-Māori, non-Pacific, </w:t>
      </w:r>
      <w:proofErr w:type="spellStart"/>
      <w:r w:rsidRPr="00E44F3E">
        <w:t>non-Asian</w:t>
      </w:r>
      <w:proofErr w:type="spellEnd"/>
      <w:r w:rsidRPr="00E44F3E">
        <w:t xml:space="preserve"> population (3 per 100,000) (Te Aho o Te Kahu 2021).</w:t>
      </w:r>
    </w:p>
    <w:p w14:paraId="1D3C7C1C" w14:textId="5BDB5EC6" w:rsidR="00DF57C0" w:rsidRPr="00E44F3E" w:rsidRDefault="00DF57C0" w:rsidP="00DF57C0">
      <w:pPr>
        <w:pStyle w:val="Heading2"/>
      </w:pPr>
      <w:bookmarkStart w:id="114" w:name="_Toc180062115"/>
      <w:r w:rsidRPr="00E44F3E">
        <w:lastRenderedPageBreak/>
        <w:t>Gaps associated with substantial clinical benefit – by cancer type: Lymphoma</w:t>
      </w:r>
      <w:bookmarkEnd w:id="114"/>
    </w:p>
    <w:p w14:paraId="3471FB77" w14:textId="279A852A" w:rsidR="00DF57C0" w:rsidRPr="00E44F3E" w:rsidRDefault="00DF57C0" w:rsidP="00DF57C0">
      <w:r w:rsidRPr="004B2656">
        <w:t>One</w:t>
      </w:r>
      <w:r w:rsidRPr="00E44F3E">
        <w:t xml:space="preserve"> regimen</w:t>
      </w:r>
      <w:r w:rsidR="00DC5AE3">
        <w:t>-indication</w:t>
      </w:r>
      <w:r w:rsidRPr="00E44F3E">
        <w:t xml:space="preserve"> </w:t>
      </w:r>
      <w:r w:rsidR="00B3455C">
        <w:t xml:space="preserve">pair </w:t>
      </w:r>
      <w:r w:rsidR="00EB3EC2">
        <w:t>gap</w:t>
      </w:r>
      <w:r w:rsidR="00EB3EC2" w:rsidRPr="00E44F3E">
        <w:t xml:space="preserve"> </w:t>
      </w:r>
      <w:r w:rsidRPr="00E44F3E">
        <w:t xml:space="preserve">of substantial clinical benefit </w:t>
      </w:r>
      <w:r w:rsidR="00EB3EC2">
        <w:t xml:space="preserve">was </w:t>
      </w:r>
      <w:r w:rsidRPr="00E44F3E">
        <w:t>for the group of blood cancers called lymphoma</w:t>
      </w:r>
      <w:r w:rsidR="007E0583">
        <w:t xml:space="preserve"> (</w:t>
      </w:r>
      <w:r w:rsidR="007E0583">
        <w:fldChar w:fldCharType="begin"/>
      </w:r>
      <w:r w:rsidR="007E0583">
        <w:instrText xml:space="preserve"> REF _Ref177124037 \h </w:instrText>
      </w:r>
      <w:r w:rsidR="007E0583">
        <w:fldChar w:fldCharType="separate"/>
      </w:r>
      <w:r w:rsidR="004A6DF6" w:rsidRPr="00E44F3E">
        <w:t xml:space="preserve">Table </w:t>
      </w:r>
      <w:r w:rsidR="004A6DF6">
        <w:rPr>
          <w:noProof/>
        </w:rPr>
        <w:t>6</w:t>
      </w:r>
      <w:r w:rsidR="007E0583">
        <w:fldChar w:fldCharType="end"/>
      </w:r>
      <w:r w:rsidR="007E0583">
        <w:t>)</w:t>
      </w:r>
      <w:r w:rsidRPr="00E44F3E">
        <w:t xml:space="preserve">. </w:t>
      </w:r>
      <w:r w:rsidR="0091170B">
        <w:t>T</w:t>
      </w:r>
      <w:r w:rsidRPr="00E44F3E">
        <w:t xml:space="preserve">he identified </w:t>
      </w:r>
      <w:r w:rsidR="0091170B">
        <w:t xml:space="preserve">gap was </w:t>
      </w:r>
      <w:r w:rsidRPr="00E44F3E">
        <w:t xml:space="preserve">determined to provide benefit in a non-curative setting. </w:t>
      </w:r>
    </w:p>
    <w:p w14:paraId="13C8CE0A" w14:textId="77777777" w:rsidR="00DF57C0" w:rsidRPr="00E44F3E" w:rsidRDefault="00DF57C0" w:rsidP="00DF57C0"/>
    <w:p w14:paraId="199505E4" w14:textId="63178202" w:rsidR="00DF57C0" w:rsidRPr="00E44F3E" w:rsidRDefault="00DF57C0" w:rsidP="00DF57C0">
      <w:pPr>
        <w:pStyle w:val="Table"/>
        <w:keepLines/>
      </w:pPr>
      <w:bookmarkStart w:id="115" w:name="_Ref177124037"/>
      <w:bookmarkStart w:id="116" w:name="_Toc175241596"/>
      <w:bookmarkStart w:id="117" w:name="_Toc180142292"/>
      <w:r w:rsidRPr="00E44F3E">
        <w:t xml:space="preserve">Table </w:t>
      </w:r>
      <w:r w:rsidR="00D97615">
        <w:fldChar w:fldCharType="begin"/>
      </w:r>
      <w:r w:rsidR="00D97615">
        <w:instrText xml:space="preserve"> SEQ Table \* ARABIC </w:instrText>
      </w:r>
      <w:r w:rsidR="00D97615">
        <w:fldChar w:fldCharType="separate"/>
      </w:r>
      <w:r w:rsidR="004A6DF6">
        <w:rPr>
          <w:noProof/>
        </w:rPr>
        <w:t>6</w:t>
      </w:r>
      <w:r w:rsidR="00D97615">
        <w:rPr>
          <w:noProof/>
        </w:rPr>
        <w:fldChar w:fldCharType="end"/>
      </w:r>
      <w:bookmarkEnd w:id="115"/>
      <w:r w:rsidRPr="00E44F3E">
        <w:t xml:space="preserve">: Substantial clinical benefit </w:t>
      </w:r>
      <w:r w:rsidR="0091170B">
        <w:t>gap</w:t>
      </w:r>
      <w:r w:rsidR="0091170B" w:rsidRPr="00E44F3E">
        <w:t xml:space="preserve"> </w:t>
      </w:r>
      <w:r w:rsidRPr="00E44F3E">
        <w:t>in lymphoma</w:t>
      </w:r>
      <w:bookmarkEnd w:id="116"/>
      <w:bookmarkEnd w:id="117"/>
      <w:r w:rsidRPr="00E44F3E">
        <w:t xml:space="preserve"> </w:t>
      </w:r>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587"/>
        <w:gridCol w:w="1201"/>
        <w:gridCol w:w="1498"/>
        <w:gridCol w:w="976"/>
        <w:gridCol w:w="1635"/>
        <w:gridCol w:w="1182"/>
      </w:tblGrid>
      <w:tr w:rsidR="009449A9" w:rsidRPr="00E44F3E" w14:paraId="5F578502" w14:textId="77777777" w:rsidTr="00AF0CD9">
        <w:trPr>
          <w:cantSplit/>
          <w:trHeight w:val="519"/>
          <w:tblHeader/>
        </w:trPr>
        <w:tc>
          <w:tcPr>
            <w:tcW w:w="0" w:type="auto"/>
            <w:tcBorders>
              <w:top w:val="nil"/>
              <w:bottom w:val="nil"/>
            </w:tcBorders>
            <w:shd w:val="clear" w:color="auto" w:fill="C2D9BA"/>
            <w:vAlign w:val="center"/>
          </w:tcPr>
          <w:p w14:paraId="050FAE69" w14:textId="77777777" w:rsidR="00DF57C0" w:rsidRPr="00E44F3E" w:rsidRDefault="00DF57C0">
            <w:pPr>
              <w:pStyle w:val="TableText"/>
              <w:rPr>
                <w:b/>
                <w:bCs/>
                <w:szCs w:val="18"/>
              </w:rPr>
            </w:pPr>
            <w:r w:rsidRPr="00E44F3E">
              <w:rPr>
                <w:b/>
                <w:bCs/>
              </w:rPr>
              <w:t>Medicine name</w:t>
            </w:r>
          </w:p>
        </w:tc>
        <w:tc>
          <w:tcPr>
            <w:tcW w:w="0" w:type="auto"/>
            <w:tcBorders>
              <w:top w:val="nil"/>
              <w:bottom w:val="nil"/>
            </w:tcBorders>
            <w:shd w:val="clear" w:color="auto" w:fill="C2D9BA"/>
            <w:vAlign w:val="center"/>
          </w:tcPr>
          <w:p w14:paraId="45A2968F" w14:textId="43B08689" w:rsidR="00DF57C0" w:rsidRPr="00E44F3E" w:rsidRDefault="00DF57C0">
            <w:pPr>
              <w:pStyle w:val="TableText"/>
              <w:rPr>
                <w:b/>
                <w:bCs/>
                <w:szCs w:val="18"/>
              </w:rPr>
            </w:pPr>
            <w:r w:rsidRPr="00E44F3E">
              <w:rPr>
                <w:b/>
                <w:bCs/>
              </w:rPr>
              <w:t xml:space="preserve">Cancer </w:t>
            </w:r>
            <w:r w:rsidR="00DB1A3D">
              <w:rPr>
                <w:b/>
                <w:bCs/>
              </w:rPr>
              <w:t>t</w:t>
            </w:r>
            <w:r w:rsidRPr="00E44F3E">
              <w:rPr>
                <w:b/>
                <w:bCs/>
              </w:rPr>
              <w:t>ype</w:t>
            </w:r>
          </w:p>
        </w:tc>
        <w:tc>
          <w:tcPr>
            <w:tcW w:w="0" w:type="auto"/>
            <w:tcBorders>
              <w:top w:val="nil"/>
              <w:bottom w:val="nil"/>
            </w:tcBorders>
            <w:shd w:val="clear" w:color="auto" w:fill="C2D9BA"/>
            <w:vAlign w:val="center"/>
          </w:tcPr>
          <w:p w14:paraId="0976D06F" w14:textId="77777777" w:rsidR="00DF57C0" w:rsidRPr="00E44F3E" w:rsidRDefault="00DF57C0">
            <w:pPr>
              <w:pStyle w:val="TableText"/>
              <w:rPr>
                <w:b/>
                <w:bCs/>
                <w:szCs w:val="18"/>
              </w:rPr>
            </w:pPr>
            <w:r w:rsidRPr="00E44F3E">
              <w:rPr>
                <w:b/>
                <w:bCs/>
                <w:szCs w:val="18"/>
              </w:rPr>
              <w:t>Indication per PBS</w:t>
            </w:r>
          </w:p>
        </w:tc>
        <w:tc>
          <w:tcPr>
            <w:tcW w:w="0" w:type="auto"/>
            <w:tcBorders>
              <w:top w:val="nil"/>
              <w:bottom w:val="nil"/>
            </w:tcBorders>
            <w:shd w:val="clear" w:color="auto" w:fill="C2D9BA"/>
            <w:vAlign w:val="center"/>
          </w:tcPr>
          <w:p w14:paraId="2E26D5B1" w14:textId="77777777" w:rsidR="00DF57C0" w:rsidRPr="00E44F3E" w:rsidRDefault="00DF57C0">
            <w:pPr>
              <w:pStyle w:val="TableText"/>
              <w:jc w:val="center"/>
              <w:rPr>
                <w:b/>
                <w:bCs/>
              </w:rPr>
            </w:pPr>
            <w:r w:rsidRPr="00E44F3E">
              <w:rPr>
                <w:b/>
                <w:bCs/>
                <w:szCs w:val="18"/>
              </w:rPr>
              <w:t>ESMO-MCBS:H score</w:t>
            </w:r>
          </w:p>
        </w:tc>
        <w:tc>
          <w:tcPr>
            <w:tcW w:w="0" w:type="auto"/>
            <w:tcBorders>
              <w:top w:val="nil"/>
              <w:bottom w:val="nil"/>
            </w:tcBorders>
            <w:shd w:val="clear" w:color="auto" w:fill="C2D9BA"/>
            <w:vAlign w:val="center"/>
          </w:tcPr>
          <w:p w14:paraId="22E0B6F4" w14:textId="2F999C6B" w:rsidR="00DF57C0" w:rsidRPr="00E44F3E" w:rsidRDefault="00DF57C0">
            <w:pPr>
              <w:pStyle w:val="TableText"/>
              <w:jc w:val="center"/>
              <w:rPr>
                <w:b/>
                <w:bCs/>
                <w:szCs w:val="18"/>
              </w:rPr>
            </w:pPr>
            <w:r w:rsidRPr="00E44F3E">
              <w:rPr>
                <w:b/>
                <w:bCs/>
              </w:rPr>
              <w:t xml:space="preserve">Current Pharmac </w:t>
            </w:r>
            <w:r w:rsidR="00DB1A3D">
              <w:rPr>
                <w:b/>
                <w:bCs/>
              </w:rPr>
              <w:t>s</w:t>
            </w:r>
            <w:r w:rsidRPr="00E44F3E">
              <w:rPr>
                <w:b/>
                <w:bCs/>
              </w:rPr>
              <w:t>tatus (</w:t>
            </w:r>
            <w:r w:rsidR="00367AA3">
              <w:rPr>
                <w:b/>
                <w:bCs/>
              </w:rPr>
              <w:t>October</w:t>
            </w:r>
            <w:r w:rsidR="00DB1A3D">
              <w:rPr>
                <w:b/>
                <w:bCs/>
              </w:rPr>
              <w:t> 2024</w:t>
            </w:r>
            <w:r w:rsidRPr="00E44F3E">
              <w:rPr>
                <w:b/>
                <w:bCs/>
              </w:rPr>
              <w:t>)</w:t>
            </w:r>
          </w:p>
        </w:tc>
        <w:tc>
          <w:tcPr>
            <w:tcW w:w="0" w:type="auto"/>
            <w:tcBorders>
              <w:top w:val="nil"/>
              <w:bottom w:val="nil"/>
            </w:tcBorders>
            <w:shd w:val="clear" w:color="auto" w:fill="C2D9BA"/>
          </w:tcPr>
          <w:p w14:paraId="21D76557" w14:textId="77777777" w:rsidR="00DF57C0" w:rsidRPr="00E44F3E" w:rsidRDefault="00DF57C0">
            <w:pPr>
              <w:pStyle w:val="TableText"/>
              <w:jc w:val="center"/>
              <w:rPr>
                <w:b/>
                <w:bCs/>
              </w:rPr>
            </w:pPr>
            <w:r w:rsidRPr="00E44F3E">
              <w:rPr>
                <w:b/>
              </w:rPr>
              <w:t>Appendix table for further detail</w:t>
            </w:r>
          </w:p>
        </w:tc>
      </w:tr>
      <w:tr w:rsidR="00F724E7" w:rsidRPr="00E44F3E" w14:paraId="36D9AE8C" w14:textId="77777777" w:rsidTr="00AF0CD9">
        <w:trPr>
          <w:cantSplit/>
          <w:trHeight w:val="306"/>
        </w:trPr>
        <w:tc>
          <w:tcPr>
            <w:tcW w:w="0" w:type="auto"/>
            <w:tcBorders>
              <w:top w:val="nil"/>
              <w:bottom w:val="single" w:sz="4" w:space="0" w:color="C2D9BA"/>
            </w:tcBorders>
            <w:shd w:val="clear" w:color="auto" w:fill="auto"/>
          </w:tcPr>
          <w:p w14:paraId="3B9685BA" w14:textId="09868F43" w:rsidR="00DF57C0" w:rsidRPr="00E44F3E" w:rsidRDefault="00DF57C0">
            <w:pPr>
              <w:pStyle w:val="TableText"/>
              <w:rPr>
                <w:szCs w:val="18"/>
              </w:rPr>
            </w:pPr>
            <w:r w:rsidRPr="00E44F3E">
              <w:t xml:space="preserve">Acalabrutinib, </w:t>
            </w:r>
            <w:r w:rsidR="00141150">
              <w:t>i</w:t>
            </w:r>
            <w:r w:rsidRPr="00E44F3E">
              <w:t xml:space="preserve">brutinib or </w:t>
            </w:r>
            <w:proofErr w:type="spellStart"/>
            <w:r w:rsidRPr="00E44F3E">
              <w:t>zanubrutinib</w:t>
            </w:r>
            <w:proofErr w:type="spellEnd"/>
            <w:r w:rsidR="00004402" w:rsidRPr="0057336D">
              <w:rPr>
                <w:rFonts w:ascii="Calibri" w:hAnsi="Calibri" w:cs="Calibri"/>
              </w:rPr>
              <w:t>*</w:t>
            </w:r>
          </w:p>
        </w:tc>
        <w:tc>
          <w:tcPr>
            <w:tcW w:w="0" w:type="auto"/>
            <w:tcBorders>
              <w:top w:val="nil"/>
              <w:bottom w:val="single" w:sz="4" w:space="0" w:color="C2D9BA"/>
            </w:tcBorders>
            <w:shd w:val="clear" w:color="auto" w:fill="auto"/>
          </w:tcPr>
          <w:p w14:paraId="2969A80F" w14:textId="1FA18096" w:rsidR="00DF57C0" w:rsidRPr="00E44F3E" w:rsidRDefault="00DF57C0" w:rsidP="007D071A">
            <w:pPr>
              <w:pStyle w:val="TableText"/>
              <w:rPr>
                <w:szCs w:val="18"/>
              </w:rPr>
            </w:pPr>
            <w:bookmarkStart w:id="118" w:name="_Hlk177464439"/>
            <w:r w:rsidRPr="00E44F3E">
              <w:t>Mantle cell lymphoma</w:t>
            </w:r>
            <w:r w:rsidR="007D071A">
              <w:t xml:space="preserve"> </w:t>
            </w:r>
            <w:r w:rsidRPr="00E44F3E">
              <w:t>(MCL)</w:t>
            </w:r>
            <w:bookmarkEnd w:id="118"/>
          </w:p>
        </w:tc>
        <w:tc>
          <w:tcPr>
            <w:tcW w:w="0" w:type="auto"/>
            <w:tcBorders>
              <w:top w:val="nil"/>
              <w:bottom w:val="single" w:sz="4" w:space="0" w:color="C2D9BA"/>
            </w:tcBorders>
            <w:shd w:val="clear" w:color="auto" w:fill="auto"/>
          </w:tcPr>
          <w:p w14:paraId="55610FC1" w14:textId="77777777" w:rsidR="00DF57C0" w:rsidRPr="00E44F3E" w:rsidRDefault="00DF57C0">
            <w:pPr>
              <w:pStyle w:val="TableText"/>
              <w:rPr>
                <w:szCs w:val="18"/>
              </w:rPr>
            </w:pPr>
            <w:r w:rsidRPr="00E44F3E">
              <w:t>Relapsed or be refractory to at least one prior therapy</w:t>
            </w:r>
          </w:p>
        </w:tc>
        <w:tc>
          <w:tcPr>
            <w:tcW w:w="0" w:type="auto"/>
            <w:tcBorders>
              <w:top w:val="nil"/>
              <w:bottom w:val="single" w:sz="4" w:space="0" w:color="C2D9BA"/>
            </w:tcBorders>
            <w:shd w:val="clear" w:color="auto" w:fill="auto"/>
          </w:tcPr>
          <w:p w14:paraId="07A643D2" w14:textId="77777777" w:rsidR="00DF57C0" w:rsidRPr="00E44F3E" w:rsidRDefault="00DF57C0" w:rsidP="00267965">
            <w:pPr>
              <w:pStyle w:val="TableText"/>
              <w:jc w:val="center"/>
              <w:rPr>
                <w:b/>
                <w:szCs w:val="18"/>
              </w:rPr>
            </w:pPr>
            <w:r w:rsidRPr="00E44F3E">
              <w:rPr>
                <w:b/>
                <w:szCs w:val="18"/>
              </w:rPr>
              <w:t>4</w:t>
            </w:r>
          </w:p>
          <w:p w14:paraId="10848790" w14:textId="77777777" w:rsidR="00DF57C0" w:rsidRPr="00E44F3E" w:rsidRDefault="00DF57C0" w:rsidP="00267965">
            <w:pPr>
              <w:pStyle w:val="TableText"/>
              <w:jc w:val="center"/>
            </w:pPr>
            <w:r w:rsidRPr="00E44F3E">
              <w:rPr>
                <w:szCs w:val="18"/>
              </w:rPr>
              <w:t>(non-curative)</w:t>
            </w:r>
          </w:p>
        </w:tc>
        <w:tc>
          <w:tcPr>
            <w:tcW w:w="0" w:type="auto"/>
            <w:tcBorders>
              <w:top w:val="nil"/>
              <w:bottom w:val="single" w:sz="4" w:space="0" w:color="C2D9BA"/>
            </w:tcBorders>
            <w:shd w:val="clear" w:color="auto" w:fill="auto"/>
          </w:tcPr>
          <w:p w14:paraId="47516299" w14:textId="58312FEB" w:rsidR="00DF57C0" w:rsidRPr="0057336D" w:rsidRDefault="00DF57C0" w:rsidP="00F85378">
            <w:pPr>
              <w:pStyle w:val="TableText"/>
              <w:jc w:val="center"/>
            </w:pPr>
            <w:r w:rsidRPr="0057336D">
              <w:t xml:space="preserve">Acalabrutinib – </w:t>
            </w:r>
            <w:r w:rsidR="007D071A">
              <w:t>n</w:t>
            </w:r>
            <w:r w:rsidRPr="0057336D">
              <w:t xml:space="preserve">o </w:t>
            </w:r>
            <w:r w:rsidR="007D071A">
              <w:t>a</w:t>
            </w:r>
            <w:r w:rsidRPr="0057336D">
              <w:t>pplication</w:t>
            </w:r>
          </w:p>
          <w:p w14:paraId="184065C5" w14:textId="4B93FAC0" w:rsidR="00DF57C0" w:rsidRPr="007D071A" w:rsidRDefault="00DF57C0" w:rsidP="00F85378">
            <w:pPr>
              <w:pStyle w:val="TableText"/>
              <w:jc w:val="center"/>
            </w:pPr>
            <w:r w:rsidRPr="0057336D">
              <w:t>Ibrutinib</w:t>
            </w:r>
            <w:r w:rsidR="00321BB1" w:rsidRPr="007D071A">
              <w:t xml:space="preserve"> – </w:t>
            </w:r>
            <w:r w:rsidR="00C80CF6" w:rsidRPr="007D071A">
              <w:t>OFI</w:t>
            </w:r>
            <w:r w:rsidR="009A7A40">
              <w:t> </w:t>
            </w:r>
            <w:r w:rsidR="0050587D" w:rsidRPr="007D071A">
              <w:t>l</w:t>
            </w:r>
            <w:r w:rsidRPr="007D071A">
              <w:t>ist</w:t>
            </w:r>
          </w:p>
          <w:p w14:paraId="798CF667" w14:textId="567842E5" w:rsidR="00DF57C0" w:rsidRPr="00E44F3E" w:rsidRDefault="00DF57C0" w:rsidP="00F85378">
            <w:pPr>
              <w:pStyle w:val="TableText"/>
              <w:jc w:val="center"/>
              <w:rPr>
                <w:szCs w:val="18"/>
              </w:rPr>
            </w:pPr>
            <w:r w:rsidRPr="0057336D">
              <w:t>Zanubrutinib</w:t>
            </w:r>
            <w:r w:rsidR="00321BB1" w:rsidRPr="0057336D">
              <w:t xml:space="preserve"> – </w:t>
            </w:r>
            <w:r w:rsidR="00367AA3">
              <w:t>OFI list</w:t>
            </w:r>
          </w:p>
        </w:tc>
        <w:tc>
          <w:tcPr>
            <w:tcW w:w="0" w:type="auto"/>
            <w:tcBorders>
              <w:top w:val="nil"/>
              <w:bottom w:val="single" w:sz="4" w:space="0" w:color="C2D9BA"/>
            </w:tcBorders>
            <w:shd w:val="clear" w:color="auto" w:fill="auto"/>
          </w:tcPr>
          <w:p w14:paraId="2FD5C455" w14:textId="637E6C9C" w:rsidR="00DF57C0" w:rsidRPr="00E44F3E" w:rsidRDefault="00BC6739" w:rsidP="009A7A40">
            <w:pPr>
              <w:pStyle w:val="TableText"/>
              <w:jc w:val="center"/>
            </w:pPr>
            <w:r>
              <w:fldChar w:fldCharType="begin"/>
            </w:r>
            <w:r>
              <w:instrText xml:space="preserve"> REF _Ref177735685 \h </w:instrText>
            </w:r>
            <w:r>
              <w:fldChar w:fldCharType="separate"/>
            </w:r>
            <w:r w:rsidR="004A6DF6" w:rsidRPr="00E44F3E">
              <w:t xml:space="preserve">Table </w:t>
            </w:r>
            <w:r w:rsidR="004A6DF6">
              <w:rPr>
                <w:noProof/>
              </w:rPr>
              <w:t>24</w:t>
            </w:r>
            <w:r>
              <w:fldChar w:fldCharType="end"/>
            </w:r>
            <w:r w:rsidR="009A7A40">
              <w:t xml:space="preserve"> </w:t>
            </w:r>
          </w:p>
        </w:tc>
      </w:tr>
    </w:tbl>
    <w:p w14:paraId="339996F5" w14:textId="4B0FF8DA" w:rsidR="00DA1A2C" w:rsidRPr="00E44F3E" w:rsidRDefault="00004402" w:rsidP="00EB0A8D">
      <w:pPr>
        <w:pStyle w:val="Note"/>
        <w:rPr>
          <w:rFonts w:eastAsia="MS Gothic"/>
        </w:rPr>
      </w:pPr>
      <w:r w:rsidRPr="00E44F3E">
        <w:rPr>
          <w:rFonts w:eastAsia="MS Gothic"/>
        </w:rPr>
        <w:t>*</w:t>
      </w:r>
      <w:r w:rsidRPr="00E44F3E">
        <w:rPr>
          <w:rFonts w:eastAsia="MS Gothic"/>
        </w:rPr>
        <w:tab/>
      </w:r>
      <w:r w:rsidR="00DA1A2C" w:rsidRPr="00E44F3E">
        <w:rPr>
          <w:rFonts w:eastAsia="MS Gothic"/>
        </w:rPr>
        <w:t xml:space="preserve">Medicines that are part of the </w:t>
      </w:r>
      <w:r w:rsidR="00D70A96" w:rsidRPr="00E44F3E">
        <w:rPr>
          <w:rFonts w:eastAsia="MS Gothic"/>
        </w:rPr>
        <w:t>Bruton</w:t>
      </w:r>
      <w:r w:rsidR="00D70A96">
        <w:rPr>
          <w:rFonts w:eastAsia="MS Gothic"/>
        </w:rPr>
        <w:t>’s</w:t>
      </w:r>
      <w:r w:rsidR="00DA1A2C" w:rsidRPr="00E44F3E">
        <w:rPr>
          <w:rFonts w:eastAsia="MS Gothic"/>
        </w:rPr>
        <w:t xml:space="preserve"> tyrosine kinase (BTK) inhibitors medicine class – only one medicine from the medicine classes would need to be funded to close the identified gap. </w:t>
      </w:r>
      <w:r w:rsidR="007D071A">
        <w:rPr>
          <w:rFonts w:eastAsia="MS Gothic"/>
        </w:rPr>
        <w:t xml:space="preserve">The </w:t>
      </w:r>
      <w:r w:rsidR="00DA1A2C" w:rsidRPr="00E44F3E">
        <w:rPr>
          <w:rFonts w:eastAsia="MS Gothic"/>
        </w:rPr>
        <w:t>ESMO-MCBS:H score reflects the highest score of the medicines scored in the class. Differences in ESMO-MCBS:H score are likely due to differences in trial design, follow-up periods and available data.</w:t>
      </w:r>
    </w:p>
    <w:p w14:paraId="6C6024F4" w14:textId="51F15D6A" w:rsidR="00DF57C0" w:rsidRPr="00E44F3E" w:rsidRDefault="00DF57C0" w:rsidP="00057FA7">
      <w:pPr>
        <w:pStyle w:val="Heading3"/>
        <w:rPr>
          <w:rFonts w:eastAsia="MS Gothic"/>
        </w:rPr>
      </w:pPr>
      <w:r w:rsidRPr="00E44F3E">
        <w:rPr>
          <w:rFonts w:eastAsia="MS Gothic"/>
        </w:rPr>
        <w:t>Incidence of lymphoma</w:t>
      </w:r>
    </w:p>
    <w:p w14:paraId="3F76842D" w14:textId="38CA0BF8" w:rsidR="00DF57C0" w:rsidRPr="00E44F3E" w:rsidRDefault="00DF57C0" w:rsidP="00057FA7">
      <w:r w:rsidRPr="00E44F3E">
        <w:t>Lymphomas can be broadly categorised as Hodgkin’s lymphoma or non-Hodgkin’s lymphoma.</w:t>
      </w:r>
      <w:r w:rsidR="00B1682D" w:rsidRPr="00E44F3E">
        <w:t xml:space="preserve"> </w:t>
      </w:r>
      <w:r w:rsidRPr="00E44F3E">
        <w:t>The two cancers differ somewhat in terms of age at diagnosis: Hodgkin’s lymphoma has a ‘double peak’ in incidence (one in childhood/young adulthood, one in older adults), while non-Hodgkin’s lymphoma has a single peak in older age (Cancer Research UK 2024). Hodgkin’s lymphoma is the rarer cancer, with around 104 people diagnosed each year, including 12 Māori (Te Aho o Te Kahu 2021).</w:t>
      </w:r>
    </w:p>
    <w:p w14:paraId="40B97C9A" w14:textId="1BE2247B" w:rsidR="00DF57C0" w:rsidRPr="00E44F3E" w:rsidRDefault="00DF57C0" w:rsidP="00057FA7"/>
    <w:p w14:paraId="26EDFA03" w14:textId="5C2F36C4" w:rsidR="00DF57C0" w:rsidRPr="00E44F3E" w:rsidRDefault="00DF57C0" w:rsidP="00057FA7">
      <w:r w:rsidRPr="00E44F3E">
        <w:t xml:space="preserve">On the other hand, non-Hodgkin’s lymphoma is the sixth most common cancer diagnosed in </w:t>
      </w:r>
      <w:r w:rsidR="00E6006E">
        <w:t>Aotearoa New </w:t>
      </w:r>
      <w:r w:rsidR="003B42AA">
        <w:t>Zealand</w:t>
      </w:r>
      <w:r w:rsidRPr="00E44F3E">
        <w:t xml:space="preserve"> – with around 800 people diagnosed each year, including 70 Māori.</w:t>
      </w:r>
      <w:r w:rsidR="00B1682D" w:rsidRPr="00E44F3E">
        <w:t xml:space="preserve"> </w:t>
      </w:r>
      <w:r w:rsidRPr="00E44F3E">
        <w:t>When age-standardised, the rate of non-Hodgkin’s lymphoma is similar between Māori and non-Māori (both around 5 per 100,000).</w:t>
      </w:r>
      <w:r w:rsidR="00B1682D" w:rsidRPr="00E44F3E">
        <w:t xml:space="preserve"> </w:t>
      </w:r>
      <w:r w:rsidRPr="00E44F3E">
        <w:t xml:space="preserve">The rate of non-Hodgkin’s lymphoma is also similar between Pacific </w:t>
      </w:r>
      <w:r w:rsidR="0044506B">
        <w:t xml:space="preserve">peoples </w:t>
      </w:r>
      <w:r w:rsidRPr="00E44F3E">
        <w:t xml:space="preserve">(9 per 100,000) and </w:t>
      </w:r>
      <w:r w:rsidR="00B87479">
        <w:t xml:space="preserve">the </w:t>
      </w:r>
      <w:r w:rsidRPr="00E44F3E">
        <w:t xml:space="preserve">non-Māori, non-Pacific, </w:t>
      </w:r>
      <w:proofErr w:type="spellStart"/>
      <w:r w:rsidRPr="00E44F3E">
        <w:t>non-Asian</w:t>
      </w:r>
      <w:proofErr w:type="spellEnd"/>
      <w:r w:rsidRPr="00E44F3E">
        <w:t xml:space="preserve"> </w:t>
      </w:r>
      <w:r w:rsidR="00B87479">
        <w:t xml:space="preserve">population </w:t>
      </w:r>
      <w:r w:rsidRPr="00E44F3E">
        <w:t>(8 per 100,000)</w:t>
      </w:r>
      <w:r w:rsidR="00B525FB">
        <w:t xml:space="preserve"> </w:t>
      </w:r>
      <w:r w:rsidRPr="00E44F3E">
        <w:t>(Te Aho o Te Kahu 2021).</w:t>
      </w:r>
    </w:p>
    <w:p w14:paraId="129D054E" w14:textId="77777777" w:rsidR="00DF57C0" w:rsidRPr="00E44F3E" w:rsidRDefault="00DF57C0" w:rsidP="00057FA7">
      <w:pPr>
        <w:pStyle w:val="Heading3"/>
        <w:rPr>
          <w:rFonts w:eastAsia="MS Gothic"/>
        </w:rPr>
      </w:pPr>
      <w:r w:rsidRPr="00E44F3E">
        <w:t>Lymphoma s</w:t>
      </w:r>
      <w:r w:rsidRPr="00E44F3E">
        <w:rPr>
          <w:rFonts w:eastAsia="MS Gothic"/>
        </w:rPr>
        <w:t>urvival</w:t>
      </w:r>
      <w:r w:rsidRPr="00E44F3E">
        <w:rPr>
          <w:rFonts w:eastAsia="MS Gothic"/>
          <w:vertAlign w:val="superscript"/>
        </w:rPr>
        <w:footnoteReference w:id="6"/>
      </w:r>
      <w:r w:rsidRPr="00E44F3E">
        <w:rPr>
          <w:rFonts w:eastAsia="MS Gothic"/>
          <w:vertAlign w:val="superscript"/>
        </w:rPr>
        <w:t xml:space="preserve"> </w:t>
      </w:r>
    </w:p>
    <w:p w14:paraId="2CE14E5D" w14:textId="026A7DD9" w:rsidR="00DF57C0" w:rsidRPr="00E44F3E" w:rsidRDefault="00DF57C0" w:rsidP="00057FA7">
      <w:r w:rsidRPr="00E44F3E">
        <w:t>While measuring survival among those with Hodgkin’s lymphoma is difficult, because of the rarity of this cancer, we would expect that around 80</w:t>
      </w:r>
      <w:r w:rsidR="00C9025F">
        <w:t>%</w:t>
      </w:r>
      <w:r w:rsidR="00A41599">
        <w:t>–</w:t>
      </w:r>
      <w:r w:rsidRPr="00E44F3E">
        <w:t>90</w:t>
      </w:r>
      <w:r w:rsidR="00B17E21">
        <w:t>%</w:t>
      </w:r>
      <w:r w:rsidRPr="00E44F3E">
        <w:t xml:space="preserve"> of Māori and non-Māori </w:t>
      </w:r>
      <w:r w:rsidRPr="00E44F3E">
        <w:lastRenderedPageBreak/>
        <w:t>diagnosed with this cancer will survive to five years (</w:t>
      </w:r>
      <w:proofErr w:type="spellStart"/>
      <w:r w:rsidRPr="00E44F3E">
        <w:t>Soeberg</w:t>
      </w:r>
      <w:proofErr w:type="spellEnd"/>
      <w:r w:rsidRPr="00E44F3E">
        <w:t xml:space="preserve"> </w:t>
      </w:r>
      <w:r w:rsidR="00EC1065" w:rsidRPr="00E44F3E">
        <w:t>et al</w:t>
      </w:r>
      <w:r w:rsidRPr="00E44F3E">
        <w:t xml:space="preserve"> 2015). This survival is broadly comparable to that experienced in other countries</w:t>
      </w:r>
      <w:r w:rsidR="00C9025F">
        <w:t>,</w:t>
      </w:r>
      <w:r w:rsidRPr="00E44F3E">
        <w:t xml:space="preserve"> including England (Cancer Research UK 2023).</w:t>
      </w:r>
    </w:p>
    <w:p w14:paraId="5A881522" w14:textId="4D9E43A5" w:rsidR="00DF57C0" w:rsidRPr="00E44F3E" w:rsidRDefault="00DF57C0" w:rsidP="00057FA7"/>
    <w:p w14:paraId="319FA0E7" w14:textId="3C394E9E" w:rsidR="00DF57C0" w:rsidRPr="00E44F3E" w:rsidRDefault="00DF57C0" w:rsidP="00057FA7">
      <w:r w:rsidRPr="00E44F3E">
        <w:t>Around 60</w:t>
      </w:r>
      <w:r w:rsidR="00BC6739">
        <w:t>%–</w:t>
      </w:r>
      <w:r w:rsidRPr="00E44F3E">
        <w:t>70</w:t>
      </w:r>
      <w:r w:rsidR="00B17E21">
        <w:t>%</w:t>
      </w:r>
      <w:r w:rsidRPr="00E44F3E">
        <w:t xml:space="preserve"> of those diagnosed with non-Hodgkin’s lymphoma will survive to five years (61</w:t>
      </w:r>
      <w:r w:rsidR="00D91C1A">
        <w:t>%</w:t>
      </w:r>
      <w:r w:rsidRPr="00E44F3E">
        <w:t xml:space="preserve"> Māori, 69</w:t>
      </w:r>
      <w:r w:rsidR="00D91C1A">
        <w:t>%</w:t>
      </w:r>
      <w:r w:rsidRPr="00E44F3E">
        <w:t xml:space="preserve"> non-Māori) (</w:t>
      </w:r>
      <w:r w:rsidR="00C63EC8" w:rsidRPr="00C63EC8">
        <w:t>Gurney, Stanley et al 2020</w:t>
      </w:r>
      <w:r w:rsidRPr="00E44F3E">
        <w:t xml:space="preserve">). In terms of international comparison, estimates show five-year survival among those with non-Hodgkin’s lymphoma </w:t>
      </w:r>
      <w:r w:rsidR="008C0F00" w:rsidRPr="00842983">
        <w:t xml:space="preserve">at </w:t>
      </w:r>
      <w:r w:rsidR="0029358C">
        <w:t xml:space="preserve">around </w:t>
      </w:r>
      <w:r w:rsidR="008C0F00" w:rsidRPr="00842983">
        <w:t>66%</w:t>
      </w:r>
      <w:r w:rsidR="008C0F00">
        <w:t xml:space="preserve"> </w:t>
      </w:r>
      <w:r w:rsidR="008C0F00" w:rsidRPr="00E44F3E">
        <w:t xml:space="preserve">in England, </w:t>
      </w:r>
      <w:r w:rsidR="008C0F00">
        <w:t xml:space="preserve">70% </w:t>
      </w:r>
      <w:r w:rsidR="008C0F00" w:rsidRPr="00E44F3E">
        <w:t>in the United States</w:t>
      </w:r>
      <w:r w:rsidR="008C0F00">
        <w:t>,</w:t>
      </w:r>
      <w:r w:rsidR="008C0F00" w:rsidRPr="00E44F3E">
        <w:t xml:space="preserve"> and 75</w:t>
      </w:r>
      <w:r w:rsidR="008C0F00">
        <w:t>%</w:t>
      </w:r>
      <w:r w:rsidR="008C0F00" w:rsidRPr="00E44F3E">
        <w:t xml:space="preserve"> in Australia </w:t>
      </w:r>
      <w:r w:rsidRPr="00E44F3E">
        <w:t xml:space="preserve">(Cancer Australia 2022; Cancer Research UK 2023; Ellington </w:t>
      </w:r>
      <w:r w:rsidR="00EC1065" w:rsidRPr="00E44F3E">
        <w:t>et al</w:t>
      </w:r>
      <w:r w:rsidRPr="00E44F3E">
        <w:t xml:space="preserve"> 2023). Based on data from 2007</w:t>
      </w:r>
      <w:r w:rsidR="00B525FB">
        <w:t xml:space="preserve"> to </w:t>
      </w:r>
      <w:r w:rsidRPr="00E44F3E">
        <w:t>2016, Māori with non-Hodgkin’s lymphoma are 97</w:t>
      </w:r>
      <w:r w:rsidR="00B17E21">
        <w:t>%</w:t>
      </w:r>
      <w:r w:rsidRPr="00E44F3E">
        <w:t xml:space="preserve"> more likely to die from their cancer than non-Māori with the same cancer (</w:t>
      </w:r>
      <w:r w:rsidR="00C63EC8" w:rsidRPr="00C63EC8">
        <w:t>Gurney, Stanley et al 2020</w:t>
      </w:r>
      <w:r w:rsidRPr="00E44F3E">
        <w:t>).</w:t>
      </w:r>
    </w:p>
    <w:p w14:paraId="53EC98CE" w14:textId="77777777" w:rsidR="00DF57C0" w:rsidRPr="00E44F3E" w:rsidRDefault="00DF57C0" w:rsidP="00057FA7">
      <w:pPr>
        <w:pStyle w:val="Heading3"/>
        <w:rPr>
          <w:rFonts w:eastAsia="MS Gothic"/>
        </w:rPr>
      </w:pPr>
      <w:r w:rsidRPr="00E44F3E">
        <w:t>Lymphoma m</w:t>
      </w:r>
      <w:r w:rsidRPr="00E44F3E">
        <w:rPr>
          <w:rFonts w:eastAsia="MS Gothic"/>
        </w:rPr>
        <w:t xml:space="preserve">ortality </w:t>
      </w:r>
    </w:p>
    <w:p w14:paraId="36AEFD57" w14:textId="0B982FBD" w:rsidR="00DF57C0" w:rsidRPr="00E44F3E" w:rsidRDefault="00DF57C0" w:rsidP="00057FA7">
      <w:r w:rsidRPr="00E44F3E">
        <w:t>On average over the last decade, there have been around 19 deaths each year from Hodgkin’s lymphoma, including 2 Māori. There have been around 290 deaths each year from non-Hodgkin’s lymphoma, including 22 Māori (</w:t>
      </w:r>
      <w:r w:rsidR="00B322B9" w:rsidRPr="00B322B9">
        <w:t>Gurney, Robson et al 2020</w:t>
      </w:r>
      <w:r w:rsidRPr="00E44F3E">
        <w:t>; Te Aho o Te Kahu 2021)</w:t>
      </w:r>
      <w:r w:rsidR="005267C1">
        <w:t>.</w:t>
      </w:r>
      <w:r w:rsidRPr="00E44F3E">
        <w:t xml:space="preserve"> The rarity of Hodgkin’s lymphoma prevents us from determining robust mortality rates for this cancer.</w:t>
      </w:r>
      <w:r w:rsidR="0066516C">
        <w:t xml:space="preserve"> </w:t>
      </w:r>
    </w:p>
    <w:p w14:paraId="7239B8A9" w14:textId="4B95FD4A" w:rsidR="00DF57C0" w:rsidRPr="00E44F3E" w:rsidRDefault="00DF57C0" w:rsidP="00057FA7"/>
    <w:p w14:paraId="2B6E253B" w14:textId="510A2C6A" w:rsidR="00DF57C0" w:rsidRPr="00E44F3E" w:rsidRDefault="00DF57C0" w:rsidP="00057FA7">
      <w:pPr>
        <w:rPr>
          <w:rFonts w:eastAsia="MS Gothic"/>
        </w:rPr>
      </w:pPr>
      <w:r w:rsidRPr="00E44F3E">
        <w:t xml:space="preserve">Mortality rates for non-Hodgkin’s lymphoma are broadly similar between Māori and non-Māori (both 2 per 100,000). The age-standardised lymphoma mortality rate is higher for Pacific peoples (3 per 100,000) compared with the non-Māori, non-Pacific, </w:t>
      </w:r>
      <w:proofErr w:type="spellStart"/>
      <w:r w:rsidRPr="00E44F3E">
        <w:t>non-Asian</w:t>
      </w:r>
      <w:proofErr w:type="spellEnd"/>
      <w:r w:rsidRPr="00E44F3E">
        <w:t xml:space="preserve"> population (2 per 100,000) (Te Aho o Te Kahu 2021).</w:t>
      </w:r>
    </w:p>
    <w:p w14:paraId="2C50540A" w14:textId="77777777" w:rsidR="00DF57C0" w:rsidRPr="00E44F3E" w:rsidRDefault="00DF57C0" w:rsidP="00DA1A2C">
      <w:pPr>
        <w:pStyle w:val="Heading2"/>
      </w:pPr>
      <w:bookmarkStart w:id="119" w:name="_Toc180062116"/>
      <w:r w:rsidRPr="00E44F3E">
        <w:t>Gaps associated with substantial clinical benefit – by cancer type: Myeloma</w:t>
      </w:r>
      <w:bookmarkEnd w:id="119"/>
    </w:p>
    <w:p w14:paraId="20B4D023" w14:textId="40FE9AC3" w:rsidR="00DF57C0" w:rsidRPr="00E44F3E" w:rsidRDefault="00DF57C0" w:rsidP="00DA1A2C">
      <w:r w:rsidRPr="00E44F3E">
        <w:t>Two regimen</w:t>
      </w:r>
      <w:r w:rsidR="00DC5AE3">
        <w:t>-indication</w:t>
      </w:r>
      <w:r w:rsidRPr="00E44F3E">
        <w:t xml:space="preserve"> </w:t>
      </w:r>
      <w:r w:rsidR="00B3455C">
        <w:t xml:space="preserve">pair </w:t>
      </w:r>
      <w:r w:rsidRPr="00E44F3E">
        <w:t xml:space="preserve">gaps of substantial clinical benefit were for the group of blood cancers called </w:t>
      </w:r>
      <w:r w:rsidR="00701E40">
        <w:t>m</w:t>
      </w:r>
      <w:r w:rsidRPr="00E44F3E">
        <w:t>yeloma</w:t>
      </w:r>
      <w:r w:rsidR="00701E40">
        <w:t xml:space="preserve"> (</w:t>
      </w:r>
      <w:r w:rsidR="00701E40">
        <w:fldChar w:fldCharType="begin"/>
      </w:r>
      <w:r w:rsidR="00701E40">
        <w:instrText xml:space="preserve"> REF _Ref177124090 \h </w:instrText>
      </w:r>
      <w:r w:rsidR="00701E40">
        <w:fldChar w:fldCharType="separate"/>
      </w:r>
      <w:r w:rsidR="004A6DF6" w:rsidRPr="00E44F3E">
        <w:t xml:space="preserve">Table </w:t>
      </w:r>
      <w:r w:rsidR="004A6DF6">
        <w:rPr>
          <w:noProof/>
        </w:rPr>
        <w:t>7</w:t>
      </w:r>
      <w:r w:rsidR="00701E40">
        <w:fldChar w:fldCharType="end"/>
      </w:r>
      <w:r w:rsidR="00701E40">
        <w:t>)</w:t>
      </w:r>
      <w:r w:rsidRPr="00E44F3E">
        <w:t xml:space="preserve">. </w:t>
      </w:r>
      <w:proofErr w:type="gramStart"/>
      <w:r w:rsidRPr="00E44F3E">
        <w:t>All of</w:t>
      </w:r>
      <w:proofErr w:type="gramEnd"/>
      <w:r w:rsidRPr="00E44F3E">
        <w:t xml:space="preserve"> the identified gaps were determined to provide benefit in a non-curative setting. </w:t>
      </w:r>
    </w:p>
    <w:p w14:paraId="53A193A6" w14:textId="77777777" w:rsidR="00DF57C0" w:rsidRPr="00E44F3E" w:rsidRDefault="00DF57C0" w:rsidP="00DA1A2C"/>
    <w:p w14:paraId="78AA2556" w14:textId="0DE70231" w:rsidR="00DF57C0" w:rsidRPr="00E44F3E" w:rsidRDefault="00DF57C0" w:rsidP="00DF57C0">
      <w:pPr>
        <w:pStyle w:val="Table"/>
        <w:keepLines/>
      </w:pPr>
      <w:bookmarkStart w:id="120" w:name="_Ref177124090"/>
      <w:bookmarkStart w:id="121" w:name="_Toc175241597"/>
      <w:bookmarkStart w:id="122" w:name="_Toc180142293"/>
      <w:r w:rsidRPr="00E44F3E">
        <w:t xml:space="preserve">Table </w:t>
      </w:r>
      <w:r w:rsidR="00D97615">
        <w:fldChar w:fldCharType="begin"/>
      </w:r>
      <w:r w:rsidR="00D97615">
        <w:instrText xml:space="preserve"> SEQ Table \* ARABIC </w:instrText>
      </w:r>
      <w:r w:rsidR="00D97615">
        <w:fldChar w:fldCharType="separate"/>
      </w:r>
      <w:r w:rsidR="004A6DF6">
        <w:rPr>
          <w:noProof/>
        </w:rPr>
        <w:t>7</w:t>
      </w:r>
      <w:r w:rsidR="00D97615">
        <w:rPr>
          <w:noProof/>
        </w:rPr>
        <w:fldChar w:fldCharType="end"/>
      </w:r>
      <w:bookmarkEnd w:id="120"/>
      <w:r w:rsidRPr="00E44F3E">
        <w:t>: Substantial clinical benefit gaps in myeloma</w:t>
      </w:r>
      <w:bookmarkEnd w:id="121"/>
      <w:bookmarkEnd w:id="122"/>
      <w:r w:rsidRPr="00E44F3E">
        <w:t xml:space="preserve"> </w:t>
      </w:r>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916"/>
        <w:gridCol w:w="1037"/>
        <w:gridCol w:w="1360"/>
        <w:gridCol w:w="971"/>
        <w:gridCol w:w="1624"/>
        <w:gridCol w:w="1171"/>
      </w:tblGrid>
      <w:tr w:rsidR="00284E12" w:rsidRPr="00E44F3E" w14:paraId="3BD9A9F3" w14:textId="77777777" w:rsidTr="00AF0CD9">
        <w:trPr>
          <w:cantSplit/>
          <w:trHeight w:val="519"/>
          <w:tblHeader/>
        </w:trPr>
        <w:tc>
          <w:tcPr>
            <w:tcW w:w="0" w:type="auto"/>
            <w:tcBorders>
              <w:top w:val="nil"/>
              <w:bottom w:val="nil"/>
            </w:tcBorders>
            <w:shd w:val="clear" w:color="auto" w:fill="C2D9BA"/>
            <w:vAlign w:val="center"/>
          </w:tcPr>
          <w:p w14:paraId="326752DF" w14:textId="77777777" w:rsidR="00DF57C0" w:rsidRPr="00E44F3E" w:rsidRDefault="00DF57C0">
            <w:pPr>
              <w:pStyle w:val="TableText"/>
              <w:rPr>
                <w:b/>
                <w:bCs/>
                <w:szCs w:val="18"/>
              </w:rPr>
            </w:pPr>
            <w:r w:rsidRPr="00E44F3E">
              <w:rPr>
                <w:b/>
                <w:bCs/>
              </w:rPr>
              <w:t>Medicine name</w:t>
            </w:r>
          </w:p>
        </w:tc>
        <w:tc>
          <w:tcPr>
            <w:tcW w:w="0" w:type="auto"/>
            <w:tcBorders>
              <w:top w:val="nil"/>
              <w:bottom w:val="nil"/>
            </w:tcBorders>
            <w:shd w:val="clear" w:color="auto" w:fill="C2D9BA"/>
            <w:vAlign w:val="center"/>
          </w:tcPr>
          <w:p w14:paraId="40E30DF4" w14:textId="39E1D52D" w:rsidR="00DF57C0" w:rsidRPr="00E44F3E" w:rsidRDefault="00DF57C0">
            <w:pPr>
              <w:pStyle w:val="TableText"/>
              <w:rPr>
                <w:b/>
                <w:bCs/>
                <w:szCs w:val="18"/>
              </w:rPr>
            </w:pPr>
            <w:r w:rsidRPr="00E44F3E">
              <w:rPr>
                <w:b/>
                <w:bCs/>
              </w:rPr>
              <w:t xml:space="preserve">Cancer </w:t>
            </w:r>
            <w:r w:rsidR="005267C1">
              <w:rPr>
                <w:b/>
                <w:bCs/>
              </w:rPr>
              <w:t>t</w:t>
            </w:r>
            <w:r w:rsidRPr="00E44F3E">
              <w:rPr>
                <w:b/>
                <w:bCs/>
              </w:rPr>
              <w:t>ype</w:t>
            </w:r>
          </w:p>
        </w:tc>
        <w:tc>
          <w:tcPr>
            <w:tcW w:w="0" w:type="auto"/>
            <w:tcBorders>
              <w:top w:val="nil"/>
              <w:bottom w:val="nil"/>
            </w:tcBorders>
            <w:shd w:val="clear" w:color="auto" w:fill="C2D9BA"/>
            <w:vAlign w:val="center"/>
          </w:tcPr>
          <w:p w14:paraId="619B146B" w14:textId="77777777" w:rsidR="00DF57C0" w:rsidRPr="00E44F3E" w:rsidRDefault="00DF57C0">
            <w:pPr>
              <w:pStyle w:val="TableText"/>
              <w:rPr>
                <w:b/>
                <w:bCs/>
                <w:szCs w:val="18"/>
              </w:rPr>
            </w:pPr>
            <w:r w:rsidRPr="00E44F3E">
              <w:rPr>
                <w:b/>
                <w:bCs/>
                <w:szCs w:val="18"/>
              </w:rPr>
              <w:t>Indication per PBS</w:t>
            </w:r>
          </w:p>
        </w:tc>
        <w:tc>
          <w:tcPr>
            <w:tcW w:w="0" w:type="auto"/>
            <w:tcBorders>
              <w:top w:val="nil"/>
              <w:bottom w:val="nil"/>
            </w:tcBorders>
            <w:shd w:val="clear" w:color="auto" w:fill="C2D9BA"/>
            <w:vAlign w:val="center"/>
          </w:tcPr>
          <w:p w14:paraId="156B315A" w14:textId="77777777" w:rsidR="00DF57C0" w:rsidRPr="00E44F3E" w:rsidRDefault="00DF57C0">
            <w:pPr>
              <w:pStyle w:val="TableText"/>
              <w:jc w:val="center"/>
              <w:rPr>
                <w:b/>
                <w:bCs/>
              </w:rPr>
            </w:pPr>
            <w:r w:rsidRPr="00E44F3E">
              <w:rPr>
                <w:b/>
                <w:bCs/>
                <w:szCs w:val="18"/>
              </w:rPr>
              <w:t>ESMO-MCBS:H score</w:t>
            </w:r>
          </w:p>
        </w:tc>
        <w:tc>
          <w:tcPr>
            <w:tcW w:w="0" w:type="auto"/>
            <w:tcBorders>
              <w:top w:val="nil"/>
              <w:bottom w:val="nil"/>
            </w:tcBorders>
            <w:shd w:val="clear" w:color="auto" w:fill="C2D9BA"/>
            <w:vAlign w:val="center"/>
          </w:tcPr>
          <w:p w14:paraId="4C51136D" w14:textId="7C048A35" w:rsidR="00DF57C0" w:rsidRPr="00E44F3E" w:rsidRDefault="00DF57C0" w:rsidP="00F85378">
            <w:pPr>
              <w:pStyle w:val="TableText"/>
              <w:jc w:val="center"/>
              <w:rPr>
                <w:b/>
                <w:bCs/>
                <w:szCs w:val="18"/>
              </w:rPr>
            </w:pPr>
            <w:r w:rsidRPr="00E44F3E">
              <w:rPr>
                <w:b/>
                <w:bCs/>
              </w:rPr>
              <w:t xml:space="preserve">Current Pharmac </w:t>
            </w:r>
            <w:r w:rsidR="005267C1">
              <w:rPr>
                <w:b/>
                <w:bCs/>
              </w:rPr>
              <w:t>s</w:t>
            </w:r>
            <w:r w:rsidRPr="00E44F3E">
              <w:rPr>
                <w:b/>
                <w:bCs/>
              </w:rPr>
              <w:t>tatus (</w:t>
            </w:r>
            <w:r w:rsidR="00BD4FCE">
              <w:rPr>
                <w:b/>
                <w:bCs/>
              </w:rPr>
              <w:t>October</w:t>
            </w:r>
            <w:r w:rsidR="005267C1">
              <w:rPr>
                <w:b/>
                <w:bCs/>
              </w:rPr>
              <w:t> 2024</w:t>
            </w:r>
            <w:r w:rsidRPr="00E44F3E">
              <w:rPr>
                <w:b/>
                <w:bCs/>
              </w:rPr>
              <w:t>)</w:t>
            </w:r>
          </w:p>
        </w:tc>
        <w:tc>
          <w:tcPr>
            <w:tcW w:w="0" w:type="auto"/>
            <w:tcBorders>
              <w:top w:val="nil"/>
              <w:bottom w:val="nil"/>
            </w:tcBorders>
            <w:shd w:val="clear" w:color="auto" w:fill="C2D9BA"/>
          </w:tcPr>
          <w:p w14:paraId="5D630C3F" w14:textId="77777777" w:rsidR="00DF57C0" w:rsidRPr="00E44F3E" w:rsidRDefault="00DF57C0">
            <w:pPr>
              <w:pStyle w:val="TableText"/>
              <w:jc w:val="center"/>
              <w:rPr>
                <w:b/>
                <w:bCs/>
              </w:rPr>
            </w:pPr>
            <w:r w:rsidRPr="00E44F3E">
              <w:rPr>
                <w:b/>
              </w:rPr>
              <w:t>Appendix table for further detail</w:t>
            </w:r>
          </w:p>
        </w:tc>
      </w:tr>
      <w:tr w:rsidR="00BD4FCE" w:rsidRPr="00E44F3E" w14:paraId="4ADE28B5" w14:textId="77777777" w:rsidTr="00F357A9">
        <w:trPr>
          <w:cantSplit/>
          <w:trHeight w:val="306"/>
        </w:trPr>
        <w:tc>
          <w:tcPr>
            <w:tcW w:w="0" w:type="auto"/>
            <w:tcBorders>
              <w:top w:val="nil"/>
              <w:bottom w:val="single" w:sz="4" w:space="0" w:color="C2D9BA"/>
            </w:tcBorders>
            <w:shd w:val="clear" w:color="auto" w:fill="auto"/>
            <w:vAlign w:val="center"/>
          </w:tcPr>
          <w:p w14:paraId="285999AF" w14:textId="77777777" w:rsidR="00BD4FCE" w:rsidRPr="00E44F3E" w:rsidRDefault="00BD4FCE" w:rsidP="00BD4FCE">
            <w:pPr>
              <w:pStyle w:val="TableText"/>
              <w:rPr>
                <w:szCs w:val="18"/>
              </w:rPr>
            </w:pPr>
            <w:r w:rsidRPr="00E44F3E">
              <w:t>Lenalidomide (with bortezomib and dexamethasone)</w:t>
            </w:r>
          </w:p>
        </w:tc>
        <w:tc>
          <w:tcPr>
            <w:tcW w:w="0" w:type="auto"/>
            <w:tcBorders>
              <w:top w:val="nil"/>
              <w:bottom w:val="single" w:sz="4" w:space="0" w:color="C2D9BA"/>
            </w:tcBorders>
            <w:shd w:val="clear" w:color="auto" w:fill="auto"/>
          </w:tcPr>
          <w:p w14:paraId="10699037" w14:textId="77777777" w:rsidR="00BD4FCE" w:rsidRPr="00E44F3E" w:rsidRDefault="00BD4FCE" w:rsidP="00BD4FCE">
            <w:pPr>
              <w:pStyle w:val="TableText"/>
              <w:rPr>
                <w:szCs w:val="18"/>
              </w:rPr>
            </w:pPr>
            <w:r w:rsidRPr="00E44F3E">
              <w:t>Multiple myeloma (MM)</w:t>
            </w:r>
          </w:p>
        </w:tc>
        <w:tc>
          <w:tcPr>
            <w:tcW w:w="0" w:type="auto"/>
            <w:tcBorders>
              <w:top w:val="nil"/>
              <w:bottom w:val="single" w:sz="4" w:space="0" w:color="C2D9BA"/>
            </w:tcBorders>
            <w:shd w:val="clear" w:color="auto" w:fill="auto"/>
          </w:tcPr>
          <w:p w14:paraId="3CCE45F4" w14:textId="77777777" w:rsidR="00BD4FCE" w:rsidRPr="00E44F3E" w:rsidRDefault="00BD4FCE" w:rsidP="00BD4FCE">
            <w:pPr>
              <w:pStyle w:val="TableText"/>
              <w:rPr>
                <w:szCs w:val="18"/>
              </w:rPr>
            </w:pPr>
            <w:r w:rsidRPr="00E44F3E">
              <w:t>Newly diagnosed</w:t>
            </w:r>
          </w:p>
        </w:tc>
        <w:tc>
          <w:tcPr>
            <w:tcW w:w="0" w:type="auto"/>
            <w:tcBorders>
              <w:top w:val="nil"/>
              <w:bottom w:val="single" w:sz="4" w:space="0" w:color="C2D9BA"/>
            </w:tcBorders>
            <w:shd w:val="clear" w:color="auto" w:fill="auto"/>
          </w:tcPr>
          <w:p w14:paraId="505E6F6A" w14:textId="77777777" w:rsidR="00BD4FCE" w:rsidRPr="00E44F3E" w:rsidRDefault="00BD4FCE" w:rsidP="00BD4FCE">
            <w:pPr>
              <w:pStyle w:val="TableText"/>
              <w:jc w:val="center"/>
              <w:rPr>
                <w:b/>
                <w:szCs w:val="18"/>
              </w:rPr>
            </w:pPr>
            <w:r w:rsidRPr="00E44F3E">
              <w:rPr>
                <w:b/>
                <w:szCs w:val="18"/>
              </w:rPr>
              <w:t>4</w:t>
            </w:r>
          </w:p>
          <w:p w14:paraId="51E5242D" w14:textId="77777777" w:rsidR="00BD4FCE" w:rsidRPr="00E44F3E" w:rsidRDefault="00BD4FCE" w:rsidP="00BD4FCE">
            <w:pPr>
              <w:pStyle w:val="TableText"/>
              <w:jc w:val="center"/>
            </w:pPr>
            <w:r w:rsidRPr="00E44F3E">
              <w:rPr>
                <w:szCs w:val="18"/>
              </w:rPr>
              <w:t>(non-curative)</w:t>
            </w:r>
          </w:p>
        </w:tc>
        <w:tc>
          <w:tcPr>
            <w:tcW w:w="0" w:type="auto"/>
            <w:tcBorders>
              <w:top w:val="nil"/>
              <w:bottom w:val="single" w:sz="4" w:space="0" w:color="C2D9BA"/>
            </w:tcBorders>
            <w:shd w:val="clear" w:color="auto" w:fill="auto"/>
          </w:tcPr>
          <w:p w14:paraId="5EA9B70D" w14:textId="30FD81AC" w:rsidR="00BD4FCE" w:rsidRPr="00E44F3E" w:rsidRDefault="00F85378" w:rsidP="00F85378">
            <w:pPr>
              <w:pStyle w:val="TableText"/>
              <w:jc w:val="center"/>
              <w:rPr>
                <w:szCs w:val="18"/>
              </w:rPr>
            </w:pPr>
            <w:r>
              <w:t>Funded</w:t>
            </w:r>
            <w:r w:rsidR="00BD4FCE" w:rsidRPr="00E44F3E">
              <w:t xml:space="preserve"> from 1</w:t>
            </w:r>
            <w:r w:rsidR="00BD4FCE">
              <w:t> </w:t>
            </w:r>
            <w:r w:rsidR="00BD4FCE" w:rsidRPr="00E44F3E">
              <w:t>August 2024</w:t>
            </w:r>
          </w:p>
        </w:tc>
        <w:tc>
          <w:tcPr>
            <w:tcW w:w="0" w:type="auto"/>
            <w:tcBorders>
              <w:top w:val="nil"/>
              <w:bottom w:val="single" w:sz="4" w:space="0" w:color="C2D9BA"/>
            </w:tcBorders>
            <w:shd w:val="clear" w:color="auto" w:fill="auto"/>
          </w:tcPr>
          <w:p w14:paraId="2FE04C5C" w14:textId="14D7E767" w:rsidR="00BD4FCE" w:rsidRPr="00E44F3E" w:rsidRDefault="00BD4FCE" w:rsidP="00BD4FCE">
            <w:pPr>
              <w:pStyle w:val="TableText"/>
              <w:jc w:val="center"/>
            </w:pPr>
            <w:r>
              <w:fldChar w:fldCharType="begin"/>
            </w:r>
            <w:r>
              <w:instrText xml:space="preserve"> REF _Ref177735836 \h  \* MERGEFORMAT </w:instrText>
            </w:r>
            <w:r>
              <w:fldChar w:fldCharType="separate"/>
            </w:r>
            <w:r w:rsidR="004A6DF6" w:rsidRPr="00E44F3E">
              <w:t xml:space="preserve">Table </w:t>
            </w:r>
            <w:r w:rsidR="004A6DF6">
              <w:rPr>
                <w:noProof/>
              </w:rPr>
              <w:t>25</w:t>
            </w:r>
            <w:r>
              <w:fldChar w:fldCharType="end"/>
            </w:r>
          </w:p>
        </w:tc>
      </w:tr>
      <w:tr w:rsidR="00BD4FCE" w:rsidRPr="00E44F3E" w14:paraId="7F41E469" w14:textId="77777777" w:rsidTr="00AF0CD9">
        <w:trPr>
          <w:cantSplit/>
          <w:trHeight w:val="306"/>
        </w:trPr>
        <w:tc>
          <w:tcPr>
            <w:tcW w:w="0" w:type="auto"/>
            <w:tcBorders>
              <w:top w:val="single" w:sz="4" w:space="0" w:color="C2D9BA"/>
              <w:bottom w:val="single" w:sz="4" w:space="0" w:color="C2D9BA"/>
            </w:tcBorders>
            <w:shd w:val="clear" w:color="auto" w:fill="auto"/>
            <w:vAlign w:val="center"/>
          </w:tcPr>
          <w:p w14:paraId="47CC85F0" w14:textId="77777777" w:rsidR="00BD4FCE" w:rsidRPr="00E44F3E" w:rsidRDefault="00BD4FCE" w:rsidP="00BD4FCE">
            <w:pPr>
              <w:pStyle w:val="TableText"/>
            </w:pPr>
            <w:r w:rsidRPr="00E44F3E">
              <w:t xml:space="preserve">Pomalidomide (with dexamethasone) </w:t>
            </w:r>
          </w:p>
        </w:tc>
        <w:tc>
          <w:tcPr>
            <w:tcW w:w="0" w:type="auto"/>
            <w:tcBorders>
              <w:top w:val="single" w:sz="4" w:space="0" w:color="C2D9BA"/>
              <w:bottom w:val="single" w:sz="4" w:space="0" w:color="C2D9BA"/>
            </w:tcBorders>
            <w:shd w:val="clear" w:color="auto" w:fill="auto"/>
          </w:tcPr>
          <w:p w14:paraId="0C3B2E65" w14:textId="77777777" w:rsidR="00BD4FCE" w:rsidRPr="00E44F3E" w:rsidRDefault="00BD4FCE" w:rsidP="00BD4FCE">
            <w:pPr>
              <w:pStyle w:val="TableText"/>
            </w:pPr>
            <w:r w:rsidRPr="00E44F3E">
              <w:t>Multiple myeloma (MM)</w:t>
            </w:r>
          </w:p>
        </w:tc>
        <w:tc>
          <w:tcPr>
            <w:tcW w:w="0" w:type="auto"/>
            <w:tcBorders>
              <w:top w:val="single" w:sz="4" w:space="0" w:color="C2D9BA"/>
              <w:bottom w:val="single" w:sz="4" w:space="0" w:color="C2D9BA"/>
            </w:tcBorders>
            <w:shd w:val="clear" w:color="auto" w:fill="auto"/>
          </w:tcPr>
          <w:p w14:paraId="556F82E0" w14:textId="4ED4FBC4" w:rsidR="00BD4FCE" w:rsidRPr="00E44F3E" w:rsidRDefault="00BD4FCE" w:rsidP="00BD4FCE">
            <w:pPr>
              <w:pStyle w:val="TableText"/>
            </w:pPr>
            <w:r w:rsidRPr="00E44F3E">
              <w:t>Relapsed or refractory third</w:t>
            </w:r>
            <w:r>
              <w:t>-</w:t>
            </w:r>
            <w:r w:rsidRPr="00E44F3E">
              <w:t>line treatment</w:t>
            </w:r>
          </w:p>
        </w:tc>
        <w:tc>
          <w:tcPr>
            <w:tcW w:w="0" w:type="auto"/>
            <w:tcBorders>
              <w:top w:val="single" w:sz="4" w:space="0" w:color="C2D9BA"/>
              <w:bottom w:val="single" w:sz="4" w:space="0" w:color="C2D9BA"/>
            </w:tcBorders>
            <w:shd w:val="clear" w:color="auto" w:fill="auto"/>
          </w:tcPr>
          <w:p w14:paraId="31FCAF55" w14:textId="77777777" w:rsidR="00BD4FCE" w:rsidRPr="00E44F3E" w:rsidRDefault="00BD4FCE" w:rsidP="00BD4FCE">
            <w:pPr>
              <w:pStyle w:val="TableText"/>
              <w:jc w:val="center"/>
              <w:rPr>
                <w:b/>
                <w:szCs w:val="18"/>
              </w:rPr>
            </w:pPr>
            <w:r w:rsidRPr="00E44F3E">
              <w:rPr>
                <w:b/>
                <w:szCs w:val="18"/>
              </w:rPr>
              <w:t>4</w:t>
            </w:r>
          </w:p>
          <w:p w14:paraId="45DF0F31" w14:textId="77777777" w:rsidR="00BD4FCE" w:rsidRPr="00E44F3E" w:rsidRDefault="00BD4FCE" w:rsidP="00BD4FCE">
            <w:pPr>
              <w:pStyle w:val="TableText"/>
              <w:jc w:val="center"/>
            </w:pPr>
            <w:r w:rsidRPr="00E44F3E">
              <w:rPr>
                <w:szCs w:val="18"/>
              </w:rPr>
              <w:t>(non-curative)</w:t>
            </w:r>
          </w:p>
        </w:tc>
        <w:tc>
          <w:tcPr>
            <w:tcW w:w="0" w:type="auto"/>
            <w:tcBorders>
              <w:top w:val="single" w:sz="4" w:space="0" w:color="C2D9BA"/>
              <w:bottom w:val="single" w:sz="4" w:space="0" w:color="C2D9BA"/>
            </w:tcBorders>
            <w:shd w:val="clear" w:color="auto" w:fill="auto"/>
          </w:tcPr>
          <w:p w14:paraId="1956B74D" w14:textId="6098924B" w:rsidR="00BD4FCE" w:rsidRPr="00E44F3E" w:rsidRDefault="00F85378" w:rsidP="00F85378">
            <w:pPr>
              <w:pStyle w:val="TableText"/>
              <w:jc w:val="center"/>
              <w:rPr>
                <w:b/>
                <w:szCs w:val="18"/>
              </w:rPr>
            </w:pPr>
            <w:r>
              <w:t>Funded</w:t>
            </w:r>
            <w:r w:rsidRPr="00E44F3E">
              <w:t xml:space="preserve"> from 1</w:t>
            </w:r>
            <w:r>
              <w:t> </w:t>
            </w:r>
            <w:r w:rsidRPr="00E44F3E">
              <w:t>August 2024</w:t>
            </w:r>
          </w:p>
        </w:tc>
        <w:tc>
          <w:tcPr>
            <w:tcW w:w="0" w:type="auto"/>
            <w:tcBorders>
              <w:top w:val="single" w:sz="4" w:space="0" w:color="C2D9BA"/>
              <w:bottom w:val="single" w:sz="4" w:space="0" w:color="C2D9BA"/>
            </w:tcBorders>
            <w:shd w:val="clear" w:color="auto" w:fill="auto"/>
          </w:tcPr>
          <w:p w14:paraId="2EC2B90D" w14:textId="25AEEB6A" w:rsidR="00BD4FCE" w:rsidRPr="00E44F3E" w:rsidRDefault="00BD4FCE" w:rsidP="00BD4FCE">
            <w:pPr>
              <w:pStyle w:val="TableText"/>
              <w:jc w:val="center"/>
            </w:pPr>
            <w:r>
              <w:fldChar w:fldCharType="begin"/>
            </w:r>
            <w:r>
              <w:instrText xml:space="preserve"> REF _Ref177735846 \h  \* MERGEFORMAT </w:instrText>
            </w:r>
            <w:r>
              <w:fldChar w:fldCharType="separate"/>
            </w:r>
            <w:r w:rsidR="004A6DF6" w:rsidRPr="00E44F3E">
              <w:t xml:space="preserve">Table </w:t>
            </w:r>
            <w:r w:rsidR="004A6DF6">
              <w:rPr>
                <w:noProof/>
              </w:rPr>
              <w:t>26</w:t>
            </w:r>
            <w:r>
              <w:fldChar w:fldCharType="end"/>
            </w:r>
          </w:p>
        </w:tc>
      </w:tr>
    </w:tbl>
    <w:p w14:paraId="1DE4954B" w14:textId="77777777" w:rsidR="00DF57C0" w:rsidRPr="00E44F3E" w:rsidRDefault="00DF57C0" w:rsidP="00C755D9"/>
    <w:p w14:paraId="65402F8B" w14:textId="114A2768" w:rsidR="00DF57C0" w:rsidRPr="00E44F3E" w:rsidRDefault="00DF57C0" w:rsidP="00E8710E">
      <w:pPr>
        <w:pStyle w:val="Heading3"/>
        <w:rPr>
          <w:rFonts w:eastAsia="MS Gothic"/>
        </w:rPr>
      </w:pPr>
      <w:r w:rsidRPr="00E44F3E">
        <w:rPr>
          <w:rFonts w:eastAsia="MS Gothic"/>
        </w:rPr>
        <w:lastRenderedPageBreak/>
        <w:t>Incidence of myeloma</w:t>
      </w:r>
      <w:r w:rsidR="00B1682D" w:rsidRPr="00E44F3E">
        <w:rPr>
          <w:rFonts w:eastAsia="MS Gothic"/>
        </w:rPr>
        <w:t xml:space="preserve"> </w:t>
      </w:r>
    </w:p>
    <w:p w14:paraId="6A6CC468" w14:textId="7A33FC13" w:rsidR="00DF57C0" w:rsidRPr="00E44F3E" w:rsidRDefault="00DF57C0" w:rsidP="00E8710E">
      <w:r w:rsidRPr="00E44F3E">
        <w:t xml:space="preserve">Myeloma (also known as ‘multiple myeloma’ or ‘plasma cell myeloma’) is the sixteenth </w:t>
      </w:r>
      <w:proofErr w:type="gramStart"/>
      <w:r w:rsidRPr="00E44F3E">
        <w:t>most commonly diagnosed</w:t>
      </w:r>
      <w:proofErr w:type="gramEnd"/>
      <w:r w:rsidRPr="00E44F3E">
        <w:t xml:space="preserve"> cancer in </w:t>
      </w:r>
      <w:r w:rsidR="00E6006E">
        <w:t>Aotearoa New </w:t>
      </w:r>
      <w:r w:rsidR="003B42AA">
        <w:t>Zealand</w:t>
      </w:r>
      <w:r w:rsidRPr="00E44F3E">
        <w:t xml:space="preserve"> – with an average of 350 people diagnosed each year, including 40 Māori.</w:t>
      </w:r>
      <w:r w:rsidR="00B1682D" w:rsidRPr="00E44F3E">
        <w:t xml:space="preserve"> </w:t>
      </w:r>
      <w:r w:rsidRPr="00E44F3E">
        <w:t>When age-standardised, the rate of myeloma is higher for Māori (7 per 100,000) compared with non-Māori (5 per 100,000).</w:t>
      </w:r>
      <w:r w:rsidR="00B1682D" w:rsidRPr="00E44F3E">
        <w:t xml:space="preserve"> </w:t>
      </w:r>
      <w:r w:rsidRPr="00E44F3E">
        <w:t xml:space="preserve">The rate of myeloma is also higher among Pacific peoples (8 per 100,000) compared with </w:t>
      </w:r>
      <w:r w:rsidR="00B87479">
        <w:t xml:space="preserve">the </w:t>
      </w:r>
      <w:r w:rsidRPr="00E44F3E">
        <w:t xml:space="preserve">non-Māori, non-Pacific, </w:t>
      </w:r>
      <w:proofErr w:type="spellStart"/>
      <w:r w:rsidRPr="00E44F3E">
        <w:t>non-Asian</w:t>
      </w:r>
      <w:proofErr w:type="spellEnd"/>
      <w:r w:rsidRPr="00E44F3E">
        <w:t xml:space="preserve"> </w:t>
      </w:r>
      <w:r w:rsidR="00B87479">
        <w:t>population</w:t>
      </w:r>
      <w:r w:rsidR="00B87479" w:rsidRPr="00E44F3E">
        <w:t xml:space="preserve"> </w:t>
      </w:r>
      <w:r w:rsidRPr="00E44F3E">
        <w:t>(5 per 100,000) (Te Whatu Ora | Health New Zealand 2023)</w:t>
      </w:r>
      <w:r w:rsidR="00B525FB">
        <w:t>.</w:t>
      </w:r>
    </w:p>
    <w:p w14:paraId="69B7AC9C" w14:textId="7D534FE6" w:rsidR="00DF57C0" w:rsidRPr="00E44F3E" w:rsidRDefault="00DF57C0" w:rsidP="00E8710E">
      <w:pPr>
        <w:pStyle w:val="Heading3"/>
        <w:rPr>
          <w:rFonts w:eastAsia="MS Gothic"/>
        </w:rPr>
      </w:pPr>
      <w:r w:rsidRPr="00E44F3E">
        <w:t>Myeloma s</w:t>
      </w:r>
      <w:r w:rsidRPr="00E44F3E">
        <w:rPr>
          <w:rFonts w:eastAsia="MS Gothic"/>
        </w:rPr>
        <w:t>urvival</w:t>
      </w:r>
      <w:r w:rsidRPr="00E44F3E">
        <w:rPr>
          <w:rFonts w:eastAsia="MS Gothic"/>
          <w:vertAlign w:val="superscript"/>
        </w:rPr>
        <w:footnoteReference w:id="7"/>
      </w:r>
    </w:p>
    <w:p w14:paraId="4665CCEA" w14:textId="47BF94CF" w:rsidR="00DF57C0" w:rsidRPr="00E44F3E" w:rsidRDefault="00DF57C0" w:rsidP="00E8710E">
      <w:r w:rsidRPr="00E44F3E">
        <w:t>Around 50</w:t>
      </w:r>
      <w:r w:rsidR="00BF66EE">
        <w:t>%</w:t>
      </w:r>
      <w:r w:rsidR="00A41599">
        <w:t>–</w:t>
      </w:r>
      <w:r w:rsidRPr="00E44F3E">
        <w:t>55</w:t>
      </w:r>
      <w:r w:rsidR="00B17E21">
        <w:t>%</w:t>
      </w:r>
      <w:r w:rsidRPr="00E44F3E">
        <w:t xml:space="preserve"> of those diagnosed with myeloma will survive to five years (50</w:t>
      </w:r>
      <w:r w:rsidR="00D91C1A">
        <w:t>%</w:t>
      </w:r>
      <w:r w:rsidRPr="00E44F3E">
        <w:t xml:space="preserve"> Māori, 55</w:t>
      </w:r>
      <w:r w:rsidR="00D91C1A">
        <w:t>%</w:t>
      </w:r>
      <w:r w:rsidRPr="00E44F3E">
        <w:t xml:space="preserve"> non-Māori) (</w:t>
      </w:r>
      <w:r w:rsidR="00C63EC8" w:rsidRPr="00C63EC8">
        <w:t>Gurney, Stanley et al 2020</w:t>
      </w:r>
      <w:r w:rsidRPr="00E44F3E">
        <w:t>)</w:t>
      </w:r>
      <w:r w:rsidR="00B525FB">
        <w:t xml:space="preserve">. </w:t>
      </w:r>
      <w:r w:rsidRPr="00E44F3E">
        <w:t xml:space="preserve">In terms of international comparisons, data from Cancer Research UK </w:t>
      </w:r>
      <w:r w:rsidR="000C5B4C">
        <w:t xml:space="preserve">(2023) </w:t>
      </w:r>
      <w:r w:rsidRPr="00E44F3E">
        <w:t>show</w:t>
      </w:r>
      <w:r w:rsidR="0038070E">
        <w:t>s</w:t>
      </w:r>
      <w:r w:rsidRPr="00E44F3E">
        <w:t xml:space="preserve"> five-year survival in England at 56</w:t>
      </w:r>
      <w:r w:rsidR="00B17E21">
        <w:t>%</w:t>
      </w:r>
      <w:r w:rsidRPr="00E44F3E">
        <w:t xml:space="preserve"> for this cancer, while in the United States five-year survival is around 61</w:t>
      </w:r>
      <w:r w:rsidR="00B17E21">
        <w:t>%</w:t>
      </w:r>
      <w:r w:rsidRPr="00E44F3E">
        <w:t xml:space="preserve"> (National Cancer Institute 2012). Based on data from 2007</w:t>
      </w:r>
      <w:r w:rsidR="000C5B4C">
        <w:t xml:space="preserve"> to </w:t>
      </w:r>
      <w:r w:rsidRPr="00E44F3E">
        <w:t>2016, Māori with myeloma are 60</w:t>
      </w:r>
      <w:r w:rsidR="00B17E21">
        <w:t>%</w:t>
      </w:r>
      <w:r w:rsidRPr="00E44F3E">
        <w:t xml:space="preserve"> more likely to die from their cancer than non-Māori with the same cancer (</w:t>
      </w:r>
      <w:r w:rsidR="00C63EC8" w:rsidRPr="00C63EC8">
        <w:t>Gurney, Stanley et al 2020</w:t>
      </w:r>
      <w:r w:rsidRPr="00E44F3E">
        <w:t>)</w:t>
      </w:r>
      <w:r w:rsidR="00B525FB">
        <w:t>.</w:t>
      </w:r>
    </w:p>
    <w:p w14:paraId="3A6A3E0A" w14:textId="77777777" w:rsidR="00DF57C0" w:rsidRPr="00E44F3E" w:rsidRDefault="00DF57C0" w:rsidP="00E8710E">
      <w:pPr>
        <w:pStyle w:val="Heading3"/>
        <w:rPr>
          <w:rFonts w:eastAsia="MS Gothic"/>
        </w:rPr>
      </w:pPr>
      <w:r w:rsidRPr="00E44F3E">
        <w:t>Myeloma m</w:t>
      </w:r>
      <w:r w:rsidRPr="00E44F3E">
        <w:rPr>
          <w:rFonts w:eastAsia="MS Gothic"/>
        </w:rPr>
        <w:t xml:space="preserve">ortality </w:t>
      </w:r>
    </w:p>
    <w:p w14:paraId="18DAD0CA" w14:textId="53383B95" w:rsidR="00DF57C0" w:rsidRPr="00E44F3E" w:rsidRDefault="00DF57C0" w:rsidP="00E8710E">
      <w:pPr>
        <w:rPr>
          <w:rFonts w:eastAsia="MS Gothic"/>
        </w:rPr>
      </w:pPr>
      <w:r w:rsidRPr="00E44F3E">
        <w:t>On average over the last decade, there have been around 170 deaths each year from myeloma, including around 16 Māori (</w:t>
      </w:r>
      <w:r w:rsidR="00B322B9" w:rsidRPr="00B322B9">
        <w:t>Gurney, Robson et al 2020</w:t>
      </w:r>
      <w:r w:rsidRPr="00E44F3E">
        <w:t>; Te Aho o Te Kahu 2021)</w:t>
      </w:r>
      <w:r w:rsidR="0038070E">
        <w:t>.</w:t>
      </w:r>
      <w:r w:rsidRPr="00E44F3E">
        <w:t xml:space="preserve"> Mortality rates for myeloma are higher among Māori (3 per 100,000) compared with non-Māori (2 per 100,000). The myeloma mortality rate is also higher for Pacific peoples (4</w:t>
      </w:r>
      <w:r w:rsidR="0038070E">
        <w:t> </w:t>
      </w:r>
      <w:r w:rsidRPr="00E44F3E">
        <w:t xml:space="preserve">per 100,000) compared with the non-Māori, non-Pacific, </w:t>
      </w:r>
      <w:proofErr w:type="spellStart"/>
      <w:r w:rsidRPr="00E44F3E">
        <w:t>non-Asian</w:t>
      </w:r>
      <w:proofErr w:type="spellEnd"/>
      <w:r w:rsidRPr="00E44F3E">
        <w:t xml:space="preserve"> population (2 per 100,000) (Te Whatu Ora | Health New Zealand 2023)</w:t>
      </w:r>
      <w:r w:rsidR="000C5B4C">
        <w:t>.</w:t>
      </w:r>
    </w:p>
    <w:p w14:paraId="1B08454F" w14:textId="77777777" w:rsidR="00DF57C0" w:rsidRPr="00E44F3E" w:rsidRDefault="00DF57C0" w:rsidP="00AB32DC">
      <w:pPr>
        <w:pStyle w:val="Heading2"/>
      </w:pPr>
      <w:bookmarkStart w:id="123" w:name="_Toc175229004"/>
      <w:bookmarkStart w:id="124" w:name="_Toc180062117"/>
      <w:bookmarkStart w:id="125" w:name="_Ref165992489"/>
      <w:r w:rsidRPr="00E44F3E">
        <w:t>Changes to identified gaps since this analysis</w:t>
      </w:r>
      <w:bookmarkEnd w:id="123"/>
      <w:bookmarkEnd w:id="124"/>
    </w:p>
    <w:p w14:paraId="2757B939" w14:textId="10ADC932" w:rsidR="00DF57C0" w:rsidRPr="00E44F3E" w:rsidRDefault="009935CF" w:rsidP="00AB32DC">
      <w:bookmarkStart w:id="126" w:name="_Toc175241598"/>
      <w:r>
        <w:t>S</w:t>
      </w:r>
      <w:r w:rsidR="00DF57C0" w:rsidRPr="00E44F3E">
        <w:t xml:space="preserve">ome of the medicine gaps identified have been funded since the analysis date of 1 January 2024. </w:t>
      </w:r>
      <w:r w:rsidR="00DF57C0" w:rsidRPr="00E44F3E">
        <w:rPr>
          <w:b/>
        </w:rPr>
        <w:fldChar w:fldCharType="begin"/>
      </w:r>
      <w:r w:rsidR="00DF57C0" w:rsidRPr="00E44F3E">
        <w:instrText xml:space="preserve"> REF _Ref167109787 \h  \* MERGEFORMAT </w:instrText>
      </w:r>
      <w:r w:rsidR="00DF57C0" w:rsidRPr="00E44F3E">
        <w:rPr>
          <w:b/>
        </w:rPr>
      </w:r>
      <w:r w:rsidR="00DF57C0" w:rsidRPr="00E44F3E">
        <w:rPr>
          <w:b/>
        </w:rPr>
        <w:fldChar w:fldCharType="separate"/>
      </w:r>
      <w:r w:rsidR="004A6DF6" w:rsidRPr="00E44F3E">
        <w:t xml:space="preserve">Table </w:t>
      </w:r>
      <w:r w:rsidR="004A6DF6">
        <w:t>8</w:t>
      </w:r>
      <w:r w:rsidR="00DF57C0" w:rsidRPr="00E44F3E">
        <w:rPr>
          <w:b/>
        </w:rPr>
        <w:fldChar w:fldCharType="end"/>
      </w:r>
      <w:r w:rsidR="00DF57C0" w:rsidRPr="00E44F3E">
        <w:t xml:space="preserve"> summarises the gaps that have been funded and their associated magnitude of clinical benefit according to </w:t>
      </w:r>
      <w:r w:rsidR="00186A85">
        <w:t xml:space="preserve">the </w:t>
      </w:r>
      <w:r w:rsidR="00DF57C0" w:rsidRPr="00E44F3E">
        <w:t>ESMO</w:t>
      </w:r>
      <w:r w:rsidR="005A1D05">
        <w:t>-</w:t>
      </w:r>
      <w:r w:rsidR="00DF57C0" w:rsidRPr="00E44F3E">
        <w:t>MCBS:H.</w:t>
      </w:r>
      <w:bookmarkEnd w:id="126"/>
      <w:r w:rsidR="00DF57C0" w:rsidRPr="00E44F3E">
        <w:t xml:space="preserve"> </w:t>
      </w:r>
    </w:p>
    <w:p w14:paraId="138177D6" w14:textId="77777777" w:rsidR="00AB32DC" w:rsidRPr="00E44F3E" w:rsidRDefault="00AB32DC" w:rsidP="00AB32DC"/>
    <w:p w14:paraId="6B698B28" w14:textId="2D418C00" w:rsidR="00DF57C0" w:rsidRPr="00E44F3E" w:rsidRDefault="00DF57C0" w:rsidP="00DF57C0">
      <w:pPr>
        <w:pStyle w:val="Table"/>
      </w:pPr>
      <w:bookmarkStart w:id="127" w:name="_Ref167109787"/>
      <w:bookmarkStart w:id="128" w:name="_Toc175241599"/>
      <w:bookmarkStart w:id="129" w:name="_Toc180142294"/>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8</w:t>
      </w:r>
      <w:r w:rsidR="00D97615">
        <w:rPr>
          <w:noProof/>
        </w:rPr>
        <w:fldChar w:fldCharType="end"/>
      </w:r>
      <w:bookmarkEnd w:id="125"/>
      <w:bookmarkEnd w:id="127"/>
      <w:r w:rsidRPr="00E44F3E">
        <w:t>: Medicine-indication pairs identified as gaps on 1 January 2024 that have since been funded by Pharmac</w:t>
      </w:r>
      <w:bookmarkEnd w:id="128"/>
      <w:bookmarkEnd w:id="129"/>
      <w:r w:rsidRPr="00E44F3E">
        <w:t xml:space="preserve"> </w:t>
      </w:r>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557"/>
        <w:gridCol w:w="3741"/>
        <w:gridCol w:w="1496"/>
        <w:gridCol w:w="1285"/>
      </w:tblGrid>
      <w:tr w:rsidR="00924CF1" w:rsidRPr="00E44F3E" w14:paraId="7DF05DFB" w14:textId="77777777" w:rsidTr="00393E17">
        <w:trPr>
          <w:cantSplit/>
          <w:trHeight w:val="234"/>
          <w:tblHeader/>
        </w:trPr>
        <w:tc>
          <w:tcPr>
            <w:tcW w:w="0" w:type="auto"/>
            <w:tcBorders>
              <w:top w:val="nil"/>
              <w:bottom w:val="nil"/>
            </w:tcBorders>
            <w:shd w:val="clear" w:color="auto" w:fill="C2D9BA"/>
            <w:vAlign w:val="center"/>
          </w:tcPr>
          <w:p w14:paraId="4B0C7A5D" w14:textId="77777777" w:rsidR="00DF57C0" w:rsidRPr="00E44F3E" w:rsidRDefault="00DF57C0" w:rsidP="00E42C59">
            <w:pPr>
              <w:pStyle w:val="TableText"/>
              <w:keepNext/>
              <w:keepLines/>
              <w:rPr>
                <w:b/>
              </w:rPr>
            </w:pPr>
            <w:r w:rsidRPr="00E44F3E">
              <w:rPr>
                <w:b/>
              </w:rPr>
              <w:t xml:space="preserve">Medicine </w:t>
            </w:r>
          </w:p>
        </w:tc>
        <w:tc>
          <w:tcPr>
            <w:tcW w:w="0" w:type="auto"/>
            <w:tcBorders>
              <w:top w:val="nil"/>
              <w:bottom w:val="nil"/>
            </w:tcBorders>
            <w:shd w:val="clear" w:color="auto" w:fill="C2D9BA"/>
            <w:vAlign w:val="center"/>
          </w:tcPr>
          <w:p w14:paraId="38BF0CF0" w14:textId="77777777" w:rsidR="00DF57C0" w:rsidRPr="00E44F3E" w:rsidRDefault="00DF57C0" w:rsidP="00E42C59">
            <w:pPr>
              <w:pStyle w:val="TableText"/>
              <w:keepNext/>
              <w:keepLines/>
              <w:rPr>
                <w:b/>
              </w:rPr>
            </w:pPr>
            <w:r w:rsidRPr="00E44F3E">
              <w:rPr>
                <w:b/>
              </w:rPr>
              <w:t>Indication</w:t>
            </w:r>
          </w:p>
        </w:tc>
        <w:tc>
          <w:tcPr>
            <w:tcW w:w="0" w:type="auto"/>
            <w:tcBorders>
              <w:top w:val="nil"/>
              <w:bottom w:val="nil"/>
            </w:tcBorders>
            <w:shd w:val="clear" w:color="auto" w:fill="C2D9BA"/>
            <w:vAlign w:val="center"/>
          </w:tcPr>
          <w:p w14:paraId="14603426" w14:textId="300B3D54" w:rsidR="00DF57C0" w:rsidRPr="00E44F3E" w:rsidRDefault="00DF57C0" w:rsidP="00393E17">
            <w:pPr>
              <w:pStyle w:val="TableText"/>
              <w:keepNext/>
              <w:keepLines/>
              <w:jc w:val="center"/>
              <w:rPr>
                <w:b/>
              </w:rPr>
            </w:pPr>
            <w:r w:rsidRPr="00E44F3E">
              <w:rPr>
                <w:b/>
              </w:rPr>
              <w:t xml:space="preserve">Date funded in </w:t>
            </w:r>
            <w:r w:rsidR="00E6006E">
              <w:rPr>
                <w:b/>
              </w:rPr>
              <w:t>Aotearoa New </w:t>
            </w:r>
            <w:r w:rsidR="003B42AA">
              <w:rPr>
                <w:b/>
              </w:rPr>
              <w:t>Zealand</w:t>
            </w:r>
          </w:p>
        </w:tc>
        <w:tc>
          <w:tcPr>
            <w:tcW w:w="0" w:type="auto"/>
            <w:tcBorders>
              <w:top w:val="nil"/>
              <w:bottom w:val="nil"/>
            </w:tcBorders>
            <w:shd w:val="clear" w:color="auto" w:fill="C2D9BA"/>
          </w:tcPr>
          <w:p w14:paraId="49BD4AEE" w14:textId="4EE40BB0" w:rsidR="00DF57C0" w:rsidRPr="00E44F3E" w:rsidRDefault="00DF57C0">
            <w:pPr>
              <w:pStyle w:val="TableText"/>
              <w:keepNext/>
              <w:keepLines/>
              <w:jc w:val="center"/>
              <w:rPr>
                <w:b/>
              </w:rPr>
            </w:pPr>
            <w:r w:rsidRPr="00E44F3E">
              <w:rPr>
                <w:b/>
              </w:rPr>
              <w:t>ESMO</w:t>
            </w:r>
            <w:r w:rsidR="005A1D05">
              <w:rPr>
                <w:b/>
              </w:rPr>
              <w:t>-</w:t>
            </w:r>
            <w:r w:rsidRPr="00E44F3E">
              <w:rPr>
                <w:b/>
              </w:rPr>
              <w:t>MCBS:H score</w:t>
            </w:r>
          </w:p>
        </w:tc>
      </w:tr>
      <w:tr w:rsidR="00924CF1" w:rsidRPr="00E44F3E" w14:paraId="345683E1" w14:textId="77777777" w:rsidTr="00AF0CD9">
        <w:trPr>
          <w:cantSplit/>
          <w:trHeight w:val="234"/>
        </w:trPr>
        <w:tc>
          <w:tcPr>
            <w:tcW w:w="0" w:type="auto"/>
            <w:tcBorders>
              <w:top w:val="single" w:sz="4" w:space="0" w:color="C2D9BA"/>
              <w:bottom w:val="single" w:sz="4" w:space="0" w:color="C2D9BA"/>
            </w:tcBorders>
            <w:shd w:val="clear" w:color="auto" w:fill="auto"/>
          </w:tcPr>
          <w:p w14:paraId="09525801" w14:textId="0ACB6E73" w:rsidR="00DF57C0" w:rsidRPr="00E44F3E" w:rsidRDefault="00DF57C0" w:rsidP="00AB32DC">
            <w:pPr>
              <w:pStyle w:val="TableText"/>
            </w:pPr>
            <w:proofErr w:type="spellStart"/>
            <w:r w:rsidRPr="00E44F3E">
              <w:t>Midostaurin</w:t>
            </w:r>
            <w:proofErr w:type="spellEnd"/>
            <w:r w:rsidR="0026082C">
              <w:t>*</w:t>
            </w:r>
          </w:p>
        </w:tc>
        <w:tc>
          <w:tcPr>
            <w:tcW w:w="0" w:type="auto"/>
            <w:tcBorders>
              <w:top w:val="single" w:sz="4" w:space="0" w:color="C2D9BA"/>
              <w:bottom w:val="single" w:sz="4" w:space="0" w:color="C2D9BA"/>
            </w:tcBorders>
          </w:tcPr>
          <w:p w14:paraId="3706CE8B" w14:textId="77777777" w:rsidR="00DF57C0" w:rsidRPr="00E44F3E" w:rsidRDefault="00DF57C0" w:rsidP="00AB32DC">
            <w:pPr>
              <w:pStyle w:val="TableText"/>
            </w:pPr>
            <w:r w:rsidRPr="00E44F3E">
              <w:t>Acute myeloid leukaemia with FLT3 mutation</w:t>
            </w:r>
          </w:p>
        </w:tc>
        <w:tc>
          <w:tcPr>
            <w:tcW w:w="0" w:type="auto"/>
            <w:tcBorders>
              <w:top w:val="single" w:sz="4" w:space="0" w:color="C2D9BA"/>
              <w:bottom w:val="single" w:sz="4" w:space="0" w:color="C2D9BA"/>
            </w:tcBorders>
            <w:shd w:val="clear" w:color="auto" w:fill="auto"/>
          </w:tcPr>
          <w:p w14:paraId="1B2E7C78" w14:textId="212DDD7B" w:rsidR="00DF57C0" w:rsidRPr="00E44F3E" w:rsidRDefault="00DF57C0" w:rsidP="00057FA7">
            <w:pPr>
              <w:pStyle w:val="TableText"/>
              <w:jc w:val="center"/>
            </w:pPr>
            <w:r w:rsidRPr="00E44F3E">
              <w:t>1</w:t>
            </w:r>
            <w:r w:rsidR="005A1D05">
              <w:t> </w:t>
            </w:r>
            <w:r w:rsidRPr="00E44F3E">
              <w:t>July</w:t>
            </w:r>
            <w:r w:rsidR="005A1D05">
              <w:t> </w:t>
            </w:r>
            <w:r w:rsidRPr="00E44F3E">
              <w:t>2024</w:t>
            </w:r>
          </w:p>
        </w:tc>
        <w:tc>
          <w:tcPr>
            <w:tcW w:w="0" w:type="auto"/>
            <w:tcBorders>
              <w:top w:val="single" w:sz="4" w:space="0" w:color="C2D9BA"/>
              <w:bottom w:val="single" w:sz="4" w:space="0" w:color="C2D9BA"/>
            </w:tcBorders>
          </w:tcPr>
          <w:p w14:paraId="3B788909" w14:textId="77777777" w:rsidR="00DF57C0" w:rsidRDefault="00DF57C0" w:rsidP="00057FA7">
            <w:pPr>
              <w:pStyle w:val="TableText"/>
              <w:jc w:val="center"/>
            </w:pPr>
            <w:r w:rsidRPr="00E44F3E">
              <w:t>A</w:t>
            </w:r>
          </w:p>
          <w:p w14:paraId="6169D67E" w14:textId="1A2DEE85" w:rsidR="007307A6" w:rsidRPr="00E44F3E" w:rsidRDefault="007307A6" w:rsidP="00057FA7">
            <w:pPr>
              <w:pStyle w:val="TableText"/>
              <w:jc w:val="center"/>
            </w:pPr>
            <w:r w:rsidRPr="00DB43F1">
              <w:t>(Substantial clinical benefit)</w:t>
            </w:r>
          </w:p>
        </w:tc>
      </w:tr>
      <w:tr w:rsidR="00924CF1" w:rsidRPr="00E44F3E" w14:paraId="73B67950" w14:textId="77777777" w:rsidTr="00AF0CD9">
        <w:trPr>
          <w:cantSplit/>
          <w:trHeight w:val="244"/>
        </w:trPr>
        <w:tc>
          <w:tcPr>
            <w:tcW w:w="0" w:type="auto"/>
            <w:tcBorders>
              <w:top w:val="single" w:sz="4" w:space="0" w:color="C2D9BA"/>
              <w:bottom w:val="single" w:sz="4" w:space="0" w:color="C2D9BA"/>
            </w:tcBorders>
            <w:shd w:val="clear" w:color="auto" w:fill="auto"/>
          </w:tcPr>
          <w:p w14:paraId="760E1BFD" w14:textId="77777777" w:rsidR="00DF57C0" w:rsidRPr="00E44F3E" w:rsidRDefault="00DF57C0" w:rsidP="00AB32DC">
            <w:pPr>
              <w:pStyle w:val="TableText"/>
            </w:pPr>
            <w:r w:rsidRPr="00E44F3E">
              <w:t xml:space="preserve">Lenalidomide </w:t>
            </w:r>
          </w:p>
        </w:tc>
        <w:tc>
          <w:tcPr>
            <w:tcW w:w="0" w:type="auto"/>
            <w:tcBorders>
              <w:top w:val="single" w:sz="4" w:space="0" w:color="C2D9BA"/>
              <w:bottom w:val="single" w:sz="4" w:space="0" w:color="C2D9BA"/>
            </w:tcBorders>
          </w:tcPr>
          <w:p w14:paraId="16549D2B" w14:textId="77777777" w:rsidR="00DF57C0" w:rsidRPr="00E44F3E" w:rsidRDefault="00DF57C0" w:rsidP="00AB32DC">
            <w:pPr>
              <w:pStyle w:val="TableText"/>
            </w:pPr>
            <w:r w:rsidRPr="00E44F3E">
              <w:t>Newly diagnosed multiple myeloma</w:t>
            </w:r>
          </w:p>
        </w:tc>
        <w:tc>
          <w:tcPr>
            <w:tcW w:w="0" w:type="auto"/>
            <w:tcBorders>
              <w:top w:val="single" w:sz="4" w:space="0" w:color="C2D9BA"/>
              <w:bottom w:val="single" w:sz="4" w:space="0" w:color="C2D9BA"/>
            </w:tcBorders>
            <w:shd w:val="clear" w:color="auto" w:fill="auto"/>
          </w:tcPr>
          <w:p w14:paraId="471E2F98" w14:textId="2D3138FC" w:rsidR="00DF57C0" w:rsidRPr="00E44F3E" w:rsidRDefault="00DF57C0" w:rsidP="00057FA7">
            <w:pPr>
              <w:pStyle w:val="TableText"/>
              <w:jc w:val="center"/>
            </w:pPr>
            <w:r w:rsidRPr="00E44F3E">
              <w:t>1</w:t>
            </w:r>
            <w:r w:rsidR="005A1D05">
              <w:t> </w:t>
            </w:r>
            <w:r w:rsidRPr="00E44F3E">
              <w:t>August</w:t>
            </w:r>
            <w:r w:rsidR="005A1D05">
              <w:t> </w:t>
            </w:r>
            <w:r w:rsidRPr="00E44F3E">
              <w:t>2024</w:t>
            </w:r>
          </w:p>
        </w:tc>
        <w:tc>
          <w:tcPr>
            <w:tcW w:w="0" w:type="auto"/>
            <w:tcBorders>
              <w:top w:val="single" w:sz="4" w:space="0" w:color="C2D9BA"/>
              <w:bottom w:val="single" w:sz="4" w:space="0" w:color="C2D9BA"/>
            </w:tcBorders>
          </w:tcPr>
          <w:p w14:paraId="65B5FA73" w14:textId="77777777" w:rsidR="00DF57C0" w:rsidRDefault="00DF57C0" w:rsidP="00057FA7">
            <w:pPr>
              <w:pStyle w:val="TableText"/>
              <w:jc w:val="center"/>
            </w:pPr>
            <w:r w:rsidRPr="00E44F3E">
              <w:t>4</w:t>
            </w:r>
          </w:p>
          <w:p w14:paraId="6C14C42A" w14:textId="1155FFBF" w:rsidR="007307A6" w:rsidRPr="00E44F3E" w:rsidRDefault="007307A6" w:rsidP="00057FA7">
            <w:pPr>
              <w:pStyle w:val="TableText"/>
              <w:jc w:val="center"/>
            </w:pPr>
            <w:r w:rsidRPr="00DB43F1">
              <w:t>(Substantial clinical benefit)</w:t>
            </w:r>
          </w:p>
        </w:tc>
      </w:tr>
      <w:tr w:rsidR="00924CF1" w:rsidRPr="00E44F3E" w14:paraId="744A61FD" w14:textId="77777777" w:rsidTr="00AF0CD9">
        <w:trPr>
          <w:cantSplit/>
          <w:trHeight w:val="244"/>
        </w:trPr>
        <w:tc>
          <w:tcPr>
            <w:tcW w:w="0" w:type="auto"/>
            <w:tcBorders>
              <w:top w:val="single" w:sz="4" w:space="0" w:color="C2D9BA"/>
              <w:bottom w:val="single" w:sz="4" w:space="0" w:color="C2D9BA"/>
            </w:tcBorders>
            <w:shd w:val="clear" w:color="auto" w:fill="auto"/>
          </w:tcPr>
          <w:p w14:paraId="3A58EE38" w14:textId="77777777" w:rsidR="00DF57C0" w:rsidRPr="00E44F3E" w:rsidRDefault="00DF57C0" w:rsidP="00AB32DC">
            <w:pPr>
              <w:pStyle w:val="TableText"/>
            </w:pPr>
            <w:r w:rsidRPr="00E44F3E">
              <w:t>Lenalidomide</w:t>
            </w:r>
          </w:p>
        </w:tc>
        <w:tc>
          <w:tcPr>
            <w:tcW w:w="0" w:type="auto"/>
            <w:tcBorders>
              <w:top w:val="single" w:sz="4" w:space="0" w:color="C2D9BA"/>
              <w:bottom w:val="single" w:sz="4" w:space="0" w:color="C2D9BA"/>
            </w:tcBorders>
          </w:tcPr>
          <w:p w14:paraId="00B7B370" w14:textId="4EE76643" w:rsidR="00DF57C0" w:rsidRPr="00E44F3E" w:rsidRDefault="00DF57C0" w:rsidP="00AB32DC">
            <w:pPr>
              <w:pStyle w:val="TableText"/>
            </w:pPr>
            <w:r w:rsidRPr="00E44F3E">
              <w:t>Myelodysplastic syndrome with del</w:t>
            </w:r>
            <w:r w:rsidR="003324EB">
              <w:t>(</w:t>
            </w:r>
            <w:r w:rsidRPr="00E44F3E">
              <w:t>15q</w:t>
            </w:r>
            <w:r w:rsidR="003324EB">
              <w:t>)</w:t>
            </w:r>
            <w:r w:rsidRPr="00E44F3E">
              <w:t>, low risk or intermediate-1 and red blood cell transfusion depend</w:t>
            </w:r>
            <w:r w:rsidR="000527D2">
              <w:t>e</w:t>
            </w:r>
            <w:r w:rsidRPr="00E44F3E">
              <w:t>nt</w:t>
            </w:r>
          </w:p>
        </w:tc>
        <w:tc>
          <w:tcPr>
            <w:tcW w:w="0" w:type="auto"/>
            <w:tcBorders>
              <w:top w:val="single" w:sz="4" w:space="0" w:color="C2D9BA"/>
              <w:bottom w:val="single" w:sz="4" w:space="0" w:color="C2D9BA"/>
            </w:tcBorders>
            <w:shd w:val="clear" w:color="auto" w:fill="auto"/>
          </w:tcPr>
          <w:p w14:paraId="226B820B" w14:textId="04771219" w:rsidR="00DF57C0" w:rsidRPr="00E44F3E" w:rsidRDefault="00DF57C0" w:rsidP="00057FA7">
            <w:pPr>
              <w:pStyle w:val="TableText"/>
              <w:jc w:val="center"/>
            </w:pPr>
            <w:r w:rsidRPr="00E44F3E">
              <w:t>1</w:t>
            </w:r>
            <w:r w:rsidR="005A1D05">
              <w:t> </w:t>
            </w:r>
            <w:r w:rsidRPr="00E44F3E">
              <w:t>August</w:t>
            </w:r>
            <w:r w:rsidR="005A1D05">
              <w:t> </w:t>
            </w:r>
            <w:r w:rsidRPr="00E44F3E">
              <w:t>2024</w:t>
            </w:r>
          </w:p>
        </w:tc>
        <w:tc>
          <w:tcPr>
            <w:tcW w:w="0" w:type="auto"/>
            <w:tcBorders>
              <w:top w:val="single" w:sz="4" w:space="0" w:color="C2D9BA"/>
              <w:bottom w:val="single" w:sz="4" w:space="0" w:color="C2D9BA"/>
            </w:tcBorders>
          </w:tcPr>
          <w:p w14:paraId="116895E0" w14:textId="77777777" w:rsidR="00DF57C0" w:rsidRPr="00E44F3E" w:rsidRDefault="00DF57C0" w:rsidP="00057FA7">
            <w:pPr>
              <w:pStyle w:val="TableText"/>
              <w:jc w:val="center"/>
            </w:pPr>
            <w:r w:rsidRPr="00E44F3E">
              <w:t>3</w:t>
            </w:r>
          </w:p>
        </w:tc>
      </w:tr>
      <w:tr w:rsidR="00924CF1" w:rsidRPr="00E44F3E" w14:paraId="71945A85" w14:textId="77777777" w:rsidTr="00AF0CD9">
        <w:trPr>
          <w:cantSplit/>
          <w:trHeight w:val="244"/>
        </w:trPr>
        <w:tc>
          <w:tcPr>
            <w:tcW w:w="0" w:type="auto"/>
            <w:tcBorders>
              <w:top w:val="single" w:sz="4" w:space="0" w:color="C2D9BA"/>
              <w:bottom w:val="single" w:sz="4" w:space="0" w:color="C2D9BA"/>
            </w:tcBorders>
            <w:shd w:val="clear" w:color="auto" w:fill="auto"/>
          </w:tcPr>
          <w:p w14:paraId="649E2487" w14:textId="77777777" w:rsidR="00DF57C0" w:rsidRPr="00E44F3E" w:rsidRDefault="00DF57C0" w:rsidP="00AB32DC">
            <w:pPr>
              <w:pStyle w:val="TableText"/>
            </w:pPr>
            <w:r w:rsidRPr="00E44F3E">
              <w:t xml:space="preserve">Pomalidomide </w:t>
            </w:r>
          </w:p>
        </w:tc>
        <w:tc>
          <w:tcPr>
            <w:tcW w:w="0" w:type="auto"/>
            <w:tcBorders>
              <w:top w:val="single" w:sz="4" w:space="0" w:color="C2D9BA"/>
              <w:bottom w:val="single" w:sz="4" w:space="0" w:color="C2D9BA"/>
            </w:tcBorders>
          </w:tcPr>
          <w:p w14:paraId="21EC29C9" w14:textId="77777777" w:rsidR="00DF57C0" w:rsidRPr="00E44F3E" w:rsidRDefault="00DF57C0" w:rsidP="00AB32DC">
            <w:pPr>
              <w:pStyle w:val="TableText"/>
            </w:pPr>
            <w:r w:rsidRPr="00E44F3E">
              <w:t>Relapsed or refractory multiple myeloma third line</w:t>
            </w:r>
          </w:p>
        </w:tc>
        <w:tc>
          <w:tcPr>
            <w:tcW w:w="0" w:type="auto"/>
            <w:tcBorders>
              <w:top w:val="single" w:sz="4" w:space="0" w:color="C2D9BA"/>
              <w:bottom w:val="single" w:sz="4" w:space="0" w:color="C2D9BA"/>
            </w:tcBorders>
            <w:shd w:val="clear" w:color="auto" w:fill="auto"/>
          </w:tcPr>
          <w:p w14:paraId="7C0BB638" w14:textId="368336BE" w:rsidR="00DF57C0" w:rsidRPr="00E44F3E" w:rsidRDefault="00DF57C0" w:rsidP="00057FA7">
            <w:pPr>
              <w:pStyle w:val="TableText"/>
              <w:jc w:val="center"/>
            </w:pPr>
            <w:r w:rsidRPr="00E44F3E">
              <w:t>1</w:t>
            </w:r>
            <w:r w:rsidR="005A1D05">
              <w:t> </w:t>
            </w:r>
            <w:r w:rsidRPr="00E44F3E">
              <w:t>August</w:t>
            </w:r>
            <w:r w:rsidR="005A1D05">
              <w:t> </w:t>
            </w:r>
            <w:r w:rsidRPr="00E44F3E">
              <w:t>2024</w:t>
            </w:r>
          </w:p>
        </w:tc>
        <w:tc>
          <w:tcPr>
            <w:tcW w:w="0" w:type="auto"/>
            <w:tcBorders>
              <w:top w:val="single" w:sz="4" w:space="0" w:color="C2D9BA"/>
              <w:bottom w:val="single" w:sz="4" w:space="0" w:color="C2D9BA"/>
            </w:tcBorders>
          </w:tcPr>
          <w:p w14:paraId="0B2A34B4" w14:textId="77777777" w:rsidR="00DF57C0" w:rsidRDefault="00DF57C0" w:rsidP="00057FA7">
            <w:pPr>
              <w:pStyle w:val="TableText"/>
              <w:jc w:val="center"/>
            </w:pPr>
            <w:r w:rsidRPr="00E44F3E">
              <w:t>4</w:t>
            </w:r>
          </w:p>
          <w:p w14:paraId="685A7701" w14:textId="6D348327" w:rsidR="007307A6" w:rsidRPr="00E44F3E" w:rsidRDefault="007307A6" w:rsidP="00057FA7">
            <w:pPr>
              <w:pStyle w:val="TableText"/>
              <w:jc w:val="center"/>
            </w:pPr>
            <w:r w:rsidRPr="00DB43F1">
              <w:t>(Substantial clinical benefit)</w:t>
            </w:r>
          </w:p>
        </w:tc>
      </w:tr>
      <w:tr w:rsidR="00924CF1" w:rsidRPr="00E44F3E" w14:paraId="0762331E" w14:textId="77777777" w:rsidTr="00AF0CD9">
        <w:trPr>
          <w:cantSplit/>
          <w:trHeight w:val="244"/>
        </w:trPr>
        <w:tc>
          <w:tcPr>
            <w:tcW w:w="0" w:type="auto"/>
            <w:tcBorders>
              <w:top w:val="single" w:sz="4" w:space="0" w:color="C2D9BA"/>
              <w:bottom w:val="single" w:sz="4" w:space="0" w:color="C2D9BA"/>
            </w:tcBorders>
            <w:shd w:val="clear" w:color="auto" w:fill="auto"/>
          </w:tcPr>
          <w:p w14:paraId="63619581" w14:textId="77777777" w:rsidR="00DF57C0" w:rsidRPr="00E44F3E" w:rsidRDefault="00DF57C0" w:rsidP="00AB32DC">
            <w:pPr>
              <w:pStyle w:val="TableText"/>
            </w:pPr>
            <w:r w:rsidRPr="00E44F3E">
              <w:t>Pomalidomide</w:t>
            </w:r>
          </w:p>
        </w:tc>
        <w:tc>
          <w:tcPr>
            <w:tcW w:w="0" w:type="auto"/>
            <w:tcBorders>
              <w:top w:val="single" w:sz="4" w:space="0" w:color="C2D9BA"/>
              <w:bottom w:val="single" w:sz="4" w:space="0" w:color="C2D9BA"/>
            </w:tcBorders>
          </w:tcPr>
          <w:p w14:paraId="31B15300" w14:textId="4D9D8399" w:rsidR="00DF57C0" w:rsidRPr="00E44F3E" w:rsidRDefault="00DF57C0" w:rsidP="00AB32DC">
            <w:pPr>
              <w:pStyle w:val="TableText"/>
            </w:pPr>
            <w:r w:rsidRPr="00E44F3E">
              <w:t xml:space="preserve">Progressive disease after at least one prior therapy that is either lenalidomide monotherapy or contains lenalidomide and </w:t>
            </w:r>
            <w:r w:rsidR="00924CF1">
              <w:t xml:space="preserve">the patient </w:t>
            </w:r>
            <w:r w:rsidRPr="00E44F3E">
              <w:t xml:space="preserve">has undergone or </w:t>
            </w:r>
            <w:r w:rsidR="00FE3605">
              <w:t>is i</w:t>
            </w:r>
            <w:r w:rsidRPr="00E44F3E">
              <w:t>neligible for an autologous haem</w:t>
            </w:r>
            <w:r w:rsidR="00D502AA">
              <w:t>at</w:t>
            </w:r>
            <w:r w:rsidRPr="00E44F3E">
              <w:t>opoietic stem cell transplant</w:t>
            </w:r>
          </w:p>
        </w:tc>
        <w:tc>
          <w:tcPr>
            <w:tcW w:w="0" w:type="auto"/>
            <w:tcBorders>
              <w:top w:val="single" w:sz="4" w:space="0" w:color="C2D9BA"/>
              <w:bottom w:val="single" w:sz="4" w:space="0" w:color="C2D9BA"/>
            </w:tcBorders>
            <w:shd w:val="clear" w:color="auto" w:fill="auto"/>
          </w:tcPr>
          <w:p w14:paraId="7AC9F85E" w14:textId="41984DCC" w:rsidR="00DF57C0" w:rsidRPr="00E44F3E" w:rsidRDefault="00DF57C0" w:rsidP="00057FA7">
            <w:pPr>
              <w:pStyle w:val="TableText"/>
              <w:jc w:val="center"/>
            </w:pPr>
            <w:r w:rsidRPr="00E44F3E">
              <w:t>1</w:t>
            </w:r>
            <w:r w:rsidR="005A1D05">
              <w:t> </w:t>
            </w:r>
            <w:r w:rsidRPr="00E44F3E">
              <w:t>August</w:t>
            </w:r>
            <w:r w:rsidR="005A1D05">
              <w:t> </w:t>
            </w:r>
            <w:r w:rsidRPr="00E44F3E">
              <w:t>2024</w:t>
            </w:r>
          </w:p>
        </w:tc>
        <w:tc>
          <w:tcPr>
            <w:tcW w:w="0" w:type="auto"/>
            <w:tcBorders>
              <w:top w:val="single" w:sz="4" w:space="0" w:color="C2D9BA"/>
              <w:bottom w:val="single" w:sz="4" w:space="0" w:color="C2D9BA"/>
            </w:tcBorders>
          </w:tcPr>
          <w:p w14:paraId="314A3864" w14:textId="77777777" w:rsidR="00DF57C0" w:rsidRPr="00E44F3E" w:rsidRDefault="00DF57C0" w:rsidP="00057FA7">
            <w:pPr>
              <w:pStyle w:val="TableText"/>
              <w:jc w:val="center"/>
            </w:pPr>
            <w:r w:rsidRPr="00E44F3E">
              <w:t>2</w:t>
            </w:r>
          </w:p>
        </w:tc>
      </w:tr>
      <w:tr w:rsidR="00BD4FCE" w:rsidRPr="00E44F3E" w14:paraId="4EB67666" w14:textId="77777777" w:rsidTr="00AF0CD9">
        <w:trPr>
          <w:cantSplit/>
          <w:trHeight w:val="244"/>
        </w:trPr>
        <w:tc>
          <w:tcPr>
            <w:tcW w:w="0" w:type="auto"/>
            <w:tcBorders>
              <w:top w:val="single" w:sz="4" w:space="0" w:color="C2D9BA"/>
              <w:bottom w:val="single" w:sz="4" w:space="0" w:color="C2D9BA"/>
            </w:tcBorders>
            <w:shd w:val="clear" w:color="auto" w:fill="auto"/>
          </w:tcPr>
          <w:p w14:paraId="7B557672" w14:textId="3958D97D" w:rsidR="00BD4FCE" w:rsidRPr="00E44F3E" w:rsidRDefault="00A75568" w:rsidP="00AB32DC">
            <w:pPr>
              <w:pStyle w:val="TableText"/>
            </w:pPr>
            <w:r>
              <w:t>Pe</w:t>
            </w:r>
            <w:r w:rsidR="00C613BD">
              <w:t>mbrolizumab</w:t>
            </w:r>
            <w:r w:rsidR="0026082C">
              <w:t>*</w:t>
            </w:r>
            <w:r w:rsidR="00ED3B3D">
              <w:t>*</w:t>
            </w:r>
          </w:p>
        </w:tc>
        <w:tc>
          <w:tcPr>
            <w:tcW w:w="0" w:type="auto"/>
            <w:tcBorders>
              <w:top w:val="single" w:sz="4" w:space="0" w:color="C2D9BA"/>
              <w:bottom w:val="single" w:sz="4" w:space="0" w:color="C2D9BA"/>
            </w:tcBorders>
          </w:tcPr>
          <w:p w14:paraId="18ADFF02" w14:textId="6753ACCE" w:rsidR="00BD4FCE" w:rsidRPr="00E44F3E" w:rsidRDefault="00C613BD" w:rsidP="00AB32DC">
            <w:pPr>
              <w:pStyle w:val="TableText"/>
            </w:pPr>
            <w:r w:rsidRPr="00E44F3E">
              <w:t>Relapsed or refractory</w:t>
            </w:r>
            <w:r>
              <w:t xml:space="preserve"> Hodgkin lymphoma </w:t>
            </w:r>
          </w:p>
        </w:tc>
        <w:tc>
          <w:tcPr>
            <w:tcW w:w="0" w:type="auto"/>
            <w:tcBorders>
              <w:top w:val="single" w:sz="4" w:space="0" w:color="C2D9BA"/>
              <w:bottom w:val="single" w:sz="4" w:space="0" w:color="C2D9BA"/>
            </w:tcBorders>
            <w:shd w:val="clear" w:color="auto" w:fill="auto"/>
          </w:tcPr>
          <w:p w14:paraId="661CB27C" w14:textId="69689D1D" w:rsidR="00BD4FCE" w:rsidRPr="00E44F3E" w:rsidRDefault="00C613BD" w:rsidP="00057FA7">
            <w:pPr>
              <w:pStyle w:val="TableText"/>
              <w:jc w:val="center"/>
            </w:pPr>
            <w:r>
              <w:t>1 October 2024</w:t>
            </w:r>
          </w:p>
        </w:tc>
        <w:tc>
          <w:tcPr>
            <w:tcW w:w="0" w:type="auto"/>
            <w:tcBorders>
              <w:top w:val="single" w:sz="4" w:space="0" w:color="C2D9BA"/>
              <w:bottom w:val="single" w:sz="4" w:space="0" w:color="C2D9BA"/>
            </w:tcBorders>
          </w:tcPr>
          <w:p w14:paraId="75F8392D" w14:textId="3A297580" w:rsidR="00BD4FCE" w:rsidRPr="00E44F3E" w:rsidRDefault="00703BE0" w:rsidP="00057FA7">
            <w:pPr>
              <w:pStyle w:val="TableText"/>
              <w:jc w:val="center"/>
            </w:pPr>
            <w:r>
              <w:t>3</w:t>
            </w:r>
          </w:p>
        </w:tc>
      </w:tr>
    </w:tbl>
    <w:p w14:paraId="56B01B15" w14:textId="77777777" w:rsidR="0026082C" w:rsidRDefault="00770567" w:rsidP="00EF47EE">
      <w:pPr>
        <w:pStyle w:val="Note"/>
      </w:pPr>
      <w:r>
        <w:t xml:space="preserve">*  </w:t>
      </w:r>
      <w:proofErr w:type="spellStart"/>
      <w:r w:rsidR="0026082C">
        <w:t>Pharmac’s</w:t>
      </w:r>
      <w:proofErr w:type="spellEnd"/>
      <w:r w:rsidR="0026082C">
        <w:t xml:space="preserve"> funding of </w:t>
      </w:r>
      <w:proofErr w:type="spellStart"/>
      <w:r w:rsidR="0026082C">
        <w:t>Midostaurin</w:t>
      </w:r>
      <w:proofErr w:type="spellEnd"/>
      <w:r w:rsidR="0026082C">
        <w:t xml:space="preserve"> covers use as induction and consolidation therapy. It does not cover use in a maintenance setting which is permitted in Australia.  </w:t>
      </w:r>
    </w:p>
    <w:p w14:paraId="5D4FB0C2" w14:textId="7D9040E4" w:rsidR="00DF57C0" w:rsidRDefault="00EF47EE" w:rsidP="00EF47EE">
      <w:pPr>
        <w:pStyle w:val="Note"/>
      </w:pPr>
      <w:r>
        <w:t xml:space="preserve">** </w:t>
      </w:r>
      <w:r w:rsidR="00425635">
        <w:t xml:space="preserve">Medicine-indication pair funded from </w:t>
      </w:r>
      <w:r w:rsidR="00425635" w:rsidRPr="00425635">
        <w:t xml:space="preserve">2024 </w:t>
      </w:r>
      <w:r w:rsidR="00425635">
        <w:t xml:space="preserve">Government </w:t>
      </w:r>
      <w:r w:rsidR="00425635" w:rsidRPr="00425635">
        <w:t>budget increase.</w:t>
      </w:r>
    </w:p>
    <w:p w14:paraId="74FA1F22" w14:textId="77777777" w:rsidR="0071771E" w:rsidRDefault="0071771E" w:rsidP="00AB32DC"/>
    <w:p w14:paraId="08E90388" w14:textId="77777777" w:rsidR="00425635" w:rsidRPr="00E44F3E" w:rsidRDefault="00425635" w:rsidP="00AB32DC"/>
    <w:p w14:paraId="6F0131D8" w14:textId="244785F7" w:rsidR="00057FA7" w:rsidRPr="00E44F3E" w:rsidRDefault="007643CB" w:rsidP="00057FA7">
      <w:pPr>
        <w:pStyle w:val="Heading1"/>
        <w:rPr>
          <w:color w:val="0AB58F"/>
        </w:rPr>
      </w:pPr>
      <w:bookmarkStart w:id="130" w:name="_Toc180062118"/>
      <w:r w:rsidRPr="00E44F3E">
        <w:lastRenderedPageBreak/>
        <w:t>HE KŌRERO</w:t>
      </w:r>
      <w:r w:rsidR="00057FA7" w:rsidRPr="00E44F3E">
        <w:t xml:space="preserve"> </w:t>
      </w:r>
      <w:r w:rsidR="00057FA7" w:rsidRPr="00E44F3E">
        <w:rPr>
          <w:color w:val="FFFFFF" w:themeColor="background1"/>
        </w:rPr>
        <w:t>|</w:t>
      </w:r>
      <w:r w:rsidR="00057FA7" w:rsidRPr="00E44F3E">
        <w:br/>
      </w:r>
      <w:r w:rsidRPr="00E44F3E">
        <w:rPr>
          <w:color w:val="0AB58F"/>
        </w:rPr>
        <w:t>DISCUSSION</w:t>
      </w:r>
      <w:bookmarkEnd w:id="130"/>
    </w:p>
    <w:p w14:paraId="01F6F94E" w14:textId="38C3D6E6" w:rsidR="007643CB" w:rsidRPr="00E44F3E" w:rsidRDefault="007643CB" w:rsidP="007643CB">
      <w:r w:rsidRPr="00E44F3E">
        <w:t xml:space="preserve">Cancer medicines, provided alone or in combination with surgery and/or radiation therapy, are a critical part of blood cancer care. Medicines can give people the opportunity to be cured of blood cancer, increase their quality of life with blood cancer, or extend how long they live with blood cancer. People with blood cancer, their whānau, and their treatment team expect that the medicines they need will be available when they need them. </w:t>
      </w:r>
    </w:p>
    <w:p w14:paraId="7AC6D549" w14:textId="77777777" w:rsidR="007643CB" w:rsidRPr="00E44F3E" w:rsidRDefault="007643CB" w:rsidP="007643CB"/>
    <w:p w14:paraId="38F15B51" w14:textId="41DD1939" w:rsidR="007643CB" w:rsidRPr="00E44F3E" w:rsidRDefault="007643CB" w:rsidP="007643CB">
      <w:r w:rsidRPr="00E44F3E">
        <w:t xml:space="preserve">This report is a continuation of the 2022 </w:t>
      </w:r>
      <w:r w:rsidR="00EA4A06">
        <w:t>r</w:t>
      </w:r>
      <w:r w:rsidRPr="00E44F3E">
        <w:t xml:space="preserve">eport, which could not be completed for blood cancer medicines at that time. The same methodology was used to describe the difference in blood cancer medicine availability between Australia and </w:t>
      </w:r>
      <w:r w:rsidR="00E6006E">
        <w:t>Aotearoa New </w:t>
      </w:r>
      <w:r w:rsidR="003B42AA">
        <w:t>Zealand</w:t>
      </w:r>
      <w:r w:rsidRPr="00E44F3E">
        <w:t>. The magnitude of clinical benefit of those gaps was also identified now that a validated tool has become available to do so.</w:t>
      </w:r>
    </w:p>
    <w:p w14:paraId="1E48FE55" w14:textId="77777777" w:rsidR="007643CB" w:rsidRPr="00E44F3E" w:rsidRDefault="007643CB" w:rsidP="007643CB">
      <w:pPr>
        <w:pStyle w:val="Heading2"/>
      </w:pPr>
      <w:bookmarkStart w:id="131" w:name="_Toc99443589"/>
      <w:bookmarkStart w:id="132" w:name="_Toc99443744"/>
      <w:bookmarkStart w:id="133" w:name="_Toc99451929"/>
      <w:bookmarkStart w:id="134" w:name="_Toc99456202"/>
      <w:bookmarkStart w:id="135" w:name="_Toc100738343"/>
      <w:bookmarkStart w:id="136" w:name="_Toc100739045"/>
      <w:bookmarkStart w:id="137" w:name="_Toc175229006"/>
      <w:bookmarkStart w:id="138" w:name="_Toc180062119"/>
      <w:r w:rsidRPr="00E44F3E">
        <w:t>Summary of main findings</w:t>
      </w:r>
      <w:bookmarkEnd w:id="131"/>
      <w:bookmarkEnd w:id="132"/>
      <w:bookmarkEnd w:id="133"/>
      <w:bookmarkEnd w:id="134"/>
      <w:bookmarkEnd w:id="135"/>
      <w:bookmarkEnd w:id="136"/>
      <w:bookmarkEnd w:id="137"/>
      <w:bookmarkEnd w:id="138"/>
    </w:p>
    <w:p w14:paraId="7151B66D" w14:textId="6595E688" w:rsidR="007643CB" w:rsidRPr="00E44F3E" w:rsidRDefault="007643CB" w:rsidP="007643CB">
      <w:r w:rsidRPr="00E44F3E">
        <w:t xml:space="preserve">This analysis quantitively assessed the differences in </w:t>
      </w:r>
      <w:r w:rsidR="00FB37A4">
        <w:t xml:space="preserve">blood cancer </w:t>
      </w:r>
      <w:r w:rsidRPr="00E44F3E">
        <w:t xml:space="preserve">medicine availability between Australia and </w:t>
      </w:r>
      <w:r w:rsidR="00E6006E">
        <w:t>Aotearoa New </w:t>
      </w:r>
      <w:r w:rsidR="003B42AA">
        <w:t>Zealand</w:t>
      </w:r>
      <w:r w:rsidRPr="00E44F3E">
        <w:t xml:space="preserve"> and found that there were </w:t>
      </w:r>
      <w:r w:rsidR="00E67CAB">
        <w:t>58</w:t>
      </w:r>
      <w:r w:rsidRPr="00E44F3E">
        <w:t xml:space="preserve"> medicines available in both countries, </w:t>
      </w:r>
      <w:r w:rsidR="00E67CAB">
        <w:t>13</w:t>
      </w:r>
      <w:r w:rsidRPr="00E44F3E">
        <w:t xml:space="preserve"> medicines available in </w:t>
      </w:r>
      <w:r w:rsidR="00E6006E">
        <w:t>Aotearoa New </w:t>
      </w:r>
      <w:r w:rsidR="003B42AA">
        <w:t>Zealand</w:t>
      </w:r>
      <w:r w:rsidRPr="00E44F3E">
        <w:t xml:space="preserve"> but not</w:t>
      </w:r>
      <w:r w:rsidR="008769F1">
        <w:t xml:space="preserve"> in</w:t>
      </w:r>
      <w:r w:rsidRPr="00E44F3E">
        <w:t xml:space="preserve"> Australia</w:t>
      </w:r>
      <w:r w:rsidR="00EF2786">
        <w:t>,</w:t>
      </w:r>
      <w:r w:rsidRPr="00E44F3E">
        <w:t xml:space="preserve"> and </w:t>
      </w:r>
      <w:r w:rsidR="00E67CAB">
        <w:t>24</w:t>
      </w:r>
      <w:r w:rsidRPr="00E44F3E">
        <w:t xml:space="preserve"> medicines available in Australia but not </w:t>
      </w:r>
      <w:r w:rsidR="00761832">
        <w:t xml:space="preserve">in </w:t>
      </w:r>
      <w:r w:rsidR="00E6006E">
        <w:t>Aotearoa New </w:t>
      </w:r>
      <w:r w:rsidR="003B42AA">
        <w:t>Zealand</w:t>
      </w:r>
      <w:r w:rsidRPr="00E44F3E">
        <w:t xml:space="preserve"> across </w:t>
      </w:r>
      <w:r w:rsidR="00527F16">
        <w:t>42</w:t>
      </w:r>
      <w:r w:rsidRPr="00E44F3E">
        <w:t xml:space="preserve"> medicine-indication pairs. The likely magnitude of clinical benefit that could be realised if these medicine gaps were addressed was then determined, identifying </w:t>
      </w:r>
      <w:r w:rsidR="00E67CAB">
        <w:t>12</w:t>
      </w:r>
      <w:r w:rsidRPr="00E44F3E">
        <w:t xml:space="preserve"> medicines of substantial magnitude of clinical benefit.</w:t>
      </w:r>
    </w:p>
    <w:p w14:paraId="66D07299" w14:textId="77777777" w:rsidR="007643CB" w:rsidRPr="00E44F3E" w:rsidRDefault="007643CB" w:rsidP="007643CB"/>
    <w:p w14:paraId="65C95349" w14:textId="64C5B89D" w:rsidR="007643CB" w:rsidRPr="00E44F3E" w:rsidRDefault="007643CB" w:rsidP="007643CB">
      <w:r w:rsidRPr="00E44F3E">
        <w:t xml:space="preserve">With consideration to the fact that some treatment regimens require more than one medicine to be administered at the same time, the </w:t>
      </w:r>
      <w:r w:rsidR="00527F16">
        <w:t>42</w:t>
      </w:r>
      <w:r w:rsidRPr="00E44F3E">
        <w:t xml:space="preserve"> medicine-indication pairs available in Australia but not in </w:t>
      </w:r>
      <w:r w:rsidR="00E6006E">
        <w:t>Aotearoa New </w:t>
      </w:r>
      <w:r w:rsidR="003B42AA">
        <w:t>Zealand</w:t>
      </w:r>
      <w:r w:rsidRPr="00E44F3E">
        <w:t xml:space="preserve"> equate to </w:t>
      </w:r>
      <w:r w:rsidR="00527F16">
        <w:t>37</w:t>
      </w:r>
      <w:r w:rsidRPr="00E44F3E">
        <w:t xml:space="preserve"> regimen</w:t>
      </w:r>
      <w:r w:rsidR="00DC5AE3">
        <w:t>-indication</w:t>
      </w:r>
      <w:r w:rsidRPr="00E44F3E">
        <w:t xml:space="preserve"> pairs. Of the </w:t>
      </w:r>
      <w:r w:rsidR="00527F16">
        <w:t>37</w:t>
      </w:r>
      <w:r w:rsidRPr="00E44F3E">
        <w:t xml:space="preserve"> identified regimen</w:t>
      </w:r>
      <w:r w:rsidR="00DC5AE3">
        <w:t>-indication</w:t>
      </w:r>
      <w:r w:rsidRPr="00E44F3E">
        <w:t xml:space="preserve"> pairs, </w:t>
      </w:r>
      <w:r w:rsidR="00E67CAB">
        <w:t>11</w:t>
      </w:r>
      <w:r w:rsidRPr="00E44F3E">
        <w:t xml:space="preserve"> were determined to have a </w:t>
      </w:r>
      <w:r w:rsidR="00D3323E">
        <w:t>substantial</w:t>
      </w:r>
      <w:r w:rsidRPr="00E44F3E">
        <w:t xml:space="preserve"> magnitude of clinical benefit. </w:t>
      </w:r>
      <w:r w:rsidR="00E67CAB">
        <w:t>Two</w:t>
      </w:r>
      <w:r w:rsidRPr="00E44F3E">
        <w:t xml:space="preserve"> of these were regimens used in a curative setting and 9 were in a non-curative setting. The medicine gaps of substantial magnitude of clinical benefit covered a variety of different blood cancer types. </w:t>
      </w:r>
    </w:p>
    <w:p w14:paraId="778D1373" w14:textId="77777777" w:rsidR="007643CB" w:rsidRPr="00E44F3E" w:rsidRDefault="007643CB" w:rsidP="007643CB"/>
    <w:p w14:paraId="7A300D3F" w14:textId="05610601" w:rsidR="007643CB" w:rsidRPr="00E44F3E" w:rsidRDefault="007643CB" w:rsidP="007643CB">
      <w:r w:rsidRPr="00E44F3E">
        <w:t xml:space="preserve">Overall, this means for </w:t>
      </w:r>
      <w:r w:rsidR="00E6006E">
        <w:t>Aotearoa New </w:t>
      </w:r>
      <w:r w:rsidR="003B42AA">
        <w:t>Zealand</w:t>
      </w:r>
      <w:r w:rsidRPr="00E44F3E">
        <w:t xml:space="preserve"> to close the gaps for those medicines identified as having a </w:t>
      </w:r>
      <w:r w:rsidR="00D3323E">
        <w:t>substantial</w:t>
      </w:r>
      <w:r w:rsidRPr="00E44F3E">
        <w:t xml:space="preserve"> magnitude of clinical benefit </w:t>
      </w:r>
      <w:r w:rsidR="00583717">
        <w:t xml:space="preserve">that </w:t>
      </w:r>
      <w:r w:rsidRPr="00E44F3E">
        <w:t xml:space="preserve">are funded in Australia but not </w:t>
      </w:r>
      <w:r w:rsidR="00761832">
        <w:t xml:space="preserve">in </w:t>
      </w:r>
      <w:r w:rsidR="00E6006E">
        <w:t>Aotearoa New </w:t>
      </w:r>
      <w:r w:rsidR="003B42AA">
        <w:t>Zealand</w:t>
      </w:r>
      <w:r w:rsidRPr="00E44F3E">
        <w:t>,</w:t>
      </w:r>
      <w:r w:rsidR="00B1682D" w:rsidRPr="00E44F3E">
        <w:t xml:space="preserve"> </w:t>
      </w:r>
      <w:r w:rsidR="00E67CAB">
        <w:t>24</w:t>
      </w:r>
      <w:r w:rsidRPr="00E44F3E">
        <w:t xml:space="preserve"> individual medicines would need to be funded. These medicines are for </w:t>
      </w:r>
      <w:r w:rsidR="00527F16">
        <w:t>42</w:t>
      </w:r>
      <w:r w:rsidRPr="00E44F3E">
        <w:t xml:space="preserve"> specific indications and would cover </w:t>
      </w:r>
      <w:r w:rsidR="00527F16">
        <w:t>37</w:t>
      </w:r>
      <w:r w:rsidRPr="00E44F3E">
        <w:t xml:space="preserve"> blood cancer treatment regimens. </w:t>
      </w:r>
    </w:p>
    <w:p w14:paraId="20792E70" w14:textId="77777777" w:rsidR="007643CB" w:rsidRPr="00E44F3E" w:rsidRDefault="007643CB" w:rsidP="007643CB"/>
    <w:p w14:paraId="63F73E99" w14:textId="29E00F0D" w:rsidR="007643CB" w:rsidRPr="00E44F3E" w:rsidRDefault="007643CB" w:rsidP="007643CB">
      <w:r w:rsidRPr="00E44F3E">
        <w:t xml:space="preserve">Since the analysis date of 1 January 2024, </w:t>
      </w:r>
      <w:r w:rsidR="00191B96">
        <w:t>four</w:t>
      </w:r>
      <w:r w:rsidRPr="00E44F3E">
        <w:t xml:space="preserve"> individual blood cancer medicines for </w:t>
      </w:r>
      <w:r w:rsidR="00191B96">
        <w:t>six</w:t>
      </w:r>
      <w:r w:rsidRPr="00E44F3E">
        <w:t xml:space="preserve"> different indications have been funded by Pharmac, closing the gaps identified to </w:t>
      </w:r>
      <w:r w:rsidR="006C6D72">
        <w:t>36</w:t>
      </w:r>
      <w:r w:rsidR="00D6582B">
        <w:t xml:space="preserve"> </w:t>
      </w:r>
      <w:r w:rsidRPr="00E44F3E">
        <w:t xml:space="preserve">medicine-indication pairs, </w:t>
      </w:r>
      <w:r w:rsidR="00E67CAB">
        <w:t>9</w:t>
      </w:r>
      <w:r w:rsidRPr="00E44F3E">
        <w:t xml:space="preserve"> with a substantial magnitude of clinical benefit.</w:t>
      </w:r>
    </w:p>
    <w:p w14:paraId="1F297177" w14:textId="04A67F18" w:rsidR="007643CB" w:rsidRPr="00E44F3E" w:rsidRDefault="007643CB" w:rsidP="007643CB">
      <w:pPr>
        <w:pStyle w:val="Heading2"/>
      </w:pPr>
      <w:bookmarkStart w:id="139" w:name="_Toc99443595"/>
      <w:bookmarkStart w:id="140" w:name="_Toc99443750"/>
      <w:bookmarkStart w:id="141" w:name="_Toc99451935"/>
      <w:bookmarkStart w:id="142" w:name="_Toc99456208"/>
      <w:bookmarkStart w:id="143" w:name="_Toc100738349"/>
      <w:bookmarkStart w:id="144" w:name="_Toc100739051"/>
      <w:bookmarkStart w:id="145" w:name="_Toc175229007"/>
      <w:bookmarkStart w:id="146" w:name="_Toc180062120"/>
      <w:r w:rsidRPr="00E44F3E">
        <w:lastRenderedPageBreak/>
        <w:t>Strengths of this analysis</w:t>
      </w:r>
      <w:bookmarkEnd w:id="139"/>
      <w:bookmarkEnd w:id="140"/>
      <w:bookmarkEnd w:id="141"/>
      <w:bookmarkEnd w:id="142"/>
      <w:bookmarkEnd w:id="143"/>
      <w:bookmarkEnd w:id="144"/>
      <w:bookmarkEnd w:id="145"/>
      <w:bookmarkEnd w:id="146"/>
    </w:p>
    <w:p w14:paraId="13F29BB4" w14:textId="62F9151D" w:rsidR="007643CB" w:rsidRPr="00E44F3E" w:rsidRDefault="007643CB" w:rsidP="007643CB">
      <w:bookmarkStart w:id="147" w:name="_Toc99443596"/>
      <w:bookmarkStart w:id="148" w:name="_Toc99443751"/>
      <w:bookmarkStart w:id="149" w:name="_Toc99451936"/>
      <w:bookmarkStart w:id="150" w:name="_Toc99456209"/>
      <w:bookmarkStart w:id="151" w:name="_Toc100738350"/>
      <w:bookmarkStart w:id="152" w:name="_Toc100739052"/>
      <w:r w:rsidRPr="00E44F3E">
        <w:t>This report goes beyond counting medicines, to consideration of medicine gaps according to their specific uses and the magnitude of clinical benefit of the identified medicines. One cancer medicine can be used to treat multiple different types and stages of cancer, so it is important to consider the medicine-indication and regimen</w:t>
      </w:r>
      <w:r w:rsidR="00DC5AE3">
        <w:t>-indication</w:t>
      </w:r>
      <w:r w:rsidRPr="00E44F3E">
        <w:t xml:space="preserve"> pairs. In addition, not all gaps are equal in terms of the health benefit </w:t>
      </w:r>
      <w:r w:rsidR="00E6006E">
        <w:t>Aotearoa New </w:t>
      </w:r>
      <w:r w:rsidR="003B42AA">
        <w:t>Zealand</w:t>
      </w:r>
      <w:r w:rsidRPr="00E44F3E">
        <w:t xml:space="preserve"> may achieve if a medicine was funded. Consideration of the identified gaps in terms of their magnitude of clinical benefit therefore provides important context for understanding which gaps possibly offer more health benefit to </w:t>
      </w:r>
      <w:r w:rsidR="00E6006E">
        <w:t>Aotearoa New </w:t>
      </w:r>
      <w:r w:rsidR="003B42AA">
        <w:t>Zealand</w:t>
      </w:r>
      <w:r w:rsidRPr="00E44F3E">
        <w:t>.</w:t>
      </w:r>
    </w:p>
    <w:p w14:paraId="5D4C0814" w14:textId="77777777" w:rsidR="007643CB" w:rsidRPr="00E44F3E" w:rsidRDefault="007643CB" w:rsidP="007643CB">
      <w:pPr>
        <w:pStyle w:val="Heading2"/>
      </w:pPr>
      <w:bookmarkStart w:id="153" w:name="_Toc175229008"/>
      <w:bookmarkStart w:id="154" w:name="_Toc180062121"/>
      <w:r w:rsidRPr="00E44F3E">
        <w:t>Considerations when interpreting the findings of this report – methodology</w:t>
      </w:r>
      <w:bookmarkEnd w:id="153"/>
      <w:bookmarkEnd w:id="154"/>
      <w:r w:rsidRPr="00E44F3E">
        <w:t xml:space="preserve"> </w:t>
      </w:r>
    </w:p>
    <w:p w14:paraId="48DED03D" w14:textId="77777777" w:rsidR="007643CB" w:rsidRPr="00E44F3E" w:rsidRDefault="007643CB" w:rsidP="007643CB">
      <w:r w:rsidRPr="00E44F3E">
        <w:t xml:space="preserve">The methodology of this analysis should be considered when interpreting the results of this report. </w:t>
      </w:r>
    </w:p>
    <w:p w14:paraId="26E7A05C" w14:textId="77777777" w:rsidR="007643CB" w:rsidRPr="00E44F3E" w:rsidRDefault="007643CB" w:rsidP="007643CB"/>
    <w:p w14:paraId="1EFFA7FD" w14:textId="1D34D8A6" w:rsidR="007643CB" w:rsidRPr="00E44F3E" w:rsidRDefault="007643CB" w:rsidP="007643CB">
      <w:pPr>
        <w:pStyle w:val="Keystatementsorpulloutquotes"/>
      </w:pPr>
      <w:r w:rsidRPr="00E44F3E">
        <w:t xml:space="preserve">The analysis only compares medicine availability in </w:t>
      </w:r>
      <w:r w:rsidR="00E6006E">
        <w:t>Aotearoa New </w:t>
      </w:r>
      <w:r w:rsidR="003B42AA">
        <w:t>Zealand</w:t>
      </w:r>
      <w:r w:rsidRPr="00E44F3E">
        <w:t xml:space="preserve"> with one other country. </w:t>
      </w:r>
    </w:p>
    <w:p w14:paraId="50DC6216" w14:textId="1DA51314" w:rsidR="007643CB" w:rsidRPr="00E44F3E" w:rsidRDefault="007643CB" w:rsidP="007643CB">
      <w:r w:rsidRPr="00E44F3E">
        <w:t xml:space="preserve">While Australia is a country </w:t>
      </w:r>
      <w:r w:rsidR="00E6006E">
        <w:t>Aotearoa New </w:t>
      </w:r>
      <w:r w:rsidR="00F01F5C">
        <w:t>Zealand</w:t>
      </w:r>
      <w:r w:rsidRPr="00E44F3E">
        <w:t xml:space="preserve"> is often compared </w:t>
      </w:r>
      <w:r w:rsidR="00FB37A4">
        <w:t>with</w:t>
      </w:r>
      <w:r w:rsidRPr="00E44F3E">
        <w:t xml:space="preserve">, and Australia has higher cancer medicine availability than </w:t>
      </w:r>
      <w:r w:rsidR="00E6006E">
        <w:t>Aotearoa New </w:t>
      </w:r>
      <w:r w:rsidR="00F01F5C">
        <w:t>Zealand</w:t>
      </w:r>
      <w:r w:rsidRPr="00E44F3E">
        <w:t>, it is important to remember that medicine availability in Australia is not reflective of an international ‘gold standard’. There is variation in medicine availability between all countries</w:t>
      </w:r>
      <w:r w:rsidR="00443BA9">
        <w:t>,</w:t>
      </w:r>
      <w:r w:rsidRPr="00E44F3E">
        <w:t xml:space="preserve"> and there is no ‘right’ or ‘correct’ level of medicine access. There may be blood cancer medicines not yet available in Australia that could provide significant health benefit to New Zealanders if they were available in </w:t>
      </w:r>
      <w:r w:rsidR="00E6006E">
        <w:t>Aotearoa New </w:t>
      </w:r>
      <w:r w:rsidR="00F01F5C">
        <w:t>Zealand</w:t>
      </w:r>
      <w:r w:rsidRPr="00E44F3E">
        <w:t xml:space="preserve">. </w:t>
      </w:r>
    </w:p>
    <w:p w14:paraId="2AFD212E" w14:textId="77777777" w:rsidR="00B554ED" w:rsidRPr="00E44F3E" w:rsidRDefault="00B554ED" w:rsidP="007643CB"/>
    <w:p w14:paraId="256F5A1B" w14:textId="77777777" w:rsidR="007643CB" w:rsidRPr="00E44F3E" w:rsidRDefault="007643CB" w:rsidP="00B554ED">
      <w:pPr>
        <w:pStyle w:val="Keystatementsorpulloutquotes"/>
      </w:pPr>
      <w:r w:rsidRPr="00E44F3E">
        <w:t xml:space="preserve">Clinical benefit is examined at a population level. </w:t>
      </w:r>
    </w:p>
    <w:p w14:paraId="3BE07315" w14:textId="77777777" w:rsidR="007643CB" w:rsidRPr="00E44F3E" w:rsidRDefault="007643CB" w:rsidP="00B554ED">
      <w:r w:rsidRPr="00E44F3E">
        <w:t>The magnitude of clinical benefit scores in this report were derived from clinical trial evidence, which represent analysis at a group level. This means that there may be individuals</w:t>
      </w:r>
      <w:r w:rsidRPr="00E44F3E" w:rsidDel="00877E04">
        <w:t xml:space="preserve"> </w:t>
      </w:r>
      <w:r w:rsidRPr="00E44F3E">
        <w:t>who experience a different outcome when receiving</w:t>
      </w:r>
      <w:r w:rsidRPr="00E44F3E" w:rsidDel="00DC7928">
        <w:t xml:space="preserve"> </w:t>
      </w:r>
      <w:r w:rsidRPr="00E44F3E">
        <w:t>a medicine. This analysis</w:t>
      </w:r>
      <w:r w:rsidRPr="00E44F3E" w:rsidDel="00DC7928">
        <w:t xml:space="preserve"> </w:t>
      </w:r>
      <w:r w:rsidRPr="00E44F3E">
        <w:t xml:space="preserve">focuses on the outcomes of the treated group as an average. </w:t>
      </w:r>
    </w:p>
    <w:p w14:paraId="2CABCC17" w14:textId="77777777" w:rsidR="007643CB" w:rsidRPr="00E44F3E" w:rsidRDefault="007643CB" w:rsidP="00B554ED"/>
    <w:p w14:paraId="55C15191" w14:textId="77777777" w:rsidR="007643CB" w:rsidRPr="00E44F3E" w:rsidRDefault="007643CB" w:rsidP="00B554ED">
      <w:pPr>
        <w:pStyle w:val="Keystatementsorpulloutquotes"/>
      </w:pPr>
      <w:r w:rsidRPr="00E44F3E">
        <w:t xml:space="preserve">The ESMO-MCBS:H is only one of a few different ways to quantify and compare clinical benefit. </w:t>
      </w:r>
    </w:p>
    <w:p w14:paraId="7462FEE4" w14:textId="5F6B0F8F" w:rsidR="007643CB" w:rsidRPr="00E44F3E" w:rsidRDefault="007643CB" w:rsidP="00B554ED">
      <w:r w:rsidRPr="00E44F3E">
        <w:t xml:space="preserve">This report used the ESMO-MCBS:H to estimate clinical benefit. While this is an internationally validated tool that is often used internationally, there are other methods available to determine clinical benefit </w:t>
      </w:r>
      <w:r w:rsidR="004D53FB">
        <w:t xml:space="preserve">that </w:t>
      </w:r>
      <w:r w:rsidRPr="00E44F3E">
        <w:t xml:space="preserve">might have generated different findings. </w:t>
      </w:r>
    </w:p>
    <w:p w14:paraId="685EB0EA" w14:textId="77777777" w:rsidR="00B554ED" w:rsidRPr="00E44F3E" w:rsidRDefault="00B554ED" w:rsidP="00B554ED"/>
    <w:p w14:paraId="718AB76A" w14:textId="5EFBAE77" w:rsidR="007643CB" w:rsidRPr="00E44F3E" w:rsidRDefault="007643CB" w:rsidP="00B554ED">
      <w:pPr>
        <w:pStyle w:val="Keystatementsorpulloutquotes"/>
      </w:pPr>
      <w:r w:rsidRPr="00E44F3E">
        <w:t>The ESMO-MCBS:H has limitations.</w:t>
      </w:r>
    </w:p>
    <w:p w14:paraId="538D9F97" w14:textId="58264967" w:rsidR="007643CB" w:rsidRPr="00E44F3E" w:rsidRDefault="007643CB" w:rsidP="00B554ED">
      <w:r w:rsidRPr="00E44F3E">
        <w:t xml:space="preserve">Using the ESMO-MCBS:H itself has </w:t>
      </w:r>
      <w:r w:rsidR="004D53FB">
        <w:t xml:space="preserve">the following </w:t>
      </w:r>
      <w:r w:rsidRPr="00E44F3E">
        <w:t xml:space="preserve">limitations. </w:t>
      </w:r>
    </w:p>
    <w:p w14:paraId="7B303680" w14:textId="333C68DC" w:rsidR="007643CB" w:rsidRPr="00E44F3E" w:rsidRDefault="007643CB" w:rsidP="00B554ED">
      <w:pPr>
        <w:pStyle w:val="Bullet"/>
      </w:pPr>
      <w:r w:rsidRPr="00E44F3E">
        <w:t xml:space="preserve">The ESMO-MCBS:H is very prescriptive in nature and is focused on assessment of evidence for increased survival or improved quality of life associated with the use of a medicine. It is also very prescriptive about what cannot be considered in the assessment of a medicine’s magnitude of clinical benefit. This is both a strength and a limitation of the tool. It is a strength as it allows for consistent comparison of the magnitude of clinical benefit of medicines. However, some aspects of clinical trial </w:t>
      </w:r>
      <w:r w:rsidRPr="00E44F3E">
        <w:lastRenderedPageBreak/>
        <w:t xml:space="preserve">quality are not considered by the </w:t>
      </w:r>
      <w:r w:rsidR="004D53FB" w:rsidRPr="004D53FB">
        <w:t>ESMO-MCBS:H</w:t>
      </w:r>
      <w:r w:rsidRPr="00E44F3E">
        <w:t>, and it does not allow for evidence of clinical benefit outside a clinical trial to be considered. Some scoring might be different when longer</w:t>
      </w:r>
      <w:r w:rsidR="004D53FB">
        <w:t>-</w:t>
      </w:r>
      <w:r w:rsidRPr="00E44F3E">
        <w:t xml:space="preserve">term clinical data becomes available. The </w:t>
      </w:r>
      <w:r w:rsidR="004D53FB" w:rsidRPr="004D53FB">
        <w:t>ESMO-MCBS:H</w:t>
      </w:r>
      <w:r w:rsidR="004D53FB" w:rsidRPr="004D53FB" w:rsidDel="004D53FB">
        <w:t xml:space="preserve"> </w:t>
      </w:r>
      <w:r w:rsidRPr="00E44F3E">
        <w:t>also does not consider clinical trial information that was not part of the medicine becoming licensed. This might include valuable evidence that could alter clinical practice. Some medicines were unable to be scored because the information available in the trials did not meet the requirements of</w:t>
      </w:r>
      <w:r w:rsidRPr="00E44F3E" w:rsidDel="00421FA6">
        <w:t xml:space="preserve"> </w:t>
      </w:r>
      <w:r w:rsidRPr="00E44F3E">
        <w:t xml:space="preserve">the </w:t>
      </w:r>
      <w:r w:rsidR="004D53FB" w:rsidRPr="004D53FB">
        <w:t>ESMO-MCBS:H</w:t>
      </w:r>
      <w:r w:rsidRPr="00E44F3E">
        <w:t xml:space="preserve">. </w:t>
      </w:r>
    </w:p>
    <w:p w14:paraId="03A7B3C1" w14:textId="7A07905D" w:rsidR="007643CB" w:rsidRPr="00E44F3E" w:rsidRDefault="004D53FB" w:rsidP="00B554ED">
      <w:pPr>
        <w:pStyle w:val="Bullet"/>
      </w:pPr>
      <w:r>
        <w:t xml:space="preserve">The </w:t>
      </w:r>
      <w:r w:rsidR="007643CB" w:rsidRPr="00E44F3E">
        <w:t>ESMO-MCBS:H does not include consideration of equity</w:t>
      </w:r>
      <w:r>
        <w:t>.</w:t>
      </w:r>
    </w:p>
    <w:p w14:paraId="53A7B247" w14:textId="58487C73" w:rsidR="007643CB" w:rsidRPr="00E44F3E" w:rsidRDefault="004D53FB" w:rsidP="00B554ED">
      <w:pPr>
        <w:pStyle w:val="Bullet"/>
      </w:pPr>
      <w:r>
        <w:t xml:space="preserve">The </w:t>
      </w:r>
      <w:r w:rsidR="007643CB" w:rsidRPr="00E44F3E">
        <w:t>ESMO-MCBS:H is limited to consideration of clinical trial evidence. Māori and other populations experiencing health disparities are under-represented in clinical trials.</w:t>
      </w:r>
      <w:r w:rsidR="00B1682D" w:rsidRPr="00E44F3E">
        <w:t xml:space="preserve"> </w:t>
      </w:r>
    </w:p>
    <w:p w14:paraId="636F2C5A" w14:textId="1C891247" w:rsidR="007643CB" w:rsidRPr="00E44F3E" w:rsidRDefault="007643CB" w:rsidP="00B554ED">
      <w:pPr>
        <w:pStyle w:val="Bullet"/>
      </w:pPr>
      <w:r w:rsidRPr="00E44F3E">
        <w:t xml:space="preserve">While we have done our best to ensure the scores represent the context of medicines that are available </w:t>
      </w:r>
      <w:r w:rsidR="00FB37A4">
        <w:t xml:space="preserve">in </w:t>
      </w:r>
      <w:r w:rsidR="00E6006E">
        <w:t>Aotearoa New </w:t>
      </w:r>
      <w:r w:rsidR="00F01F5C">
        <w:t>Zealand</w:t>
      </w:r>
      <w:r w:rsidRPr="00E44F3E">
        <w:t xml:space="preserve">, there are some instances where the prescribed nature of the </w:t>
      </w:r>
      <w:r w:rsidR="004D53FB" w:rsidRPr="004D53FB">
        <w:t>ESMO-MCBS:H</w:t>
      </w:r>
      <w:r w:rsidR="004D53FB" w:rsidRPr="004D53FB" w:rsidDel="004D53FB">
        <w:t xml:space="preserve"> </w:t>
      </w:r>
      <w:r w:rsidRPr="00E44F3E">
        <w:t xml:space="preserve">made this difficult. For example, the control arm of some clinical </w:t>
      </w:r>
      <w:r w:rsidR="004D53FB" w:rsidRPr="00E44F3E">
        <w:t>trials</w:t>
      </w:r>
      <w:r w:rsidRPr="00E44F3E">
        <w:t xml:space="preserve"> did not represent the current funding situation in </w:t>
      </w:r>
      <w:r w:rsidR="00E6006E">
        <w:t>Aotearoa New </w:t>
      </w:r>
      <w:r w:rsidR="00F01F5C">
        <w:t>Zealand</w:t>
      </w:r>
      <w:r w:rsidR="004D53FB">
        <w:t>,</w:t>
      </w:r>
      <w:r w:rsidRPr="00E44F3E">
        <w:t xml:space="preserve"> and some medicines do not meet the ESMO-MCBS threshold for what is considered treatment with curative intent but </w:t>
      </w:r>
      <w:r w:rsidR="008753D2">
        <w:t xml:space="preserve">in </w:t>
      </w:r>
      <w:r w:rsidR="00E6006E">
        <w:t>Aotearoa New </w:t>
      </w:r>
      <w:r w:rsidR="00F01F5C">
        <w:t>Zealand</w:t>
      </w:r>
      <w:r w:rsidRPr="00E44F3E">
        <w:t xml:space="preserve"> they would be considered a curative treatment. </w:t>
      </w:r>
    </w:p>
    <w:p w14:paraId="3B055B60" w14:textId="117708E8" w:rsidR="007643CB" w:rsidRPr="00E44F3E" w:rsidRDefault="007643CB" w:rsidP="00B554ED">
      <w:pPr>
        <w:pStyle w:val="Bullet"/>
      </w:pPr>
      <w:r w:rsidRPr="00E44F3E">
        <w:t xml:space="preserve">The scores were derived in a robust process with as much quality control as possible. However, it is possible that the scores derived in this report will differ from those </w:t>
      </w:r>
      <w:r w:rsidR="00CC5399">
        <w:t>published</w:t>
      </w:r>
      <w:r w:rsidRPr="00E44F3E">
        <w:t xml:space="preserve"> by ESMO when </w:t>
      </w:r>
      <w:r w:rsidR="008753D2">
        <w:t xml:space="preserve">it </w:t>
      </w:r>
      <w:r w:rsidR="00364481">
        <w:t>was evaluating the ESMO-MCBS:H</w:t>
      </w:r>
      <w:r w:rsidR="008753D2">
        <w:t xml:space="preserve"> </w:t>
      </w:r>
      <w:r w:rsidR="00364481">
        <w:t>tool (</w:t>
      </w:r>
      <w:proofErr w:type="spellStart"/>
      <w:r w:rsidR="00364481">
        <w:t>Kiesewetter</w:t>
      </w:r>
      <w:proofErr w:type="spellEnd"/>
      <w:r w:rsidR="00364481">
        <w:t xml:space="preserve"> 2020)</w:t>
      </w:r>
      <w:r w:rsidR="00E564A7">
        <w:t xml:space="preserve">. </w:t>
      </w:r>
      <w:r w:rsidRPr="00E44F3E">
        <w:t xml:space="preserve">Some of these differences will be due to changes made to reflect the context in </w:t>
      </w:r>
      <w:r w:rsidR="00E6006E">
        <w:t>Aotearoa New </w:t>
      </w:r>
      <w:r w:rsidR="00F01F5C">
        <w:t>Zealand</w:t>
      </w:r>
      <w:r w:rsidRPr="00E44F3E">
        <w:t xml:space="preserve">, while others will be due to different interpretations of the clinical evidence. </w:t>
      </w:r>
    </w:p>
    <w:p w14:paraId="578F542E" w14:textId="4757BBA9" w:rsidR="007643CB" w:rsidRPr="00E44F3E" w:rsidRDefault="007643CB" w:rsidP="00B554ED">
      <w:pPr>
        <w:pStyle w:val="Bullet"/>
      </w:pPr>
      <w:r w:rsidRPr="00E44F3E">
        <w:t>Decisions about the funding of medicines are complex</w:t>
      </w:r>
      <w:r w:rsidR="008753D2">
        <w:t>,</w:t>
      </w:r>
      <w:r w:rsidRPr="00E44F3E">
        <w:t xml:space="preserve"> and Pharmac takes into consideration a wide range of factors to determine which medicines are </w:t>
      </w:r>
      <w:r w:rsidR="003257D2">
        <w:t>included in</w:t>
      </w:r>
      <w:r w:rsidRPr="00E44F3E">
        <w:t xml:space="preserve"> the OFI</w:t>
      </w:r>
      <w:r w:rsidR="0050587D">
        <w:t xml:space="preserve"> list</w:t>
      </w:r>
      <w:r w:rsidRPr="00E44F3E">
        <w:t xml:space="preserve">. The medicine gaps noted in this report count the numbers of medicines funded in Australia </w:t>
      </w:r>
      <w:r w:rsidR="006A71BB">
        <w:t>but</w:t>
      </w:r>
      <w:r w:rsidR="006A71BB" w:rsidRPr="00E44F3E">
        <w:t xml:space="preserve"> </w:t>
      </w:r>
      <w:r w:rsidRPr="00E44F3E">
        <w:t xml:space="preserve">not in </w:t>
      </w:r>
      <w:r w:rsidR="00E6006E">
        <w:t>Aotearoa New </w:t>
      </w:r>
      <w:r w:rsidR="00F01F5C">
        <w:t>Zealand</w:t>
      </w:r>
      <w:r w:rsidRPr="00E44F3E">
        <w:t xml:space="preserve">. They do not measure the health benefits across all New Zealanders that aren’t achieved because those medicines are not available in </w:t>
      </w:r>
      <w:r w:rsidR="00E6006E">
        <w:t>Aotearoa New </w:t>
      </w:r>
      <w:r w:rsidR="00F01F5C">
        <w:t>Zealand</w:t>
      </w:r>
      <w:r w:rsidRPr="00E44F3E">
        <w:t xml:space="preserve"> (</w:t>
      </w:r>
      <w:proofErr w:type="spellStart"/>
      <w:r w:rsidR="006A71BB">
        <w:t>ie</w:t>
      </w:r>
      <w:proofErr w:type="spellEnd"/>
      <w:r w:rsidRPr="00E44F3E">
        <w:t xml:space="preserve">, the number of people with blood cancer affected, multiplied by how </w:t>
      </w:r>
      <w:r w:rsidR="006A71BB">
        <w:t xml:space="preserve">many </w:t>
      </w:r>
      <w:r w:rsidRPr="00E44F3E">
        <w:t xml:space="preserve">healthy life years each person on average loses by not having the Australian-funded medicine). </w:t>
      </w:r>
    </w:p>
    <w:p w14:paraId="1DDAD834" w14:textId="24C51201" w:rsidR="007643CB" w:rsidRPr="00E44F3E" w:rsidRDefault="007643CB" w:rsidP="00B554ED">
      <w:pPr>
        <w:pStyle w:val="Heading2"/>
      </w:pPr>
      <w:bookmarkStart w:id="155" w:name="_Toc175229009"/>
      <w:bookmarkStart w:id="156" w:name="_Toc180062122"/>
      <w:bookmarkEnd w:id="147"/>
      <w:bookmarkEnd w:id="148"/>
      <w:bookmarkEnd w:id="149"/>
      <w:bookmarkEnd w:id="150"/>
      <w:bookmarkEnd w:id="151"/>
      <w:bookmarkEnd w:id="152"/>
      <w:r w:rsidRPr="00E44F3E">
        <w:t>Considerations when interpreting the findings of this report – context</w:t>
      </w:r>
      <w:bookmarkEnd w:id="155"/>
      <w:bookmarkEnd w:id="156"/>
    </w:p>
    <w:p w14:paraId="6FA51516" w14:textId="375068A3" w:rsidR="007643CB" w:rsidRPr="00E44F3E" w:rsidRDefault="007643CB" w:rsidP="00B554ED">
      <w:r w:rsidRPr="00E44F3E">
        <w:t xml:space="preserve">There are important contextual aspects </w:t>
      </w:r>
      <w:r w:rsidR="00F22F94">
        <w:t xml:space="preserve">that </w:t>
      </w:r>
      <w:r w:rsidRPr="00E44F3E">
        <w:t>should be considered when interpreting the results of this report.</w:t>
      </w:r>
    </w:p>
    <w:p w14:paraId="2B26D0CC" w14:textId="77777777" w:rsidR="007643CB" w:rsidRPr="00E44F3E" w:rsidRDefault="007643CB" w:rsidP="00B554ED"/>
    <w:p w14:paraId="0B24F9DB" w14:textId="77777777" w:rsidR="007643CB" w:rsidRPr="00E44F3E" w:rsidRDefault="007643CB" w:rsidP="00B554ED">
      <w:pPr>
        <w:pStyle w:val="Keystatementsorpulloutquotes"/>
        <w:rPr>
          <w:rFonts w:ascii="Fira Sans" w:hAnsi="Fira Sans"/>
          <w:color w:val="auto"/>
          <w:sz w:val="20"/>
        </w:rPr>
      </w:pPr>
      <w:r w:rsidRPr="00E44F3E">
        <w:t xml:space="preserve">Improving cancer outcomes requires a variety of actions that extend beyond increased funding for cancer medicines. </w:t>
      </w:r>
    </w:p>
    <w:p w14:paraId="2491EE93" w14:textId="22CAF881" w:rsidR="007643CB" w:rsidRPr="00E44F3E" w:rsidRDefault="007643CB" w:rsidP="00B554ED">
      <w:r w:rsidRPr="00E44F3E">
        <w:t>While cancer medicines are a key part of blood cancer treatment, ensuring New Zealanders have fewer cancers, better survival and more equitable cancer outcomes going forward will require coordinated action across the entire cancer continuum (</w:t>
      </w:r>
      <w:proofErr w:type="spellStart"/>
      <w:r w:rsidRPr="00E44F3E">
        <w:t>ie</w:t>
      </w:r>
      <w:proofErr w:type="spellEnd"/>
      <w:r w:rsidR="00F22F94">
        <w:t>,</w:t>
      </w:r>
      <w:r w:rsidRPr="00E44F3E">
        <w:t xml:space="preserve"> from prevention to early diagnosis through to palliative care). </w:t>
      </w:r>
    </w:p>
    <w:p w14:paraId="2C1855FE" w14:textId="77777777" w:rsidR="00222D8B" w:rsidRPr="00E44F3E" w:rsidRDefault="00222D8B" w:rsidP="00B554ED"/>
    <w:p w14:paraId="0D7A30BB" w14:textId="6A0833C6" w:rsidR="007643CB" w:rsidRPr="00E44F3E" w:rsidRDefault="007643CB" w:rsidP="007643CB">
      <w:r w:rsidRPr="00E44F3E">
        <w:t>Decisions about how much money should be invested in health, in cancer</w:t>
      </w:r>
      <w:r w:rsidR="00F22F94">
        <w:t>,</w:t>
      </w:r>
      <w:r w:rsidRPr="00E44F3E">
        <w:t xml:space="preserve"> and in cancer medicines specifically is extremely complex. It is important to keep in mind that there is </w:t>
      </w:r>
      <w:r w:rsidRPr="00E44F3E">
        <w:lastRenderedPageBreak/>
        <w:t xml:space="preserve">no ‘right’ or ‘correct’ amount of money to spend in these areas, and this is an issue every country has difficulty with. It is important that all action and investment </w:t>
      </w:r>
      <w:r w:rsidR="00410332">
        <w:t xml:space="preserve">in cancer treatment </w:t>
      </w:r>
      <w:r w:rsidRPr="00E44F3E">
        <w:t xml:space="preserve">is balanced and coordinated to ensure that the limited resources in the wider cancer system achieve the best health outcomes possible for New Zealanders. </w:t>
      </w:r>
    </w:p>
    <w:p w14:paraId="23AC39AC" w14:textId="77777777" w:rsidR="007643CB" w:rsidRPr="00E44F3E" w:rsidRDefault="007643CB" w:rsidP="00B554ED"/>
    <w:p w14:paraId="212D36C1" w14:textId="77777777" w:rsidR="007643CB" w:rsidRPr="00E44F3E" w:rsidRDefault="007643CB" w:rsidP="00B554ED">
      <w:pPr>
        <w:pStyle w:val="Keystatementsorpulloutquotes"/>
      </w:pPr>
      <w:r w:rsidRPr="00E44F3E">
        <w:t>The impact of medicine availability on equity was out of scope.</w:t>
      </w:r>
    </w:p>
    <w:p w14:paraId="621F0EA6" w14:textId="77777777" w:rsidR="007643CB" w:rsidRPr="00E44F3E" w:rsidRDefault="007643CB" w:rsidP="00B554ED">
      <w:r w:rsidRPr="00E44F3E">
        <w:t xml:space="preserve">For medicines to provide benefit they need to be accessible as well as available. Some members of the population already experience inequity in accessing cancer services and treatment opportunities. This is likely to contribute to the known inequities in cancer health outcomes. This report does not include assessment of whether closing the gaps identified in this analysis would make a difference to equitable access to cancer treatment and to cancer outcomes. </w:t>
      </w:r>
    </w:p>
    <w:p w14:paraId="5C81EB7E" w14:textId="77777777" w:rsidR="007643CB" w:rsidRPr="00E44F3E" w:rsidRDefault="007643CB" w:rsidP="00B554ED"/>
    <w:p w14:paraId="7F341DE8" w14:textId="77777777" w:rsidR="007643CB" w:rsidRPr="00E44F3E" w:rsidRDefault="007643CB" w:rsidP="00B554ED">
      <w:pPr>
        <w:pStyle w:val="Keystatementsorpulloutquotes"/>
      </w:pPr>
      <w:r w:rsidRPr="00E44F3E">
        <w:t>Medicine funding needs implementation support.</w:t>
      </w:r>
    </w:p>
    <w:p w14:paraId="0DA08E7C" w14:textId="28C932C1" w:rsidR="007643CB" w:rsidRPr="00E44F3E" w:rsidRDefault="007643CB" w:rsidP="00B554ED">
      <w:r w:rsidRPr="00E44F3E">
        <w:t>Providing New Zealanders with cancer treatment requires a coordinated team of health professional</w:t>
      </w:r>
      <w:r w:rsidR="009F271F">
        <w:t>s</w:t>
      </w:r>
      <w:r w:rsidRPr="00E44F3E">
        <w:t xml:space="preserve"> and a series of health services and technologies. For funded medicine to be able to provide their intended benefit, people need to be able to access them</w:t>
      </w:r>
      <w:r w:rsidR="009D2D07">
        <w:t>,</w:t>
      </w:r>
      <w:r w:rsidRPr="00E44F3E">
        <w:t xml:space="preserve"> and for that to happen, the health system needs a variety of trained health professionals (haematologists, oncologists, pharmacists, imaging specialists, nurses, allied health</w:t>
      </w:r>
      <w:r w:rsidR="009D2D07" w:rsidRPr="009D2D07">
        <w:t xml:space="preserve"> </w:t>
      </w:r>
      <w:r w:rsidR="00437C30" w:rsidRPr="00437C30">
        <w:t>professionals</w:t>
      </w:r>
      <w:r w:rsidR="009D2D07">
        <w:t>,</w:t>
      </w:r>
      <w:r w:rsidRPr="00E44F3E">
        <w:t xml:space="preserve"> and administrators), facilities (infusion sites, laborator</w:t>
      </w:r>
      <w:r w:rsidR="000D21CB">
        <w:t>ies,</w:t>
      </w:r>
      <w:r w:rsidRPr="00E44F3E">
        <w:t xml:space="preserve"> imaging processing </w:t>
      </w:r>
      <w:r w:rsidR="008717A1" w:rsidRPr="008717A1">
        <w:t>facilities</w:t>
      </w:r>
      <w:r w:rsidR="008717A1">
        <w:t xml:space="preserve">, </w:t>
      </w:r>
      <w:r w:rsidRPr="00E44F3E">
        <w:t>and pharmac</w:t>
      </w:r>
      <w:r w:rsidR="002515CF">
        <w:t>ies</w:t>
      </w:r>
      <w:r w:rsidRPr="00E44F3E">
        <w:t>) and equipment. Funding of new medicines that provide treatment options for people who might not have had them otherwise, or that prolong the course of treatment through extending survival, means that more of all the associated services are needed. It is important</w:t>
      </w:r>
      <w:r w:rsidR="00B1682D" w:rsidRPr="00E44F3E">
        <w:t xml:space="preserve"> </w:t>
      </w:r>
      <w:r w:rsidRPr="00E44F3E">
        <w:t>that appropriate infrastructure, including the health workforce, is considered when new medicine funding decisions are made. This is</w:t>
      </w:r>
      <w:r w:rsidRPr="00E44F3E" w:rsidDel="00187286">
        <w:t xml:space="preserve"> </w:t>
      </w:r>
      <w:r w:rsidRPr="00E44F3E">
        <w:t xml:space="preserve">to ensure new medicines can be </w:t>
      </w:r>
      <w:r w:rsidR="00410332">
        <w:t>administered</w:t>
      </w:r>
      <w:r w:rsidR="00410332" w:rsidRPr="00E44F3E">
        <w:t xml:space="preserve"> </w:t>
      </w:r>
      <w:r w:rsidRPr="00E44F3E">
        <w:t xml:space="preserve">effectively, </w:t>
      </w:r>
      <w:proofErr w:type="gramStart"/>
      <w:r w:rsidRPr="00E44F3E">
        <w:t>efficiently</w:t>
      </w:r>
      <w:proofErr w:type="gramEnd"/>
      <w:r w:rsidRPr="00E44F3E">
        <w:t xml:space="preserve"> and equitably. </w:t>
      </w:r>
    </w:p>
    <w:p w14:paraId="6386F154" w14:textId="77777777" w:rsidR="007643CB" w:rsidRPr="00E44F3E" w:rsidRDefault="007643CB" w:rsidP="00B554ED"/>
    <w:p w14:paraId="4AE50BE4" w14:textId="77777777" w:rsidR="007643CB" w:rsidRPr="00E44F3E" w:rsidRDefault="007643CB" w:rsidP="00B554ED">
      <w:pPr>
        <w:pStyle w:val="Keystatementsorpulloutquotes"/>
      </w:pPr>
      <w:r w:rsidRPr="00E44F3E">
        <w:t>Decisions on which medicines should be available requires consideration of factors in addition to clinical benefit.</w:t>
      </w:r>
    </w:p>
    <w:p w14:paraId="11ECE71D" w14:textId="4FBCDF91" w:rsidR="007643CB" w:rsidRPr="00E44F3E" w:rsidRDefault="007643CB" w:rsidP="00B554ED">
      <w:r w:rsidRPr="00E44F3E">
        <w:t xml:space="preserve">Decisions about which medicines are publicly funded in </w:t>
      </w:r>
      <w:r w:rsidR="00E6006E">
        <w:t>Aotearoa New </w:t>
      </w:r>
      <w:r w:rsidR="00F01F5C">
        <w:t>Zealand</w:t>
      </w:r>
      <w:r w:rsidRPr="00E44F3E">
        <w:t xml:space="preserve"> are made by Pharmac. Pharmac is an independent Crown </w:t>
      </w:r>
      <w:r w:rsidR="008717A1">
        <w:t>e</w:t>
      </w:r>
      <w:r w:rsidRPr="00E44F3E">
        <w:t xml:space="preserve">ntity tasked with publicly funding medicines that secure the best health outcomes that can reasonably be achieved within the fixed pharmaceutical budget </w:t>
      </w:r>
      <w:r w:rsidR="008717A1">
        <w:t>it is</w:t>
      </w:r>
      <w:r w:rsidRPr="00E44F3E">
        <w:t xml:space="preserve"> allocated. </w:t>
      </w:r>
    </w:p>
    <w:p w14:paraId="486B0DB7" w14:textId="77777777" w:rsidR="007643CB" w:rsidRPr="00E44F3E" w:rsidRDefault="007643CB" w:rsidP="00B554ED"/>
    <w:p w14:paraId="4DF9F893" w14:textId="77777777" w:rsidR="007643CB" w:rsidRPr="00E44F3E" w:rsidRDefault="007643CB" w:rsidP="00B554ED">
      <w:r w:rsidRPr="00E44F3E">
        <w:t>Pharmac uses a framework called the Factors for Consideration to evaluate the benefit of a proposed new medicine and how this compares to other proposed new medicines. The Factors for Consideration include:</w:t>
      </w:r>
    </w:p>
    <w:p w14:paraId="09C20A1B" w14:textId="77777777" w:rsidR="007643CB" w:rsidRPr="00E44F3E" w:rsidRDefault="007643CB" w:rsidP="00B554ED">
      <w:pPr>
        <w:pStyle w:val="Bullet"/>
      </w:pPr>
      <w:r w:rsidRPr="00E44F3E">
        <w:t>the health need of the patient population</w:t>
      </w:r>
    </w:p>
    <w:p w14:paraId="740A5418" w14:textId="1BD9A933" w:rsidR="007643CB" w:rsidRPr="00E44F3E" w:rsidRDefault="007643CB" w:rsidP="00B554ED">
      <w:pPr>
        <w:pStyle w:val="Bullet"/>
      </w:pPr>
      <w:r w:rsidRPr="00E44F3E">
        <w:t>the health/clinical benefits of the new medicine compared to what is already available</w:t>
      </w:r>
    </w:p>
    <w:p w14:paraId="4B4915F4" w14:textId="083CD61C" w:rsidR="007643CB" w:rsidRPr="00E44F3E" w:rsidRDefault="007643CB" w:rsidP="00B554ED">
      <w:pPr>
        <w:pStyle w:val="Bullet"/>
      </w:pPr>
      <w:r w:rsidRPr="00E44F3E">
        <w:t>the cost implication of funding this new medicine, including potential savings</w:t>
      </w:r>
    </w:p>
    <w:p w14:paraId="4DDC0795" w14:textId="77777777" w:rsidR="007643CB" w:rsidRPr="00E44F3E" w:rsidRDefault="007643CB" w:rsidP="00B554ED">
      <w:pPr>
        <w:pStyle w:val="Bullet"/>
      </w:pPr>
      <w:r w:rsidRPr="00E44F3E">
        <w:t xml:space="preserve">how suitable the new medicine is compared to what patients receive now. </w:t>
      </w:r>
    </w:p>
    <w:p w14:paraId="0D1BC615" w14:textId="77777777" w:rsidR="007643CB" w:rsidRPr="00E44F3E" w:rsidRDefault="007643CB" w:rsidP="00B554ED"/>
    <w:p w14:paraId="7D8ADD21" w14:textId="17B5A88D" w:rsidR="007643CB" w:rsidRPr="00E44F3E" w:rsidRDefault="007643CB" w:rsidP="00B554ED">
      <w:r w:rsidRPr="00E44F3E">
        <w:t xml:space="preserve">Using the Factors for Consideration, Pharmac creates a list of medicines in priority order that </w:t>
      </w:r>
      <w:r w:rsidR="00B473B6">
        <w:t xml:space="preserve">it </w:t>
      </w:r>
      <w:r w:rsidRPr="00E44F3E">
        <w:t xml:space="preserve">would fund if/when budget is available. This is the </w:t>
      </w:r>
      <w:r w:rsidR="002F35DD">
        <w:t xml:space="preserve">OFI </w:t>
      </w:r>
      <w:r w:rsidRPr="00E44F3E">
        <w:t>list. Additional budget to fund new medicines primarily arises due to:</w:t>
      </w:r>
    </w:p>
    <w:p w14:paraId="53524275" w14:textId="2F0FD834" w:rsidR="007643CB" w:rsidRPr="00E44F3E" w:rsidRDefault="007643CB" w:rsidP="00A1110B">
      <w:pPr>
        <w:pStyle w:val="ListBullet"/>
      </w:pPr>
      <w:r w:rsidRPr="00E44F3E">
        <w:t>savings Pharmac achieves in payment for medicines it already funds</w:t>
      </w:r>
    </w:p>
    <w:p w14:paraId="15CC6BEE" w14:textId="77777777" w:rsidR="007643CB" w:rsidRPr="00E44F3E" w:rsidRDefault="007643CB" w:rsidP="00A1110B">
      <w:pPr>
        <w:pStyle w:val="ListBullet"/>
      </w:pPr>
      <w:r w:rsidRPr="00E44F3E">
        <w:t xml:space="preserve">additional budget provided by the Government. </w:t>
      </w:r>
    </w:p>
    <w:p w14:paraId="5E5552BD" w14:textId="77777777" w:rsidR="007643CB" w:rsidRPr="00E44F3E" w:rsidRDefault="007643CB" w:rsidP="00B554ED"/>
    <w:p w14:paraId="0A540F3B" w14:textId="4F452AFA" w:rsidR="007643CB" w:rsidRPr="00E44F3E" w:rsidRDefault="007643CB" w:rsidP="00B554ED">
      <w:r w:rsidRPr="00E44F3E">
        <w:t xml:space="preserve">As of June 2024, there are 140 medicines on the OFI </w:t>
      </w:r>
      <w:r w:rsidR="002F35DD">
        <w:t xml:space="preserve">list </w:t>
      </w:r>
      <w:r w:rsidRPr="00E44F3E">
        <w:t xml:space="preserve">that Pharmac would fund if </w:t>
      </w:r>
      <w:r w:rsidR="00B473B6">
        <w:t>it</w:t>
      </w:r>
      <w:r w:rsidR="00B473B6" w:rsidRPr="00E44F3E">
        <w:t xml:space="preserve"> </w:t>
      </w:r>
      <w:r w:rsidRPr="00E44F3E">
        <w:t xml:space="preserve">had available budget. </w:t>
      </w:r>
      <w:r w:rsidR="003B45B1">
        <w:t>Fifty-seven</w:t>
      </w:r>
      <w:r w:rsidRPr="00E44F3E">
        <w:t xml:space="preserve"> are for the treatment of cancer generally, with 17 specifically for blood cancers. </w:t>
      </w:r>
    </w:p>
    <w:p w14:paraId="7F02174A" w14:textId="77777777" w:rsidR="007643CB" w:rsidRPr="00E44F3E" w:rsidRDefault="007643CB" w:rsidP="00B554ED">
      <w:pPr>
        <w:pStyle w:val="Heading2"/>
      </w:pPr>
      <w:bookmarkStart w:id="157" w:name="_Toc99443591"/>
      <w:bookmarkStart w:id="158" w:name="_Toc99443746"/>
      <w:bookmarkStart w:id="159" w:name="_Toc99451931"/>
      <w:bookmarkStart w:id="160" w:name="_Toc99456204"/>
      <w:bookmarkStart w:id="161" w:name="_Toc100738345"/>
      <w:bookmarkStart w:id="162" w:name="_Toc100739047"/>
      <w:bookmarkStart w:id="163" w:name="_Toc175229010"/>
      <w:bookmarkStart w:id="164" w:name="_Toc180062123"/>
      <w:r w:rsidRPr="00E44F3E">
        <w:t>Te Tiriti o Waitangi responsibilities and cancer medicines</w:t>
      </w:r>
      <w:bookmarkEnd w:id="157"/>
      <w:bookmarkEnd w:id="158"/>
      <w:bookmarkEnd w:id="159"/>
      <w:bookmarkEnd w:id="160"/>
      <w:bookmarkEnd w:id="161"/>
      <w:bookmarkEnd w:id="162"/>
      <w:bookmarkEnd w:id="163"/>
      <w:bookmarkEnd w:id="164"/>
    </w:p>
    <w:p w14:paraId="0E446F04" w14:textId="12CF5BBD" w:rsidR="007643CB" w:rsidRPr="00E44F3E" w:rsidRDefault="007643CB" w:rsidP="00B554ED">
      <w:r w:rsidRPr="00E44F3E">
        <w:t>This work recognises that Māori are a legitimate and critical part of decision-making and acknowledges Māori interests in decision-making about cancer medicine availability, including how cancer medicines are made accessible to Māori.</w:t>
      </w:r>
    </w:p>
    <w:p w14:paraId="7263AD1D" w14:textId="77777777" w:rsidR="007643CB" w:rsidRPr="00E44F3E" w:rsidRDefault="007643CB" w:rsidP="00B554ED"/>
    <w:p w14:paraId="74F5285E" w14:textId="69B40F64" w:rsidR="007643CB" w:rsidRPr="00E44F3E" w:rsidRDefault="007643CB" w:rsidP="00727D8B">
      <w:r w:rsidRPr="00E44F3E">
        <w:t xml:space="preserve">In health, the principle of equity refers to the absence of </w:t>
      </w:r>
      <w:r w:rsidR="00A741F5" w:rsidRPr="00A741F5">
        <w:t xml:space="preserve">systemic </w:t>
      </w:r>
      <w:r w:rsidRPr="00E44F3E">
        <w:t>differences in health that are not only avoidable but also unfair and unjust (Ministry of Health 2019b). Māori are 20</w:t>
      </w:r>
      <w:r w:rsidR="00B17E21">
        <w:t>%</w:t>
      </w:r>
      <w:r w:rsidRPr="00E44F3E">
        <w:t xml:space="preserve"> more likely to develop cancer than non-Māori and twice as likely to die from cancer, with poorer survival for nearly all the most common cancers (Gurney, Stanley</w:t>
      </w:r>
      <w:r w:rsidR="00DA19DC">
        <w:t xml:space="preserve"> </w:t>
      </w:r>
      <w:r w:rsidR="00EC1065" w:rsidRPr="00E44F3E">
        <w:t>et al</w:t>
      </w:r>
      <w:r w:rsidRPr="00E44F3E">
        <w:t xml:space="preserve"> 2020). These inequities are even more stark for specific cancers, such as lung cancer. They also occur along every step of the cancer continuum; for example, Māori have higher exposure to cancer risk factors, poorer access to and through the health system, and consequently poorer outcomes (Gurney, Stanley</w:t>
      </w:r>
      <w:r w:rsidR="00DA19DC">
        <w:t xml:space="preserve"> </w:t>
      </w:r>
      <w:r w:rsidR="00EC1065" w:rsidRPr="00E44F3E">
        <w:t>et al</w:t>
      </w:r>
      <w:r w:rsidRPr="00E44F3E">
        <w:t xml:space="preserve"> 2020; Tin </w:t>
      </w:r>
      <w:proofErr w:type="spellStart"/>
      <w:r w:rsidRPr="00E44F3E">
        <w:t>Tin</w:t>
      </w:r>
      <w:proofErr w:type="spellEnd"/>
      <w:r w:rsidRPr="00E44F3E">
        <w:t xml:space="preserve"> </w:t>
      </w:r>
      <w:r w:rsidR="00EC1065" w:rsidRPr="00E44F3E">
        <w:t>et al</w:t>
      </w:r>
      <w:r w:rsidRPr="00E44F3E">
        <w:t xml:space="preserve"> 2018; Walsh and Grey 2019). Available and accessible cancer medicines are one of many tools needed to address these inequities and includes the consideration that Māori may require different access, </w:t>
      </w:r>
      <w:proofErr w:type="gramStart"/>
      <w:r w:rsidRPr="00E44F3E">
        <w:t>approaches</w:t>
      </w:r>
      <w:proofErr w:type="gramEnd"/>
      <w:r w:rsidRPr="00E44F3E">
        <w:t xml:space="preserve"> and resources to achieve equitable cancer outcome</w:t>
      </w:r>
      <w:r w:rsidR="00107232">
        <w:t xml:space="preserve">s. </w:t>
      </w:r>
    </w:p>
    <w:p w14:paraId="7C1AA1A5" w14:textId="77777777" w:rsidR="007643CB" w:rsidRPr="00E44F3E" w:rsidRDefault="007643CB" w:rsidP="00B554ED">
      <w:pPr>
        <w:pStyle w:val="Heading2"/>
      </w:pPr>
      <w:bookmarkStart w:id="165" w:name="_Toc99456205"/>
      <w:bookmarkStart w:id="166" w:name="_Toc100738346"/>
      <w:bookmarkStart w:id="167" w:name="_Toc100739048"/>
      <w:bookmarkStart w:id="168" w:name="_Toc99443592"/>
      <w:bookmarkStart w:id="169" w:name="_Toc99443747"/>
      <w:bookmarkStart w:id="170" w:name="_Toc99451932"/>
      <w:bookmarkStart w:id="171" w:name="_Toc175229011"/>
      <w:bookmarkStart w:id="172" w:name="_Toc180062124"/>
      <w:r w:rsidRPr="00E44F3E">
        <w:t>Equity considerations for cancer medicines</w:t>
      </w:r>
      <w:bookmarkEnd w:id="165"/>
      <w:bookmarkEnd w:id="166"/>
      <w:bookmarkEnd w:id="167"/>
      <w:bookmarkEnd w:id="168"/>
      <w:bookmarkEnd w:id="169"/>
      <w:bookmarkEnd w:id="170"/>
      <w:bookmarkEnd w:id="171"/>
      <w:bookmarkEnd w:id="172"/>
    </w:p>
    <w:p w14:paraId="24B82EC1" w14:textId="7E85C1EC" w:rsidR="007643CB" w:rsidRPr="00E44F3E" w:rsidRDefault="007643CB" w:rsidP="00B554ED">
      <w:r w:rsidRPr="00E44F3E">
        <w:t xml:space="preserve">The equity considerations of relevance to cancer medicines are varied and complex. In terms of the availability of cancer medicines, funding decisions must consider existing inequities in incidence, </w:t>
      </w:r>
      <w:proofErr w:type="gramStart"/>
      <w:r w:rsidRPr="00E44F3E">
        <w:t>survival</w:t>
      </w:r>
      <w:proofErr w:type="gramEnd"/>
      <w:r w:rsidRPr="00E44F3E">
        <w:t xml:space="preserve"> and mortality for the relevant cancer. Where such inequities are known for Māori and Pacific peoples, they have been included in the </w:t>
      </w:r>
      <w:r w:rsidR="002671D9">
        <w:t>‘</w:t>
      </w:r>
      <w:proofErr w:type="spellStart"/>
      <w:r w:rsidR="002671D9" w:rsidRPr="00E44F3E">
        <w:t>Ngā</w:t>
      </w:r>
      <w:proofErr w:type="spellEnd"/>
      <w:r w:rsidR="002671D9">
        <w:t> </w:t>
      </w:r>
      <w:r w:rsidR="002671D9" w:rsidRPr="00E44F3E">
        <w:t>Hua</w:t>
      </w:r>
      <w:r w:rsidR="002671D9">
        <w:t xml:space="preserve"> | </w:t>
      </w:r>
      <w:r w:rsidR="002671D9" w:rsidRPr="007379D5">
        <w:t>Results</w:t>
      </w:r>
      <w:r w:rsidR="002671D9">
        <w:t xml:space="preserve">’ </w:t>
      </w:r>
      <w:r w:rsidRPr="00E44F3E">
        <w:t>section. There are likely to be similar inequities experienced by other population groups</w:t>
      </w:r>
      <w:r w:rsidR="009B1561">
        <w:t xml:space="preserve"> –</w:t>
      </w:r>
      <w:r w:rsidRPr="00E44F3E">
        <w:t xml:space="preserve"> for example, people living in deprived areas (Te Aho o Te Kahu 2021) or people living with mental illness (Cunningham </w:t>
      </w:r>
      <w:r w:rsidR="00EC1065" w:rsidRPr="00E44F3E">
        <w:t>et al</w:t>
      </w:r>
      <w:r w:rsidRPr="00E44F3E">
        <w:t xml:space="preserve"> 2015; Davis </w:t>
      </w:r>
      <w:r w:rsidR="00EC1065" w:rsidRPr="00E44F3E">
        <w:t>et al</w:t>
      </w:r>
      <w:r w:rsidRPr="00E44F3E">
        <w:t xml:space="preserve"> 2020). The degree to which these unacceptable differences in outcomes are impacted by improved access to cancer medicines, and the relative priority of cancer medicines compared with other treatment options, differs across cancer types.</w:t>
      </w:r>
    </w:p>
    <w:p w14:paraId="48E666AC" w14:textId="77777777" w:rsidR="007643CB" w:rsidRPr="00E44F3E" w:rsidRDefault="007643CB" w:rsidP="00B554ED"/>
    <w:p w14:paraId="49FDB60A" w14:textId="77777777" w:rsidR="007643CB" w:rsidRPr="00E44F3E" w:rsidRDefault="007643CB" w:rsidP="00B554ED">
      <w:r w:rsidRPr="00E44F3E">
        <w:t xml:space="preserve">Additionally, there are other inequities that relate to eligibility for the medicine, such as inequities in stage at diagnosis or differences in the prevalence of a particular molecular subtype. Differences in factors such as stage at diagnosis may also have a meaningful influence on which medicine gaps would have a greater impact on inequities if funded. For example, if a medicine were used in early-stage disease, but we know that </w:t>
      </w:r>
      <w:proofErr w:type="gramStart"/>
      <w:r w:rsidRPr="00E44F3E">
        <w:t>the majority of</w:t>
      </w:r>
      <w:proofErr w:type="gramEnd"/>
      <w:r w:rsidRPr="00E44F3E">
        <w:t xml:space="preserve"> Māori are diagnosed later in the disease course for that particular cancer type, there is the potential to inadvertently exacerbate inequities in outcomes for Māori. Conversely, not having the medicine available at that early stage specifically for Māori </w:t>
      </w:r>
      <w:r w:rsidRPr="00E44F3E">
        <w:lastRenderedPageBreak/>
        <w:t>who do have an earlier diagnosis will also have a negative implication for Māori health outcomes. These matters are complex and require thorough consideration when funding applications are being assessed and decisions are being made.</w:t>
      </w:r>
    </w:p>
    <w:p w14:paraId="253D8A81" w14:textId="77777777" w:rsidR="007643CB" w:rsidRPr="00E44F3E" w:rsidRDefault="007643CB" w:rsidP="00B554ED"/>
    <w:p w14:paraId="44F74DC8" w14:textId="33A823CD" w:rsidR="007643CB" w:rsidRPr="00E44F3E" w:rsidRDefault="007643CB" w:rsidP="00B554ED">
      <w:r w:rsidRPr="00E44F3E">
        <w:t xml:space="preserve">Delays in the availability of new effective cancer medicines in </w:t>
      </w:r>
      <w:r w:rsidR="00E6006E">
        <w:t>Aotearoa New </w:t>
      </w:r>
      <w:r w:rsidR="00F01F5C">
        <w:t>Zealand</w:t>
      </w:r>
      <w:r w:rsidRPr="00E44F3E">
        <w:t xml:space="preserve"> exacerbate</w:t>
      </w:r>
      <w:r w:rsidR="003C0F6D">
        <w:t xml:space="preserve"> </w:t>
      </w:r>
      <w:r w:rsidRPr="00E44F3E">
        <w:t>inequities in outcomes. Only those who can afford to pay personally for new, non</w:t>
      </w:r>
      <w:r w:rsidRPr="00E44F3E">
        <w:noBreakHyphen/>
        <w:t>funded medicines (or have private insurance) may be able to receive them. Conversely, although other countries may have more medicines available, higher patient co</w:t>
      </w:r>
      <w:r w:rsidRPr="00E44F3E">
        <w:noBreakHyphen/>
        <w:t xml:space="preserve">payments may limit patients’ access to these medicines (Babar </w:t>
      </w:r>
      <w:r w:rsidR="00EC1065" w:rsidRPr="00E44F3E">
        <w:t>et al</w:t>
      </w:r>
      <w:r w:rsidRPr="00E44F3E">
        <w:t xml:space="preserve"> 2019). In Australia, it was observed that a 24</w:t>
      </w:r>
      <w:r w:rsidR="00B17E21">
        <w:t>%</w:t>
      </w:r>
      <w:r w:rsidRPr="00E44F3E">
        <w:t xml:space="preserve"> increase in co-payments for subsidised medicines in 2005 adversely affected dispensing of prescriptions, especially among those on lower incomes (Babar and Vitry 2014; </w:t>
      </w:r>
      <w:proofErr w:type="spellStart"/>
      <w:r w:rsidRPr="00E44F3E">
        <w:t>Hynd</w:t>
      </w:r>
      <w:proofErr w:type="spellEnd"/>
      <w:r w:rsidRPr="00E44F3E">
        <w:t xml:space="preserve"> </w:t>
      </w:r>
      <w:r w:rsidR="00EC1065" w:rsidRPr="00E44F3E">
        <w:t>et al</w:t>
      </w:r>
      <w:r w:rsidRPr="00E44F3E">
        <w:t xml:space="preserve"> 2008).</w:t>
      </w:r>
    </w:p>
    <w:p w14:paraId="76D44E9D" w14:textId="77777777" w:rsidR="00120FD7" w:rsidRPr="00E44F3E" w:rsidRDefault="00120FD7" w:rsidP="00AB32DC"/>
    <w:p w14:paraId="48420988" w14:textId="57E2AEE1" w:rsidR="00B554ED" w:rsidRPr="00E44F3E" w:rsidRDefault="00B554ED" w:rsidP="00B554ED">
      <w:pPr>
        <w:pStyle w:val="Heading1"/>
        <w:rPr>
          <w:color w:val="0AB58F"/>
        </w:rPr>
      </w:pPr>
      <w:bookmarkStart w:id="173" w:name="_Toc180062125"/>
      <w:r w:rsidRPr="00E44F3E">
        <w:lastRenderedPageBreak/>
        <w:t xml:space="preserve">HE KUPU WHAKAKAPI </w:t>
      </w:r>
      <w:r w:rsidRPr="00E44F3E">
        <w:rPr>
          <w:color w:val="FFFFFF" w:themeColor="background1"/>
        </w:rPr>
        <w:t>|</w:t>
      </w:r>
      <w:r w:rsidRPr="00E44F3E">
        <w:br/>
      </w:r>
      <w:r w:rsidRPr="00E44F3E">
        <w:rPr>
          <w:color w:val="0AB58F"/>
        </w:rPr>
        <w:t>CONCLUSION</w:t>
      </w:r>
      <w:bookmarkEnd w:id="173"/>
    </w:p>
    <w:p w14:paraId="09EA59BE" w14:textId="340F2D42" w:rsidR="00B554ED" w:rsidRPr="00E44F3E" w:rsidRDefault="00B554ED" w:rsidP="00B554ED">
      <w:r w:rsidRPr="00E44F3E">
        <w:t xml:space="preserve">Cancer medicines, provided alone or in combination with surgery and/or radiation therapy, are a critical part of cancer care. Medicines can give people the opportunity to be cured of cancer, increase their quality of life with cancer, or extend how long they live with cancer. People with cancer, their whānau, and their treatment team expect that the medicines they need will be available when they need them. </w:t>
      </w:r>
    </w:p>
    <w:p w14:paraId="7E817535" w14:textId="77777777" w:rsidR="00B554ED" w:rsidRPr="00E44F3E" w:rsidRDefault="00B554ED" w:rsidP="00B554ED"/>
    <w:p w14:paraId="477A7262" w14:textId="487DE3AC" w:rsidR="00B554ED" w:rsidRPr="00E44F3E" w:rsidRDefault="00B554ED" w:rsidP="00B554ED">
      <w:r w:rsidRPr="00E44F3E">
        <w:t xml:space="preserve">This report is a continuation of the 2022 </w:t>
      </w:r>
      <w:r w:rsidR="00EA4A06">
        <w:t>r</w:t>
      </w:r>
      <w:r w:rsidRPr="00E44F3E">
        <w:t>eport</w:t>
      </w:r>
      <w:r w:rsidR="00735539">
        <w:t xml:space="preserve"> (</w:t>
      </w:r>
      <w:r w:rsidR="00735539" w:rsidRPr="00735539">
        <w:t>Te Aho o Te Kahu 2022</w:t>
      </w:r>
      <w:r w:rsidR="00735539">
        <w:t>)</w:t>
      </w:r>
      <w:r w:rsidRPr="00E44F3E">
        <w:t xml:space="preserve">, which could not be completed for blood cancer medicines at that time. The same methodology was used to describe the difference in blood cancer medicine availability between Australia and </w:t>
      </w:r>
      <w:r w:rsidR="00E6006E">
        <w:t>Aotearoa New </w:t>
      </w:r>
      <w:r w:rsidR="00F01F5C">
        <w:t>Zealand</w:t>
      </w:r>
      <w:r w:rsidRPr="00E44F3E">
        <w:t>. The magnitude of clinical benefit of those gaps was also identified now that a validated tool has become available to do so.</w:t>
      </w:r>
    </w:p>
    <w:p w14:paraId="3F82E475" w14:textId="77777777" w:rsidR="00B554ED" w:rsidRPr="00E44F3E" w:rsidRDefault="00B554ED" w:rsidP="00B554ED"/>
    <w:p w14:paraId="1B832197" w14:textId="10DE4508" w:rsidR="00B554ED" w:rsidRPr="00E44F3E" w:rsidRDefault="00B554ED" w:rsidP="00B554ED">
      <w:r w:rsidRPr="00E44F3E">
        <w:t xml:space="preserve">Along with the findings of the 2022 </w:t>
      </w:r>
      <w:r w:rsidR="00EA4A06">
        <w:t>r</w:t>
      </w:r>
      <w:r w:rsidRPr="00E44F3E">
        <w:t xml:space="preserve">eport, this 2024 </w:t>
      </w:r>
      <w:r w:rsidR="00EA4A06">
        <w:t>r</w:t>
      </w:r>
      <w:r w:rsidRPr="00E44F3E">
        <w:t xml:space="preserve">eport provides important context and detail to better understand the reality of cancer medicine availability in </w:t>
      </w:r>
      <w:r w:rsidR="00E6006E">
        <w:t>Aotearoa New </w:t>
      </w:r>
      <w:r w:rsidR="00F01F5C">
        <w:t>Zealand</w:t>
      </w:r>
      <w:r w:rsidRPr="00E44F3E">
        <w:t xml:space="preserve">, as compared to Australia. The results of this analysis show that there are differences in the number of blood cancer medicines available in Australia to those available in </w:t>
      </w:r>
      <w:r w:rsidR="00E6006E">
        <w:t>Aotearoa New </w:t>
      </w:r>
      <w:r w:rsidR="00F01F5C">
        <w:t>Zealand</w:t>
      </w:r>
      <w:r w:rsidRPr="00E44F3E">
        <w:t xml:space="preserve"> and that some of those are likely to have a substantial clinical benefit, primarily in a non-curative setting. </w:t>
      </w:r>
    </w:p>
    <w:p w14:paraId="10AC6378" w14:textId="77777777" w:rsidR="00B554ED" w:rsidRPr="00E44F3E" w:rsidRDefault="00B554ED" w:rsidP="00B554ED"/>
    <w:p w14:paraId="40709C41" w14:textId="7A7E0E43" w:rsidR="00B554ED" w:rsidRPr="00E44F3E" w:rsidRDefault="00B554ED" w:rsidP="00B554ED">
      <w:r w:rsidRPr="00E44F3E">
        <w:t xml:space="preserve">The information presented in </w:t>
      </w:r>
      <w:r w:rsidRPr="00E44F3E" w:rsidDel="006210B2">
        <w:t xml:space="preserve">the </w:t>
      </w:r>
      <w:r w:rsidRPr="00E44F3E">
        <w:t xml:space="preserve">2022 and 2024 </w:t>
      </w:r>
      <w:r w:rsidR="00EA4A06">
        <w:t>r</w:t>
      </w:r>
      <w:r w:rsidRPr="00E44F3E">
        <w:t>eports</w:t>
      </w:r>
      <w:r w:rsidRPr="00E44F3E" w:rsidDel="007A47D0">
        <w:t xml:space="preserve"> </w:t>
      </w:r>
      <w:r w:rsidRPr="00E44F3E">
        <w:t xml:space="preserve">is designed to provide useful insights to people with cancer and their whānau, the health sector, Pharmac, the New Zealand Government, </w:t>
      </w:r>
      <w:r w:rsidR="00735539">
        <w:t>n</w:t>
      </w:r>
      <w:r w:rsidRPr="00E44F3E">
        <w:t>on-</w:t>
      </w:r>
      <w:r w:rsidR="00735539">
        <w:t>g</w:t>
      </w:r>
      <w:r w:rsidRPr="00E44F3E">
        <w:t xml:space="preserve">overnmental </w:t>
      </w:r>
      <w:r w:rsidR="00735539">
        <w:t>o</w:t>
      </w:r>
      <w:r w:rsidRPr="00E44F3E">
        <w:t xml:space="preserve">rganisations, and the </w:t>
      </w:r>
      <w:proofErr w:type="gramStart"/>
      <w:r w:rsidRPr="00E44F3E">
        <w:t>general public</w:t>
      </w:r>
      <w:proofErr w:type="gramEnd"/>
      <w:r w:rsidRPr="00E44F3E">
        <w:t xml:space="preserve"> about the scale and magnitude of clinical benefit of medicine gaps in </w:t>
      </w:r>
      <w:r w:rsidR="00E6006E">
        <w:t>Aotearoa New </w:t>
      </w:r>
      <w:r w:rsidR="00F01F5C">
        <w:t>Zealand</w:t>
      </w:r>
      <w:r w:rsidRPr="00E44F3E">
        <w:t xml:space="preserve">. </w:t>
      </w:r>
    </w:p>
    <w:p w14:paraId="3B274327" w14:textId="77777777" w:rsidR="00B554ED" w:rsidRPr="00E44F3E" w:rsidRDefault="00B554ED" w:rsidP="00B554ED"/>
    <w:p w14:paraId="6C480B54" w14:textId="1E789AD9" w:rsidR="00B554ED" w:rsidRPr="00E44F3E" w:rsidRDefault="00B554ED" w:rsidP="00B554ED">
      <w:r w:rsidRPr="00167412">
        <w:t xml:space="preserve">While optimising the availability of cancer medicines and their role in improving health outcomes for people with cancer </w:t>
      </w:r>
      <w:r w:rsidR="00616E0F" w:rsidRPr="00167412">
        <w:t>are</w:t>
      </w:r>
      <w:r w:rsidRPr="00167412">
        <w:t xml:space="preserve"> particularly important</w:t>
      </w:r>
      <w:r w:rsidRPr="00E44F3E">
        <w:t xml:space="preserve">, medicine availability cannot be considered in isolation. Coordinated and prioritised action across the entire cancer care continuum is required to ensure outcomes for New Zealanders with cancer improve to the greatest extent possible. The wider cancer health system, </w:t>
      </w:r>
      <w:r w:rsidR="007F44A5">
        <w:t>which</w:t>
      </w:r>
      <w:r w:rsidR="007F44A5" w:rsidRPr="00E44F3E">
        <w:t xml:space="preserve"> </w:t>
      </w:r>
      <w:r w:rsidRPr="00E44F3E">
        <w:t>works to prevent cancer and provide access to diagnosis and treatment across the cancer continuum, must be functioning well.</w:t>
      </w:r>
    </w:p>
    <w:p w14:paraId="22E77F64" w14:textId="77777777" w:rsidR="00B554ED" w:rsidRPr="00E44F3E" w:rsidRDefault="00B554ED" w:rsidP="00B554ED"/>
    <w:p w14:paraId="260EEC22" w14:textId="77777777" w:rsidR="00B554ED" w:rsidRPr="00E44F3E" w:rsidRDefault="00B554ED" w:rsidP="00B554ED">
      <w:r w:rsidRPr="00E44F3E">
        <w:t xml:space="preserve">Te Aho o Te Kahu remains committed to working with all relevant stakeholders to strengthen services across the cancer care continuum and deliver on the goal of fewer cancers, better survival, and equity for all. </w:t>
      </w:r>
    </w:p>
    <w:p w14:paraId="2CB8CA9F" w14:textId="77777777" w:rsidR="00B554ED" w:rsidRPr="00E44F3E" w:rsidRDefault="00B554ED" w:rsidP="00B554ED"/>
    <w:p w14:paraId="28458C7D" w14:textId="4F0A514B" w:rsidR="00DB27DD" w:rsidRPr="00E44F3E" w:rsidRDefault="00DB27DD" w:rsidP="00DB27DD">
      <w:pPr>
        <w:pStyle w:val="Heading1"/>
        <w:rPr>
          <w:color w:val="0AB58F"/>
        </w:rPr>
      </w:pPr>
      <w:bookmarkStart w:id="174" w:name="_Toc180062126"/>
      <w:r w:rsidRPr="00E44F3E">
        <w:lastRenderedPageBreak/>
        <w:t xml:space="preserve">NGĀ ĀPITIHANGA </w:t>
      </w:r>
      <w:r w:rsidRPr="00E44F3E">
        <w:rPr>
          <w:color w:val="FFFFFF" w:themeColor="background1"/>
        </w:rPr>
        <w:t>|</w:t>
      </w:r>
      <w:r w:rsidRPr="00E44F3E">
        <w:br/>
      </w:r>
      <w:r w:rsidRPr="00E44F3E">
        <w:rPr>
          <w:color w:val="0AB58F"/>
        </w:rPr>
        <w:t>APPENDICES</w:t>
      </w:r>
      <w:bookmarkEnd w:id="174"/>
    </w:p>
    <w:p w14:paraId="523076AC" w14:textId="041DEAF9" w:rsidR="00DB27DD" w:rsidRPr="00E44F3E" w:rsidRDefault="00B206B2" w:rsidP="002950CD">
      <w:pPr>
        <w:pStyle w:val="Heading2"/>
      </w:pPr>
      <w:bookmarkStart w:id="175" w:name="App1"/>
      <w:bookmarkStart w:id="176" w:name="_Toc180062127"/>
      <w:r w:rsidRPr="00E44F3E">
        <w:t>Appendix 1</w:t>
      </w:r>
      <w:bookmarkEnd w:id="175"/>
      <w:r w:rsidRPr="00E44F3E">
        <w:t>: Key sources of information</w:t>
      </w:r>
      <w:bookmarkEnd w:id="176"/>
    </w:p>
    <w:p w14:paraId="364B4E09" w14:textId="77777777" w:rsidR="00B206B2" w:rsidRPr="00E44F3E" w:rsidRDefault="00B206B2" w:rsidP="00B206B2">
      <w:r w:rsidRPr="00E44F3E">
        <w:t>This appendix lists the key sources of information used in this analysis.</w:t>
      </w:r>
    </w:p>
    <w:p w14:paraId="01FD721C" w14:textId="77777777" w:rsidR="00B206B2" w:rsidRPr="00E44F3E" w:rsidRDefault="00B206B2" w:rsidP="00B206B2"/>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684"/>
        <w:gridCol w:w="1581"/>
        <w:gridCol w:w="4814"/>
      </w:tblGrid>
      <w:tr w:rsidR="00B206B2" w:rsidRPr="00E44F3E" w14:paraId="248E9472" w14:textId="77777777" w:rsidTr="00E42C59">
        <w:trPr>
          <w:cantSplit/>
        </w:trPr>
        <w:tc>
          <w:tcPr>
            <w:tcW w:w="0" w:type="auto"/>
            <w:tcBorders>
              <w:top w:val="nil"/>
              <w:bottom w:val="nil"/>
            </w:tcBorders>
            <w:shd w:val="clear" w:color="auto" w:fill="C2D9BA"/>
          </w:tcPr>
          <w:p w14:paraId="730F508B" w14:textId="77777777" w:rsidR="00B206B2" w:rsidRPr="00E44F3E" w:rsidRDefault="00B206B2">
            <w:pPr>
              <w:pStyle w:val="TableText"/>
              <w:rPr>
                <w:b/>
              </w:rPr>
            </w:pPr>
            <w:r w:rsidRPr="00E44F3E">
              <w:rPr>
                <w:b/>
              </w:rPr>
              <w:t>Information type</w:t>
            </w:r>
          </w:p>
        </w:tc>
        <w:tc>
          <w:tcPr>
            <w:tcW w:w="0" w:type="auto"/>
            <w:tcBorders>
              <w:top w:val="nil"/>
              <w:bottom w:val="nil"/>
            </w:tcBorders>
            <w:shd w:val="clear" w:color="auto" w:fill="C2D9BA"/>
          </w:tcPr>
          <w:p w14:paraId="2D91E36E" w14:textId="77777777" w:rsidR="00B206B2" w:rsidRPr="00E44F3E" w:rsidRDefault="00B206B2">
            <w:pPr>
              <w:pStyle w:val="TableText"/>
              <w:rPr>
                <w:b/>
              </w:rPr>
            </w:pPr>
            <w:r w:rsidRPr="00E44F3E">
              <w:rPr>
                <w:b/>
              </w:rPr>
              <w:t>Source(s)</w:t>
            </w:r>
          </w:p>
        </w:tc>
        <w:tc>
          <w:tcPr>
            <w:tcW w:w="0" w:type="auto"/>
            <w:tcBorders>
              <w:top w:val="nil"/>
              <w:bottom w:val="nil"/>
            </w:tcBorders>
            <w:shd w:val="clear" w:color="auto" w:fill="C2D9BA"/>
          </w:tcPr>
          <w:p w14:paraId="50CEB1FA" w14:textId="77777777" w:rsidR="00B206B2" w:rsidRPr="00E44F3E" w:rsidRDefault="00B206B2">
            <w:pPr>
              <w:pStyle w:val="TableText"/>
              <w:rPr>
                <w:b/>
                <w:lang w:eastAsia="en-US"/>
              </w:rPr>
            </w:pPr>
            <w:r w:rsidRPr="00E44F3E">
              <w:rPr>
                <w:b/>
              </w:rPr>
              <w:t>Link(s) (if applicable)</w:t>
            </w:r>
          </w:p>
        </w:tc>
      </w:tr>
      <w:tr w:rsidR="00B206B2" w:rsidRPr="00E44F3E" w14:paraId="39E7E0F8" w14:textId="77777777" w:rsidTr="00E42C59">
        <w:trPr>
          <w:cantSplit/>
        </w:trPr>
        <w:tc>
          <w:tcPr>
            <w:tcW w:w="0" w:type="auto"/>
            <w:tcBorders>
              <w:top w:val="nil"/>
              <w:bottom w:val="single" w:sz="4" w:space="0" w:color="C2D9BA"/>
            </w:tcBorders>
            <w:shd w:val="clear" w:color="auto" w:fill="auto"/>
          </w:tcPr>
          <w:p w14:paraId="0CE19DFA" w14:textId="517E6862" w:rsidR="00B206B2" w:rsidRPr="00E44F3E" w:rsidRDefault="00B206B2">
            <w:pPr>
              <w:pStyle w:val="TableText"/>
            </w:pPr>
            <w:r w:rsidRPr="00E44F3E">
              <w:t xml:space="preserve">Medicines funded in </w:t>
            </w:r>
            <w:r w:rsidR="00E6006E">
              <w:t>Aotearoa New </w:t>
            </w:r>
            <w:r w:rsidR="00F01F5C">
              <w:t>Zealand</w:t>
            </w:r>
          </w:p>
        </w:tc>
        <w:tc>
          <w:tcPr>
            <w:tcW w:w="0" w:type="auto"/>
            <w:tcBorders>
              <w:top w:val="nil"/>
              <w:bottom w:val="single" w:sz="4" w:space="0" w:color="C2D9BA"/>
            </w:tcBorders>
            <w:shd w:val="clear" w:color="auto" w:fill="auto"/>
          </w:tcPr>
          <w:p w14:paraId="46763B03" w14:textId="77777777" w:rsidR="00B206B2" w:rsidRPr="00E44F3E" w:rsidRDefault="00B206B2">
            <w:pPr>
              <w:pStyle w:val="TableText"/>
            </w:pPr>
            <w:proofErr w:type="spellStart"/>
            <w:r w:rsidRPr="00E44F3E">
              <w:t>Pharmac’s</w:t>
            </w:r>
            <w:proofErr w:type="spellEnd"/>
            <w:r w:rsidRPr="00E44F3E">
              <w:t xml:space="preserve"> Pharmaceutical Schedule</w:t>
            </w:r>
          </w:p>
        </w:tc>
        <w:tc>
          <w:tcPr>
            <w:tcW w:w="0" w:type="auto"/>
            <w:tcBorders>
              <w:top w:val="nil"/>
              <w:bottom w:val="single" w:sz="4" w:space="0" w:color="C2D9BA"/>
            </w:tcBorders>
            <w:shd w:val="clear" w:color="auto" w:fill="auto"/>
          </w:tcPr>
          <w:p w14:paraId="40C2CEF6" w14:textId="2B89F904" w:rsidR="00B206B2" w:rsidRPr="00E44F3E" w:rsidRDefault="00000000">
            <w:pPr>
              <w:pStyle w:val="TableText"/>
              <w:rPr>
                <w:rStyle w:val="Hyperlink"/>
              </w:rPr>
            </w:pPr>
            <w:hyperlink r:id="rId61" w:history="1">
              <w:r w:rsidR="00B206B2" w:rsidRPr="00E44F3E">
                <w:rPr>
                  <w:rStyle w:val="Hyperlink"/>
                </w:rPr>
                <w:t>schedule.pharmac.govt.nz/</w:t>
              </w:r>
              <w:proofErr w:type="spellStart"/>
              <w:r w:rsidR="00B206B2" w:rsidRPr="00E44F3E">
                <w:rPr>
                  <w:rStyle w:val="Hyperlink"/>
                </w:rPr>
                <w:t>ScheduleOnline.php</w:t>
              </w:r>
              <w:proofErr w:type="spellEnd"/>
            </w:hyperlink>
          </w:p>
          <w:p w14:paraId="0C8A8A4A" w14:textId="18ACFE63" w:rsidR="00B206B2" w:rsidRPr="00E44F3E" w:rsidRDefault="00000000">
            <w:pPr>
              <w:pStyle w:val="TableText"/>
              <w:rPr>
                <w:rStyle w:val="Hyperlink"/>
              </w:rPr>
            </w:pPr>
            <w:hyperlink r:id="rId62" w:history="1">
              <w:r w:rsidR="00B206B2" w:rsidRPr="00E44F3E">
                <w:rPr>
                  <w:rStyle w:val="Hyperlink"/>
                </w:rPr>
                <w:t>schedule.pharmac.govt.nz/</w:t>
              </w:r>
              <w:proofErr w:type="spellStart"/>
              <w:r w:rsidR="00B206B2" w:rsidRPr="00E44F3E">
                <w:rPr>
                  <w:rStyle w:val="Hyperlink"/>
                </w:rPr>
                <w:t>HMLOnline.php</w:t>
              </w:r>
              <w:proofErr w:type="spellEnd"/>
            </w:hyperlink>
          </w:p>
        </w:tc>
      </w:tr>
      <w:tr w:rsidR="00B206B2" w:rsidRPr="00E44F3E" w14:paraId="20C569B9" w14:textId="77777777" w:rsidTr="00E42C59">
        <w:trPr>
          <w:cantSplit/>
        </w:trPr>
        <w:tc>
          <w:tcPr>
            <w:tcW w:w="0" w:type="auto"/>
            <w:tcBorders>
              <w:top w:val="single" w:sz="4" w:space="0" w:color="C2D9BA"/>
              <w:bottom w:val="single" w:sz="4" w:space="0" w:color="C2D9BA"/>
            </w:tcBorders>
            <w:shd w:val="clear" w:color="auto" w:fill="auto"/>
          </w:tcPr>
          <w:p w14:paraId="0FAE6AC1" w14:textId="77777777" w:rsidR="00B206B2" w:rsidRPr="00E44F3E" w:rsidRDefault="00B206B2">
            <w:pPr>
              <w:pStyle w:val="TableText"/>
            </w:pPr>
            <w:r w:rsidRPr="00E44F3E">
              <w:t>Medicines funded in Australia</w:t>
            </w:r>
          </w:p>
        </w:tc>
        <w:tc>
          <w:tcPr>
            <w:tcW w:w="0" w:type="auto"/>
            <w:tcBorders>
              <w:top w:val="single" w:sz="4" w:space="0" w:color="C2D9BA"/>
              <w:bottom w:val="single" w:sz="4" w:space="0" w:color="C2D9BA"/>
            </w:tcBorders>
            <w:shd w:val="clear" w:color="auto" w:fill="auto"/>
          </w:tcPr>
          <w:p w14:paraId="31422DBB" w14:textId="77777777" w:rsidR="00B206B2" w:rsidRPr="00E44F3E" w:rsidRDefault="00B206B2">
            <w:pPr>
              <w:pStyle w:val="TableText"/>
            </w:pPr>
            <w:r w:rsidRPr="00E44F3E">
              <w:t>PBS Schedule</w:t>
            </w:r>
          </w:p>
        </w:tc>
        <w:tc>
          <w:tcPr>
            <w:tcW w:w="0" w:type="auto"/>
            <w:tcBorders>
              <w:top w:val="single" w:sz="4" w:space="0" w:color="C2D9BA"/>
              <w:bottom w:val="single" w:sz="4" w:space="0" w:color="C2D9BA"/>
            </w:tcBorders>
            <w:shd w:val="clear" w:color="auto" w:fill="auto"/>
          </w:tcPr>
          <w:p w14:paraId="52E11A93" w14:textId="63D0AA2F" w:rsidR="00B206B2" w:rsidRPr="00E44F3E" w:rsidRDefault="00000000">
            <w:pPr>
              <w:pStyle w:val="TableText"/>
            </w:pPr>
            <w:hyperlink r:id="rId63" w:history="1">
              <w:r w:rsidR="00B206B2" w:rsidRPr="00E44F3E">
                <w:rPr>
                  <w:rStyle w:val="Hyperlink"/>
                  <w:rFonts w:eastAsia="MS Gothic"/>
                </w:rPr>
                <w:t>www.pbs.gov.au/browse/body-system</w:t>
              </w:r>
            </w:hyperlink>
          </w:p>
        </w:tc>
      </w:tr>
      <w:tr w:rsidR="00B206B2" w:rsidRPr="00E44F3E" w14:paraId="61279903" w14:textId="77777777" w:rsidTr="00E42C59">
        <w:trPr>
          <w:cantSplit/>
        </w:trPr>
        <w:tc>
          <w:tcPr>
            <w:tcW w:w="0" w:type="auto"/>
            <w:vMerge w:val="restart"/>
            <w:tcBorders>
              <w:top w:val="single" w:sz="4" w:space="0" w:color="C2D9BA"/>
            </w:tcBorders>
            <w:shd w:val="clear" w:color="auto" w:fill="auto"/>
          </w:tcPr>
          <w:p w14:paraId="50759C66" w14:textId="77777777" w:rsidR="00B206B2" w:rsidRPr="00E44F3E" w:rsidRDefault="00B206B2">
            <w:pPr>
              <w:pStyle w:val="TableText"/>
            </w:pPr>
            <w:r w:rsidRPr="00E44F3E">
              <w:t>Indications for medicines funded without restriction</w:t>
            </w:r>
          </w:p>
        </w:tc>
        <w:tc>
          <w:tcPr>
            <w:tcW w:w="0" w:type="auto"/>
            <w:tcBorders>
              <w:top w:val="single" w:sz="4" w:space="0" w:color="C2D9BA"/>
              <w:bottom w:val="nil"/>
            </w:tcBorders>
            <w:shd w:val="clear" w:color="auto" w:fill="auto"/>
          </w:tcPr>
          <w:p w14:paraId="4AFDC5C1" w14:textId="77777777" w:rsidR="00B206B2" w:rsidRPr="00E44F3E" w:rsidRDefault="00B206B2">
            <w:pPr>
              <w:pStyle w:val="TableText"/>
            </w:pPr>
            <w:r w:rsidRPr="00E44F3E">
              <w:t>TGA product information</w:t>
            </w:r>
          </w:p>
        </w:tc>
        <w:tc>
          <w:tcPr>
            <w:tcW w:w="0" w:type="auto"/>
            <w:tcBorders>
              <w:top w:val="single" w:sz="4" w:space="0" w:color="C2D9BA"/>
              <w:bottom w:val="nil"/>
            </w:tcBorders>
            <w:shd w:val="clear" w:color="auto" w:fill="auto"/>
          </w:tcPr>
          <w:p w14:paraId="049848A5" w14:textId="0D040884" w:rsidR="00B206B2" w:rsidRPr="00E44F3E" w:rsidRDefault="00000000">
            <w:pPr>
              <w:pStyle w:val="TableText"/>
            </w:pPr>
            <w:hyperlink r:id="rId64" w:history="1">
              <w:r w:rsidR="00B206B2" w:rsidRPr="00E44F3E">
                <w:rPr>
                  <w:rStyle w:val="Hyperlink"/>
                  <w:rFonts w:eastAsia="MS Gothic"/>
                </w:rPr>
                <w:t>www.ebs.tga.gov.au</w:t>
              </w:r>
            </w:hyperlink>
          </w:p>
        </w:tc>
      </w:tr>
      <w:tr w:rsidR="00B206B2" w:rsidRPr="00E44F3E" w14:paraId="07CBB9C5" w14:textId="77777777" w:rsidTr="00E42C59">
        <w:trPr>
          <w:cantSplit/>
        </w:trPr>
        <w:tc>
          <w:tcPr>
            <w:tcW w:w="0" w:type="auto"/>
            <w:vMerge/>
            <w:shd w:val="clear" w:color="auto" w:fill="auto"/>
          </w:tcPr>
          <w:p w14:paraId="4725F556" w14:textId="77777777" w:rsidR="00B206B2" w:rsidRPr="00E44F3E" w:rsidRDefault="00B206B2">
            <w:pPr>
              <w:pStyle w:val="TableText"/>
            </w:pPr>
          </w:p>
        </w:tc>
        <w:tc>
          <w:tcPr>
            <w:tcW w:w="0" w:type="auto"/>
            <w:tcBorders>
              <w:top w:val="nil"/>
              <w:bottom w:val="nil"/>
            </w:tcBorders>
            <w:shd w:val="clear" w:color="auto" w:fill="auto"/>
          </w:tcPr>
          <w:p w14:paraId="1641B7A4" w14:textId="77777777" w:rsidR="00B206B2" w:rsidRPr="00E44F3E" w:rsidRDefault="00B206B2">
            <w:pPr>
              <w:pStyle w:val="TableText"/>
            </w:pPr>
            <w:proofErr w:type="spellStart"/>
            <w:r w:rsidRPr="00E44F3E">
              <w:t>eviQ</w:t>
            </w:r>
            <w:proofErr w:type="spellEnd"/>
          </w:p>
        </w:tc>
        <w:tc>
          <w:tcPr>
            <w:tcW w:w="0" w:type="auto"/>
            <w:tcBorders>
              <w:top w:val="nil"/>
              <w:bottom w:val="nil"/>
            </w:tcBorders>
            <w:shd w:val="clear" w:color="auto" w:fill="auto"/>
          </w:tcPr>
          <w:p w14:paraId="722EC86C" w14:textId="3F452AEE" w:rsidR="00B206B2" w:rsidRPr="00E44F3E" w:rsidRDefault="00000000">
            <w:pPr>
              <w:pStyle w:val="TableText"/>
            </w:pPr>
            <w:hyperlink r:id="rId65" w:history="1">
              <w:r w:rsidR="00B206B2" w:rsidRPr="00E44F3E">
                <w:rPr>
                  <w:rStyle w:val="Hyperlink"/>
                  <w:rFonts w:eastAsia="MS Gothic"/>
                </w:rPr>
                <w:t>www.eviq.org.au</w:t>
              </w:r>
            </w:hyperlink>
          </w:p>
        </w:tc>
      </w:tr>
      <w:tr w:rsidR="00B206B2" w:rsidRPr="00E44F3E" w14:paraId="69EC6B37" w14:textId="77777777" w:rsidTr="00E42C59">
        <w:trPr>
          <w:cantSplit/>
        </w:trPr>
        <w:tc>
          <w:tcPr>
            <w:tcW w:w="0" w:type="auto"/>
            <w:vMerge/>
            <w:tcBorders>
              <w:bottom w:val="single" w:sz="4" w:space="0" w:color="C2D9BA"/>
            </w:tcBorders>
            <w:shd w:val="clear" w:color="auto" w:fill="auto"/>
          </w:tcPr>
          <w:p w14:paraId="2DA268A6" w14:textId="77777777" w:rsidR="00B206B2" w:rsidRPr="00E44F3E" w:rsidRDefault="00B206B2">
            <w:pPr>
              <w:pStyle w:val="TableText"/>
            </w:pPr>
          </w:p>
        </w:tc>
        <w:tc>
          <w:tcPr>
            <w:tcW w:w="0" w:type="auto"/>
            <w:tcBorders>
              <w:top w:val="nil"/>
              <w:bottom w:val="single" w:sz="4" w:space="0" w:color="C2D9BA"/>
            </w:tcBorders>
            <w:shd w:val="clear" w:color="auto" w:fill="auto"/>
          </w:tcPr>
          <w:p w14:paraId="4A9576FB" w14:textId="77777777" w:rsidR="00B206B2" w:rsidRPr="00E44F3E" w:rsidRDefault="00B206B2">
            <w:pPr>
              <w:pStyle w:val="TableText"/>
            </w:pPr>
            <w:proofErr w:type="spellStart"/>
            <w:r w:rsidRPr="00E44F3E">
              <w:t>Medsafe</w:t>
            </w:r>
            <w:proofErr w:type="spellEnd"/>
            <w:r w:rsidRPr="00E44F3E">
              <w:t xml:space="preserve"> Data Sheets</w:t>
            </w:r>
          </w:p>
        </w:tc>
        <w:tc>
          <w:tcPr>
            <w:tcW w:w="0" w:type="auto"/>
            <w:tcBorders>
              <w:top w:val="nil"/>
              <w:bottom w:val="single" w:sz="4" w:space="0" w:color="C2D9BA"/>
            </w:tcBorders>
            <w:shd w:val="clear" w:color="auto" w:fill="auto"/>
          </w:tcPr>
          <w:p w14:paraId="63024A62" w14:textId="0B3AF528" w:rsidR="00B206B2" w:rsidRPr="00E44F3E" w:rsidRDefault="00000000">
            <w:pPr>
              <w:pStyle w:val="TableText"/>
            </w:pPr>
            <w:hyperlink r:id="rId66" w:history="1">
              <w:r w:rsidR="00B206B2" w:rsidRPr="00E44F3E">
                <w:rPr>
                  <w:rStyle w:val="Hyperlink"/>
                  <w:rFonts w:eastAsia="MS Gothic"/>
                </w:rPr>
                <w:t>www.medsafe.govt.nz/Medicines/infoSearch.asp</w:t>
              </w:r>
            </w:hyperlink>
          </w:p>
        </w:tc>
      </w:tr>
      <w:tr w:rsidR="00B206B2" w:rsidRPr="00E44F3E" w14:paraId="644FF6D8" w14:textId="77777777" w:rsidTr="00E42C59">
        <w:trPr>
          <w:cantSplit/>
        </w:trPr>
        <w:tc>
          <w:tcPr>
            <w:tcW w:w="0" w:type="auto"/>
            <w:tcBorders>
              <w:top w:val="single" w:sz="4" w:space="0" w:color="C2D9BA"/>
              <w:bottom w:val="single" w:sz="4" w:space="0" w:color="C2D9BA"/>
            </w:tcBorders>
            <w:shd w:val="clear" w:color="auto" w:fill="auto"/>
          </w:tcPr>
          <w:p w14:paraId="2DDA001D" w14:textId="77777777" w:rsidR="00B206B2" w:rsidRPr="00E44F3E" w:rsidRDefault="00B206B2">
            <w:pPr>
              <w:pStyle w:val="TableText"/>
            </w:pPr>
            <w:r w:rsidRPr="00E44F3E">
              <w:t>ESMO-MCBS:H scores</w:t>
            </w:r>
          </w:p>
        </w:tc>
        <w:tc>
          <w:tcPr>
            <w:tcW w:w="0" w:type="auto"/>
            <w:tcBorders>
              <w:top w:val="single" w:sz="4" w:space="0" w:color="C2D9BA"/>
              <w:bottom w:val="single" w:sz="4" w:space="0" w:color="C2D9BA"/>
            </w:tcBorders>
            <w:shd w:val="clear" w:color="auto" w:fill="auto"/>
          </w:tcPr>
          <w:p w14:paraId="1F4317ED" w14:textId="77777777" w:rsidR="00B206B2" w:rsidRPr="00E44F3E" w:rsidRDefault="00B206B2">
            <w:pPr>
              <w:pStyle w:val="TableText"/>
            </w:pPr>
            <w:r w:rsidRPr="00E44F3E">
              <w:t>ESMO</w:t>
            </w:r>
          </w:p>
        </w:tc>
        <w:tc>
          <w:tcPr>
            <w:tcW w:w="0" w:type="auto"/>
            <w:tcBorders>
              <w:top w:val="single" w:sz="4" w:space="0" w:color="C2D9BA"/>
              <w:bottom w:val="single" w:sz="4" w:space="0" w:color="C2D9BA"/>
            </w:tcBorders>
            <w:shd w:val="clear" w:color="auto" w:fill="auto"/>
          </w:tcPr>
          <w:p w14:paraId="6BF9AC32" w14:textId="6BF5708F" w:rsidR="00B206B2" w:rsidRPr="00E44F3E" w:rsidRDefault="00000000">
            <w:pPr>
              <w:pStyle w:val="TableText"/>
            </w:pPr>
            <w:hyperlink r:id="rId67" w:history="1">
              <w:r w:rsidR="007902DC" w:rsidRPr="007902DC">
                <w:rPr>
                  <w:rStyle w:val="Hyperlink"/>
                </w:rPr>
                <w:t>www.esmo.org/guidelines/esmo-mcbs/esmo-mcbs-for-haematological-malignancies/esmo-mcbs-h-evaluation-forms</w:t>
              </w:r>
            </w:hyperlink>
            <w:r w:rsidR="007902DC">
              <w:t xml:space="preserve"> </w:t>
            </w:r>
          </w:p>
        </w:tc>
      </w:tr>
      <w:tr w:rsidR="00B206B2" w:rsidRPr="00E44F3E" w14:paraId="4693FD19" w14:textId="77777777" w:rsidTr="00E42C59">
        <w:trPr>
          <w:cantSplit/>
        </w:trPr>
        <w:tc>
          <w:tcPr>
            <w:tcW w:w="0" w:type="auto"/>
            <w:tcBorders>
              <w:top w:val="single" w:sz="4" w:space="0" w:color="C2D9BA"/>
              <w:bottom w:val="single" w:sz="4" w:space="0" w:color="C2D9BA"/>
            </w:tcBorders>
            <w:shd w:val="clear" w:color="auto" w:fill="auto"/>
          </w:tcPr>
          <w:p w14:paraId="6ABD9FE5" w14:textId="77777777" w:rsidR="00B206B2" w:rsidRPr="00E44F3E" w:rsidRDefault="00B206B2">
            <w:pPr>
              <w:pStyle w:val="TableText"/>
            </w:pPr>
            <w:r w:rsidRPr="00E44F3E">
              <w:t>Pharmac status</w:t>
            </w:r>
          </w:p>
        </w:tc>
        <w:tc>
          <w:tcPr>
            <w:tcW w:w="0" w:type="auto"/>
            <w:tcBorders>
              <w:top w:val="single" w:sz="4" w:space="0" w:color="C2D9BA"/>
              <w:bottom w:val="single" w:sz="4" w:space="0" w:color="C2D9BA"/>
            </w:tcBorders>
            <w:shd w:val="clear" w:color="auto" w:fill="auto"/>
          </w:tcPr>
          <w:p w14:paraId="07AC15D2" w14:textId="77777777" w:rsidR="00B206B2" w:rsidRPr="00E44F3E" w:rsidRDefault="00B206B2">
            <w:pPr>
              <w:pStyle w:val="TableText"/>
            </w:pPr>
            <w:r w:rsidRPr="00E44F3E">
              <w:t>Pharmac application tracker</w:t>
            </w:r>
          </w:p>
        </w:tc>
        <w:tc>
          <w:tcPr>
            <w:tcW w:w="0" w:type="auto"/>
            <w:tcBorders>
              <w:top w:val="single" w:sz="4" w:space="0" w:color="C2D9BA"/>
              <w:bottom w:val="single" w:sz="4" w:space="0" w:color="C2D9BA"/>
            </w:tcBorders>
            <w:shd w:val="clear" w:color="auto" w:fill="auto"/>
          </w:tcPr>
          <w:p w14:paraId="6FCDD5E7" w14:textId="01B9EFF7" w:rsidR="00B206B2" w:rsidRPr="00E44F3E" w:rsidRDefault="00000000">
            <w:pPr>
              <w:pStyle w:val="TableText"/>
              <w:rPr>
                <w:rStyle w:val="Hyperlink"/>
              </w:rPr>
            </w:pPr>
            <w:hyperlink r:id="rId68" w:history="1">
              <w:r w:rsidR="00B206B2" w:rsidRPr="00E44F3E">
                <w:rPr>
                  <w:rStyle w:val="Hyperlink"/>
                </w:rPr>
                <w:t>connect.pharmac.govt.nz/</w:t>
              </w:r>
              <w:proofErr w:type="spellStart"/>
              <w:r w:rsidR="00B206B2" w:rsidRPr="00E44F3E">
                <w:rPr>
                  <w:rStyle w:val="Hyperlink"/>
                </w:rPr>
                <w:t>apptracker</w:t>
              </w:r>
              <w:proofErr w:type="spellEnd"/>
              <w:r w:rsidR="00B206B2" w:rsidRPr="00E44F3E">
                <w:rPr>
                  <w:rStyle w:val="Hyperlink"/>
                </w:rPr>
                <w:t>/s</w:t>
              </w:r>
            </w:hyperlink>
          </w:p>
        </w:tc>
      </w:tr>
      <w:tr w:rsidR="00B206B2" w:rsidRPr="00E44F3E" w14:paraId="7336590A" w14:textId="77777777" w:rsidTr="00E42C59">
        <w:trPr>
          <w:cantSplit/>
        </w:trPr>
        <w:tc>
          <w:tcPr>
            <w:tcW w:w="0" w:type="auto"/>
            <w:vMerge w:val="restart"/>
            <w:tcBorders>
              <w:top w:val="single" w:sz="4" w:space="0" w:color="C2D9BA"/>
            </w:tcBorders>
            <w:shd w:val="clear" w:color="auto" w:fill="auto"/>
          </w:tcPr>
          <w:p w14:paraId="36617D6D" w14:textId="77777777" w:rsidR="00B206B2" w:rsidRPr="00E44F3E" w:rsidRDefault="00B206B2">
            <w:pPr>
              <w:pStyle w:val="TableText"/>
            </w:pPr>
            <w:r w:rsidRPr="00E44F3E">
              <w:t>Clinical relevance of gaps</w:t>
            </w:r>
          </w:p>
        </w:tc>
        <w:tc>
          <w:tcPr>
            <w:tcW w:w="0" w:type="auto"/>
            <w:tcBorders>
              <w:top w:val="single" w:sz="4" w:space="0" w:color="C2D9BA"/>
              <w:bottom w:val="nil"/>
            </w:tcBorders>
            <w:shd w:val="clear" w:color="auto" w:fill="auto"/>
          </w:tcPr>
          <w:p w14:paraId="5515942A" w14:textId="77777777" w:rsidR="00B206B2" w:rsidRPr="00E44F3E" w:rsidRDefault="00B206B2">
            <w:pPr>
              <w:pStyle w:val="TableText"/>
            </w:pPr>
            <w:r w:rsidRPr="00E44F3E">
              <w:t>Clinical advice</w:t>
            </w:r>
          </w:p>
        </w:tc>
        <w:tc>
          <w:tcPr>
            <w:tcW w:w="0" w:type="auto"/>
            <w:tcBorders>
              <w:top w:val="single" w:sz="4" w:space="0" w:color="C2D9BA"/>
              <w:bottom w:val="nil"/>
            </w:tcBorders>
            <w:shd w:val="clear" w:color="auto" w:fill="auto"/>
          </w:tcPr>
          <w:p w14:paraId="37E1F9BB" w14:textId="77777777" w:rsidR="00B206B2" w:rsidRPr="00E44F3E" w:rsidRDefault="00B206B2">
            <w:pPr>
              <w:pStyle w:val="TableText"/>
            </w:pPr>
          </w:p>
        </w:tc>
      </w:tr>
      <w:tr w:rsidR="00B206B2" w:rsidRPr="00E44F3E" w14:paraId="7FA18C44" w14:textId="77777777" w:rsidTr="00E42C59">
        <w:trPr>
          <w:cantSplit/>
        </w:trPr>
        <w:tc>
          <w:tcPr>
            <w:tcW w:w="0" w:type="auto"/>
            <w:vMerge/>
            <w:shd w:val="clear" w:color="auto" w:fill="auto"/>
          </w:tcPr>
          <w:p w14:paraId="0702DA3C" w14:textId="77777777" w:rsidR="00B206B2" w:rsidRPr="00E44F3E" w:rsidRDefault="00B206B2">
            <w:pPr>
              <w:pStyle w:val="TableText"/>
            </w:pPr>
          </w:p>
        </w:tc>
        <w:tc>
          <w:tcPr>
            <w:tcW w:w="0" w:type="auto"/>
            <w:tcBorders>
              <w:top w:val="nil"/>
              <w:bottom w:val="nil"/>
            </w:tcBorders>
            <w:shd w:val="clear" w:color="auto" w:fill="auto"/>
          </w:tcPr>
          <w:p w14:paraId="137ADE2E" w14:textId="77777777" w:rsidR="00B206B2" w:rsidRPr="00E44F3E" w:rsidRDefault="00B206B2">
            <w:pPr>
              <w:pStyle w:val="TableText"/>
            </w:pPr>
            <w:r w:rsidRPr="00E44F3E">
              <w:t>ACT-NOW SACT regimen library</w:t>
            </w:r>
          </w:p>
        </w:tc>
        <w:tc>
          <w:tcPr>
            <w:tcW w:w="0" w:type="auto"/>
            <w:tcBorders>
              <w:top w:val="nil"/>
              <w:bottom w:val="nil"/>
            </w:tcBorders>
            <w:shd w:val="clear" w:color="auto" w:fill="auto"/>
          </w:tcPr>
          <w:p w14:paraId="6BAA4EE5" w14:textId="602E094F" w:rsidR="00B206B2" w:rsidRPr="00E44F3E" w:rsidRDefault="00000000">
            <w:pPr>
              <w:pStyle w:val="TableText"/>
              <w:rPr>
                <w:rStyle w:val="Hyperlink"/>
              </w:rPr>
            </w:pPr>
            <w:hyperlink r:id="rId69" w:history="1">
              <w:r w:rsidR="00B206B2" w:rsidRPr="00E44F3E">
                <w:rPr>
                  <w:rStyle w:val="Hyperlink"/>
                </w:rPr>
                <w:t>nzf.org.nz/regimens</w:t>
              </w:r>
            </w:hyperlink>
          </w:p>
        </w:tc>
      </w:tr>
      <w:tr w:rsidR="00B206B2" w:rsidRPr="00E44F3E" w14:paraId="06ECA98C" w14:textId="77777777" w:rsidTr="00E42C59">
        <w:trPr>
          <w:cantSplit/>
        </w:trPr>
        <w:tc>
          <w:tcPr>
            <w:tcW w:w="0" w:type="auto"/>
            <w:vMerge/>
            <w:tcBorders>
              <w:bottom w:val="single" w:sz="4" w:space="0" w:color="C2D9BA"/>
            </w:tcBorders>
            <w:shd w:val="clear" w:color="auto" w:fill="auto"/>
          </w:tcPr>
          <w:p w14:paraId="738F0E40" w14:textId="77777777" w:rsidR="00B206B2" w:rsidRPr="00E44F3E" w:rsidRDefault="00B206B2">
            <w:pPr>
              <w:pStyle w:val="TableText"/>
            </w:pPr>
          </w:p>
        </w:tc>
        <w:tc>
          <w:tcPr>
            <w:tcW w:w="0" w:type="auto"/>
            <w:tcBorders>
              <w:top w:val="nil"/>
              <w:bottom w:val="single" w:sz="4" w:space="0" w:color="C2D9BA"/>
            </w:tcBorders>
            <w:shd w:val="clear" w:color="auto" w:fill="auto"/>
          </w:tcPr>
          <w:p w14:paraId="5222AFB3" w14:textId="77777777" w:rsidR="00B206B2" w:rsidRPr="00E44F3E" w:rsidRDefault="00B206B2">
            <w:pPr>
              <w:pStyle w:val="TableText"/>
            </w:pPr>
            <w:proofErr w:type="spellStart"/>
            <w:r w:rsidRPr="00E44F3E">
              <w:t>eviQ</w:t>
            </w:r>
            <w:proofErr w:type="spellEnd"/>
          </w:p>
        </w:tc>
        <w:tc>
          <w:tcPr>
            <w:tcW w:w="0" w:type="auto"/>
            <w:tcBorders>
              <w:top w:val="nil"/>
              <w:bottom w:val="single" w:sz="4" w:space="0" w:color="C2D9BA"/>
            </w:tcBorders>
            <w:shd w:val="clear" w:color="auto" w:fill="auto"/>
          </w:tcPr>
          <w:p w14:paraId="17BB4903" w14:textId="57EBBF61" w:rsidR="00B206B2" w:rsidRPr="00E44F3E" w:rsidRDefault="00000000">
            <w:pPr>
              <w:pStyle w:val="TableText"/>
            </w:pPr>
            <w:hyperlink r:id="rId70" w:history="1">
              <w:r w:rsidR="00B206B2" w:rsidRPr="00E44F3E">
                <w:rPr>
                  <w:rStyle w:val="Hyperlink"/>
                  <w:rFonts w:eastAsia="MS Gothic"/>
                </w:rPr>
                <w:t>www.eviq.org.au</w:t>
              </w:r>
            </w:hyperlink>
          </w:p>
        </w:tc>
      </w:tr>
      <w:tr w:rsidR="00B206B2" w:rsidRPr="00E44F3E" w14:paraId="203D001E" w14:textId="77777777" w:rsidTr="00E42C59">
        <w:trPr>
          <w:cantSplit/>
        </w:trPr>
        <w:tc>
          <w:tcPr>
            <w:tcW w:w="0" w:type="auto"/>
            <w:vMerge w:val="restart"/>
            <w:tcBorders>
              <w:top w:val="single" w:sz="4" w:space="0" w:color="C2D9BA"/>
            </w:tcBorders>
            <w:shd w:val="clear" w:color="auto" w:fill="auto"/>
          </w:tcPr>
          <w:p w14:paraId="40310ED7" w14:textId="77777777" w:rsidR="00B206B2" w:rsidRPr="00E44F3E" w:rsidRDefault="00B206B2">
            <w:pPr>
              <w:pStyle w:val="TableText"/>
            </w:pPr>
            <w:r w:rsidRPr="00E44F3E">
              <w:t>Patient and health sector considerations</w:t>
            </w:r>
          </w:p>
        </w:tc>
        <w:tc>
          <w:tcPr>
            <w:tcW w:w="0" w:type="auto"/>
            <w:tcBorders>
              <w:top w:val="single" w:sz="4" w:space="0" w:color="C2D9BA"/>
              <w:bottom w:val="nil"/>
            </w:tcBorders>
            <w:shd w:val="clear" w:color="auto" w:fill="auto"/>
          </w:tcPr>
          <w:p w14:paraId="351323AD" w14:textId="77777777" w:rsidR="00B206B2" w:rsidRPr="00E44F3E" w:rsidRDefault="00B206B2">
            <w:pPr>
              <w:pStyle w:val="TableText"/>
            </w:pPr>
            <w:r w:rsidRPr="00E44F3E">
              <w:t>ACT-NOW SACT regimen library</w:t>
            </w:r>
          </w:p>
        </w:tc>
        <w:tc>
          <w:tcPr>
            <w:tcW w:w="0" w:type="auto"/>
            <w:tcBorders>
              <w:top w:val="single" w:sz="4" w:space="0" w:color="C2D9BA"/>
              <w:bottom w:val="nil"/>
            </w:tcBorders>
            <w:shd w:val="clear" w:color="auto" w:fill="auto"/>
          </w:tcPr>
          <w:p w14:paraId="3A4C67F5" w14:textId="5FD2A383" w:rsidR="00B206B2" w:rsidRPr="00E44F3E" w:rsidRDefault="00000000">
            <w:pPr>
              <w:pStyle w:val="TableText"/>
              <w:rPr>
                <w:rStyle w:val="Hyperlink"/>
              </w:rPr>
            </w:pPr>
            <w:hyperlink r:id="rId71" w:history="1">
              <w:r w:rsidR="00B206B2" w:rsidRPr="00E44F3E">
                <w:rPr>
                  <w:rStyle w:val="Hyperlink"/>
                </w:rPr>
                <w:t>nzf.org.nz/regimens</w:t>
              </w:r>
            </w:hyperlink>
          </w:p>
        </w:tc>
      </w:tr>
      <w:tr w:rsidR="00B206B2" w:rsidRPr="00E44F3E" w14:paraId="1C41C614" w14:textId="77777777" w:rsidTr="00E42C59">
        <w:trPr>
          <w:cantSplit/>
        </w:trPr>
        <w:tc>
          <w:tcPr>
            <w:tcW w:w="0" w:type="auto"/>
            <w:vMerge/>
            <w:shd w:val="clear" w:color="auto" w:fill="auto"/>
          </w:tcPr>
          <w:p w14:paraId="5F3A37C4" w14:textId="77777777" w:rsidR="00B206B2" w:rsidRPr="00E44F3E" w:rsidRDefault="00B206B2">
            <w:pPr>
              <w:pStyle w:val="TableText"/>
            </w:pPr>
          </w:p>
        </w:tc>
        <w:tc>
          <w:tcPr>
            <w:tcW w:w="0" w:type="auto"/>
            <w:tcBorders>
              <w:top w:val="nil"/>
              <w:bottom w:val="nil"/>
            </w:tcBorders>
            <w:shd w:val="clear" w:color="auto" w:fill="auto"/>
          </w:tcPr>
          <w:p w14:paraId="577A553C" w14:textId="77777777" w:rsidR="00B206B2" w:rsidRPr="00E44F3E" w:rsidRDefault="00B206B2">
            <w:pPr>
              <w:pStyle w:val="TableText"/>
            </w:pPr>
            <w:proofErr w:type="spellStart"/>
            <w:r w:rsidRPr="00E44F3E">
              <w:t>eviQ</w:t>
            </w:r>
            <w:proofErr w:type="spellEnd"/>
          </w:p>
        </w:tc>
        <w:tc>
          <w:tcPr>
            <w:tcW w:w="0" w:type="auto"/>
            <w:tcBorders>
              <w:top w:val="nil"/>
              <w:bottom w:val="nil"/>
            </w:tcBorders>
            <w:shd w:val="clear" w:color="auto" w:fill="auto"/>
          </w:tcPr>
          <w:p w14:paraId="0B24C261" w14:textId="7C24AA97" w:rsidR="00B206B2" w:rsidRPr="00E44F3E" w:rsidRDefault="00000000">
            <w:pPr>
              <w:pStyle w:val="TableText"/>
            </w:pPr>
            <w:hyperlink r:id="rId72" w:history="1">
              <w:r w:rsidR="00B206B2" w:rsidRPr="00E44F3E">
                <w:rPr>
                  <w:rStyle w:val="Hyperlink"/>
                  <w:rFonts w:eastAsia="MS Gothic"/>
                </w:rPr>
                <w:t>www.eviq.org.au</w:t>
              </w:r>
            </w:hyperlink>
          </w:p>
        </w:tc>
      </w:tr>
      <w:tr w:rsidR="00B206B2" w:rsidRPr="00E44F3E" w14:paraId="4BAA91BE" w14:textId="77777777" w:rsidTr="00E42C59">
        <w:trPr>
          <w:cantSplit/>
        </w:trPr>
        <w:tc>
          <w:tcPr>
            <w:tcW w:w="0" w:type="auto"/>
            <w:vMerge/>
            <w:tcBorders>
              <w:bottom w:val="single" w:sz="4" w:space="0" w:color="C2D9BA"/>
            </w:tcBorders>
            <w:shd w:val="clear" w:color="auto" w:fill="auto"/>
          </w:tcPr>
          <w:p w14:paraId="2258A1A5" w14:textId="77777777" w:rsidR="00B206B2" w:rsidRPr="00E44F3E" w:rsidRDefault="00B206B2">
            <w:pPr>
              <w:pStyle w:val="TableText"/>
            </w:pPr>
          </w:p>
        </w:tc>
        <w:tc>
          <w:tcPr>
            <w:tcW w:w="0" w:type="auto"/>
            <w:tcBorders>
              <w:top w:val="nil"/>
              <w:bottom w:val="single" w:sz="4" w:space="0" w:color="C2D9BA"/>
            </w:tcBorders>
            <w:shd w:val="clear" w:color="auto" w:fill="auto"/>
          </w:tcPr>
          <w:p w14:paraId="3D3DE925" w14:textId="77777777" w:rsidR="00B206B2" w:rsidRPr="00E44F3E" w:rsidRDefault="00B206B2">
            <w:pPr>
              <w:pStyle w:val="TableText"/>
            </w:pPr>
            <w:proofErr w:type="spellStart"/>
            <w:r w:rsidRPr="00E44F3E">
              <w:t>Medsafe</w:t>
            </w:r>
            <w:proofErr w:type="spellEnd"/>
            <w:r w:rsidRPr="00E44F3E">
              <w:t xml:space="preserve"> Data Sheets</w:t>
            </w:r>
          </w:p>
        </w:tc>
        <w:tc>
          <w:tcPr>
            <w:tcW w:w="0" w:type="auto"/>
            <w:tcBorders>
              <w:top w:val="nil"/>
              <w:bottom w:val="single" w:sz="4" w:space="0" w:color="C2D9BA"/>
            </w:tcBorders>
            <w:shd w:val="clear" w:color="auto" w:fill="auto"/>
          </w:tcPr>
          <w:p w14:paraId="0B25FEBF" w14:textId="58C4BA1E" w:rsidR="00B206B2" w:rsidRPr="00E44F3E" w:rsidRDefault="00000000">
            <w:pPr>
              <w:pStyle w:val="TableText"/>
            </w:pPr>
            <w:hyperlink r:id="rId73" w:history="1">
              <w:r w:rsidR="00B206B2" w:rsidRPr="00E44F3E">
                <w:rPr>
                  <w:rStyle w:val="Hyperlink"/>
                  <w:rFonts w:eastAsia="MS Gothic"/>
                </w:rPr>
                <w:t>www.medsafe.govt.nz/Medicines/infoSearch.asp</w:t>
              </w:r>
            </w:hyperlink>
          </w:p>
        </w:tc>
      </w:tr>
    </w:tbl>
    <w:p w14:paraId="69A6143E" w14:textId="77777777" w:rsidR="00B206B2" w:rsidRPr="00E44F3E" w:rsidRDefault="00B206B2" w:rsidP="00B206B2"/>
    <w:p w14:paraId="38C41CA8" w14:textId="77777777" w:rsidR="00B206B2" w:rsidRPr="00E44F3E" w:rsidRDefault="00B206B2" w:rsidP="002950CD">
      <w:pPr>
        <w:pStyle w:val="Heading2"/>
        <w:pageBreakBefore/>
      </w:pPr>
      <w:bookmarkStart w:id="177" w:name="App2"/>
      <w:bookmarkStart w:id="178" w:name="_Toc175229015"/>
      <w:bookmarkStart w:id="179" w:name="_Ref177032724"/>
      <w:bookmarkStart w:id="180" w:name="_Toc180062128"/>
      <w:r w:rsidRPr="00E44F3E">
        <w:lastRenderedPageBreak/>
        <w:t>Appendix 2</w:t>
      </w:r>
      <w:bookmarkEnd w:id="177"/>
      <w:r w:rsidRPr="00E44F3E">
        <w:t>: Definitions</w:t>
      </w:r>
      <w:bookmarkEnd w:id="178"/>
      <w:bookmarkEnd w:id="179"/>
      <w:bookmarkEnd w:id="180"/>
    </w:p>
    <w:p w14:paraId="568C1A11" w14:textId="5019C57C" w:rsidR="00B206B2" w:rsidRPr="00E44F3E" w:rsidRDefault="00B206B2" w:rsidP="00E42C59">
      <w:pPr>
        <w:spacing w:before="120"/>
      </w:pPr>
      <w:bookmarkStart w:id="181" w:name="_Hlk177369939"/>
      <w:r w:rsidRPr="00E44F3E">
        <w:rPr>
          <w:b/>
          <w:bCs/>
        </w:rPr>
        <w:t>Adjuvant therapy</w:t>
      </w:r>
      <w:bookmarkEnd w:id="181"/>
      <w:r w:rsidRPr="00E44F3E">
        <w:rPr>
          <w:b/>
          <w:bCs/>
        </w:rPr>
        <w:t xml:space="preserve">: </w:t>
      </w:r>
      <w:r w:rsidR="0070084B">
        <w:t>T</w:t>
      </w:r>
      <w:r w:rsidRPr="00E44F3E">
        <w:t>herapy given after the main treatment option</w:t>
      </w:r>
      <w:r w:rsidR="0070084B">
        <w:t>;</w:t>
      </w:r>
      <w:r w:rsidRPr="00E44F3E">
        <w:t xml:space="preserve"> </w:t>
      </w:r>
      <w:r w:rsidR="0070084B">
        <w:t>f</w:t>
      </w:r>
      <w:r w:rsidRPr="00E44F3E">
        <w:t>or example</w:t>
      </w:r>
      <w:r w:rsidR="0070084B">
        <w:t>,</w:t>
      </w:r>
      <w:r w:rsidRPr="00E44F3E">
        <w:t xml:space="preserve"> chemotherapy administered after surgery.</w:t>
      </w:r>
    </w:p>
    <w:p w14:paraId="57D0F17D" w14:textId="07B9F33A" w:rsidR="00B206B2" w:rsidRPr="00E44F3E" w:rsidRDefault="00B206B2" w:rsidP="00E42C59">
      <w:pPr>
        <w:spacing w:before="120"/>
      </w:pPr>
      <w:r w:rsidRPr="00E44F3E">
        <w:rPr>
          <w:b/>
          <w:bCs/>
        </w:rPr>
        <w:t>Available medicines:</w:t>
      </w:r>
      <w:r w:rsidRPr="00E44F3E">
        <w:t xml:space="preserve"> Refers to publicly funded medicines. For </w:t>
      </w:r>
      <w:r w:rsidR="00E6006E">
        <w:t>Aotearoa New </w:t>
      </w:r>
      <w:r w:rsidR="00F01F5C">
        <w:t>Zealand</w:t>
      </w:r>
      <w:r w:rsidRPr="00E44F3E">
        <w:t xml:space="preserve">, this means medicines funded by Pharmac (see </w:t>
      </w:r>
      <w:r w:rsidRPr="00552CD3">
        <w:t>definition of ‘</w:t>
      </w:r>
      <w:r w:rsidRPr="0009494D">
        <w:t>Pharmac’</w:t>
      </w:r>
      <w:r w:rsidRPr="00552CD3">
        <w:t xml:space="preserve"> below</w:t>
      </w:r>
      <w:r w:rsidRPr="00E44F3E">
        <w:t>).</w:t>
      </w:r>
    </w:p>
    <w:p w14:paraId="05CD3728" w14:textId="77777777" w:rsidR="00B206B2" w:rsidRPr="00E44F3E" w:rsidRDefault="00B206B2" w:rsidP="00E42C59">
      <w:pPr>
        <w:spacing w:before="120"/>
      </w:pPr>
      <w:r w:rsidRPr="00E44F3E">
        <w:rPr>
          <w:b/>
          <w:bCs/>
        </w:rPr>
        <w:t>Blood cancers:</w:t>
      </w:r>
      <w:r w:rsidRPr="00E44F3E">
        <w:t xml:space="preserve"> Cancers of blood cells. Also known as haematological cancers or haematological malignancies. Examples include </w:t>
      </w:r>
      <w:proofErr w:type="spellStart"/>
      <w:r w:rsidRPr="00E44F3E">
        <w:t>leukaemias</w:t>
      </w:r>
      <w:proofErr w:type="spellEnd"/>
      <w:r w:rsidRPr="00E44F3E">
        <w:t>, lymphomas and multiple myeloma.</w:t>
      </w:r>
    </w:p>
    <w:p w14:paraId="2CC9BED7" w14:textId="7BE453C1" w:rsidR="00B206B2" w:rsidRPr="00E44F3E" w:rsidRDefault="00B206B2" w:rsidP="00E42C59">
      <w:pPr>
        <w:spacing w:before="120"/>
      </w:pPr>
      <w:r w:rsidRPr="00E44F3E">
        <w:rPr>
          <w:b/>
          <w:bCs/>
        </w:rPr>
        <w:t>Chemotherapy:</w:t>
      </w:r>
      <w:r w:rsidRPr="00E44F3E">
        <w:t xml:space="preserve"> A type of cancer treatment that uses medicines to destroy or slow the growth of cancer cells. It may be given alone or with other cancer treatments, such as surgery or radiotherapy. Chemotherapy can be given in a variety of ways, including taken by mouth,</w:t>
      </w:r>
      <w:r w:rsidR="00B1682D" w:rsidRPr="00E44F3E">
        <w:t xml:space="preserve"> </w:t>
      </w:r>
      <w:r w:rsidRPr="00E44F3E">
        <w:t xml:space="preserve">given via infusion or an injection. </w:t>
      </w:r>
    </w:p>
    <w:p w14:paraId="52AB189E" w14:textId="77777777" w:rsidR="00B206B2" w:rsidRPr="00E44F3E" w:rsidRDefault="00B206B2" w:rsidP="00E42C59">
      <w:pPr>
        <w:spacing w:before="120"/>
      </w:pPr>
      <w:r w:rsidRPr="00E44F3E">
        <w:rPr>
          <w:b/>
          <w:bCs/>
        </w:rPr>
        <w:t xml:space="preserve">Consolidation treatment: </w:t>
      </w:r>
      <w:r w:rsidRPr="00E44F3E">
        <w:t xml:space="preserve">Treatment that is given together with, or after, the main treatment option, with the aim of enhancing the response to treatment. </w:t>
      </w:r>
    </w:p>
    <w:p w14:paraId="08DC4F6D" w14:textId="5DE357E1" w:rsidR="00B206B2" w:rsidRPr="00E44F3E" w:rsidRDefault="00B206B2" w:rsidP="00E42C59">
      <w:pPr>
        <w:keepNext/>
        <w:spacing w:before="120"/>
      </w:pPr>
      <w:r w:rsidRPr="00E44F3E">
        <w:rPr>
          <w:b/>
          <w:bCs/>
        </w:rPr>
        <w:t xml:space="preserve">Curative intent treatment: </w:t>
      </w:r>
      <w:r w:rsidRPr="00E44F3E">
        <w:t>Treatment given with the goal of achieving complete remission and preventing the recurrence of cancer</w:t>
      </w:r>
      <w:r w:rsidR="00AC0E90">
        <w:t>.</w:t>
      </w:r>
    </w:p>
    <w:p w14:paraId="06DFBCE7" w14:textId="03B4AEFF" w:rsidR="00B206B2" w:rsidRPr="00E44F3E" w:rsidRDefault="00B206B2" w:rsidP="00E42C59">
      <w:pPr>
        <w:spacing w:before="120"/>
      </w:pPr>
      <w:r w:rsidRPr="00E44F3E">
        <w:rPr>
          <w:b/>
          <w:bCs/>
        </w:rPr>
        <w:t>Disease-free survival:</w:t>
      </w:r>
      <w:r w:rsidRPr="00E44F3E">
        <w:t xml:space="preserve"> A surrogate (or proxy) endpoint often used in clinical trials of cancer medicines. Definitions may differ from study to study, but generally this term is used to mean the length of time that a patient lives without any signs or symptoms of the cancer after the main curative treatment for their cancer has ended. Disease-free survival results are often described using the median (see </w:t>
      </w:r>
      <w:r w:rsidRPr="00552CD3">
        <w:t>definition of ‘</w:t>
      </w:r>
      <w:r w:rsidRPr="0009494D">
        <w:t>Median’</w:t>
      </w:r>
      <w:r w:rsidRPr="00552CD3">
        <w:t xml:space="preserve"> below). </w:t>
      </w:r>
      <w:r w:rsidR="006E1F5A">
        <w:t xml:space="preserve">Also </w:t>
      </w:r>
      <w:r w:rsidRPr="00552CD3">
        <w:t xml:space="preserve">known as relapse-free survival (see </w:t>
      </w:r>
      <w:r w:rsidRPr="0009494D">
        <w:t>definition</w:t>
      </w:r>
      <w:r w:rsidR="00552CD3">
        <w:t xml:space="preserve"> of ‘</w:t>
      </w:r>
      <w:r w:rsidR="00552CD3" w:rsidRPr="00552CD3">
        <w:t>Relapse-free survival</w:t>
      </w:r>
      <w:r w:rsidR="00552CD3">
        <w:t>’</w:t>
      </w:r>
      <w:r w:rsidRPr="0009494D">
        <w:t xml:space="preserve"> below</w:t>
      </w:r>
      <w:r w:rsidRPr="00552CD3">
        <w:t>).</w:t>
      </w:r>
    </w:p>
    <w:p w14:paraId="505E9527" w14:textId="45AA2595" w:rsidR="00B206B2" w:rsidRPr="00E44F3E" w:rsidRDefault="00B206B2" w:rsidP="00E42C59">
      <w:pPr>
        <w:spacing w:before="120"/>
      </w:pPr>
      <w:r w:rsidRPr="00E44F3E">
        <w:rPr>
          <w:b/>
          <w:bCs/>
        </w:rPr>
        <w:t>ESMO:</w:t>
      </w:r>
      <w:r w:rsidRPr="00E44F3E">
        <w:t xml:space="preserve"> European Society </w:t>
      </w:r>
      <w:r w:rsidR="005203EE">
        <w:t>for</w:t>
      </w:r>
      <w:r w:rsidRPr="00E44F3E">
        <w:t xml:space="preserve"> Medical Oncology; an international professional organisation for medical oncology.</w:t>
      </w:r>
    </w:p>
    <w:p w14:paraId="578CCB97" w14:textId="2B70A0C5" w:rsidR="00B206B2" w:rsidRPr="00E44F3E" w:rsidRDefault="00B206B2" w:rsidP="00E42C59">
      <w:pPr>
        <w:spacing w:before="120"/>
      </w:pPr>
      <w:r w:rsidRPr="00E44F3E">
        <w:rPr>
          <w:b/>
          <w:bCs/>
        </w:rPr>
        <w:t xml:space="preserve">ESMO-MCBS: </w:t>
      </w:r>
      <w:r w:rsidRPr="00E44F3E">
        <w:t xml:space="preserve">European Society </w:t>
      </w:r>
      <w:r w:rsidR="005203EE">
        <w:t>for</w:t>
      </w:r>
      <w:r w:rsidRPr="00E44F3E">
        <w:t xml:space="preserve"> Medical Oncology – Magnitude of Clinical Benefit Scale; a tool used to assess the magnitude of benefit of medicines for solid tumours, based on information from clinical trials.</w:t>
      </w:r>
    </w:p>
    <w:p w14:paraId="4F6B3233" w14:textId="1AD45EAA" w:rsidR="00B206B2" w:rsidRPr="00E44F3E" w:rsidRDefault="00B206B2" w:rsidP="00E42C59">
      <w:pPr>
        <w:spacing w:before="120"/>
      </w:pPr>
      <w:r w:rsidRPr="00E44F3E">
        <w:rPr>
          <w:b/>
          <w:bCs/>
        </w:rPr>
        <w:t>ESMO-MCBS:H</w:t>
      </w:r>
      <w:r w:rsidRPr="00E44F3E">
        <w:t>:</w:t>
      </w:r>
      <w:r w:rsidR="00B1682D" w:rsidRPr="00E44F3E">
        <w:t xml:space="preserve"> </w:t>
      </w:r>
      <w:r w:rsidRPr="00E44F3E">
        <w:t xml:space="preserve">European Society </w:t>
      </w:r>
      <w:r w:rsidR="005203EE">
        <w:t>for</w:t>
      </w:r>
      <w:r w:rsidRPr="00E44F3E">
        <w:t xml:space="preserve"> Medical Oncology – Magnitude of Clinical Benefit Scale for Haematological Malignancies; a tool used to assess the magnitude of benefit of medicines for blood tumours, based on information from clinical trials.</w:t>
      </w:r>
    </w:p>
    <w:p w14:paraId="4CE9E691" w14:textId="7F5573D3" w:rsidR="00B206B2" w:rsidRPr="00E44F3E" w:rsidRDefault="00B206B2" w:rsidP="00E42C59">
      <w:pPr>
        <w:spacing w:before="120"/>
      </w:pPr>
      <w:r w:rsidRPr="00E44F3E">
        <w:rPr>
          <w:b/>
          <w:bCs/>
        </w:rPr>
        <w:t>First-line therapy:</w:t>
      </w:r>
      <w:r w:rsidRPr="00E44F3E">
        <w:t xml:space="preserve"> The first method chosen to treat a particular illness or condition. For example, the first line of therapy in metastatic breast cancer may not be the first treatment the patient has received for breast cancer, but it is the first treatment they have received in the metastatic setting (see also definition </w:t>
      </w:r>
      <w:r w:rsidRPr="00AC0E90">
        <w:t>of ‘</w:t>
      </w:r>
      <w:r w:rsidRPr="0009494D">
        <w:t xml:space="preserve">Line </w:t>
      </w:r>
      <w:r w:rsidR="00995647">
        <w:t>(</w:t>
      </w:r>
      <w:r w:rsidRPr="0009494D">
        <w:t>of treatment</w:t>
      </w:r>
      <w:r w:rsidR="00995647">
        <w:t>)</w:t>
      </w:r>
      <w:r w:rsidRPr="00AC0E90">
        <w:t>’ below</w:t>
      </w:r>
      <w:r w:rsidRPr="00E44F3E">
        <w:t>).</w:t>
      </w:r>
    </w:p>
    <w:p w14:paraId="443F17CD" w14:textId="77777777" w:rsidR="00B206B2" w:rsidRPr="00E44F3E" w:rsidRDefault="00B206B2" w:rsidP="00E42C59">
      <w:pPr>
        <w:spacing w:before="120"/>
      </w:pPr>
      <w:r w:rsidRPr="00E44F3E">
        <w:rPr>
          <w:b/>
          <w:bCs/>
        </w:rPr>
        <w:t>Immunotherapy:</w:t>
      </w:r>
      <w:r w:rsidRPr="00E44F3E">
        <w:t xml:space="preserve"> A type of cancer treatment that uses medicines or other substances to activate a person’s immune system to identify and target cancer cells. There are different types of immunotherapies, including checkpoint inhibitors and monoclonal antibodies. </w:t>
      </w:r>
    </w:p>
    <w:p w14:paraId="4380E61E" w14:textId="77777777" w:rsidR="00B206B2" w:rsidRPr="00E44F3E" w:rsidRDefault="00B206B2" w:rsidP="00E42C59">
      <w:pPr>
        <w:spacing w:before="120"/>
      </w:pPr>
      <w:r w:rsidRPr="00E44F3E">
        <w:rPr>
          <w:b/>
          <w:bCs/>
        </w:rPr>
        <w:t xml:space="preserve">Incidence: </w:t>
      </w:r>
      <w:r w:rsidRPr="00E44F3E">
        <w:t>The</w:t>
      </w:r>
      <w:r w:rsidRPr="00E44F3E">
        <w:rPr>
          <w:b/>
          <w:bCs/>
        </w:rPr>
        <w:t xml:space="preserve"> </w:t>
      </w:r>
      <w:r w:rsidRPr="00E44F3E">
        <w:t xml:space="preserve">number of new cases of a condition in a population over a specified </w:t>
      </w:r>
      <w:proofErr w:type="gramStart"/>
      <w:r w:rsidRPr="00E44F3E">
        <w:t>period of time</w:t>
      </w:r>
      <w:proofErr w:type="gramEnd"/>
      <w:r w:rsidRPr="00E44F3E">
        <w:t>.</w:t>
      </w:r>
    </w:p>
    <w:p w14:paraId="4308F426" w14:textId="77777777" w:rsidR="00B206B2" w:rsidRPr="00E44F3E" w:rsidRDefault="00B206B2" w:rsidP="00E42C59">
      <w:pPr>
        <w:spacing w:before="120"/>
      </w:pPr>
      <w:r w:rsidRPr="00E44F3E">
        <w:rPr>
          <w:b/>
          <w:bCs/>
        </w:rPr>
        <w:t>Indication:</w:t>
      </w:r>
      <w:r w:rsidRPr="00E44F3E">
        <w:t xml:space="preserve"> The reason for using a particular medicine or treatment. For example, headache is one indication for paracetamol.</w:t>
      </w:r>
    </w:p>
    <w:p w14:paraId="498B3B2F" w14:textId="77777777" w:rsidR="00B206B2" w:rsidRPr="00E44F3E" w:rsidRDefault="00B206B2" w:rsidP="00E42C59">
      <w:pPr>
        <w:spacing w:before="120"/>
      </w:pPr>
      <w:r w:rsidRPr="00E44F3E">
        <w:rPr>
          <w:b/>
        </w:rPr>
        <w:t>Induction treatment</w:t>
      </w:r>
      <w:r w:rsidRPr="00E44F3E">
        <w:t xml:space="preserve">: Treatment administered at the beginning of treatment, typically before surgery. </w:t>
      </w:r>
    </w:p>
    <w:p w14:paraId="7D6A4AB2" w14:textId="55161885" w:rsidR="00B206B2" w:rsidRPr="00E44F3E" w:rsidRDefault="00B206B2" w:rsidP="00E42C59">
      <w:pPr>
        <w:keepNext/>
        <w:keepLines/>
        <w:spacing w:before="120"/>
      </w:pPr>
      <w:r w:rsidRPr="00E44F3E">
        <w:rPr>
          <w:b/>
          <w:bCs/>
        </w:rPr>
        <w:lastRenderedPageBreak/>
        <w:t>Line (of treatment):</w:t>
      </w:r>
      <w:r w:rsidRPr="00E44F3E">
        <w:t xml:space="preserve"> The term ‘line’ or ‘lines’ of treatment is used to refer to the order in which therapies are used to manage a person’s cancer. For example, chemotherapy may be used first; if the cancer progresses</w:t>
      </w:r>
      <w:r w:rsidR="00C93A65">
        <w:t>,</w:t>
      </w:r>
      <w:r w:rsidRPr="00E44F3E">
        <w:t xml:space="preserve"> a different chemotherapy or immunotherapy may be used</w:t>
      </w:r>
      <w:r w:rsidR="00C93A65">
        <w:t>, which</w:t>
      </w:r>
      <w:r w:rsidRPr="00E44F3E">
        <w:t xml:space="preserve"> would be a second</w:t>
      </w:r>
      <w:r w:rsidR="00C93A65">
        <w:t>-</w:t>
      </w:r>
      <w:r w:rsidRPr="00E44F3E">
        <w:t xml:space="preserve">line treatment. </w:t>
      </w:r>
    </w:p>
    <w:p w14:paraId="71C07996" w14:textId="77777777" w:rsidR="00B206B2" w:rsidRPr="00E44F3E" w:rsidRDefault="00B206B2" w:rsidP="00E42C59">
      <w:pPr>
        <w:spacing w:before="120"/>
      </w:pPr>
      <w:r w:rsidRPr="00E44F3E">
        <w:rPr>
          <w:b/>
          <w:bCs/>
        </w:rPr>
        <w:t xml:space="preserve">Maintenance treatment: </w:t>
      </w:r>
      <w:r w:rsidRPr="00E44F3E">
        <w:t>Treatment that is given together with, or after, the main treatment option, with the intent of lengthening the duration of, or maintaining the response to, treatment.</w:t>
      </w:r>
    </w:p>
    <w:p w14:paraId="00055121" w14:textId="77777777" w:rsidR="00B206B2" w:rsidRPr="00E44F3E" w:rsidRDefault="00B206B2" w:rsidP="00E42C59">
      <w:pPr>
        <w:spacing w:before="120"/>
      </w:pPr>
      <w:r w:rsidRPr="00E44F3E">
        <w:rPr>
          <w:b/>
          <w:bCs/>
        </w:rPr>
        <w:t xml:space="preserve">Median: </w:t>
      </w:r>
      <w:r w:rsidRPr="00E44F3E">
        <w:t>The mid-point of a range. In clinical trials of cancer medicines, the median is often used to describe the point in time at which half the people in a study population reached a specified endpoint. For example, a median overall survival timepoint is the point in time when half the people receiving a given treatment are still alive.</w:t>
      </w:r>
    </w:p>
    <w:p w14:paraId="6706062C" w14:textId="4BB78A58" w:rsidR="00B206B2" w:rsidRPr="00E44F3E" w:rsidRDefault="00B206B2" w:rsidP="00E42C59">
      <w:pPr>
        <w:spacing w:before="120"/>
      </w:pPr>
      <w:r w:rsidRPr="00E44F3E">
        <w:rPr>
          <w:b/>
          <w:bCs/>
        </w:rPr>
        <w:t xml:space="preserve">Medicine-indication pair: </w:t>
      </w:r>
      <w:r w:rsidRPr="00E44F3E">
        <w:t>A medicine linked to a specific indication. For example, paracetamol for headache is one medicine-indication pair</w:t>
      </w:r>
      <w:r w:rsidR="003012AB">
        <w:t>;</w:t>
      </w:r>
      <w:r w:rsidRPr="00E44F3E">
        <w:t xml:space="preserve"> paracetamol for fever is another medicine-indication pair.</w:t>
      </w:r>
    </w:p>
    <w:p w14:paraId="6D27C61C" w14:textId="5B433E9D" w:rsidR="00B206B2" w:rsidRPr="00E44F3E" w:rsidRDefault="00B206B2" w:rsidP="00E42C59">
      <w:pPr>
        <w:spacing w:before="120"/>
      </w:pPr>
      <w:proofErr w:type="spellStart"/>
      <w:r w:rsidRPr="00E44F3E">
        <w:rPr>
          <w:b/>
          <w:bCs/>
        </w:rPr>
        <w:t>Medsafe</w:t>
      </w:r>
      <w:proofErr w:type="spellEnd"/>
      <w:r w:rsidRPr="00E44F3E">
        <w:rPr>
          <w:b/>
          <w:bCs/>
        </w:rPr>
        <w:t xml:space="preserve">: </w:t>
      </w:r>
      <w:r w:rsidR="00D10A8F" w:rsidRPr="00F12620">
        <w:t xml:space="preserve">The </w:t>
      </w:r>
      <w:r w:rsidRPr="00E44F3E">
        <w:t>New Zealand Medicines and Medical Devices Safety Authority</w:t>
      </w:r>
      <w:r w:rsidR="00C62E21">
        <w:t xml:space="preserve"> (</w:t>
      </w:r>
      <w:proofErr w:type="spellStart"/>
      <w:r w:rsidR="00C62E21">
        <w:t>Medsafe</w:t>
      </w:r>
      <w:proofErr w:type="spellEnd"/>
      <w:r w:rsidR="00C62E21">
        <w:t>)</w:t>
      </w:r>
      <w:r w:rsidRPr="00E44F3E">
        <w:t xml:space="preserve"> is responsible for the regulatory approval of therapeutic products for use in </w:t>
      </w:r>
      <w:r w:rsidR="00E6006E">
        <w:t>Aotearoa New </w:t>
      </w:r>
      <w:r w:rsidR="00F01F5C">
        <w:t>Zealand</w:t>
      </w:r>
      <w:r w:rsidRPr="00E44F3E">
        <w:t xml:space="preserve">, based on an assessment of the efficacy and safety of those products. </w:t>
      </w:r>
      <w:proofErr w:type="spellStart"/>
      <w:r w:rsidRPr="00E44F3E">
        <w:t>Medsafe</w:t>
      </w:r>
      <w:proofErr w:type="spellEnd"/>
      <w:r w:rsidRPr="00E44F3E">
        <w:t xml:space="preserve"> approval does not guarantee public funding.</w:t>
      </w:r>
    </w:p>
    <w:p w14:paraId="29E81F1A" w14:textId="2426718A" w:rsidR="00B206B2" w:rsidRPr="00E44F3E" w:rsidRDefault="00B206B2" w:rsidP="00E42C59">
      <w:pPr>
        <w:spacing w:before="120"/>
      </w:pPr>
      <w:bookmarkStart w:id="182" w:name="_Hlk177370555"/>
      <w:r w:rsidRPr="00A83DA2">
        <w:rPr>
          <w:b/>
          <w:bCs/>
        </w:rPr>
        <w:t>Neoadjuvant therapy</w:t>
      </w:r>
      <w:bookmarkEnd w:id="182"/>
      <w:r w:rsidRPr="00A83DA2">
        <w:rPr>
          <w:b/>
          <w:bCs/>
        </w:rPr>
        <w:t>:</w:t>
      </w:r>
      <w:r w:rsidRPr="00E44F3E">
        <w:t xml:space="preserve"> </w:t>
      </w:r>
      <w:r w:rsidR="0070084B">
        <w:t>T</w:t>
      </w:r>
      <w:r w:rsidRPr="00E44F3E">
        <w:t>herapy given before the main treatment option</w:t>
      </w:r>
      <w:r w:rsidR="0070084B">
        <w:t>;</w:t>
      </w:r>
      <w:r w:rsidRPr="00E44F3E">
        <w:t xml:space="preserve"> </w:t>
      </w:r>
      <w:r w:rsidR="0070084B">
        <w:t>f</w:t>
      </w:r>
      <w:r w:rsidRPr="00E44F3E">
        <w:t>or example, chemotherapy administered before surgery.</w:t>
      </w:r>
    </w:p>
    <w:p w14:paraId="48FDF6E5" w14:textId="77777777" w:rsidR="00B206B2" w:rsidRPr="00E44F3E" w:rsidRDefault="00B206B2" w:rsidP="00E42C59">
      <w:pPr>
        <w:spacing w:before="120"/>
      </w:pPr>
      <w:r w:rsidRPr="00E44F3E">
        <w:rPr>
          <w:b/>
          <w:bCs/>
        </w:rPr>
        <w:t xml:space="preserve">Non-curative intent treatment: </w:t>
      </w:r>
      <w:r w:rsidRPr="00E44F3E">
        <w:t>Treatment that is given with the intent of prolonging life and/or improving quality of life but where a cure of the underlying cancer is unlikely to be achieved.</w:t>
      </w:r>
    </w:p>
    <w:p w14:paraId="51F58FD9" w14:textId="00B00108" w:rsidR="00B206B2" w:rsidRPr="00E44F3E" w:rsidRDefault="00B206B2" w:rsidP="00E42C59">
      <w:pPr>
        <w:spacing w:before="120"/>
      </w:pPr>
      <w:r w:rsidRPr="00E44F3E">
        <w:rPr>
          <w:b/>
          <w:bCs/>
        </w:rPr>
        <w:t xml:space="preserve">Objective response rate: </w:t>
      </w:r>
      <w:r w:rsidRPr="00E44F3E">
        <w:t>The percentage of people on a particular treatment who have a complete (</w:t>
      </w:r>
      <w:proofErr w:type="spellStart"/>
      <w:r w:rsidRPr="00E44F3E">
        <w:t>ie</w:t>
      </w:r>
      <w:proofErr w:type="spellEnd"/>
      <w:r w:rsidR="0008476D">
        <w:t>,</w:t>
      </w:r>
      <w:r w:rsidRPr="00E44F3E">
        <w:t xml:space="preserve"> all signs of cancer in the body disappear) or partial response (</w:t>
      </w:r>
      <w:proofErr w:type="spellStart"/>
      <w:r w:rsidRPr="00E44F3E">
        <w:t>ie</w:t>
      </w:r>
      <w:proofErr w:type="spellEnd"/>
      <w:r w:rsidR="00025294">
        <w:t>,</w:t>
      </w:r>
      <w:r w:rsidRPr="00E44F3E">
        <w:t xml:space="preserve"> decrease </w:t>
      </w:r>
      <w:r w:rsidR="00025294">
        <w:t xml:space="preserve">in </w:t>
      </w:r>
      <w:r w:rsidRPr="00E44F3E">
        <w:t xml:space="preserve">the size of the tumours) to treatment </w:t>
      </w:r>
      <w:proofErr w:type="gramStart"/>
      <w:r w:rsidRPr="00E44F3E">
        <w:t>in a given</w:t>
      </w:r>
      <w:proofErr w:type="gramEnd"/>
      <w:r w:rsidRPr="00E44F3E">
        <w:t xml:space="preserve"> time period.</w:t>
      </w:r>
      <w:r w:rsidR="00B1682D" w:rsidRPr="00E44F3E">
        <w:t xml:space="preserve"> </w:t>
      </w:r>
    </w:p>
    <w:p w14:paraId="065C7B12" w14:textId="6D1D66CC" w:rsidR="00FB5FF9" w:rsidRDefault="00FB5FF9" w:rsidP="00E42C59">
      <w:pPr>
        <w:spacing w:before="120"/>
        <w:rPr>
          <w:b/>
          <w:bCs/>
        </w:rPr>
      </w:pPr>
      <w:r>
        <w:rPr>
          <w:b/>
          <w:bCs/>
        </w:rPr>
        <w:t xml:space="preserve">OFI list: </w:t>
      </w:r>
      <w:r w:rsidR="0008476D" w:rsidRPr="00A83DA2">
        <w:t>Options for Investment list</w:t>
      </w:r>
      <w:r w:rsidR="00CE0F31">
        <w:t>; the</w:t>
      </w:r>
      <w:r w:rsidR="007D3097">
        <w:t xml:space="preserve"> list </w:t>
      </w:r>
      <w:r w:rsidR="00B41844" w:rsidRPr="00B41844">
        <w:t xml:space="preserve">of medicines in priority order that </w:t>
      </w:r>
      <w:r w:rsidR="007D3097">
        <w:t xml:space="preserve">Pharmac </w:t>
      </w:r>
      <w:r w:rsidR="00B41844" w:rsidRPr="00B41844">
        <w:t>would fund if/when budget is available</w:t>
      </w:r>
      <w:r w:rsidR="00236C9E">
        <w:t>.</w:t>
      </w:r>
    </w:p>
    <w:p w14:paraId="549C5DCF" w14:textId="1279FF8E" w:rsidR="00B206B2" w:rsidRPr="00E44F3E" w:rsidRDefault="00B206B2" w:rsidP="00E42C59">
      <w:pPr>
        <w:spacing w:before="120"/>
      </w:pPr>
      <w:r w:rsidRPr="00E44F3E">
        <w:rPr>
          <w:b/>
          <w:bCs/>
        </w:rPr>
        <w:t xml:space="preserve">Overall survival: </w:t>
      </w:r>
      <w:r w:rsidRPr="00E44F3E">
        <w:t xml:space="preserve">An outcome measure often used in clinical trials of cancer medicines. Definitions may differ from study to study, but in general, this is a measure of how long people live after a cancer diagnosis or from the start of treatment. Overall survival results are often described using the median (see </w:t>
      </w:r>
      <w:r w:rsidRPr="00AC0E90">
        <w:t>definition of ‘</w:t>
      </w:r>
      <w:r w:rsidRPr="00A83DA2">
        <w:t>Median</w:t>
      </w:r>
      <w:r w:rsidRPr="00AC0E90">
        <w:t>’ above</w:t>
      </w:r>
      <w:r w:rsidRPr="00E44F3E">
        <w:t>).</w:t>
      </w:r>
    </w:p>
    <w:p w14:paraId="0DC7B035" w14:textId="00C03B4A" w:rsidR="00B206B2" w:rsidRPr="00E44F3E" w:rsidRDefault="00B206B2" w:rsidP="00E42C59">
      <w:pPr>
        <w:spacing w:before="120"/>
      </w:pPr>
      <w:r w:rsidRPr="00E44F3E">
        <w:rPr>
          <w:b/>
          <w:bCs/>
        </w:rPr>
        <w:t xml:space="preserve">PBAC: </w:t>
      </w:r>
      <w:r w:rsidRPr="00E44F3E">
        <w:t xml:space="preserve">Pharmaceutical Benefits Advisory Committee; an independent statutory body in Australia responsible for recommending new medicines for funding via the PBS (see </w:t>
      </w:r>
      <w:r w:rsidRPr="00AC0E90">
        <w:t>definition of ‘</w:t>
      </w:r>
      <w:r w:rsidRPr="00A83DA2">
        <w:t>PBS</w:t>
      </w:r>
      <w:r w:rsidRPr="00AC0E90">
        <w:t>’ below</w:t>
      </w:r>
      <w:r w:rsidRPr="00E44F3E">
        <w:t>).</w:t>
      </w:r>
    </w:p>
    <w:p w14:paraId="40BFAB35" w14:textId="6D4DAB79" w:rsidR="00B206B2" w:rsidRPr="00E44F3E" w:rsidRDefault="00B206B2" w:rsidP="00E42C59">
      <w:pPr>
        <w:spacing w:before="120"/>
      </w:pPr>
      <w:r w:rsidRPr="00E44F3E">
        <w:rPr>
          <w:b/>
          <w:bCs/>
        </w:rPr>
        <w:t xml:space="preserve">PBS: </w:t>
      </w:r>
      <w:r w:rsidRPr="00E44F3E">
        <w:t xml:space="preserve">Pharmaceutical Benefits Scheme; a scheme that provides universal access to funded medicines for people living in Australia (in broad terms, Australia’s equivalent to Pharmac for </w:t>
      </w:r>
      <w:r w:rsidR="00E6006E">
        <w:t>Aotearoa New </w:t>
      </w:r>
      <w:r w:rsidR="00F01F5C">
        <w:t>Zealand</w:t>
      </w:r>
      <w:r w:rsidRPr="00E44F3E">
        <w:t>).</w:t>
      </w:r>
    </w:p>
    <w:p w14:paraId="1417F4D0" w14:textId="2E2034CE" w:rsidR="00B206B2" w:rsidRPr="00E44F3E" w:rsidRDefault="00B206B2" w:rsidP="00E42C59">
      <w:pPr>
        <w:keepNext/>
        <w:keepLines/>
        <w:spacing w:before="120"/>
      </w:pPr>
      <w:r w:rsidRPr="00E44F3E">
        <w:rPr>
          <w:b/>
          <w:bCs/>
        </w:rPr>
        <w:t>Pharmac:</w:t>
      </w:r>
      <w:r w:rsidRPr="00E44F3E">
        <w:t xml:space="preserve"> Te Pātaka Whaioranga </w:t>
      </w:r>
      <w:r w:rsidR="00B55A1C">
        <w:t>|</w:t>
      </w:r>
      <w:r w:rsidRPr="00E44F3E">
        <w:t xml:space="preserve"> Pharmaceutical Management Agency; the New Zealand government organisation responsible for approving medicines for public funding in </w:t>
      </w:r>
      <w:r w:rsidR="00E6006E">
        <w:t>Aotearoa New </w:t>
      </w:r>
      <w:r w:rsidR="00F01F5C">
        <w:t>Zealand</w:t>
      </w:r>
      <w:r w:rsidRPr="00E44F3E">
        <w:t xml:space="preserve"> based on </w:t>
      </w:r>
      <w:proofErr w:type="gramStart"/>
      <w:r w:rsidRPr="00E44F3E">
        <w:t>a number of</w:t>
      </w:r>
      <w:proofErr w:type="gramEnd"/>
      <w:r w:rsidRPr="00E44F3E">
        <w:t xml:space="preserve"> factors, including unmet need, effectiveness, value for money, budget impact and suitability for use.</w:t>
      </w:r>
    </w:p>
    <w:p w14:paraId="761779E5" w14:textId="77777777" w:rsidR="00B206B2" w:rsidRPr="00E44F3E" w:rsidRDefault="00B206B2" w:rsidP="00E42C59">
      <w:pPr>
        <w:spacing w:before="120"/>
      </w:pPr>
      <w:r w:rsidRPr="00E44F3E">
        <w:rPr>
          <w:b/>
        </w:rPr>
        <w:t xml:space="preserve">Prevalence: </w:t>
      </w:r>
      <w:r w:rsidRPr="00E44F3E">
        <w:t>The number of people with a disease or condition in a population at a given point in time.</w:t>
      </w:r>
    </w:p>
    <w:p w14:paraId="7DAC3814" w14:textId="493FE958" w:rsidR="00B206B2" w:rsidRPr="00E44F3E" w:rsidRDefault="00B206B2" w:rsidP="00E42C59">
      <w:pPr>
        <w:spacing w:before="120"/>
      </w:pPr>
      <w:r w:rsidRPr="00E44F3E">
        <w:rPr>
          <w:b/>
          <w:bCs/>
        </w:rPr>
        <w:t xml:space="preserve">Progression-free survival: </w:t>
      </w:r>
      <w:r w:rsidRPr="00E44F3E">
        <w:t xml:space="preserve">A surrogate (or proxy) endpoint often used in clinical trials of cancer medicines. Definitions may differ from study to study, but in general, this is the </w:t>
      </w:r>
      <w:r w:rsidRPr="00E44F3E">
        <w:lastRenderedPageBreak/>
        <w:t xml:space="preserve">time from allocation of treatment to either cancer progression or death from any cause. Progression-free survival results are often described using the median (see definition of </w:t>
      </w:r>
      <w:r w:rsidRPr="00C75FDB">
        <w:t>‘</w:t>
      </w:r>
      <w:r w:rsidRPr="001A1BE8">
        <w:t>Median</w:t>
      </w:r>
      <w:r w:rsidRPr="00C75FDB">
        <w:t>’</w:t>
      </w:r>
      <w:r w:rsidRPr="00E44F3E">
        <w:t xml:space="preserve"> above).</w:t>
      </w:r>
    </w:p>
    <w:p w14:paraId="52F05B10" w14:textId="77777777" w:rsidR="00B206B2" w:rsidRPr="00E44F3E" w:rsidRDefault="00B206B2" w:rsidP="00E42C59">
      <w:pPr>
        <w:spacing w:before="120"/>
      </w:pPr>
      <w:r w:rsidRPr="00E44F3E">
        <w:rPr>
          <w:b/>
          <w:bCs/>
        </w:rPr>
        <w:t xml:space="preserve">Quality of life: </w:t>
      </w:r>
      <w:r w:rsidRPr="00E44F3E">
        <w:t xml:space="preserve">The degree to which a person feels healthy, </w:t>
      </w:r>
      <w:proofErr w:type="gramStart"/>
      <w:r w:rsidRPr="00E44F3E">
        <w:t>comfortable</w:t>
      </w:r>
      <w:proofErr w:type="gramEnd"/>
      <w:r w:rsidRPr="00E44F3E">
        <w:t xml:space="preserve"> and able to participate in or enjoy life events. This can mean different things to different people and can be heavily influenced by things such as a person’s culture and value systems. In clinical trials of cancer medicines, changes in quality of life may be reported using a variety of methods.</w:t>
      </w:r>
    </w:p>
    <w:p w14:paraId="69E26221" w14:textId="77777777" w:rsidR="00B206B2" w:rsidRPr="00E44F3E" w:rsidRDefault="00B206B2" w:rsidP="00E42C59">
      <w:pPr>
        <w:spacing w:before="120"/>
      </w:pPr>
      <w:r w:rsidRPr="00E44F3E">
        <w:rPr>
          <w:b/>
          <w:bCs/>
        </w:rPr>
        <w:t>Radiotherapy:</w:t>
      </w:r>
      <w:r w:rsidRPr="00E44F3E">
        <w:t xml:space="preserve"> A type of cancer treatment that uses high-dose radiation to destroy or damage cancer cells. It can be used to cure cancer (curative radiotherapy), with other treatments to make treatment more effective (neoadjuvant or adjuvant radiotherapy), or to relieve symptoms (palliative radiotherapy). Also called radiation therapy.</w:t>
      </w:r>
    </w:p>
    <w:p w14:paraId="2CDB8CB7" w14:textId="5EACC18F" w:rsidR="00B206B2" w:rsidRPr="00E44F3E" w:rsidRDefault="00B206B2" w:rsidP="00E42C59">
      <w:pPr>
        <w:spacing w:before="120"/>
      </w:pPr>
      <w:r w:rsidRPr="00E44F3E">
        <w:rPr>
          <w:b/>
          <w:bCs/>
        </w:rPr>
        <w:t xml:space="preserve">Regimen-indication pair: </w:t>
      </w:r>
      <w:r w:rsidRPr="00E44F3E">
        <w:t>Medicines that must be used in combination for a specific indication, for example, fludarabine, cyclophosphamide and rituximab are used in combination for chronic lymphocytic leukaemia. This would be one regimen-indication pair.</w:t>
      </w:r>
    </w:p>
    <w:p w14:paraId="7DB22490" w14:textId="1BDC159B" w:rsidR="00B206B2" w:rsidRPr="00E44F3E" w:rsidRDefault="00B206B2" w:rsidP="00E42C59">
      <w:pPr>
        <w:spacing w:before="120"/>
      </w:pPr>
      <w:r w:rsidRPr="00E44F3E">
        <w:rPr>
          <w:b/>
          <w:bCs/>
        </w:rPr>
        <w:t>Regulatory agency:</w:t>
      </w:r>
      <w:r w:rsidRPr="00E44F3E">
        <w:t xml:space="preserve"> A government organisation responsible for approving a medicine for use, based on a balance of benefit and risk. For example, </w:t>
      </w:r>
      <w:proofErr w:type="spellStart"/>
      <w:r w:rsidRPr="00E44F3E">
        <w:t>Medsafe</w:t>
      </w:r>
      <w:proofErr w:type="spellEnd"/>
      <w:r w:rsidRPr="00E44F3E">
        <w:t xml:space="preserve"> is the regulatory agency in </w:t>
      </w:r>
      <w:r w:rsidR="00E6006E">
        <w:t>Aotearoa New </w:t>
      </w:r>
      <w:r w:rsidR="00F01F5C">
        <w:t>Zealand</w:t>
      </w:r>
      <w:r w:rsidRPr="00E44F3E">
        <w:t>.</w:t>
      </w:r>
    </w:p>
    <w:p w14:paraId="3631B195" w14:textId="1604795D" w:rsidR="00B206B2" w:rsidRPr="00B55A1C" w:rsidRDefault="00B206B2" w:rsidP="00E42C59">
      <w:pPr>
        <w:spacing w:before="120"/>
      </w:pPr>
      <w:r w:rsidRPr="00E44F3E">
        <w:rPr>
          <w:b/>
          <w:bCs/>
        </w:rPr>
        <w:t>Relapse-free survival:</w:t>
      </w:r>
      <w:r w:rsidRPr="00E44F3E">
        <w:t xml:space="preserve"> A surrogate (or proxy) endpoint sometimes used in clinical trials of cancer medicines. Definitions may differ from study to study, but in general, this term is used to mean the length of time that a patient survives without any signs or symptoms of cancer, after the main curative treatment for their cancer has ended. </w:t>
      </w:r>
      <w:r w:rsidR="006E1F5A">
        <w:t xml:space="preserve">Also </w:t>
      </w:r>
      <w:r w:rsidRPr="00E44F3E">
        <w:t>known as disease-free survival (</w:t>
      </w:r>
      <w:r w:rsidRPr="00B55A1C">
        <w:t xml:space="preserve">see </w:t>
      </w:r>
      <w:r w:rsidRPr="001A1BE8">
        <w:t xml:space="preserve">definition </w:t>
      </w:r>
      <w:r w:rsidR="00B55A1C">
        <w:t>of ‘</w:t>
      </w:r>
      <w:r w:rsidR="00B55A1C" w:rsidRPr="00B55A1C">
        <w:t>Disease-free survival</w:t>
      </w:r>
      <w:r w:rsidR="00B55A1C">
        <w:t>’</w:t>
      </w:r>
      <w:r w:rsidR="00B55A1C" w:rsidRPr="00B55A1C">
        <w:t xml:space="preserve"> </w:t>
      </w:r>
      <w:r w:rsidRPr="001A1BE8">
        <w:t>above</w:t>
      </w:r>
      <w:r w:rsidRPr="00B55A1C">
        <w:t>).</w:t>
      </w:r>
    </w:p>
    <w:p w14:paraId="2B7671FA" w14:textId="44B09111" w:rsidR="00B206B2" w:rsidRPr="00E44F3E" w:rsidRDefault="00B206B2" w:rsidP="00E42C59">
      <w:pPr>
        <w:spacing w:before="120"/>
      </w:pPr>
      <w:r w:rsidRPr="00E44F3E">
        <w:rPr>
          <w:b/>
          <w:bCs/>
        </w:rPr>
        <w:t>Schedule:</w:t>
      </w:r>
      <w:r w:rsidRPr="00E44F3E">
        <w:t xml:space="preserve"> In medicines funding, a list of medicines that are available, under specific conditions and at specific prices. For example, in </w:t>
      </w:r>
      <w:r w:rsidR="00E6006E">
        <w:t>Aotearoa New </w:t>
      </w:r>
      <w:r w:rsidR="00F01F5C">
        <w:t>Zealand</w:t>
      </w:r>
      <w:r w:rsidRPr="00E44F3E">
        <w:t xml:space="preserve">, the list of medicines available via public funding is </w:t>
      </w:r>
      <w:proofErr w:type="spellStart"/>
      <w:r w:rsidRPr="00E44F3E">
        <w:t>Pharmac’s</w:t>
      </w:r>
      <w:proofErr w:type="spellEnd"/>
      <w:r w:rsidRPr="00E44F3E">
        <w:t xml:space="preserve"> Pharmaceutical Schedule. The comparable list in Australia is the PBS Schedule.</w:t>
      </w:r>
    </w:p>
    <w:p w14:paraId="79FF5D48" w14:textId="050340A3" w:rsidR="00B206B2" w:rsidRPr="00E44F3E" w:rsidRDefault="00B206B2" w:rsidP="00E42C59">
      <w:pPr>
        <w:keepNext/>
        <w:keepLines/>
        <w:spacing w:before="120"/>
      </w:pPr>
      <w:r w:rsidRPr="00E44F3E">
        <w:rPr>
          <w:b/>
          <w:bCs/>
        </w:rPr>
        <w:t xml:space="preserve">Second-line </w:t>
      </w:r>
      <w:r w:rsidR="00B333A8">
        <w:rPr>
          <w:b/>
          <w:bCs/>
        </w:rPr>
        <w:t>treatment</w:t>
      </w:r>
      <w:r w:rsidRPr="00E44F3E">
        <w:rPr>
          <w:b/>
          <w:bCs/>
        </w:rPr>
        <w:t xml:space="preserve">: </w:t>
      </w:r>
      <w:r w:rsidRPr="00E44F3E">
        <w:t xml:space="preserve">The second therapy given in a particular treatment setting, after the first-line treatment was shown to be ineffective or has stopped working. </w:t>
      </w:r>
    </w:p>
    <w:p w14:paraId="54AA8EB6" w14:textId="77777777" w:rsidR="00B206B2" w:rsidRPr="00E44F3E" w:rsidRDefault="00B206B2" w:rsidP="00E42C59">
      <w:pPr>
        <w:spacing w:before="120"/>
      </w:pPr>
      <w:r w:rsidRPr="00E44F3E">
        <w:rPr>
          <w:b/>
          <w:bCs/>
        </w:rPr>
        <w:t>Solid tumours:</w:t>
      </w:r>
      <w:r w:rsidRPr="00E44F3E">
        <w:t xml:space="preserve"> Cancers that occur in cells or parts of the body outside of the blood system (</w:t>
      </w:r>
      <w:proofErr w:type="spellStart"/>
      <w:r w:rsidRPr="00E44F3E">
        <w:t>ie</w:t>
      </w:r>
      <w:proofErr w:type="spellEnd"/>
      <w:r w:rsidRPr="00E44F3E">
        <w:t xml:space="preserve">, cancers that are not blood cancers). Examples include lung, breast, </w:t>
      </w:r>
      <w:proofErr w:type="gramStart"/>
      <w:r w:rsidRPr="00E44F3E">
        <w:t>bowel</w:t>
      </w:r>
      <w:proofErr w:type="gramEnd"/>
      <w:r w:rsidRPr="00E44F3E">
        <w:t xml:space="preserve"> and skin cancer.</w:t>
      </w:r>
    </w:p>
    <w:p w14:paraId="2E31CA30" w14:textId="77777777" w:rsidR="00B206B2" w:rsidRPr="00E44F3E" w:rsidRDefault="00B206B2" w:rsidP="00E42C59">
      <w:pPr>
        <w:spacing w:before="120"/>
      </w:pPr>
      <w:r w:rsidRPr="00E44F3E">
        <w:rPr>
          <w:b/>
          <w:bCs/>
        </w:rPr>
        <w:t>Targeted therapy/treatment:</w:t>
      </w:r>
      <w:r w:rsidRPr="00E44F3E">
        <w:t xml:space="preserve"> A type of cancer treatment that targets specific molecules displayed on cancer cells without affecting normal cells.</w:t>
      </w:r>
    </w:p>
    <w:p w14:paraId="472666C2" w14:textId="44BA206D" w:rsidR="00B206B2" w:rsidRPr="00E44F3E" w:rsidRDefault="00B206B2" w:rsidP="00E42C59">
      <w:pPr>
        <w:spacing w:before="120"/>
      </w:pPr>
      <w:r w:rsidRPr="00E44F3E">
        <w:rPr>
          <w:b/>
          <w:bCs/>
        </w:rPr>
        <w:t>TGA:</w:t>
      </w:r>
      <w:r w:rsidRPr="00E44F3E">
        <w:t xml:space="preserve"> Therapeutic Goods Administration; the agency responsible for the regulatory approval of medicines in Australia. The Australian equivalent of </w:t>
      </w:r>
      <w:proofErr w:type="spellStart"/>
      <w:r w:rsidRPr="00E44F3E">
        <w:t>Med</w:t>
      </w:r>
      <w:r w:rsidR="00300C9A">
        <w:t>s</w:t>
      </w:r>
      <w:r w:rsidRPr="00E44F3E">
        <w:t>afe</w:t>
      </w:r>
      <w:proofErr w:type="spellEnd"/>
      <w:r w:rsidRPr="00E44F3E">
        <w:t>.</w:t>
      </w:r>
    </w:p>
    <w:p w14:paraId="2740F9B8" w14:textId="77777777" w:rsidR="00B206B2" w:rsidRPr="00E44F3E" w:rsidRDefault="00B206B2" w:rsidP="00B206B2"/>
    <w:p w14:paraId="05E2945A" w14:textId="337ADAFA" w:rsidR="00B206B2" w:rsidRPr="00E44F3E" w:rsidRDefault="00B206B2" w:rsidP="008C1907">
      <w:pPr>
        <w:pStyle w:val="Heading2"/>
        <w:pageBreakBefore/>
      </w:pPr>
      <w:bookmarkStart w:id="183" w:name="Disease_free_survival"/>
      <w:bookmarkStart w:id="184" w:name="Line_of_treatment"/>
      <w:bookmarkStart w:id="185" w:name="Median"/>
      <w:bookmarkStart w:id="186" w:name="PBS"/>
      <w:bookmarkStart w:id="187" w:name="Pharmac"/>
      <w:bookmarkStart w:id="188" w:name="Relapse_free_survival"/>
      <w:bookmarkStart w:id="189" w:name="App3"/>
      <w:bookmarkStart w:id="190" w:name="_Toc100739056"/>
      <w:bookmarkStart w:id="191" w:name="_Ref168422509"/>
      <w:bookmarkStart w:id="192" w:name="_Ref168422519"/>
      <w:bookmarkStart w:id="193" w:name="_Toc175229016"/>
      <w:bookmarkStart w:id="194" w:name="_Toc180062129"/>
      <w:bookmarkEnd w:id="183"/>
      <w:bookmarkEnd w:id="184"/>
      <w:bookmarkEnd w:id="185"/>
      <w:bookmarkEnd w:id="186"/>
      <w:bookmarkEnd w:id="187"/>
      <w:bookmarkEnd w:id="188"/>
      <w:r w:rsidRPr="00E44F3E">
        <w:lastRenderedPageBreak/>
        <w:t>Appendix 3</w:t>
      </w:r>
      <w:bookmarkEnd w:id="189"/>
      <w:r w:rsidRPr="00E44F3E">
        <w:t xml:space="preserve">: Blood cancer medicines publicly funded in both </w:t>
      </w:r>
      <w:bookmarkEnd w:id="190"/>
      <w:r w:rsidR="00E6006E">
        <w:t>Aotearoa New </w:t>
      </w:r>
      <w:r w:rsidR="00F01F5C">
        <w:t>Zealand</w:t>
      </w:r>
      <w:r w:rsidRPr="00E44F3E">
        <w:t xml:space="preserve"> and Australia</w:t>
      </w:r>
      <w:bookmarkEnd w:id="191"/>
      <w:bookmarkEnd w:id="192"/>
      <w:bookmarkEnd w:id="193"/>
      <w:bookmarkEnd w:id="194"/>
    </w:p>
    <w:p w14:paraId="6061E590" w14:textId="662355BE" w:rsidR="00B206B2" w:rsidRPr="00E44F3E" w:rsidRDefault="00B206B2" w:rsidP="008C1907">
      <w:r w:rsidRPr="00E44F3E">
        <w:t xml:space="preserve">This appendix provides results from the comparison of publicly funded blood cancer medicines in </w:t>
      </w:r>
      <w:r w:rsidR="00E6006E">
        <w:t>Aotearoa New </w:t>
      </w:r>
      <w:r w:rsidR="00F01F5C">
        <w:t>Zealand</w:t>
      </w:r>
      <w:r w:rsidRPr="00E44F3E">
        <w:t xml:space="preserve"> through Pharmac with those publicly funded in Australia through the Australian PBS </w:t>
      </w:r>
      <w:r w:rsidR="00CC1FD3">
        <w:t>Schedule</w:t>
      </w:r>
      <w:r w:rsidRPr="00E44F3E">
        <w:t>, specifically for medicines funded in both jurisdictions (</w:t>
      </w:r>
      <w:r w:rsidR="009C64E3" w:rsidRPr="00E44F3E">
        <w:rPr>
          <w:rStyle w:val="Hyperlink"/>
        </w:rPr>
        <w:fldChar w:fldCharType="begin"/>
      </w:r>
      <w:r w:rsidR="009C64E3" w:rsidRPr="00E44F3E">
        <w:rPr>
          <w:rStyle w:val="Hyperlink"/>
        </w:rPr>
        <w:instrText xml:space="preserve"> REF _Ref176264520 \h </w:instrText>
      </w:r>
      <w:r w:rsidR="009C64E3" w:rsidRPr="00E44F3E">
        <w:rPr>
          <w:rStyle w:val="Hyperlink"/>
        </w:rPr>
      </w:r>
      <w:r w:rsidR="009C64E3" w:rsidRPr="00E44F3E">
        <w:rPr>
          <w:rStyle w:val="Hyperlink"/>
        </w:rPr>
        <w:fldChar w:fldCharType="separate"/>
      </w:r>
      <w:r w:rsidR="004A6DF6" w:rsidRPr="00E44F3E">
        <w:t xml:space="preserve">Table </w:t>
      </w:r>
      <w:r w:rsidR="004A6DF6">
        <w:rPr>
          <w:noProof/>
        </w:rPr>
        <w:t>9</w:t>
      </w:r>
      <w:r w:rsidR="009C64E3" w:rsidRPr="00E44F3E">
        <w:rPr>
          <w:rStyle w:val="Hyperlink"/>
        </w:rPr>
        <w:fldChar w:fldCharType="end"/>
      </w:r>
      <w:r w:rsidRPr="00E44F3E">
        <w:t>).</w:t>
      </w:r>
    </w:p>
    <w:p w14:paraId="26B09DDF" w14:textId="77777777" w:rsidR="00B206B2" w:rsidRPr="00E44F3E" w:rsidRDefault="00B206B2" w:rsidP="00E83BB9"/>
    <w:p w14:paraId="60A53306" w14:textId="0A0FDF47" w:rsidR="00B206B2" w:rsidRPr="00E44F3E" w:rsidRDefault="009C64E3" w:rsidP="009C64E3">
      <w:pPr>
        <w:pStyle w:val="Table"/>
      </w:pPr>
      <w:bookmarkStart w:id="195" w:name="_Ref176264520"/>
      <w:bookmarkStart w:id="196" w:name="_Toc175241600"/>
      <w:bookmarkStart w:id="197" w:name="_Toc180142295"/>
      <w:bookmarkStart w:id="198" w:name="Appendix_3_Table_3point1"/>
      <w:r w:rsidRPr="00E44F3E">
        <w:t xml:space="preserve">Table </w:t>
      </w:r>
      <w:r w:rsidR="00D97615">
        <w:fldChar w:fldCharType="begin"/>
      </w:r>
      <w:r w:rsidR="00D97615">
        <w:instrText xml:space="preserve"> SEQ Table \* ARABIC </w:instrText>
      </w:r>
      <w:r w:rsidR="00D97615">
        <w:fldChar w:fldCharType="separate"/>
      </w:r>
      <w:r w:rsidR="004A6DF6">
        <w:rPr>
          <w:noProof/>
        </w:rPr>
        <w:t>9</w:t>
      </w:r>
      <w:r w:rsidR="00D97615">
        <w:rPr>
          <w:noProof/>
        </w:rPr>
        <w:fldChar w:fldCharType="end"/>
      </w:r>
      <w:bookmarkEnd w:id="195"/>
      <w:r w:rsidRPr="00E44F3E">
        <w:t xml:space="preserve">: </w:t>
      </w:r>
      <w:r w:rsidR="00B206B2" w:rsidRPr="00E44F3E">
        <w:t xml:space="preserve">Blood cancer medicines funded in both </w:t>
      </w:r>
      <w:r w:rsidR="00E6006E">
        <w:t>Aotearoa New </w:t>
      </w:r>
      <w:r w:rsidR="00F01F5C">
        <w:t>Zealand</w:t>
      </w:r>
      <w:r w:rsidR="00B206B2" w:rsidRPr="00E44F3E">
        <w:t xml:space="preserve"> and Australia</w:t>
      </w:r>
      <w:bookmarkEnd w:id="196"/>
      <w:bookmarkEnd w:id="197"/>
    </w:p>
    <w:tbl>
      <w:tblPr>
        <w:tblW w:w="5000" w:type="pct"/>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66"/>
        <w:gridCol w:w="3503"/>
        <w:gridCol w:w="677"/>
        <w:gridCol w:w="679"/>
        <w:gridCol w:w="677"/>
        <w:gridCol w:w="677"/>
      </w:tblGrid>
      <w:tr w:rsidR="00B206B2" w:rsidRPr="00E44F3E" w14:paraId="40BB8F52" w14:textId="77777777" w:rsidTr="00E62BC7">
        <w:trPr>
          <w:cantSplit/>
          <w:trHeight w:val="357"/>
          <w:tblHeader/>
        </w:trPr>
        <w:tc>
          <w:tcPr>
            <w:tcW w:w="1155" w:type="pct"/>
            <w:tcBorders>
              <w:top w:val="nil"/>
              <w:bottom w:val="nil"/>
            </w:tcBorders>
            <w:shd w:val="clear" w:color="auto" w:fill="auto"/>
          </w:tcPr>
          <w:p w14:paraId="3CA3642B" w14:textId="77777777" w:rsidR="00B206B2" w:rsidRPr="00E44F3E" w:rsidRDefault="00B206B2" w:rsidP="00DD6F49">
            <w:pPr>
              <w:pStyle w:val="TableText"/>
              <w:spacing w:line="240" w:lineRule="auto"/>
              <w:rPr>
                <w:b/>
              </w:rPr>
            </w:pPr>
          </w:p>
        </w:tc>
        <w:tc>
          <w:tcPr>
            <w:tcW w:w="2168" w:type="pct"/>
            <w:tcBorders>
              <w:top w:val="nil"/>
              <w:bottom w:val="nil"/>
            </w:tcBorders>
            <w:shd w:val="clear" w:color="auto" w:fill="auto"/>
          </w:tcPr>
          <w:p w14:paraId="63468A2E" w14:textId="77777777" w:rsidR="00B206B2" w:rsidRPr="00E44F3E" w:rsidRDefault="00B206B2" w:rsidP="00DD6F49">
            <w:pPr>
              <w:pStyle w:val="TableText"/>
              <w:spacing w:line="240" w:lineRule="auto"/>
              <w:rPr>
                <w:b/>
              </w:rPr>
            </w:pPr>
          </w:p>
        </w:tc>
        <w:tc>
          <w:tcPr>
            <w:tcW w:w="839" w:type="pct"/>
            <w:gridSpan w:val="2"/>
            <w:tcBorders>
              <w:top w:val="nil"/>
              <w:bottom w:val="nil"/>
            </w:tcBorders>
            <w:shd w:val="clear" w:color="auto" w:fill="FFF7ED"/>
            <w:vAlign w:val="center"/>
          </w:tcPr>
          <w:p w14:paraId="242FE845" w14:textId="77777777" w:rsidR="00B206B2" w:rsidRPr="00E44F3E" w:rsidRDefault="00B206B2" w:rsidP="00DD6F49">
            <w:pPr>
              <w:pStyle w:val="TableText"/>
              <w:spacing w:line="240" w:lineRule="auto"/>
              <w:jc w:val="center"/>
              <w:rPr>
                <w:b/>
                <w:bCs/>
                <w:lang w:eastAsia="en-NZ"/>
              </w:rPr>
            </w:pPr>
            <w:r w:rsidRPr="00E44F3E">
              <w:rPr>
                <w:b/>
                <w:bCs/>
                <w:lang w:eastAsia="en-NZ"/>
              </w:rPr>
              <w:t xml:space="preserve">Australia </w:t>
            </w:r>
          </w:p>
        </w:tc>
        <w:tc>
          <w:tcPr>
            <w:tcW w:w="839" w:type="pct"/>
            <w:gridSpan w:val="2"/>
            <w:tcBorders>
              <w:top w:val="nil"/>
              <w:bottom w:val="nil"/>
            </w:tcBorders>
            <w:shd w:val="clear" w:color="auto" w:fill="C2D9BA"/>
            <w:vAlign w:val="center"/>
          </w:tcPr>
          <w:p w14:paraId="5CEE6593" w14:textId="4C3B6794" w:rsidR="00B206B2" w:rsidRPr="00E44F3E" w:rsidRDefault="00E6006E" w:rsidP="00DD6F49">
            <w:pPr>
              <w:pStyle w:val="TableText"/>
              <w:spacing w:line="240" w:lineRule="auto"/>
              <w:jc w:val="center"/>
              <w:rPr>
                <w:b/>
                <w:bCs/>
                <w:lang w:eastAsia="en-NZ"/>
              </w:rPr>
            </w:pPr>
            <w:r>
              <w:rPr>
                <w:b/>
                <w:bCs/>
              </w:rPr>
              <w:t>Aotearoa New </w:t>
            </w:r>
            <w:r w:rsidR="00F01F5C">
              <w:rPr>
                <w:b/>
                <w:bCs/>
              </w:rPr>
              <w:t>Zealand</w:t>
            </w:r>
          </w:p>
        </w:tc>
      </w:tr>
      <w:tr w:rsidR="00B206B2" w:rsidRPr="00E44F3E" w14:paraId="3652A53B" w14:textId="77777777" w:rsidTr="00E62BC7">
        <w:trPr>
          <w:cantSplit/>
          <w:trHeight w:val="1632"/>
          <w:tblHeader/>
        </w:trPr>
        <w:tc>
          <w:tcPr>
            <w:tcW w:w="1155" w:type="pct"/>
            <w:tcBorders>
              <w:top w:val="nil"/>
              <w:bottom w:val="nil"/>
            </w:tcBorders>
            <w:shd w:val="clear" w:color="auto" w:fill="C2D9BA"/>
            <w:vAlign w:val="bottom"/>
          </w:tcPr>
          <w:p w14:paraId="76760B3C" w14:textId="77777777" w:rsidR="00B206B2" w:rsidRPr="00E44F3E" w:rsidRDefault="00B206B2" w:rsidP="00DD6F49">
            <w:pPr>
              <w:pStyle w:val="TableText"/>
              <w:spacing w:line="240" w:lineRule="auto"/>
              <w:rPr>
                <w:b/>
              </w:rPr>
            </w:pPr>
            <w:r w:rsidRPr="00E44F3E">
              <w:rPr>
                <w:b/>
              </w:rPr>
              <w:t>Medicine</w:t>
            </w:r>
          </w:p>
        </w:tc>
        <w:tc>
          <w:tcPr>
            <w:tcW w:w="2168" w:type="pct"/>
            <w:tcBorders>
              <w:top w:val="nil"/>
              <w:bottom w:val="nil"/>
            </w:tcBorders>
            <w:shd w:val="clear" w:color="auto" w:fill="C2D9BA"/>
            <w:vAlign w:val="bottom"/>
          </w:tcPr>
          <w:p w14:paraId="299A03D2" w14:textId="1E016652" w:rsidR="00B206B2" w:rsidRPr="00E44F3E" w:rsidRDefault="00B206B2" w:rsidP="00DD6F49">
            <w:pPr>
              <w:pStyle w:val="TableText"/>
              <w:spacing w:line="240" w:lineRule="auto"/>
              <w:rPr>
                <w:b/>
              </w:rPr>
            </w:pPr>
            <w:r w:rsidRPr="00E44F3E">
              <w:rPr>
                <w:b/>
              </w:rPr>
              <w:t>Indication</w:t>
            </w:r>
            <w:r w:rsidR="00A163A7" w:rsidRPr="00E44F3E">
              <w:t>*</w:t>
            </w:r>
          </w:p>
        </w:tc>
        <w:tc>
          <w:tcPr>
            <w:tcW w:w="419" w:type="pct"/>
            <w:tcBorders>
              <w:top w:val="nil"/>
              <w:bottom w:val="nil"/>
            </w:tcBorders>
            <w:shd w:val="clear" w:color="auto" w:fill="FFF7ED"/>
            <w:textDirection w:val="btLr"/>
            <w:vAlign w:val="center"/>
          </w:tcPr>
          <w:p w14:paraId="14914F0E" w14:textId="77777777" w:rsidR="00B206B2" w:rsidRPr="00E44F3E" w:rsidRDefault="00B206B2" w:rsidP="00DD6F49">
            <w:pPr>
              <w:pStyle w:val="TableText"/>
              <w:spacing w:line="240" w:lineRule="auto"/>
              <w:ind w:left="113" w:right="113"/>
              <w:jc w:val="center"/>
            </w:pPr>
            <w:r w:rsidRPr="00E44F3E">
              <w:rPr>
                <w:lang w:eastAsia="en-NZ"/>
              </w:rPr>
              <w:t xml:space="preserve">Funded </w:t>
            </w:r>
            <w:r w:rsidRPr="00E44F3E">
              <w:rPr>
                <w:b/>
                <w:bCs/>
                <w:lang w:eastAsia="en-NZ"/>
              </w:rPr>
              <w:t>without</w:t>
            </w:r>
            <w:r w:rsidRPr="00E44F3E">
              <w:rPr>
                <w:lang w:eastAsia="en-NZ"/>
              </w:rPr>
              <w:t xml:space="preserve"> restriction</w:t>
            </w:r>
          </w:p>
        </w:tc>
        <w:tc>
          <w:tcPr>
            <w:tcW w:w="420" w:type="pct"/>
            <w:tcBorders>
              <w:top w:val="nil"/>
              <w:bottom w:val="nil"/>
            </w:tcBorders>
            <w:shd w:val="clear" w:color="auto" w:fill="FFF7ED"/>
            <w:textDirection w:val="btLr"/>
            <w:vAlign w:val="center"/>
          </w:tcPr>
          <w:p w14:paraId="259295AB" w14:textId="77777777" w:rsidR="00B206B2" w:rsidRPr="00E44F3E" w:rsidRDefault="00B206B2" w:rsidP="00DD6F49">
            <w:pPr>
              <w:pStyle w:val="TableText"/>
              <w:spacing w:line="240" w:lineRule="auto"/>
              <w:ind w:left="113" w:right="113"/>
              <w:jc w:val="center"/>
            </w:pPr>
            <w:r w:rsidRPr="00E44F3E">
              <w:rPr>
                <w:lang w:eastAsia="en-NZ"/>
              </w:rPr>
              <w:t xml:space="preserve">Funded </w:t>
            </w:r>
            <w:r w:rsidRPr="00E44F3E">
              <w:rPr>
                <w:b/>
                <w:bCs/>
                <w:lang w:eastAsia="en-NZ"/>
              </w:rPr>
              <w:t>with</w:t>
            </w:r>
            <w:r w:rsidRPr="00E44F3E">
              <w:rPr>
                <w:lang w:eastAsia="en-NZ"/>
              </w:rPr>
              <w:t xml:space="preserve"> restriction</w:t>
            </w:r>
          </w:p>
        </w:tc>
        <w:tc>
          <w:tcPr>
            <w:tcW w:w="419" w:type="pct"/>
            <w:tcBorders>
              <w:top w:val="nil"/>
              <w:bottom w:val="nil"/>
            </w:tcBorders>
            <w:shd w:val="clear" w:color="auto" w:fill="C2D9BA"/>
            <w:textDirection w:val="btLr"/>
            <w:vAlign w:val="center"/>
          </w:tcPr>
          <w:p w14:paraId="038482D6" w14:textId="77777777" w:rsidR="00B206B2" w:rsidRPr="00E44F3E" w:rsidRDefault="00B206B2" w:rsidP="00DD6F49">
            <w:pPr>
              <w:pStyle w:val="TableText"/>
              <w:spacing w:line="240" w:lineRule="auto"/>
              <w:ind w:left="113" w:right="113"/>
              <w:jc w:val="center"/>
            </w:pPr>
            <w:r w:rsidRPr="00E44F3E">
              <w:rPr>
                <w:lang w:eastAsia="en-NZ"/>
              </w:rPr>
              <w:t xml:space="preserve">Funded </w:t>
            </w:r>
            <w:r w:rsidRPr="00E44F3E">
              <w:rPr>
                <w:b/>
                <w:bCs/>
                <w:lang w:eastAsia="en-NZ"/>
              </w:rPr>
              <w:t>without</w:t>
            </w:r>
            <w:r w:rsidRPr="00E44F3E">
              <w:rPr>
                <w:lang w:eastAsia="en-NZ"/>
              </w:rPr>
              <w:t xml:space="preserve"> restriction</w:t>
            </w:r>
          </w:p>
        </w:tc>
        <w:tc>
          <w:tcPr>
            <w:tcW w:w="419" w:type="pct"/>
            <w:tcBorders>
              <w:top w:val="nil"/>
              <w:bottom w:val="nil"/>
            </w:tcBorders>
            <w:shd w:val="clear" w:color="auto" w:fill="C2D9BA"/>
            <w:textDirection w:val="btLr"/>
            <w:vAlign w:val="center"/>
          </w:tcPr>
          <w:p w14:paraId="0D9C0AAF" w14:textId="77777777" w:rsidR="00B206B2" w:rsidRPr="00E44F3E" w:rsidRDefault="00B206B2" w:rsidP="00DD6F49">
            <w:pPr>
              <w:pStyle w:val="TableText"/>
              <w:spacing w:line="240" w:lineRule="auto"/>
              <w:ind w:left="113" w:right="113"/>
              <w:jc w:val="center"/>
            </w:pPr>
            <w:r w:rsidRPr="00E44F3E">
              <w:rPr>
                <w:lang w:eastAsia="en-NZ"/>
              </w:rPr>
              <w:t xml:space="preserve">Funded </w:t>
            </w:r>
            <w:r w:rsidRPr="00E44F3E">
              <w:rPr>
                <w:b/>
                <w:bCs/>
                <w:lang w:eastAsia="en-NZ"/>
              </w:rPr>
              <w:t>with</w:t>
            </w:r>
            <w:r w:rsidRPr="00E44F3E">
              <w:rPr>
                <w:lang w:eastAsia="en-NZ"/>
              </w:rPr>
              <w:t xml:space="preserve"> restriction</w:t>
            </w:r>
          </w:p>
        </w:tc>
      </w:tr>
      <w:tr w:rsidR="00B206B2" w:rsidRPr="00E44F3E" w14:paraId="2E809D74" w14:textId="77777777" w:rsidTr="00E62BC7">
        <w:trPr>
          <w:cantSplit/>
        </w:trPr>
        <w:tc>
          <w:tcPr>
            <w:tcW w:w="1155" w:type="pct"/>
            <w:tcBorders>
              <w:top w:val="nil"/>
              <w:bottom w:val="single" w:sz="4" w:space="0" w:color="C2D9BA"/>
            </w:tcBorders>
            <w:shd w:val="clear" w:color="auto" w:fill="auto"/>
            <w:vAlign w:val="center"/>
          </w:tcPr>
          <w:p w14:paraId="1B99911E" w14:textId="77777777" w:rsidR="00B206B2" w:rsidRPr="00E44F3E" w:rsidRDefault="00B206B2" w:rsidP="00DD6F49">
            <w:pPr>
              <w:pStyle w:val="TableText"/>
              <w:spacing w:line="240" w:lineRule="auto"/>
            </w:pPr>
            <w:r w:rsidRPr="00E44F3E">
              <w:t>Arsenic trioxide</w:t>
            </w:r>
          </w:p>
        </w:tc>
        <w:tc>
          <w:tcPr>
            <w:tcW w:w="2168" w:type="pct"/>
            <w:tcBorders>
              <w:top w:val="nil"/>
              <w:bottom w:val="single" w:sz="4" w:space="0" w:color="C2D9BA"/>
            </w:tcBorders>
            <w:shd w:val="clear" w:color="auto" w:fill="auto"/>
            <w:vAlign w:val="center"/>
          </w:tcPr>
          <w:p w14:paraId="6D60E6B7" w14:textId="77777777" w:rsidR="00B206B2" w:rsidRPr="00E44F3E" w:rsidRDefault="00B206B2" w:rsidP="00DD6F49">
            <w:pPr>
              <w:pStyle w:val="TableText"/>
              <w:spacing w:line="240" w:lineRule="auto"/>
            </w:pPr>
            <w:r w:rsidRPr="00E44F3E">
              <w:t xml:space="preserve">Acute promyelocytic leukaemia </w:t>
            </w:r>
          </w:p>
        </w:tc>
        <w:tc>
          <w:tcPr>
            <w:tcW w:w="419" w:type="pct"/>
            <w:tcBorders>
              <w:top w:val="nil"/>
              <w:bottom w:val="single" w:sz="4" w:space="0" w:color="C2D9BA"/>
            </w:tcBorders>
            <w:shd w:val="clear" w:color="auto" w:fill="FFF7ED"/>
            <w:vAlign w:val="center"/>
          </w:tcPr>
          <w:p w14:paraId="397FEAE0" w14:textId="77777777" w:rsidR="00B206B2" w:rsidRPr="00E44F3E" w:rsidRDefault="00B206B2" w:rsidP="00DD6F49">
            <w:pPr>
              <w:pStyle w:val="TableText"/>
              <w:spacing w:line="240" w:lineRule="auto"/>
              <w:jc w:val="center"/>
            </w:pPr>
          </w:p>
        </w:tc>
        <w:tc>
          <w:tcPr>
            <w:tcW w:w="420" w:type="pct"/>
            <w:tcBorders>
              <w:top w:val="nil"/>
              <w:bottom w:val="single" w:sz="4" w:space="0" w:color="C2D9BA"/>
            </w:tcBorders>
            <w:shd w:val="clear" w:color="auto" w:fill="FFF7ED"/>
            <w:vAlign w:val="center"/>
          </w:tcPr>
          <w:p w14:paraId="7B625888" w14:textId="77777777" w:rsidR="00B206B2" w:rsidRPr="00E44F3E" w:rsidRDefault="00B206B2" w:rsidP="00DD6F49">
            <w:pPr>
              <w:pStyle w:val="TableText"/>
              <w:spacing w:line="240" w:lineRule="auto"/>
              <w:jc w:val="center"/>
            </w:pPr>
            <w:r w:rsidRPr="00E44F3E">
              <w:rPr>
                <w:rFonts w:ascii="Wingdings 2" w:hAnsi="Wingdings 2"/>
                <w:sz w:val="22"/>
                <w:szCs w:val="22"/>
                <w:lang w:eastAsia="en-NZ"/>
              </w:rPr>
              <w:t>P</w:t>
            </w:r>
          </w:p>
        </w:tc>
        <w:tc>
          <w:tcPr>
            <w:tcW w:w="419" w:type="pct"/>
            <w:tcBorders>
              <w:top w:val="nil"/>
              <w:bottom w:val="single" w:sz="4" w:space="0" w:color="C2D9BA"/>
            </w:tcBorders>
            <w:vAlign w:val="center"/>
          </w:tcPr>
          <w:p w14:paraId="06EB4C5A" w14:textId="77777777" w:rsidR="00B206B2" w:rsidRPr="00E44F3E" w:rsidRDefault="00B206B2" w:rsidP="00DD6F49">
            <w:pPr>
              <w:pStyle w:val="TableText"/>
              <w:spacing w:line="240" w:lineRule="auto"/>
              <w:jc w:val="center"/>
            </w:pPr>
            <w:r w:rsidRPr="00E44F3E">
              <w:rPr>
                <w:rFonts w:ascii="Wingdings 2" w:hAnsi="Wingdings 2"/>
                <w:sz w:val="22"/>
                <w:szCs w:val="22"/>
                <w:lang w:eastAsia="en-NZ"/>
              </w:rPr>
              <w:t>P</w:t>
            </w:r>
          </w:p>
        </w:tc>
        <w:tc>
          <w:tcPr>
            <w:tcW w:w="419" w:type="pct"/>
            <w:tcBorders>
              <w:top w:val="nil"/>
              <w:bottom w:val="single" w:sz="4" w:space="0" w:color="C2D9BA"/>
            </w:tcBorders>
            <w:vAlign w:val="center"/>
          </w:tcPr>
          <w:p w14:paraId="0BDCBE63" w14:textId="77777777" w:rsidR="00B206B2" w:rsidRPr="00E44F3E" w:rsidRDefault="00B206B2" w:rsidP="00DD6F49">
            <w:pPr>
              <w:pStyle w:val="TableText"/>
              <w:spacing w:line="240" w:lineRule="auto"/>
              <w:jc w:val="center"/>
            </w:pPr>
          </w:p>
        </w:tc>
      </w:tr>
      <w:tr w:rsidR="00B206B2" w:rsidRPr="00E44F3E" w14:paraId="7CB3214B" w14:textId="77777777" w:rsidTr="00E62BC7">
        <w:trPr>
          <w:cantSplit/>
        </w:trPr>
        <w:tc>
          <w:tcPr>
            <w:tcW w:w="1155" w:type="pct"/>
            <w:tcBorders>
              <w:top w:val="single" w:sz="4" w:space="0" w:color="C2D9BA"/>
              <w:bottom w:val="single" w:sz="4" w:space="0" w:color="C2D9BA"/>
            </w:tcBorders>
            <w:shd w:val="clear" w:color="auto" w:fill="auto"/>
            <w:vAlign w:val="center"/>
          </w:tcPr>
          <w:p w14:paraId="17253B8B" w14:textId="77777777" w:rsidR="00B206B2" w:rsidRPr="00E44F3E" w:rsidRDefault="00B206B2" w:rsidP="00DD6F49">
            <w:pPr>
              <w:pStyle w:val="TableText"/>
              <w:spacing w:line="240" w:lineRule="auto"/>
            </w:pPr>
            <w:r w:rsidRPr="00E44F3E">
              <w:t>Azacitidine</w:t>
            </w:r>
          </w:p>
        </w:tc>
        <w:tc>
          <w:tcPr>
            <w:tcW w:w="2168" w:type="pct"/>
            <w:tcBorders>
              <w:top w:val="single" w:sz="4" w:space="0" w:color="C2D9BA"/>
              <w:bottom w:val="single" w:sz="4" w:space="0" w:color="C2D9BA"/>
            </w:tcBorders>
            <w:shd w:val="clear" w:color="auto" w:fill="auto"/>
            <w:vAlign w:val="center"/>
          </w:tcPr>
          <w:p w14:paraId="0A69F327" w14:textId="77777777" w:rsidR="00B206B2" w:rsidRPr="00E44F3E" w:rsidRDefault="00B206B2" w:rsidP="00DD6F49">
            <w:pPr>
              <w:pStyle w:val="TableText"/>
              <w:spacing w:line="240" w:lineRule="auto"/>
            </w:pPr>
            <w:r w:rsidRPr="00E44F3E">
              <w:t xml:space="preserve">Acute myeloid leukaemia </w:t>
            </w:r>
          </w:p>
        </w:tc>
        <w:tc>
          <w:tcPr>
            <w:tcW w:w="419" w:type="pct"/>
            <w:tcBorders>
              <w:top w:val="single" w:sz="4" w:space="0" w:color="C2D9BA"/>
              <w:bottom w:val="single" w:sz="4" w:space="0" w:color="C2D9BA"/>
            </w:tcBorders>
            <w:shd w:val="clear" w:color="auto" w:fill="FFF7ED"/>
            <w:vAlign w:val="center"/>
          </w:tcPr>
          <w:p w14:paraId="1DA1E6BA" w14:textId="77777777" w:rsidR="00B206B2" w:rsidRPr="00E44F3E" w:rsidRDefault="00B206B2" w:rsidP="00DD6F49">
            <w:pPr>
              <w:pStyle w:val="TableText"/>
              <w:spacing w:line="240" w:lineRule="auto"/>
              <w:jc w:val="center"/>
            </w:pPr>
          </w:p>
        </w:tc>
        <w:tc>
          <w:tcPr>
            <w:tcW w:w="420" w:type="pct"/>
            <w:tcBorders>
              <w:top w:val="single" w:sz="4" w:space="0" w:color="C2D9BA"/>
              <w:bottom w:val="single" w:sz="4" w:space="0" w:color="C2D9BA"/>
            </w:tcBorders>
            <w:shd w:val="clear" w:color="auto" w:fill="FFF7ED"/>
            <w:vAlign w:val="center"/>
          </w:tcPr>
          <w:p w14:paraId="671D32F4" w14:textId="77777777" w:rsidR="00B206B2" w:rsidRPr="00E44F3E" w:rsidRDefault="00B206B2" w:rsidP="00DD6F49">
            <w:pPr>
              <w:pStyle w:val="TableText"/>
              <w:spacing w:line="240" w:lineRule="auto"/>
              <w:jc w:val="cente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6389C1F" w14:textId="77777777" w:rsidR="00B206B2" w:rsidRPr="00E44F3E" w:rsidRDefault="00B206B2" w:rsidP="00DD6F49">
            <w:pPr>
              <w:pStyle w:val="TableText"/>
              <w:spacing w:line="240" w:lineRule="auto"/>
              <w:jc w:val="center"/>
            </w:pPr>
          </w:p>
        </w:tc>
        <w:tc>
          <w:tcPr>
            <w:tcW w:w="419" w:type="pct"/>
            <w:tcBorders>
              <w:top w:val="single" w:sz="4" w:space="0" w:color="C2D9BA"/>
              <w:bottom w:val="single" w:sz="4" w:space="0" w:color="C2D9BA"/>
            </w:tcBorders>
            <w:vAlign w:val="center"/>
          </w:tcPr>
          <w:p w14:paraId="24CA372B" w14:textId="77777777" w:rsidR="00B206B2" w:rsidRPr="00E44F3E" w:rsidRDefault="00B206B2" w:rsidP="00DD6F49">
            <w:pPr>
              <w:pStyle w:val="TableText"/>
              <w:spacing w:line="240" w:lineRule="auto"/>
              <w:jc w:val="center"/>
            </w:pPr>
            <w:r w:rsidRPr="00E44F3E">
              <w:rPr>
                <w:rFonts w:ascii="Wingdings 2" w:hAnsi="Wingdings 2"/>
                <w:sz w:val="22"/>
                <w:szCs w:val="22"/>
                <w:lang w:eastAsia="en-NZ"/>
              </w:rPr>
              <w:t>P</w:t>
            </w:r>
          </w:p>
        </w:tc>
      </w:tr>
      <w:tr w:rsidR="00B206B2" w:rsidRPr="00E44F3E" w14:paraId="3171B269" w14:textId="77777777" w:rsidTr="00E62BC7">
        <w:trPr>
          <w:cantSplit/>
        </w:trPr>
        <w:tc>
          <w:tcPr>
            <w:tcW w:w="1155" w:type="pct"/>
            <w:tcBorders>
              <w:top w:val="single" w:sz="4" w:space="0" w:color="C2D9BA"/>
              <w:bottom w:val="single" w:sz="4" w:space="0" w:color="C2D9BA"/>
            </w:tcBorders>
            <w:shd w:val="clear" w:color="auto" w:fill="auto"/>
            <w:vAlign w:val="center"/>
          </w:tcPr>
          <w:p w14:paraId="7F112EAE" w14:textId="77777777" w:rsidR="00B206B2" w:rsidRPr="00E44F3E" w:rsidRDefault="00B206B2" w:rsidP="00DD6F49">
            <w:pPr>
              <w:pStyle w:val="TableText"/>
              <w:spacing w:line="240" w:lineRule="auto"/>
            </w:pPr>
            <w:r w:rsidRPr="00E44F3E">
              <w:t>Azacitidine</w:t>
            </w:r>
          </w:p>
        </w:tc>
        <w:tc>
          <w:tcPr>
            <w:tcW w:w="2168" w:type="pct"/>
            <w:tcBorders>
              <w:top w:val="single" w:sz="4" w:space="0" w:color="C2D9BA"/>
              <w:bottom w:val="single" w:sz="4" w:space="0" w:color="C2D9BA"/>
            </w:tcBorders>
            <w:shd w:val="clear" w:color="auto" w:fill="auto"/>
            <w:vAlign w:val="center"/>
          </w:tcPr>
          <w:p w14:paraId="5138D3E7" w14:textId="77777777" w:rsidR="00B206B2" w:rsidRPr="00E44F3E" w:rsidRDefault="00B206B2" w:rsidP="00DD6F49">
            <w:pPr>
              <w:pStyle w:val="TableText"/>
              <w:spacing w:line="240" w:lineRule="auto"/>
            </w:pPr>
            <w:r w:rsidRPr="00E44F3E">
              <w:t>Chronic myelomonocytic leukaemia</w:t>
            </w:r>
          </w:p>
        </w:tc>
        <w:tc>
          <w:tcPr>
            <w:tcW w:w="419" w:type="pct"/>
            <w:tcBorders>
              <w:top w:val="single" w:sz="4" w:space="0" w:color="C2D9BA"/>
              <w:bottom w:val="single" w:sz="4" w:space="0" w:color="C2D9BA"/>
            </w:tcBorders>
            <w:shd w:val="clear" w:color="auto" w:fill="FFF7ED"/>
            <w:vAlign w:val="center"/>
          </w:tcPr>
          <w:p w14:paraId="0C262727"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2EB8BBA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00440F4"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3E3C7C1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02708A1C" w14:textId="77777777" w:rsidTr="00E62BC7">
        <w:trPr>
          <w:cantSplit/>
        </w:trPr>
        <w:tc>
          <w:tcPr>
            <w:tcW w:w="1155" w:type="pct"/>
            <w:tcBorders>
              <w:top w:val="single" w:sz="4" w:space="0" w:color="C2D9BA"/>
              <w:bottom w:val="single" w:sz="4" w:space="0" w:color="C2D9BA"/>
            </w:tcBorders>
            <w:shd w:val="clear" w:color="auto" w:fill="auto"/>
            <w:vAlign w:val="center"/>
          </w:tcPr>
          <w:p w14:paraId="71D639FD" w14:textId="77777777" w:rsidR="00B206B2" w:rsidRPr="00E44F3E" w:rsidRDefault="00B206B2" w:rsidP="00DD6F49">
            <w:pPr>
              <w:pStyle w:val="TableText"/>
              <w:spacing w:line="240" w:lineRule="auto"/>
            </w:pPr>
            <w:r w:rsidRPr="00E44F3E">
              <w:t>Azacitidine</w:t>
            </w:r>
          </w:p>
        </w:tc>
        <w:tc>
          <w:tcPr>
            <w:tcW w:w="2168" w:type="pct"/>
            <w:tcBorders>
              <w:top w:val="single" w:sz="4" w:space="0" w:color="C2D9BA"/>
              <w:bottom w:val="single" w:sz="4" w:space="0" w:color="C2D9BA"/>
            </w:tcBorders>
            <w:shd w:val="clear" w:color="auto" w:fill="auto"/>
            <w:vAlign w:val="center"/>
          </w:tcPr>
          <w:p w14:paraId="427B8291" w14:textId="77777777" w:rsidR="00B206B2" w:rsidRPr="00E44F3E" w:rsidRDefault="00B206B2" w:rsidP="00DD6F49">
            <w:pPr>
              <w:pStyle w:val="TableText"/>
              <w:spacing w:line="240" w:lineRule="auto"/>
            </w:pPr>
            <w:r w:rsidRPr="00E44F3E">
              <w:t xml:space="preserve">Myelodysplastic syndrome </w:t>
            </w:r>
          </w:p>
        </w:tc>
        <w:tc>
          <w:tcPr>
            <w:tcW w:w="419" w:type="pct"/>
            <w:tcBorders>
              <w:top w:val="single" w:sz="4" w:space="0" w:color="C2D9BA"/>
              <w:bottom w:val="single" w:sz="4" w:space="0" w:color="C2D9BA"/>
            </w:tcBorders>
            <w:shd w:val="clear" w:color="auto" w:fill="FFF7ED"/>
            <w:vAlign w:val="center"/>
          </w:tcPr>
          <w:p w14:paraId="174CBEA2"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763A0B0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BC675B2"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79DF94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178B0D40" w14:textId="77777777" w:rsidTr="00E62BC7">
        <w:trPr>
          <w:cantSplit/>
        </w:trPr>
        <w:tc>
          <w:tcPr>
            <w:tcW w:w="1155" w:type="pct"/>
            <w:tcBorders>
              <w:top w:val="single" w:sz="4" w:space="0" w:color="C2D9BA"/>
              <w:bottom w:val="single" w:sz="4" w:space="0" w:color="C2D9BA"/>
            </w:tcBorders>
            <w:shd w:val="clear" w:color="auto" w:fill="auto"/>
            <w:vAlign w:val="center"/>
          </w:tcPr>
          <w:p w14:paraId="326F16EF" w14:textId="77777777" w:rsidR="00B206B2" w:rsidRPr="00E44F3E" w:rsidRDefault="00B206B2" w:rsidP="00DD6F49">
            <w:pPr>
              <w:pStyle w:val="TableText"/>
              <w:spacing w:line="240" w:lineRule="auto"/>
            </w:pPr>
            <w:proofErr w:type="spellStart"/>
            <w:r w:rsidRPr="00E44F3E">
              <w:t>Bendamustine</w:t>
            </w:r>
            <w:proofErr w:type="spellEnd"/>
          </w:p>
        </w:tc>
        <w:tc>
          <w:tcPr>
            <w:tcW w:w="2168" w:type="pct"/>
            <w:tcBorders>
              <w:top w:val="single" w:sz="4" w:space="0" w:color="C2D9BA"/>
              <w:bottom w:val="single" w:sz="4" w:space="0" w:color="C2D9BA"/>
            </w:tcBorders>
            <w:shd w:val="clear" w:color="auto" w:fill="auto"/>
            <w:vAlign w:val="center"/>
          </w:tcPr>
          <w:p w14:paraId="6ACFA298" w14:textId="77777777" w:rsidR="00B206B2" w:rsidRPr="00E44F3E" w:rsidRDefault="00B206B2" w:rsidP="00DD6F49">
            <w:pPr>
              <w:pStyle w:val="TableText"/>
              <w:spacing w:line="240" w:lineRule="auto"/>
            </w:pPr>
            <w:r w:rsidRPr="00E44F3E">
              <w:t xml:space="preserve">Follicular lymphoma </w:t>
            </w:r>
          </w:p>
        </w:tc>
        <w:tc>
          <w:tcPr>
            <w:tcW w:w="419" w:type="pct"/>
            <w:tcBorders>
              <w:top w:val="single" w:sz="4" w:space="0" w:color="C2D9BA"/>
              <w:bottom w:val="single" w:sz="4" w:space="0" w:color="C2D9BA"/>
            </w:tcBorders>
            <w:shd w:val="clear" w:color="auto" w:fill="FFF7ED"/>
            <w:vAlign w:val="center"/>
          </w:tcPr>
          <w:p w14:paraId="3A9D94E9"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4A66738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769F2EE"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169970D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01B59FFB" w14:textId="77777777" w:rsidTr="00E62BC7">
        <w:trPr>
          <w:cantSplit/>
        </w:trPr>
        <w:tc>
          <w:tcPr>
            <w:tcW w:w="1155" w:type="pct"/>
            <w:tcBorders>
              <w:top w:val="single" w:sz="4" w:space="0" w:color="C2D9BA"/>
              <w:bottom w:val="single" w:sz="4" w:space="0" w:color="C2D9BA"/>
            </w:tcBorders>
            <w:shd w:val="clear" w:color="auto" w:fill="auto"/>
            <w:vAlign w:val="center"/>
          </w:tcPr>
          <w:p w14:paraId="4C88109D" w14:textId="77777777" w:rsidR="00B206B2" w:rsidRPr="00E44F3E" w:rsidRDefault="00B206B2" w:rsidP="00DD6F49">
            <w:pPr>
              <w:pStyle w:val="TableText"/>
              <w:spacing w:line="240" w:lineRule="auto"/>
            </w:pPr>
            <w:proofErr w:type="spellStart"/>
            <w:r w:rsidRPr="00E44F3E">
              <w:t>Bendamustine</w:t>
            </w:r>
            <w:proofErr w:type="spellEnd"/>
          </w:p>
        </w:tc>
        <w:tc>
          <w:tcPr>
            <w:tcW w:w="2168" w:type="pct"/>
            <w:tcBorders>
              <w:top w:val="single" w:sz="4" w:space="0" w:color="C2D9BA"/>
              <w:bottom w:val="single" w:sz="4" w:space="0" w:color="C2D9BA"/>
            </w:tcBorders>
            <w:shd w:val="clear" w:color="auto" w:fill="auto"/>
            <w:vAlign w:val="center"/>
          </w:tcPr>
          <w:p w14:paraId="1AF23200" w14:textId="63199732" w:rsidR="00B206B2" w:rsidRPr="00E44F3E" w:rsidRDefault="00B206B2" w:rsidP="00DD6F49">
            <w:pPr>
              <w:pStyle w:val="TableText"/>
              <w:spacing w:line="240" w:lineRule="auto"/>
            </w:pPr>
            <w:r w:rsidRPr="00E44F3E">
              <w:t>Indolent non-Hodgkin</w:t>
            </w:r>
            <w:r w:rsidR="00650559">
              <w:t>’</w:t>
            </w:r>
            <w:r w:rsidRPr="00E44F3E">
              <w:t xml:space="preserve">s lymphoma </w:t>
            </w:r>
          </w:p>
        </w:tc>
        <w:tc>
          <w:tcPr>
            <w:tcW w:w="419" w:type="pct"/>
            <w:tcBorders>
              <w:top w:val="single" w:sz="4" w:space="0" w:color="C2D9BA"/>
              <w:bottom w:val="single" w:sz="4" w:space="0" w:color="C2D9BA"/>
            </w:tcBorders>
            <w:shd w:val="clear" w:color="auto" w:fill="FFF7ED"/>
            <w:vAlign w:val="center"/>
          </w:tcPr>
          <w:p w14:paraId="5874F11B"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1952811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D2FE305"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0124F41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4A4D7C53" w14:textId="77777777" w:rsidTr="00E62BC7">
        <w:trPr>
          <w:cantSplit/>
        </w:trPr>
        <w:tc>
          <w:tcPr>
            <w:tcW w:w="1155" w:type="pct"/>
            <w:tcBorders>
              <w:top w:val="single" w:sz="4" w:space="0" w:color="C2D9BA"/>
              <w:bottom w:val="single" w:sz="4" w:space="0" w:color="C2D9BA"/>
            </w:tcBorders>
            <w:shd w:val="clear" w:color="auto" w:fill="auto"/>
            <w:vAlign w:val="center"/>
          </w:tcPr>
          <w:p w14:paraId="2FC71071" w14:textId="77777777" w:rsidR="00B206B2" w:rsidRPr="00E44F3E" w:rsidRDefault="00B206B2" w:rsidP="00DD6F49">
            <w:pPr>
              <w:pStyle w:val="TableText"/>
              <w:spacing w:line="240" w:lineRule="auto"/>
            </w:pPr>
            <w:proofErr w:type="spellStart"/>
            <w:r w:rsidRPr="00E44F3E">
              <w:t>Bendamustine</w:t>
            </w:r>
            <w:proofErr w:type="spellEnd"/>
          </w:p>
        </w:tc>
        <w:tc>
          <w:tcPr>
            <w:tcW w:w="2168" w:type="pct"/>
            <w:tcBorders>
              <w:top w:val="single" w:sz="4" w:space="0" w:color="C2D9BA"/>
              <w:bottom w:val="single" w:sz="4" w:space="0" w:color="C2D9BA"/>
            </w:tcBorders>
            <w:shd w:val="clear" w:color="auto" w:fill="auto"/>
            <w:vAlign w:val="center"/>
          </w:tcPr>
          <w:p w14:paraId="02CE7D21" w14:textId="77777777" w:rsidR="00B206B2" w:rsidRPr="00E44F3E" w:rsidRDefault="00B206B2" w:rsidP="00DD6F49">
            <w:pPr>
              <w:pStyle w:val="TableText"/>
              <w:spacing w:line="240" w:lineRule="auto"/>
            </w:pPr>
            <w:r w:rsidRPr="00E44F3E">
              <w:t xml:space="preserve">Mantle cell lymphoma </w:t>
            </w:r>
          </w:p>
        </w:tc>
        <w:tc>
          <w:tcPr>
            <w:tcW w:w="419" w:type="pct"/>
            <w:tcBorders>
              <w:top w:val="single" w:sz="4" w:space="0" w:color="C2D9BA"/>
              <w:bottom w:val="single" w:sz="4" w:space="0" w:color="C2D9BA"/>
            </w:tcBorders>
            <w:shd w:val="clear" w:color="auto" w:fill="FFF7ED"/>
            <w:vAlign w:val="center"/>
          </w:tcPr>
          <w:p w14:paraId="46A31D6A"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7AAC331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B315F76"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02804CF"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72CEC42A" w14:textId="77777777" w:rsidTr="00E62BC7">
        <w:trPr>
          <w:cantSplit/>
        </w:trPr>
        <w:tc>
          <w:tcPr>
            <w:tcW w:w="1155" w:type="pct"/>
            <w:tcBorders>
              <w:top w:val="single" w:sz="4" w:space="0" w:color="C2D9BA"/>
              <w:bottom w:val="single" w:sz="4" w:space="0" w:color="C2D9BA"/>
            </w:tcBorders>
            <w:shd w:val="clear" w:color="auto" w:fill="auto"/>
            <w:vAlign w:val="center"/>
          </w:tcPr>
          <w:p w14:paraId="19A75133" w14:textId="77777777" w:rsidR="00B206B2" w:rsidRPr="00E44F3E" w:rsidRDefault="00B206B2" w:rsidP="00DD6F49">
            <w:pPr>
              <w:pStyle w:val="TableText"/>
              <w:spacing w:line="240" w:lineRule="auto"/>
            </w:pPr>
            <w:r w:rsidRPr="00E44F3E">
              <w:t xml:space="preserve">Bleomycin </w:t>
            </w:r>
          </w:p>
        </w:tc>
        <w:tc>
          <w:tcPr>
            <w:tcW w:w="2168" w:type="pct"/>
            <w:tcBorders>
              <w:top w:val="single" w:sz="4" w:space="0" w:color="C2D9BA"/>
              <w:bottom w:val="single" w:sz="4" w:space="0" w:color="C2D9BA"/>
            </w:tcBorders>
            <w:shd w:val="clear" w:color="auto" w:fill="auto"/>
            <w:vAlign w:val="center"/>
          </w:tcPr>
          <w:p w14:paraId="42E2CB39" w14:textId="77777777" w:rsidR="00B206B2" w:rsidRPr="00E44F3E" w:rsidRDefault="00B206B2" w:rsidP="00DD6F49">
            <w:pPr>
              <w:pStyle w:val="TableText"/>
              <w:spacing w:line="240" w:lineRule="auto"/>
            </w:pPr>
            <w:r w:rsidRPr="00E44F3E">
              <w:t>Lymphoma</w:t>
            </w:r>
          </w:p>
        </w:tc>
        <w:tc>
          <w:tcPr>
            <w:tcW w:w="419" w:type="pct"/>
            <w:tcBorders>
              <w:top w:val="single" w:sz="4" w:space="0" w:color="C2D9BA"/>
              <w:bottom w:val="single" w:sz="4" w:space="0" w:color="C2D9BA"/>
            </w:tcBorders>
            <w:shd w:val="clear" w:color="auto" w:fill="FFF7ED"/>
            <w:vAlign w:val="center"/>
          </w:tcPr>
          <w:p w14:paraId="119B1E4E"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06E64C96"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C14DD73"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7805F24"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6FAFCD66" w14:textId="77777777" w:rsidTr="00E62BC7">
        <w:trPr>
          <w:cantSplit/>
        </w:trPr>
        <w:tc>
          <w:tcPr>
            <w:tcW w:w="1155" w:type="pct"/>
            <w:tcBorders>
              <w:top w:val="single" w:sz="4" w:space="0" w:color="C2D9BA"/>
              <w:bottom w:val="single" w:sz="4" w:space="0" w:color="C2D9BA"/>
            </w:tcBorders>
            <w:shd w:val="clear" w:color="auto" w:fill="auto"/>
            <w:vAlign w:val="center"/>
          </w:tcPr>
          <w:p w14:paraId="0148622B" w14:textId="77777777" w:rsidR="00B206B2" w:rsidRPr="00E44F3E" w:rsidRDefault="00B206B2" w:rsidP="00DD6F49">
            <w:pPr>
              <w:pStyle w:val="TableText"/>
              <w:spacing w:line="240" w:lineRule="auto"/>
            </w:pPr>
            <w:r w:rsidRPr="00E44F3E">
              <w:t>Bortezomib</w:t>
            </w:r>
          </w:p>
        </w:tc>
        <w:tc>
          <w:tcPr>
            <w:tcW w:w="2168" w:type="pct"/>
            <w:tcBorders>
              <w:top w:val="single" w:sz="4" w:space="0" w:color="C2D9BA"/>
              <w:bottom w:val="single" w:sz="4" w:space="0" w:color="C2D9BA"/>
            </w:tcBorders>
            <w:shd w:val="clear" w:color="auto" w:fill="auto"/>
            <w:vAlign w:val="center"/>
          </w:tcPr>
          <w:p w14:paraId="50EAB61B" w14:textId="77777777" w:rsidR="00B206B2" w:rsidRPr="00E44F3E" w:rsidRDefault="00B206B2" w:rsidP="00DD6F49">
            <w:pPr>
              <w:pStyle w:val="TableText"/>
              <w:spacing w:line="240" w:lineRule="auto"/>
            </w:pPr>
            <w:r w:rsidRPr="00E44F3E">
              <w:t>Multiple myeloma</w:t>
            </w:r>
          </w:p>
        </w:tc>
        <w:tc>
          <w:tcPr>
            <w:tcW w:w="419" w:type="pct"/>
            <w:tcBorders>
              <w:top w:val="single" w:sz="4" w:space="0" w:color="C2D9BA"/>
              <w:bottom w:val="single" w:sz="4" w:space="0" w:color="C2D9BA"/>
            </w:tcBorders>
            <w:shd w:val="clear" w:color="auto" w:fill="FFF7ED"/>
            <w:vAlign w:val="center"/>
          </w:tcPr>
          <w:p w14:paraId="57590346"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0CDF751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39BB2F7"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72DB61A"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743E9766" w14:textId="77777777" w:rsidTr="00E62BC7">
        <w:trPr>
          <w:cantSplit/>
        </w:trPr>
        <w:tc>
          <w:tcPr>
            <w:tcW w:w="1155" w:type="pct"/>
            <w:tcBorders>
              <w:top w:val="single" w:sz="4" w:space="0" w:color="C2D9BA"/>
              <w:bottom w:val="single" w:sz="4" w:space="0" w:color="C2D9BA"/>
            </w:tcBorders>
            <w:shd w:val="clear" w:color="auto" w:fill="auto"/>
            <w:vAlign w:val="center"/>
          </w:tcPr>
          <w:p w14:paraId="4667A69C" w14:textId="77777777" w:rsidR="00B206B2" w:rsidRPr="00E44F3E" w:rsidRDefault="00B206B2" w:rsidP="00DD6F49">
            <w:pPr>
              <w:pStyle w:val="TableText"/>
              <w:spacing w:line="240" w:lineRule="auto"/>
            </w:pPr>
            <w:r w:rsidRPr="00E44F3E">
              <w:t xml:space="preserve">Brentuximab </w:t>
            </w:r>
            <w:proofErr w:type="spellStart"/>
            <w:r w:rsidRPr="00E44F3E">
              <w:t>vedotin</w:t>
            </w:r>
            <w:proofErr w:type="spellEnd"/>
          </w:p>
        </w:tc>
        <w:tc>
          <w:tcPr>
            <w:tcW w:w="2168" w:type="pct"/>
            <w:tcBorders>
              <w:top w:val="single" w:sz="4" w:space="0" w:color="C2D9BA"/>
              <w:bottom w:val="single" w:sz="4" w:space="0" w:color="C2D9BA"/>
            </w:tcBorders>
            <w:shd w:val="clear" w:color="auto" w:fill="auto"/>
            <w:vAlign w:val="center"/>
          </w:tcPr>
          <w:p w14:paraId="116F7F86" w14:textId="77777777" w:rsidR="00B206B2" w:rsidRPr="00E44F3E" w:rsidRDefault="00B206B2" w:rsidP="00DD6F49">
            <w:pPr>
              <w:pStyle w:val="TableText"/>
              <w:spacing w:line="240" w:lineRule="auto"/>
            </w:pPr>
            <w:r w:rsidRPr="00E44F3E">
              <w:t>Anaplastic large cell lymphoma</w:t>
            </w:r>
          </w:p>
        </w:tc>
        <w:tc>
          <w:tcPr>
            <w:tcW w:w="419" w:type="pct"/>
            <w:tcBorders>
              <w:top w:val="single" w:sz="4" w:space="0" w:color="C2D9BA"/>
              <w:bottom w:val="single" w:sz="4" w:space="0" w:color="C2D9BA"/>
            </w:tcBorders>
            <w:shd w:val="clear" w:color="auto" w:fill="FFF7ED"/>
            <w:vAlign w:val="center"/>
          </w:tcPr>
          <w:p w14:paraId="7D7BEAC7"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15EACFD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C34A5E6"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3ACD623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6C49C3D5" w14:textId="77777777" w:rsidTr="00E62BC7">
        <w:trPr>
          <w:cantSplit/>
        </w:trPr>
        <w:tc>
          <w:tcPr>
            <w:tcW w:w="1155" w:type="pct"/>
            <w:tcBorders>
              <w:top w:val="single" w:sz="4" w:space="0" w:color="C2D9BA"/>
              <w:bottom w:val="single" w:sz="4" w:space="0" w:color="C2D9BA"/>
            </w:tcBorders>
            <w:shd w:val="clear" w:color="auto" w:fill="auto"/>
            <w:vAlign w:val="center"/>
          </w:tcPr>
          <w:p w14:paraId="20430AB5" w14:textId="77777777" w:rsidR="00B206B2" w:rsidRPr="00E44F3E" w:rsidRDefault="00B206B2" w:rsidP="00DD6F49">
            <w:pPr>
              <w:pStyle w:val="TableText"/>
              <w:spacing w:line="240" w:lineRule="auto"/>
            </w:pPr>
            <w:r w:rsidRPr="00E44F3E">
              <w:t xml:space="preserve">Brentuximab </w:t>
            </w:r>
            <w:proofErr w:type="spellStart"/>
            <w:r w:rsidRPr="00E44F3E">
              <w:t>vedotin</w:t>
            </w:r>
            <w:proofErr w:type="spellEnd"/>
          </w:p>
        </w:tc>
        <w:tc>
          <w:tcPr>
            <w:tcW w:w="2168" w:type="pct"/>
            <w:tcBorders>
              <w:top w:val="single" w:sz="4" w:space="0" w:color="C2D9BA"/>
              <w:bottom w:val="single" w:sz="4" w:space="0" w:color="C2D9BA"/>
            </w:tcBorders>
            <w:shd w:val="clear" w:color="auto" w:fill="auto"/>
            <w:vAlign w:val="center"/>
          </w:tcPr>
          <w:p w14:paraId="46FE95E6" w14:textId="77777777" w:rsidR="00B206B2" w:rsidRPr="00E44F3E" w:rsidRDefault="00B206B2" w:rsidP="00DD6F49">
            <w:pPr>
              <w:pStyle w:val="TableText"/>
              <w:spacing w:line="240" w:lineRule="auto"/>
            </w:pPr>
            <w:r w:rsidRPr="00E44F3E">
              <w:t>Hodgkin’s lymphoma</w:t>
            </w:r>
          </w:p>
        </w:tc>
        <w:tc>
          <w:tcPr>
            <w:tcW w:w="419" w:type="pct"/>
            <w:tcBorders>
              <w:top w:val="single" w:sz="4" w:space="0" w:color="C2D9BA"/>
              <w:bottom w:val="single" w:sz="4" w:space="0" w:color="C2D9BA"/>
            </w:tcBorders>
            <w:shd w:val="clear" w:color="auto" w:fill="FFF7ED"/>
            <w:vAlign w:val="center"/>
          </w:tcPr>
          <w:p w14:paraId="2FC971B8"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5E1C7F8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655362A"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0E0B8DC0"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10C5B201" w14:textId="77777777" w:rsidTr="00E62BC7">
        <w:trPr>
          <w:cantSplit/>
        </w:trPr>
        <w:tc>
          <w:tcPr>
            <w:tcW w:w="1155" w:type="pct"/>
            <w:tcBorders>
              <w:top w:val="single" w:sz="4" w:space="0" w:color="C2D9BA"/>
              <w:bottom w:val="single" w:sz="4" w:space="0" w:color="C2D9BA"/>
            </w:tcBorders>
            <w:shd w:val="clear" w:color="auto" w:fill="auto"/>
            <w:vAlign w:val="center"/>
          </w:tcPr>
          <w:p w14:paraId="64EAAE59" w14:textId="77777777" w:rsidR="00B206B2" w:rsidRPr="00E44F3E" w:rsidRDefault="00B206B2" w:rsidP="00DD6F49">
            <w:pPr>
              <w:pStyle w:val="TableText"/>
              <w:spacing w:line="240" w:lineRule="auto"/>
            </w:pPr>
            <w:r w:rsidRPr="00E44F3E">
              <w:t>Busulfan</w:t>
            </w:r>
          </w:p>
        </w:tc>
        <w:tc>
          <w:tcPr>
            <w:tcW w:w="2168" w:type="pct"/>
            <w:tcBorders>
              <w:top w:val="single" w:sz="4" w:space="0" w:color="C2D9BA"/>
              <w:bottom w:val="single" w:sz="4" w:space="0" w:color="C2D9BA"/>
            </w:tcBorders>
            <w:shd w:val="clear" w:color="auto" w:fill="auto"/>
            <w:vAlign w:val="center"/>
          </w:tcPr>
          <w:p w14:paraId="1A2F82CC"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2BB98641"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076043A8"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131047EB"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2A3CB93"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411F6B23" w14:textId="77777777" w:rsidTr="00E62BC7">
        <w:trPr>
          <w:cantSplit/>
        </w:trPr>
        <w:tc>
          <w:tcPr>
            <w:tcW w:w="1155" w:type="pct"/>
            <w:tcBorders>
              <w:top w:val="single" w:sz="4" w:space="0" w:color="C2D9BA"/>
              <w:bottom w:val="single" w:sz="4" w:space="0" w:color="C2D9BA"/>
            </w:tcBorders>
            <w:shd w:val="clear" w:color="auto" w:fill="auto"/>
            <w:vAlign w:val="center"/>
          </w:tcPr>
          <w:p w14:paraId="0B4A7D8C" w14:textId="77777777" w:rsidR="00B206B2" w:rsidRPr="00E44F3E" w:rsidRDefault="00B206B2" w:rsidP="00DD6F49">
            <w:pPr>
              <w:pStyle w:val="TableText"/>
              <w:spacing w:line="240" w:lineRule="auto"/>
            </w:pPr>
            <w:r w:rsidRPr="00E44F3E">
              <w:t>Carboplatin</w:t>
            </w:r>
          </w:p>
        </w:tc>
        <w:tc>
          <w:tcPr>
            <w:tcW w:w="2168" w:type="pct"/>
            <w:tcBorders>
              <w:top w:val="single" w:sz="4" w:space="0" w:color="C2D9BA"/>
              <w:bottom w:val="single" w:sz="4" w:space="0" w:color="C2D9BA"/>
            </w:tcBorders>
            <w:shd w:val="clear" w:color="auto" w:fill="auto"/>
            <w:vAlign w:val="center"/>
          </w:tcPr>
          <w:p w14:paraId="43BF2BA4"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17FA0CDF"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6ECC75C4" w14:textId="77777777" w:rsidR="00B206B2" w:rsidRPr="00E44F3E" w:rsidRDefault="00B206B2" w:rsidP="00DD6F49">
            <w:pPr>
              <w:pStyle w:val="TableText"/>
              <w:spacing w:line="240" w:lineRule="auto"/>
              <w:jc w:val="center"/>
              <w:rPr>
                <w:rFonts w:ascii="Wingdings 2" w:hAnsi="Times New Roman"/>
                <w:sz w:val="22"/>
                <w:szCs w:val="22"/>
                <w:lang w:eastAsia="en-NZ"/>
              </w:rPr>
            </w:pPr>
          </w:p>
        </w:tc>
        <w:tc>
          <w:tcPr>
            <w:tcW w:w="419" w:type="pct"/>
            <w:tcBorders>
              <w:top w:val="single" w:sz="4" w:space="0" w:color="C2D9BA"/>
              <w:bottom w:val="single" w:sz="4" w:space="0" w:color="C2D9BA"/>
            </w:tcBorders>
            <w:vAlign w:val="center"/>
          </w:tcPr>
          <w:p w14:paraId="34CEC73B"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BBDF2FA" w14:textId="77777777" w:rsidR="00B206B2" w:rsidRPr="00E44F3E" w:rsidRDefault="00B206B2" w:rsidP="00DD6F49">
            <w:pPr>
              <w:pStyle w:val="TableText"/>
              <w:spacing w:line="240" w:lineRule="auto"/>
              <w:jc w:val="center"/>
              <w:rPr>
                <w:rFonts w:ascii="Wingdings 2" w:hAnsi="Times New Roman"/>
                <w:sz w:val="22"/>
                <w:szCs w:val="22"/>
                <w:lang w:eastAsia="en-NZ"/>
              </w:rPr>
            </w:pPr>
          </w:p>
        </w:tc>
      </w:tr>
      <w:tr w:rsidR="00B206B2" w:rsidRPr="00E44F3E" w14:paraId="4EB03058" w14:textId="77777777" w:rsidTr="00E62BC7">
        <w:trPr>
          <w:cantSplit/>
        </w:trPr>
        <w:tc>
          <w:tcPr>
            <w:tcW w:w="1155" w:type="pct"/>
            <w:tcBorders>
              <w:top w:val="single" w:sz="4" w:space="0" w:color="C2D9BA"/>
              <w:bottom w:val="single" w:sz="4" w:space="0" w:color="C2D9BA"/>
            </w:tcBorders>
            <w:shd w:val="clear" w:color="auto" w:fill="auto"/>
            <w:vAlign w:val="center"/>
          </w:tcPr>
          <w:p w14:paraId="6D5E038A" w14:textId="77777777" w:rsidR="00B206B2" w:rsidRPr="00E44F3E" w:rsidRDefault="00B206B2" w:rsidP="00DD6F49">
            <w:pPr>
              <w:pStyle w:val="TableText"/>
              <w:spacing w:line="240" w:lineRule="auto"/>
            </w:pPr>
            <w:r w:rsidRPr="00E44F3E">
              <w:t>Chlorambucil</w:t>
            </w:r>
          </w:p>
        </w:tc>
        <w:tc>
          <w:tcPr>
            <w:tcW w:w="2168" w:type="pct"/>
            <w:tcBorders>
              <w:top w:val="single" w:sz="4" w:space="0" w:color="C2D9BA"/>
              <w:bottom w:val="single" w:sz="4" w:space="0" w:color="C2D9BA"/>
            </w:tcBorders>
            <w:shd w:val="clear" w:color="auto" w:fill="auto"/>
            <w:vAlign w:val="center"/>
          </w:tcPr>
          <w:p w14:paraId="4ABABF91"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7953F005"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242BE18F"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4278FA9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6329CA5" w14:textId="77777777" w:rsidR="00B206B2" w:rsidRPr="00E44F3E" w:rsidRDefault="00B206B2" w:rsidP="00DD6F49">
            <w:pPr>
              <w:pStyle w:val="TableText"/>
              <w:spacing w:line="240" w:lineRule="auto"/>
              <w:jc w:val="center"/>
              <w:rPr>
                <w:sz w:val="22"/>
                <w:szCs w:val="22"/>
                <w:lang w:eastAsia="en-NZ"/>
              </w:rPr>
            </w:pPr>
          </w:p>
        </w:tc>
      </w:tr>
      <w:tr w:rsidR="00B206B2" w:rsidRPr="00E44F3E" w14:paraId="3E0F9B0F" w14:textId="77777777" w:rsidTr="00E62BC7">
        <w:trPr>
          <w:cantSplit/>
        </w:trPr>
        <w:tc>
          <w:tcPr>
            <w:tcW w:w="1155" w:type="pct"/>
            <w:tcBorders>
              <w:top w:val="single" w:sz="4" w:space="0" w:color="C2D9BA"/>
              <w:bottom w:val="single" w:sz="4" w:space="0" w:color="C2D9BA"/>
            </w:tcBorders>
            <w:shd w:val="clear" w:color="auto" w:fill="auto"/>
            <w:vAlign w:val="center"/>
          </w:tcPr>
          <w:p w14:paraId="583B87F8" w14:textId="77777777" w:rsidR="00B206B2" w:rsidRPr="00E44F3E" w:rsidRDefault="00B206B2" w:rsidP="00DD6F49">
            <w:pPr>
              <w:pStyle w:val="TableText"/>
              <w:spacing w:line="240" w:lineRule="auto"/>
            </w:pPr>
            <w:r w:rsidRPr="00E44F3E">
              <w:t>Cisplatin</w:t>
            </w:r>
          </w:p>
        </w:tc>
        <w:tc>
          <w:tcPr>
            <w:tcW w:w="2168" w:type="pct"/>
            <w:tcBorders>
              <w:top w:val="single" w:sz="4" w:space="0" w:color="C2D9BA"/>
              <w:bottom w:val="single" w:sz="4" w:space="0" w:color="C2D9BA"/>
            </w:tcBorders>
            <w:shd w:val="clear" w:color="auto" w:fill="auto"/>
            <w:vAlign w:val="center"/>
          </w:tcPr>
          <w:p w14:paraId="7EDC136D"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5BE230B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0F748B1E"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0509CA2E"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39DF6BD" w14:textId="77777777" w:rsidR="00B206B2" w:rsidRPr="00E44F3E" w:rsidRDefault="00B206B2" w:rsidP="00DD6F49">
            <w:pPr>
              <w:pStyle w:val="TableText"/>
              <w:spacing w:line="240" w:lineRule="auto"/>
              <w:jc w:val="center"/>
              <w:rPr>
                <w:sz w:val="22"/>
                <w:szCs w:val="22"/>
                <w:lang w:eastAsia="en-NZ"/>
              </w:rPr>
            </w:pPr>
          </w:p>
        </w:tc>
      </w:tr>
      <w:tr w:rsidR="00B206B2" w:rsidRPr="00E44F3E" w14:paraId="56BE00A6" w14:textId="77777777" w:rsidTr="00E62BC7">
        <w:trPr>
          <w:cantSplit/>
        </w:trPr>
        <w:tc>
          <w:tcPr>
            <w:tcW w:w="1155" w:type="pct"/>
            <w:tcBorders>
              <w:top w:val="single" w:sz="4" w:space="0" w:color="C2D9BA"/>
              <w:bottom w:val="single" w:sz="4" w:space="0" w:color="C2D9BA"/>
            </w:tcBorders>
            <w:shd w:val="clear" w:color="auto" w:fill="auto"/>
            <w:vAlign w:val="center"/>
          </w:tcPr>
          <w:p w14:paraId="77BC6596" w14:textId="77777777" w:rsidR="00B206B2" w:rsidRPr="00E44F3E" w:rsidRDefault="00B206B2" w:rsidP="00DD6F49">
            <w:pPr>
              <w:pStyle w:val="TableText"/>
              <w:spacing w:line="240" w:lineRule="auto"/>
            </w:pPr>
            <w:r w:rsidRPr="00E44F3E">
              <w:t>Cladribine</w:t>
            </w:r>
          </w:p>
        </w:tc>
        <w:tc>
          <w:tcPr>
            <w:tcW w:w="2168" w:type="pct"/>
            <w:tcBorders>
              <w:top w:val="single" w:sz="4" w:space="0" w:color="C2D9BA"/>
              <w:bottom w:val="single" w:sz="4" w:space="0" w:color="C2D9BA"/>
            </w:tcBorders>
            <w:shd w:val="clear" w:color="auto" w:fill="auto"/>
            <w:vAlign w:val="center"/>
          </w:tcPr>
          <w:p w14:paraId="11923537" w14:textId="77777777" w:rsidR="00B206B2" w:rsidRPr="00E44F3E" w:rsidRDefault="00B206B2" w:rsidP="00DD6F49">
            <w:pPr>
              <w:pStyle w:val="TableText"/>
              <w:spacing w:line="240" w:lineRule="auto"/>
            </w:pPr>
            <w:r w:rsidRPr="00E44F3E">
              <w:t xml:space="preserve">Hairy cell leukaemia </w:t>
            </w:r>
          </w:p>
        </w:tc>
        <w:tc>
          <w:tcPr>
            <w:tcW w:w="419" w:type="pct"/>
            <w:tcBorders>
              <w:top w:val="single" w:sz="4" w:space="0" w:color="C2D9BA"/>
              <w:bottom w:val="single" w:sz="4" w:space="0" w:color="C2D9BA"/>
            </w:tcBorders>
            <w:shd w:val="clear" w:color="auto" w:fill="FFF7ED"/>
            <w:vAlign w:val="center"/>
          </w:tcPr>
          <w:p w14:paraId="31102D10"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549D8D7C"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B49C39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7E2114A" w14:textId="77777777" w:rsidR="00B206B2" w:rsidRPr="00E44F3E" w:rsidRDefault="00B206B2" w:rsidP="00DD6F49">
            <w:pPr>
              <w:pStyle w:val="TableText"/>
              <w:spacing w:line="240" w:lineRule="auto"/>
              <w:jc w:val="center"/>
              <w:rPr>
                <w:sz w:val="22"/>
                <w:szCs w:val="22"/>
                <w:lang w:eastAsia="en-NZ"/>
              </w:rPr>
            </w:pPr>
          </w:p>
        </w:tc>
      </w:tr>
      <w:tr w:rsidR="00B206B2" w:rsidRPr="00E44F3E" w14:paraId="5C729E6B" w14:textId="77777777" w:rsidTr="00E62BC7">
        <w:trPr>
          <w:cantSplit/>
        </w:trPr>
        <w:tc>
          <w:tcPr>
            <w:tcW w:w="1155" w:type="pct"/>
            <w:tcBorders>
              <w:top w:val="single" w:sz="4" w:space="0" w:color="C2D9BA"/>
              <w:bottom w:val="single" w:sz="4" w:space="0" w:color="C2D9BA"/>
            </w:tcBorders>
            <w:shd w:val="clear" w:color="auto" w:fill="auto"/>
            <w:vAlign w:val="center"/>
          </w:tcPr>
          <w:p w14:paraId="522BC60E" w14:textId="77777777" w:rsidR="00B206B2" w:rsidRPr="00E44F3E" w:rsidRDefault="00B206B2" w:rsidP="00DD6F49">
            <w:pPr>
              <w:pStyle w:val="TableText"/>
              <w:spacing w:line="240" w:lineRule="auto"/>
            </w:pPr>
            <w:r w:rsidRPr="00E44F3E">
              <w:t>Cyclophosphamide</w:t>
            </w:r>
          </w:p>
        </w:tc>
        <w:tc>
          <w:tcPr>
            <w:tcW w:w="2168" w:type="pct"/>
            <w:tcBorders>
              <w:top w:val="single" w:sz="4" w:space="0" w:color="C2D9BA"/>
              <w:bottom w:val="single" w:sz="4" w:space="0" w:color="C2D9BA"/>
            </w:tcBorders>
            <w:shd w:val="clear" w:color="auto" w:fill="auto"/>
            <w:vAlign w:val="center"/>
          </w:tcPr>
          <w:p w14:paraId="7459FA8C"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3AEDC98A"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4F599690"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AF1ED9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E340361" w14:textId="77777777" w:rsidR="00B206B2" w:rsidRPr="00E44F3E" w:rsidRDefault="00B206B2" w:rsidP="00DD6F49">
            <w:pPr>
              <w:pStyle w:val="TableText"/>
              <w:spacing w:line="240" w:lineRule="auto"/>
              <w:jc w:val="center"/>
              <w:rPr>
                <w:sz w:val="22"/>
                <w:szCs w:val="22"/>
                <w:lang w:eastAsia="en-NZ"/>
              </w:rPr>
            </w:pPr>
          </w:p>
        </w:tc>
      </w:tr>
      <w:tr w:rsidR="00B206B2" w:rsidRPr="00E44F3E" w14:paraId="35B2F8C1" w14:textId="77777777" w:rsidTr="00E62BC7">
        <w:trPr>
          <w:cantSplit/>
        </w:trPr>
        <w:tc>
          <w:tcPr>
            <w:tcW w:w="1155" w:type="pct"/>
            <w:tcBorders>
              <w:top w:val="single" w:sz="4" w:space="0" w:color="C2D9BA"/>
              <w:bottom w:val="single" w:sz="4" w:space="0" w:color="C2D9BA"/>
            </w:tcBorders>
            <w:shd w:val="clear" w:color="auto" w:fill="auto"/>
            <w:vAlign w:val="center"/>
          </w:tcPr>
          <w:p w14:paraId="34344437" w14:textId="77777777" w:rsidR="00B206B2" w:rsidRPr="00E44F3E" w:rsidRDefault="00B206B2" w:rsidP="00DD6F49">
            <w:pPr>
              <w:pStyle w:val="TableText"/>
              <w:spacing w:line="240" w:lineRule="auto"/>
            </w:pPr>
            <w:r w:rsidRPr="00E44F3E">
              <w:t>Cytarabine</w:t>
            </w:r>
          </w:p>
        </w:tc>
        <w:tc>
          <w:tcPr>
            <w:tcW w:w="2168" w:type="pct"/>
            <w:tcBorders>
              <w:top w:val="single" w:sz="4" w:space="0" w:color="C2D9BA"/>
              <w:bottom w:val="single" w:sz="4" w:space="0" w:color="C2D9BA"/>
            </w:tcBorders>
            <w:shd w:val="clear" w:color="auto" w:fill="auto"/>
            <w:vAlign w:val="center"/>
          </w:tcPr>
          <w:p w14:paraId="5429C78C"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61D93055"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64200AFD"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3C526B25"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0E53F1C" w14:textId="77777777" w:rsidR="00B206B2" w:rsidRPr="00E44F3E" w:rsidRDefault="00B206B2" w:rsidP="00DD6F49">
            <w:pPr>
              <w:pStyle w:val="TableText"/>
              <w:spacing w:line="240" w:lineRule="auto"/>
              <w:jc w:val="center"/>
              <w:rPr>
                <w:sz w:val="22"/>
                <w:szCs w:val="22"/>
                <w:lang w:eastAsia="en-NZ"/>
              </w:rPr>
            </w:pPr>
          </w:p>
        </w:tc>
      </w:tr>
      <w:tr w:rsidR="00B206B2" w:rsidRPr="00E44F3E" w14:paraId="08B76FE7" w14:textId="77777777" w:rsidTr="00E62BC7">
        <w:trPr>
          <w:cantSplit/>
        </w:trPr>
        <w:tc>
          <w:tcPr>
            <w:tcW w:w="1155" w:type="pct"/>
            <w:tcBorders>
              <w:top w:val="single" w:sz="4" w:space="0" w:color="C2D9BA"/>
              <w:bottom w:val="single" w:sz="4" w:space="0" w:color="C2D9BA"/>
            </w:tcBorders>
            <w:shd w:val="clear" w:color="auto" w:fill="auto"/>
            <w:vAlign w:val="center"/>
          </w:tcPr>
          <w:p w14:paraId="2DFDC6F3" w14:textId="77777777" w:rsidR="00B206B2" w:rsidRPr="00E44F3E" w:rsidRDefault="00B206B2" w:rsidP="00DD6F49">
            <w:pPr>
              <w:pStyle w:val="TableText"/>
              <w:spacing w:line="240" w:lineRule="auto"/>
            </w:pPr>
            <w:proofErr w:type="spellStart"/>
            <w:r w:rsidRPr="00E44F3E">
              <w:t>Dasatinib</w:t>
            </w:r>
            <w:proofErr w:type="spellEnd"/>
          </w:p>
        </w:tc>
        <w:tc>
          <w:tcPr>
            <w:tcW w:w="2168" w:type="pct"/>
            <w:tcBorders>
              <w:top w:val="single" w:sz="4" w:space="0" w:color="C2D9BA"/>
              <w:bottom w:val="single" w:sz="4" w:space="0" w:color="C2D9BA"/>
            </w:tcBorders>
            <w:shd w:val="clear" w:color="auto" w:fill="auto"/>
            <w:vAlign w:val="center"/>
          </w:tcPr>
          <w:p w14:paraId="7BC63303" w14:textId="77777777" w:rsidR="00B206B2" w:rsidRPr="00E44F3E" w:rsidRDefault="00B206B2" w:rsidP="00DD6F49">
            <w:pPr>
              <w:pStyle w:val="TableText"/>
              <w:spacing w:line="240" w:lineRule="auto"/>
            </w:pPr>
            <w:r w:rsidRPr="00E44F3E">
              <w:t xml:space="preserve">Acute lymphocytic leukaemia </w:t>
            </w:r>
          </w:p>
        </w:tc>
        <w:tc>
          <w:tcPr>
            <w:tcW w:w="419" w:type="pct"/>
            <w:tcBorders>
              <w:top w:val="single" w:sz="4" w:space="0" w:color="C2D9BA"/>
              <w:bottom w:val="single" w:sz="4" w:space="0" w:color="C2D9BA"/>
            </w:tcBorders>
            <w:shd w:val="clear" w:color="auto" w:fill="FFF7ED"/>
            <w:vAlign w:val="center"/>
          </w:tcPr>
          <w:p w14:paraId="7D9FF904"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7D210343"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687286F"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A271758"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10A1F95D" w14:textId="77777777" w:rsidTr="00E62BC7">
        <w:trPr>
          <w:cantSplit/>
        </w:trPr>
        <w:tc>
          <w:tcPr>
            <w:tcW w:w="1155" w:type="pct"/>
            <w:tcBorders>
              <w:top w:val="single" w:sz="4" w:space="0" w:color="C2D9BA"/>
              <w:bottom w:val="single" w:sz="4" w:space="0" w:color="C2D9BA"/>
            </w:tcBorders>
            <w:shd w:val="clear" w:color="auto" w:fill="auto"/>
            <w:vAlign w:val="center"/>
          </w:tcPr>
          <w:p w14:paraId="004C97BC" w14:textId="77777777" w:rsidR="00B206B2" w:rsidRPr="00E44F3E" w:rsidRDefault="00B206B2" w:rsidP="00DD6F49">
            <w:pPr>
              <w:pStyle w:val="TableText"/>
              <w:spacing w:line="240" w:lineRule="auto"/>
            </w:pPr>
            <w:proofErr w:type="spellStart"/>
            <w:r w:rsidRPr="00E44F3E">
              <w:t>Dasatinib</w:t>
            </w:r>
            <w:proofErr w:type="spellEnd"/>
          </w:p>
        </w:tc>
        <w:tc>
          <w:tcPr>
            <w:tcW w:w="2168" w:type="pct"/>
            <w:tcBorders>
              <w:top w:val="single" w:sz="4" w:space="0" w:color="C2D9BA"/>
              <w:bottom w:val="single" w:sz="4" w:space="0" w:color="C2D9BA"/>
            </w:tcBorders>
            <w:shd w:val="clear" w:color="auto" w:fill="auto"/>
            <w:vAlign w:val="center"/>
          </w:tcPr>
          <w:p w14:paraId="1565BE39" w14:textId="77777777" w:rsidR="00B206B2" w:rsidRPr="00E44F3E" w:rsidRDefault="00B206B2" w:rsidP="00DD6F49">
            <w:pPr>
              <w:pStyle w:val="TableText"/>
              <w:spacing w:line="240" w:lineRule="auto"/>
            </w:pPr>
            <w:r w:rsidRPr="00E44F3E">
              <w:t xml:space="preserve">Chronic myeloid leukaemia </w:t>
            </w:r>
          </w:p>
        </w:tc>
        <w:tc>
          <w:tcPr>
            <w:tcW w:w="419" w:type="pct"/>
            <w:tcBorders>
              <w:top w:val="single" w:sz="4" w:space="0" w:color="C2D9BA"/>
              <w:bottom w:val="single" w:sz="4" w:space="0" w:color="C2D9BA"/>
            </w:tcBorders>
            <w:shd w:val="clear" w:color="auto" w:fill="FFF7ED"/>
            <w:vAlign w:val="center"/>
          </w:tcPr>
          <w:p w14:paraId="7B3F49A7"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45F975A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E242A05"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1C6CAFD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30F5895A" w14:textId="77777777" w:rsidTr="00E62BC7">
        <w:trPr>
          <w:cantSplit/>
        </w:trPr>
        <w:tc>
          <w:tcPr>
            <w:tcW w:w="1155" w:type="pct"/>
            <w:tcBorders>
              <w:top w:val="single" w:sz="4" w:space="0" w:color="C2D9BA"/>
              <w:bottom w:val="single" w:sz="4" w:space="0" w:color="C2D9BA"/>
            </w:tcBorders>
            <w:shd w:val="clear" w:color="auto" w:fill="auto"/>
            <w:vAlign w:val="center"/>
          </w:tcPr>
          <w:p w14:paraId="30E811BE" w14:textId="77777777" w:rsidR="00B206B2" w:rsidRPr="00E44F3E" w:rsidRDefault="00B206B2" w:rsidP="00DD6F49">
            <w:pPr>
              <w:pStyle w:val="TableText"/>
              <w:spacing w:line="240" w:lineRule="auto"/>
            </w:pPr>
            <w:r w:rsidRPr="00E44F3E">
              <w:t>Doxorubicin</w:t>
            </w:r>
          </w:p>
        </w:tc>
        <w:tc>
          <w:tcPr>
            <w:tcW w:w="2168" w:type="pct"/>
            <w:tcBorders>
              <w:top w:val="single" w:sz="4" w:space="0" w:color="C2D9BA"/>
              <w:bottom w:val="single" w:sz="4" w:space="0" w:color="C2D9BA"/>
            </w:tcBorders>
            <w:shd w:val="clear" w:color="auto" w:fill="auto"/>
            <w:vAlign w:val="center"/>
          </w:tcPr>
          <w:p w14:paraId="51FD7F43"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050813FF"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21F3CB45"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20C9E14C"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BD4E22B"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21DEF890" w14:textId="77777777" w:rsidTr="00E62BC7">
        <w:trPr>
          <w:cantSplit/>
        </w:trPr>
        <w:tc>
          <w:tcPr>
            <w:tcW w:w="1155" w:type="pct"/>
            <w:tcBorders>
              <w:top w:val="single" w:sz="4" w:space="0" w:color="C2D9BA"/>
              <w:bottom w:val="single" w:sz="4" w:space="0" w:color="C2D9BA"/>
            </w:tcBorders>
            <w:shd w:val="clear" w:color="auto" w:fill="auto"/>
            <w:vAlign w:val="center"/>
          </w:tcPr>
          <w:p w14:paraId="56A313BE" w14:textId="77777777" w:rsidR="00B206B2" w:rsidRPr="00E44F3E" w:rsidRDefault="00B206B2" w:rsidP="00DD6F49">
            <w:pPr>
              <w:pStyle w:val="TableText"/>
              <w:spacing w:line="240" w:lineRule="auto"/>
            </w:pPr>
            <w:r w:rsidRPr="00E44F3E">
              <w:lastRenderedPageBreak/>
              <w:t>Epirubicin</w:t>
            </w:r>
          </w:p>
        </w:tc>
        <w:tc>
          <w:tcPr>
            <w:tcW w:w="2168" w:type="pct"/>
            <w:tcBorders>
              <w:top w:val="single" w:sz="4" w:space="0" w:color="C2D9BA"/>
              <w:bottom w:val="single" w:sz="4" w:space="0" w:color="C2D9BA"/>
            </w:tcBorders>
            <w:shd w:val="clear" w:color="auto" w:fill="auto"/>
            <w:vAlign w:val="center"/>
          </w:tcPr>
          <w:p w14:paraId="493935E4"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32D54BD0"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3BCA3830"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57DA6A2B"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127E090" w14:textId="77777777" w:rsidR="00B206B2" w:rsidRPr="00E44F3E" w:rsidRDefault="00B206B2" w:rsidP="00DD6F49">
            <w:pPr>
              <w:pStyle w:val="TableText"/>
              <w:spacing w:line="240" w:lineRule="auto"/>
              <w:jc w:val="center"/>
              <w:rPr>
                <w:sz w:val="22"/>
                <w:szCs w:val="22"/>
                <w:lang w:eastAsia="en-NZ"/>
              </w:rPr>
            </w:pPr>
          </w:p>
        </w:tc>
      </w:tr>
      <w:tr w:rsidR="00B206B2" w:rsidRPr="00E44F3E" w14:paraId="19966090" w14:textId="77777777" w:rsidTr="00E62BC7">
        <w:trPr>
          <w:cantSplit/>
        </w:trPr>
        <w:tc>
          <w:tcPr>
            <w:tcW w:w="1155" w:type="pct"/>
            <w:tcBorders>
              <w:top w:val="single" w:sz="4" w:space="0" w:color="C2D9BA"/>
              <w:bottom w:val="single" w:sz="4" w:space="0" w:color="C2D9BA"/>
            </w:tcBorders>
            <w:shd w:val="clear" w:color="auto" w:fill="auto"/>
            <w:vAlign w:val="center"/>
          </w:tcPr>
          <w:p w14:paraId="01F276B8" w14:textId="77777777" w:rsidR="00B206B2" w:rsidRPr="00E44F3E" w:rsidRDefault="00B206B2" w:rsidP="00DD6F49">
            <w:pPr>
              <w:pStyle w:val="TableText"/>
              <w:spacing w:line="240" w:lineRule="auto"/>
            </w:pPr>
            <w:r w:rsidRPr="00E44F3E">
              <w:t>Etoposide</w:t>
            </w:r>
          </w:p>
        </w:tc>
        <w:tc>
          <w:tcPr>
            <w:tcW w:w="2168" w:type="pct"/>
            <w:tcBorders>
              <w:top w:val="single" w:sz="4" w:space="0" w:color="C2D9BA"/>
              <w:bottom w:val="single" w:sz="4" w:space="0" w:color="C2D9BA"/>
            </w:tcBorders>
            <w:shd w:val="clear" w:color="auto" w:fill="auto"/>
            <w:vAlign w:val="center"/>
          </w:tcPr>
          <w:p w14:paraId="4DC1327B"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07BA7706"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1774DF99"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9B2AFD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70FF0D1" w14:textId="77777777" w:rsidR="00B206B2" w:rsidRPr="00E44F3E" w:rsidRDefault="00B206B2" w:rsidP="00DD6F49">
            <w:pPr>
              <w:pStyle w:val="TableText"/>
              <w:spacing w:line="240" w:lineRule="auto"/>
              <w:jc w:val="center"/>
              <w:rPr>
                <w:sz w:val="22"/>
                <w:szCs w:val="22"/>
                <w:lang w:eastAsia="en-NZ"/>
              </w:rPr>
            </w:pPr>
          </w:p>
        </w:tc>
      </w:tr>
      <w:tr w:rsidR="00B206B2" w:rsidRPr="00E44F3E" w14:paraId="51C8D574" w14:textId="77777777" w:rsidTr="00E62BC7">
        <w:trPr>
          <w:cantSplit/>
        </w:trPr>
        <w:tc>
          <w:tcPr>
            <w:tcW w:w="1155" w:type="pct"/>
            <w:tcBorders>
              <w:top w:val="single" w:sz="4" w:space="0" w:color="C2D9BA"/>
              <w:bottom w:val="single" w:sz="4" w:space="0" w:color="C2D9BA"/>
            </w:tcBorders>
            <w:shd w:val="clear" w:color="auto" w:fill="auto"/>
            <w:vAlign w:val="center"/>
          </w:tcPr>
          <w:p w14:paraId="39033799" w14:textId="77777777" w:rsidR="00B206B2" w:rsidRPr="00E44F3E" w:rsidRDefault="00B206B2" w:rsidP="00DD6F49">
            <w:pPr>
              <w:pStyle w:val="TableText"/>
              <w:spacing w:line="240" w:lineRule="auto"/>
            </w:pPr>
            <w:r w:rsidRPr="00E44F3E">
              <w:t>Fludarabine</w:t>
            </w:r>
          </w:p>
        </w:tc>
        <w:tc>
          <w:tcPr>
            <w:tcW w:w="2168" w:type="pct"/>
            <w:tcBorders>
              <w:top w:val="single" w:sz="4" w:space="0" w:color="C2D9BA"/>
              <w:bottom w:val="single" w:sz="4" w:space="0" w:color="C2D9BA"/>
            </w:tcBorders>
            <w:shd w:val="clear" w:color="auto" w:fill="auto"/>
            <w:vAlign w:val="center"/>
          </w:tcPr>
          <w:p w14:paraId="4B78C6C4"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736E336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65B6ED54"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35BB938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8182824" w14:textId="77777777" w:rsidR="00B206B2" w:rsidRPr="00E44F3E" w:rsidRDefault="00B206B2" w:rsidP="00DD6F49">
            <w:pPr>
              <w:pStyle w:val="TableText"/>
              <w:spacing w:line="240" w:lineRule="auto"/>
              <w:jc w:val="center"/>
              <w:rPr>
                <w:sz w:val="22"/>
                <w:szCs w:val="22"/>
                <w:lang w:eastAsia="en-NZ"/>
              </w:rPr>
            </w:pPr>
          </w:p>
        </w:tc>
      </w:tr>
      <w:tr w:rsidR="00B206B2" w:rsidRPr="00E44F3E" w14:paraId="7A40CEEB" w14:textId="77777777" w:rsidTr="00E62BC7">
        <w:trPr>
          <w:cantSplit/>
        </w:trPr>
        <w:tc>
          <w:tcPr>
            <w:tcW w:w="1155" w:type="pct"/>
            <w:tcBorders>
              <w:top w:val="single" w:sz="4" w:space="0" w:color="C2D9BA"/>
              <w:bottom w:val="single" w:sz="4" w:space="0" w:color="C2D9BA"/>
            </w:tcBorders>
            <w:shd w:val="clear" w:color="auto" w:fill="auto"/>
            <w:vAlign w:val="center"/>
          </w:tcPr>
          <w:p w14:paraId="20B19E08" w14:textId="77777777" w:rsidR="00B206B2" w:rsidRPr="00E44F3E" w:rsidRDefault="00B206B2" w:rsidP="00DD6F49">
            <w:pPr>
              <w:pStyle w:val="TableText"/>
              <w:spacing w:line="240" w:lineRule="auto"/>
            </w:pPr>
            <w:r w:rsidRPr="00E44F3E">
              <w:t>Gemcitabine</w:t>
            </w:r>
          </w:p>
        </w:tc>
        <w:tc>
          <w:tcPr>
            <w:tcW w:w="2168" w:type="pct"/>
            <w:tcBorders>
              <w:top w:val="single" w:sz="4" w:space="0" w:color="C2D9BA"/>
              <w:bottom w:val="single" w:sz="4" w:space="0" w:color="C2D9BA"/>
            </w:tcBorders>
            <w:shd w:val="clear" w:color="auto" w:fill="auto"/>
            <w:vAlign w:val="center"/>
          </w:tcPr>
          <w:p w14:paraId="5908590B"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304CE76B"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1156C758"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492A3BC8"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4444610" w14:textId="77777777" w:rsidR="00B206B2" w:rsidRPr="00E44F3E" w:rsidRDefault="00B206B2" w:rsidP="00DD6F49">
            <w:pPr>
              <w:pStyle w:val="TableText"/>
              <w:spacing w:line="240" w:lineRule="auto"/>
              <w:jc w:val="center"/>
              <w:rPr>
                <w:sz w:val="22"/>
                <w:szCs w:val="22"/>
                <w:lang w:eastAsia="en-NZ"/>
              </w:rPr>
            </w:pPr>
          </w:p>
        </w:tc>
      </w:tr>
      <w:tr w:rsidR="00B206B2" w:rsidRPr="00E44F3E" w14:paraId="5BFFE206" w14:textId="77777777" w:rsidTr="00E62BC7">
        <w:trPr>
          <w:cantSplit/>
        </w:trPr>
        <w:tc>
          <w:tcPr>
            <w:tcW w:w="1155" w:type="pct"/>
            <w:tcBorders>
              <w:top w:val="single" w:sz="4" w:space="0" w:color="C2D9BA"/>
              <w:bottom w:val="single" w:sz="4" w:space="0" w:color="C2D9BA"/>
            </w:tcBorders>
            <w:shd w:val="clear" w:color="auto" w:fill="auto"/>
            <w:vAlign w:val="center"/>
          </w:tcPr>
          <w:p w14:paraId="234EF7FF" w14:textId="77777777" w:rsidR="00B206B2" w:rsidRPr="00E44F3E" w:rsidRDefault="00B206B2" w:rsidP="00DD6F49">
            <w:pPr>
              <w:pStyle w:val="TableText"/>
              <w:spacing w:line="240" w:lineRule="auto"/>
            </w:pPr>
            <w:proofErr w:type="spellStart"/>
            <w:r w:rsidRPr="00E44F3E">
              <w:t>Gemtuzumab</w:t>
            </w:r>
            <w:proofErr w:type="spellEnd"/>
            <w:r w:rsidRPr="00E44F3E">
              <w:t xml:space="preserve"> </w:t>
            </w:r>
            <w:proofErr w:type="spellStart"/>
            <w:r w:rsidRPr="00E44F3E">
              <w:t>ozogamicin</w:t>
            </w:r>
            <w:proofErr w:type="spellEnd"/>
          </w:p>
        </w:tc>
        <w:tc>
          <w:tcPr>
            <w:tcW w:w="2168" w:type="pct"/>
            <w:tcBorders>
              <w:top w:val="single" w:sz="4" w:space="0" w:color="C2D9BA"/>
              <w:bottom w:val="single" w:sz="4" w:space="0" w:color="C2D9BA"/>
            </w:tcBorders>
            <w:shd w:val="clear" w:color="auto" w:fill="auto"/>
            <w:vAlign w:val="center"/>
          </w:tcPr>
          <w:p w14:paraId="278CB766" w14:textId="77777777" w:rsidR="00B206B2" w:rsidRPr="00E44F3E" w:rsidRDefault="00B206B2" w:rsidP="00DD6F49">
            <w:pPr>
              <w:pStyle w:val="TableText"/>
              <w:spacing w:line="240" w:lineRule="auto"/>
            </w:pPr>
            <w:r w:rsidRPr="00E44F3E">
              <w:t xml:space="preserve">Acute myeloid leukaemia </w:t>
            </w:r>
          </w:p>
        </w:tc>
        <w:tc>
          <w:tcPr>
            <w:tcW w:w="419" w:type="pct"/>
            <w:tcBorders>
              <w:top w:val="single" w:sz="4" w:space="0" w:color="C2D9BA"/>
              <w:bottom w:val="single" w:sz="4" w:space="0" w:color="C2D9BA"/>
            </w:tcBorders>
            <w:shd w:val="clear" w:color="auto" w:fill="FFF7ED"/>
            <w:vAlign w:val="center"/>
          </w:tcPr>
          <w:p w14:paraId="5C647BA6"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15E886F8"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48E8EA5"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C030C69"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3C1518B5" w14:textId="77777777" w:rsidTr="00E62BC7">
        <w:trPr>
          <w:cantSplit/>
        </w:trPr>
        <w:tc>
          <w:tcPr>
            <w:tcW w:w="1155" w:type="pct"/>
            <w:tcBorders>
              <w:top w:val="single" w:sz="4" w:space="0" w:color="C2D9BA"/>
              <w:bottom w:val="single" w:sz="4" w:space="0" w:color="C2D9BA"/>
            </w:tcBorders>
            <w:shd w:val="clear" w:color="auto" w:fill="auto"/>
            <w:vAlign w:val="center"/>
          </w:tcPr>
          <w:p w14:paraId="028EDDC5" w14:textId="77777777" w:rsidR="00B206B2" w:rsidRPr="00E44F3E" w:rsidRDefault="00B206B2" w:rsidP="00DD6F49">
            <w:pPr>
              <w:pStyle w:val="TableText"/>
              <w:spacing w:line="240" w:lineRule="auto"/>
            </w:pPr>
            <w:r w:rsidRPr="00E44F3E">
              <w:t>Hydroxycarbamide (hydroxyurea)</w:t>
            </w:r>
          </w:p>
        </w:tc>
        <w:tc>
          <w:tcPr>
            <w:tcW w:w="2168" w:type="pct"/>
            <w:tcBorders>
              <w:top w:val="single" w:sz="4" w:space="0" w:color="C2D9BA"/>
              <w:bottom w:val="single" w:sz="4" w:space="0" w:color="C2D9BA"/>
            </w:tcBorders>
            <w:shd w:val="clear" w:color="auto" w:fill="auto"/>
            <w:vAlign w:val="center"/>
          </w:tcPr>
          <w:p w14:paraId="3DDE7D06"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1B6F1A56"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105226D8"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AA8D887"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A878563"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269ACB16" w14:textId="77777777" w:rsidTr="00E62BC7">
        <w:trPr>
          <w:cantSplit/>
        </w:trPr>
        <w:tc>
          <w:tcPr>
            <w:tcW w:w="1155" w:type="pct"/>
            <w:tcBorders>
              <w:top w:val="single" w:sz="4" w:space="0" w:color="C2D9BA"/>
              <w:bottom w:val="single" w:sz="4" w:space="0" w:color="C2D9BA"/>
            </w:tcBorders>
            <w:shd w:val="clear" w:color="auto" w:fill="auto"/>
            <w:vAlign w:val="center"/>
          </w:tcPr>
          <w:p w14:paraId="1061A768" w14:textId="77777777" w:rsidR="00B206B2" w:rsidRPr="00E44F3E" w:rsidRDefault="00B206B2" w:rsidP="00DD6F49">
            <w:pPr>
              <w:pStyle w:val="TableText"/>
              <w:spacing w:line="240" w:lineRule="auto"/>
            </w:pPr>
            <w:r w:rsidRPr="00E44F3E">
              <w:t>Ibrutinib</w:t>
            </w:r>
          </w:p>
        </w:tc>
        <w:tc>
          <w:tcPr>
            <w:tcW w:w="2168" w:type="pct"/>
            <w:tcBorders>
              <w:top w:val="single" w:sz="4" w:space="0" w:color="C2D9BA"/>
              <w:bottom w:val="single" w:sz="4" w:space="0" w:color="C2D9BA"/>
            </w:tcBorders>
            <w:shd w:val="clear" w:color="auto" w:fill="auto"/>
            <w:vAlign w:val="center"/>
          </w:tcPr>
          <w:p w14:paraId="0D5FF77B" w14:textId="77777777" w:rsidR="00B206B2" w:rsidRPr="00E44F3E" w:rsidRDefault="00B206B2" w:rsidP="00DD6F49">
            <w:pPr>
              <w:pStyle w:val="TableText"/>
              <w:spacing w:line="240" w:lineRule="auto"/>
            </w:pPr>
            <w:r w:rsidRPr="00E44F3E">
              <w:t xml:space="preserve">Chronic lymphocytic leukaemia or small lymphocytic leukaemia </w:t>
            </w:r>
          </w:p>
        </w:tc>
        <w:tc>
          <w:tcPr>
            <w:tcW w:w="419" w:type="pct"/>
            <w:tcBorders>
              <w:top w:val="single" w:sz="4" w:space="0" w:color="C2D9BA"/>
              <w:bottom w:val="single" w:sz="4" w:space="0" w:color="C2D9BA"/>
            </w:tcBorders>
            <w:shd w:val="clear" w:color="auto" w:fill="FFF7ED"/>
            <w:vAlign w:val="center"/>
          </w:tcPr>
          <w:p w14:paraId="35A5F417"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3A91D7FE"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818099D"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1D357373"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4F64F85C" w14:textId="77777777" w:rsidTr="00E62BC7">
        <w:trPr>
          <w:cantSplit/>
        </w:trPr>
        <w:tc>
          <w:tcPr>
            <w:tcW w:w="1155" w:type="pct"/>
            <w:tcBorders>
              <w:top w:val="single" w:sz="4" w:space="0" w:color="C2D9BA"/>
              <w:bottom w:val="single" w:sz="4" w:space="0" w:color="C2D9BA"/>
            </w:tcBorders>
            <w:shd w:val="clear" w:color="auto" w:fill="auto"/>
            <w:vAlign w:val="center"/>
          </w:tcPr>
          <w:p w14:paraId="1B6DC956" w14:textId="77777777" w:rsidR="00B206B2" w:rsidRPr="00E44F3E" w:rsidRDefault="00B206B2" w:rsidP="00DD6F49">
            <w:pPr>
              <w:pStyle w:val="TableText"/>
              <w:spacing w:line="240" w:lineRule="auto"/>
            </w:pPr>
            <w:r w:rsidRPr="00E44F3E">
              <w:t>Idarubicin</w:t>
            </w:r>
          </w:p>
        </w:tc>
        <w:tc>
          <w:tcPr>
            <w:tcW w:w="2168" w:type="pct"/>
            <w:tcBorders>
              <w:top w:val="single" w:sz="4" w:space="0" w:color="C2D9BA"/>
              <w:bottom w:val="single" w:sz="4" w:space="0" w:color="C2D9BA"/>
            </w:tcBorders>
            <w:shd w:val="clear" w:color="auto" w:fill="auto"/>
            <w:vAlign w:val="center"/>
          </w:tcPr>
          <w:p w14:paraId="5DD1A083" w14:textId="77777777" w:rsidR="00B206B2" w:rsidRPr="00E44F3E" w:rsidRDefault="00B206B2" w:rsidP="00DD6F49">
            <w:pPr>
              <w:pStyle w:val="TableText"/>
              <w:spacing w:line="240" w:lineRule="auto"/>
            </w:pPr>
            <w:r w:rsidRPr="00E44F3E">
              <w:t xml:space="preserve">Acute myeloid leukaemia </w:t>
            </w:r>
          </w:p>
        </w:tc>
        <w:tc>
          <w:tcPr>
            <w:tcW w:w="419" w:type="pct"/>
            <w:tcBorders>
              <w:top w:val="single" w:sz="4" w:space="0" w:color="C2D9BA"/>
              <w:bottom w:val="single" w:sz="4" w:space="0" w:color="C2D9BA"/>
            </w:tcBorders>
            <w:shd w:val="clear" w:color="auto" w:fill="FFF7ED"/>
            <w:vAlign w:val="center"/>
          </w:tcPr>
          <w:p w14:paraId="4E07AB3D"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1741215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8A9132C"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9514F88"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4E815A31" w14:textId="77777777" w:rsidTr="00E62BC7">
        <w:trPr>
          <w:cantSplit/>
        </w:trPr>
        <w:tc>
          <w:tcPr>
            <w:tcW w:w="1155" w:type="pct"/>
            <w:tcBorders>
              <w:top w:val="single" w:sz="4" w:space="0" w:color="C2D9BA"/>
              <w:bottom w:val="single" w:sz="4" w:space="0" w:color="C2D9BA"/>
            </w:tcBorders>
            <w:shd w:val="clear" w:color="auto" w:fill="auto"/>
            <w:vAlign w:val="center"/>
          </w:tcPr>
          <w:p w14:paraId="6F98C719" w14:textId="77777777" w:rsidR="00B206B2" w:rsidRPr="00E44F3E" w:rsidRDefault="00B206B2" w:rsidP="00DD6F49">
            <w:pPr>
              <w:pStyle w:val="TableText"/>
              <w:spacing w:line="240" w:lineRule="auto"/>
            </w:pPr>
            <w:proofErr w:type="spellStart"/>
            <w:r w:rsidRPr="00E44F3E">
              <w:t>Ifosfamide</w:t>
            </w:r>
            <w:proofErr w:type="spellEnd"/>
          </w:p>
        </w:tc>
        <w:tc>
          <w:tcPr>
            <w:tcW w:w="2168" w:type="pct"/>
            <w:tcBorders>
              <w:top w:val="single" w:sz="4" w:space="0" w:color="C2D9BA"/>
              <w:bottom w:val="single" w:sz="4" w:space="0" w:color="C2D9BA"/>
            </w:tcBorders>
            <w:shd w:val="clear" w:color="auto" w:fill="auto"/>
            <w:vAlign w:val="center"/>
          </w:tcPr>
          <w:p w14:paraId="531AF694"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4C726634"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5BC7BBF2"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188211B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0EDD140" w14:textId="77777777" w:rsidR="00B206B2" w:rsidRPr="00E44F3E" w:rsidRDefault="00B206B2" w:rsidP="00DD6F49">
            <w:pPr>
              <w:pStyle w:val="TableText"/>
              <w:spacing w:line="240" w:lineRule="auto"/>
              <w:jc w:val="center"/>
              <w:rPr>
                <w:sz w:val="22"/>
                <w:szCs w:val="22"/>
                <w:lang w:eastAsia="en-NZ"/>
              </w:rPr>
            </w:pPr>
          </w:p>
        </w:tc>
      </w:tr>
      <w:tr w:rsidR="00B206B2" w:rsidRPr="00E44F3E" w14:paraId="31E6DE4B" w14:textId="77777777" w:rsidTr="00E62BC7">
        <w:trPr>
          <w:cantSplit/>
        </w:trPr>
        <w:tc>
          <w:tcPr>
            <w:tcW w:w="1155" w:type="pct"/>
            <w:tcBorders>
              <w:top w:val="single" w:sz="4" w:space="0" w:color="C2D9BA"/>
              <w:bottom w:val="single" w:sz="4" w:space="0" w:color="C2D9BA"/>
            </w:tcBorders>
            <w:shd w:val="clear" w:color="auto" w:fill="auto"/>
            <w:vAlign w:val="center"/>
          </w:tcPr>
          <w:p w14:paraId="536DF0C0"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3BB9E59E" w14:textId="77777777" w:rsidR="00B206B2" w:rsidRPr="00E44F3E" w:rsidRDefault="00B206B2" w:rsidP="00DD6F49">
            <w:pPr>
              <w:pStyle w:val="TableText"/>
              <w:spacing w:line="240" w:lineRule="auto"/>
            </w:pPr>
            <w:r w:rsidRPr="00E44F3E">
              <w:t xml:space="preserve">Acute lymphocytic leukaemia </w:t>
            </w:r>
          </w:p>
        </w:tc>
        <w:tc>
          <w:tcPr>
            <w:tcW w:w="419" w:type="pct"/>
            <w:tcBorders>
              <w:top w:val="single" w:sz="4" w:space="0" w:color="C2D9BA"/>
              <w:bottom w:val="single" w:sz="4" w:space="0" w:color="C2D9BA"/>
            </w:tcBorders>
            <w:shd w:val="clear" w:color="auto" w:fill="FFF7ED"/>
            <w:vAlign w:val="center"/>
          </w:tcPr>
          <w:p w14:paraId="65AABF81"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6281A149"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2155D2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8A3E076" w14:textId="77777777" w:rsidR="00B206B2" w:rsidRPr="00E44F3E" w:rsidRDefault="00B206B2" w:rsidP="00DD6F49">
            <w:pPr>
              <w:pStyle w:val="TableText"/>
              <w:spacing w:line="240" w:lineRule="auto"/>
              <w:jc w:val="center"/>
              <w:rPr>
                <w:sz w:val="22"/>
                <w:szCs w:val="22"/>
                <w:lang w:eastAsia="en-NZ"/>
              </w:rPr>
            </w:pPr>
          </w:p>
        </w:tc>
      </w:tr>
      <w:tr w:rsidR="00B206B2" w:rsidRPr="00E44F3E" w14:paraId="424A2A0A" w14:textId="77777777" w:rsidTr="00E62BC7">
        <w:trPr>
          <w:cantSplit/>
        </w:trPr>
        <w:tc>
          <w:tcPr>
            <w:tcW w:w="1155" w:type="pct"/>
            <w:tcBorders>
              <w:top w:val="single" w:sz="4" w:space="0" w:color="C2D9BA"/>
              <w:bottom w:val="single" w:sz="4" w:space="0" w:color="C2D9BA"/>
            </w:tcBorders>
            <w:shd w:val="clear" w:color="auto" w:fill="auto"/>
            <w:vAlign w:val="center"/>
          </w:tcPr>
          <w:p w14:paraId="00EAAB68"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45BE652F" w14:textId="77777777" w:rsidR="00B206B2" w:rsidRPr="00E44F3E" w:rsidRDefault="00B206B2" w:rsidP="00DD6F49">
            <w:pPr>
              <w:pStyle w:val="TableText"/>
              <w:spacing w:line="240" w:lineRule="auto"/>
            </w:pPr>
            <w:r w:rsidRPr="00E44F3E">
              <w:t xml:space="preserve">Chronic eosinophilic leukaemia or </w:t>
            </w:r>
            <w:proofErr w:type="spellStart"/>
            <w:r w:rsidRPr="00E44F3E">
              <w:t>hypereosinophilic</w:t>
            </w:r>
            <w:proofErr w:type="spellEnd"/>
            <w:r w:rsidRPr="00E44F3E">
              <w:t xml:space="preserve"> syndrome</w:t>
            </w:r>
          </w:p>
        </w:tc>
        <w:tc>
          <w:tcPr>
            <w:tcW w:w="419" w:type="pct"/>
            <w:tcBorders>
              <w:top w:val="single" w:sz="4" w:space="0" w:color="C2D9BA"/>
              <w:bottom w:val="single" w:sz="4" w:space="0" w:color="C2D9BA"/>
            </w:tcBorders>
            <w:shd w:val="clear" w:color="auto" w:fill="FFF7ED"/>
            <w:vAlign w:val="center"/>
          </w:tcPr>
          <w:p w14:paraId="343CA2F4"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154438A5"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53DC8C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E4CC5B9" w14:textId="77777777" w:rsidR="00B206B2" w:rsidRPr="00E44F3E" w:rsidRDefault="00B206B2" w:rsidP="00DD6F49">
            <w:pPr>
              <w:pStyle w:val="TableText"/>
              <w:spacing w:line="240" w:lineRule="auto"/>
              <w:jc w:val="center"/>
              <w:rPr>
                <w:sz w:val="22"/>
                <w:szCs w:val="22"/>
                <w:lang w:eastAsia="en-NZ"/>
              </w:rPr>
            </w:pPr>
          </w:p>
        </w:tc>
      </w:tr>
      <w:tr w:rsidR="00B206B2" w:rsidRPr="00E44F3E" w14:paraId="120AE03E" w14:textId="77777777" w:rsidTr="00E62BC7">
        <w:trPr>
          <w:cantSplit/>
        </w:trPr>
        <w:tc>
          <w:tcPr>
            <w:tcW w:w="1155" w:type="pct"/>
            <w:tcBorders>
              <w:top w:val="single" w:sz="4" w:space="0" w:color="C2D9BA"/>
              <w:bottom w:val="single" w:sz="4" w:space="0" w:color="C2D9BA"/>
            </w:tcBorders>
            <w:shd w:val="clear" w:color="auto" w:fill="auto"/>
            <w:vAlign w:val="center"/>
          </w:tcPr>
          <w:p w14:paraId="323BA7B0"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359CCD8D" w14:textId="77777777" w:rsidR="00B206B2" w:rsidRPr="00E44F3E" w:rsidRDefault="00B206B2" w:rsidP="00DD6F49">
            <w:pPr>
              <w:pStyle w:val="TableText"/>
              <w:spacing w:line="240" w:lineRule="auto"/>
            </w:pPr>
            <w:r w:rsidRPr="00E44F3E">
              <w:t xml:space="preserve">Chronic myeloid leukaemia </w:t>
            </w:r>
          </w:p>
        </w:tc>
        <w:tc>
          <w:tcPr>
            <w:tcW w:w="419" w:type="pct"/>
            <w:tcBorders>
              <w:top w:val="single" w:sz="4" w:space="0" w:color="C2D9BA"/>
              <w:bottom w:val="single" w:sz="4" w:space="0" w:color="C2D9BA"/>
            </w:tcBorders>
            <w:shd w:val="clear" w:color="auto" w:fill="FFF7ED"/>
            <w:vAlign w:val="center"/>
          </w:tcPr>
          <w:p w14:paraId="5B86600E"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4D1FDE04"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A950CA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31259C7" w14:textId="77777777" w:rsidR="00B206B2" w:rsidRPr="00E44F3E" w:rsidRDefault="00B206B2" w:rsidP="00DD6F49">
            <w:pPr>
              <w:pStyle w:val="TableText"/>
              <w:spacing w:line="240" w:lineRule="auto"/>
              <w:jc w:val="center"/>
              <w:rPr>
                <w:sz w:val="22"/>
                <w:szCs w:val="22"/>
                <w:lang w:eastAsia="en-NZ"/>
              </w:rPr>
            </w:pPr>
          </w:p>
        </w:tc>
      </w:tr>
      <w:tr w:rsidR="00B206B2" w:rsidRPr="00E44F3E" w14:paraId="054F39F5" w14:textId="77777777" w:rsidTr="00E62BC7">
        <w:trPr>
          <w:cantSplit/>
        </w:trPr>
        <w:tc>
          <w:tcPr>
            <w:tcW w:w="1155" w:type="pct"/>
            <w:tcBorders>
              <w:top w:val="single" w:sz="4" w:space="0" w:color="C2D9BA"/>
              <w:bottom w:val="single" w:sz="4" w:space="0" w:color="C2D9BA"/>
            </w:tcBorders>
            <w:shd w:val="clear" w:color="auto" w:fill="auto"/>
            <w:vAlign w:val="center"/>
          </w:tcPr>
          <w:p w14:paraId="46495FCC"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07ECF492" w14:textId="77777777" w:rsidR="00B206B2" w:rsidRPr="00E44F3E" w:rsidRDefault="00B206B2" w:rsidP="00DD6F49">
            <w:pPr>
              <w:pStyle w:val="TableText"/>
              <w:spacing w:line="240" w:lineRule="auto"/>
            </w:pPr>
            <w:r w:rsidRPr="00E44F3E">
              <w:t xml:space="preserve">Myelodysplastic syndrome </w:t>
            </w:r>
          </w:p>
        </w:tc>
        <w:tc>
          <w:tcPr>
            <w:tcW w:w="419" w:type="pct"/>
            <w:tcBorders>
              <w:top w:val="single" w:sz="4" w:space="0" w:color="C2D9BA"/>
              <w:bottom w:val="single" w:sz="4" w:space="0" w:color="C2D9BA"/>
            </w:tcBorders>
            <w:shd w:val="clear" w:color="auto" w:fill="FFF7ED"/>
            <w:vAlign w:val="center"/>
          </w:tcPr>
          <w:p w14:paraId="286F4840"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5033967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6203D8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7DE640C1" w14:textId="77777777" w:rsidR="00B206B2" w:rsidRPr="00E44F3E" w:rsidRDefault="00B206B2" w:rsidP="00DD6F49">
            <w:pPr>
              <w:pStyle w:val="TableText"/>
              <w:spacing w:line="240" w:lineRule="auto"/>
              <w:jc w:val="center"/>
              <w:rPr>
                <w:sz w:val="22"/>
                <w:szCs w:val="22"/>
                <w:lang w:eastAsia="en-NZ"/>
              </w:rPr>
            </w:pPr>
          </w:p>
        </w:tc>
      </w:tr>
      <w:tr w:rsidR="00B206B2" w:rsidRPr="00E44F3E" w14:paraId="66A4EA37" w14:textId="77777777" w:rsidTr="00E62BC7">
        <w:trPr>
          <w:cantSplit/>
        </w:trPr>
        <w:tc>
          <w:tcPr>
            <w:tcW w:w="1155" w:type="pct"/>
            <w:tcBorders>
              <w:top w:val="single" w:sz="4" w:space="0" w:color="C2D9BA"/>
              <w:bottom w:val="single" w:sz="4" w:space="0" w:color="C2D9BA"/>
            </w:tcBorders>
            <w:shd w:val="clear" w:color="auto" w:fill="auto"/>
            <w:vAlign w:val="center"/>
          </w:tcPr>
          <w:p w14:paraId="4B6F19A3"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00374D72" w14:textId="77777777" w:rsidR="00B206B2" w:rsidRPr="00E44F3E" w:rsidRDefault="00B206B2" w:rsidP="00DD6F49">
            <w:pPr>
              <w:pStyle w:val="TableText"/>
              <w:spacing w:line="240" w:lineRule="auto"/>
            </w:pPr>
            <w:r w:rsidRPr="00E44F3E">
              <w:t xml:space="preserve">Myeloproliferative neoplasm </w:t>
            </w:r>
          </w:p>
        </w:tc>
        <w:tc>
          <w:tcPr>
            <w:tcW w:w="419" w:type="pct"/>
            <w:tcBorders>
              <w:top w:val="single" w:sz="4" w:space="0" w:color="C2D9BA"/>
              <w:bottom w:val="single" w:sz="4" w:space="0" w:color="C2D9BA"/>
            </w:tcBorders>
            <w:shd w:val="clear" w:color="auto" w:fill="FFF7ED"/>
            <w:vAlign w:val="center"/>
          </w:tcPr>
          <w:p w14:paraId="64A2CFF9"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55118130"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B95EEB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1F3F257" w14:textId="77777777" w:rsidR="00B206B2" w:rsidRPr="00E44F3E" w:rsidRDefault="00B206B2" w:rsidP="00DD6F49">
            <w:pPr>
              <w:pStyle w:val="TableText"/>
              <w:spacing w:line="240" w:lineRule="auto"/>
              <w:jc w:val="center"/>
              <w:rPr>
                <w:sz w:val="22"/>
                <w:szCs w:val="22"/>
                <w:lang w:eastAsia="en-NZ"/>
              </w:rPr>
            </w:pPr>
          </w:p>
        </w:tc>
      </w:tr>
      <w:tr w:rsidR="00B206B2" w:rsidRPr="00E44F3E" w14:paraId="335E983B" w14:textId="77777777" w:rsidTr="00E62BC7">
        <w:trPr>
          <w:cantSplit/>
        </w:trPr>
        <w:tc>
          <w:tcPr>
            <w:tcW w:w="1155" w:type="pct"/>
            <w:tcBorders>
              <w:top w:val="single" w:sz="4" w:space="0" w:color="C2D9BA"/>
              <w:bottom w:val="single" w:sz="4" w:space="0" w:color="C2D9BA"/>
            </w:tcBorders>
            <w:shd w:val="clear" w:color="auto" w:fill="auto"/>
            <w:vAlign w:val="center"/>
          </w:tcPr>
          <w:p w14:paraId="5FBA2E6C" w14:textId="77777777" w:rsidR="00B206B2" w:rsidRPr="00E44F3E" w:rsidRDefault="00B206B2" w:rsidP="00DD6F49">
            <w:pPr>
              <w:pStyle w:val="TableText"/>
              <w:spacing w:line="240" w:lineRule="auto"/>
            </w:pPr>
            <w:r w:rsidRPr="00E44F3E">
              <w:t>Imatinib</w:t>
            </w:r>
          </w:p>
        </w:tc>
        <w:tc>
          <w:tcPr>
            <w:tcW w:w="2168" w:type="pct"/>
            <w:tcBorders>
              <w:top w:val="single" w:sz="4" w:space="0" w:color="C2D9BA"/>
              <w:bottom w:val="single" w:sz="4" w:space="0" w:color="C2D9BA"/>
            </w:tcBorders>
            <w:shd w:val="clear" w:color="auto" w:fill="auto"/>
            <w:vAlign w:val="center"/>
          </w:tcPr>
          <w:p w14:paraId="0493DB66" w14:textId="77777777" w:rsidR="00B206B2" w:rsidRPr="00E44F3E" w:rsidRDefault="00B206B2" w:rsidP="00DD6F49">
            <w:pPr>
              <w:pStyle w:val="TableText"/>
              <w:spacing w:line="240" w:lineRule="auto"/>
            </w:pPr>
            <w:r w:rsidRPr="00E44F3E">
              <w:t xml:space="preserve">Systemic </w:t>
            </w:r>
            <w:proofErr w:type="spellStart"/>
            <w:r w:rsidRPr="00E44F3E">
              <w:t>mastocytosis</w:t>
            </w:r>
            <w:proofErr w:type="spellEnd"/>
            <w:r w:rsidRPr="00E44F3E">
              <w:t xml:space="preserve"> (aggressive)</w:t>
            </w:r>
          </w:p>
        </w:tc>
        <w:tc>
          <w:tcPr>
            <w:tcW w:w="419" w:type="pct"/>
            <w:tcBorders>
              <w:top w:val="single" w:sz="4" w:space="0" w:color="C2D9BA"/>
              <w:bottom w:val="single" w:sz="4" w:space="0" w:color="C2D9BA"/>
            </w:tcBorders>
            <w:shd w:val="clear" w:color="auto" w:fill="FFF7ED"/>
            <w:vAlign w:val="center"/>
          </w:tcPr>
          <w:p w14:paraId="37549CB1"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440BF476"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9AE3B9F"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C31F3B1" w14:textId="77777777" w:rsidR="00B206B2" w:rsidRPr="00E44F3E" w:rsidRDefault="00B206B2" w:rsidP="00DD6F49">
            <w:pPr>
              <w:pStyle w:val="TableText"/>
              <w:spacing w:line="240" w:lineRule="auto"/>
              <w:jc w:val="center"/>
              <w:rPr>
                <w:sz w:val="22"/>
                <w:szCs w:val="22"/>
                <w:lang w:eastAsia="en-NZ"/>
              </w:rPr>
            </w:pPr>
          </w:p>
        </w:tc>
      </w:tr>
      <w:tr w:rsidR="00B206B2" w:rsidRPr="00E44F3E" w14:paraId="431893A9" w14:textId="77777777" w:rsidTr="00E62BC7">
        <w:trPr>
          <w:cantSplit/>
        </w:trPr>
        <w:tc>
          <w:tcPr>
            <w:tcW w:w="1155" w:type="pct"/>
            <w:tcBorders>
              <w:top w:val="single" w:sz="4" w:space="0" w:color="C2D9BA"/>
              <w:bottom w:val="single" w:sz="4" w:space="0" w:color="C2D9BA"/>
            </w:tcBorders>
            <w:shd w:val="clear" w:color="auto" w:fill="auto"/>
            <w:vAlign w:val="center"/>
          </w:tcPr>
          <w:p w14:paraId="4F02DB7C" w14:textId="77777777" w:rsidR="00B206B2" w:rsidRPr="00E44F3E" w:rsidRDefault="00B206B2" w:rsidP="00DD6F49">
            <w:pPr>
              <w:pStyle w:val="TableText"/>
              <w:spacing w:line="240" w:lineRule="auto"/>
            </w:pPr>
            <w:r w:rsidRPr="00E44F3E">
              <w:t>Lenalidomide</w:t>
            </w:r>
          </w:p>
        </w:tc>
        <w:tc>
          <w:tcPr>
            <w:tcW w:w="2168" w:type="pct"/>
            <w:tcBorders>
              <w:top w:val="single" w:sz="4" w:space="0" w:color="C2D9BA"/>
              <w:bottom w:val="single" w:sz="4" w:space="0" w:color="C2D9BA"/>
            </w:tcBorders>
            <w:shd w:val="clear" w:color="auto" w:fill="auto"/>
            <w:vAlign w:val="center"/>
          </w:tcPr>
          <w:p w14:paraId="3BAB0BE6" w14:textId="77777777" w:rsidR="00B206B2" w:rsidRPr="00E44F3E" w:rsidRDefault="00B206B2" w:rsidP="00DD6F49">
            <w:pPr>
              <w:pStyle w:val="TableText"/>
              <w:spacing w:line="240" w:lineRule="auto"/>
            </w:pPr>
            <w:r w:rsidRPr="00E44F3E">
              <w:t>Multiple myeloma</w:t>
            </w:r>
          </w:p>
        </w:tc>
        <w:tc>
          <w:tcPr>
            <w:tcW w:w="419" w:type="pct"/>
            <w:tcBorders>
              <w:top w:val="single" w:sz="4" w:space="0" w:color="C2D9BA"/>
              <w:bottom w:val="single" w:sz="4" w:space="0" w:color="C2D9BA"/>
            </w:tcBorders>
            <w:shd w:val="clear" w:color="auto" w:fill="FFF7ED"/>
            <w:vAlign w:val="center"/>
          </w:tcPr>
          <w:p w14:paraId="2BF446F4"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5552D4A8"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65B51EF3"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70713C06"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20FCDB21" w14:textId="77777777" w:rsidTr="00E62BC7">
        <w:trPr>
          <w:cantSplit/>
        </w:trPr>
        <w:tc>
          <w:tcPr>
            <w:tcW w:w="1155" w:type="pct"/>
            <w:tcBorders>
              <w:top w:val="single" w:sz="4" w:space="0" w:color="C2D9BA"/>
              <w:bottom w:val="single" w:sz="4" w:space="0" w:color="C2D9BA"/>
            </w:tcBorders>
            <w:shd w:val="clear" w:color="auto" w:fill="auto"/>
            <w:vAlign w:val="center"/>
          </w:tcPr>
          <w:p w14:paraId="20E5A060" w14:textId="77777777" w:rsidR="00B206B2" w:rsidRPr="00E44F3E" w:rsidRDefault="00B206B2" w:rsidP="00DD6F49">
            <w:pPr>
              <w:pStyle w:val="TableText"/>
              <w:spacing w:line="240" w:lineRule="auto"/>
            </w:pPr>
            <w:r w:rsidRPr="00E44F3E">
              <w:t>Melphalan</w:t>
            </w:r>
          </w:p>
        </w:tc>
        <w:tc>
          <w:tcPr>
            <w:tcW w:w="2168" w:type="pct"/>
            <w:tcBorders>
              <w:top w:val="single" w:sz="4" w:space="0" w:color="C2D9BA"/>
              <w:bottom w:val="single" w:sz="4" w:space="0" w:color="C2D9BA"/>
            </w:tcBorders>
            <w:shd w:val="clear" w:color="auto" w:fill="auto"/>
            <w:vAlign w:val="center"/>
          </w:tcPr>
          <w:p w14:paraId="24463E85"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35D93E46"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6A36C19E"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51AEC175"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8409765"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3426FF9D" w14:textId="77777777" w:rsidTr="00E62BC7">
        <w:trPr>
          <w:cantSplit/>
        </w:trPr>
        <w:tc>
          <w:tcPr>
            <w:tcW w:w="1155" w:type="pct"/>
            <w:tcBorders>
              <w:top w:val="single" w:sz="4" w:space="0" w:color="C2D9BA"/>
              <w:bottom w:val="single" w:sz="4" w:space="0" w:color="C2D9BA"/>
            </w:tcBorders>
            <w:shd w:val="clear" w:color="auto" w:fill="auto"/>
            <w:vAlign w:val="center"/>
          </w:tcPr>
          <w:p w14:paraId="1F6F47DF" w14:textId="77777777" w:rsidR="00B206B2" w:rsidRPr="00E44F3E" w:rsidRDefault="00B206B2" w:rsidP="00DD6F49">
            <w:pPr>
              <w:pStyle w:val="TableText"/>
              <w:spacing w:line="240" w:lineRule="auto"/>
            </w:pPr>
            <w:r w:rsidRPr="00E44F3E">
              <w:t>Mercaptopurine</w:t>
            </w:r>
          </w:p>
        </w:tc>
        <w:tc>
          <w:tcPr>
            <w:tcW w:w="2168" w:type="pct"/>
            <w:tcBorders>
              <w:top w:val="single" w:sz="4" w:space="0" w:color="C2D9BA"/>
              <w:bottom w:val="single" w:sz="4" w:space="0" w:color="C2D9BA"/>
            </w:tcBorders>
            <w:shd w:val="clear" w:color="auto" w:fill="auto"/>
            <w:vAlign w:val="center"/>
          </w:tcPr>
          <w:p w14:paraId="0B250969"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26E6BAFE"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7CA05E70"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F53E96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12E9C17" w14:textId="77777777" w:rsidR="00B206B2" w:rsidRPr="00E44F3E" w:rsidRDefault="00B206B2" w:rsidP="00DD6F49">
            <w:pPr>
              <w:pStyle w:val="TableText"/>
              <w:spacing w:line="240" w:lineRule="auto"/>
              <w:jc w:val="center"/>
              <w:rPr>
                <w:sz w:val="22"/>
                <w:szCs w:val="22"/>
                <w:lang w:eastAsia="en-NZ"/>
              </w:rPr>
            </w:pPr>
          </w:p>
        </w:tc>
      </w:tr>
      <w:tr w:rsidR="00B206B2" w:rsidRPr="00E44F3E" w14:paraId="2656AAAE" w14:textId="77777777" w:rsidTr="00E62BC7">
        <w:trPr>
          <w:cantSplit/>
        </w:trPr>
        <w:tc>
          <w:tcPr>
            <w:tcW w:w="1155" w:type="pct"/>
            <w:tcBorders>
              <w:top w:val="single" w:sz="4" w:space="0" w:color="C2D9BA"/>
              <w:bottom w:val="single" w:sz="4" w:space="0" w:color="C2D9BA"/>
            </w:tcBorders>
            <w:shd w:val="clear" w:color="auto" w:fill="auto"/>
            <w:vAlign w:val="center"/>
          </w:tcPr>
          <w:p w14:paraId="5728FB08" w14:textId="77777777" w:rsidR="00B206B2" w:rsidRPr="00E44F3E" w:rsidRDefault="00B206B2" w:rsidP="00DD6F49">
            <w:pPr>
              <w:pStyle w:val="TableText"/>
              <w:spacing w:line="240" w:lineRule="auto"/>
            </w:pPr>
            <w:r w:rsidRPr="00E44F3E">
              <w:t>Methotrexate</w:t>
            </w:r>
          </w:p>
        </w:tc>
        <w:tc>
          <w:tcPr>
            <w:tcW w:w="2168" w:type="pct"/>
            <w:tcBorders>
              <w:top w:val="single" w:sz="4" w:space="0" w:color="C2D9BA"/>
              <w:bottom w:val="single" w:sz="4" w:space="0" w:color="C2D9BA"/>
            </w:tcBorders>
            <w:shd w:val="clear" w:color="auto" w:fill="auto"/>
            <w:vAlign w:val="center"/>
          </w:tcPr>
          <w:p w14:paraId="5A33494E"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7C9028A6"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4174570D"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73C532F"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04FF429" w14:textId="77777777" w:rsidR="00B206B2" w:rsidRPr="00E44F3E" w:rsidRDefault="00B206B2" w:rsidP="00DD6F49">
            <w:pPr>
              <w:pStyle w:val="TableText"/>
              <w:spacing w:line="240" w:lineRule="auto"/>
              <w:jc w:val="center"/>
              <w:rPr>
                <w:sz w:val="22"/>
                <w:szCs w:val="22"/>
                <w:lang w:eastAsia="en-NZ"/>
              </w:rPr>
            </w:pPr>
          </w:p>
        </w:tc>
      </w:tr>
      <w:tr w:rsidR="00B206B2" w:rsidRPr="00E44F3E" w14:paraId="49C124AD" w14:textId="77777777" w:rsidTr="00E62BC7">
        <w:trPr>
          <w:cantSplit/>
        </w:trPr>
        <w:tc>
          <w:tcPr>
            <w:tcW w:w="1155" w:type="pct"/>
            <w:tcBorders>
              <w:top w:val="single" w:sz="4" w:space="0" w:color="C2D9BA"/>
              <w:bottom w:val="single" w:sz="4" w:space="0" w:color="C2D9BA"/>
            </w:tcBorders>
            <w:shd w:val="clear" w:color="auto" w:fill="auto"/>
            <w:vAlign w:val="center"/>
          </w:tcPr>
          <w:p w14:paraId="65DE8A42" w14:textId="77777777" w:rsidR="00B206B2" w:rsidRPr="00E44F3E" w:rsidRDefault="00B206B2" w:rsidP="00DD6F49">
            <w:pPr>
              <w:pStyle w:val="TableText"/>
              <w:spacing w:line="240" w:lineRule="auto"/>
            </w:pPr>
            <w:r w:rsidRPr="00E44F3E">
              <w:t>Nilotinib</w:t>
            </w:r>
          </w:p>
        </w:tc>
        <w:tc>
          <w:tcPr>
            <w:tcW w:w="2168" w:type="pct"/>
            <w:tcBorders>
              <w:top w:val="single" w:sz="4" w:space="0" w:color="C2D9BA"/>
              <w:bottom w:val="single" w:sz="4" w:space="0" w:color="C2D9BA"/>
            </w:tcBorders>
            <w:shd w:val="clear" w:color="auto" w:fill="auto"/>
            <w:vAlign w:val="center"/>
          </w:tcPr>
          <w:p w14:paraId="256AF6E5" w14:textId="77777777" w:rsidR="00B206B2" w:rsidRPr="00E44F3E" w:rsidRDefault="00B206B2" w:rsidP="00DD6F49">
            <w:pPr>
              <w:pStyle w:val="TableText"/>
              <w:spacing w:line="240" w:lineRule="auto"/>
            </w:pPr>
            <w:r w:rsidRPr="00E44F3E">
              <w:t xml:space="preserve">Chronic myeloid leukaemia </w:t>
            </w:r>
          </w:p>
        </w:tc>
        <w:tc>
          <w:tcPr>
            <w:tcW w:w="419" w:type="pct"/>
            <w:tcBorders>
              <w:top w:val="single" w:sz="4" w:space="0" w:color="C2D9BA"/>
              <w:bottom w:val="single" w:sz="4" w:space="0" w:color="C2D9BA"/>
            </w:tcBorders>
            <w:shd w:val="clear" w:color="auto" w:fill="FFF7ED"/>
            <w:vAlign w:val="center"/>
          </w:tcPr>
          <w:p w14:paraId="138E7EC5"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5CA1FB4B"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4D326122"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20C53CFB"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43ACF50B" w14:textId="77777777" w:rsidTr="00E62BC7">
        <w:trPr>
          <w:cantSplit/>
        </w:trPr>
        <w:tc>
          <w:tcPr>
            <w:tcW w:w="1155" w:type="pct"/>
            <w:tcBorders>
              <w:top w:val="single" w:sz="4" w:space="0" w:color="C2D9BA"/>
              <w:bottom w:val="single" w:sz="4" w:space="0" w:color="C2D9BA"/>
            </w:tcBorders>
            <w:shd w:val="clear" w:color="auto" w:fill="auto"/>
            <w:vAlign w:val="center"/>
          </w:tcPr>
          <w:p w14:paraId="11A8E33B" w14:textId="77777777" w:rsidR="00B206B2" w:rsidRPr="00E44F3E" w:rsidRDefault="00B206B2" w:rsidP="00DD6F49">
            <w:pPr>
              <w:pStyle w:val="TableText"/>
              <w:spacing w:line="240" w:lineRule="auto"/>
            </w:pPr>
            <w:r w:rsidRPr="00E44F3E">
              <w:t>Obinutuzumab</w:t>
            </w:r>
          </w:p>
        </w:tc>
        <w:tc>
          <w:tcPr>
            <w:tcW w:w="2168" w:type="pct"/>
            <w:tcBorders>
              <w:top w:val="single" w:sz="4" w:space="0" w:color="C2D9BA"/>
              <w:bottom w:val="single" w:sz="4" w:space="0" w:color="C2D9BA"/>
            </w:tcBorders>
            <w:shd w:val="clear" w:color="auto" w:fill="auto"/>
            <w:vAlign w:val="center"/>
          </w:tcPr>
          <w:p w14:paraId="172214DE" w14:textId="77777777" w:rsidR="00B206B2" w:rsidRPr="00E44F3E" w:rsidRDefault="00B206B2" w:rsidP="00DD6F49">
            <w:pPr>
              <w:pStyle w:val="TableText"/>
              <w:spacing w:line="240" w:lineRule="auto"/>
            </w:pPr>
            <w:r w:rsidRPr="00E44F3E">
              <w:t xml:space="preserve">Chronic lymphocytic leukaemia </w:t>
            </w:r>
          </w:p>
        </w:tc>
        <w:tc>
          <w:tcPr>
            <w:tcW w:w="419" w:type="pct"/>
            <w:tcBorders>
              <w:top w:val="single" w:sz="4" w:space="0" w:color="C2D9BA"/>
              <w:bottom w:val="single" w:sz="4" w:space="0" w:color="C2D9BA"/>
            </w:tcBorders>
            <w:shd w:val="clear" w:color="auto" w:fill="FFF7ED"/>
            <w:vAlign w:val="center"/>
          </w:tcPr>
          <w:p w14:paraId="1187589A"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105EB828"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CCB9074"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4871754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04E45848" w14:textId="77777777" w:rsidTr="00E62BC7">
        <w:trPr>
          <w:cantSplit/>
        </w:trPr>
        <w:tc>
          <w:tcPr>
            <w:tcW w:w="1155" w:type="pct"/>
            <w:tcBorders>
              <w:top w:val="single" w:sz="4" w:space="0" w:color="C2D9BA"/>
              <w:bottom w:val="single" w:sz="4" w:space="0" w:color="C2D9BA"/>
            </w:tcBorders>
            <w:shd w:val="clear" w:color="auto" w:fill="auto"/>
            <w:vAlign w:val="center"/>
          </w:tcPr>
          <w:p w14:paraId="5D416F13" w14:textId="77777777" w:rsidR="00B206B2" w:rsidRPr="00E44F3E" w:rsidRDefault="00B206B2" w:rsidP="00DD6F49">
            <w:pPr>
              <w:pStyle w:val="TableText"/>
              <w:spacing w:line="240" w:lineRule="auto"/>
            </w:pPr>
            <w:r w:rsidRPr="00E44F3E">
              <w:t xml:space="preserve">Obinutuzumab </w:t>
            </w:r>
          </w:p>
        </w:tc>
        <w:tc>
          <w:tcPr>
            <w:tcW w:w="2168" w:type="pct"/>
            <w:tcBorders>
              <w:top w:val="single" w:sz="4" w:space="0" w:color="C2D9BA"/>
              <w:bottom w:val="single" w:sz="4" w:space="0" w:color="C2D9BA"/>
            </w:tcBorders>
            <w:shd w:val="clear" w:color="auto" w:fill="auto"/>
            <w:vAlign w:val="center"/>
          </w:tcPr>
          <w:p w14:paraId="324F2211" w14:textId="335D7AF6" w:rsidR="00B206B2" w:rsidRPr="00E44F3E" w:rsidRDefault="00B206B2" w:rsidP="00DD6F49">
            <w:pPr>
              <w:pStyle w:val="TableText"/>
              <w:spacing w:line="240" w:lineRule="auto"/>
            </w:pPr>
            <w:r w:rsidRPr="00E44F3E">
              <w:t>Follicular lymphoma</w:t>
            </w:r>
            <w:r w:rsidR="00B1682D" w:rsidRPr="00E44F3E">
              <w:t xml:space="preserve"> </w:t>
            </w:r>
          </w:p>
        </w:tc>
        <w:tc>
          <w:tcPr>
            <w:tcW w:w="419" w:type="pct"/>
            <w:tcBorders>
              <w:top w:val="single" w:sz="4" w:space="0" w:color="C2D9BA"/>
              <w:bottom w:val="single" w:sz="4" w:space="0" w:color="C2D9BA"/>
            </w:tcBorders>
            <w:shd w:val="clear" w:color="auto" w:fill="FFF7ED"/>
            <w:vAlign w:val="center"/>
          </w:tcPr>
          <w:p w14:paraId="20DAAAD0"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7FD7AFB8"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07D34F6"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E657272"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71EAC6BC" w14:textId="77777777" w:rsidTr="00E62BC7">
        <w:trPr>
          <w:cantSplit/>
        </w:trPr>
        <w:tc>
          <w:tcPr>
            <w:tcW w:w="1155" w:type="pct"/>
            <w:tcBorders>
              <w:top w:val="single" w:sz="4" w:space="0" w:color="C2D9BA"/>
              <w:bottom w:val="single" w:sz="4" w:space="0" w:color="C2D9BA"/>
            </w:tcBorders>
            <w:shd w:val="clear" w:color="auto" w:fill="auto"/>
            <w:vAlign w:val="center"/>
          </w:tcPr>
          <w:p w14:paraId="471B85F7" w14:textId="77777777" w:rsidR="00B206B2" w:rsidRPr="00E44F3E" w:rsidRDefault="00B206B2" w:rsidP="00DD6F49">
            <w:pPr>
              <w:pStyle w:val="TableText"/>
              <w:spacing w:line="240" w:lineRule="auto"/>
            </w:pPr>
            <w:r w:rsidRPr="00E44F3E">
              <w:t>Oxaliplatin</w:t>
            </w:r>
          </w:p>
        </w:tc>
        <w:tc>
          <w:tcPr>
            <w:tcW w:w="2168" w:type="pct"/>
            <w:tcBorders>
              <w:top w:val="single" w:sz="4" w:space="0" w:color="C2D9BA"/>
              <w:bottom w:val="single" w:sz="4" w:space="0" w:color="C2D9BA"/>
            </w:tcBorders>
            <w:shd w:val="clear" w:color="auto" w:fill="auto"/>
            <w:vAlign w:val="center"/>
          </w:tcPr>
          <w:p w14:paraId="05EF3D56"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4610AF3C"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091F63F9"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144AEC66"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195BCD97"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327954F6" w14:textId="77777777" w:rsidTr="00E62BC7">
        <w:trPr>
          <w:cantSplit/>
        </w:trPr>
        <w:tc>
          <w:tcPr>
            <w:tcW w:w="1155" w:type="pct"/>
            <w:tcBorders>
              <w:top w:val="single" w:sz="4" w:space="0" w:color="C2D9BA"/>
              <w:bottom w:val="single" w:sz="4" w:space="0" w:color="C2D9BA"/>
            </w:tcBorders>
            <w:shd w:val="clear" w:color="auto" w:fill="auto"/>
            <w:vAlign w:val="center"/>
          </w:tcPr>
          <w:p w14:paraId="56D712EE" w14:textId="77777777" w:rsidR="00B206B2" w:rsidRPr="00E44F3E" w:rsidRDefault="00B206B2" w:rsidP="00DD6F49">
            <w:pPr>
              <w:pStyle w:val="TableText"/>
              <w:spacing w:line="240" w:lineRule="auto"/>
            </w:pPr>
            <w:r w:rsidRPr="00E44F3E">
              <w:t>Peginterferon alfa-2a</w:t>
            </w:r>
          </w:p>
        </w:tc>
        <w:tc>
          <w:tcPr>
            <w:tcW w:w="2168" w:type="pct"/>
            <w:tcBorders>
              <w:top w:val="single" w:sz="4" w:space="0" w:color="C2D9BA"/>
              <w:bottom w:val="single" w:sz="4" w:space="0" w:color="C2D9BA"/>
            </w:tcBorders>
            <w:shd w:val="clear" w:color="auto" w:fill="auto"/>
            <w:vAlign w:val="center"/>
          </w:tcPr>
          <w:p w14:paraId="13FE1F63" w14:textId="36BF0B31" w:rsidR="00B206B2" w:rsidRPr="00E44F3E" w:rsidRDefault="00B206B2" w:rsidP="00DD6F49">
            <w:pPr>
              <w:pStyle w:val="TableText"/>
              <w:spacing w:line="240" w:lineRule="auto"/>
            </w:pPr>
            <w:r w:rsidRPr="00E44F3E">
              <w:t>Myeloproliferative neoplasm</w:t>
            </w:r>
          </w:p>
        </w:tc>
        <w:tc>
          <w:tcPr>
            <w:tcW w:w="419" w:type="pct"/>
            <w:tcBorders>
              <w:top w:val="single" w:sz="4" w:space="0" w:color="C2D9BA"/>
              <w:bottom w:val="single" w:sz="4" w:space="0" w:color="C2D9BA"/>
            </w:tcBorders>
            <w:shd w:val="clear" w:color="auto" w:fill="FFF7ED"/>
            <w:vAlign w:val="center"/>
          </w:tcPr>
          <w:p w14:paraId="1706D42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7C05EF66"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0ABE1957"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39DEC6B1"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71932A5C" w14:textId="77777777" w:rsidTr="00E62BC7">
        <w:trPr>
          <w:cantSplit/>
        </w:trPr>
        <w:tc>
          <w:tcPr>
            <w:tcW w:w="1155" w:type="pct"/>
            <w:tcBorders>
              <w:top w:val="single" w:sz="4" w:space="0" w:color="C2D9BA"/>
              <w:bottom w:val="single" w:sz="4" w:space="0" w:color="C2D9BA"/>
            </w:tcBorders>
            <w:shd w:val="clear" w:color="auto" w:fill="auto"/>
            <w:vAlign w:val="center"/>
          </w:tcPr>
          <w:p w14:paraId="73BD20FA" w14:textId="77777777" w:rsidR="00B206B2" w:rsidRPr="00E44F3E" w:rsidRDefault="00B206B2" w:rsidP="00DD6F49">
            <w:pPr>
              <w:pStyle w:val="TableText"/>
              <w:spacing w:line="240" w:lineRule="auto"/>
            </w:pPr>
            <w:r w:rsidRPr="00E44F3E">
              <w:t>Peginterferon alfa-2a</w:t>
            </w:r>
          </w:p>
        </w:tc>
        <w:tc>
          <w:tcPr>
            <w:tcW w:w="2168" w:type="pct"/>
            <w:tcBorders>
              <w:top w:val="single" w:sz="4" w:space="0" w:color="C2D9BA"/>
              <w:bottom w:val="single" w:sz="4" w:space="0" w:color="C2D9BA"/>
            </w:tcBorders>
            <w:shd w:val="clear" w:color="auto" w:fill="auto"/>
            <w:vAlign w:val="center"/>
          </w:tcPr>
          <w:p w14:paraId="39A71F31" w14:textId="2A9B2F60" w:rsidR="00B206B2" w:rsidRPr="00E44F3E" w:rsidRDefault="00B206B2" w:rsidP="00DD6F49">
            <w:pPr>
              <w:pStyle w:val="TableText"/>
              <w:spacing w:line="240" w:lineRule="auto"/>
            </w:pPr>
            <w:r w:rsidRPr="00E44F3E">
              <w:t>T</w:t>
            </w:r>
            <w:r w:rsidR="00451553">
              <w:t>-</w:t>
            </w:r>
            <w:r w:rsidRPr="00E44F3E">
              <w:t>cell lymphoma</w:t>
            </w:r>
            <w:r w:rsidR="00321BB1" w:rsidRPr="00E44F3E">
              <w:t xml:space="preserve"> – </w:t>
            </w:r>
            <w:r w:rsidRPr="00E44F3E">
              <w:t>cutaneous</w:t>
            </w:r>
          </w:p>
        </w:tc>
        <w:tc>
          <w:tcPr>
            <w:tcW w:w="419" w:type="pct"/>
            <w:tcBorders>
              <w:top w:val="single" w:sz="4" w:space="0" w:color="C2D9BA"/>
              <w:bottom w:val="single" w:sz="4" w:space="0" w:color="C2D9BA"/>
            </w:tcBorders>
            <w:shd w:val="clear" w:color="auto" w:fill="FFF7ED"/>
            <w:vAlign w:val="center"/>
          </w:tcPr>
          <w:p w14:paraId="5B6464C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357A24AB"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9DD84D2"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323D37D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7DB5C99A" w14:textId="77777777" w:rsidTr="00E62BC7">
        <w:trPr>
          <w:cantSplit/>
        </w:trPr>
        <w:tc>
          <w:tcPr>
            <w:tcW w:w="1155" w:type="pct"/>
            <w:tcBorders>
              <w:top w:val="single" w:sz="4" w:space="0" w:color="C2D9BA"/>
              <w:bottom w:val="single" w:sz="4" w:space="0" w:color="C2D9BA"/>
            </w:tcBorders>
            <w:shd w:val="clear" w:color="auto" w:fill="auto"/>
            <w:vAlign w:val="center"/>
          </w:tcPr>
          <w:p w14:paraId="35CCF8AB" w14:textId="77777777" w:rsidR="00B206B2" w:rsidRPr="00E44F3E" w:rsidRDefault="00B206B2" w:rsidP="00DD6F49">
            <w:pPr>
              <w:pStyle w:val="TableText"/>
              <w:spacing w:line="240" w:lineRule="auto"/>
            </w:pPr>
            <w:r w:rsidRPr="00E44F3E">
              <w:t>Rituximab</w:t>
            </w:r>
          </w:p>
        </w:tc>
        <w:tc>
          <w:tcPr>
            <w:tcW w:w="2168" w:type="pct"/>
            <w:tcBorders>
              <w:top w:val="single" w:sz="4" w:space="0" w:color="C2D9BA"/>
              <w:bottom w:val="single" w:sz="4" w:space="0" w:color="C2D9BA"/>
            </w:tcBorders>
            <w:shd w:val="clear" w:color="auto" w:fill="auto"/>
            <w:vAlign w:val="center"/>
          </w:tcPr>
          <w:p w14:paraId="136C8BAB" w14:textId="77777777" w:rsidR="00B206B2" w:rsidRPr="00E44F3E" w:rsidRDefault="00B206B2" w:rsidP="00DD6F49">
            <w:pPr>
              <w:pStyle w:val="TableText"/>
              <w:spacing w:line="240" w:lineRule="auto"/>
            </w:pPr>
            <w:r w:rsidRPr="00E44F3E">
              <w:t>Acute lymphocytic leukaemia B-cell precursor</w:t>
            </w:r>
          </w:p>
        </w:tc>
        <w:tc>
          <w:tcPr>
            <w:tcW w:w="419" w:type="pct"/>
            <w:tcBorders>
              <w:top w:val="single" w:sz="4" w:space="0" w:color="C2D9BA"/>
              <w:bottom w:val="single" w:sz="4" w:space="0" w:color="C2D9BA"/>
            </w:tcBorders>
            <w:shd w:val="clear" w:color="auto" w:fill="FFF7ED"/>
            <w:vAlign w:val="center"/>
          </w:tcPr>
          <w:p w14:paraId="4636E6E7"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43450635"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4A0BF45F"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47AAC78A"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4534265A" w14:textId="77777777" w:rsidTr="00E62BC7">
        <w:trPr>
          <w:cantSplit/>
        </w:trPr>
        <w:tc>
          <w:tcPr>
            <w:tcW w:w="1155" w:type="pct"/>
            <w:tcBorders>
              <w:top w:val="single" w:sz="4" w:space="0" w:color="C2D9BA"/>
              <w:bottom w:val="single" w:sz="4" w:space="0" w:color="C2D9BA"/>
            </w:tcBorders>
            <w:shd w:val="clear" w:color="auto" w:fill="auto"/>
            <w:vAlign w:val="center"/>
          </w:tcPr>
          <w:p w14:paraId="42041C4B" w14:textId="77777777" w:rsidR="00B206B2" w:rsidRPr="00E44F3E" w:rsidRDefault="00B206B2" w:rsidP="00DD6F49">
            <w:pPr>
              <w:pStyle w:val="TableText"/>
              <w:spacing w:line="240" w:lineRule="auto"/>
            </w:pPr>
            <w:r w:rsidRPr="00E44F3E">
              <w:t>Rituximab</w:t>
            </w:r>
          </w:p>
        </w:tc>
        <w:tc>
          <w:tcPr>
            <w:tcW w:w="2168" w:type="pct"/>
            <w:tcBorders>
              <w:top w:val="single" w:sz="4" w:space="0" w:color="C2D9BA"/>
              <w:bottom w:val="single" w:sz="4" w:space="0" w:color="C2D9BA"/>
            </w:tcBorders>
            <w:shd w:val="clear" w:color="auto" w:fill="auto"/>
            <w:vAlign w:val="center"/>
          </w:tcPr>
          <w:p w14:paraId="32BE531F" w14:textId="11077E77" w:rsidR="00B206B2" w:rsidRPr="00E44F3E" w:rsidRDefault="00B206B2" w:rsidP="00DD6F49">
            <w:pPr>
              <w:pStyle w:val="TableText"/>
              <w:spacing w:line="240" w:lineRule="auto"/>
            </w:pPr>
            <w:r w:rsidRPr="00E44F3E">
              <w:t>Aggressive non-Hodgkin</w:t>
            </w:r>
            <w:r w:rsidR="004650A2" w:rsidRPr="00E44F3E">
              <w:t>’</w:t>
            </w:r>
            <w:r w:rsidRPr="00E44F3E">
              <w:t xml:space="preserve">s lymphoma </w:t>
            </w:r>
          </w:p>
        </w:tc>
        <w:tc>
          <w:tcPr>
            <w:tcW w:w="419" w:type="pct"/>
            <w:tcBorders>
              <w:top w:val="single" w:sz="4" w:space="0" w:color="C2D9BA"/>
              <w:bottom w:val="single" w:sz="4" w:space="0" w:color="C2D9BA"/>
            </w:tcBorders>
            <w:shd w:val="clear" w:color="auto" w:fill="FFF7ED"/>
            <w:vAlign w:val="center"/>
          </w:tcPr>
          <w:p w14:paraId="4A8798F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4F04FBC0"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0D3AC66D"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2DAF6A0"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47EA5B45" w14:textId="77777777" w:rsidTr="00E62BC7">
        <w:trPr>
          <w:cantSplit/>
        </w:trPr>
        <w:tc>
          <w:tcPr>
            <w:tcW w:w="1155" w:type="pct"/>
            <w:tcBorders>
              <w:top w:val="single" w:sz="4" w:space="0" w:color="C2D9BA"/>
              <w:bottom w:val="single" w:sz="4" w:space="0" w:color="C2D9BA"/>
            </w:tcBorders>
            <w:shd w:val="clear" w:color="auto" w:fill="auto"/>
            <w:vAlign w:val="center"/>
          </w:tcPr>
          <w:p w14:paraId="7CB01672" w14:textId="77777777" w:rsidR="00B206B2" w:rsidRPr="00E44F3E" w:rsidRDefault="00B206B2" w:rsidP="00DD6F49">
            <w:pPr>
              <w:pStyle w:val="TableText"/>
              <w:spacing w:line="240" w:lineRule="auto"/>
            </w:pPr>
            <w:r w:rsidRPr="00E44F3E">
              <w:lastRenderedPageBreak/>
              <w:t>Rituximab</w:t>
            </w:r>
          </w:p>
        </w:tc>
        <w:tc>
          <w:tcPr>
            <w:tcW w:w="2168" w:type="pct"/>
            <w:tcBorders>
              <w:top w:val="single" w:sz="4" w:space="0" w:color="C2D9BA"/>
              <w:bottom w:val="single" w:sz="4" w:space="0" w:color="C2D9BA"/>
            </w:tcBorders>
            <w:shd w:val="clear" w:color="auto" w:fill="auto"/>
            <w:vAlign w:val="center"/>
          </w:tcPr>
          <w:p w14:paraId="0A5A05C2" w14:textId="380A875A" w:rsidR="00B206B2" w:rsidRPr="00E44F3E" w:rsidRDefault="00B206B2" w:rsidP="00DD6F49">
            <w:pPr>
              <w:pStyle w:val="TableText"/>
              <w:spacing w:line="240" w:lineRule="auto"/>
            </w:pPr>
            <w:r w:rsidRPr="00E44F3E">
              <w:t>Chronic lymphocytic leukaemia or small lymphocytic leukaemia</w:t>
            </w:r>
            <w:r w:rsidR="00B1682D" w:rsidRPr="00E44F3E">
              <w:t xml:space="preserve"> </w:t>
            </w:r>
          </w:p>
        </w:tc>
        <w:tc>
          <w:tcPr>
            <w:tcW w:w="419" w:type="pct"/>
            <w:tcBorders>
              <w:top w:val="single" w:sz="4" w:space="0" w:color="C2D9BA"/>
              <w:bottom w:val="single" w:sz="4" w:space="0" w:color="C2D9BA"/>
            </w:tcBorders>
            <w:shd w:val="clear" w:color="auto" w:fill="FFF7ED"/>
            <w:vAlign w:val="center"/>
          </w:tcPr>
          <w:p w14:paraId="3A9B9E25"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7F0ED3E5"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6E3EBF4"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0DFE1E9"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2EE791DF" w14:textId="77777777" w:rsidTr="00E62BC7">
        <w:trPr>
          <w:cantSplit/>
        </w:trPr>
        <w:tc>
          <w:tcPr>
            <w:tcW w:w="1155" w:type="pct"/>
            <w:tcBorders>
              <w:top w:val="single" w:sz="4" w:space="0" w:color="C2D9BA"/>
              <w:bottom w:val="single" w:sz="4" w:space="0" w:color="C2D9BA"/>
            </w:tcBorders>
            <w:shd w:val="clear" w:color="auto" w:fill="auto"/>
            <w:vAlign w:val="center"/>
          </w:tcPr>
          <w:p w14:paraId="04BC45AE" w14:textId="77777777" w:rsidR="00B206B2" w:rsidRPr="00E44F3E" w:rsidRDefault="00B206B2" w:rsidP="00DD6F49">
            <w:pPr>
              <w:pStyle w:val="TableText"/>
              <w:spacing w:line="240" w:lineRule="auto"/>
            </w:pPr>
            <w:r w:rsidRPr="00E44F3E">
              <w:t>Rituximab</w:t>
            </w:r>
          </w:p>
        </w:tc>
        <w:tc>
          <w:tcPr>
            <w:tcW w:w="2168" w:type="pct"/>
            <w:tcBorders>
              <w:top w:val="single" w:sz="4" w:space="0" w:color="C2D9BA"/>
              <w:bottom w:val="single" w:sz="4" w:space="0" w:color="C2D9BA"/>
            </w:tcBorders>
            <w:shd w:val="clear" w:color="auto" w:fill="auto"/>
            <w:vAlign w:val="center"/>
          </w:tcPr>
          <w:p w14:paraId="45C9CEFF" w14:textId="77777777" w:rsidR="00B206B2" w:rsidRPr="00E44F3E" w:rsidRDefault="00B206B2" w:rsidP="00DD6F49">
            <w:pPr>
              <w:pStyle w:val="TableText"/>
              <w:spacing w:line="240" w:lineRule="auto"/>
            </w:pPr>
            <w:r w:rsidRPr="00E44F3E">
              <w:t xml:space="preserve">Hairy cell leukaemia </w:t>
            </w:r>
          </w:p>
        </w:tc>
        <w:tc>
          <w:tcPr>
            <w:tcW w:w="419" w:type="pct"/>
            <w:tcBorders>
              <w:top w:val="single" w:sz="4" w:space="0" w:color="C2D9BA"/>
              <w:bottom w:val="single" w:sz="4" w:space="0" w:color="C2D9BA"/>
            </w:tcBorders>
            <w:shd w:val="clear" w:color="auto" w:fill="FFF7ED"/>
            <w:vAlign w:val="center"/>
          </w:tcPr>
          <w:p w14:paraId="6A16DB9C"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09F3DABF"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6B1B9A84"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1D039E96"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27E1EEFB" w14:textId="77777777" w:rsidTr="00E62BC7">
        <w:trPr>
          <w:cantSplit/>
        </w:trPr>
        <w:tc>
          <w:tcPr>
            <w:tcW w:w="1155" w:type="pct"/>
            <w:tcBorders>
              <w:top w:val="single" w:sz="4" w:space="0" w:color="C2D9BA"/>
              <w:bottom w:val="single" w:sz="4" w:space="0" w:color="C2D9BA"/>
            </w:tcBorders>
            <w:shd w:val="clear" w:color="auto" w:fill="auto"/>
            <w:vAlign w:val="center"/>
          </w:tcPr>
          <w:p w14:paraId="04D3E664" w14:textId="77777777" w:rsidR="00B206B2" w:rsidRPr="00E44F3E" w:rsidRDefault="00B206B2" w:rsidP="00DD6F49">
            <w:pPr>
              <w:pStyle w:val="TableText"/>
              <w:spacing w:line="240" w:lineRule="auto"/>
            </w:pPr>
            <w:r w:rsidRPr="00E44F3E">
              <w:t>Rituximab</w:t>
            </w:r>
          </w:p>
        </w:tc>
        <w:tc>
          <w:tcPr>
            <w:tcW w:w="2168" w:type="pct"/>
            <w:tcBorders>
              <w:top w:val="single" w:sz="4" w:space="0" w:color="C2D9BA"/>
              <w:bottom w:val="single" w:sz="4" w:space="0" w:color="C2D9BA"/>
            </w:tcBorders>
            <w:shd w:val="clear" w:color="auto" w:fill="auto"/>
            <w:vAlign w:val="center"/>
          </w:tcPr>
          <w:p w14:paraId="503A3DA7" w14:textId="77777777" w:rsidR="00B206B2" w:rsidRPr="00E44F3E" w:rsidRDefault="00B206B2" w:rsidP="00DD6F49">
            <w:pPr>
              <w:pStyle w:val="TableText"/>
              <w:spacing w:line="240" w:lineRule="auto"/>
            </w:pPr>
            <w:r w:rsidRPr="00E44F3E">
              <w:t>Indolent low-grade lymphomas</w:t>
            </w:r>
          </w:p>
        </w:tc>
        <w:tc>
          <w:tcPr>
            <w:tcW w:w="419" w:type="pct"/>
            <w:tcBorders>
              <w:top w:val="single" w:sz="4" w:space="0" w:color="C2D9BA"/>
              <w:bottom w:val="single" w:sz="4" w:space="0" w:color="C2D9BA"/>
            </w:tcBorders>
            <w:shd w:val="clear" w:color="auto" w:fill="FFF7ED"/>
            <w:vAlign w:val="center"/>
          </w:tcPr>
          <w:p w14:paraId="655C19C4"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195555D6"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9CAC037"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23CF72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203D5412" w14:textId="77777777" w:rsidTr="00E62BC7">
        <w:trPr>
          <w:cantSplit/>
        </w:trPr>
        <w:tc>
          <w:tcPr>
            <w:tcW w:w="1155" w:type="pct"/>
            <w:tcBorders>
              <w:top w:val="single" w:sz="4" w:space="0" w:color="C2D9BA"/>
              <w:bottom w:val="single" w:sz="4" w:space="0" w:color="C2D9BA"/>
            </w:tcBorders>
            <w:shd w:val="clear" w:color="auto" w:fill="auto"/>
            <w:vAlign w:val="center"/>
          </w:tcPr>
          <w:p w14:paraId="2199D100" w14:textId="77777777" w:rsidR="00B206B2" w:rsidRPr="00E44F3E" w:rsidRDefault="00B206B2" w:rsidP="00DD6F49">
            <w:pPr>
              <w:pStyle w:val="TableText"/>
              <w:spacing w:line="240" w:lineRule="auto"/>
            </w:pPr>
            <w:proofErr w:type="spellStart"/>
            <w:r w:rsidRPr="00E44F3E">
              <w:t>Ruxolitinib</w:t>
            </w:r>
            <w:proofErr w:type="spellEnd"/>
          </w:p>
        </w:tc>
        <w:tc>
          <w:tcPr>
            <w:tcW w:w="2168" w:type="pct"/>
            <w:tcBorders>
              <w:top w:val="single" w:sz="4" w:space="0" w:color="C2D9BA"/>
              <w:bottom w:val="single" w:sz="4" w:space="0" w:color="C2D9BA"/>
            </w:tcBorders>
            <w:shd w:val="clear" w:color="auto" w:fill="auto"/>
            <w:vAlign w:val="center"/>
          </w:tcPr>
          <w:p w14:paraId="24F3C139" w14:textId="77777777" w:rsidR="00B206B2" w:rsidRPr="00E44F3E" w:rsidRDefault="00B206B2" w:rsidP="00DD6F49">
            <w:pPr>
              <w:pStyle w:val="TableText"/>
              <w:spacing w:line="240" w:lineRule="auto"/>
            </w:pPr>
            <w:r w:rsidRPr="00E44F3E">
              <w:t>Myelofibrosis</w:t>
            </w:r>
          </w:p>
        </w:tc>
        <w:tc>
          <w:tcPr>
            <w:tcW w:w="419" w:type="pct"/>
            <w:tcBorders>
              <w:top w:val="single" w:sz="4" w:space="0" w:color="C2D9BA"/>
              <w:bottom w:val="single" w:sz="4" w:space="0" w:color="C2D9BA"/>
            </w:tcBorders>
            <w:shd w:val="clear" w:color="auto" w:fill="FFF7ED"/>
            <w:vAlign w:val="center"/>
          </w:tcPr>
          <w:p w14:paraId="3648617A"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11D060E3"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02219699"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5D9B0C8D"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6797BC28" w14:textId="77777777" w:rsidTr="00E62BC7">
        <w:trPr>
          <w:cantSplit/>
        </w:trPr>
        <w:tc>
          <w:tcPr>
            <w:tcW w:w="1155" w:type="pct"/>
            <w:tcBorders>
              <w:top w:val="single" w:sz="4" w:space="0" w:color="C2D9BA"/>
              <w:bottom w:val="single" w:sz="4" w:space="0" w:color="C2D9BA"/>
            </w:tcBorders>
            <w:shd w:val="clear" w:color="auto" w:fill="auto"/>
            <w:vAlign w:val="center"/>
          </w:tcPr>
          <w:p w14:paraId="6BCEEEA8" w14:textId="77777777" w:rsidR="00B206B2" w:rsidRPr="00E44F3E" w:rsidRDefault="00B206B2" w:rsidP="00DD6F49">
            <w:pPr>
              <w:pStyle w:val="TableText"/>
              <w:spacing w:line="240" w:lineRule="auto"/>
            </w:pPr>
            <w:r w:rsidRPr="00E44F3E">
              <w:t>Thalidomide</w:t>
            </w:r>
          </w:p>
        </w:tc>
        <w:tc>
          <w:tcPr>
            <w:tcW w:w="2168" w:type="pct"/>
            <w:tcBorders>
              <w:top w:val="single" w:sz="4" w:space="0" w:color="C2D9BA"/>
              <w:bottom w:val="single" w:sz="4" w:space="0" w:color="C2D9BA"/>
            </w:tcBorders>
            <w:shd w:val="clear" w:color="auto" w:fill="auto"/>
            <w:vAlign w:val="center"/>
          </w:tcPr>
          <w:p w14:paraId="7CA6A51A" w14:textId="77777777" w:rsidR="00B206B2" w:rsidRPr="00E44F3E" w:rsidRDefault="00B206B2" w:rsidP="00DD6F49">
            <w:pPr>
              <w:pStyle w:val="TableText"/>
              <w:spacing w:line="240" w:lineRule="auto"/>
            </w:pPr>
            <w:r w:rsidRPr="00E44F3E">
              <w:t>Multiple myeloma</w:t>
            </w:r>
          </w:p>
        </w:tc>
        <w:tc>
          <w:tcPr>
            <w:tcW w:w="419" w:type="pct"/>
            <w:tcBorders>
              <w:top w:val="single" w:sz="4" w:space="0" w:color="C2D9BA"/>
              <w:bottom w:val="single" w:sz="4" w:space="0" w:color="C2D9BA"/>
            </w:tcBorders>
            <w:shd w:val="clear" w:color="auto" w:fill="FFF7ED"/>
            <w:vAlign w:val="center"/>
          </w:tcPr>
          <w:p w14:paraId="2018E33D" w14:textId="77777777" w:rsidR="00B206B2" w:rsidRPr="00E44F3E" w:rsidRDefault="00B206B2" w:rsidP="00DD6F49">
            <w:pPr>
              <w:pStyle w:val="TableText"/>
              <w:spacing w:line="240" w:lineRule="auto"/>
              <w:jc w:val="center"/>
              <w:rPr>
                <w:sz w:val="22"/>
                <w:szCs w:val="22"/>
                <w:lang w:eastAsia="en-NZ"/>
              </w:rPr>
            </w:pPr>
          </w:p>
        </w:tc>
        <w:tc>
          <w:tcPr>
            <w:tcW w:w="420" w:type="pct"/>
            <w:tcBorders>
              <w:top w:val="single" w:sz="4" w:space="0" w:color="C2D9BA"/>
              <w:bottom w:val="single" w:sz="4" w:space="0" w:color="C2D9BA"/>
            </w:tcBorders>
            <w:shd w:val="clear" w:color="auto" w:fill="FFF7ED"/>
            <w:vAlign w:val="center"/>
          </w:tcPr>
          <w:p w14:paraId="75D25A52"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1E000B7"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298828F3"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r>
      <w:tr w:rsidR="00B206B2" w:rsidRPr="00E44F3E" w14:paraId="1A564D40" w14:textId="77777777" w:rsidTr="00E62BC7">
        <w:trPr>
          <w:cantSplit/>
        </w:trPr>
        <w:tc>
          <w:tcPr>
            <w:tcW w:w="1155" w:type="pct"/>
            <w:tcBorders>
              <w:top w:val="single" w:sz="4" w:space="0" w:color="C2D9BA"/>
              <w:bottom w:val="single" w:sz="4" w:space="0" w:color="C2D9BA"/>
            </w:tcBorders>
            <w:shd w:val="clear" w:color="auto" w:fill="auto"/>
            <w:vAlign w:val="center"/>
          </w:tcPr>
          <w:p w14:paraId="431A281E" w14:textId="77777777" w:rsidR="00B206B2" w:rsidRPr="00E44F3E" w:rsidRDefault="00B206B2" w:rsidP="00DD6F49">
            <w:pPr>
              <w:pStyle w:val="TableText"/>
              <w:spacing w:line="240" w:lineRule="auto"/>
            </w:pPr>
            <w:r w:rsidRPr="00E44F3E">
              <w:t>Tioguanine [</w:t>
            </w:r>
            <w:proofErr w:type="spellStart"/>
            <w:r w:rsidRPr="00E44F3E">
              <w:t>Thioquanine</w:t>
            </w:r>
            <w:proofErr w:type="spellEnd"/>
            <w:r w:rsidRPr="00E44F3E">
              <w:t>]</w:t>
            </w:r>
          </w:p>
        </w:tc>
        <w:tc>
          <w:tcPr>
            <w:tcW w:w="2168" w:type="pct"/>
            <w:tcBorders>
              <w:top w:val="single" w:sz="4" w:space="0" w:color="C2D9BA"/>
              <w:bottom w:val="single" w:sz="4" w:space="0" w:color="C2D9BA"/>
            </w:tcBorders>
            <w:shd w:val="clear" w:color="auto" w:fill="auto"/>
            <w:vAlign w:val="center"/>
          </w:tcPr>
          <w:p w14:paraId="5D81DBB7"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59D6ECFF"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254ED399"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5C1849B4"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AD07647"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272BD5D4" w14:textId="77777777" w:rsidTr="00E62BC7">
        <w:trPr>
          <w:cantSplit/>
        </w:trPr>
        <w:tc>
          <w:tcPr>
            <w:tcW w:w="1155" w:type="pct"/>
            <w:tcBorders>
              <w:top w:val="single" w:sz="4" w:space="0" w:color="C2D9BA"/>
              <w:bottom w:val="single" w:sz="4" w:space="0" w:color="C2D9BA"/>
            </w:tcBorders>
            <w:shd w:val="clear" w:color="auto" w:fill="auto"/>
            <w:vAlign w:val="center"/>
          </w:tcPr>
          <w:p w14:paraId="7BDE405A" w14:textId="77777777" w:rsidR="00B206B2" w:rsidRPr="00E44F3E" w:rsidRDefault="00B206B2" w:rsidP="00DD6F49">
            <w:pPr>
              <w:pStyle w:val="TableText"/>
              <w:spacing w:line="240" w:lineRule="auto"/>
            </w:pPr>
            <w:proofErr w:type="spellStart"/>
            <w:r w:rsidRPr="00E44F3E">
              <w:t>Venetoclax</w:t>
            </w:r>
            <w:proofErr w:type="spellEnd"/>
          </w:p>
        </w:tc>
        <w:tc>
          <w:tcPr>
            <w:tcW w:w="2168" w:type="pct"/>
            <w:tcBorders>
              <w:top w:val="single" w:sz="4" w:space="0" w:color="C2D9BA"/>
              <w:bottom w:val="single" w:sz="4" w:space="0" w:color="C2D9BA"/>
            </w:tcBorders>
            <w:shd w:val="clear" w:color="auto" w:fill="auto"/>
            <w:vAlign w:val="center"/>
          </w:tcPr>
          <w:p w14:paraId="1857AE11" w14:textId="77777777" w:rsidR="00B206B2" w:rsidRPr="00E44F3E" w:rsidRDefault="00B206B2" w:rsidP="00DD6F49">
            <w:pPr>
              <w:pStyle w:val="TableText"/>
              <w:spacing w:line="240" w:lineRule="auto"/>
            </w:pPr>
            <w:r w:rsidRPr="00E44F3E">
              <w:t>Chronic lymphocytic leukaemia</w:t>
            </w:r>
          </w:p>
        </w:tc>
        <w:tc>
          <w:tcPr>
            <w:tcW w:w="419" w:type="pct"/>
            <w:tcBorders>
              <w:top w:val="single" w:sz="4" w:space="0" w:color="C2D9BA"/>
              <w:bottom w:val="single" w:sz="4" w:space="0" w:color="C2D9BA"/>
            </w:tcBorders>
            <w:shd w:val="clear" w:color="auto" w:fill="FFF7ED"/>
            <w:vAlign w:val="center"/>
          </w:tcPr>
          <w:p w14:paraId="76BD6EE8"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20" w:type="pct"/>
            <w:tcBorders>
              <w:top w:val="single" w:sz="4" w:space="0" w:color="C2D9BA"/>
              <w:bottom w:val="single" w:sz="4" w:space="0" w:color="C2D9BA"/>
            </w:tcBorders>
            <w:shd w:val="clear" w:color="auto" w:fill="FFF7ED"/>
            <w:vAlign w:val="center"/>
          </w:tcPr>
          <w:p w14:paraId="5C54A4FA"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3649FDD6"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4F9BCD9D"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r>
      <w:tr w:rsidR="00B206B2" w:rsidRPr="00E44F3E" w14:paraId="1376B2F0" w14:textId="77777777" w:rsidTr="00E62BC7">
        <w:trPr>
          <w:cantSplit/>
        </w:trPr>
        <w:tc>
          <w:tcPr>
            <w:tcW w:w="1155" w:type="pct"/>
            <w:tcBorders>
              <w:top w:val="single" w:sz="4" w:space="0" w:color="C2D9BA"/>
              <w:bottom w:val="single" w:sz="4" w:space="0" w:color="C2D9BA"/>
            </w:tcBorders>
            <w:shd w:val="clear" w:color="auto" w:fill="auto"/>
            <w:vAlign w:val="center"/>
          </w:tcPr>
          <w:p w14:paraId="57B6FF08" w14:textId="77777777" w:rsidR="00B206B2" w:rsidRPr="00E44F3E" w:rsidRDefault="00B206B2" w:rsidP="00DD6F49">
            <w:pPr>
              <w:pStyle w:val="TableText"/>
              <w:spacing w:line="240" w:lineRule="auto"/>
            </w:pPr>
            <w:r w:rsidRPr="00E44F3E">
              <w:t>Vinblastine</w:t>
            </w:r>
          </w:p>
        </w:tc>
        <w:tc>
          <w:tcPr>
            <w:tcW w:w="2168" w:type="pct"/>
            <w:tcBorders>
              <w:top w:val="single" w:sz="4" w:space="0" w:color="C2D9BA"/>
              <w:bottom w:val="single" w:sz="4" w:space="0" w:color="C2D9BA"/>
            </w:tcBorders>
            <w:shd w:val="clear" w:color="auto" w:fill="auto"/>
            <w:vAlign w:val="center"/>
          </w:tcPr>
          <w:p w14:paraId="2262A7A8"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3DC69207"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05DCE0A7" w14:textId="77777777" w:rsidR="00B206B2" w:rsidRPr="00E44F3E" w:rsidRDefault="00B206B2" w:rsidP="00DD6F49">
            <w:pPr>
              <w:pStyle w:val="TableText"/>
              <w:spacing w:line="240" w:lineRule="auto"/>
              <w:jc w:val="center"/>
              <w:rPr>
                <w:rFonts w:ascii="Wingdings 2" w:hAnsi="Wingdings 2"/>
                <w:sz w:val="22"/>
                <w:szCs w:val="22"/>
                <w:lang w:eastAsia="en-NZ"/>
              </w:rPr>
            </w:pPr>
          </w:p>
        </w:tc>
        <w:tc>
          <w:tcPr>
            <w:tcW w:w="419" w:type="pct"/>
            <w:tcBorders>
              <w:top w:val="single" w:sz="4" w:space="0" w:color="C2D9BA"/>
              <w:bottom w:val="single" w:sz="4" w:space="0" w:color="C2D9BA"/>
            </w:tcBorders>
            <w:vAlign w:val="center"/>
          </w:tcPr>
          <w:p w14:paraId="05A30C70" w14:textId="77777777" w:rsidR="00B206B2" w:rsidRPr="00E44F3E" w:rsidRDefault="00B206B2" w:rsidP="00DD6F49">
            <w:pPr>
              <w:pStyle w:val="TableText"/>
              <w:spacing w:line="240" w:lineRule="auto"/>
              <w:jc w:val="center"/>
              <w:rPr>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B20C6C7" w14:textId="77777777" w:rsidR="00B206B2" w:rsidRPr="00E44F3E" w:rsidRDefault="00B206B2" w:rsidP="00DD6F49">
            <w:pPr>
              <w:pStyle w:val="TableText"/>
              <w:spacing w:line="240" w:lineRule="auto"/>
              <w:jc w:val="center"/>
              <w:rPr>
                <w:rFonts w:ascii="Wingdings 2" w:hAnsi="Wingdings 2"/>
                <w:sz w:val="22"/>
                <w:szCs w:val="22"/>
                <w:lang w:eastAsia="en-NZ"/>
              </w:rPr>
            </w:pPr>
          </w:p>
        </w:tc>
      </w:tr>
      <w:tr w:rsidR="00B206B2" w:rsidRPr="00E44F3E" w14:paraId="1FCC3606" w14:textId="77777777" w:rsidTr="00E62BC7">
        <w:trPr>
          <w:cantSplit/>
        </w:trPr>
        <w:tc>
          <w:tcPr>
            <w:tcW w:w="1155" w:type="pct"/>
            <w:tcBorders>
              <w:top w:val="single" w:sz="4" w:space="0" w:color="C2D9BA"/>
              <w:bottom w:val="single" w:sz="4" w:space="0" w:color="C2D9BA"/>
            </w:tcBorders>
            <w:shd w:val="clear" w:color="auto" w:fill="auto"/>
            <w:vAlign w:val="center"/>
          </w:tcPr>
          <w:p w14:paraId="4BBB5137" w14:textId="77777777" w:rsidR="00B206B2" w:rsidRPr="00E44F3E" w:rsidRDefault="00B206B2" w:rsidP="00DD6F49">
            <w:pPr>
              <w:pStyle w:val="TableText"/>
              <w:spacing w:line="240" w:lineRule="auto"/>
            </w:pPr>
            <w:r w:rsidRPr="00E44F3E">
              <w:t>Vincristine</w:t>
            </w:r>
          </w:p>
        </w:tc>
        <w:tc>
          <w:tcPr>
            <w:tcW w:w="2168" w:type="pct"/>
            <w:tcBorders>
              <w:top w:val="single" w:sz="4" w:space="0" w:color="C2D9BA"/>
              <w:bottom w:val="single" w:sz="4" w:space="0" w:color="C2D9BA"/>
            </w:tcBorders>
            <w:shd w:val="clear" w:color="auto" w:fill="auto"/>
            <w:vAlign w:val="center"/>
          </w:tcPr>
          <w:p w14:paraId="6C279560"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459A816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536249AB"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7CB10061"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2D689295" w14:textId="77777777" w:rsidR="00B206B2" w:rsidRPr="00E44F3E" w:rsidRDefault="00B206B2" w:rsidP="00DD6F49">
            <w:pPr>
              <w:pStyle w:val="TableText"/>
              <w:spacing w:line="240" w:lineRule="auto"/>
              <w:jc w:val="center"/>
              <w:rPr>
                <w:sz w:val="22"/>
                <w:szCs w:val="22"/>
                <w:lang w:eastAsia="en-NZ"/>
              </w:rPr>
            </w:pPr>
          </w:p>
        </w:tc>
      </w:tr>
      <w:tr w:rsidR="00B206B2" w:rsidRPr="00E44F3E" w14:paraId="07924E37" w14:textId="77777777" w:rsidTr="00E62BC7">
        <w:trPr>
          <w:cantSplit/>
        </w:trPr>
        <w:tc>
          <w:tcPr>
            <w:tcW w:w="1155" w:type="pct"/>
            <w:tcBorders>
              <w:top w:val="single" w:sz="4" w:space="0" w:color="C2D9BA"/>
              <w:bottom w:val="single" w:sz="4" w:space="0" w:color="C2D9BA"/>
            </w:tcBorders>
            <w:shd w:val="clear" w:color="auto" w:fill="auto"/>
            <w:vAlign w:val="center"/>
          </w:tcPr>
          <w:p w14:paraId="78413A20" w14:textId="77777777" w:rsidR="00B206B2" w:rsidRPr="00E44F3E" w:rsidRDefault="00B206B2" w:rsidP="00DD6F49">
            <w:pPr>
              <w:pStyle w:val="TableText"/>
              <w:spacing w:line="240" w:lineRule="auto"/>
            </w:pPr>
            <w:r w:rsidRPr="00E44F3E">
              <w:t>Vinorelbine</w:t>
            </w:r>
          </w:p>
        </w:tc>
        <w:tc>
          <w:tcPr>
            <w:tcW w:w="2168" w:type="pct"/>
            <w:tcBorders>
              <w:top w:val="single" w:sz="4" w:space="0" w:color="C2D9BA"/>
              <w:bottom w:val="single" w:sz="4" w:space="0" w:color="C2D9BA"/>
            </w:tcBorders>
            <w:shd w:val="clear" w:color="auto" w:fill="auto"/>
            <w:vAlign w:val="center"/>
          </w:tcPr>
          <w:p w14:paraId="795FD56F" w14:textId="77777777" w:rsidR="00B206B2" w:rsidRPr="00E44F3E" w:rsidRDefault="00B206B2" w:rsidP="00DD6F49">
            <w:pPr>
              <w:pStyle w:val="TableText"/>
              <w:spacing w:line="240" w:lineRule="auto"/>
            </w:pPr>
            <w:r w:rsidRPr="00E44F3E">
              <w:t>No restriction on cancer type</w:t>
            </w:r>
          </w:p>
        </w:tc>
        <w:tc>
          <w:tcPr>
            <w:tcW w:w="419" w:type="pct"/>
            <w:tcBorders>
              <w:top w:val="single" w:sz="4" w:space="0" w:color="C2D9BA"/>
              <w:bottom w:val="single" w:sz="4" w:space="0" w:color="C2D9BA"/>
            </w:tcBorders>
            <w:shd w:val="clear" w:color="auto" w:fill="FFF7ED"/>
            <w:vAlign w:val="center"/>
          </w:tcPr>
          <w:p w14:paraId="6C8BEE3F"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20" w:type="pct"/>
            <w:tcBorders>
              <w:top w:val="single" w:sz="4" w:space="0" w:color="C2D9BA"/>
              <w:bottom w:val="single" w:sz="4" w:space="0" w:color="C2D9BA"/>
            </w:tcBorders>
            <w:shd w:val="clear" w:color="auto" w:fill="FFF7ED"/>
            <w:vAlign w:val="center"/>
          </w:tcPr>
          <w:p w14:paraId="4F3FC885" w14:textId="77777777" w:rsidR="00B206B2" w:rsidRPr="00E44F3E" w:rsidRDefault="00B206B2" w:rsidP="00DD6F49">
            <w:pPr>
              <w:pStyle w:val="TableText"/>
              <w:spacing w:line="240" w:lineRule="auto"/>
              <w:jc w:val="center"/>
              <w:rPr>
                <w:sz w:val="22"/>
                <w:szCs w:val="22"/>
                <w:lang w:eastAsia="en-NZ"/>
              </w:rPr>
            </w:pPr>
          </w:p>
        </w:tc>
        <w:tc>
          <w:tcPr>
            <w:tcW w:w="419" w:type="pct"/>
            <w:tcBorders>
              <w:top w:val="single" w:sz="4" w:space="0" w:color="C2D9BA"/>
              <w:bottom w:val="single" w:sz="4" w:space="0" w:color="C2D9BA"/>
            </w:tcBorders>
            <w:vAlign w:val="center"/>
          </w:tcPr>
          <w:p w14:paraId="5CFC63DE" w14:textId="77777777" w:rsidR="00B206B2" w:rsidRPr="00E44F3E" w:rsidRDefault="00B206B2" w:rsidP="00DD6F49">
            <w:pPr>
              <w:pStyle w:val="TableText"/>
              <w:spacing w:line="240" w:lineRule="auto"/>
              <w:jc w:val="center"/>
              <w:rPr>
                <w:rFonts w:ascii="Wingdings 2" w:hAnsi="Wingdings 2"/>
                <w:sz w:val="22"/>
                <w:szCs w:val="22"/>
                <w:lang w:eastAsia="en-NZ"/>
              </w:rPr>
            </w:pPr>
            <w:r w:rsidRPr="00E44F3E">
              <w:rPr>
                <w:rFonts w:ascii="Wingdings 2" w:hAnsi="Wingdings 2"/>
                <w:sz w:val="22"/>
                <w:szCs w:val="22"/>
                <w:lang w:eastAsia="en-NZ"/>
              </w:rPr>
              <w:t>P</w:t>
            </w:r>
          </w:p>
        </w:tc>
        <w:tc>
          <w:tcPr>
            <w:tcW w:w="419" w:type="pct"/>
            <w:tcBorders>
              <w:top w:val="single" w:sz="4" w:space="0" w:color="C2D9BA"/>
              <w:bottom w:val="single" w:sz="4" w:space="0" w:color="C2D9BA"/>
            </w:tcBorders>
            <w:vAlign w:val="center"/>
          </w:tcPr>
          <w:p w14:paraId="59901569" w14:textId="77777777" w:rsidR="00B206B2" w:rsidRPr="00E44F3E" w:rsidRDefault="00B206B2" w:rsidP="00DD6F49">
            <w:pPr>
              <w:pStyle w:val="TableText"/>
              <w:spacing w:line="240" w:lineRule="auto"/>
              <w:jc w:val="center"/>
              <w:rPr>
                <w:sz w:val="22"/>
                <w:szCs w:val="22"/>
                <w:lang w:eastAsia="en-NZ"/>
              </w:rPr>
            </w:pPr>
          </w:p>
        </w:tc>
      </w:tr>
    </w:tbl>
    <w:bookmarkEnd w:id="198"/>
    <w:p w14:paraId="235F7875" w14:textId="3C80B645" w:rsidR="00A163A7" w:rsidRPr="00E44F3E" w:rsidRDefault="00A163A7" w:rsidP="00A51BA1">
      <w:pPr>
        <w:pStyle w:val="Note"/>
        <w:ind w:left="0" w:firstLine="0"/>
      </w:pPr>
      <w:r w:rsidRPr="00E44F3E">
        <w:t>Note: There may be some duplication with the previous</w:t>
      </w:r>
      <w:r w:rsidR="00904921">
        <w:t>ly</w:t>
      </w:r>
      <w:r w:rsidRPr="00E44F3E">
        <w:t xml:space="preserve"> published medicine availability analysis </w:t>
      </w:r>
      <w:r w:rsidR="00904921">
        <w:t>(</w:t>
      </w:r>
      <w:r w:rsidR="00904921" w:rsidRPr="00904921">
        <w:t>Te Aho o Te Kahu 2022</w:t>
      </w:r>
      <w:r w:rsidR="00904921">
        <w:t xml:space="preserve">) </w:t>
      </w:r>
      <w:r w:rsidRPr="00E44F3E">
        <w:t xml:space="preserve">as some medicines are used in the treatment of both solid tumour cancers and blood cancers. </w:t>
      </w:r>
    </w:p>
    <w:p w14:paraId="12CF4B21" w14:textId="1E7543BA" w:rsidR="00B206B2" w:rsidRPr="00E44F3E" w:rsidRDefault="00A163A7" w:rsidP="00EB0A8D">
      <w:pPr>
        <w:pStyle w:val="Note"/>
      </w:pPr>
      <w:r w:rsidRPr="00E44F3E">
        <w:rPr>
          <w:rFonts w:cstheme="minorHAnsi"/>
        </w:rPr>
        <w:t>*</w:t>
      </w:r>
      <w:r w:rsidRPr="00E44F3E">
        <w:rPr>
          <w:rFonts w:cstheme="minorHAnsi"/>
        </w:rPr>
        <w:tab/>
      </w:r>
      <w:r w:rsidR="00B206B2" w:rsidRPr="00E44F3E">
        <w:t xml:space="preserve">The medicines listed in this table cover a broad range of specific indications or therapeutic uses that are outlined in the funding or registration restrictions – please refer to the PBS, TGA, Pharmac and </w:t>
      </w:r>
      <w:proofErr w:type="spellStart"/>
      <w:r w:rsidR="00B206B2" w:rsidRPr="00E44F3E">
        <w:t>Medsafe</w:t>
      </w:r>
      <w:proofErr w:type="spellEnd"/>
      <w:r w:rsidR="00B206B2" w:rsidRPr="00E44F3E">
        <w:t xml:space="preserve"> for more information.</w:t>
      </w:r>
    </w:p>
    <w:p w14:paraId="271762D3" w14:textId="77777777" w:rsidR="00B206B2" w:rsidRPr="00E44F3E" w:rsidRDefault="00B206B2" w:rsidP="00A163A7"/>
    <w:p w14:paraId="21D3D6BD" w14:textId="13B405D9" w:rsidR="00B206B2" w:rsidRPr="00E44F3E" w:rsidRDefault="00B206B2" w:rsidP="0069520B">
      <w:pPr>
        <w:pStyle w:val="Heading2"/>
        <w:pageBreakBefore/>
      </w:pPr>
      <w:bookmarkStart w:id="199" w:name="App4"/>
      <w:bookmarkStart w:id="200" w:name="_Toc100739057"/>
      <w:bookmarkStart w:id="201" w:name="_Ref168422593"/>
      <w:bookmarkStart w:id="202" w:name="_Toc175229017"/>
      <w:bookmarkStart w:id="203" w:name="_Toc180062130"/>
      <w:r w:rsidRPr="00E44F3E">
        <w:lastRenderedPageBreak/>
        <w:t>Appendix 4</w:t>
      </w:r>
      <w:bookmarkEnd w:id="199"/>
      <w:r w:rsidRPr="00E44F3E">
        <w:t xml:space="preserve">: Blood cancer medicines publicly funded in </w:t>
      </w:r>
      <w:r w:rsidR="00E6006E">
        <w:t>Aotearoa New </w:t>
      </w:r>
      <w:r w:rsidR="00F01F5C">
        <w:t>Zealand</w:t>
      </w:r>
      <w:r w:rsidRPr="00E44F3E">
        <w:t xml:space="preserve"> but not </w:t>
      </w:r>
      <w:bookmarkEnd w:id="200"/>
      <w:r w:rsidR="008769F1">
        <w:t xml:space="preserve">in </w:t>
      </w:r>
      <w:r w:rsidRPr="00E44F3E">
        <w:t>Australia</w:t>
      </w:r>
      <w:bookmarkEnd w:id="201"/>
      <w:bookmarkEnd w:id="202"/>
      <w:bookmarkEnd w:id="203"/>
    </w:p>
    <w:p w14:paraId="56E1DA3D" w14:textId="50032D08" w:rsidR="00B206B2" w:rsidRPr="00E44F3E" w:rsidRDefault="00B206B2" w:rsidP="0069520B">
      <w:r w:rsidRPr="00E44F3E">
        <w:t xml:space="preserve">This appendix provides results from the comparison of blood cancer medicines that are publicly funded in </w:t>
      </w:r>
      <w:r w:rsidR="00E6006E">
        <w:t>Aotearoa New </w:t>
      </w:r>
      <w:r w:rsidR="00F01F5C">
        <w:t>Zealand</w:t>
      </w:r>
      <w:r w:rsidRPr="00E44F3E">
        <w:t xml:space="preserve"> through Pharmac with those publicly funded in Australia through the Australian PBS </w:t>
      </w:r>
      <w:r w:rsidR="00474119">
        <w:t>Schedule</w:t>
      </w:r>
      <w:r w:rsidRPr="00E44F3E">
        <w:t xml:space="preserve">, specifically for medicines funded in </w:t>
      </w:r>
      <w:r w:rsidR="00E6006E">
        <w:t>Aotearoa New </w:t>
      </w:r>
      <w:r w:rsidR="00F01F5C">
        <w:t>Zealand</w:t>
      </w:r>
      <w:r w:rsidRPr="00E44F3E">
        <w:t xml:space="preserve"> but not in Australia (</w:t>
      </w:r>
      <w:r w:rsidR="009C64E3" w:rsidRPr="00E44F3E">
        <w:fldChar w:fldCharType="begin"/>
      </w:r>
      <w:r w:rsidR="009C64E3" w:rsidRPr="00E44F3E">
        <w:instrText xml:space="preserve"> REF _Ref176264552 \h </w:instrText>
      </w:r>
      <w:r w:rsidR="009C64E3" w:rsidRPr="00E44F3E">
        <w:fldChar w:fldCharType="separate"/>
      </w:r>
      <w:r w:rsidR="004A6DF6" w:rsidRPr="00E44F3E">
        <w:t xml:space="preserve">Table </w:t>
      </w:r>
      <w:r w:rsidR="004A6DF6">
        <w:rPr>
          <w:noProof/>
        </w:rPr>
        <w:t>10</w:t>
      </w:r>
      <w:r w:rsidR="009C64E3" w:rsidRPr="00E44F3E">
        <w:fldChar w:fldCharType="end"/>
      </w:r>
      <w:r w:rsidRPr="00E44F3E">
        <w:t>).</w:t>
      </w:r>
    </w:p>
    <w:p w14:paraId="317E3E3D" w14:textId="77777777" w:rsidR="00B206B2" w:rsidRPr="00E44F3E" w:rsidRDefault="00B206B2" w:rsidP="0069520B"/>
    <w:p w14:paraId="53266919" w14:textId="5B754AE3" w:rsidR="00B206B2" w:rsidRPr="00E44F3E" w:rsidRDefault="009C64E3" w:rsidP="009C64E3">
      <w:pPr>
        <w:pStyle w:val="Table"/>
      </w:pPr>
      <w:bookmarkStart w:id="204" w:name="_Ref176264552"/>
      <w:bookmarkStart w:id="205" w:name="_Toc175241601"/>
      <w:bookmarkStart w:id="206" w:name="_Ref177646150"/>
      <w:bookmarkStart w:id="207" w:name="_Toc180142296"/>
      <w:bookmarkStart w:id="208" w:name="Appendix_4_Table_4point1"/>
      <w:r w:rsidRPr="00E44F3E">
        <w:t xml:space="preserve">Table </w:t>
      </w:r>
      <w:r w:rsidR="00D97615">
        <w:fldChar w:fldCharType="begin"/>
      </w:r>
      <w:r w:rsidR="00D97615">
        <w:instrText xml:space="preserve"> SEQ Table \* ARABIC </w:instrText>
      </w:r>
      <w:r w:rsidR="00D97615">
        <w:fldChar w:fldCharType="separate"/>
      </w:r>
      <w:r w:rsidR="004A6DF6">
        <w:rPr>
          <w:noProof/>
        </w:rPr>
        <w:t>10</w:t>
      </w:r>
      <w:r w:rsidR="00D97615">
        <w:rPr>
          <w:noProof/>
        </w:rPr>
        <w:fldChar w:fldCharType="end"/>
      </w:r>
      <w:bookmarkEnd w:id="204"/>
      <w:r w:rsidR="00B206B2" w:rsidRPr="00E44F3E">
        <w:t xml:space="preserve">: Medicines funded in </w:t>
      </w:r>
      <w:r w:rsidR="00E6006E">
        <w:t>Aotearoa New </w:t>
      </w:r>
      <w:r w:rsidR="00F01F5C">
        <w:t>Zealand</w:t>
      </w:r>
      <w:r w:rsidR="00B206B2" w:rsidRPr="00E44F3E">
        <w:t xml:space="preserve"> but not in Australia*</w:t>
      </w:r>
      <w:bookmarkEnd w:id="205"/>
      <w:bookmarkEnd w:id="206"/>
      <w:bookmarkEnd w:id="207"/>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319"/>
        <w:gridCol w:w="3190"/>
      </w:tblGrid>
      <w:tr w:rsidR="00B206B2" w:rsidRPr="00E44F3E" w14:paraId="390956CF" w14:textId="77777777" w:rsidTr="00112A0C">
        <w:trPr>
          <w:cantSplit/>
          <w:tblHeader/>
        </w:trPr>
        <w:tc>
          <w:tcPr>
            <w:tcW w:w="0" w:type="auto"/>
            <w:tcBorders>
              <w:top w:val="nil"/>
              <w:bottom w:val="nil"/>
            </w:tcBorders>
            <w:shd w:val="clear" w:color="auto" w:fill="C2D9BA"/>
          </w:tcPr>
          <w:p w14:paraId="039AD41B" w14:textId="77777777" w:rsidR="00B206B2" w:rsidRPr="00E44F3E" w:rsidRDefault="00B206B2" w:rsidP="004B3EE8">
            <w:pPr>
              <w:pStyle w:val="TableText"/>
              <w:spacing w:line="240" w:lineRule="auto"/>
              <w:rPr>
                <w:b/>
                <w:bCs/>
              </w:rPr>
            </w:pPr>
            <w:r w:rsidRPr="00E44F3E">
              <w:rPr>
                <w:b/>
                <w:bCs/>
              </w:rPr>
              <w:t>Medicine</w:t>
            </w:r>
          </w:p>
        </w:tc>
        <w:tc>
          <w:tcPr>
            <w:tcW w:w="0" w:type="auto"/>
            <w:tcBorders>
              <w:top w:val="nil"/>
              <w:bottom w:val="nil"/>
            </w:tcBorders>
            <w:shd w:val="clear" w:color="auto" w:fill="C2D9BA"/>
          </w:tcPr>
          <w:p w14:paraId="65C7B220" w14:textId="1CF89184" w:rsidR="00B206B2" w:rsidRPr="00E44F3E" w:rsidRDefault="00B206B2" w:rsidP="004B3EE8">
            <w:pPr>
              <w:pStyle w:val="TableText"/>
              <w:spacing w:line="240" w:lineRule="auto"/>
              <w:rPr>
                <w:b/>
                <w:bCs/>
              </w:rPr>
            </w:pPr>
            <w:r w:rsidRPr="00E44F3E">
              <w:rPr>
                <w:b/>
                <w:bCs/>
              </w:rPr>
              <w:t xml:space="preserve">Indication per </w:t>
            </w:r>
            <w:proofErr w:type="spellStart"/>
            <w:r w:rsidRPr="00E44F3E">
              <w:rPr>
                <w:b/>
                <w:bCs/>
              </w:rPr>
              <w:t>Pharmac’s</w:t>
            </w:r>
            <w:proofErr w:type="spellEnd"/>
            <w:r w:rsidRPr="00E44F3E">
              <w:rPr>
                <w:b/>
                <w:bCs/>
              </w:rPr>
              <w:t xml:space="preserve"> schedule</w:t>
            </w:r>
            <w:r w:rsidR="00492973" w:rsidRPr="00E44F3E">
              <w:rPr>
                <w:b/>
                <w:bCs/>
                <w:vertAlign w:val="superscript"/>
              </w:rPr>
              <w:t>†</w:t>
            </w:r>
          </w:p>
        </w:tc>
      </w:tr>
      <w:tr w:rsidR="00B206B2" w:rsidRPr="00E44F3E" w14:paraId="0FBC74CC" w14:textId="77777777" w:rsidTr="00112A0C">
        <w:trPr>
          <w:cantSplit/>
        </w:trPr>
        <w:tc>
          <w:tcPr>
            <w:tcW w:w="0" w:type="auto"/>
            <w:tcBorders>
              <w:top w:val="nil"/>
              <w:bottom w:val="single" w:sz="4" w:space="0" w:color="C2D9BA"/>
            </w:tcBorders>
            <w:shd w:val="clear" w:color="auto" w:fill="auto"/>
            <w:vAlign w:val="center"/>
          </w:tcPr>
          <w:p w14:paraId="36540D3B" w14:textId="77777777" w:rsidR="00B206B2" w:rsidRPr="001A7ABE" w:rsidRDefault="00B206B2" w:rsidP="004B3EE8">
            <w:pPr>
              <w:pStyle w:val="TableText"/>
              <w:spacing w:line="240" w:lineRule="auto"/>
            </w:pPr>
            <w:proofErr w:type="spellStart"/>
            <w:r w:rsidRPr="001A7ABE">
              <w:t>Bendamustine</w:t>
            </w:r>
            <w:proofErr w:type="spellEnd"/>
          </w:p>
        </w:tc>
        <w:tc>
          <w:tcPr>
            <w:tcW w:w="0" w:type="auto"/>
            <w:tcBorders>
              <w:top w:val="nil"/>
              <w:bottom w:val="single" w:sz="4" w:space="0" w:color="C2D9BA"/>
            </w:tcBorders>
            <w:shd w:val="clear" w:color="auto" w:fill="auto"/>
            <w:vAlign w:val="center"/>
          </w:tcPr>
          <w:p w14:paraId="518C5597" w14:textId="06F342A8" w:rsidR="00B206B2" w:rsidRPr="00E44F3E" w:rsidRDefault="00B206B2" w:rsidP="004B3EE8">
            <w:pPr>
              <w:pStyle w:val="TableText"/>
              <w:spacing w:line="240" w:lineRule="auto"/>
            </w:pPr>
            <w:r w:rsidRPr="00E44F3E">
              <w:t>Chronic lymphocytic leukaemia</w:t>
            </w:r>
            <w:r w:rsidR="00492973" w:rsidRPr="00E44F3E">
              <w:rPr>
                <w:vertAlign w:val="superscript"/>
              </w:rPr>
              <w:t>†</w:t>
            </w:r>
            <w:r w:rsidR="00B1682D" w:rsidRPr="00E44F3E">
              <w:t xml:space="preserve"> </w:t>
            </w:r>
          </w:p>
        </w:tc>
      </w:tr>
      <w:tr w:rsidR="00B206B2" w:rsidRPr="00E44F3E" w14:paraId="09110A02" w14:textId="77777777" w:rsidTr="00112A0C">
        <w:trPr>
          <w:cantSplit/>
        </w:trPr>
        <w:tc>
          <w:tcPr>
            <w:tcW w:w="0" w:type="auto"/>
            <w:tcBorders>
              <w:top w:val="nil"/>
              <w:bottom w:val="single" w:sz="4" w:space="0" w:color="C2D9BA"/>
            </w:tcBorders>
            <w:shd w:val="clear" w:color="auto" w:fill="auto"/>
            <w:vAlign w:val="center"/>
          </w:tcPr>
          <w:p w14:paraId="4BD98203" w14:textId="77777777" w:rsidR="00B206B2" w:rsidRPr="001A7ABE" w:rsidRDefault="00B206B2" w:rsidP="004B3EE8">
            <w:pPr>
              <w:pStyle w:val="TableText"/>
              <w:spacing w:line="240" w:lineRule="auto"/>
            </w:pPr>
            <w:proofErr w:type="spellStart"/>
            <w:r w:rsidRPr="001A7ABE">
              <w:t>Bendamustine</w:t>
            </w:r>
            <w:proofErr w:type="spellEnd"/>
          </w:p>
        </w:tc>
        <w:tc>
          <w:tcPr>
            <w:tcW w:w="0" w:type="auto"/>
            <w:tcBorders>
              <w:top w:val="nil"/>
              <w:bottom w:val="single" w:sz="4" w:space="0" w:color="C2D9BA"/>
            </w:tcBorders>
            <w:shd w:val="clear" w:color="auto" w:fill="auto"/>
            <w:vAlign w:val="center"/>
          </w:tcPr>
          <w:p w14:paraId="725D8700" w14:textId="3D50E85F" w:rsidR="00B206B2" w:rsidRPr="00E44F3E" w:rsidRDefault="00B206B2" w:rsidP="004B3EE8">
            <w:pPr>
              <w:pStyle w:val="TableText"/>
              <w:spacing w:line="240" w:lineRule="auto"/>
            </w:pPr>
            <w:r w:rsidRPr="00E44F3E">
              <w:t>Hodgkin’s lymphoma</w:t>
            </w:r>
            <w:r w:rsidR="00492973" w:rsidRPr="00E44F3E">
              <w:rPr>
                <w:vertAlign w:val="superscript"/>
              </w:rPr>
              <w:t>†</w:t>
            </w:r>
          </w:p>
        </w:tc>
      </w:tr>
      <w:tr w:rsidR="00B206B2" w:rsidRPr="00E44F3E" w14:paraId="39A07A6A" w14:textId="77777777" w:rsidTr="00112A0C">
        <w:trPr>
          <w:cantSplit/>
        </w:trPr>
        <w:tc>
          <w:tcPr>
            <w:tcW w:w="0" w:type="auto"/>
            <w:tcBorders>
              <w:top w:val="nil"/>
              <w:bottom w:val="single" w:sz="4" w:space="0" w:color="C2D9BA"/>
            </w:tcBorders>
            <w:shd w:val="clear" w:color="auto" w:fill="auto"/>
            <w:vAlign w:val="center"/>
          </w:tcPr>
          <w:p w14:paraId="6DB99DB4" w14:textId="77777777" w:rsidR="00B206B2" w:rsidRPr="001A7ABE" w:rsidRDefault="00B206B2" w:rsidP="004B3EE8">
            <w:pPr>
              <w:pStyle w:val="TableText"/>
              <w:spacing w:line="240" w:lineRule="auto"/>
            </w:pPr>
            <w:proofErr w:type="spellStart"/>
            <w:r w:rsidRPr="001A7ABE">
              <w:t>Bendamustine</w:t>
            </w:r>
            <w:proofErr w:type="spellEnd"/>
          </w:p>
        </w:tc>
        <w:tc>
          <w:tcPr>
            <w:tcW w:w="0" w:type="auto"/>
            <w:tcBorders>
              <w:top w:val="nil"/>
              <w:bottom w:val="single" w:sz="4" w:space="0" w:color="C2D9BA"/>
            </w:tcBorders>
            <w:shd w:val="clear" w:color="auto" w:fill="auto"/>
            <w:vAlign w:val="center"/>
          </w:tcPr>
          <w:p w14:paraId="04E3FE53" w14:textId="63EF46F9" w:rsidR="00B206B2" w:rsidRPr="00E44F3E" w:rsidRDefault="00B206B2" w:rsidP="004B3EE8">
            <w:pPr>
              <w:pStyle w:val="TableText"/>
              <w:spacing w:line="240" w:lineRule="auto"/>
            </w:pPr>
            <w:r w:rsidRPr="00E44F3E">
              <w:t>Follicular lymphoma</w:t>
            </w:r>
            <w:r w:rsidR="00492973" w:rsidRPr="00E44F3E">
              <w:rPr>
                <w:vertAlign w:val="superscript"/>
              </w:rPr>
              <w:t>†</w:t>
            </w:r>
            <w:r w:rsidR="00B1682D" w:rsidRPr="00E44F3E">
              <w:t xml:space="preserve"> </w:t>
            </w:r>
          </w:p>
        </w:tc>
      </w:tr>
      <w:tr w:rsidR="00B206B2" w:rsidRPr="00E44F3E" w14:paraId="474E412A" w14:textId="77777777" w:rsidTr="00112A0C">
        <w:trPr>
          <w:cantSplit/>
        </w:trPr>
        <w:tc>
          <w:tcPr>
            <w:tcW w:w="0" w:type="auto"/>
            <w:tcBorders>
              <w:top w:val="nil"/>
              <w:bottom w:val="single" w:sz="4" w:space="0" w:color="C2D9BA"/>
            </w:tcBorders>
            <w:shd w:val="clear" w:color="auto" w:fill="auto"/>
            <w:vAlign w:val="center"/>
          </w:tcPr>
          <w:p w14:paraId="5C84FA31" w14:textId="77777777" w:rsidR="00B206B2" w:rsidRPr="001A7ABE" w:rsidRDefault="00B206B2" w:rsidP="004B3EE8">
            <w:pPr>
              <w:pStyle w:val="TableText"/>
              <w:spacing w:line="240" w:lineRule="auto"/>
            </w:pPr>
            <w:proofErr w:type="spellStart"/>
            <w:r w:rsidRPr="001A7ABE">
              <w:t>Bendamustine</w:t>
            </w:r>
            <w:proofErr w:type="spellEnd"/>
          </w:p>
        </w:tc>
        <w:tc>
          <w:tcPr>
            <w:tcW w:w="0" w:type="auto"/>
            <w:tcBorders>
              <w:top w:val="nil"/>
              <w:bottom w:val="single" w:sz="4" w:space="0" w:color="C2D9BA"/>
            </w:tcBorders>
            <w:shd w:val="clear" w:color="auto" w:fill="auto"/>
            <w:vAlign w:val="center"/>
          </w:tcPr>
          <w:p w14:paraId="747F00CA" w14:textId="6D829CB7" w:rsidR="00B206B2" w:rsidRPr="00E44F3E" w:rsidRDefault="00B206B2" w:rsidP="004B3EE8">
            <w:pPr>
              <w:pStyle w:val="TableText"/>
              <w:spacing w:line="240" w:lineRule="auto"/>
            </w:pPr>
            <w:r w:rsidRPr="00E44F3E">
              <w:t>Indolent non-Hodgkin’s lymphoma</w:t>
            </w:r>
            <w:r w:rsidR="00492973" w:rsidRPr="00E44F3E">
              <w:rPr>
                <w:vertAlign w:val="superscript"/>
              </w:rPr>
              <w:t>†</w:t>
            </w:r>
            <w:r w:rsidR="00B1682D" w:rsidRPr="00E44F3E">
              <w:t xml:space="preserve"> </w:t>
            </w:r>
          </w:p>
        </w:tc>
      </w:tr>
      <w:tr w:rsidR="00B206B2" w:rsidRPr="00E44F3E" w14:paraId="011D4B92" w14:textId="77777777" w:rsidTr="00112A0C">
        <w:trPr>
          <w:cantSplit/>
        </w:trPr>
        <w:tc>
          <w:tcPr>
            <w:tcW w:w="0" w:type="auto"/>
            <w:tcBorders>
              <w:top w:val="nil"/>
              <w:bottom w:val="single" w:sz="4" w:space="0" w:color="C2D9BA"/>
            </w:tcBorders>
            <w:shd w:val="clear" w:color="auto" w:fill="auto"/>
            <w:vAlign w:val="center"/>
          </w:tcPr>
          <w:p w14:paraId="2026C4CC" w14:textId="77777777" w:rsidR="00B206B2" w:rsidRPr="001A7ABE" w:rsidRDefault="00B206B2" w:rsidP="004B3EE8">
            <w:pPr>
              <w:pStyle w:val="TableText"/>
              <w:spacing w:line="240" w:lineRule="auto"/>
            </w:pPr>
            <w:proofErr w:type="spellStart"/>
            <w:r w:rsidRPr="001A7ABE">
              <w:t>Bendamustine</w:t>
            </w:r>
            <w:proofErr w:type="spellEnd"/>
          </w:p>
        </w:tc>
        <w:tc>
          <w:tcPr>
            <w:tcW w:w="0" w:type="auto"/>
            <w:tcBorders>
              <w:top w:val="nil"/>
              <w:bottom w:val="single" w:sz="4" w:space="0" w:color="C2D9BA"/>
            </w:tcBorders>
            <w:shd w:val="clear" w:color="auto" w:fill="auto"/>
            <w:vAlign w:val="center"/>
          </w:tcPr>
          <w:p w14:paraId="0A58861A" w14:textId="493BF376" w:rsidR="00B206B2" w:rsidRPr="00E44F3E" w:rsidRDefault="00B206B2" w:rsidP="004B3EE8">
            <w:pPr>
              <w:pStyle w:val="TableText"/>
              <w:spacing w:line="240" w:lineRule="auto"/>
            </w:pPr>
            <w:r w:rsidRPr="00E44F3E">
              <w:t>Mantle cell lymphoma (MCL)</w:t>
            </w:r>
            <w:r w:rsidR="00492973" w:rsidRPr="00E44F3E">
              <w:rPr>
                <w:vertAlign w:val="superscript"/>
              </w:rPr>
              <w:t>†</w:t>
            </w:r>
          </w:p>
        </w:tc>
      </w:tr>
      <w:tr w:rsidR="00B206B2" w:rsidRPr="00E44F3E" w14:paraId="0C277640" w14:textId="77777777" w:rsidTr="00112A0C">
        <w:trPr>
          <w:cantSplit/>
        </w:trPr>
        <w:tc>
          <w:tcPr>
            <w:tcW w:w="0" w:type="auto"/>
            <w:tcBorders>
              <w:top w:val="nil"/>
              <w:bottom w:val="single" w:sz="4" w:space="0" w:color="C2D9BA"/>
            </w:tcBorders>
            <w:shd w:val="clear" w:color="auto" w:fill="auto"/>
            <w:vAlign w:val="center"/>
          </w:tcPr>
          <w:p w14:paraId="5BE8D563" w14:textId="77777777" w:rsidR="00B206B2" w:rsidRPr="00F70FBF" w:rsidRDefault="00B206B2" w:rsidP="004B3EE8">
            <w:pPr>
              <w:pStyle w:val="TableText"/>
              <w:spacing w:line="240" w:lineRule="auto"/>
            </w:pPr>
            <w:proofErr w:type="spellStart"/>
            <w:r w:rsidRPr="00F70FBF">
              <w:t>Carmustine</w:t>
            </w:r>
            <w:proofErr w:type="spellEnd"/>
          </w:p>
        </w:tc>
        <w:tc>
          <w:tcPr>
            <w:tcW w:w="0" w:type="auto"/>
            <w:tcBorders>
              <w:top w:val="nil"/>
              <w:bottom w:val="single" w:sz="4" w:space="0" w:color="C2D9BA"/>
            </w:tcBorders>
            <w:shd w:val="clear" w:color="auto" w:fill="auto"/>
            <w:vAlign w:val="center"/>
          </w:tcPr>
          <w:p w14:paraId="0E4F1D65" w14:textId="77777777" w:rsidR="00B206B2" w:rsidRPr="00E44F3E" w:rsidRDefault="00B206B2" w:rsidP="004B3EE8">
            <w:pPr>
              <w:pStyle w:val="TableText"/>
              <w:spacing w:line="240" w:lineRule="auto"/>
            </w:pPr>
            <w:r w:rsidRPr="00E44F3E">
              <w:t>Listed with no restrictions on funding</w:t>
            </w:r>
          </w:p>
        </w:tc>
      </w:tr>
      <w:tr w:rsidR="00B206B2" w:rsidRPr="00E44F3E" w14:paraId="418D2DE4" w14:textId="77777777" w:rsidTr="00112A0C">
        <w:trPr>
          <w:cantSplit/>
        </w:trPr>
        <w:tc>
          <w:tcPr>
            <w:tcW w:w="0" w:type="auto"/>
            <w:tcBorders>
              <w:top w:val="nil"/>
              <w:bottom w:val="single" w:sz="4" w:space="0" w:color="C2D9BA"/>
            </w:tcBorders>
            <w:shd w:val="clear" w:color="auto" w:fill="auto"/>
            <w:vAlign w:val="center"/>
          </w:tcPr>
          <w:p w14:paraId="60F01E75" w14:textId="77777777" w:rsidR="00B206B2" w:rsidRPr="00F70FBF" w:rsidRDefault="00B206B2" w:rsidP="004B3EE8">
            <w:pPr>
              <w:pStyle w:val="TableText"/>
              <w:spacing w:line="240" w:lineRule="auto"/>
            </w:pPr>
            <w:r w:rsidRPr="00F70FBF">
              <w:t>Cladribine</w:t>
            </w:r>
          </w:p>
        </w:tc>
        <w:tc>
          <w:tcPr>
            <w:tcW w:w="0" w:type="auto"/>
            <w:tcBorders>
              <w:top w:val="nil"/>
              <w:bottom w:val="single" w:sz="4" w:space="0" w:color="C2D9BA"/>
            </w:tcBorders>
            <w:shd w:val="clear" w:color="auto" w:fill="auto"/>
            <w:vAlign w:val="center"/>
          </w:tcPr>
          <w:p w14:paraId="76CD6AF5" w14:textId="3C60E953" w:rsidR="00B206B2" w:rsidRPr="00E44F3E" w:rsidRDefault="00B206B2" w:rsidP="004B3EE8">
            <w:pPr>
              <w:pStyle w:val="TableText"/>
              <w:spacing w:line="240" w:lineRule="auto"/>
            </w:pPr>
            <w:r w:rsidRPr="00E44F3E">
              <w:t>Chronic lymphocytic leukaemia</w:t>
            </w:r>
            <w:r w:rsidR="00492973" w:rsidRPr="00E44F3E">
              <w:rPr>
                <w:vertAlign w:val="superscript"/>
              </w:rPr>
              <w:t>†</w:t>
            </w:r>
          </w:p>
        </w:tc>
      </w:tr>
      <w:tr w:rsidR="00B206B2" w:rsidRPr="00E44F3E" w14:paraId="234C7305" w14:textId="77777777" w:rsidTr="00112A0C">
        <w:trPr>
          <w:cantSplit/>
        </w:trPr>
        <w:tc>
          <w:tcPr>
            <w:tcW w:w="0" w:type="auto"/>
            <w:tcBorders>
              <w:top w:val="nil"/>
              <w:bottom w:val="single" w:sz="4" w:space="0" w:color="C2D9BA"/>
            </w:tcBorders>
            <w:shd w:val="clear" w:color="auto" w:fill="auto"/>
            <w:vAlign w:val="center"/>
          </w:tcPr>
          <w:p w14:paraId="60266B74" w14:textId="77777777" w:rsidR="00B206B2" w:rsidRPr="00F70FBF" w:rsidRDefault="00B206B2" w:rsidP="004B3EE8">
            <w:pPr>
              <w:pStyle w:val="TableText"/>
              <w:spacing w:line="240" w:lineRule="auto"/>
            </w:pPr>
            <w:r w:rsidRPr="00F70FBF">
              <w:t>Imatinib</w:t>
            </w:r>
          </w:p>
        </w:tc>
        <w:tc>
          <w:tcPr>
            <w:tcW w:w="0" w:type="auto"/>
            <w:tcBorders>
              <w:top w:val="nil"/>
              <w:bottom w:val="single" w:sz="4" w:space="0" w:color="C2D9BA"/>
            </w:tcBorders>
            <w:shd w:val="clear" w:color="auto" w:fill="auto"/>
            <w:vAlign w:val="center"/>
          </w:tcPr>
          <w:p w14:paraId="3CF522FF" w14:textId="6CE3F56F" w:rsidR="00B206B2" w:rsidRPr="00E44F3E" w:rsidRDefault="00B206B2" w:rsidP="004B3EE8">
            <w:pPr>
              <w:pStyle w:val="TableText"/>
              <w:spacing w:line="240" w:lineRule="auto"/>
            </w:pPr>
            <w:r w:rsidRPr="00E44F3E">
              <w:t>Acute lymphocytic leukaemia</w:t>
            </w:r>
            <w:r w:rsidR="00492973" w:rsidRPr="00E44F3E">
              <w:rPr>
                <w:vertAlign w:val="superscript"/>
              </w:rPr>
              <w:t>†</w:t>
            </w:r>
          </w:p>
        </w:tc>
      </w:tr>
      <w:tr w:rsidR="00B206B2" w:rsidRPr="00E44F3E" w14:paraId="2C64571A" w14:textId="77777777" w:rsidTr="00112A0C">
        <w:trPr>
          <w:cantSplit/>
        </w:trPr>
        <w:tc>
          <w:tcPr>
            <w:tcW w:w="0" w:type="auto"/>
            <w:tcBorders>
              <w:top w:val="nil"/>
              <w:bottom w:val="single" w:sz="4" w:space="0" w:color="C2D9BA"/>
            </w:tcBorders>
            <w:shd w:val="clear" w:color="auto" w:fill="auto"/>
            <w:vAlign w:val="center"/>
          </w:tcPr>
          <w:p w14:paraId="46E54D40" w14:textId="77777777" w:rsidR="00B206B2" w:rsidRPr="00F70FBF" w:rsidRDefault="00B206B2" w:rsidP="004B3EE8">
            <w:pPr>
              <w:pStyle w:val="TableText"/>
              <w:spacing w:line="240" w:lineRule="auto"/>
            </w:pPr>
            <w:r w:rsidRPr="00F70FBF">
              <w:t>Melphalan</w:t>
            </w:r>
          </w:p>
        </w:tc>
        <w:tc>
          <w:tcPr>
            <w:tcW w:w="0" w:type="auto"/>
            <w:tcBorders>
              <w:top w:val="nil"/>
              <w:bottom w:val="single" w:sz="4" w:space="0" w:color="C2D9BA"/>
            </w:tcBorders>
            <w:shd w:val="clear" w:color="auto" w:fill="auto"/>
            <w:vAlign w:val="center"/>
          </w:tcPr>
          <w:p w14:paraId="65D16032" w14:textId="643F9746" w:rsidR="00B206B2" w:rsidRPr="00E44F3E" w:rsidRDefault="00B206B2" w:rsidP="004B3EE8">
            <w:pPr>
              <w:pStyle w:val="TableText"/>
              <w:spacing w:line="240" w:lineRule="auto"/>
            </w:pPr>
            <w:r w:rsidRPr="00E44F3E">
              <w:t>Not listed on PBS</w:t>
            </w:r>
            <w:r w:rsidR="00474119">
              <w:t xml:space="preserve"> </w:t>
            </w:r>
            <w:r w:rsidR="00474119" w:rsidRPr="00474119">
              <w:t>Schedule</w:t>
            </w:r>
          </w:p>
        </w:tc>
      </w:tr>
      <w:tr w:rsidR="00B206B2" w:rsidRPr="00E44F3E" w14:paraId="0D6C1FC5" w14:textId="77777777" w:rsidTr="00112A0C">
        <w:trPr>
          <w:cantSplit/>
        </w:trPr>
        <w:tc>
          <w:tcPr>
            <w:tcW w:w="0" w:type="auto"/>
            <w:tcBorders>
              <w:top w:val="nil"/>
              <w:bottom w:val="single" w:sz="4" w:space="0" w:color="C2D9BA"/>
            </w:tcBorders>
            <w:shd w:val="clear" w:color="auto" w:fill="auto"/>
            <w:vAlign w:val="center"/>
          </w:tcPr>
          <w:p w14:paraId="206E3A5E" w14:textId="77777777" w:rsidR="00B206B2" w:rsidRPr="00F70FBF" w:rsidRDefault="00B206B2" w:rsidP="004B3EE8">
            <w:pPr>
              <w:pStyle w:val="TableText"/>
              <w:spacing w:line="240" w:lineRule="auto"/>
            </w:pPr>
            <w:r w:rsidRPr="00F70FBF">
              <w:t>Obinutuzumab</w:t>
            </w:r>
          </w:p>
        </w:tc>
        <w:tc>
          <w:tcPr>
            <w:tcW w:w="0" w:type="auto"/>
            <w:tcBorders>
              <w:top w:val="nil"/>
              <w:bottom w:val="single" w:sz="4" w:space="0" w:color="C2D9BA"/>
            </w:tcBorders>
            <w:shd w:val="clear" w:color="auto" w:fill="auto"/>
            <w:vAlign w:val="center"/>
          </w:tcPr>
          <w:p w14:paraId="3FC1EB49" w14:textId="245B0630" w:rsidR="00B206B2" w:rsidRPr="00E44F3E" w:rsidRDefault="00B206B2" w:rsidP="004B3EE8">
            <w:pPr>
              <w:pStyle w:val="TableText"/>
              <w:spacing w:line="240" w:lineRule="auto"/>
            </w:pPr>
            <w:r w:rsidRPr="00E44F3E">
              <w:t xml:space="preserve">Marginal </w:t>
            </w:r>
            <w:r w:rsidR="00F27D51">
              <w:t>z</w:t>
            </w:r>
            <w:r w:rsidRPr="00E44F3E">
              <w:t xml:space="preserve">one </w:t>
            </w:r>
            <w:r w:rsidR="00F27D51">
              <w:t>l</w:t>
            </w:r>
            <w:r w:rsidRPr="00E44F3E">
              <w:t>ymphoma</w:t>
            </w:r>
            <w:r w:rsidR="00492973" w:rsidRPr="00E44F3E">
              <w:rPr>
                <w:vertAlign w:val="superscript"/>
              </w:rPr>
              <w:t>†</w:t>
            </w:r>
          </w:p>
        </w:tc>
      </w:tr>
      <w:tr w:rsidR="00B206B2" w:rsidRPr="00E44F3E" w14:paraId="5A45D071" w14:textId="77777777" w:rsidTr="00112A0C">
        <w:trPr>
          <w:cantSplit/>
        </w:trPr>
        <w:tc>
          <w:tcPr>
            <w:tcW w:w="0" w:type="auto"/>
            <w:tcBorders>
              <w:top w:val="nil"/>
              <w:bottom w:val="single" w:sz="4" w:space="0" w:color="C2D9BA"/>
            </w:tcBorders>
            <w:shd w:val="clear" w:color="auto" w:fill="auto"/>
            <w:vAlign w:val="center"/>
          </w:tcPr>
          <w:p w14:paraId="080B90A7" w14:textId="77777777" w:rsidR="00B206B2" w:rsidRPr="00F70FBF" w:rsidRDefault="00B206B2" w:rsidP="004B3EE8">
            <w:pPr>
              <w:pStyle w:val="TableText"/>
              <w:spacing w:line="240" w:lineRule="auto"/>
            </w:pPr>
            <w:proofErr w:type="spellStart"/>
            <w:r w:rsidRPr="00F70FBF">
              <w:t>Pegaspargase</w:t>
            </w:r>
            <w:proofErr w:type="spellEnd"/>
          </w:p>
        </w:tc>
        <w:tc>
          <w:tcPr>
            <w:tcW w:w="0" w:type="auto"/>
            <w:tcBorders>
              <w:top w:val="nil"/>
              <w:bottom w:val="single" w:sz="4" w:space="0" w:color="C2D9BA"/>
            </w:tcBorders>
            <w:shd w:val="clear" w:color="auto" w:fill="auto"/>
            <w:vAlign w:val="center"/>
          </w:tcPr>
          <w:p w14:paraId="3EB9001B" w14:textId="4ED5EECE" w:rsidR="00B206B2" w:rsidRPr="00E44F3E" w:rsidRDefault="00B206B2" w:rsidP="004B3EE8">
            <w:pPr>
              <w:pStyle w:val="TableText"/>
              <w:spacing w:line="240" w:lineRule="auto"/>
            </w:pPr>
            <w:r w:rsidRPr="00E44F3E">
              <w:t>Not listed on PBS</w:t>
            </w:r>
            <w:r w:rsidR="00474119">
              <w:t xml:space="preserve"> </w:t>
            </w:r>
            <w:r w:rsidR="00474119" w:rsidRPr="00474119">
              <w:t>Schedule</w:t>
            </w:r>
          </w:p>
        </w:tc>
      </w:tr>
      <w:tr w:rsidR="00B206B2" w:rsidRPr="00E44F3E" w14:paraId="1F69BE76" w14:textId="77777777" w:rsidTr="00112A0C">
        <w:trPr>
          <w:cantSplit/>
        </w:trPr>
        <w:tc>
          <w:tcPr>
            <w:tcW w:w="0" w:type="auto"/>
            <w:tcBorders>
              <w:top w:val="nil"/>
              <w:bottom w:val="single" w:sz="4" w:space="0" w:color="C2D9BA"/>
            </w:tcBorders>
            <w:shd w:val="clear" w:color="auto" w:fill="auto"/>
            <w:vAlign w:val="center"/>
          </w:tcPr>
          <w:p w14:paraId="435A6793" w14:textId="77777777" w:rsidR="00B206B2" w:rsidRPr="00F70FBF" w:rsidRDefault="00B206B2" w:rsidP="004B3EE8">
            <w:pPr>
              <w:pStyle w:val="TableText"/>
              <w:spacing w:line="240" w:lineRule="auto"/>
            </w:pPr>
            <w:r w:rsidRPr="00F70FBF">
              <w:t>Thalidomide</w:t>
            </w:r>
          </w:p>
        </w:tc>
        <w:tc>
          <w:tcPr>
            <w:tcW w:w="0" w:type="auto"/>
            <w:tcBorders>
              <w:top w:val="nil"/>
              <w:bottom w:val="single" w:sz="4" w:space="0" w:color="C2D9BA"/>
            </w:tcBorders>
            <w:shd w:val="clear" w:color="auto" w:fill="auto"/>
            <w:vAlign w:val="center"/>
          </w:tcPr>
          <w:p w14:paraId="7E445B26" w14:textId="2001B758" w:rsidR="00B206B2" w:rsidRPr="00E44F3E" w:rsidRDefault="00B206B2" w:rsidP="004B3EE8">
            <w:pPr>
              <w:pStyle w:val="TableText"/>
              <w:spacing w:line="240" w:lineRule="auto"/>
            </w:pPr>
            <w:r w:rsidRPr="00E44F3E">
              <w:t>Systemic light chain (AL) amyloidosis</w:t>
            </w:r>
            <w:r w:rsidR="00492973" w:rsidRPr="00E44F3E">
              <w:rPr>
                <w:vertAlign w:val="superscript"/>
              </w:rPr>
              <w:t>†</w:t>
            </w:r>
          </w:p>
        </w:tc>
      </w:tr>
      <w:tr w:rsidR="00B206B2" w:rsidRPr="00E44F3E" w14:paraId="3CD153A3" w14:textId="77777777" w:rsidTr="00112A0C">
        <w:trPr>
          <w:cantSplit/>
        </w:trPr>
        <w:tc>
          <w:tcPr>
            <w:tcW w:w="0" w:type="auto"/>
            <w:tcBorders>
              <w:top w:val="nil"/>
              <w:bottom w:val="single" w:sz="4" w:space="0" w:color="C2D9BA"/>
            </w:tcBorders>
            <w:shd w:val="clear" w:color="auto" w:fill="auto"/>
            <w:vAlign w:val="center"/>
          </w:tcPr>
          <w:p w14:paraId="36BC7FDF" w14:textId="77777777" w:rsidR="00B206B2" w:rsidRPr="00F70FBF" w:rsidRDefault="00B206B2" w:rsidP="004B3EE8">
            <w:pPr>
              <w:pStyle w:val="TableText"/>
              <w:spacing w:line="240" w:lineRule="auto"/>
            </w:pPr>
            <w:proofErr w:type="spellStart"/>
            <w:r w:rsidRPr="00F70FBF">
              <w:t>Venetoclax</w:t>
            </w:r>
            <w:proofErr w:type="spellEnd"/>
          </w:p>
        </w:tc>
        <w:tc>
          <w:tcPr>
            <w:tcW w:w="0" w:type="auto"/>
            <w:tcBorders>
              <w:top w:val="nil"/>
              <w:bottom w:val="single" w:sz="4" w:space="0" w:color="C2D9BA"/>
            </w:tcBorders>
            <w:shd w:val="clear" w:color="auto" w:fill="auto"/>
            <w:vAlign w:val="center"/>
          </w:tcPr>
          <w:p w14:paraId="78826107" w14:textId="3B2F1BA1" w:rsidR="00B206B2" w:rsidRPr="00E44F3E" w:rsidRDefault="00B206B2" w:rsidP="004B3EE8">
            <w:pPr>
              <w:pStyle w:val="TableText"/>
              <w:spacing w:line="240" w:lineRule="auto"/>
            </w:pPr>
            <w:r w:rsidRPr="00E44F3E">
              <w:t>Chronic lymphocytic leukaemia</w:t>
            </w:r>
            <w:r w:rsidR="00492973" w:rsidRPr="00E44F3E">
              <w:rPr>
                <w:vertAlign w:val="superscript"/>
              </w:rPr>
              <w:t>†</w:t>
            </w:r>
          </w:p>
        </w:tc>
      </w:tr>
    </w:tbl>
    <w:bookmarkEnd w:id="208"/>
    <w:p w14:paraId="45826510" w14:textId="49EBB51E" w:rsidR="00B206B2" w:rsidRPr="00E44F3E" w:rsidRDefault="00B206B2" w:rsidP="00EB0A8D">
      <w:pPr>
        <w:pStyle w:val="Note"/>
      </w:pPr>
      <w:r w:rsidRPr="00E44F3E">
        <w:t>*</w:t>
      </w:r>
      <w:r w:rsidRPr="00E44F3E">
        <w:tab/>
        <w:t xml:space="preserve">In contrast to </w:t>
      </w:r>
      <w:r w:rsidR="00E6006E">
        <w:t>Aotearoa New </w:t>
      </w:r>
      <w:r w:rsidR="00F01F5C">
        <w:t>Zealand</w:t>
      </w:r>
      <w:r w:rsidRPr="00E44F3E">
        <w:t>, medicines used by inpatients in public hospitals in Australia are not funded via the PBS. Instead, individual states have different public funding arrangements in place – either at a state-wide level or at different health district or individual hospital levels. Therefore, some of these medicines may be publicly funded by mechanisms other than the PBS.</w:t>
      </w:r>
    </w:p>
    <w:p w14:paraId="366BF047" w14:textId="72900D99" w:rsidR="00B206B2" w:rsidRPr="00251BB9" w:rsidRDefault="00492973" w:rsidP="00EB0A8D">
      <w:pPr>
        <w:pStyle w:val="Note"/>
      </w:pPr>
      <w:r w:rsidRPr="00251BB9">
        <w:t>†</w:t>
      </w:r>
      <w:r w:rsidR="00B206B2" w:rsidRPr="00251BB9">
        <w:tab/>
        <w:t xml:space="preserve">Treatment/indication pair not funded </w:t>
      </w:r>
      <w:r w:rsidR="008C1BD2" w:rsidRPr="008C1BD2">
        <w:t xml:space="preserve">via the </w:t>
      </w:r>
      <w:r w:rsidR="00B206B2" w:rsidRPr="00251BB9">
        <w:t>PBS</w:t>
      </w:r>
      <w:r w:rsidR="008C1BD2">
        <w:t>.</w:t>
      </w:r>
    </w:p>
    <w:p w14:paraId="65EDA8FC" w14:textId="77777777" w:rsidR="00B206B2" w:rsidRPr="00E44F3E" w:rsidRDefault="00B206B2" w:rsidP="00306F26"/>
    <w:p w14:paraId="6978B98A" w14:textId="523C3333" w:rsidR="00B206B2" w:rsidRPr="00E44F3E" w:rsidRDefault="00B206B2" w:rsidP="00306F26">
      <w:pPr>
        <w:pStyle w:val="Heading2"/>
        <w:pageBreakBefore/>
      </w:pPr>
      <w:bookmarkStart w:id="209" w:name="App5"/>
      <w:bookmarkStart w:id="210" w:name="_Toc100739058"/>
      <w:bookmarkStart w:id="211" w:name="_Toc175229018"/>
      <w:bookmarkStart w:id="212" w:name="_Toc180062131"/>
      <w:bookmarkStart w:id="213" w:name="Appendix_5"/>
      <w:r w:rsidRPr="00E44F3E">
        <w:lastRenderedPageBreak/>
        <w:t>Appendix 5</w:t>
      </w:r>
      <w:bookmarkEnd w:id="209"/>
      <w:r w:rsidRPr="00E44F3E">
        <w:t xml:space="preserve">: Blood cancer medicines publicly funded in Australia but not in </w:t>
      </w:r>
      <w:bookmarkEnd w:id="210"/>
      <w:bookmarkEnd w:id="211"/>
      <w:r w:rsidR="00E6006E">
        <w:t>Aotearoa New </w:t>
      </w:r>
      <w:r w:rsidR="007C6B5B">
        <w:t>Zealand</w:t>
      </w:r>
      <w:r w:rsidR="00F74CA4">
        <w:t xml:space="preserve"> </w:t>
      </w:r>
      <w:r w:rsidR="008D7384">
        <w:t xml:space="preserve">determined to </w:t>
      </w:r>
      <w:r w:rsidR="005E37F0">
        <w:t xml:space="preserve">not </w:t>
      </w:r>
      <w:r w:rsidR="008D7384" w:rsidRPr="00E44F3E">
        <w:t xml:space="preserve">have </w:t>
      </w:r>
      <w:r w:rsidR="005E37F0">
        <w:t xml:space="preserve">a substantial </w:t>
      </w:r>
      <w:r w:rsidR="008D7384" w:rsidRPr="00E44F3E">
        <w:t>magnitude of clinical benefit according to</w:t>
      </w:r>
      <w:r w:rsidR="008D7384">
        <w:t xml:space="preserve"> the</w:t>
      </w:r>
      <w:r w:rsidR="008D7384" w:rsidRPr="00E44F3E">
        <w:t xml:space="preserve"> ESMO</w:t>
      </w:r>
      <w:r w:rsidR="008D7384">
        <w:t>-</w:t>
      </w:r>
      <w:r w:rsidR="008D7384" w:rsidRPr="00E44F3E">
        <w:t>MCBS:H</w:t>
      </w:r>
      <w:r w:rsidR="008D7384">
        <w:t xml:space="preserve">, had no evaluable benefit or were </w:t>
      </w:r>
      <w:r w:rsidR="008D7384" w:rsidRPr="00E44F3E">
        <w:t>not scorable.</w:t>
      </w:r>
      <w:bookmarkEnd w:id="212"/>
      <w:r w:rsidR="008D7384" w:rsidRPr="00E44F3E">
        <w:t xml:space="preserve"> </w:t>
      </w:r>
    </w:p>
    <w:bookmarkEnd w:id="213"/>
    <w:p w14:paraId="5772D5D9" w14:textId="3EAC1339" w:rsidR="00B206B2" w:rsidRPr="00E44F3E" w:rsidRDefault="00B206B2" w:rsidP="00306F26">
      <w:r w:rsidRPr="00E44F3E">
        <w:t xml:space="preserve">This appendix provides results from the comparison of cancer medicines publicly funded in </w:t>
      </w:r>
      <w:r w:rsidR="00E6006E">
        <w:t>Aotearoa New </w:t>
      </w:r>
      <w:r w:rsidR="007C6B5B">
        <w:t>Zealand</w:t>
      </w:r>
      <w:r w:rsidRPr="00E44F3E">
        <w:t xml:space="preserve"> with those included in the Australian PBS </w:t>
      </w:r>
      <w:r w:rsidR="00474119" w:rsidRPr="00474119">
        <w:t>Schedule</w:t>
      </w:r>
      <w:r w:rsidRPr="00E44F3E">
        <w:t xml:space="preserve">, specifically for medicines funded in Australia but not in </w:t>
      </w:r>
      <w:r w:rsidR="00E6006E">
        <w:t>Aotearoa New </w:t>
      </w:r>
      <w:r w:rsidR="007C6B5B">
        <w:t>Zealand</w:t>
      </w:r>
      <w:r w:rsidRPr="00E44F3E">
        <w:t>.</w:t>
      </w:r>
    </w:p>
    <w:p w14:paraId="6B82C331" w14:textId="77777777" w:rsidR="00B206B2" w:rsidRPr="00E44F3E" w:rsidRDefault="00B206B2" w:rsidP="00B206B2">
      <w:pPr>
        <w:pStyle w:val="ListParagraph"/>
        <w:ind w:left="930"/>
      </w:pPr>
    </w:p>
    <w:p w14:paraId="3B42F35C" w14:textId="52C7DE81" w:rsidR="00B206B2" w:rsidRPr="00E44F3E" w:rsidRDefault="00B206B2" w:rsidP="00F70FBF">
      <w:r w:rsidRPr="00F70FBF">
        <w:fldChar w:fldCharType="begin"/>
      </w:r>
      <w:r w:rsidRPr="00F70FBF">
        <w:instrText xml:space="preserve"> REF _Ref175054677 \h  \* MERGEFORMAT </w:instrText>
      </w:r>
      <w:r w:rsidRPr="00F70FBF">
        <w:fldChar w:fldCharType="separate"/>
      </w:r>
      <w:r w:rsidR="004A6DF6" w:rsidRPr="00E44F3E">
        <w:t xml:space="preserve">Table </w:t>
      </w:r>
      <w:r w:rsidR="004A6DF6">
        <w:t>11</w:t>
      </w:r>
      <w:r w:rsidRPr="00F70FBF">
        <w:fldChar w:fldCharType="end"/>
      </w:r>
      <w:r w:rsidRPr="00E44F3E">
        <w:t xml:space="preserve"> summarises the blood cancer medicines publicly available in Australia but not in </w:t>
      </w:r>
      <w:r w:rsidR="00E6006E">
        <w:t>Aotearoa New </w:t>
      </w:r>
      <w:r w:rsidR="007C6B5B">
        <w:t>Zealand</w:t>
      </w:r>
      <w:r w:rsidR="00F95F43" w:rsidRPr="00F95F43">
        <w:t xml:space="preserve"> </w:t>
      </w:r>
      <w:r w:rsidR="00F95F43" w:rsidRPr="00E44F3E">
        <w:t xml:space="preserve">that </w:t>
      </w:r>
      <w:r w:rsidR="00F95F43">
        <w:t xml:space="preserve">were determined </w:t>
      </w:r>
      <w:r w:rsidR="005E37F0">
        <w:t xml:space="preserve">not to have a substantial </w:t>
      </w:r>
      <w:r w:rsidR="00F95F43" w:rsidRPr="00E44F3E">
        <w:t>magnitude of clinical benefit according to</w:t>
      </w:r>
      <w:r w:rsidR="008F5334">
        <w:t xml:space="preserve"> the</w:t>
      </w:r>
      <w:r w:rsidR="00F95F43" w:rsidRPr="00E44F3E">
        <w:t xml:space="preserve"> ESMO</w:t>
      </w:r>
      <w:r w:rsidR="00C46E65">
        <w:t>-</w:t>
      </w:r>
      <w:r w:rsidR="00F95F43" w:rsidRPr="00E44F3E">
        <w:t>MCBS:H</w:t>
      </w:r>
      <w:r w:rsidR="00377982">
        <w:t xml:space="preserve">, had no evaluable benefit or </w:t>
      </w:r>
      <w:r w:rsidR="00025D2A">
        <w:t xml:space="preserve">were </w:t>
      </w:r>
      <w:r w:rsidR="00F95F43" w:rsidRPr="00E44F3E">
        <w:t>not scorable</w:t>
      </w:r>
      <w:r w:rsidRPr="00E44F3E">
        <w:t xml:space="preserve">. </w:t>
      </w:r>
    </w:p>
    <w:p w14:paraId="77E111FE" w14:textId="77777777" w:rsidR="003A578E" w:rsidRPr="00E44F3E" w:rsidRDefault="003A578E" w:rsidP="00B206B2"/>
    <w:p w14:paraId="38D9382C" w14:textId="77777777" w:rsidR="006D28C9" w:rsidRPr="00E44F3E" w:rsidRDefault="006D28C9" w:rsidP="00B206B2">
      <w:pPr>
        <w:sectPr w:rsidR="006D28C9" w:rsidRPr="00E44F3E" w:rsidSect="002950CD">
          <w:headerReference w:type="even" r:id="rId74"/>
          <w:headerReference w:type="default" r:id="rId75"/>
          <w:footerReference w:type="even" r:id="rId76"/>
          <w:footerReference w:type="default" r:id="rId77"/>
          <w:headerReference w:type="first" r:id="rId78"/>
          <w:pgSz w:w="11907" w:h="16834" w:code="9"/>
          <w:pgMar w:top="1418" w:right="1701" w:bottom="1418" w:left="1843" w:header="284" w:footer="425" w:gutter="284"/>
          <w:cols w:space="720"/>
          <w:docGrid w:linePitch="286"/>
        </w:sectPr>
      </w:pPr>
    </w:p>
    <w:p w14:paraId="420864DE" w14:textId="6C25EEB5" w:rsidR="00F962E4" w:rsidRDefault="00F962E4" w:rsidP="00F962E4">
      <w:pPr>
        <w:pStyle w:val="Table"/>
      </w:pPr>
      <w:bookmarkStart w:id="214" w:name="_Ref175054677"/>
      <w:bookmarkStart w:id="215" w:name="_Toc175241602"/>
      <w:bookmarkStart w:id="216" w:name="_Ref177374100"/>
      <w:bookmarkStart w:id="217" w:name="_Toc180142297"/>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11</w:t>
      </w:r>
      <w:r w:rsidR="00D97615">
        <w:rPr>
          <w:noProof/>
        </w:rPr>
        <w:fldChar w:fldCharType="end"/>
      </w:r>
      <w:bookmarkEnd w:id="214"/>
      <w:r w:rsidR="001170B0" w:rsidRPr="00E44F3E">
        <w:t>:</w:t>
      </w:r>
      <w:r w:rsidRPr="00E44F3E">
        <w:t xml:space="preserve"> Summary of blood cancer medicines publicly available in Australia but not in </w:t>
      </w:r>
      <w:r w:rsidR="00E6006E">
        <w:t>Aotearoa New </w:t>
      </w:r>
      <w:r w:rsidR="007C6B5B">
        <w:t>Zealand</w:t>
      </w:r>
      <w:r w:rsidRPr="00E44F3E">
        <w:t xml:space="preserve"> that were determined to </w:t>
      </w:r>
      <w:r w:rsidR="00BA0C5F">
        <w:t>not have</w:t>
      </w:r>
      <w:r w:rsidRPr="00E44F3E">
        <w:t xml:space="preserve"> </w:t>
      </w:r>
      <w:r w:rsidR="005E37F0">
        <w:t xml:space="preserve">a substantial </w:t>
      </w:r>
      <w:r w:rsidRPr="00E44F3E">
        <w:t xml:space="preserve">magnitude of clinical benefit according to </w:t>
      </w:r>
      <w:r w:rsidR="00A47CBA">
        <w:t xml:space="preserve">the </w:t>
      </w:r>
      <w:r w:rsidRPr="00E44F3E">
        <w:t>ESMO</w:t>
      </w:r>
      <w:r w:rsidR="00C46E65">
        <w:t>-</w:t>
      </w:r>
      <w:r w:rsidRPr="00E44F3E">
        <w:t>MCBS:H (Curative: C</w:t>
      </w:r>
      <w:r w:rsidR="008F5334">
        <w:t>;</w:t>
      </w:r>
      <w:r w:rsidRPr="00E44F3E">
        <w:t xml:space="preserve"> Non-curative: 3, 2, 1, </w:t>
      </w:r>
      <w:r w:rsidR="00B775F2">
        <w:t xml:space="preserve">or </w:t>
      </w:r>
      <w:r w:rsidR="00B775F2" w:rsidRPr="00B775F2">
        <w:t xml:space="preserve">no evaluable benefit </w:t>
      </w:r>
      <w:r w:rsidR="00B775F2">
        <w:t>(</w:t>
      </w:r>
      <w:r w:rsidRPr="00E44F3E">
        <w:t>NEB</w:t>
      </w:r>
      <w:r w:rsidR="00B775F2">
        <w:t>)</w:t>
      </w:r>
      <w:r w:rsidRPr="00E44F3E">
        <w:t>) or were not scoreable</w:t>
      </w:r>
      <w:bookmarkEnd w:id="215"/>
      <w:bookmarkEnd w:id="216"/>
      <w:bookmarkEnd w:id="217"/>
      <w:r w:rsidRPr="00E44F3E">
        <w:t xml:space="preserve"> </w:t>
      </w:r>
    </w:p>
    <w:tbl>
      <w:tblPr>
        <w:tblStyle w:val="CCA"/>
        <w:tblW w:w="13998" w:type="dxa"/>
        <w:tblLayout w:type="fixed"/>
        <w:tblLook w:val="04A0" w:firstRow="1" w:lastRow="0" w:firstColumn="1" w:lastColumn="0" w:noHBand="0" w:noVBand="1"/>
      </w:tblPr>
      <w:tblGrid>
        <w:gridCol w:w="923"/>
        <w:gridCol w:w="1569"/>
        <w:gridCol w:w="2007"/>
        <w:gridCol w:w="1929"/>
        <w:gridCol w:w="2574"/>
        <w:gridCol w:w="1380"/>
        <w:gridCol w:w="1148"/>
        <w:gridCol w:w="1741"/>
        <w:gridCol w:w="727"/>
      </w:tblGrid>
      <w:tr w:rsidR="000A2B03" w:rsidRPr="00E44F3E" w14:paraId="5B94B2C8" w14:textId="77777777" w:rsidTr="0024653C">
        <w:trPr>
          <w:cnfStyle w:val="100000000000" w:firstRow="1" w:lastRow="0" w:firstColumn="0" w:lastColumn="0" w:oddVBand="0" w:evenVBand="0" w:oddHBand="0" w:evenHBand="0" w:firstRowFirstColumn="0" w:firstRowLastColumn="0" w:lastRowFirstColumn="0" w:lastRowLastColumn="0"/>
          <w:cantSplit/>
          <w:trHeight w:val="20"/>
        </w:trPr>
        <w:tc>
          <w:tcPr>
            <w:tcW w:w="923" w:type="dxa"/>
          </w:tcPr>
          <w:p w14:paraId="370AA7B8" w14:textId="77777777" w:rsidR="000A2B03" w:rsidRPr="00E44F3E" w:rsidRDefault="000A2B03" w:rsidP="0024653C">
            <w:pPr>
              <w:pStyle w:val="TableText"/>
              <w:keepLines/>
              <w:jc w:val="center"/>
              <w:rPr>
                <w:b/>
                <w:bCs/>
              </w:rPr>
            </w:pPr>
            <w:r w:rsidRPr="00E44F3E">
              <w:rPr>
                <w:b/>
                <w:bCs/>
              </w:rPr>
              <w:t>ESMO-MCBS:H score</w:t>
            </w:r>
          </w:p>
        </w:tc>
        <w:tc>
          <w:tcPr>
            <w:tcW w:w="1569" w:type="dxa"/>
          </w:tcPr>
          <w:p w14:paraId="2ED11D4E" w14:textId="77777777" w:rsidR="000A2B03" w:rsidRPr="00E44F3E" w:rsidRDefault="000A2B03" w:rsidP="0024653C">
            <w:pPr>
              <w:pStyle w:val="TableText"/>
              <w:keepLines/>
              <w:rPr>
                <w:b/>
                <w:bCs/>
              </w:rPr>
            </w:pPr>
            <w:r w:rsidRPr="00E44F3E">
              <w:rPr>
                <w:b/>
                <w:bCs/>
              </w:rPr>
              <w:t>Medicine name</w:t>
            </w:r>
          </w:p>
        </w:tc>
        <w:tc>
          <w:tcPr>
            <w:tcW w:w="2007" w:type="dxa"/>
          </w:tcPr>
          <w:p w14:paraId="275DFC8C" w14:textId="77777777" w:rsidR="000A2B03" w:rsidRPr="00E44F3E" w:rsidRDefault="000A2B03" w:rsidP="0024653C">
            <w:pPr>
              <w:pStyle w:val="TableText"/>
              <w:keepLines/>
              <w:rPr>
                <w:b/>
                <w:bCs/>
              </w:rPr>
            </w:pPr>
            <w:r w:rsidRPr="00E44F3E">
              <w:rPr>
                <w:b/>
                <w:bCs/>
              </w:rPr>
              <w:t xml:space="preserve">Used in </w:t>
            </w:r>
            <w:r>
              <w:rPr>
                <w:b/>
                <w:bCs/>
              </w:rPr>
              <w:br/>
            </w:r>
            <w:r w:rsidRPr="00E44F3E">
              <w:rPr>
                <w:b/>
                <w:bCs/>
              </w:rPr>
              <w:t>combination with</w:t>
            </w:r>
          </w:p>
        </w:tc>
        <w:tc>
          <w:tcPr>
            <w:tcW w:w="1929" w:type="dxa"/>
          </w:tcPr>
          <w:p w14:paraId="5BAE5E13" w14:textId="77777777" w:rsidR="000A2B03" w:rsidRPr="00E44F3E" w:rsidRDefault="000A2B03" w:rsidP="0024653C">
            <w:pPr>
              <w:pStyle w:val="TableText"/>
              <w:keepLines/>
              <w:rPr>
                <w:b/>
                <w:bCs/>
              </w:rPr>
            </w:pPr>
            <w:r w:rsidRPr="00E44F3E">
              <w:rPr>
                <w:b/>
                <w:bCs/>
              </w:rPr>
              <w:t>Cancer type</w:t>
            </w:r>
          </w:p>
        </w:tc>
        <w:tc>
          <w:tcPr>
            <w:tcW w:w="2574" w:type="dxa"/>
          </w:tcPr>
          <w:p w14:paraId="4B5BE93A" w14:textId="77777777" w:rsidR="000A2B03" w:rsidRPr="00E44F3E" w:rsidRDefault="000A2B03" w:rsidP="0024653C">
            <w:pPr>
              <w:pStyle w:val="TableText"/>
              <w:keepLines/>
              <w:rPr>
                <w:b/>
                <w:bCs/>
              </w:rPr>
            </w:pPr>
            <w:r w:rsidRPr="00E44F3E">
              <w:rPr>
                <w:b/>
                <w:bCs/>
              </w:rPr>
              <w:t>Indication per PBS</w:t>
            </w:r>
          </w:p>
        </w:tc>
        <w:tc>
          <w:tcPr>
            <w:tcW w:w="1380" w:type="dxa"/>
          </w:tcPr>
          <w:p w14:paraId="200F263F" w14:textId="77777777" w:rsidR="000A2B03" w:rsidRPr="00E44F3E" w:rsidRDefault="000A2B03" w:rsidP="0024653C">
            <w:pPr>
              <w:pStyle w:val="TableText"/>
              <w:keepLines/>
              <w:jc w:val="center"/>
              <w:rPr>
                <w:b/>
                <w:bCs/>
              </w:rPr>
            </w:pPr>
            <w:r w:rsidRPr="00E44F3E">
              <w:rPr>
                <w:b/>
                <w:bCs/>
              </w:rPr>
              <w:t>Formulation</w:t>
            </w:r>
          </w:p>
        </w:tc>
        <w:tc>
          <w:tcPr>
            <w:tcW w:w="1148" w:type="dxa"/>
          </w:tcPr>
          <w:p w14:paraId="003B0001" w14:textId="77777777" w:rsidR="000A2B03" w:rsidRPr="00E44F3E" w:rsidRDefault="000A2B03" w:rsidP="0024653C">
            <w:pPr>
              <w:pStyle w:val="TableText"/>
              <w:keepLines/>
              <w:jc w:val="center"/>
              <w:rPr>
                <w:b/>
                <w:bCs/>
              </w:rPr>
            </w:pPr>
            <w:r w:rsidRPr="00E44F3E">
              <w:rPr>
                <w:b/>
                <w:bCs/>
              </w:rPr>
              <w:t>Medicine funded in NZ for other indications</w:t>
            </w:r>
          </w:p>
        </w:tc>
        <w:tc>
          <w:tcPr>
            <w:tcW w:w="1741" w:type="dxa"/>
          </w:tcPr>
          <w:p w14:paraId="727BD3EB" w14:textId="77777777" w:rsidR="000A2B03" w:rsidRPr="00E44F3E" w:rsidRDefault="000A2B03" w:rsidP="0024653C">
            <w:pPr>
              <w:pStyle w:val="TableText"/>
              <w:keepLines/>
              <w:jc w:val="center"/>
              <w:rPr>
                <w:b/>
                <w:bCs/>
              </w:rPr>
            </w:pPr>
            <w:r w:rsidRPr="00E44F3E">
              <w:rPr>
                <w:b/>
                <w:bCs/>
              </w:rPr>
              <w:t xml:space="preserve">Current Pharmac status </w:t>
            </w:r>
            <w:r w:rsidRPr="00E44F3E">
              <w:rPr>
                <w:b/>
                <w:bCs/>
              </w:rPr>
              <w:br/>
              <w:t>(</w:t>
            </w:r>
            <w:r>
              <w:rPr>
                <w:b/>
                <w:bCs/>
              </w:rPr>
              <w:t>October</w:t>
            </w:r>
            <w:r w:rsidRPr="00E44F3E">
              <w:rPr>
                <w:b/>
                <w:bCs/>
              </w:rPr>
              <w:t> 2024)</w:t>
            </w:r>
            <w:r w:rsidRPr="00DC239E">
              <w:rPr>
                <w:b/>
                <w:bCs/>
              </w:rPr>
              <w:t>*</w:t>
            </w:r>
          </w:p>
        </w:tc>
        <w:tc>
          <w:tcPr>
            <w:tcW w:w="727" w:type="dxa"/>
          </w:tcPr>
          <w:p w14:paraId="137DC900" w14:textId="77777777" w:rsidR="000A2B03" w:rsidRPr="00E44F3E" w:rsidRDefault="000A2B03" w:rsidP="0024653C">
            <w:pPr>
              <w:pStyle w:val="TableText"/>
              <w:keepLines/>
              <w:jc w:val="center"/>
              <w:rPr>
                <w:b/>
                <w:bCs/>
              </w:rPr>
            </w:pPr>
            <w:r w:rsidRPr="00E44F3E">
              <w:rPr>
                <w:b/>
                <w:bCs/>
              </w:rPr>
              <w:t>Noted as a gap in 2022</w:t>
            </w:r>
          </w:p>
        </w:tc>
      </w:tr>
      <w:tr w:rsidR="00930FB0" w:rsidRPr="00E44F3E" w14:paraId="75224E16" w14:textId="77777777" w:rsidTr="0024653C">
        <w:trPr>
          <w:cantSplit/>
          <w:trHeight w:val="20"/>
        </w:trPr>
        <w:tc>
          <w:tcPr>
            <w:tcW w:w="923" w:type="dxa"/>
          </w:tcPr>
          <w:p w14:paraId="729B7BD1" w14:textId="77777777" w:rsidR="00930FB0" w:rsidRPr="00E44F3E" w:rsidRDefault="00930FB0" w:rsidP="00930FB0">
            <w:pPr>
              <w:pStyle w:val="TableText"/>
              <w:keepLines/>
              <w:jc w:val="center"/>
            </w:pPr>
            <w:r w:rsidRPr="00E44F3E">
              <w:t>3</w:t>
            </w:r>
          </w:p>
        </w:tc>
        <w:tc>
          <w:tcPr>
            <w:tcW w:w="1569" w:type="dxa"/>
          </w:tcPr>
          <w:p w14:paraId="51EA06F9" w14:textId="77777777" w:rsidR="00930FB0" w:rsidRPr="00E44F3E" w:rsidRDefault="00930FB0" w:rsidP="00930FB0">
            <w:pPr>
              <w:pStyle w:val="TableText"/>
              <w:keepLines/>
            </w:pPr>
            <w:r w:rsidRPr="00E44F3E">
              <w:t xml:space="preserve">Acalabrutinib, ibrutinib or </w:t>
            </w:r>
            <w:proofErr w:type="spellStart"/>
            <w:r w:rsidRPr="00E44F3E">
              <w:t>zanubrutinib</w:t>
            </w:r>
            <w:proofErr w:type="spellEnd"/>
            <w:r>
              <w:rPr>
                <w:vertAlign w:val="superscript"/>
              </w:rPr>
              <w:t>†</w:t>
            </w:r>
          </w:p>
        </w:tc>
        <w:tc>
          <w:tcPr>
            <w:tcW w:w="2007" w:type="dxa"/>
          </w:tcPr>
          <w:p w14:paraId="1A1A56A6" w14:textId="77777777" w:rsidR="00930FB0" w:rsidRPr="00E44F3E" w:rsidRDefault="00930FB0" w:rsidP="00930FB0">
            <w:pPr>
              <w:pStyle w:val="TableText"/>
              <w:keepLines/>
            </w:pPr>
            <w:r w:rsidRPr="00E44F3E">
              <w:t>Monotherapy</w:t>
            </w:r>
          </w:p>
        </w:tc>
        <w:tc>
          <w:tcPr>
            <w:tcW w:w="1929" w:type="dxa"/>
          </w:tcPr>
          <w:p w14:paraId="7F7AF01F" w14:textId="77777777" w:rsidR="00930FB0" w:rsidRPr="00E44F3E" w:rsidRDefault="00930FB0" w:rsidP="00930FB0">
            <w:pPr>
              <w:pStyle w:val="TableText"/>
              <w:keepLines/>
            </w:pPr>
            <w:r w:rsidRPr="00E44F3E">
              <w:t>Chronic lymphocytic leukaemia (CLL) or small lymphocytic lymphoma (SLL)</w:t>
            </w:r>
          </w:p>
        </w:tc>
        <w:tc>
          <w:tcPr>
            <w:tcW w:w="2574" w:type="dxa"/>
          </w:tcPr>
          <w:p w14:paraId="2A5AE2F4" w14:textId="7D206B20" w:rsidR="00930FB0" w:rsidRPr="00E44F3E" w:rsidRDefault="00930FB0" w:rsidP="00930FB0">
            <w:pPr>
              <w:pStyle w:val="TableText"/>
              <w:keepLines/>
            </w:pPr>
            <w:r w:rsidRPr="00E44F3E">
              <w:t>Relapsed or</w:t>
            </w:r>
            <w:r>
              <w:t xml:space="preserve"> </w:t>
            </w:r>
            <w:r w:rsidRPr="00E44F3E">
              <w:t>refractory</w:t>
            </w:r>
            <w:r>
              <w:t>, second line, p</w:t>
            </w:r>
            <w:r w:rsidRPr="00E44F3E">
              <w:t>rior therapy</w:t>
            </w:r>
            <w:r>
              <w:t xml:space="preserve">, TP53 wildtype. </w:t>
            </w:r>
          </w:p>
        </w:tc>
        <w:tc>
          <w:tcPr>
            <w:tcW w:w="1380" w:type="dxa"/>
          </w:tcPr>
          <w:p w14:paraId="7BC170B2" w14:textId="190A03D0" w:rsidR="00930FB0" w:rsidRPr="00E44F3E" w:rsidRDefault="00930FB0" w:rsidP="00930FB0">
            <w:pPr>
              <w:pStyle w:val="TableText"/>
              <w:keepLines/>
              <w:jc w:val="center"/>
            </w:pPr>
            <w:r w:rsidRPr="00E44F3E">
              <w:t>Oral capsule/ tablet</w:t>
            </w:r>
          </w:p>
        </w:tc>
        <w:tc>
          <w:tcPr>
            <w:tcW w:w="1148" w:type="dxa"/>
          </w:tcPr>
          <w:p w14:paraId="470D567F" w14:textId="4B955C7B" w:rsidR="00930FB0" w:rsidRPr="00E44F3E" w:rsidRDefault="00930FB0" w:rsidP="00930FB0">
            <w:pPr>
              <w:pStyle w:val="TableText"/>
              <w:keepLines/>
              <w:jc w:val="center"/>
            </w:pPr>
            <w:r w:rsidRPr="00E44F3E">
              <w:t>No</w:t>
            </w:r>
          </w:p>
        </w:tc>
        <w:tc>
          <w:tcPr>
            <w:tcW w:w="1741" w:type="dxa"/>
          </w:tcPr>
          <w:p w14:paraId="5A0EF97B" w14:textId="77777777" w:rsidR="00930FB0" w:rsidRPr="004E2BBC" w:rsidRDefault="00930FB0" w:rsidP="00930FB0">
            <w:pPr>
              <w:pStyle w:val="TableText"/>
              <w:keepLines/>
              <w:jc w:val="center"/>
            </w:pPr>
            <w:r w:rsidRPr="00DC239E">
              <w:t>Acalabrutinib</w:t>
            </w:r>
            <w:r w:rsidRPr="004E2BBC">
              <w:t xml:space="preserve"> – </w:t>
            </w:r>
            <w:r>
              <w:t>Under-assessment</w:t>
            </w:r>
          </w:p>
          <w:p w14:paraId="0B85D2E1" w14:textId="77777777" w:rsidR="00930FB0" w:rsidRPr="004E2BBC" w:rsidRDefault="00930FB0" w:rsidP="00930FB0">
            <w:pPr>
              <w:pStyle w:val="TableText"/>
              <w:keepLines/>
              <w:jc w:val="center"/>
            </w:pPr>
            <w:r w:rsidRPr="00DC239E">
              <w:t xml:space="preserve">Ibrutinib – </w:t>
            </w:r>
            <w:r>
              <w:t>Under assessment</w:t>
            </w:r>
          </w:p>
          <w:p w14:paraId="612DAE7B" w14:textId="27F7CA7F" w:rsidR="00930FB0" w:rsidRPr="00E44F3E" w:rsidRDefault="00930FB0" w:rsidP="00930FB0">
            <w:pPr>
              <w:pStyle w:val="TableText"/>
              <w:keepLines/>
              <w:jc w:val="center"/>
            </w:pPr>
            <w:r w:rsidRPr="00DC239E">
              <w:t xml:space="preserve">Zanubrutinib – </w:t>
            </w:r>
            <w:r>
              <w:t xml:space="preserve">Under assessment </w:t>
            </w:r>
          </w:p>
        </w:tc>
        <w:tc>
          <w:tcPr>
            <w:tcW w:w="727" w:type="dxa"/>
          </w:tcPr>
          <w:p w14:paraId="308B900F" w14:textId="77777777" w:rsidR="00930FB0" w:rsidRPr="00E44F3E" w:rsidRDefault="00930FB0" w:rsidP="00930FB0">
            <w:pPr>
              <w:pStyle w:val="TableText"/>
              <w:keepLines/>
              <w:jc w:val="center"/>
            </w:pPr>
            <w:r w:rsidRPr="00E44F3E">
              <w:t>Yes</w:t>
            </w:r>
          </w:p>
        </w:tc>
      </w:tr>
      <w:tr w:rsidR="000A2B03" w:rsidRPr="00E44F3E" w14:paraId="7E3248A0" w14:textId="77777777" w:rsidTr="0024653C">
        <w:trPr>
          <w:cantSplit/>
          <w:trHeight w:val="20"/>
        </w:trPr>
        <w:tc>
          <w:tcPr>
            <w:tcW w:w="923" w:type="dxa"/>
          </w:tcPr>
          <w:p w14:paraId="401A9C80" w14:textId="77777777" w:rsidR="000A2B03" w:rsidRPr="00E44F3E" w:rsidRDefault="000A2B03" w:rsidP="0024653C">
            <w:pPr>
              <w:pStyle w:val="TableText"/>
              <w:keepLines/>
              <w:jc w:val="center"/>
            </w:pPr>
            <w:r w:rsidRPr="00E44F3E">
              <w:t>3</w:t>
            </w:r>
          </w:p>
        </w:tc>
        <w:tc>
          <w:tcPr>
            <w:tcW w:w="1569" w:type="dxa"/>
          </w:tcPr>
          <w:p w14:paraId="57F2B3BD" w14:textId="77777777" w:rsidR="000A2B03" w:rsidRPr="00E44F3E" w:rsidRDefault="000A2B03" w:rsidP="0024653C">
            <w:pPr>
              <w:pStyle w:val="TableText"/>
              <w:keepLines/>
            </w:pPr>
            <w:r w:rsidRPr="00E44F3E">
              <w:t>Acalabrutinib</w:t>
            </w:r>
            <w:r>
              <w:rPr>
                <w:vertAlign w:val="superscript"/>
              </w:rPr>
              <w:t>‡</w:t>
            </w:r>
          </w:p>
        </w:tc>
        <w:tc>
          <w:tcPr>
            <w:tcW w:w="2007" w:type="dxa"/>
          </w:tcPr>
          <w:p w14:paraId="14E64051" w14:textId="77777777" w:rsidR="000A2B03" w:rsidRPr="00E44F3E" w:rsidRDefault="000A2B03" w:rsidP="0024653C">
            <w:pPr>
              <w:pStyle w:val="TableText"/>
              <w:keepLines/>
            </w:pPr>
            <w:r w:rsidRPr="00E44F3E">
              <w:t>Obinutuzumab</w:t>
            </w:r>
            <w:r>
              <w:rPr>
                <w:vertAlign w:val="superscript"/>
              </w:rPr>
              <w:t>‡</w:t>
            </w:r>
          </w:p>
        </w:tc>
        <w:tc>
          <w:tcPr>
            <w:tcW w:w="1929" w:type="dxa"/>
          </w:tcPr>
          <w:p w14:paraId="603E110E" w14:textId="77777777" w:rsidR="000A2B03" w:rsidRPr="00E44F3E" w:rsidRDefault="000A2B03" w:rsidP="0024653C">
            <w:pPr>
              <w:pStyle w:val="TableText"/>
              <w:keepLines/>
            </w:pPr>
            <w:r w:rsidRPr="00E44F3E">
              <w:t>Chronic lymphocytic leukaemia (CLL) or small lymphocytic lymphoma (SLL)</w:t>
            </w:r>
          </w:p>
        </w:tc>
        <w:tc>
          <w:tcPr>
            <w:tcW w:w="2574" w:type="dxa"/>
          </w:tcPr>
          <w:p w14:paraId="482137AD" w14:textId="77777777" w:rsidR="000A2B03" w:rsidRPr="00E44F3E" w:rsidRDefault="000A2B03" w:rsidP="0024653C">
            <w:pPr>
              <w:pStyle w:val="TableText"/>
              <w:keepLines/>
            </w:pPr>
            <w:r w:rsidRPr="00E44F3E">
              <w:t>Untreated patients or those who have developed an intolerance resulting in withdrawal from another first</w:t>
            </w:r>
            <w:r>
              <w:t>-</w:t>
            </w:r>
            <w:r w:rsidRPr="00E44F3E">
              <w:t xml:space="preserve">line agent </w:t>
            </w:r>
          </w:p>
        </w:tc>
        <w:tc>
          <w:tcPr>
            <w:tcW w:w="1380" w:type="dxa"/>
          </w:tcPr>
          <w:p w14:paraId="3D61CFC6" w14:textId="77777777" w:rsidR="000A2B03" w:rsidRPr="00E44F3E" w:rsidRDefault="000A2B03" w:rsidP="0024653C">
            <w:pPr>
              <w:pStyle w:val="TableText"/>
              <w:keepLines/>
              <w:jc w:val="center"/>
            </w:pPr>
            <w:r w:rsidRPr="00E44F3E">
              <w:t>Oral capsule/ tablet</w:t>
            </w:r>
          </w:p>
        </w:tc>
        <w:tc>
          <w:tcPr>
            <w:tcW w:w="1148" w:type="dxa"/>
          </w:tcPr>
          <w:p w14:paraId="6C6CB64B" w14:textId="77777777" w:rsidR="000A2B03" w:rsidRPr="00E44F3E" w:rsidRDefault="000A2B03" w:rsidP="0024653C">
            <w:pPr>
              <w:pStyle w:val="TableText"/>
              <w:keepLines/>
              <w:jc w:val="center"/>
            </w:pPr>
            <w:r w:rsidRPr="00E44F3E">
              <w:t>No</w:t>
            </w:r>
          </w:p>
        </w:tc>
        <w:tc>
          <w:tcPr>
            <w:tcW w:w="1741" w:type="dxa"/>
          </w:tcPr>
          <w:p w14:paraId="219A5382" w14:textId="77777777" w:rsidR="000A2B03" w:rsidRPr="00E44F3E" w:rsidRDefault="000A2B03" w:rsidP="0024653C">
            <w:pPr>
              <w:pStyle w:val="TableText"/>
              <w:keepLines/>
              <w:jc w:val="center"/>
            </w:pPr>
            <w:r w:rsidRPr="00E44F3E">
              <w:t>No application</w:t>
            </w:r>
          </w:p>
        </w:tc>
        <w:tc>
          <w:tcPr>
            <w:tcW w:w="727" w:type="dxa"/>
          </w:tcPr>
          <w:p w14:paraId="38826A3C" w14:textId="77777777" w:rsidR="000A2B03" w:rsidRPr="00E44F3E" w:rsidRDefault="000A2B03" w:rsidP="0024653C">
            <w:pPr>
              <w:pStyle w:val="TableText"/>
              <w:keepLines/>
              <w:jc w:val="center"/>
            </w:pPr>
            <w:r w:rsidRPr="00E44F3E">
              <w:t>No</w:t>
            </w:r>
          </w:p>
        </w:tc>
      </w:tr>
      <w:tr w:rsidR="000A2B03" w:rsidRPr="00E44F3E" w14:paraId="7DFCC118" w14:textId="77777777" w:rsidTr="0024653C">
        <w:trPr>
          <w:cantSplit/>
          <w:trHeight w:val="20"/>
        </w:trPr>
        <w:tc>
          <w:tcPr>
            <w:tcW w:w="923" w:type="dxa"/>
          </w:tcPr>
          <w:p w14:paraId="6A19113E" w14:textId="77777777" w:rsidR="000A2B03" w:rsidRPr="00E44F3E" w:rsidRDefault="000A2B03" w:rsidP="0024653C">
            <w:pPr>
              <w:pStyle w:val="TableText"/>
              <w:keepLines/>
              <w:jc w:val="center"/>
            </w:pPr>
            <w:r w:rsidRPr="00E44F3E">
              <w:t>3</w:t>
            </w:r>
          </w:p>
        </w:tc>
        <w:tc>
          <w:tcPr>
            <w:tcW w:w="1569" w:type="dxa"/>
          </w:tcPr>
          <w:p w14:paraId="5EB75FBF" w14:textId="77777777" w:rsidR="000A2B03" w:rsidRPr="00E44F3E" w:rsidRDefault="000A2B03" w:rsidP="0024653C">
            <w:pPr>
              <w:pStyle w:val="TableText"/>
              <w:keepLines/>
            </w:pPr>
            <w:r w:rsidRPr="00E44F3E">
              <w:t>Carfilzomib</w:t>
            </w:r>
          </w:p>
        </w:tc>
        <w:tc>
          <w:tcPr>
            <w:tcW w:w="2007" w:type="dxa"/>
          </w:tcPr>
          <w:p w14:paraId="3BE115A1" w14:textId="77777777" w:rsidR="000A2B03" w:rsidRPr="00E44F3E" w:rsidRDefault="000A2B03" w:rsidP="0024653C">
            <w:pPr>
              <w:pStyle w:val="TableText"/>
              <w:keepLines/>
            </w:pPr>
            <w:r w:rsidRPr="00E44F3E">
              <w:t>Dexamethasone</w:t>
            </w:r>
            <w:r>
              <w:t xml:space="preserve"> with or without </w:t>
            </w:r>
            <w:r w:rsidRPr="006B70A7">
              <w:t>lenalidomide</w:t>
            </w:r>
          </w:p>
        </w:tc>
        <w:tc>
          <w:tcPr>
            <w:tcW w:w="1929" w:type="dxa"/>
          </w:tcPr>
          <w:p w14:paraId="450782E7" w14:textId="77777777" w:rsidR="000A2B03" w:rsidRPr="00E44F3E" w:rsidRDefault="000A2B03" w:rsidP="0024653C">
            <w:pPr>
              <w:pStyle w:val="TableText"/>
              <w:keepLines/>
            </w:pPr>
            <w:r w:rsidRPr="00E44F3E">
              <w:t xml:space="preserve">Multiple myeloma (MM) </w:t>
            </w:r>
          </w:p>
        </w:tc>
        <w:tc>
          <w:tcPr>
            <w:tcW w:w="2574" w:type="dxa"/>
          </w:tcPr>
          <w:p w14:paraId="4C35A159" w14:textId="77777777" w:rsidR="000A2B03" w:rsidRPr="00E44F3E" w:rsidRDefault="000A2B03" w:rsidP="0024653C">
            <w:pPr>
              <w:pStyle w:val="TableText"/>
              <w:keepLines/>
            </w:pPr>
            <w:r w:rsidRPr="00E44F3E">
              <w:t xml:space="preserve">Progressive disease after at least one prior therapy (once or twice weekly) </w:t>
            </w:r>
          </w:p>
        </w:tc>
        <w:tc>
          <w:tcPr>
            <w:tcW w:w="1380" w:type="dxa"/>
          </w:tcPr>
          <w:p w14:paraId="407BAD79" w14:textId="77777777" w:rsidR="000A2B03" w:rsidRPr="00E44F3E" w:rsidRDefault="000A2B03" w:rsidP="0024653C">
            <w:pPr>
              <w:pStyle w:val="TableText"/>
              <w:keepLines/>
              <w:jc w:val="center"/>
            </w:pPr>
            <w:r w:rsidRPr="00E44F3E">
              <w:t>Intravenous infusion</w:t>
            </w:r>
          </w:p>
        </w:tc>
        <w:tc>
          <w:tcPr>
            <w:tcW w:w="1148" w:type="dxa"/>
          </w:tcPr>
          <w:p w14:paraId="63BAC223" w14:textId="77777777" w:rsidR="000A2B03" w:rsidRPr="00E44F3E" w:rsidRDefault="000A2B03" w:rsidP="0024653C">
            <w:pPr>
              <w:pStyle w:val="TableText"/>
              <w:keepLines/>
              <w:jc w:val="center"/>
            </w:pPr>
            <w:r w:rsidRPr="00E44F3E">
              <w:t>No</w:t>
            </w:r>
          </w:p>
        </w:tc>
        <w:tc>
          <w:tcPr>
            <w:tcW w:w="1741" w:type="dxa"/>
          </w:tcPr>
          <w:p w14:paraId="0EB6A7FD" w14:textId="77777777" w:rsidR="000A2B03" w:rsidRPr="00E44F3E" w:rsidRDefault="000A2B03" w:rsidP="0024653C">
            <w:pPr>
              <w:pStyle w:val="TableText"/>
              <w:keepLines/>
              <w:jc w:val="center"/>
            </w:pPr>
            <w:r w:rsidRPr="002F35DD">
              <w:t>OFI</w:t>
            </w:r>
            <w:r w:rsidRPr="00E44F3E">
              <w:t xml:space="preserve"> </w:t>
            </w:r>
            <w:r>
              <w:t>l</w:t>
            </w:r>
            <w:r w:rsidRPr="00E44F3E">
              <w:t>ist</w:t>
            </w:r>
          </w:p>
        </w:tc>
        <w:tc>
          <w:tcPr>
            <w:tcW w:w="727" w:type="dxa"/>
          </w:tcPr>
          <w:p w14:paraId="10573E46" w14:textId="77777777" w:rsidR="000A2B03" w:rsidRPr="00E44F3E" w:rsidRDefault="000A2B03" w:rsidP="0024653C">
            <w:pPr>
              <w:pStyle w:val="TableText"/>
              <w:keepLines/>
              <w:jc w:val="center"/>
            </w:pPr>
            <w:r w:rsidRPr="00E44F3E">
              <w:t>Yes</w:t>
            </w:r>
          </w:p>
        </w:tc>
      </w:tr>
      <w:tr w:rsidR="000A2B03" w:rsidRPr="00E44F3E" w14:paraId="60A99C6C" w14:textId="77777777" w:rsidTr="0024653C">
        <w:trPr>
          <w:cantSplit/>
          <w:trHeight w:val="20"/>
        </w:trPr>
        <w:tc>
          <w:tcPr>
            <w:tcW w:w="923" w:type="dxa"/>
          </w:tcPr>
          <w:p w14:paraId="6488A25D" w14:textId="77777777" w:rsidR="000A2B03" w:rsidRPr="00E44F3E" w:rsidRDefault="000A2B03" w:rsidP="0024653C">
            <w:pPr>
              <w:pStyle w:val="TableText"/>
              <w:keepLines/>
              <w:jc w:val="center"/>
            </w:pPr>
            <w:r w:rsidRPr="00E44F3E">
              <w:t>3</w:t>
            </w:r>
          </w:p>
        </w:tc>
        <w:tc>
          <w:tcPr>
            <w:tcW w:w="1569" w:type="dxa"/>
          </w:tcPr>
          <w:p w14:paraId="68C9B24F" w14:textId="77777777" w:rsidR="000A2B03" w:rsidRPr="00E44F3E" w:rsidRDefault="000A2B03" w:rsidP="0024653C">
            <w:pPr>
              <w:pStyle w:val="TableText"/>
              <w:keepLines/>
            </w:pPr>
            <w:r w:rsidRPr="00E44F3E">
              <w:t>Daratumumab</w:t>
            </w:r>
            <w:r w:rsidRPr="00E44F3E">
              <w:rPr>
                <w:vertAlign w:val="superscript"/>
              </w:rPr>
              <w:t>§</w:t>
            </w:r>
          </w:p>
        </w:tc>
        <w:tc>
          <w:tcPr>
            <w:tcW w:w="2007" w:type="dxa"/>
          </w:tcPr>
          <w:p w14:paraId="1CCA6974" w14:textId="77777777" w:rsidR="000A2B03" w:rsidRPr="00E44F3E" w:rsidRDefault="000A2B03" w:rsidP="0024653C">
            <w:pPr>
              <w:pStyle w:val="TableText"/>
              <w:keepLines/>
            </w:pPr>
            <w:r w:rsidRPr="00E44F3E">
              <w:t>Bortezomib and dexamethasone</w:t>
            </w:r>
          </w:p>
        </w:tc>
        <w:tc>
          <w:tcPr>
            <w:tcW w:w="1929" w:type="dxa"/>
          </w:tcPr>
          <w:p w14:paraId="1C3C3812" w14:textId="77777777" w:rsidR="000A2B03" w:rsidRPr="00E44F3E" w:rsidRDefault="000A2B03" w:rsidP="0024653C">
            <w:pPr>
              <w:pStyle w:val="TableText"/>
              <w:keepLines/>
            </w:pPr>
            <w:r w:rsidRPr="00E44F3E">
              <w:t xml:space="preserve">Multiple myeloma (MM) </w:t>
            </w:r>
          </w:p>
        </w:tc>
        <w:tc>
          <w:tcPr>
            <w:tcW w:w="2574" w:type="dxa"/>
          </w:tcPr>
          <w:p w14:paraId="4D3FD578" w14:textId="77777777" w:rsidR="000A2B03" w:rsidRPr="00E44F3E" w:rsidRDefault="000A2B03" w:rsidP="0024653C">
            <w:pPr>
              <w:pStyle w:val="TableText"/>
              <w:keepLines/>
            </w:pPr>
            <w:r w:rsidRPr="00E44F3E">
              <w:t xml:space="preserve">Progressive disease after only one prior therapy </w:t>
            </w:r>
          </w:p>
        </w:tc>
        <w:tc>
          <w:tcPr>
            <w:tcW w:w="1380" w:type="dxa"/>
          </w:tcPr>
          <w:p w14:paraId="24ED28A6" w14:textId="77777777" w:rsidR="000A2B03" w:rsidRPr="00E44F3E" w:rsidRDefault="000A2B03" w:rsidP="0024653C">
            <w:pPr>
              <w:pStyle w:val="TableText"/>
              <w:keepLines/>
              <w:jc w:val="center"/>
            </w:pPr>
            <w:r w:rsidRPr="00E44F3E">
              <w:t>Intravenous infusion/ subcutaneous injection</w:t>
            </w:r>
          </w:p>
        </w:tc>
        <w:tc>
          <w:tcPr>
            <w:tcW w:w="1148" w:type="dxa"/>
          </w:tcPr>
          <w:p w14:paraId="393D29CB" w14:textId="77777777" w:rsidR="000A2B03" w:rsidRPr="00E44F3E" w:rsidRDefault="000A2B03" w:rsidP="0024653C">
            <w:pPr>
              <w:pStyle w:val="TableText"/>
              <w:keepLines/>
              <w:jc w:val="center"/>
            </w:pPr>
            <w:r w:rsidRPr="00E44F3E">
              <w:t>No</w:t>
            </w:r>
          </w:p>
        </w:tc>
        <w:tc>
          <w:tcPr>
            <w:tcW w:w="1741" w:type="dxa"/>
          </w:tcPr>
          <w:p w14:paraId="7A792124" w14:textId="77777777" w:rsidR="000A2B03" w:rsidRPr="00E44F3E" w:rsidRDefault="000A2B03" w:rsidP="0024653C">
            <w:pPr>
              <w:pStyle w:val="TableText"/>
              <w:keepLines/>
              <w:jc w:val="center"/>
            </w:pPr>
            <w:r>
              <w:t>OFI</w:t>
            </w:r>
            <w:r w:rsidRPr="00E44F3E">
              <w:t xml:space="preserve"> </w:t>
            </w:r>
            <w:r>
              <w:t>l</w:t>
            </w:r>
            <w:r w:rsidRPr="00E44F3E">
              <w:t xml:space="preserve">ist </w:t>
            </w:r>
            <w:r w:rsidRPr="00E44F3E">
              <w:br/>
            </w:r>
          </w:p>
        </w:tc>
        <w:tc>
          <w:tcPr>
            <w:tcW w:w="727" w:type="dxa"/>
          </w:tcPr>
          <w:p w14:paraId="13F95E76" w14:textId="77777777" w:rsidR="000A2B03" w:rsidRPr="00E44F3E" w:rsidRDefault="000A2B03" w:rsidP="0024653C">
            <w:pPr>
              <w:pStyle w:val="TableText"/>
              <w:keepLines/>
              <w:jc w:val="center"/>
            </w:pPr>
            <w:r w:rsidRPr="00E44F3E">
              <w:t>Yes</w:t>
            </w:r>
          </w:p>
        </w:tc>
      </w:tr>
      <w:tr w:rsidR="000A2B03" w:rsidRPr="00E44F3E" w14:paraId="549BCC72" w14:textId="77777777" w:rsidTr="0024653C">
        <w:trPr>
          <w:cantSplit/>
          <w:trHeight w:val="20"/>
        </w:trPr>
        <w:tc>
          <w:tcPr>
            <w:tcW w:w="923" w:type="dxa"/>
          </w:tcPr>
          <w:p w14:paraId="65E2C6FB" w14:textId="77777777" w:rsidR="000A2B03" w:rsidRPr="00E44F3E" w:rsidRDefault="000A2B03" w:rsidP="0024653C">
            <w:pPr>
              <w:pStyle w:val="TableText"/>
              <w:keepLines/>
              <w:jc w:val="center"/>
            </w:pPr>
            <w:r w:rsidRPr="00E44F3E">
              <w:t>3</w:t>
            </w:r>
          </w:p>
        </w:tc>
        <w:tc>
          <w:tcPr>
            <w:tcW w:w="1569" w:type="dxa"/>
          </w:tcPr>
          <w:p w14:paraId="47F86CAA" w14:textId="77777777" w:rsidR="000A2B03" w:rsidRPr="00E44F3E" w:rsidRDefault="000A2B03" w:rsidP="0024653C">
            <w:pPr>
              <w:pStyle w:val="TableText"/>
              <w:keepLines/>
            </w:pPr>
            <w:proofErr w:type="spellStart"/>
            <w:r w:rsidRPr="00E44F3E">
              <w:t>Elotuzumab</w:t>
            </w:r>
            <w:proofErr w:type="spellEnd"/>
            <w:r>
              <w:rPr>
                <w:vertAlign w:val="superscript"/>
              </w:rPr>
              <w:t>‡</w:t>
            </w:r>
          </w:p>
        </w:tc>
        <w:tc>
          <w:tcPr>
            <w:tcW w:w="2007" w:type="dxa"/>
          </w:tcPr>
          <w:p w14:paraId="206D9BAA" w14:textId="77777777" w:rsidR="000A2B03" w:rsidRPr="00E44F3E" w:rsidRDefault="000A2B03" w:rsidP="0024653C">
            <w:pPr>
              <w:pStyle w:val="TableText"/>
              <w:keepLines/>
            </w:pPr>
            <w:r w:rsidRPr="00E44F3E">
              <w:t>Dexamethasone and lenalidomide</w:t>
            </w:r>
            <w:r w:rsidRPr="00E44F3E">
              <w:rPr>
                <w:vertAlign w:val="superscript"/>
              </w:rPr>
              <w:t>¶</w:t>
            </w:r>
          </w:p>
        </w:tc>
        <w:tc>
          <w:tcPr>
            <w:tcW w:w="1929" w:type="dxa"/>
          </w:tcPr>
          <w:p w14:paraId="27F97D6F" w14:textId="77777777" w:rsidR="000A2B03" w:rsidRPr="00E44F3E" w:rsidRDefault="000A2B03" w:rsidP="0024653C">
            <w:pPr>
              <w:pStyle w:val="TableText"/>
              <w:keepLines/>
            </w:pPr>
            <w:r w:rsidRPr="00E44F3E">
              <w:t xml:space="preserve">Multiple myeloma (MM) </w:t>
            </w:r>
          </w:p>
        </w:tc>
        <w:tc>
          <w:tcPr>
            <w:tcW w:w="2574" w:type="dxa"/>
          </w:tcPr>
          <w:p w14:paraId="294DD967" w14:textId="77777777" w:rsidR="000A2B03" w:rsidRPr="00E44F3E" w:rsidRDefault="000A2B03" w:rsidP="0024653C">
            <w:pPr>
              <w:pStyle w:val="TableText"/>
              <w:keepLines/>
            </w:pPr>
            <w:r w:rsidRPr="00E44F3E">
              <w:t>Progressive disease after at least one prior therapy</w:t>
            </w:r>
            <w:r w:rsidRPr="00E44F3E" w:rsidDel="008B54C0">
              <w:t xml:space="preserve"> </w:t>
            </w:r>
          </w:p>
        </w:tc>
        <w:tc>
          <w:tcPr>
            <w:tcW w:w="1380" w:type="dxa"/>
          </w:tcPr>
          <w:p w14:paraId="2A9A023C" w14:textId="77777777" w:rsidR="000A2B03" w:rsidRPr="00E44F3E" w:rsidRDefault="000A2B03" w:rsidP="0024653C">
            <w:pPr>
              <w:pStyle w:val="TableText"/>
              <w:keepLines/>
              <w:jc w:val="center"/>
            </w:pPr>
            <w:r w:rsidRPr="00E44F3E">
              <w:rPr>
                <w:rFonts w:cs="Calibri"/>
                <w:color w:val="000000"/>
              </w:rPr>
              <w:t>Intravenous infusion</w:t>
            </w:r>
          </w:p>
        </w:tc>
        <w:tc>
          <w:tcPr>
            <w:tcW w:w="1148" w:type="dxa"/>
          </w:tcPr>
          <w:p w14:paraId="71548C03" w14:textId="77777777" w:rsidR="000A2B03" w:rsidRPr="00E44F3E" w:rsidRDefault="000A2B03" w:rsidP="0024653C">
            <w:pPr>
              <w:pStyle w:val="TableText"/>
              <w:keepLines/>
              <w:jc w:val="center"/>
            </w:pPr>
            <w:r w:rsidRPr="00E44F3E">
              <w:rPr>
                <w:rFonts w:ascii="Calibri" w:hAnsi="Calibri" w:cs="Calibri"/>
                <w:sz w:val="22"/>
                <w:szCs w:val="22"/>
              </w:rPr>
              <w:t>No</w:t>
            </w:r>
          </w:p>
        </w:tc>
        <w:tc>
          <w:tcPr>
            <w:tcW w:w="1741" w:type="dxa"/>
          </w:tcPr>
          <w:p w14:paraId="538C5596" w14:textId="77777777" w:rsidR="000A2B03" w:rsidRPr="00E44F3E" w:rsidRDefault="000A2B03" w:rsidP="0024653C">
            <w:pPr>
              <w:pStyle w:val="TableText"/>
              <w:keepLines/>
              <w:jc w:val="center"/>
            </w:pPr>
            <w:r w:rsidRPr="00E44F3E">
              <w:rPr>
                <w:rFonts w:ascii="Calibri" w:hAnsi="Calibri" w:cs="Calibri"/>
                <w:color w:val="000000"/>
                <w:sz w:val="22"/>
                <w:szCs w:val="22"/>
              </w:rPr>
              <w:t>No application</w:t>
            </w:r>
          </w:p>
        </w:tc>
        <w:tc>
          <w:tcPr>
            <w:tcW w:w="727" w:type="dxa"/>
          </w:tcPr>
          <w:p w14:paraId="49BC3721" w14:textId="77777777" w:rsidR="000A2B03" w:rsidRPr="00E44F3E" w:rsidRDefault="000A2B03" w:rsidP="0024653C">
            <w:pPr>
              <w:pStyle w:val="TableText"/>
              <w:keepLines/>
              <w:jc w:val="center"/>
            </w:pPr>
            <w:r w:rsidRPr="00E44F3E">
              <w:rPr>
                <w:rFonts w:ascii="Calibri" w:hAnsi="Calibri" w:cs="Calibri"/>
                <w:sz w:val="22"/>
                <w:szCs w:val="22"/>
              </w:rPr>
              <w:t>No</w:t>
            </w:r>
          </w:p>
        </w:tc>
      </w:tr>
      <w:tr w:rsidR="000A2B03" w:rsidRPr="00E44F3E" w14:paraId="1B9B846F" w14:textId="77777777" w:rsidTr="0024653C">
        <w:trPr>
          <w:cantSplit/>
          <w:trHeight w:val="20"/>
        </w:trPr>
        <w:tc>
          <w:tcPr>
            <w:tcW w:w="923" w:type="dxa"/>
          </w:tcPr>
          <w:p w14:paraId="77FF1AFC" w14:textId="77777777" w:rsidR="000A2B03" w:rsidRPr="00E44F3E" w:rsidRDefault="000A2B03" w:rsidP="0024653C">
            <w:pPr>
              <w:pStyle w:val="TableText"/>
              <w:keepLines/>
              <w:jc w:val="center"/>
            </w:pPr>
            <w:r w:rsidRPr="00E44F3E">
              <w:lastRenderedPageBreak/>
              <w:t>3</w:t>
            </w:r>
          </w:p>
        </w:tc>
        <w:tc>
          <w:tcPr>
            <w:tcW w:w="1569" w:type="dxa"/>
          </w:tcPr>
          <w:p w14:paraId="10BB3321" w14:textId="77777777" w:rsidR="000A2B03" w:rsidRPr="00E44F3E" w:rsidRDefault="000A2B03" w:rsidP="0024653C">
            <w:pPr>
              <w:pStyle w:val="TableText"/>
              <w:keepLines/>
            </w:pPr>
            <w:proofErr w:type="spellStart"/>
            <w:r w:rsidRPr="00E44F3E">
              <w:t>Idelalisib</w:t>
            </w:r>
            <w:proofErr w:type="spellEnd"/>
          </w:p>
        </w:tc>
        <w:tc>
          <w:tcPr>
            <w:tcW w:w="2007" w:type="dxa"/>
          </w:tcPr>
          <w:p w14:paraId="78A53CF2" w14:textId="77777777" w:rsidR="000A2B03" w:rsidRPr="00E44F3E" w:rsidRDefault="000A2B03" w:rsidP="0024653C">
            <w:pPr>
              <w:pStyle w:val="TableText"/>
              <w:keepLines/>
            </w:pPr>
            <w:r w:rsidRPr="00E44F3E">
              <w:t>Monotherapy</w:t>
            </w:r>
          </w:p>
        </w:tc>
        <w:tc>
          <w:tcPr>
            <w:tcW w:w="1929" w:type="dxa"/>
          </w:tcPr>
          <w:p w14:paraId="76200673" w14:textId="77777777" w:rsidR="000A2B03" w:rsidRPr="00E44F3E" w:rsidRDefault="000A2B03" w:rsidP="0024653C">
            <w:pPr>
              <w:pStyle w:val="TableText"/>
              <w:keepLines/>
            </w:pPr>
            <w:r w:rsidRPr="00E44F3E">
              <w:t>Follicular B-cell non-Hodgkin’s lymphoma</w:t>
            </w:r>
          </w:p>
        </w:tc>
        <w:tc>
          <w:tcPr>
            <w:tcW w:w="2574" w:type="dxa"/>
          </w:tcPr>
          <w:p w14:paraId="45A45167" w14:textId="77777777" w:rsidR="000A2B03" w:rsidRPr="00E44F3E" w:rsidRDefault="000A2B03" w:rsidP="0024653C">
            <w:pPr>
              <w:pStyle w:val="TableText"/>
              <w:keepLines/>
            </w:pPr>
            <w:r w:rsidRPr="00E44F3E">
              <w:t>Refractory to rituximab and an alkylating agent within 6</w:t>
            </w:r>
            <w:r>
              <w:t> </w:t>
            </w:r>
            <w:r w:rsidRPr="00E44F3E">
              <w:t xml:space="preserve">months after completion of the treatment </w:t>
            </w:r>
          </w:p>
        </w:tc>
        <w:tc>
          <w:tcPr>
            <w:tcW w:w="1380" w:type="dxa"/>
          </w:tcPr>
          <w:p w14:paraId="4BD3BE59" w14:textId="77777777" w:rsidR="000A2B03" w:rsidRPr="00E44F3E" w:rsidRDefault="000A2B03" w:rsidP="0024653C">
            <w:pPr>
              <w:pStyle w:val="TableText"/>
              <w:keepLines/>
              <w:jc w:val="center"/>
            </w:pPr>
            <w:r w:rsidRPr="00E44F3E">
              <w:rPr>
                <w:rFonts w:cs="Calibri"/>
                <w:color w:val="000000"/>
              </w:rPr>
              <w:t>Oral tablet</w:t>
            </w:r>
          </w:p>
        </w:tc>
        <w:tc>
          <w:tcPr>
            <w:tcW w:w="1148" w:type="dxa"/>
          </w:tcPr>
          <w:p w14:paraId="153A45AF" w14:textId="77777777" w:rsidR="000A2B03" w:rsidRPr="00E44F3E" w:rsidRDefault="000A2B03" w:rsidP="0024653C">
            <w:pPr>
              <w:pStyle w:val="TableText"/>
              <w:keepLines/>
              <w:jc w:val="center"/>
            </w:pPr>
            <w:r w:rsidRPr="00E44F3E">
              <w:t>No</w:t>
            </w:r>
          </w:p>
        </w:tc>
        <w:tc>
          <w:tcPr>
            <w:tcW w:w="1741" w:type="dxa"/>
          </w:tcPr>
          <w:p w14:paraId="77900CE2" w14:textId="77777777" w:rsidR="000A2B03" w:rsidRPr="00E44F3E" w:rsidRDefault="000A2B03" w:rsidP="0024653C">
            <w:pPr>
              <w:pStyle w:val="TableText"/>
              <w:keepLines/>
              <w:jc w:val="center"/>
            </w:pPr>
            <w:r w:rsidRPr="00E44F3E">
              <w:t>No application</w:t>
            </w:r>
          </w:p>
        </w:tc>
        <w:tc>
          <w:tcPr>
            <w:tcW w:w="727" w:type="dxa"/>
          </w:tcPr>
          <w:p w14:paraId="6C4B30C9" w14:textId="77777777" w:rsidR="000A2B03" w:rsidRPr="00E44F3E" w:rsidRDefault="000A2B03" w:rsidP="0024653C">
            <w:pPr>
              <w:pStyle w:val="TableText"/>
              <w:keepLines/>
              <w:jc w:val="center"/>
            </w:pPr>
            <w:r w:rsidRPr="00E44F3E">
              <w:rPr>
                <w:rFonts w:ascii="Calibri" w:hAnsi="Calibri" w:cs="Calibri"/>
                <w:color w:val="000000"/>
                <w:sz w:val="22"/>
                <w:szCs w:val="22"/>
              </w:rPr>
              <w:t>Yes</w:t>
            </w:r>
          </w:p>
        </w:tc>
      </w:tr>
      <w:tr w:rsidR="000A2B03" w:rsidRPr="00E44F3E" w14:paraId="3835DFCF" w14:textId="77777777" w:rsidTr="0024653C">
        <w:trPr>
          <w:cantSplit/>
          <w:trHeight w:val="20"/>
        </w:trPr>
        <w:tc>
          <w:tcPr>
            <w:tcW w:w="923" w:type="dxa"/>
          </w:tcPr>
          <w:p w14:paraId="38346214" w14:textId="77777777" w:rsidR="000A2B03" w:rsidRPr="00E44F3E" w:rsidRDefault="000A2B03" w:rsidP="0024653C">
            <w:pPr>
              <w:pStyle w:val="TableText"/>
              <w:keepLines/>
              <w:jc w:val="center"/>
            </w:pPr>
            <w:r w:rsidRPr="00E44F3E">
              <w:t>3</w:t>
            </w:r>
          </w:p>
        </w:tc>
        <w:tc>
          <w:tcPr>
            <w:tcW w:w="1569" w:type="dxa"/>
          </w:tcPr>
          <w:p w14:paraId="4CA3653E" w14:textId="77777777" w:rsidR="000A2B03" w:rsidRPr="00E44F3E" w:rsidRDefault="000A2B03" w:rsidP="0024653C">
            <w:pPr>
              <w:pStyle w:val="TableText"/>
              <w:keepLines/>
            </w:pPr>
            <w:r w:rsidRPr="00E44F3E">
              <w:t>Lenalidomide</w:t>
            </w:r>
          </w:p>
        </w:tc>
        <w:tc>
          <w:tcPr>
            <w:tcW w:w="2007" w:type="dxa"/>
          </w:tcPr>
          <w:p w14:paraId="336FDC68" w14:textId="77777777" w:rsidR="000A2B03" w:rsidRPr="00E44F3E" w:rsidRDefault="000A2B03" w:rsidP="0024653C">
            <w:pPr>
              <w:pStyle w:val="TableText"/>
              <w:keepLines/>
            </w:pPr>
            <w:r w:rsidRPr="00E44F3E">
              <w:t>Monotherapy</w:t>
            </w:r>
          </w:p>
        </w:tc>
        <w:tc>
          <w:tcPr>
            <w:tcW w:w="1929" w:type="dxa"/>
          </w:tcPr>
          <w:p w14:paraId="6567564C" w14:textId="77777777" w:rsidR="000A2B03" w:rsidRPr="00E44F3E" w:rsidRDefault="000A2B03" w:rsidP="0024653C">
            <w:pPr>
              <w:pStyle w:val="TableText"/>
              <w:keepLines/>
            </w:pPr>
            <w:r w:rsidRPr="00E44F3E">
              <w:t>Myelodysplastic syndrome</w:t>
            </w:r>
          </w:p>
        </w:tc>
        <w:tc>
          <w:tcPr>
            <w:tcW w:w="2574" w:type="dxa"/>
          </w:tcPr>
          <w:p w14:paraId="48669D9E" w14:textId="77777777" w:rsidR="000A2B03" w:rsidRPr="00E44F3E" w:rsidRDefault="000A2B03" w:rsidP="0024653C">
            <w:pPr>
              <w:pStyle w:val="TableText"/>
              <w:keepLines/>
            </w:pPr>
            <w:r>
              <w:t>L</w:t>
            </w:r>
            <w:r w:rsidRPr="00E44F3E">
              <w:t>ow risk or intermediate-1 with del</w:t>
            </w:r>
            <w:r>
              <w:t>(</w:t>
            </w:r>
            <w:r w:rsidRPr="00E44F3E">
              <w:t>5q</w:t>
            </w:r>
            <w:r>
              <w:t>)</w:t>
            </w:r>
            <w:r w:rsidRPr="00E44F3E">
              <w:t>, and red blood cell transfusion depend</w:t>
            </w:r>
            <w:r>
              <w:t>e</w:t>
            </w:r>
            <w:r w:rsidRPr="00E44F3E">
              <w:t>nt</w:t>
            </w:r>
          </w:p>
        </w:tc>
        <w:tc>
          <w:tcPr>
            <w:tcW w:w="1380" w:type="dxa"/>
          </w:tcPr>
          <w:p w14:paraId="23B9817B" w14:textId="77777777" w:rsidR="000A2B03" w:rsidRPr="00E44F3E" w:rsidRDefault="000A2B03" w:rsidP="0024653C">
            <w:pPr>
              <w:pStyle w:val="TableText"/>
              <w:keepLines/>
              <w:jc w:val="center"/>
            </w:pPr>
            <w:r w:rsidRPr="00E44F3E">
              <w:t>Oral capsule/ tablet</w:t>
            </w:r>
          </w:p>
        </w:tc>
        <w:tc>
          <w:tcPr>
            <w:tcW w:w="1148" w:type="dxa"/>
          </w:tcPr>
          <w:p w14:paraId="1EA8FF50" w14:textId="77777777" w:rsidR="000A2B03" w:rsidRPr="00E44F3E" w:rsidRDefault="000A2B03" w:rsidP="0024653C">
            <w:pPr>
              <w:pStyle w:val="TableText"/>
              <w:keepLines/>
              <w:jc w:val="center"/>
            </w:pPr>
            <w:r w:rsidRPr="00E44F3E">
              <w:t>Yes</w:t>
            </w:r>
          </w:p>
        </w:tc>
        <w:tc>
          <w:tcPr>
            <w:tcW w:w="1741" w:type="dxa"/>
          </w:tcPr>
          <w:p w14:paraId="5457594F" w14:textId="77777777" w:rsidR="000A2B03" w:rsidRPr="00E44F3E" w:rsidRDefault="000A2B03" w:rsidP="0024653C">
            <w:pPr>
              <w:pStyle w:val="TableText"/>
              <w:keepLines/>
              <w:jc w:val="center"/>
            </w:pPr>
            <w:r>
              <w:t>Funded</w:t>
            </w:r>
            <w:r w:rsidRPr="00E44F3E">
              <w:t xml:space="preserve"> from 1</w:t>
            </w:r>
            <w:r>
              <w:t> </w:t>
            </w:r>
            <w:r w:rsidRPr="00E44F3E">
              <w:t>August 2024</w:t>
            </w:r>
          </w:p>
        </w:tc>
        <w:tc>
          <w:tcPr>
            <w:tcW w:w="727" w:type="dxa"/>
          </w:tcPr>
          <w:p w14:paraId="3609FCD9" w14:textId="77777777" w:rsidR="000A2B03" w:rsidRPr="00E44F3E" w:rsidRDefault="000A2B03" w:rsidP="0024653C">
            <w:pPr>
              <w:pStyle w:val="TableText"/>
              <w:keepLines/>
              <w:jc w:val="center"/>
            </w:pPr>
            <w:r w:rsidRPr="00E44F3E">
              <w:rPr>
                <w:rFonts w:ascii="Calibri" w:hAnsi="Calibri" w:cs="Calibri"/>
                <w:color w:val="000000"/>
                <w:sz w:val="22"/>
                <w:szCs w:val="22"/>
              </w:rPr>
              <w:t>Yes</w:t>
            </w:r>
          </w:p>
        </w:tc>
      </w:tr>
      <w:tr w:rsidR="000A2B03" w:rsidRPr="00E44F3E" w14:paraId="2E92253C" w14:textId="77777777" w:rsidTr="0024653C">
        <w:trPr>
          <w:cantSplit/>
          <w:trHeight w:val="20"/>
        </w:trPr>
        <w:tc>
          <w:tcPr>
            <w:tcW w:w="923" w:type="dxa"/>
          </w:tcPr>
          <w:p w14:paraId="05D7CCEA" w14:textId="77777777" w:rsidR="000A2B03" w:rsidRPr="00E44F3E" w:rsidRDefault="000A2B03" w:rsidP="0024653C">
            <w:pPr>
              <w:pStyle w:val="TableText"/>
              <w:keepLines/>
              <w:jc w:val="center"/>
            </w:pPr>
            <w:r w:rsidRPr="00E44F3E">
              <w:t>3</w:t>
            </w:r>
          </w:p>
        </w:tc>
        <w:tc>
          <w:tcPr>
            <w:tcW w:w="1569" w:type="dxa"/>
          </w:tcPr>
          <w:p w14:paraId="42DCCFC6" w14:textId="77777777" w:rsidR="000A2B03" w:rsidRPr="00E44F3E" w:rsidRDefault="000A2B03" w:rsidP="0024653C">
            <w:pPr>
              <w:pStyle w:val="TableText"/>
              <w:keepLines/>
            </w:pPr>
            <w:r w:rsidRPr="00E44F3E">
              <w:t>Obinutuzumab</w:t>
            </w:r>
            <w:r>
              <w:rPr>
                <w:vertAlign w:val="superscript"/>
              </w:rPr>
              <w:t>‡</w:t>
            </w:r>
          </w:p>
        </w:tc>
        <w:tc>
          <w:tcPr>
            <w:tcW w:w="2007" w:type="dxa"/>
          </w:tcPr>
          <w:p w14:paraId="2C1BC38F" w14:textId="77777777" w:rsidR="000A2B03" w:rsidRPr="00E44F3E" w:rsidRDefault="000A2B03" w:rsidP="0024653C">
            <w:pPr>
              <w:pStyle w:val="TableText"/>
              <w:keepLines/>
            </w:pPr>
            <w:r w:rsidRPr="00E44F3E">
              <w:t>Acalabrutinib</w:t>
            </w:r>
            <w:r>
              <w:rPr>
                <w:vertAlign w:val="superscript"/>
              </w:rPr>
              <w:t>‡</w:t>
            </w:r>
          </w:p>
        </w:tc>
        <w:tc>
          <w:tcPr>
            <w:tcW w:w="1929" w:type="dxa"/>
          </w:tcPr>
          <w:p w14:paraId="402A1C9E" w14:textId="77777777" w:rsidR="000A2B03" w:rsidRPr="00E44F3E" w:rsidRDefault="000A2B03" w:rsidP="0024653C">
            <w:pPr>
              <w:pStyle w:val="TableText"/>
              <w:keepLines/>
            </w:pPr>
            <w:r w:rsidRPr="00E44F3E">
              <w:t>Chronic lymphocytic leukaemia (CLL) or small lymphocytic lymphoma (SLL)</w:t>
            </w:r>
          </w:p>
        </w:tc>
        <w:tc>
          <w:tcPr>
            <w:tcW w:w="2574" w:type="dxa"/>
          </w:tcPr>
          <w:p w14:paraId="2A98A0CF" w14:textId="77777777" w:rsidR="000A2B03" w:rsidRPr="00E44F3E" w:rsidRDefault="000A2B03" w:rsidP="0024653C">
            <w:pPr>
              <w:pStyle w:val="TableText"/>
              <w:keepLines/>
            </w:pPr>
            <w:r w:rsidRPr="00E44F3E">
              <w:t>Untreated patients or those who have developed an intolerance resulting in withdrawal from another first</w:t>
            </w:r>
            <w:r>
              <w:t>-</w:t>
            </w:r>
            <w:r w:rsidRPr="00E44F3E">
              <w:t xml:space="preserve">line agent </w:t>
            </w:r>
          </w:p>
        </w:tc>
        <w:tc>
          <w:tcPr>
            <w:tcW w:w="1380" w:type="dxa"/>
          </w:tcPr>
          <w:p w14:paraId="3C5DDCA6" w14:textId="77777777" w:rsidR="000A2B03" w:rsidRPr="00E44F3E" w:rsidRDefault="000A2B03" w:rsidP="0024653C">
            <w:pPr>
              <w:pStyle w:val="TableText"/>
              <w:keepLines/>
              <w:jc w:val="center"/>
            </w:pPr>
            <w:r w:rsidRPr="00E44F3E">
              <w:t>Intravenous infusion</w:t>
            </w:r>
          </w:p>
        </w:tc>
        <w:tc>
          <w:tcPr>
            <w:tcW w:w="1148" w:type="dxa"/>
          </w:tcPr>
          <w:p w14:paraId="77E68FAA" w14:textId="77777777" w:rsidR="000A2B03" w:rsidRPr="00E44F3E" w:rsidRDefault="000A2B03" w:rsidP="0024653C">
            <w:pPr>
              <w:pStyle w:val="TableText"/>
              <w:keepLines/>
              <w:jc w:val="center"/>
            </w:pPr>
            <w:r w:rsidRPr="00E44F3E">
              <w:t>Yes</w:t>
            </w:r>
          </w:p>
        </w:tc>
        <w:tc>
          <w:tcPr>
            <w:tcW w:w="1741" w:type="dxa"/>
          </w:tcPr>
          <w:p w14:paraId="632251E9" w14:textId="77777777" w:rsidR="000A2B03" w:rsidRPr="00E44F3E" w:rsidRDefault="000A2B03" w:rsidP="0024653C">
            <w:pPr>
              <w:pStyle w:val="TableText"/>
              <w:keepLines/>
              <w:jc w:val="center"/>
            </w:pPr>
            <w:r w:rsidRPr="00E44F3E">
              <w:t>No application</w:t>
            </w:r>
          </w:p>
        </w:tc>
        <w:tc>
          <w:tcPr>
            <w:tcW w:w="727" w:type="dxa"/>
          </w:tcPr>
          <w:p w14:paraId="36AD39E0" w14:textId="77777777" w:rsidR="000A2B03" w:rsidRPr="00E44F3E" w:rsidRDefault="000A2B03" w:rsidP="0024653C">
            <w:pPr>
              <w:pStyle w:val="TableText"/>
              <w:keepLines/>
              <w:jc w:val="center"/>
            </w:pPr>
            <w:r w:rsidRPr="00E44F3E">
              <w:t>No</w:t>
            </w:r>
          </w:p>
        </w:tc>
      </w:tr>
      <w:tr w:rsidR="000A2B03" w:rsidRPr="00E44F3E" w14:paraId="65DFD92C" w14:textId="77777777" w:rsidTr="0024653C">
        <w:trPr>
          <w:cantSplit/>
          <w:trHeight w:val="20"/>
        </w:trPr>
        <w:tc>
          <w:tcPr>
            <w:tcW w:w="923" w:type="dxa"/>
          </w:tcPr>
          <w:p w14:paraId="37AB46FD" w14:textId="77777777" w:rsidR="000A2B03" w:rsidRPr="00E44F3E" w:rsidRDefault="000A2B03" w:rsidP="0024653C">
            <w:pPr>
              <w:pStyle w:val="TableText"/>
              <w:keepLines/>
              <w:jc w:val="center"/>
            </w:pPr>
            <w:r w:rsidRPr="00E44F3E">
              <w:t>3</w:t>
            </w:r>
          </w:p>
        </w:tc>
        <w:tc>
          <w:tcPr>
            <w:tcW w:w="1569" w:type="dxa"/>
          </w:tcPr>
          <w:p w14:paraId="40CF29BB" w14:textId="77777777" w:rsidR="000A2B03" w:rsidRPr="00E44F3E" w:rsidRDefault="000A2B03" w:rsidP="0024653C">
            <w:pPr>
              <w:pStyle w:val="TableText"/>
              <w:keepLines/>
            </w:pPr>
            <w:r w:rsidRPr="00E44F3E">
              <w:t>Obinutuzumab</w:t>
            </w:r>
            <w:r>
              <w:rPr>
                <w:vertAlign w:val="superscript"/>
              </w:rPr>
              <w:t>‡</w:t>
            </w:r>
          </w:p>
        </w:tc>
        <w:tc>
          <w:tcPr>
            <w:tcW w:w="2007" w:type="dxa"/>
          </w:tcPr>
          <w:p w14:paraId="6680D242" w14:textId="77777777" w:rsidR="000A2B03" w:rsidRPr="00E44F3E" w:rsidRDefault="000A2B03" w:rsidP="0024653C">
            <w:pPr>
              <w:pStyle w:val="TableText"/>
              <w:keepLines/>
            </w:pPr>
            <w:proofErr w:type="spellStart"/>
            <w:r w:rsidRPr="00E44F3E">
              <w:t>Venetoclax</w:t>
            </w:r>
            <w:proofErr w:type="spellEnd"/>
            <w:r>
              <w:rPr>
                <w:vertAlign w:val="superscript"/>
              </w:rPr>
              <w:t>‡</w:t>
            </w:r>
          </w:p>
        </w:tc>
        <w:tc>
          <w:tcPr>
            <w:tcW w:w="1929" w:type="dxa"/>
          </w:tcPr>
          <w:p w14:paraId="770F1A52" w14:textId="77777777" w:rsidR="000A2B03" w:rsidRPr="00E44F3E" w:rsidRDefault="000A2B03" w:rsidP="0024653C">
            <w:pPr>
              <w:pStyle w:val="TableText"/>
              <w:keepLines/>
            </w:pPr>
            <w:r w:rsidRPr="00E44F3E">
              <w:t>Chronic lymphocytic leukaemia (CLL) or small lymphocytic lymphoma (SLL)</w:t>
            </w:r>
          </w:p>
        </w:tc>
        <w:tc>
          <w:tcPr>
            <w:tcW w:w="2574" w:type="dxa"/>
          </w:tcPr>
          <w:p w14:paraId="1971AEA8" w14:textId="77777777" w:rsidR="000A2B03" w:rsidRPr="00E44F3E" w:rsidRDefault="000A2B03" w:rsidP="0024653C">
            <w:pPr>
              <w:pStyle w:val="TableText"/>
              <w:keepLines/>
            </w:pPr>
            <w:r w:rsidRPr="00E44F3E">
              <w:t xml:space="preserve">Previously untreated disease </w:t>
            </w:r>
          </w:p>
        </w:tc>
        <w:tc>
          <w:tcPr>
            <w:tcW w:w="1380" w:type="dxa"/>
          </w:tcPr>
          <w:p w14:paraId="3946280A" w14:textId="77777777" w:rsidR="000A2B03" w:rsidRPr="00E44F3E" w:rsidRDefault="000A2B03" w:rsidP="0024653C">
            <w:pPr>
              <w:pStyle w:val="TableText"/>
              <w:keepLines/>
              <w:jc w:val="center"/>
            </w:pPr>
            <w:r w:rsidRPr="00E44F3E">
              <w:t>Intravenous infusion</w:t>
            </w:r>
          </w:p>
        </w:tc>
        <w:tc>
          <w:tcPr>
            <w:tcW w:w="1148" w:type="dxa"/>
          </w:tcPr>
          <w:p w14:paraId="537AECA3" w14:textId="77777777" w:rsidR="000A2B03" w:rsidRPr="00E44F3E" w:rsidRDefault="000A2B03" w:rsidP="0024653C">
            <w:pPr>
              <w:pStyle w:val="TableText"/>
              <w:keepLines/>
              <w:jc w:val="center"/>
            </w:pPr>
            <w:r w:rsidRPr="00E44F3E">
              <w:t>Yes</w:t>
            </w:r>
          </w:p>
        </w:tc>
        <w:tc>
          <w:tcPr>
            <w:tcW w:w="1741" w:type="dxa"/>
          </w:tcPr>
          <w:p w14:paraId="2DD4FD5C" w14:textId="77777777" w:rsidR="000A2B03" w:rsidRPr="00E44F3E" w:rsidRDefault="000A2B03" w:rsidP="0024653C">
            <w:pPr>
              <w:pStyle w:val="TableText"/>
              <w:keepLines/>
              <w:jc w:val="center"/>
            </w:pPr>
            <w:r w:rsidRPr="00E44F3E">
              <w:t xml:space="preserve">Under </w:t>
            </w:r>
            <w:r>
              <w:t>a</w:t>
            </w:r>
            <w:r w:rsidRPr="00E44F3E">
              <w:t>ssessment</w:t>
            </w:r>
          </w:p>
        </w:tc>
        <w:tc>
          <w:tcPr>
            <w:tcW w:w="727" w:type="dxa"/>
          </w:tcPr>
          <w:p w14:paraId="5F088B96" w14:textId="77777777" w:rsidR="000A2B03" w:rsidRPr="00E44F3E" w:rsidRDefault="000A2B03" w:rsidP="0024653C">
            <w:pPr>
              <w:pStyle w:val="TableText"/>
              <w:keepLines/>
              <w:jc w:val="center"/>
            </w:pPr>
            <w:r w:rsidRPr="00E44F3E">
              <w:t>Yes</w:t>
            </w:r>
          </w:p>
        </w:tc>
      </w:tr>
      <w:tr w:rsidR="000A2B03" w:rsidRPr="00E44F3E" w14:paraId="15E69A63" w14:textId="77777777" w:rsidTr="0024653C">
        <w:trPr>
          <w:cantSplit/>
          <w:trHeight w:val="20"/>
        </w:trPr>
        <w:tc>
          <w:tcPr>
            <w:tcW w:w="923" w:type="dxa"/>
          </w:tcPr>
          <w:p w14:paraId="579B6B76" w14:textId="77777777" w:rsidR="000A2B03" w:rsidRPr="00E44F3E" w:rsidRDefault="000A2B03" w:rsidP="0024653C">
            <w:pPr>
              <w:pStyle w:val="TableText"/>
              <w:keepLines/>
              <w:jc w:val="center"/>
            </w:pPr>
            <w:r w:rsidRPr="00E44F3E">
              <w:t>3</w:t>
            </w:r>
          </w:p>
        </w:tc>
        <w:tc>
          <w:tcPr>
            <w:tcW w:w="1569" w:type="dxa"/>
          </w:tcPr>
          <w:p w14:paraId="00767F17" w14:textId="77777777" w:rsidR="000A2B03" w:rsidRPr="00E44F3E" w:rsidRDefault="000A2B03" w:rsidP="0024653C">
            <w:pPr>
              <w:pStyle w:val="TableText"/>
              <w:keepLines/>
            </w:pPr>
            <w:r w:rsidRPr="00E44F3E">
              <w:t>Pembrolizumab</w:t>
            </w:r>
          </w:p>
        </w:tc>
        <w:tc>
          <w:tcPr>
            <w:tcW w:w="2007" w:type="dxa"/>
          </w:tcPr>
          <w:p w14:paraId="5CF63413" w14:textId="77777777" w:rsidR="000A2B03" w:rsidRPr="00E44F3E" w:rsidRDefault="000A2B03" w:rsidP="0024653C">
            <w:pPr>
              <w:pStyle w:val="TableText"/>
              <w:keepLines/>
            </w:pPr>
            <w:r w:rsidRPr="00E44F3E">
              <w:t>Monotherapy</w:t>
            </w:r>
          </w:p>
        </w:tc>
        <w:tc>
          <w:tcPr>
            <w:tcW w:w="1929" w:type="dxa"/>
          </w:tcPr>
          <w:p w14:paraId="6C38A8DF" w14:textId="77777777" w:rsidR="000A2B03" w:rsidRPr="00E44F3E" w:rsidRDefault="000A2B03" w:rsidP="0024653C">
            <w:pPr>
              <w:pStyle w:val="TableText"/>
              <w:keepLines/>
            </w:pPr>
            <w:r w:rsidRPr="00E44F3E">
              <w:t xml:space="preserve">Hodgkin’s lymphoma </w:t>
            </w:r>
          </w:p>
        </w:tc>
        <w:tc>
          <w:tcPr>
            <w:tcW w:w="2574" w:type="dxa"/>
          </w:tcPr>
          <w:p w14:paraId="54B374DD" w14:textId="77777777" w:rsidR="000A2B03" w:rsidRPr="00E44F3E" w:rsidRDefault="000A2B03" w:rsidP="0024653C">
            <w:pPr>
              <w:pStyle w:val="TableText"/>
              <w:keepLines/>
            </w:pPr>
            <w:r w:rsidRPr="00E44F3E">
              <w:t xml:space="preserve">Relapsed or refractory Hodgkin’s lymphoma after autologous </w:t>
            </w:r>
            <w:r w:rsidRPr="0011385C">
              <w:t>haematopoietic</w:t>
            </w:r>
            <w:r w:rsidRPr="00E44F3E">
              <w:t xml:space="preserve"> stem cell transplant</w:t>
            </w:r>
            <w:r>
              <w:t>,</w:t>
            </w:r>
            <w:r w:rsidRPr="00E44F3E">
              <w:t xml:space="preserve"> and if transplant ineligible, has relapsed after 2 prior treatments</w:t>
            </w:r>
          </w:p>
        </w:tc>
        <w:tc>
          <w:tcPr>
            <w:tcW w:w="1380" w:type="dxa"/>
          </w:tcPr>
          <w:p w14:paraId="039713E3" w14:textId="77777777" w:rsidR="000A2B03" w:rsidRPr="00E44F3E" w:rsidRDefault="000A2B03" w:rsidP="0024653C">
            <w:pPr>
              <w:pStyle w:val="TableText"/>
              <w:keepLines/>
              <w:jc w:val="center"/>
            </w:pPr>
            <w:r w:rsidRPr="00E44F3E">
              <w:t>Intravenous infusion</w:t>
            </w:r>
          </w:p>
        </w:tc>
        <w:tc>
          <w:tcPr>
            <w:tcW w:w="1148" w:type="dxa"/>
          </w:tcPr>
          <w:p w14:paraId="55E29786" w14:textId="77777777" w:rsidR="000A2B03" w:rsidRPr="00E44F3E" w:rsidRDefault="000A2B03" w:rsidP="0024653C">
            <w:pPr>
              <w:pStyle w:val="TableText"/>
              <w:keepLines/>
              <w:jc w:val="center"/>
            </w:pPr>
            <w:r w:rsidRPr="00E44F3E">
              <w:t>Yes</w:t>
            </w:r>
          </w:p>
        </w:tc>
        <w:tc>
          <w:tcPr>
            <w:tcW w:w="1741" w:type="dxa"/>
          </w:tcPr>
          <w:p w14:paraId="70DBC206" w14:textId="77777777" w:rsidR="000A2B03" w:rsidRPr="00E44F3E" w:rsidRDefault="000A2B03" w:rsidP="0024653C">
            <w:pPr>
              <w:pStyle w:val="TableText"/>
              <w:keepLines/>
              <w:jc w:val="center"/>
            </w:pPr>
            <w:r>
              <w:t>F</w:t>
            </w:r>
            <w:r w:rsidRPr="00E44F3E">
              <w:t>und</w:t>
            </w:r>
            <w:r>
              <w:t>ed</w:t>
            </w:r>
            <w:r w:rsidRPr="00E44F3E">
              <w:t xml:space="preserve"> from 1</w:t>
            </w:r>
            <w:r>
              <w:t> October</w:t>
            </w:r>
            <w:r w:rsidRPr="00E44F3E">
              <w:t xml:space="preserve"> 2024</w:t>
            </w:r>
          </w:p>
        </w:tc>
        <w:tc>
          <w:tcPr>
            <w:tcW w:w="727" w:type="dxa"/>
          </w:tcPr>
          <w:p w14:paraId="39AF51EC" w14:textId="77777777" w:rsidR="000A2B03" w:rsidRPr="00E44F3E" w:rsidRDefault="000A2B03" w:rsidP="0024653C">
            <w:pPr>
              <w:pStyle w:val="TableText"/>
              <w:keepLines/>
              <w:jc w:val="center"/>
            </w:pPr>
            <w:r w:rsidRPr="00E44F3E">
              <w:t>Yes</w:t>
            </w:r>
          </w:p>
        </w:tc>
      </w:tr>
      <w:tr w:rsidR="000A2B03" w:rsidRPr="00E44F3E" w14:paraId="29438DD1" w14:textId="77777777" w:rsidTr="0024653C">
        <w:trPr>
          <w:cantSplit/>
          <w:trHeight w:val="20"/>
        </w:trPr>
        <w:tc>
          <w:tcPr>
            <w:tcW w:w="923" w:type="dxa"/>
          </w:tcPr>
          <w:p w14:paraId="4ABD7EAA" w14:textId="77777777" w:rsidR="000A2B03" w:rsidRPr="00E44F3E" w:rsidRDefault="000A2B03" w:rsidP="0024653C">
            <w:pPr>
              <w:pStyle w:val="TableText"/>
              <w:keepLines/>
              <w:jc w:val="center"/>
            </w:pPr>
            <w:r w:rsidRPr="00E44F3E">
              <w:t>3</w:t>
            </w:r>
          </w:p>
        </w:tc>
        <w:tc>
          <w:tcPr>
            <w:tcW w:w="1569" w:type="dxa"/>
          </w:tcPr>
          <w:p w14:paraId="62B10A29" w14:textId="77777777" w:rsidR="000A2B03" w:rsidRPr="00E44F3E" w:rsidRDefault="000A2B03" w:rsidP="0024653C">
            <w:pPr>
              <w:pStyle w:val="TableText"/>
              <w:keepLines/>
            </w:pPr>
            <w:r w:rsidRPr="00E44F3E">
              <w:t>Pembrolizumab</w:t>
            </w:r>
          </w:p>
        </w:tc>
        <w:tc>
          <w:tcPr>
            <w:tcW w:w="2007" w:type="dxa"/>
          </w:tcPr>
          <w:p w14:paraId="3CDFAEE5" w14:textId="77777777" w:rsidR="000A2B03" w:rsidRPr="00E44F3E" w:rsidRDefault="000A2B03" w:rsidP="0024653C">
            <w:pPr>
              <w:pStyle w:val="TableText"/>
              <w:keepLines/>
            </w:pPr>
            <w:r w:rsidRPr="00E44F3E">
              <w:t>Monotherapy</w:t>
            </w:r>
          </w:p>
        </w:tc>
        <w:tc>
          <w:tcPr>
            <w:tcW w:w="1929" w:type="dxa"/>
          </w:tcPr>
          <w:p w14:paraId="6C456586" w14:textId="77777777" w:rsidR="000A2B03" w:rsidRPr="00E44F3E" w:rsidRDefault="000A2B03" w:rsidP="0024653C">
            <w:pPr>
              <w:pStyle w:val="TableText"/>
              <w:keepLines/>
            </w:pPr>
            <w:r w:rsidRPr="00E44F3E">
              <w:t xml:space="preserve">Primary mediastinal B-cell lymphoma </w:t>
            </w:r>
          </w:p>
        </w:tc>
        <w:tc>
          <w:tcPr>
            <w:tcW w:w="2574" w:type="dxa"/>
          </w:tcPr>
          <w:p w14:paraId="3D54B9D2" w14:textId="77777777" w:rsidR="000A2B03" w:rsidRPr="00E44F3E" w:rsidRDefault="000A2B03" w:rsidP="0024653C">
            <w:pPr>
              <w:pStyle w:val="TableText"/>
              <w:keepLines/>
            </w:pPr>
            <w:r w:rsidRPr="00E44F3E">
              <w:t xml:space="preserve">Relapsed or refractory </w:t>
            </w:r>
            <w:r w:rsidRPr="00E44F3E">
              <w:br/>
              <w:t>after autologous stem cell transplant, or after 2 prior treatments and if transplant ineligible has relapsed after 1 prior treatment. Patient must have been treated with rituximab</w:t>
            </w:r>
          </w:p>
        </w:tc>
        <w:tc>
          <w:tcPr>
            <w:tcW w:w="1380" w:type="dxa"/>
          </w:tcPr>
          <w:p w14:paraId="766975BE" w14:textId="77777777" w:rsidR="000A2B03" w:rsidRPr="00E44F3E" w:rsidRDefault="000A2B03" w:rsidP="0024653C">
            <w:pPr>
              <w:pStyle w:val="TableText"/>
              <w:keepLines/>
              <w:jc w:val="center"/>
            </w:pPr>
            <w:r w:rsidRPr="00E44F3E">
              <w:t>Intravenous infusion</w:t>
            </w:r>
          </w:p>
        </w:tc>
        <w:tc>
          <w:tcPr>
            <w:tcW w:w="1148" w:type="dxa"/>
          </w:tcPr>
          <w:p w14:paraId="46D6ECAA" w14:textId="77777777" w:rsidR="000A2B03" w:rsidRPr="00E44F3E" w:rsidRDefault="000A2B03" w:rsidP="0024653C">
            <w:pPr>
              <w:pStyle w:val="TableText"/>
              <w:keepLines/>
              <w:jc w:val="center"/>
            </w:pPr>
            <w:r w:rsidRPr="00E44F3E">
              <w:t>Yes</w:t>
            </w:r>
          </w:p>
        </w:tc>
        <w:tc>
          <w:tcPr>
            <w:tcW w:w="1741" w:type="dxa"/>
          </w:tcPr>
          <w:p w14:paraId="3E420C4D" w14:textId="77777777" w:rsidR="000A2B03" w:rsidRPr="00E44F3E" w:rsidRDefault="000A2B03" w:rsidP="0024653C">
            <w:pPr>
              <w:pStyle w:val="TableText"/>
              <w:keepLines/>
              <w:jc w:val="center"/>
            </w:pPr>
            <w:r w:rsidRPr="00E44F3E">
              <w:t>No application</w:t>
            </w:r>
          </w:p>
        </w:tc>
        <w:tc>
          <w:tcPr>
            <w:tcW w:w="727" w:type="dxa"/>
          </w:tcPr>
          <w:p w14:paraId="06DEB7F3" w14:textId="77777777" w:rsidR="000A2B03" w:rsidRPr="00E44F3E" w:rsidRDefault="000A2B03" w:rsidP="0024653C">
            <w:pPr>
              <w:pStyle w:val="TableText"/>
              <w:keepLines/>
              <w:jc w:val="center"/>
            </w:pPr>
            <w:r w:rsidRPr="00E44F3E">
              <w:t>Yes</w:t>
            </w:r>
          </w:p>
        </w:tc>
      </w:tr>
      <w:tr w:rsidR="000A2B03" w:rsidRPr="00E44F3E" w14:paraId="37D4E269" w14:textId="77777777" w:rsidTr="0024653C">
        <w:trPr>
          <w:cantSplit/>
          <w:trHeight w:val="20"/>
        </w:trPr>
        <w:tc>
          <w:tcPr>
            <w:tcW w:w="923" w:type="dxa"/>
          </w:tcPr>
          <w:p w14:paraId="1FA448AB" w14:textId="77777777" w:rsidR="000A2B03" w:rsidRPr="00E44F3E" w:rsidRDefault="000A2B03" w:rsidP="0024653C">
            <w:pPr>
              <w:pStyle w:val="TableText"/>
              <w:keepLines/>
              <w:jc w:val="center"/>
            </w:pPr>
            <w:r w:rsidRPr="00E44F3E">
              <w:lastRenderedPageBreak/>
              <w:t>3</w:t>
            </w:r>
          </w:p>
        </w:tc>
        <w:tc>
          <w:tcPr>
            <w:tcW w:w="1569" w:type="dxa"/>
          </w:tcPr>
          <w:p w14:paraId="7C84955E" w14:textId="77777777" w:rsidR="000A2B03" w:rsidRPr="00E44F3E" w:rsidRDefault="000A2B03" w:rsidP="0024653C">
            <w:pPr>
              <w:pStyle w:val="TableText"/>
              <w:keepLines/>
            </w:pPr>
            <w:r w:rsidRPr="00E44F3E">
              <w:t>Ponatinib</w:t>
            </w:r>
          </w:p>
        </w:tc>
        <w:tc>
          <w:tcPr>
            <w:tcW w:w="2007" w:type="dxa"/>
          </w:tcPr>
          <w:p w14:paraId="056341C5" w14:textId="77777777" w:rsidR="000A2B03" w:rsidRPr="00E44F3E" w:rsidRDefault="000A2B03" w:rsidP="0024653C">
            <w:pPr>
              <w:pStyle w:val="TableText"/>
              <w:keepLines/>
            </w:pPr>
            <w:r w:rsidRPr="00E44F3E">
              <w:t>Monotherapy</w:t>
            </w:r>
          </w:p>
        </w:tc>
        <w:tc>
          <w:tcPr>
            <w:tcW w:w="1929" w:type="dxa"/>
          </w:tcPr>
          <w:p w14:paraId="4BDED78A" w14:textId="77777777" w:rsidR="000A2B03" w:rsidRPr="00E44F3E" w:rsidRDefault="000A2B03" w:rsidP="0024653C">
            <w:pPr>
              <w:pStyle w:val="TableText"/>
              <w:keepLines/>
            </w:pPr>
            <w:r w:rsidRPr="00E44F3E">
              <w:t>Chronic myeloid leukaemia (CML)</w:t>
            </w:r>
          </w:p>
        </w:tc>
        <w:tc>
          <w:tcPr>
            <w:tcW w:w="2574" w:type="dxa"/>
          </w:tcPr>
          <w:p w14:paraId="3EFFB315" w14:textId="77777777" w:rsidR="000A2B03" w:rsidRPr="00E44F3E" w:rsidRDefault="000A2B03" w:rsidP="0024653C">
            <w:pPr>
              <w:pStyle w:val="TableText"/>
              <w:keepLines/>
            </w:pPr>
            <w:r w:rsidRPr="00E44F3E">
              <w:t>At least two prior tyrosine kinase inhibitors have failed or have not been tolerated with a severity necessitating permanent treatment withdrawal</w:t>
            </w:r>
          </w:p>
        </w:tc>
        <w:tc>
          <w:tcPr>
            <w:tcW w:w="1380" w:type="dxa"/>
          </w:tcPr>
          <w:p w14:paraId="72860052" w14:textId="77777777" w:rsidR="000A2B03" w:rsidRPr="00E44F3E" w:rsidRDefault="000A2B03" w:rsidP="0024653C">
            <w:pPr>
              <w:pStyle w:val="TableText"/>
              <w:keepLines/>
              <w:jc w:val="center"/>
            </w:pPr>
            <w:r w:rsidRPr="00E44F3E">
              <w:t>Oral tablet</w:t>
            </w:r>
          </w:p>
        </w:tc>
        <w:tc>
          <w:tcPr>
            <w:tcW w:w="1148" w:type="dxa"/>
          </w:tcPr>
          <w:p w14:paraId="19C745DF" w14:textId="77777777" w:rsidR="000A2B03" w:rsidRPr="00E44F3E" w:rsidRDefault="000A2B03" w:rsidP="0024653C">
            <w:pPr>
              <w:pStyle w:val="TableText"/>
              <w:keepLines/>
              <w:jc w:val="center"/>
            </w:pPr>
            <w:r w:rsidRPr="00E44F3E">
              <w:t>No</w:t>
            </w:r>
          </w:p>
        </w:tc>
        <w:tc>
          <w:tcPr>
            <w:tcW w:w="1741" w:type="dxa"/>
          </w:tcPr>
          <w:p w14:paraId="0CD04E10" w14:textId="77777777" w:rsidR="000A2B03" w:rsidRPr="00E44F3E" w:rsidRDefault="000A2B03" w:rsidP="0024653C">
            <w:pPr>
              <w:pStyle w:val="TableText"/>
              <w:keepLines/>
              <w:jc w:val="center"/>
            </w:pPr>
            <w:r w:rsidRPr="00E44F3E">
              <w:t xml:space="preserve">No </w:t>
            </w:r>
            <w:r>
              <w:t>a</w:t>
            </w:r>
            <w:r w:rsidRPr="00E44F3E">
              <w:t>pplication</w:t>
            </w:r>
          </w:p>
        </w:tc>
        <w:tc>
          <w:tcPr>
            <w:tcW w:w="727" w:type="dxa"/>
          </w:tcPr>
          <w:p w14:paraId="2E4F6B52" w14:textId="77777777" w:rsidR="000A2B03" w:rsidRPr="00E44F3E" w:rsidRDefault="000A2B03" w:rsidP="0024653C">
            <w:pPr>
              <w:pStyle w:val="TableText"/>
              <w:keepLines/>
              <w:jc w:val="center"/>
            </w:pPr>
            <w:r w:rsidRPr="00E44F3E">
              <w:t>Yes</w:t>
            </w:r>
          </w:p>
        </w:tc>
      </w:tr>
      <w:tr w:rsidR="000A2B03" w:rsidRPr="00E44F3E" w14:paraId="0DE85E28" w14:textId="77777777" w:rsidTr="0024653C">
        <w:trPr>
          <w:cantSplit/>
          <w:trHeight w:val="20"/>
        </w:trPr>
        <w:tc>
          <w:tcPr>
            <w:tcW w:w="923" w:type="dxa"/>
          </w:tcPr>
          <w:p w14:paraId="7CFEA3C4" w14:textId="77777777" w:rsidR="000A2B03" w:rsidRPr="00E44F3E" w:rsidRDefault="000A2B03" w:rsidP="0024653C">
            <w:pPr>
              <w:pStyle w:val="TableText"/>
              <w:keepLines/>
              <w:jc w:val="center"/>
            </w:pPr>
            <w:r w:rsidRPr="00E44F3E">
              <w:t>3</w:t>
            </w:r>
          </w:p>
        </w:tc>
        <w:tc>
          <w:tcPr>
            <w:tcW w:w="1569" w:type="dxa"/>
          </w:tcPr>
          <w:p w14:paraId="4FDD9D4C" w14:textId="77777777" w:rsidR="000A2B03" w:rsidRPr="00E44F3E" w:rsidRDefault="000A2B03" w:rsidP="0024653C">
            <w:pPr>
              <w:pStyle w:val="TableText"/>
              <w:keepLines/>
            </w:pPr>
            <w:r w:rsidRPr="00E44F3E">
              <w:t>Pralatrexate</w:t>
            </w:r>
          </w:p>
        </w:tc>
        <w:tc>
          <w:tcPr>
            <w:tcW w:w="2007" w:type="dxa"/>
          </w:tcPr>
          <w:p w14:paraId="03E859A2" w14:textId="77777777" w:rsidR="000A2B03" w:rsidRPr="00E44F3E" w:rsidRDefault="000A2B03" w:rsidP="0024653C">
            <w:pPr>
              <w:pStyle w:val="TableText"/>
              <w:keepLines/>
            </w:pPr>
            <w:r w:rsidRPr="00E44F3E">
              <w:t>Not specified</w:t>
            </w:r>
          </w:p>
        </w:tc>
        <w:tc>
          <w:tcPr>
            <w:tcW w:w="1929" w:type="dxa"/>
          </w:tcPr>
          <w:p w14:paraId="03C35A59" w14:textId="77777777" w:rsidR="000A2B03" w:rsidRPr="00E44F3E" w:rsidRDefault="000A2B03" w:rsidP="0024653C">
            <w:pPr>
              <w:pStyle w:val="TableText"/>
              <w:keepLines/>
            </w:pPr>
            <w:r w:rsidRPr="00E44F3E">
              <w:t xml:space="preserve">Peripheral T-cell lymphoma </w:t>
            </w:r>
          </w:p>
        </w:tc>
        <w:tc>
          <w:tcPr>
            <w:tcW w:w="2574" w:type="dxa"/>
          </w:tcPr>
          <w:p w14:paraId="786DA82C" w14:textId="77777777" w:rsidR="000A2B03" w:rsidRPr="00E44F3E" w:rsidRDefault="000A2B03" w:rsidP="0024653C">
            <w:pPr>
              <w:pStyle w:val="TableText"/>
              <w:keepLines/>
            </w:pPr>
            <w:r w:rsidRPr="00E44F3E">
              <w:t>Relapsed or chemotherapy</w:t>
            </w:r>
            <w:r>
              <w:t>-</w:t>
            </w:r>
            <w:r w:rsidRPr="00E44F3E">
              <w:t>refractory after appropriate prior fi</w:t>
            </w:r>
            <w:r>
              <w:t>rst-</w:t>
            </w:r>
            <w:r w:rsidRPr="00E44F3E">
              <w:t xml:space="preserve">line curative intent chemotherapy </w:t>
            </w:r>
          </w:p>
        </w:tc>
        <w:tc>
          <w:tcPr>
            <w:tcW w:w="1380" w:type="dxa"/>
          </w:tcPr>
          <w:p w14:paraId="21D9A7C2" w14:textId="77777777" w:rsidR="000A2B03" w:rsidRPr="00E44F3E" w:rsidRDefault="000A2B03" w:rsidP="0024653C">
            <w:pPr>
              <w:pStyle w:val="TableText"/>
              <w:keepLines/>
              <w:jc w:val="center"/>
            </w:pPr>
            <w:r w:rsidRPr="00E44F3E">
              <w:t>Intravenous bolus</w:t>
            </w:r>
          </w:p>
        </w:tc>
        <w:tc>
          <w:tcPr>
            <w:tcW w:w="1148" w:type="dxa"/>
          </w:tcPr>
          <w:p w14:paraId="3605760C" w14:textId="77777777" w:rsidR="000A2B03" w:rsidRPr="00E44F3E" w:rsidRDefault="000A2B03" w:rsidP="0024653C">
            <w:pPr>
              <w:pStyle w:val="TableText"/>
              <w:keepLines/>
              <w:jc w:val="center"/>
            </w:pPr>
            <w:r w:rsidRPr="00E44F3E">
              <w:t>No</w:t>
            </w:r>
          </w:p>
        </w:tc>
        <w:tc>
          <w:tcPr>
            <w:tcW w:w="1741" w:type="dxa"/>
          </w:tcPr>
          <w:p w14:paraId="0A8E8986" w14:textId="77777777" w:rsidR="000A2B03" w:rsidRPr="00E44F3E" w:rsidRDefault="000A2B03" w:rsidP="0024653C">
            <w:pPr>
              <w:pStyle w:val="TableText"/>
              <w:keepLines/>
              <w:jc w:val="center"/>
            </w:pPr>
            <w:r w:rsidRPr="00E44F3E">
              <w:t xml:space="preserve">No </w:t>
            </w:r>
            <w:r>
              <w:t>a</w:t>
            </w:r>
            <w:r w:rsidRPr="00E44F3E">
              <w:t>pplication</w:t>
            </w:r>
          </w:p>
        </w:tc>
        <w:tc>
          <w:tcPr>
            <w:tcW w:w="727" w:type="dxa"/>
          </w:tcPr>
          <w:p w14:paraId="193E8105" w14:textId="77777777" w:rsidR="000A2B03" w:rsidRPr="00E44F3E" w:rsidRDefault="000A2B03" w:rsidP="0024653C">
            <w:pPr>
              <w:pStyle w:val="TableText"/>
              <w:keepLines/>
              <w:jc w:val="center"/>
            </w:pPr>
            <w:r w:rsidRPr="00E44F3E">
              <w:t>Yes</w:t>
            </w:r>
          </w:p>
        </w:tc>
      </w:tr>
      <w:tr w:rsidR="000A2B03" w:rsidRPr="00E44F3E" w14:paraId="3967941B" w14:textId="77777777" w:rsidTr="0024653C">
        <w:trPr>
          <w:cantSplit/>
          <w:trHeight w:val="20"/>
        </w:trPr>
        <w:tc>
          <w:tcPr>
            <w:tcW w:w="923" w:type="dxa"/>
          </w:tcPr>
          <w:p w14:paraId="2670E6FF" w14:textId="77777777" w:rsidR="000A2B03" w:rsidRPr="00E44F3E" w:rsidRDefault="000A2B03" w:rsidP="0024653C">
            <w:pPr>
              <w:pStyle w:val="TableText"/>
              <w:keepLines/>
              <w:jc w:val="center"/>
            </w:pPr>
            <w:r w:rsidRPr="00E44F3E">
              <w:t>3</w:t>
            </w:r>
          </w:p>
        </w:tc>
        <w:tc>
          <w:tcPr>
            <w:tcW w:w="1569" w:type="dxa"/>
          </w:tcPr>
          <w:p w14:paraId="545A7C88" w14:textId="77777777" w:rsidR="000A2B03" w:rsidRPr="00E44F3E" w:rsidRDefault="000A2B03" w:rsidP="0024653C">
            <w:pPr>
              <w:pStyle w:val="TableText"/>
              <w:keepLines/>
            </w:pPr>
            <w:proofErr w:type="spellStart"/>
            <w:r w:rsidRPr="00E44F3E">
              <w:t>Venetoclax</w:t>
            </w:r>
            <w:proofErr w:type="spellEnd"/>
            <w:r>
              <w:rPr>
                <w:vertAlign w:val="superscript"/>
              </w:rPr>
              <w:t>‡</w:t>
            </w:r>
          </w:p>
        </w:tc>
        <w:tc>
          <w:tcPr>
            <w:tcW w:w="2007" w:type="dxa"/>
          </w:tcPr>
          <w:p w14:paraId="2E685A94" w14:textId="77777777" w:rsidR="000A2B03" w:rsidRPr="00E44F3E" w:rsidRDefault="000A2B03" w:rsidP="0024653C">
            <w:pPr>
              <w:pStyle w:val="TableText"/>
              <w:keepLines/>
            </w:pPr>
            <w:r w:rsidRPr="00E44F3E">
              <w:t xml:space="preserve"> Obinutuzumab</w:t>
            </w:r>
            <w:r>
              <w:rPr>
                <w:vertAlign w:val="superscript"/>
              </w:rPr>
              <w:t>‡</w:t>
            </w:r>
          </w:p>
        </w:tc>
        <w:tc>
          <w:tcPr>
            <w:tcW w:w="1929" w:type="dxa"/>
          </w:tcPr>
          <w:p w14:paraId="7467AC31" w14:textId="77777777" w:rsidR="000A2B03" w:rsidRPr="00E44F3E" w:rsidRDefault="000A2B03" w:rsidP="0024653C">
            <w:pPr>
              <w:pStyle w:val="TableText"/>
              <w:keepLines/>
            </w:pPr>
            <w:r w:rsidRPr="00E44F3E">
              <w:t>Chronic lymphocytic leukaemia (CLL) or small lymphocytic lymphoma (SLL)</w:t>
            </w:r>
          </w:p>
        </w:tc>
        <w:tc>
          <w:tcPr>
            <w:tcW w:w="2574" w:type="dxa"/>
          </w:tcPr>
          <w:p w14:paraId="4845B821" w14:textId="77777777" w:rsidR="000A2B03" w:rsidRPr="00E44F3E" w:rsidRDefault="000A2B03" w:rsidP="0024653C">
            <w:pPr>
              <w:pStyle w:val="TableText"/>
              <w:keepLines/>
            </w:pPr>
            <w:r w:rsidRPr="00E44F3E">
              <w:t xml:space="preserve">Previously untreated disease </w:t>
            </w:r>
          </w:p>
        </w:tc>
        <w:tc>
          <w:tcPr>
            <w:tcW w:w="1380" w:type="dxa"/>
          </w:tcPr>
          <w:p w14:paraId="35B5AC38" w14:textId="77777777" w:rsidR="000A2B03" w:rsidRPr="00E44F3E" w:rsidRDefault="000A2B03" w:rsidP="0024653C">
            <w:pPr>
              <w:pStyle w:val="TableText"/>
              <w:keepLines/>
              <w:jc w:val="center"/>
            </w:pPr>
            <w:r w:rsidRPr="00E44F3E">
              <w:t>Oral tablet</w:t>
            </w:r>
          </w:p>
        </w:tc>
        <w:tc>
          <w:tcPr>
            <w:tcW w:w="1148" w:type="dxa"/>
          </w:tcPr>
          <w:p w14:paraId="159CBF35" w14:textId="77777777" w:rsidR="000A2B03" w:rsidRPr="00E44F3E" w:rsidRDefault="000A2B03" w:rsidP="0024653C">
            <w:pPr>
              <w:pStyle w:val="TableText"/>
              <w:keepLines/>
              <w:jc w:val="center"/>
            </w:pPr>
            <w:r w:rsidRPr="00E44F3E">
              <w:t>Yes</w:t>
            </w:r>
          </w:p>
        </w:tc>
        <w:tc>
          <w:tcPr>
            <w:tcW w:w="1741" w:type="dxa"/>
          </w:tcPr>
          <w:p w14:paraId="39600615" w14:textId="77777777" w:rsidR="000A2B03" w:rsidRPr="00E44F3E" w:rsidRDefault="000A2B03" w:rsidP="0024653C">
            <w:pPr>
              <w:pStyle w:val="TableText"/>
              <w:keepLines/>
              <w:jc w:val="center"/>
            </w:pPr>
            <w:r w:rsidRPr="00E44F3E">
              <w:t xml:space="preserve">Under </w:t>
            </w:r>
            <w:r>
              <w:t>a</w:t>
            </w:r>
            <w:r w:rsidRPr="00E44F3E">
              <w:t>ssessment</w:t>
            </w:r>
          </w:p>
        </w:tc>
        <w:tc>
          <w:tcPr>
            <w:tcW w:w="727" w:type="dxa"/>
          </w:tcPr>
          <w:p w14:paraId="33D62574" w14:textId="77777777" w:rsidR="000A2B03" w:rsidRPr="00E44F3E" w:rsidRDefault="000A2B03" w:rsidP="0024653C">
            <w:pPr>
              <w:pStyle w:val="TableText"/>
              <w:keepLines/>
              <w:jc w:val="center"/>
            </w:pPr>
            <w:r w:rsidRPr="00E44F3E">
              <w:t>Yes</w:t>
            </w:r>
          </w:p>
        </w:tc>
      </w:tr>
      <w:tr w:rsidR="000A2B03" w:rsidRPr="00E44F3E" w14:paraId="1CCC10E6" w14:textId="77777777" w:rsidTr="0024653C">
        <w:trPr>
          <w:cantSplit/>
          <w:trHeight w:val="20"/>
        </w:trPr>
        <w:tc>
          <w:tcPr>
            <w:tcW w:w="923" w:type="dxa"/>
          </w:tcPr>
          <w:p w14:paraId="55A995CA" w14:textId="77777777" w:rsidR="000A2B03" w:rsidRPr="00E44F3E" w:rsidRDefault="000A2B03" w:rsidP="0024653C">
            <w:pPr>
              <w:pStyle w:val="TableText"/>
              <w:keepLines/>
              <w:jc w:val="center"/>
            </w:pPr>
            <w:r w:rsidRPr="00E44F3E">
              <w:t>2</w:t>
            </w:r>
          </w:p>
        </w:tc>
        <w:tc>
          <w:tcPr>
            <w:tcW w:w="1569" w:type="dxa"/>
          </w:tcPr>
          <w:p w14:paraId="65E4593F" w14:textId="77777777" w:rsidR="000A2B03" w:rsidRPr="00E44F3E" w:rsidRDefault="000A2B03" w:rsidP="0024653C">
            <w:pPr>
              <w:pStyle w:val="TableText"/>
              <w:keepLines/>
            </w:pPr>
            <w:r w:rsidRPr="00E44F3E">
              <w:t xml:space="preserve">Brentuximab </w:t>
            </w:r>
            <w:proofErr w:type="spellStart"/>
            <w:r w:rsidRPr="00E44F3E">
              <w:t>vedotin</w:t>
            </w:r>
            <w:proofErr w:type="spellEnd"/>
          </w:p>
        </w:tc>
        <w:tc>
          <w:tcPr>
            <w:tcW w:w="2007" w:type="dxa"/>
          </w:tcPr>
          <w:p w14:paraId="0440B130" w14:textId="77777777" w:rsidR="000A2B03" w:rsidRPr="00E44F3E" w:rsidRDefault="000A2B03" w:rsidP="0024653C">
            <w:pPr>
              <w:pStyle w:val="TableText"/>
              <w:keepLines/>
            </w:pPr>
            <w:r w:rsidRPr="00E44F3E">
              <w:t xml:space="preserve">Cyclophosphamide, </w:t>
            </w:r>
            <w:proofErr w:type="gramStart"/>
            <w:r w:rsidRPr="00E44F3E">
              <w:t>doxorubicin</w:t>
            </w:r>
            <w:proofErr w:type="gramEnd"/>
            <w:r w:rsidRPr="00E44F3E">
              <w:t xml:space="preserve"> and prednisone</w:t>
            </w:r>
          </w:p>
        </w:tc>
        <w:tc>
          <w:tcPr>
            <w:tcW w:w="1929" w:type="dxa"/>
          </w:tcPr>
          <w:p w14:paraId="40DA361C" w14:textId="77777777" w:rsidR="000A2B03" w:rsidRPr="00E44F3E" w:rsidRDefault="000A2B03" w:rsidP="0024653C">
            <w:pPr>
              <w:pStyle w:val="TableText"/>
              <w:keepLines/>
            </w:pPr>
            <w:r w:rsidRPr="00E44F3E">
              <w:t>Peripheral T-cell lymphoma, non</w:t>
            </w:r>
            <w:r>
              <w:t>-</w:t>
            </w:r>
            <w:r w:rsidRPr="00E44F3E">
              <w:t>cutaneous</w:t>
            </w:r>
          </w:p>
        </w:tc>
        <w:tc>
          <w:tcPr>
            <w:tcW w:w="2574" w:type="dxa"/>
          </w:tcPr>
          <w:p w14:paraId="0E5AA871" w14:textId="77777777" w:rsidR="000A2B03" w:rsidRPr="00E44F3E" w:rsidRDefault="000A2B03" w:rsidP="0024653C">
            <w:pPr>
              <w:pStyle w:val="TableText"/>
              <w:keepLines/>
            </w:pPr>
            <w:r w:rsidRPr="00E44F3E">
              <w:t>First</w:t>
            </w:r>
            <w:r>
              <w:t>-</w:t>
            </w:r>
            <w:r w:rsidRPr="00E44F3E">
              <w:t xml:space="preserve">line treatment with curative intent, CD30-positive </w:t>
            </w:r>
          </w:p>
        </w:tc>
        <w:tc>
          <w:tcPr>
            <w:tcW w:w="1380" w:type="dxa"/>
          </w:tcPr>
          <w:p w14:paraId="46FCA97A" w14:textId="77777777" w:rsidR="000A2B03" w:rsidRPr="00E44F3E" w:rsidRDefault="000A2B03" w:rsidP="0024653C">
            <w:pPr>
              <w:pStyle w:val="TableText"/>
              <w:keepLines/>
              <w:jc w:val="center"/>
            </w:pPr>
            <w:r w:rsidRPr="00E44F3E">
              <w:t>Intravenous infusion</w:t>
            </w:r>
          </w:p>
        </w:tc>
        <w:tc>
          <w:tcPr>
            <w:tcW w:w="1148" w:type="dxa"/>
          </w:tcPr>
          <w:p w14:paraId="65FE9086" w14:textId="77777777" w:rsidR="000A2B03" w:rsidRPr="00E44F3E" w:rsidRDefault="000A2B03" w:rsidP="0024653C">
            <w:pPr>
              <w:pStyle w:val="TableText"/>
              <w:keepLines/>
              <w:jc w:val="center"/>
            </w:pPr>
            <w:r w:rsidRPr="00E44F3E">
              <w:t>Yes</w:t>
            </w:r>
          </w:p>
        </w:tc>
        <w:tc>
          <w:tcPr>
            <w:tcW w:w="1741" w:type="dxa"/>
          </w:tcPr>
          <w:p w14:paraId="71FB5166" w14:textId="77777777" w:rsidR="000A2B03" w:rsidRPr="00E44F3E" w:rsidRDefault="000A2B03" w:rsidP="0024653C">
            <w:pPr>
              <w:pStyle w:val="TableText"/>
              <w:keepLines/>
              <w:jc w:val="center"/>
            </w:pPr>
            <w:r>
              <w:t xml:space="preserve">Under assessment for </w:t>
            </w:r>
            <w:r w:rsidRPr="00C56B56">
              <w:t>anaplastic large cell lymphoma</w:t>
            </w:r>
            <w:r>
              <w:t xml:space="preserve"> only</w:t>
            </w:r>
          </w:p>
        </w:tc>
        <w:tc>
          <w:tcPr>
            <w:tcW w:w="727" w:type="dxa"/>
          </w:tcPr>
          <w:p w14:paraId="516EA566" w14:textId="77777777" w:rsidR="000A2B03" w:rsidRPr="00E44F3E" w:rsidRDefault="000A2B03" w:rsidP="0024653C">
            <w:pPr>
              <w:pStyle w:val="TableText"/>
              <w:keepLines/>
              <w:jc w:val="center"/>
            </w:pPr>
            <w:r w:rsidRPr="00E44F3E">
              <w:t>Yes</w:t>
            </w:r>
          </w:p>
        </w:tc>
      </w:tr>
      <w:tr w:rsidR="000A2B03" w:rsidRPr="00E44F3E" w14:paraId="0E922D6D" w14:textId="77777777" w:rsidTr="0024653C">
        <w:trPr>
          <w:cantSplit/>
          <w:trHeight w:val="20"/>
        </w:trPr>
        <w:tc>
          <w:tcPr>
            <w:tcW w:w="923" w:type="dxa"/>
          </w:tcPr>
          <w:p w14:paraId="5BB10F09" w14:textId="77777777" w:rsidR="000A2B03" w:rsidRPr="00E44F3E" w:rsidRDefault="000A2B03" w:rsidP="0024653C">
            <w:pPr>
              <w:pStyle w:val="TableText"/>
              <w:keepLines/>
              <w:jc w:val="center"/>
            </w:pPr>
            <w:r w:rsidRPr="00E44F3E">
              <w:t>2</w:t>
            </w:r>
          </w:p>
        </w:tc>
        <w:tc>
          <w:tcPr>
            <w:tcW w:w="1569" w:type="dxa"/>
          </w:tcPr>
          <w:p w14:paraId="329AB10D" w14:textId="77777777" w:rsidR="000A2B03" w:rsidRPr="00E44F3E" w:rsidRDefault="000A2B03" w:rsidP="0024653C">
            <w:pPr>
              <w:pStyle w:val="TableText"/>
              <w:keepLines/>
            </w:pPr>
            <w:r w:rsidRPr="00E44F3E">
              <w:t>Daratumumab</w:t>
            </w:r>
          </w:p>
        </w:tc>
        <w:tc>
          <w:tcPr>
            <w:tcW w:w="2007" w:type="dxa"/>
          </w:tcPr>
          <w:p w14:paraId="7386FEF6" w14:textId="77777777" w:rsidR="000A2B03" w:rsidRPr="00E44F3E" w:rsidRDefault="000A2B03" w:rsidP="0024653C">
            <w:pPr>
              <w:pStyle w:val="TableText"/>
              <w:keepLines/>
              <w:rPr>
                <w:rFonts w:cs="Calibri"/>
              </w:rPr>
            </w:pPr>
            <w:r w:rsidRPr="00E44F3E">
              <w:rPr>
                <w:rFonts w:cs="Calibri"/>
              </w:rPr>
              <w:t>Cyclophosphamide, bortezomib and dexamethasone</w:t>
            </w:r>
          </w:p>
        </w:tc>
        <w:tc>
          <w:tcPr>
            <w:tcW w:w="1929" w:type="dxa"/>
          </w:tcPr>
          <w:p w14:paraId="1CF008E6" w14:textId="77777777" w:rsidR="000A2B03" w:rsidRPr="00E44F3E" w:rsidRDefault="000A2B03" w:rsidP="0024653C">
            <w:pPr>
              <w:pStyle w:val="TableText"/>
              <w:keepLines/>
            </w:pPr>
            <w:r w:rsidRPr="00E44F3E">
              <w:t>Systemic light chain (AL) amyloidosis</w:t>
            </w:r>
          </w:p>
        </w:tc>
        <w:tc>
          <w:tcPr>
            <w:tcW w:w="2574" w:type="dxa"/>
          </w:tcPr>
          <w:p w14:paraId="3F9217D4" w14:textId="77777777" w:rsidR="000A2B03" w:rsidRPr="00E44F3E" w:rsidRDefault="000A2B03" w:rsidP="0024653C">
            <w:pPr>
              <w:pStyle w:val="TableText"/>
              <w:keepLines/>
            </w:pPr>
            <w:r w:rsidRPr="00E44F3E">
              <w:t xml:space="preserve">Newly diagnosed </w:t>
            </w:r>
          </w:p>
        </w:tc>
        <w:tc>
          <w:tcPr>
            <w:tcW w:w="1380" w:type="dxa"/>
          </w:tcPr>
          <w:p w14:paraId="62A8E34D" w14:textId="77777777" w:rsidR="000A2B03" w:rsidRPr="00E44F3E" w:rsidRDefault="000A2B03" w:rsidP="0024653C">
            <w:pPr>
              <w:pStyle w:val="TableText"/>
              <w:keepLines/>
              <w:jc w:val="center"/>
            </w:pPr>
            <w:r w:rsidRPr="00E44F3E">
              <w:t>Intravenous infusion/ subcutaneous injection</w:t>
            </w:r>
          </w:p>
        </w:tc>
        <w:tc>
          <w:tcPr>
            <w:tcW w:w="1148" w:type="dxa"/>
          </w:tcPr>
          <w:p w14:paraId="0424DF29" w14:textId="77777777" w:rsidR="000A2B03" w:rsidRPr="00E44F3E" w:rsidRDefault="000A2B03" w:rsidP="0024653C">
            <w:pPr>
              <w:pStyle w:val="TableText"/>
              <w:keepLines/>
              <w:jc w:val="center"/>
            </w:pPr>
            <w:r w:rsidRPr="00E44F3E">
              <w:t>No</w:t>
            </w:r>
          </w:p>
        </w:tc>
        <w:tc>
          <w:tcPr>
            <w:tcW w:w="1741" w:type="dxa"/>
          </w:tcPr>
          <w:p w14:paraId="1591E7BD" w14:textId="77777777" w:rsidR="000A2B03" w:rsidRPr="00E44F3E" w:rsidRDefault="000A2B03" w:rsidP="0024653C">
            <w:pPr>
              <w:pStyle w:val="TableText"/>
              <w:keepLines/>
              <w:jc w:val="center"/>
            </w:pPr>
            <w:r w:rsidRPr="002F35DD">
              <w:t>OFI</w:t>
            </w:r>
            <w:r w:rsidRPr="00E44F3E">
              <w:t xml:space="preserve"> </w:t>
            </w:r>
            <w:r>
              <w:t>l</w:t>
            </w:r>
            <w:r w:rsidRPr="00E44F3E">
              <w:t>ist</w:t>
            </w:r>
          </w:p>
        </w:tc>
        <w:tc>
          <w:tcPr>
            <w:tcW w:w="727" w:type="dxa"/>
          </w:tcPr>
          <w:p w14:paraId="1973E7D9" w14:textId="77777777" w:rsidR="000A2B03" w:rsidRPr="00E44F3E" w:rsidRDefault="000A2B03" w:rsidP="0024653C">
            <w:pPr>
              <w:pStyle w:val="TableText"/>
              <w:keepLines/>
              <w:jc w:val="center"/>
            </w:pPr>
            <w:r w:rsidRPr="00E44F3E">
              <w:t>No</w:t>
            </w:r>
          </w:p>
        </w:tc>
      </w:tr>
      <w:tr w:rsidR="000A2B03" w:rsidRPr="00E44F3E" w14:paraId="2A13B312" w14:textId="77777777" w:rsidTr="0024653C">
        <w:trPr>
          <w:cantSplit/>
          <w:trHeight w:val="20"/>
        </w:trPr>
        <w:tc>
          <w:tcPr>
            <w:tcW w:w="923" w:type="dxa"/>
          </w:tcPr>
          <w:p w14:paraId="18E56DEA" w14:textId="77777777" w:rsidR="000A2B03" w:rsidRPr="00E44F3E" w:rsidRDefault="000A2B03" w:rsidP="0024653C">
            <w:pPr>
              <w:pStyle w:val="TableText"/>
              <w:keepLines/>
              <w:jc w:val="center"/>
            </w:pPr>
            <w:r w:rsidRPr="00E44F3E">
              <w:t>2</w:t>
            </w:r>
          </w:p>
        </w:tc>
        <w:tc>
          <w:tcPr>
            <w:tcW w:w="1569" w:type="dxa"/>
          </w:tcPr>
          <w:p w14:paraId="34B67024" w14:textId="77777777" w:rsidR="000A2B03" w:rsidRPr="00E44F3E" w:rsidRDefault="000A2B03" w:rsidP="0024653C">
            <w:pPr>
              <w:pStyle w:val="TableText"/>
              <w:keepLines/>
            </w:pPr>
            <w:r w:rsidRPr="00E44F3E">
              <w:t>Pomalidomide</w:t>
            </w:r>
          </w:p>
        </w:tc>
        <w:tc>
          <w:tcPr>
            <w:tcW w:w="2007" w:type="dxa"/>
          </w:tcPr>
          <w:p w14:paraId="55F8EF84" w14:textId="77777777" w:rsidR="000A2B03" w:rsidRPr="00E44F3E" w:rsidRDefault="000A2B03" w:rsidP="0024653C">
            <w:pPr>
              <w:pStyle w:val="TableText"/>
              <w:keepLines/>
            </w:pPr>
            <w:r w:rsidRPr="00E44F3E">
              <w:t>Dexamethasone and bortezomib</w:t>
            </w:r>
          </w:p>
        </w:tc>
        <w:tc>
          <w:tcPr>
            <w:tcW w:w="1929" w:type="dxa"/>
          </w:tcPr>
          <w:p w14:paraId="4A097E02" w14:textId="77777777" w:rsidR="000A2B03" w:rsidRPr="00E44F3E" w:rsidRDefault="000A2B03" w:rsidP="0024653C">
            <w:pPr>
              <w:pStyle w:val="TableText"/>
              <w:keepLines/>
            </w:pPr>
            <w:r w:rsidRPr="00E44F3E">
              <w:t xml:space="preserve">Multiple myeloma (MM) </w:t>
            </w:r>
          </w:p>
        </w:tc>
        <w:tc>
          <w:tcPr>
            <w:tcW w:w="2574" w:type="dxa"/>
          </w:tcPr>
          <w:p w14:paraId="6933F182" w14:textId="77777777" w:rsidR="000A2B03" w:rsidRPr="00E44F3E" w:rsidRDefault="000A2B03" w:rsidP="0024653C">
            <w:pPr>
              <w:pStyle w:val="TableText"/>
              <w:keepLines/>
            </w:pPr>
            <w:r w:rsidRPr="00E44F3E">
              <w:t xml:space="preserve">Progressive disease after at least one prior therapy </w:t>
            </w:r>
            <w:r>
              <w:t>(</w:t>
            </w:r>
            <w:r w:rsidRPr="00E44F3E">
              <w:t>that is either lenalidomide monotherapy or contains lenalidomide</w:t>
            </w:r>
            <w:r>
              <w:t>) and patient has</w:t>
            </w:r>
            <w:r w:rsidRPr="00E44F3E">
              <w:t xml:space="preserve"> undergone or </w:t>
            </w:r>
            <w:r>
              <w:t>is</w:t>
            </w:r>
            <w:r w:rsidRPr="00E44F3E">
              <w:t xml:space="preserve"> ineligible for an autologous </w:t>
            </w:r>
            <w:r w:rsidRPr="0011385C">
              <w:t>haematopoietic</w:t>
            </w:r>
            <w:r w:rsidRPr="00E44F3E">
              <w:t xml:space="preserve"> stem cell transplant</w:t>
            </w:r>
          </w:p>
        </w:tc>
        <w:tc>
          <w:tcPr>
            <w:tcW w:w="1380" w:type="dxa"/>
          </w:tcPr>
          <w:p w14:paraId="08C4FFD1" w14:textId="77777777" w:rsidR="000A2B03" w:rsidRPr="00E44F3E" w:rsidRDefault="000A2B03" w:rsidP="0024653C">
            <w:pPr>
              <w:pStyle w:val="TableText"/>
              <w:keepLines/>
              <w:jc w:val="center"/>
            </w:pPr>
            <w:r w:rsidRPr="00E44F3E">
              <w:t>Oral capsule</w:t>
            </w:r>
          </w:p>
        </w:tc>
        <w:tc>
          <w:tcPr>
            <w:tcW w:w="1148" w:type="dxa"/>
          </w:tcPr>
          <w:p w14:paraId="0896A482" w14:textId="77777777" w:rsidR="000A2B03" w:rsidRPr="00E44F3E" w:rsidRDefault="000A2B03" w:rsidP="0024653C">
            <w:pPr>
              <w:pStyle w:val="TableText"/>
              <w:keepLines/>
              <w:jc w:val="center"/>
            </w:pPr>
            <w:r w:rsidRPr="00E44F3E">
              <w:t>No</w:t>
            </w:r>
          </w:p>
        </w:tc>
        <w:tc>
          <w:tcPr>
            <w:tcW w:w="1741" w:type="dxa"/>
          </w:tcPr>
          <w:p w14:paraId="1631CFD1" w14:textId="77777777" w:rsidR="000A2B03" w:rsidRPr="00E44F3E" w:rsidRDefault="000A2B03" w:rsidP="0024653C">
            <w:pPr>
              <w:pStyle w:val="TableText"/>
              <w:keepLines/>
              <w:jc w:val="center"/>
            </w:pPr>
            <w:r>
              <w:t>Funded</w:t>
            </w:r>
            <w:r w:rsidRPr="00E44F3E">
              <w:t xml:space="preserve"> from 1 August 2024</w:t>
            </w:r>
          </w:p>
        </w:tc>
        <w:tc>
          <w:tcPr>
            <w:tcW w:w="727" w:type="dxa"/>
          </w:tcPr>
          <w:p w14:paraId="0FFE4E6F" w14:textId="77777777" w:rsidR="000A2B03" w:rsidRPr="00E44F3E" w:rsidRDefault="000A2B03" w:rsidP="0024653C">
            <w:pPr>
              <w:pStyle w:val="TableText"/>
              <w:keepLines/>
              <w:jc w:val="center"/>
            </w:pPr>
            <w:r w:rsidRPr="00E44F3E">
              <w:t>No</w:t>
            </w:r>
          </w:p>
        </w:tc>
      </w:tr>
      <w:tr w:rsidR="000A2B03" w:rsidRPr="00E44F3E" w14:paraId="3895E9E2" w14:textId="77777777" w:rsidTr="0024653C">
        <w:trPr>
          <w:cantSplit/>
          <w:trHeight w:val="20"/>
        </w:trPr>
        <w:tc>
          <w:tcPr>
            <w:tcW w:w="923" w:type="dxa"/>
          </w:tcPr>
          <w:p w14:paraId="50C97C99" w14:textId="77777777" w:rsidR="000A2B03" w:rsidRPr="00E44F3E" w:rsidRDefault="000A2B03" w:rsidP="0024653C">
            <w:pPr>
              <w:pStyle w:val="TableText"/>
              <w:keepLines/>
              <w:jc w:val="center"/>
            </w:pPr>
            <w:r w:rsidRPr="00E44F3E">
              <w:lastRenderedPageBreak/>
              <w:t>2</w:t>
            </w:r>
          </w:p>
        </w:tc>
        <w:tc>
          <w:tcPr>
            <w:tcW w:w="1569" w:type="dxa"/>
          </w:tcPr>
          <w:p w14:paraId="5CBDE939" w14:textId="77777777" w:rsidR="000A2B03" w:rsidRPr="00E44F3E" w:rsidRDefault="000A2B03" w:rsidP="0024653C">
            <w:pPr>
              <w:pStyle w:val="TableText"/>
              <w:keepLines/>
            </w:pPr>
            <w:r w:rsidRPr="00E44F3E">
              <w:t>Ponatinib</w:t>
            </w:r>
          </w:p>
        </w:tc>
        <w:tc>
          <w:tcPr>
            <w:tcW w:w="2007" w:type="dxa"/>
          </w:tcPr>
          <w:p w14:paraId="7CA92245" w14:textId="77777777" w:rsidR="000A2B03" w:rsidRPr="00E44F3E" w:rsidRDefault="000A2B03" w:rsidP="0024653C">
            <w:pPr>
              <w:pStyle w:val="TableText"/>
              <w:keepLines/>
            </w:pPr>
            <w:r w:rsidRPr="00E44F3E">
              <w:t>Monotherapy</w:t>
            </w:r>
          </w:p>
        </w:tc>
        <w:tc>
          <w:tcPr>
            <w:tcW w:w="1929" w:type="dxa"/>
          </w:tcPr>
          <w:p w14:paraId="7F94A6DA" w14:textId="77777777" w:rsidR="000A2B03" w:rsidRPr="00E44F3E" w:rsidRDefault="000A2B03" w:rsidP="0024653C">
            <w:pPr>
              <w:pStyle w:val="TableText"/>
              <w:keepLines/>
            </w:pPr>
            <w:r w:rsidRPr="00E44F3E">
              <w:t>Acute lymphoblastic leukaemia (ALL)</w:t>
            </w:r>
          </w:p>
        </w:tc>
        <w:tc>
          <w:tcPr>
            <w:tcW w:w="2574" w:type="dxa"/>
          </w:tcPr>
          <w:p w14:paraId="04D1E7B8" w14:textId="77777777" w:rsidR="000A2B03" w:rsidRPr="00E44F3E" w:rsidRDefault="000A2B03" w:rsidP="0024653C">
            <w:pPr>
              <w:pStyle w:val="TableText"/>
              <w:keepLines/>
            </w:pPr>
            <w:r w:rsidRPr="00E44F3E">
              <w:t>Second line</w:t>
            </w:r>
            <w:r>
              <w:t xml:space="preserve"> treatment</w:t>
            </w:r>
            <w:r w:rsidRPr="00E44F3E">
              <w:t xml:space="preserve"> for patients with T315I, </w:t>
            </w:r>
            <w:r w:rsidRPr="00655EEC">
              <w:t>Philadelphia chromosome positive</w:t>
            </w:r>
            <w:r w:rsidRPr="00E44F3E">
              <w:t xml:space="preserve"> or BCR-ABL mutation</w:t>
            </w:r>
          </w:p>
        </w:tc>
        <w:tc>
          <w:tcPr>
            <w:tcW w:w="1380" w:type="dxa"/>
          </w:tcPr>
          <w:p w14:paraId="03B32E54" w14:textId="77777777" w:rsidR="000A2B03" w:rsidRPr="00E44F3E" w:rsidRDefault="000A2B03" w:rsidP="0024653C">
            <w:pPr>
              <w:pStyle w:val="TableText"/>
              <w:keepLines/>
              <w:jc w:val="center"/>
            </w:pPr>
            <w:r w:rsidRPr="00E44F3E">
              <w:t>Oral tablet</w:t>
            </w:r>
          </w:p>
        </w:tc>
        <w:tc>
          <w:tcPr>
            <w:tcW w:w="1148" w:type="dxa"/>
          </w:tcPr>
          <w:p w14:paraId="0C04EDA3" w14:textId="77777777" w:rsidR="000A2B03" w:rsidRPr="00E44F3E" w:rsidRDefault="000A2B03" w:rsidP="0024653C">
            <w:pPr>
              <w:pStyle w:val="TableText"/>
              <w:keepLines/>
              <w:jc w:val="center"/>
            </w:pPr>
            <w:r w:rsidRPr="00E44F3E">
              <w:t>No</w:t>
            </w:r>
          </w:p>
        </w:tc>
        <w:tc>
          <w:tcPr>
            <w:tcW w:w="1741" w:type="dxa"/>
          </w:tcPr>
          <w:p w14:paraId="341D44A2" w14:textId="77777777" w:rsidR="000A2B03" w:rsidRPr="00E44F3E" w:rsidRDefault="000A2B03" w:rsidP="0024653C">
            <w:pPr>
              <w:pStyle w:val="TableText"/>
              <w:keepLines/>
              <w:jc w:val="center"/>
            </w:pPr>
            <w:r w:rsidRPr="00E44F3E">
              <w:t>No application</w:t>
            </w:r>
          </w:p>
        </w:tc>
        <w:tc>
          <w:tcPr>
            <w:tcW w:w="727" w:type="dxa"/>
          </w:tcPr>
          <w:p w14:paraId="61DEBA17" w14:textId="77777777" w:rsidR="000A2B03" w:rsidRPr="00E44F3E" w:rsidRDefault="000A2B03" w:rsidP="0024653C">
            <w:pPr>
              <w:pStyle w:val="TableText"/>
              <w:keepLines/>
              <w:jc w:val="center"/>
            </w:pPr>
            <w:r w:rsidRPr="00E44F3E">
              <w:t>Yes</w:t>
            </w:r>
          </w:p>
        </w:tc>
      </w:tr>
      <w:tr w:rsidR="000A2B03" w:rsidRPr="00E44F3E" w14:paraId="62FF204D" w14:textId="77777777" w:rsidTr="0024653C">
        <w:trPr>
          <w:cantSplit/>
          <w:trHeight w:val="20"/>
        </w:trPr>
        <w:tc>
          <w:tcPr>
            <w:tcW w:w="923" w:type="dxa"/>
          </w:tcPr>
          <w:p w14:paraId="6A3A61A9" w14:textId="77777777" w:rsidR="000A2B03" w:rsidRPr="00E44F3E" w:rsidRDefault="000A2B03" w:rsidP="0024653C">
            <w:pPr>
              <w:pStyle w:val="TableText"/>
              <w:keepLines/>
              <w:jc w:val="center"/>
            </w:pPr>
            <w:r w:rsidRPr="00E44F3E">
              <w:t>2</w:t>
            </w:r>
          </w:p>
        </w:tc>
        <w:tc>
          <w:tcPr>
            <w:tcW w:w="1569" w:type="dxa"/>
          </w:tcPr>
          <w:p w14:paraId="5CC17313" w14:textId="77777777" w:rsidR="000A2B03" w:rsidRPr="00E44F3E" w:rsidRDefault="000A2B03" w:rsidP="0024653C">
            <w:pPr>
              <w:pStyle w:val="TableText"/>
              <w:keepLines/>
            </w:pPr>
            <w:r w:rsidRPr="00E44F3E">
              <w:t>Selinexor</w:t>
            </w:r>
          </w:p>
        </w:tc>
        <w:tc>
          <w:tcPr>
            <w:tcW w:w="2007" w:type="dxa"/>
          </w:tcPr>
          <w:p w14:paraId="04688236" w14:textId="77777777" w:rsidR="000A2B03" w:rsidRPr="00E44F3E" w:rsidRDefault="000A2B03" w:rsidP="0024653C">
            <w:pPr>
              <w:pStyle w:val="TableText"/>
              <w:keepLines/>
            </w:pPr>
            <w:r w:rsidRPr="00E44F3E">
              <w:t>Triplet with dexamethasone and bortezomib. Doublet with dexamethasone</w:t>
            </w:r>
          </w:p>
        </w:tc>
        <w:tc>
          <w:tcPr>
            <w:tcW w:w="1929" w:type="dxa"/>
          </w:tcPr>
          <w:p w14:paraId="38581115" w14:textId="77777777" w:rsidR="000A2B03" w:rsidRPr="00E44F3E" w:rsidRDefault="000A2B03" w:rsidP="0024653C">
            <w:pPr>
              <w:pStyle w:val="TableText"/>
              <w:keepLines/>
            </w:pPr>
            <w:r w:rsidRPr="00E44F3E">
              <w:t xml:space="preserve">Multiple myeloma (MM) </w:t>
            </w:r>
          </w:p>
        </w:tc>
        <w:tc>
          <w:tcPr>
            <w:tcW w:w="2574" w:type="dxa"/>
          </w:tcPr>
          <w:p w14:paraId="259426B3" w14:textId="77777777" w:rsidR="000A2B03" w:rsidRPr="00E44F3E" w:rsidRDefault="000A2B03" w:rsidP="0024653C">
            <w:pPr>
              <w:pStyle w:val="TableText"/>
              <w:keepLines/>
            </w:pPr>
            <w:r w:rsidRPr="00E44F3E">
              <w:t>Progressive disease after at least one prior therapy</w:t>
            </w:r>
          </w:p>
        </w:tc>
        <w:tc>
          <w:tcPr>
            <w:tcW w:w="1380" w:type="dxa"/>
          </w:tcPr>
          <w:p w14:paraId="3F9D7339" w14:textId="77777777" w:rsidR="000A2B03" w:rsidRPr="00E44F3E" w:rsidRDefault="000A2B03" w:rsidP="0024653C">
            <w:pPr>
              <w:pStyle w:val="TableText"/>
              <w:keepLines/>
              <w:jc w:val="center"/>
            </w:pPr>
            <w:r w:rsidRPr="00E44F3E">
              <w:t>Oral</w:t>
            </w:r>
            <w:r>
              <w:t xml:space="preserve"> </w:t>
            </w:r>
            <w:r w:rsidRPr="00E44F3E">
              <w:t>tablet</w:t>
            </w:r>
          </w:p>
        </w:tc>
        <w:tc>
          <w:tcPr>
            <w:tcW w:w="1148" w:type="dxa"/>
          </w:tcPr>
          <w:p w14:paraId="165A3584" w14:textId="77777777" w:rsidR="000A2B03" w:rsidRPr="00E44F3E" w:rsidRDefault="000A2B03" w:rsidP="0024653C">
            <w:pPr>
              <w:pStyle w:val="TableText"/>
              <w:keepLines/>
              <w:jc w:val="center"/>
            </w:pPr>
            <w:r w:rsidRPr="00E44F3E">
              <w:t>No</w:t>
            </w:r>
          </w:p>
        </w:tc>
        <w:tc>
          <w:tcPr>
            <w:tcW w:w="1741" w:type="dxa"/>
          </w:tcPr>
          <w:p w14:paraId="1DC3BA55" w14:textId="77777777" w:rsidR="000A2B03" w:rsidRPr="00E44F3E" w:rsidRDefault="000A2B03" w:rsidP="0024653C">
            <w:pPr>
              <w:pStyle w:val="TableText"/>
              <w:keepLines/>
              <w:jc w:val="center"/>
            </w:pPr>
            <w:r w:rsidRPr="00E44F3E">
              <w:t xml:space="preserve">No </w:t>
            </w:r>
            <w:r>
              <w:t>a</w:t>
            </w:r>
            <w:r w:rsidRPr="00E44F3E">
              <w:t>pplication</w:t>
            </w:r>
          </w:p>
        </w:tc>
        <w:tc>
          <w:tcPr>
            <w:tcW w:w="727" w:type="dxa"/>
          </w:tcPr>
          <w:p w14:paraId="78D01D40" w14:textId="77777777" w:rsidR="000A2B03" w:rsidRPr="00E44F3E" w:rsidRDefault="000A2B03" w:rsidP="0024653C">
            <w:pPr>
              <w:pStyle w:val="TableText"/>
              <w:keepLines/>
              <w:jc w:val="center"/>
            </w:pPr>
            <w:r w:rsidRPr="00E44F3E">
              <w:t>No</w:t>
            </w:r>
          </w:p>
        </w:tc>
      </w:tr>
      <w:tr w:rsidR="000A2B03" w:rsidRPr="00E44F3E" w14:paraId="296AD0E1" w14:textId="77777777" w:rsidTr="0024653C">
        <w:trPr>
          <w:cantSplit/>
          <w:trHeight w:val="20"/>
        </w:trPr>
        <w:tc>
          <w:tcPr>
            <w:tcW w:w="923" w:type="dxa"/>
          </w:tcPr>
          <w:p w14:paraId="70871425" w14:textId="77777777" w:rsidR="000A2B03" w:rsidRPr="00E44F3E" w:rsidRDefault="000A2B03" w:rsidP="0024653C">
            <w:pPr>
              <w:pStyle w:val="TableText"/>
              <w:keepLines/>
              <w:jc w:val="center"/>
            </w:pPr>
            <w:r w:rsidRPr="00E44F3E">
              <w:t>1</w:t>
            </w:r>
          </w:p>
        </w:tc>
        <w:tc>
          <w:tcPr>
            <w:tcW w:w="1569" w:type="dxa"/>
          </w:tcPr>
          <w:p w14:paraId="091CB80C" w14:textId="77777777" w:rsidR="000A2B03" w:rsidRPr="00E44F3E" w:rsidRDefault="000A2B03" w:rsidP="0024653C">
            <w:pPr>
              <w:pStyle w:val="TableText"/>
              <w:keepLines/>
            </w:pPr>
            <w:r w:rsidRPr="00E44F3E">
              <w:t xml:space="preserve">Brentuximab </w:t>
            </w:r>
            <w:proofErr w:type="spellStart"/>
            <w:r w:rsidRPr="00E44F3E">
              <w:t>vedotin</w:t>
            </w:r>
            <w:proofErr w:type="spellEnd"/>
          </w:p>
        </w:tc>
        <w:tc>
          <w:tcPr>
            <w:tcW w:w="2007" w:type="dxa"/>
          </w:tcPr>
          <w:p w14:paraId="2DCD475A" w14:textId="77777777" w:rsidR="000A2B03" w:rsidRPr="00E44F3E" w:rsidRDefault="000A2B03" w:rsidP="0024653C">
            <w:pPr>
              <w:pStyle w:val="TableText"/>
              <w:keepLines/>
            </w:pPr>
            <w:r w:rsidRPr="00E44F3E">
              <w:t>Monotherapy</w:t>
            </w:r>
          </w:p>
        </w:tc>
        <w:tc>
          <w:tcPr>
            <w:tcW w:w="1929" w:type="dxa"/>
          </w:tcPr>
          <w:p w14:paraId="37371ADE" w14:textId="77777777" w:rsidR="000A2B03" w:rsidRPr="00E44F3E" w:rsidRDefault="000A2B03" w:rsidP="0024653C">
            <w:pPr>
              <w:pStyle w:val="TableText"/>
              <w:keepLines/>
            </w:pPr>
            <w:r w:rsidRPr="00E44F3E">
              <w:t>T-cell lymphoma, cutaneous</w:t>
            </w:r>
          </w:p>
        </w:tc>
        <w:tc>
          <w:tcPr>
            <w:tcW w:w="2574" w:type="dxa"/>
          </w:tcPr>
          <w:p w14:paraId="580E81F3" w14:textId="77777777" w:rsidR="000A2B03" w:rsidRPr="00E44F3E" w:rsidRDefault="000A2B03" w:rsidP="0024653C">
            <w:pPr>
              <w:pStyle w:val="TableText"/>
              <w:keepLines/>
            </w:pPr>
            <w:r w:rsidRPr="00E44F3E">
              <w:t xml:space="preserve">Relapsed or refractory to prior treatment, CD30-positive </w:t>
            </w:r>
          </w:p>
        </w:tc>
        <w:tc>
          <w:tcPr>
            <w:tcW w:w="1380" w:type="dxa"/>
          </w:tcPr>
          <w:p w14:paraId="3F9C362C" w14:textId="77777777" w:rsidR="000A2B03" w:rsidRPr="00E44F3E" w:rsidRDefault="000A2B03" w:rsidP="0024653C">
            <w:pPr>
              <w:pStyle w:val="TableText"/>
              <w:keepLines/>
              <w:jc w:val="center"/>
            </w:pPr>
            <w:r w:rsidRPr="00E44F3E">
              <w:t>Intravenous infusion</w:t>
            </w:r>
          </w:p>
        </w:tc>
        <w:tc>
          <w:tcPr>
            <w:tcW w:w="1148" w:type="dxa"/>
          </w:tcPr>
          <w:p w14:paraId="66D7093A" w14:textId="77777777" w:rsidR="000A2B03" w:rsidRPr="00E44F3E" w:rsidRDefault="000A2B03" w:rsidP="0024653C">
            <w:pPr>
              <w:pStyle w:val="TableText"/>
              <w:keepLines/>
              <w:jc w:val="center"/>
            </w:pPr>
            <w:r w:rsidRPr="00E44F3E">
              <w:t>Yes</w:t>
            </w:r>
          </w:p>
        </w:tc>
        <w:tc>
          <w:tcPr>
            <w:tcW w:w="1741" w:type="dxa"/>
          </w:tcPr>
          <w:p w14:paraId="6289EEB4" w14:textId="77777777" w:rsidR="000A2B03" w:rsidRPr="00E44F3E" w:rsidRDefault="000A2B03" w:rsidP="0024653C">
            <w:pPr>
              <w:pStyle w:val="TableText"/>
              <w:keepLines/>
              <w:jc w:val="center"/>
            </w:pPr>
            <w:r w:rsidRPr="00E44F3E">
              <w:t>No application</w:t>
            </w:r>
          </w:p>
        </w:tc>
        <w:tc>
          <w:tcPr>
            <w:tcW w:w="727" w:type="dxa"/>
          </w:tcPr>
          <w:p w14:paraId="60975A29" w14:textId="77777777" w:rsidR="000A2B03" w:rsidRPr="00E44F3E" w:rsidRDefault="000A2B03" w:rsidP="0024653C">
            <w:pPr>
              <w:pStyle w:val="TableText"/>
              <w:keepLines/>
              <w:jc w:val="center"/>
            </w:pPr>
            <w:r w:rsidRPr="00E44F3E">
              <w:t>Yes</w:t>
            </w:r>
          </w:p>
        </w:tc>
      </w:tr>
      <w:tr w:rsidR="000A2B03" w:rsidRPr="00E44F3E" w14:paraId="78CE1E3D" w14:textId="77777777" w:rsidTr="0024653C">
        <w:trPr>
          <w:cantSplit/>
          <w:trHeight w:val="20"/>
        </w:trPr>
        <w:tc>
          <w:tcPr>
            <w:tcW w:w="923" w:type="dxa"/>
          </w:tcPr>
          <w:p w14:paraId="01DC167E" w14:textId="77777777" w:rsidR="000A2B03" w:rsidRPr="00E44F3E" w:rsidRDefault="000A2B03" w:rsidP="0024653C">
            <w:pPr>
              <w:pStyle w:val="TableText"/>
              <w:keepLines/>
              <w:jc w:val="center"/>
            </w:pPr>
            <w:r w:rsidRPr="00E44F3E">
              <w:t>1</w:t>
            </w:r>
          </w:p>
        </w:tc>
        <w:tc>
          <w:tcPr>
            <w:tcW w:w="1569" w:type="dxa"/>
          </w:tcPr>
          <w:p w14:paraId="73578F93" w14:textId="77777777" w:rsidR="000A2B03" w:rsidRPr="00E44F3E" w:rsidRDefault="000A2B03" w:rsidP="0024653C">
            <w:pPr>
              <w:pStyle w:val="TableText"/>
              <w:keepLines/>
            </w:pPr>
            <w:proofErr w:type="spellStart"/>
            <w:r w:rsidRPr="00E44F3E">
              <w:t>Vorinostat</w:t>
            </w:r>
            <w:proofErr w:type="spellEnd"/>
          </w:p>
        </w:tc>
        <w:tc>
          <w:tcPr>
            <w:tcW w:w="2007" w:type="dxa"/>
          </w:tcPr>
          <w:p w14:paraId="012BF644" w14:textId="77777777" w:rsidR="000A2B03" w:rsidRPr="00E44F3E" w:rsidRDefault="000A2B03" w:rsidP="0024653C">
            <w:pPr>
              <w:pStyle w:val="TableText"/>
              <w:keepLines/>
            </w:pPr>
            <w:r w:rsidRPr="00E44F3E">
              <w:t>Monotherapy</w:t>
            </w:r>
          </w:p>
        </w:tc>
        <w:tc>
          <w:tcPr>
            <w:tcW w:w="1929" w:type="dxa"/>
          </w:tcPr>
          <w:p w14:paraId="0E933C7D" w14:textId="77777777" w:rsidR="000A2B03" w:rsidRPr="00E44F3E" w:rsidRDefault="000A2B03" w:rsidP="0024653C">
            <w:pPr>
              <w:pStyle w:val="TableText"/>
              <w:keepLines/>
            </w:pPr>
            <w:r w:rsidRPr="00E44F3E">
              <w:t xml:space="preserve">T-cell lymphoma, cutaneous </w:t>
            </w:r>
          </w:p>
        </w:tc>
        <w:tc>
          <w:tcPr>
            <w:tcW w:w="2574" w:type="dxa"/>
          </w:tcPr>
          <w:p w14:paraId="41843A37" w14:textId="77777777" w:rsidR="000A2B03" w:rsidRPr="00E44F3E" w:rsidRDefault="000A2B03" w:rsidP="0024653C">
            <w:pPr>
              <w:pStyle w:val="TableText"/>
              <w:keepLines/>
            </w:pPr>
            <w:r w:rsidRPr="00E44F3E">
              <w:t xml:space="preserve">Relapsed or chemotherapy-refractory and ineligible for autologous </w:t>
            </w:r>
            <w:r w:rsidRPr="0011385C">
              <w:t>haematopoietic</w:t>
            </w:r>
            <w:r w:rsidRPr="00E44F3E">
              <w:t xml:space="preserve"> stem cell transplant</w:t>
            </w:r>
          </w:p>
        </w:tc>
        <w:tc>
          <w:tcPr>
            <w:tcW w:w="1380" w:type="dxa"/>
          </w:tcPr>
          <w:p w14:paraId="08BA14CE" w14:textId="77777777" w:rsidR="000A2B03" w:rsidRPr="00E44F3E" w:rsidRDefault="000A2B03" w:rsidP="0024653C">
            <w:pPr>
              <w:pStyle w:val="TableText"/>
              <w:keepLines/>
              <w:jc w:val="center"/>
            </w:pPr>
            <w:r w:rsidRPr="00E44F3E">
              <w:t>Oral capsule</w:t>
            </w:r>
          </w:p>
        </w:tc>
        <w:tc>
          <w:tcPr>
            <w:tcW w:w="1148" w:type="dxa"/>
          </w:tcPr>
          <w:p w14:paraId="65BCE346" w14:textId="77777777" w:rsidR="000A2B03" w:rsidRPr="00E44F3E" w:rsidRDefault="000A2B03" w:rsidP="0024653C">
            <w:pPr>
              <w:pStyle w:val="TableText"/>
              <w:keepLines/>
              <w:jc w:val="center"/>
            </w:pPr>
            <w:r w:rsidRPr="00E44F3E">
              <w:t>No</w:t>
            </w:r>
          </w:p>
        </w:tc>
        <w:tc>
          <w:tcPr>
            <w:tcW w:w="1741" w:type="dxa"/>
          </w:tcPr>
          <w:p w14:paraId="1A67D65D" w14:textId="77777777" w:rsidR="000A2B03" w:rsidRPr="00E44F3E" w:rsidRDefault="000A2B03" w:rsidP="0024653C">
            <w:pPr>
              <w:pStyle w:val="TableText"/>
              <w:keepLines/>
              <w:jc w:val="center"/>
            </w:pPr>
            <w:r w:rsidRPr="00E44F3E">
              <w:t>No application</w:t>
            </w:r>
          </w:p>
        </w:tc>
        <w:tc>
          <w:tcPr>
            <w:tcW w:w="727" w:type="dxa"/>
          </w:tcPr>
          <w:p w14:paraId="1C9770C6" w14:textId="77777777" w:rsidR="000A2B03" w:rsidRPr="00E44F3E" w:rsidRDefault="000A2B03" w:rsidP="0024653C">
            <w:pPr>
              <w:pStyle w:val="TableText"/>
              <w:keepLines/>
              <w:jc w:val="center"/>
            </w:pPr>
            <w:r w:rsidRPr="00E44F3E">
              <w:t>Yes</w:t>
            </w:r>
          </w:p>
        </w:tc>
      </w:tr>
      <w:tr w:rsidR="000A2B03" w:rsidRPr="00E44F3E" w14:paraId="5FB84A9B" w14:textId="77777777" w:rsidTr="0024653C">
        <w:trPr>
          <w:cantSplit/>
          <w:trHeight w:val="20"/>
        </w:trPr>
        <w:tc>
          <w:tcPr>
            <w:tcW w:w="923" w:type="dxa"/>
          </w:tcPr>
          <w:p w14:paraId="166B00D9" w14:textId="77777777" w:rsidR="000A2B03" w:rsidRPr="00E44F3E" w:rsidRDefault="000A2B03" w:rsidP="0024653C">
            <w:pPr>
              <w:pStyle w:val="TableText"/>
              <w:keepLines/>
              <w:jc w:val="center"/>
            </w:pPr>
            <w:r w:rsidRPr="00E44F3E">
              <w:t>1</w:t>
            </w:r>
          </w:p>
        </w:tc>
        <w:tc>
          <w:tcPr>
            <w:tcW w:w="1569" w:type="dxa"/>
          </w:tcPr>
          <w:p w14:paraId="220C53E2" w14:textId="77777777" w:rsidR="000A2B03" w:rsidRPr="00E44F3E" w:rsidRDefault="000A2B03" w:rsidP="0024653C">
            <w:pPr>
              <w:pStyle w:val="TableText"/>
              <w:keepLines/>
            </w:pPr>
            <w:r w:rsidRPr="00E44F3E">
              <w:t xml:space="preserve">Acalabrutinib or </w:t>
            </w:r>
            <w:proofErr w:type="spellStart"/>
            <w:r>
              <w:t>z</w:t>
            </w:r>
            <w:r w:rsidRPr="00E44F3E">
              <w:t>anubrutinib</w:t>
            </w:r>
            <w:proofErr w:type="spellEnd"/>
            <w:r>
              <w:rPr>
                <w:vertAlign w:val="superscript"/>
              </w:rPr>
              <w:t>†</w:t>
            </w:r>
          </w:p>
        </w:tc>
        <w:tc>
          <w:tcPr>
            <w:tcW w:w="2007" w:type="dxa"/>
          </w:tcPr>
          <w:p w14:paraId="4DFAD0C7" w14:textId="77777777" w:rsidR="000A2B03" w:rsidRPr="00E44F3E" w:rsidRDefault="000A2B03" w:rsidP="0024653C">
            <w:pPr>
              <w:pStyle w:val="TableText"/>
              <w:keepLines/>
            </w:pPr>
            <w:r w:rsidRPr="00E44F3E">
              <w:t>Monotherapy</w:t>
            </w:r>
          </w:p>
        </w:tc>
        <w:tc>
          <w:tcPr>
            <w:tcW w:w="1929" w:type="dxa"/>
          </w:tcPr>
          <w:p w14:paraId="2A284DAB" w14:textId="77777777" w:rsidR="000A2B03" w:rsidRPr="00E44F3E" w:rsidRDefault="000A2B03" w:rsidP="0024653C">
            <w:pPr>
              <w:pStyle w:val="TableText"/>
              <w:keepLines/>
            </w:pPr>
            <w:r w:rsidRPr="00E44F3E">
              <w:t>Chronic lymphocytic leukaemia (CLL) or small lymphocytic lymphoma (SLL)</w:t>
            </w:r>
          </w:p>
        </w:tc>
        <w:tc>
          <w:tcPr>
            <w:tcW w:w="2574" w:type="dxa"/>
          </w:tcPr>
          <w:p w14:paraId="673857C2" w14:textId="77777777" w:rsidR="000A2B03" w:rsidRPr="00E44F3E" w:rsidRDefault="000A2B03" w:rsidP="0024653C">
            <w:pPr>
              <w:pStyle w:val="TableText"/>
              <w:keepLines/>
            </w:pPr>
            <w:r w:rsidRPr="00E44F3E">
              <w:t xml:space="preserve">Previously untreated or intolerant to another first-line drug treatment </w:t>
            </w:r>
          </w:p>
        </w:tc>
        <w:tc>
          <w:tcPr>
            <w:tcW w:w="1380" w:type="dxa"/>
          </w:tcPr>
          <w:p w14:paraId="778BA7FB" w14:textId="77777777" w:rsidR="000A2B03" w:rsidRPr="00E44F3E" w:rsidRDefault="000A2B03" w:rsidP="0024653C">
            <w:pPr>
              <w:pStyle w:val="TableText"/>
              <w:keepLines/>
              <w:jc w:val="center"/>
            </w:pPr>
            <w:r w:rsidRPr="00E44F3E">
              <w:t>Oral capsule</w:t>
            </w:r>
          </w:p>
        </w:tc>
        <w:tc>
          <w:tcPr>
            <w:tcW w:w="1148" w:type="dxa"/>
          </w:tcPr>
          <w:p w14:paraId="43B847B6" w14:textId="77777777" w:rsidR="000A2B03" w:rsidRPr="00E44F3E" w:rsidRDefault="000A2B03" w:rsidP="0024653C">
            <w:pPr>
              <w:pStyle w:val="TableText"/>
              <w:keepLines/>
              <w:jc w:val="center"/>
            </w:pPr>
            <w:r w:rsidRPr="00E44F3E">
              <w:t>No</w:t>
            </w:r>
          </w:p>
        </w:tc>
        <w:tc>
          <w:tcPr>
            <w:tcW w:w="1741" w:type="dxa"/>
          </w:tcPr>
          <w:p w14:paraId="0FA3F0F4" w14:textId="77777777" w:rsidR="000A2B03" w:rsidRPr="00543516" w:rsidRDefault="000A2B03" w:rsidP="0024653C">
            <w:pPr>
              <w:pStyle w:val="TableText"/>
              <w:keepLines/>
              <w:jc w:val="center"/>
            </w:pPr>
            <w:r w:rsidRPr="00DC239E">
              <w:t>Acalabrutinib</w:t>
            </w:r>
            <w:r w:rsidRPr="00543516">
              <w:t xml:space="preserve"> – </w:t>
            </w:r>
            <w:r>
              <w:t xml:space="preserve">no application </w:t>
            </w:r>
          </w:p>
          <w:p w14:paraId="1F5F8055" w14:textId="77777777" w:rsidR="000A2B03" w:rsidRPr="00E44F3E" w:rsidRDefault="000A2B03" w:rsidP="0024653C">
            <w:pPr>
              <w:pStyle w:val="TableText"/>
              <w:keepLines/>
              <w:jc w:val="center"/>
            </w:pPr>
            <w:r w:rsidRPr="00DC239E">
              <w:t>Zanubrutinib</w:t>
            </w:r>
            <w:r w:rsidRPr="00543516">
              <w:t xml:space="preserve"> – </w:t>
            </w:r>
            <w:r>
              <w:t>n</w:t>
            </w:r>
            <w:r w:rsidRPr="00543516">
              <w:t xml:space="preserve">o application for whole group. </w:t>
            </w:r>
            <w:r w:rsidRPr="00543516">
              <w:br/>
              <w:t xml:space="preserve">Application for 17p deletion or TP53 mutation disease, first line specifically – </w:t>
            </w:r>
            <w:r>
              <w:t xml:space="preserve">OFI list </w:t>
            </w:r>
          </w:p>
        </w:tc>
        <w:tc>
          <w:tcPr>
            <w:tcW w:w="727" w:type="dxa"/>
          </w:tcPr>
          <w:p w14:paraId="2DCAFF7E" w14:textId="77777777" w:rsidR="000A2B03" w:rsidRPr="00E44F3E" w:rsidRDefault="000A2B03" w:rsidP="0024653C">
            <w:pPr>
              <w:pStyle w:val="TableText"/>
              <w:keepLines/>
              <w:jc w:val="center"/>
            </w:pPr>
            <w:r w:rsidRPr="00E44F3E">
              <w:t>No</w:t>
            </w:r>
          </w:p>
        </w:tc>
      </w:tr>
      <w:tr w:rsidR="000A2B03" w:rsidRPr="00E44F3E" w14:paraId="26BB4B98" w14:textId="77777777" w:rsidTr="0024653C">
        <w:trPr>
          <w:cantSplit/>
          <w:trHeight w:val="20"/>
        </w:trPr>
        <w:tc>
          <w:tcPr>
            <w:tcW w:w="923" w:type="dxa"/>
          </w:tcPr>
          <w:p w14:paraId="3C13013D" w14:textId="77777777" w:rsidR="000A2B03" w:rsidRPr="00E44F3E" w:rsidRDefault="000A2B03" w:rsidP="0024653C">
            <w:pPr>
              <w:pStyle w:val="TableText"/>
              <w:keepLines/>
              <w:jc w:val="center"/>
            </w:pPr>
            <w:r w:rsidRPr="00E44F3E">
              <w:t>NEB</w:t>
            </w:r>
          </w:p>
        </w:tc>
        <w:tc>
          <w:tcPr>
            <w:tcW w:w="1569" w:type="dxa"/>
          </w:tcPr>
          <w:p w14:paraId="40234E56" w14:textId="77777777" w:rsidR="000A2B03" w:rsidRPr="00E44F3E" w:rsidRDefault="000A2B03" w:rsidP="0024653C">
            <w:pPr>
              <w:pStyle w:val="TableText"/>
              <w:keepLines/>
            </w:pPr>
            <w:proofErr w:type="spellStart"/>
            <w:r w:rsidRPr="00E44F3E">
              <w:t>Bendamustine</w:t>
            </w:r>
            <w:proofErr w:type="spellEnd"/>
            <w:r>
              <w:rPr>
                <w:vertAlign w:val="superscript"/>
              </w:rPr>
              <w:t>‡</w:t>
            </w:r>
          </w:p>
        </w:tc>
        <w:tc>
          <w:tcPr>
            <w:tcW w:w="2007" w:type="dxa"/>
          </w:tcPr>
          <w:p w14:paraId="25811688" w14:textId="77777777" w:rsidR="000A2B03" w:rsidRPr="00E44F3E" w:rsidRDefault="000A2B03" w:rsidP="0024653C">
            <w:pPr>
              <w:pStyle w:val="TableText"/>
              <w:keepLines/>
            </w:pPr>
            <w:r w:rsidRPr="00E44F3E">
              <w:t>Obinutuzumab</w:t>
            </w:r>
            <w:r>
              <w:rPr>
                <w:vertAlign w:val="superscript"/>
              </w:rPr>
              <w:t>‡</w:t>
            </w:r>
            <w:r w:rsidRPr="00E44F3E">
              <w:t xml:space="preserve"> </w:t>
            </w:r>
            <w:r>
              <w:t>or</w:t>
            </w:r>
            <w:r w:rsidRPr="00E44F3E">
              <w:t xml:space="preserve"> rituximab </w:t>
            </w:r>
          </w:p>
        </w:tc>
        <w:tc>
          <w:tcPr>
            <w:tcW w:w="1929" w:type="dxa"/>
          </w:tcPr>
          <w:p w14:paraId="644A185A" w14:textId="77777777" w:rsidR="000A2B03" w:rsidRPr="00E44F3E" w:rsidRDefault="000A2B03" w:rsidP="0024653C">
            <w:pPr>
              <w:pStyle w:val="TableText"/>
              <w:keepLines/>
            </w:pPr>
            <w:r w:rsidRPr="00E44F3E">
              <w:t>Follicular lymphoma stage II bulky or stage III/IV</w:t>
            </w:r>
          </w:p>
        </w:tc>
        <w:tc>
          <w:tcPr>
            <w:tcW w:w="2574" w:type="dxa"/>
          </w:tcPr>
          <w:p w14:paraId="09951056" w14:textId="77777777" w:rsidR="000A2B03" w:rsidRPr="00E44F3E" w:rsidRDefault="000A2B03" w:rsidP="0024653C">
            <w:pPr>
              <w:pStyle w:val="TableText"/>
              <w:keepLines/>
            </w:pPr>
            <w:r w:rsidRPr="00E44F3E">
              <w:t>Induction, previously untreated, CD20-positive</w:t>
            </w:r>
          </w:p>
        </w:tc>
        <w:tc>
          <w:tcPr>
            <w:tcW w:w="1380" w:type="dxa"/>
          </w:tcPr>
          <w:p w14:paraId="36A06C57" w14:textId="77777777" w:rsidR="000A2B03" w:rsidRPr="00E44F3E" w:rsidRDefault="000A2B03" w:rsidP="0024653C">
            <w:pPr>
              <w:pStyle w:val="TableText"/>
              <w:keepLines/>
              <w:jc w:val="center"/>
            </w:pPr>
            <w:r w:rsidRPr="00E44F3E">
              <w:t>Intravenous infusion</w:t>
            </w:r>
          </w:p>
        </w:tc>
        <w:tc>
          <w:tcPr>
            <w:tcW w:w="1148" w:type="dxa"/>
          </w:tcPr>
          <w:p w14:paraId="436908D1" w14:textId="77777777" w:rsidR="000A2B03" w:rsidRPr="00E44F3E" w:rsidRDefault="000A2B03" w:rsidP="0024653C">
            <w:pPr>
              <w:pStyle w:val="TableText"/>
              <w:keepLines/>
              <w:jc w:val="center"/>
            </w:pPr>
            <w:r w:rsidRPr="00E44F3E">
              <w:t>Yes</w:t>
            </w:r>
          </w:p>
        </w:tc>
        <w:tc>
          <w:tcPr>
            <w:tcW w:w="1741" w:type="dxa"/>
          </w:tcPr>
          <w:p w14:paraId="2F841125" w14:textId="77777777" w:rsidR="000A2B03" w:rsidRPr="00E44F3E" w:rsidRDefault="000A2B03" w:rsidP="0024653C">
            <w:pPr>
              <w:pStyle w:val="TableText"/>
              <w:keepLines/>
              <w:jc w:val="center"/>
            </w:pPr>
            <w:r w:rsidRPr="00E44F3E">
              <w:t>No application</w:t>
            </w:r>
          </w:p>
        </w:tc>
        <w:tc>
          <w:tcPr>
            <w:tcW w:w="727" w:type="dxa"/>
          </w:tcPr>
          <w:p w14:paraId="78927C66" w14:textId="77777777" w:rsidR="000A2B03" w:rsidRPr="00E44F3E" w:rsidRDefault="000A2B03" w:rsidP="0024653C">
            <w:pPr>
              <w:pStyle w:val="TableText"/>
              <w:keepLines/>
              <w:jc w:val="center"/>
            </w:pPr>
            <w:r w:rsidRPr="00E44F3E">
              <w:t>Yes</w:t>
            </w:r>
          </w:p>
        </w:tc>
      </w:tr>
      <w:tr w:rsidR="000A2B03" w:rsidRPr="00E44F3E" w14:paraId="71BC9865" w14:textId="77777777" w:rsidTr="0024653C">
        <w:trPr>
          <w:cantSplit/>
          <w:trHeight w:val="20"/>
        </w:trPr>
        <w:tc>
          <w:tcPr>
            <w:tcW w:w="923" w:type="dxa"/>
          </w:tcPr>
          <w:p w14:paraId="7A4FC77A" w14:textId="77777777" w:rsidR="000A2B03" w:rsidRPr="00E44F3E" w:rsidRDefault="000A2B03" w:rsidP="0024653C">
            <w:pPr>
              <w:pStyle w:val="TableText"/>
              <w:keepLines/>
              <w:jc w:val="center"/>
            </w:pPr>
            <w:r w:rsidRPr="00E44F3E">
              <w:lastRenderedPageBreak/>
              <w:t>NEB</w:t>
            </w:r>
          </w:p>
        </w:tc>
        <w:tc>
          <w:tcPr>
            <w:tcW w:w="1569" w:type="dxa"/>
          </w:tcPr>
          <w:p w14:paraId="61A49B8A" w14:textId="77777777" w:rsidR="000A2B03" w:rsidRPr="00E44F3E" w:rsidRDefault="000A2B03" w:rsidP="0024653C">
            <w:pPr>
              <w:pStyle w:val="TableText"/>
              <w:keepLines/>
            </w:pPr>
            <w:r w:rsidRPr="00E44F3E">
              <w:t>Obinutuzumab</w:t>
            </w:r>
          </w:p>
        </w:tc>
        <w:tc>
          <w:tcPr>
            <w:tcW w:w="2007" w:type="dxa"/>
          </w:tcPr>
          <w:p w14:paraId="02EFDFAB" w14:textId="77777777" w:rsidR="000A2B03" w:rsidRPr="00E44F3E" w:rsidRDefault="000A2B03" w:rsidP="0024653C">
            <w:pPr>
              <w:pStyle w:val="TableText"/>
              <w:keepLines/>
            </w:pPr>
            <w:proofErr w:type="spellStart"/>
            <w:r w:rsidRPr="00E44F3E">
              <w:t>Bendamustine</w:t>
            </w:r>
            <w:proofErr w:type="spellEnd"/>
            <w:r>
              <w:rPr>
                <w:vertAlign w:val="superscript"/>
              </w:rPr>
              <w:t>‡</w:t>
            </w:r>
            <w:r w:rsidRPr="00E44F3E">
              <w:t xml:space="preserve"> </w:t>
            </w:r>
          </w:p>
        </w:tc>
        <w:tc>
          <w:tcPr>
            <w:tcW w:w="1929" w:type="dxa"/>
          </w:tcPr>
          <w:p w14:paraId="47645120" w14:textId="77777777" w:rsidR="000A2B03" w:rsidRPr="00E44F3E" w:rsidRDefault="000A2B03" w:rsidP="0024653C">
            <w:pPr>
              <w:pStyle w:val="TableText"/>
              <w:keepLines/>
            </w:pPr>
            <w:r w:rsidRPr="00E44F3E">
              <w:t>Follicular lymphoma stage II bulky or stage III/IV</w:t>
            </w:r>
          </w:p>
        </w:tc>
        <w:tc>
          <w:tcPr>
            <w:tcW w:w="2574" w:type="dxa"/>
          </w:tcPr>
          <w:p w14:paraId="6E8926B2" w14:textId="77777777" w:rsidR="000A2B03" w:rsidRPr="00E44F3E" w:rsidRDefault="000A2B03" w:rsidP="0024653C">
            <w:pPr>
              <w:pStyle w:val="TableText"/>
              <w:keepLines/>
            </w:pPr>
            <w:r w:rsidRPr="00E44F3E">
              <w:t>Induction, previously untreated, CD20-positive</w:t>
            </w:r>
          </w:p>
        </w:tc>
        <w:tc>
          <w:tcPr>
            <w:tcW w:w="1380" w:type="dxa"/>
          </w:tcPr>
          <w:p w14:paraId="1E9E64FD" w14:textId="77777777" w:rsidR="000A2B03" w:rsidRPr="00E44F3E" w:rsidRDefault="000A2B03" w:rsidP="0024653C">
            <w:pPr>
              <w:pStyle w:val="TableText"/>
              <w:keepLines/>
              <w:jc w:val="center"/>
            </w:pPr>
            <w:r w:rsidRPr="00E44F3E">
              <w:t>Intravenous infusion</w:t>
            </w:r>
          </w:p>
        </w:tc>
        <w:tc>
          <w:tcPr>
            <w:tcW w:w="1148" w:type="dxa"/>
          </w:tcPr>
          <w:p w14:paraId="3D950E29" w14:textId="77777777" w:rsidR="000A2B03" w:rsidRPr="00E44F3E" w:rsidRDefault="000A2B03" w:rsidP="0024653C">
            <w:pPr>
              <w:pStyle w:val="TableText"/>
              <w:keepLines/>
              <w:jc w:val="center"/>
            </w:pPr>
            <w:r w:rsidRPr="00E44F3E">
              <w:t>Yes</w:t>
            </w:r>
          </w:p>
        </w:tc>
        <w:tc>
          <w:tcPr>
            <w:tcW w:w="1741" w:type="dxa"/>
          </w:tcPr>
          <w:p w14:paraId="1A4D02FA" w14:textId="77777777" w:rsidR="000A2B03" w:rsidRPr="00E44F3E" w:rsidRDefault="000A2B03" w:rsidP="0024653C">
            <w:pPr>
              <w:pStyle w:val="TableText"/>
              <w:keepLines/>
              <w:jc w:val="center"/>
            </w:pPr>
            <w:r>
              <w:t>Application declined</w:t>
            </w:r>
          </w:p>
        </w:tc>
        <w:tc>
          <w:tcPr>
            <w:tcW w:w="727" w:type="dxa"/>
          </w:tcPr>
          <w:p w14:paraId="1778009F" w14:textId="77777777" w:rsidR="000A2B03" w:rsidRPr="00E44F3E" w:rsidRDefault="000A2B03" w:rsidP="0024653C">
            <w:pPr>
              <w:pStyle w:val="TableText"/>
              <w:keepLines/>
              <w:jc w:val="center"/>
            </w:pPr>
            <w:r w:rsidRPr="00E44F3E">
              <w:t>Yes</w:t>
            </w:r>
          </w:p>
        </w:tc>
      </w:tr>
      <w:tr w:rsidR="000A2B03" w:rsidRPr="00E44F3E" w14:paraId="5989B280" w14:textId="77777777" w:rsidTr="0024653C">
        <w:trPr>
          <w:cantSplit/>
          <w:trHeight w:val="20"/>
        </w:trPr>
        <w:tc>
          <w:tcPr>
            <w:tcW w:w="923" w:type="dxa"/>
          </w:tcPr>
          <w:p w14:paraId="6B2F4337" w14:textId="77777777" w:rsidR="000A2B03" w:rsidRPr="00E44F3E" w:rsidRDefault="000A2B03" w:rsidP="0024653C">
            <w:pPr>
              <w:pStyle w:val="TableText"/>
              <w:keepLines/>
              <w:jc w:val="center"/>
            </w:pPr>
            <w:r w:rsidRPr="00E44F3E">
              <w:t>Not scorable</w:t>
            </w:r>
          </w:p>
        </w:tc>
        <w:tc>
          <w:tcPr>
            <w:tcW w:w="1569" w:type="dxa"/>
          </w:tcPr>
          <w:p w14:paraId="0F327DCF" w14:textId="77777777" w:rsidR="000A2B03" w:rsidRPr="00E44F3E" w:rsidRDefault="000A2B03" w:rsidP="0024653C">
            <w:pPr>
              <w:pStyle w:val="TableText"/>
              <w:keepLines/>
            </w:pPr>
            <w:proofErr w:type="spellStart"/>
            <w:r w:rsidRPr="00E44F3E">
              <w:t>Asciminib</w:t>
            </w:r>
            <w:proofErr w:type="spellEnd"/>
          </w:p>
        </w:tc>
        <w:tc>
          <w:tcPr>
            <w:tcW w:w="2007" w:type="dxa"/>
          </w:tcPr>
          <w:p w14:paraId="1F11262C" w14:textId="77777777" w:rsidR="000A2B03" w:rsidRPr="00E44F3E" w:rsidRDefault="000A2B03" w:rsidP="0024653C">
            <w:pPr>
              <w:pStyle w:val="TableText"/>
              <w:keepLines/>
            </w:pPr>
            <w:r w:rsidRPr="00E44F3E">
              <w:t>Monotherapy</w:t>
            </w:r>
          </w:p>
        </w:tc>
        <w:tc>
          <w:tcPr>
            <w:tcW w:w="1929" w:type="dxa"/>
          </w:tcPr>
          <w:p w14:paraId="6FF233C2" w14:textId="77777777" w:rsidR="000A2B03" w:rsidRPr="00E44F3E" w:rsidRDefault="000A2B03" w:rsidP="0024653C">
            <w:pPr>
              <w:pStyle w:val="TableText"/>
              <w:keepLines/>
            </w:pPr>
            <w:r w:rsidRPr="00E44F3E">
              <w:t>Chronic myeloid leukaemia (CML)</w:t>
            </w:r>
          </w:p>
        </w:tc>
        <w:tc>
          <w:tcPr>
            <w:tcW w:w="2574" w:type="dxa"/>
          </w:tcPr>
          <w:p w14:paraId="39B88825" w14:textId="77777777" w:rsidR="000A2B03" w:rsidRPr="00E44F3E" w:rsidRDefault="000A2B03" w:rsidP="0024653C">
            <w:pPr>
              <w:pStyle w:val="TableText"/>
              <w:keepLines/>
            </w:pPr>
            <w:r w:rsidRPr="00E44F3E">
              <w:t xml:space="preserve">Philadelphia chromosome positive or with transcript BCR-ABL1 tyrosine kinase chronic myeloid leukaemia in chronic phase </w:t>
            </w:r>
            <w:r>
              <w:t>w</w:t>
            </w:r>
            <w:r w:rsidRPr="00E44F3E">
              <w:t>ith the T315I mutation</w:t>
            </w:r>
          </w:p>
        </w:tc>
        <w:tc>
          <w:tcPr>
            <w:tcW w:w="1380" w:type="dxa"/>
          </w:tcPr>
          <w:p w14:paraId="774BD838" w14:textId="77777777" w:rsidR="000A2B03" w:rsidRPr="00E44F3E" w:rsidRDefault="000A2B03" w:rsidP="0024653C">
            <w:pPr>
              <w:pStyle w:val="TableText"/>
              <w:keepLines/>
              <w:jc w:val="center"/>
            </w:pPr>
            <w:r w:rsidRPr="00E44F3E">
              <w:t>Oral</w:t>
            </w:r>
            <w:r>
              <w:t xml:space="preserve"> </w:t>
            </w:r>
            <w:r w:rsidRPr="00E44F3E">
              <w:t>tablet</w:t>
            </w:r>
          </w:p>
        </w:tc>
        <w:tc>
          <w:tcPr>
            <w:tcW w:w="1148" w:type="dxa"/>
          </w:tcPr>
          <w:p w14:paraId="33B2C1F3" w14:textId="77777777" w:rsidR="000A2B03" w:rsidRPr="00E44F3E" w:rsidRDefault="000A2B03" w:rsidP="0024653C">
            <w:pPr>
              <w:pStyle w:val="TableText"/>
              <w:keepLines/>
              <w:jc w:val="center"/>
            </w:pPr>
            <w:r w:rsidRPr="00E44F3E">
              <w:t>No</w:t>
            </w:r>
          </w:p>
        </w:tc>
        <w:tc>
          <w:tcPr>
            <w:tcW w:w="1741" w:type="dxa"/>
          </w:tcPr>
          <w:p w14:paraId="6BC74671" w14:textId="77777777" w:rsidR="000A2B03" w:rsidRPr="00E44F3E" w:rsidRDefault="000A2B03" w:rsidP="0024653C">
            <w:pPr>
              <w:pStyle w:val="TableText"/>
              <w:keepLines/>
              <w:jc w:val="center"/>
            </w:pPr>
            <w:r>
              <w:t xml:space="preserve">No application </w:t>
            </w:r>
          </w:p>
        </w:tc>
        <w:tc>
          <w:tcPr>
            <w:tcW w:w="727" w:type="dxa"/>
          </w:tcPr>
          <w:p w14:paraId="56E63B9C" w14:textId="77777777" w:rsidR="000A2B03" w:rsidRPr="00E44F3E" w:rsidRDefault="000A2B03" w:rsidP="0024653C">
            <w:pPr>
              <w:pStyle w:val="TableText"/>
              <w:keepLines/>
              <w:jc w:val="center"/>
            </w:pPr>
            <w:r w:rsidRPr="00E44F3E">
              <w:t>No</w:t>
            </w:r>
          </w:p>
        </w:tc>
      </w:tr>
      <w:tr w:rsidR="000A2B03" w:rsidRPr="00E44F3E" w14:paraId="56A965F9" w14:textId="77777777" w:rsidTr="0024653C">
        <w:trPr>
          <w:cantSplit/>
          <w:trHeight w:val="20"/>
        </w:trPr>
        <w:tc>
          <w:tcPr>
            <w:tcW w:w="923" w:type="dxa"/>
          </w:tcPr>
          <w:p w14:paraId="1291C8BF" w14:textId="77777777" w:rsidR="000A2B03" w:rsidRPr="00E44F3E" w:rsidRDefault="000A2B03" w:rsidP="0024653C">
            <w:pPr>
              <w:pStyle w:val="TableText"/>
              <w:keepLines/>
              <w:jc w:val="center"/>
            </w:pPr>
            <w:r w:rsidRPr="00E44F3E">
              <w:t>Not scorable</w:t>
            </w:r>
          </w:p>
        </w:tc>
        <w:tc>
          <w:tcPr>
            <w:tcW w:w="1569" w:type="dxa"/>
          </w:tcPr>
          <w:p w14:paraId="7DCEFE9B" w14:textId="77777777" w:rsidR="000A2B03" w:rsidRPr="00E44F3E" w:rsidRDefault="000A2B03" w:rsidP="0024653C">
            <w:pPr>
              <w:pStyle w:val="TableText"/>
              <w:keepLines/>
            </w:pPr>
            <w:r w:rsidRPr="00E44F3E">
              <w:t>Azacitidine</w:t>
            </w:r>
          </w:p>
        </w:tc>
        <w:tc>
          <w:tcPr>
            <w:tcW w:w="2007" w:type="dxa"/>
          </w:tcPr>
          <w:p w14:paraId="090A7B7F" w14:textId="77777777" w:rsidR="000A2B03" w:rsidRPr="00E44F3E" w:rsidRDefault="000A2B03" w:rsidP="0024653C">
            <w:pPr>
              <w:pStyle w:val="TableText"/>
              <w:keepLines/>
            </w:pPr>
            <w:r w:rsidRPr="00E44F3E">
              <w:t>Monotherapy</w:t>
            </w:r>
          </w:p>
        </w:tc>
        <w:tc>
          <w:tcPr>
            <w:tcW w:w="1929" w:type="dxa"/>
          </w:tcPr>
          <w:p w14:paraId="72305BEC" w14:textId="77777777" w:rsidR="000A2B03" w:rsidRPr="00E44F3E" w:rsidRDefault="000A2B03" w:rsidP="0024653C">
            <w:pPr>
              <w:pStyle w:val="TableText"/>
              <w:keepLines/>
            </w:pPr>
            <w:r w:rsidRPr="00E44F3E">
              <w:t>Acute myeloid leukaemia (AML)</w:t>
            </w:r>
          </w:p>
        </w:tc>
        <w:tc>
          <w:tcPr>
            <w:tcW w:w="2574" w:type="dxa"/>
          </w:tcPr>
          <w:p w14:paraId="4443740E" w14:textId="77777777" w:rsidR="000A2B03" w:rsidRPr="00E44F3E" w:rsidRDefault="000A2B03" w:rsidP="0024653C">
            <w:pPr>
              <w:pStyle w:val="TableText"/>
              <w:keepLines/>
            </w:pPr>
            <w:r w:rsidRPr="00E44F3E">
              <w:t xml:space="preserve">Intermediate or poor risk at diagnosis. Treatment follows intensive induction chemotherapy, with complete remission, in patients who have not undergone or are not proceeding to allogeneic </w:t>
            </w:r>
            <w:r w:rsidRPr="0011385C">
              <w:t>haematopoietic</w:t>
            </w:r>
            <w:r w:rsidRPr="00E44F3E">
              <w:t xml:space="preserve"> stem cell transplant</w:t>
            </w:r>
          </w:p>
        </w:tc>
        <w:tc>
          <w:tcPr>
            <w:tcW w:w="1380" w:type="dxa"/>
          </w:tcPr>
          <w:p w14:paraId="6AC818B9" w14:textId="77777777" w:rsidR="000A2B03" w:rsidRPr="00E44F3E" w:rsidRDefault="000A2B03" w:rsidP="0024653C">
            <w:pPr>
              <w:pStyle w:val="TableText"/>
              <w:keepLines/>
              <w:jc w:val="center"/>
            </w:pPr>
            <w:r w:rsidRPr="00E44F3E">
              <w:t>Oral tablet</w:t>
            </w:r>
          </w:p>
        </w:tc>
        <w:tc>
          <w:tcPr>
            <w:tcW w:w="1148" w:type="dxa"/>
          </w:tcPr>
          <w:p w14:paraId="196950AB" w14:textId="77777777" w:rsidR="000A2B03" w:rsidRPr="00E44F3E" w:rsidRDefault="000A2B03" w:rsidP="0024653C">
            <w:pPr>
              <w:pStyle w:val="TableText"/>
              <w:keepLines/>
              <w:jc w:val="center"/>
            </w:pPr>
            <w:r w:rsidRPr="00E44F3E">
              <w:t>Yes</w:t>
            </w:r>
          </w:p>
        </w:tc>
        <w:tc>
          <w:tcPr>
            <w:tcW w:w="1741" w:type="dxa"/>
          </w:tcPr>
          <w:p w14:paraId="7848737B" w14:textId="77777777" w:rsidR="000A2B03" w:rsidRPr="00E44F3E" w:rsidRDefault="000A2B03" w:rsidP="0024653C">
            <w:pPr>
              <w:pStyle w:val="TableText"/>
              <w:keepLines/>
              <w:jc w:val="center"/>
            </w:pPr>
            <w:r w:rsidRPr="00E44F3E">
              <w:t>No application</w:t>
            </w:r>
          </w:p>
        </w:tc>
        <w:tc>
          <w:tcPr>
            <w:tcW w:w="727" w:type="dxa"/>
          </w:tcPr>
          <w:p w14:paraId="0E831AD7" w14:textId="77777777" w:rsidR="000A2B03" w:rsidRPr="00E44F3E" w:rsidRDefault="000A2B03" w:rsidP="0024653C">
            <w:pPr>
              <w:pStyle w:val="TableText"/>
              <w:keepLines/>
              <w:jc w:val="center"/>
            </w:pPr>
            <w:r w:rsidRPr="00E44F3E">
              <w:t>No</w:t>
            </w:r>
          </w:p>
        </w:tc>
      </w:tr>
      <w:tr w:rsidR="000A2B03" w:rsidRPr="00E44F3E" w14:paraId="65DE0CA3" w14:textId="77777777" w:rsidTr="0024653C">
        <w:trPr>
          <w:cantSplit/>
          <w:trHeight w:val="20"/>
        </w:trPr>
        <w:tc>
          <w:tcPr>
            <w:tcW w:w="923" w:type="dxa"/>
          </w:tcPr>
          <w:p w14:paraId="3BB9E051" w14:textId="77777777" w:rsidR="000A2B03" w:rsidRPr="00E44F3E" w:rsidRDefault="000A2B03" w:rsidP="0024653C">
            <w:pPr>
              <w:pStyle w:val="TableText"/>
              <w:keepLines/>
              <w:jc w:val="center"/>
            </w:pPr>
            <w:r w:rsidRPr="00E44F3E">
              <w:t>Not scorable</w:t>
            </w:r>
          </w:p>
        </w:tc>
        <w:tc>
          <w:tcPr>
            <w:tcW w:w="1569" w:type="dxa"/>
          </w:tcPr>
          <w:p w14:paraId="64DF5B9D" w14:textId="77777777" w:rsidR="000A2B03" w:rsidRPr="00E44F3E" w:rsidRDefault="000A2B03" w:rsidP="0024653C">
            <w:pPr>
              <w:pStyle w:val="TableText"/>
              <w:keepLines/>
            </w:pPr>
            <w:r w:rsidRPr="00E44F3E">
              <w:t xml:space="preserve">Decitabine with </w:t>
            </w:r>
            <w:proofErr w:type="spellStart"/>
            <w:r w:rsidRPr="00E44F3E">
              <w:t>cedazuridine</w:t>
            </w:r>
            <w:proofErr w:type="spellEnd"/>
          </w:p>
        </w:tc>
        <w:tc>
          <w:tcPr>
            <w:tcW w:w="2007" w:type="dxa"/>
          </w:tcPr>
          <w:p w14:paraId="67CA8E38" w14:textId="77777777" w:rsidR="000A2B03" w:rsidRPr="00E44F3E" w:rsidRDefault="000A2B03" w:rsidP="0024653C">
            <w:pPr>
              <w:pStyle w:val="TableText"/>
              <w:keepLines/>
            </w:pPr>
            <w:r w:rsidRPr="00E44F3E">
              <w:t>Not specified</w:t>
            </w:r>
          </w:p>
        </w:tc>
        <w:tc>
          <w:tcPr>
            <w:tcW w:w="1929" w:type="dxa"/>
          </w:tcPr>
          <w:p w14:paraId="60BEE1AB" w14:textId="77777777" w:rsidR="000A2B03" w:rsidRPr="00E44F3E" w:rsidRDefault="000A2B03" w:rsidP="0024653C">
            <w:pPr>
              <w:pStyle w:val="TableText"/>
              <w:keepLines/>
            </w:pPr>
            <w:r w:rsidRPr="00E44F3E">
              <w:t>Acute myeloid leukaemia (AML)</w:t>
            </w:r>
          </w:p>
        </w:tc>
        <w:tc>
          <w:tcPr>
            <w:tcW w:w="2574" w:type="dxa"/>
          </w:tcPr>
          <w:p w14:paraId="15E44978" w14:textId="77777777" w:rsidR="000A2B03" w:rsidRPr="00E44F3E" w:rsidRDefault="000A2B03" w:rsidP="0024653C">
            <w:pPr>
              <w:pStyle w:val="TableText"/>
              <w:keepLines/>
            </w:pPr>
            <w:r w:rsidRPr="00E44F3E">
              <w:t>With 20%</w:t>
            </w:r>
            <w:r>
              <w:t>–</w:t>
            </w:r>
            <w:r w:rsidRPr="00E44F3E">
              <w:t>30% marrow blasts and multi-lineage dysplasia</w:t>
            </w:r>
          </w:p>
        </w:tc>
        <w:tc>
          <w:tcPr>
            <w:tcW w:w="1380" w:type="dxa"/>
          </w:tcPr>
          <w:p w14:paraId="71E34D18" w14:textId="77777777" w:rsidR="000A2B03" w:rsidRPr="00E44F3E" w:rsidRDefault="000A2B03" w:rsidP="0024653C">
            <w:pPr>
              <w:pStyle w:val="TableText"/>
              <w:keepLines/>
              <w:jc w:val="center"/>
            </w:pPr>
            <w:r w:rsidRPr="00E44F3E">
              <w:t>Oral tablet</w:t>
            </w:r>
          </w:p>
        </w:tc>
        <w:tc>
          <w:tcPr>
            <w:tcW w:w="1148" w:type="dxa"/>
          </w:tcPr>
          <w:p w14:paraId="38117D04" w14:textId="77777777" w:rsidR="000A2B03" w:rsidRPr="00E44F3E" w:rsidRDefault="000A2B03" w:rsidP="0024653C">
            <w:pPr>
              <w:pStyle w:val="TableText"/>
              <w:keepLines/>
              <w:jc w:val="center"/>
            </w:pPr>
            <w:r w:rsidRPr="00E44F3E">
              <w:t>No</w:t>
            </w:r>
          </w:p>
        </w:tc>
        <w:tc>
          <w:tcPr>
            <w:tcW w:w="1741" w:type="dxa"/>
          </w:tcPr>
          <w:p w14:paraId="11F5E07E" w14:textId="77777777" w:rsidR="000A2B03" w:rsidRPr="00E44F3E" w:rsidRDefault="000A2B03" w:rsidP="0024653C">
            <w:pPr>
              <w:pStyle w:val="TableText"/>
              <w:keepLines/>
              <w:jc w:val="center"/>
            </w:pPr>
            <w:r w:rsidRPr="00E44F3E">
              <w:t>No application</w:t>
            </w:r>
          </w:p>
        </w:tc>
        <w:tc>
          <w:tcPr>
            <w:tcW w:w="727" w:type="dxa"/>
          </w:tcPr>
          <w:p w14:paraId="20B1F3AE" w14:textId="77777777" w:rsidR="000A2B03" w:rsidRPr="00E44F3E" w:rsidRDefault="000A2B03" w:rsidP="0024653C">
            <w:pPr>
              <w:pStyle w:val="TableText"/>
              <w:keepLines/>
              <w:jc w:val="center"/>
            </w:pPr>
            <w:r w:rsidRPr="00E44F3E">
              <w:t>No</w:t>
            </w:r>
          </w:p>
        </w:tc>
      </w:tr>
      <w:tr w:rsidR="000A2B03" w:rsidRPr="00E44F3E" w14:paraId="376619F0" w14:textId="77777777" w:rsidTr="0024653C">
        <w:trPr>
          <w:cantSplit/>
          <w:trHeight w:val="20"/>
        </w:trPr>
        <w:tc>
          <w:tcPr>
            <w:tcW w:w="923" w:type="dxa"/>
          </w:tcPr>
          <w:p w14:paraId="1297AC6C" w14:textId="77777777" w:rsidR="000A2B03" w:rsidRPr="00E44F3E" w:rsidRDefault="000A2B03" w:rsidP="0024653C">
            <w:pPr>
              <w:pStyle w:val="TableText"/>
              <w:keepLines/>
              <w:jc w:val="center"/>
            </w:pPr>
            <w:r w:rsidRPr="00E44F3E">
              <w:t>Not scorable</w:t>
            </w:r>
          </w:p>
        </w:tc>
        <w:tc>
          <w:tcPr>
            <w:tcW w:w="1569" w:type="dxa"/>
          </w:tcPr>
          <w:p w14:paraId="5FBE7197" w14:textId="77777777" w:rsidR="000A2B03" w:rsidRPr="00E44F3E" w:rsidRDefault="000A2B03" w:rsidP="0024653C">
            <w:pPr>
              <w:pStyle w:val="TableText"/>
              <w:keepLines/>
            </w:pPr>
            <w:r w:rsidRPr="00E44F3E">
              <w:t xml:space="preserve">Decitabine with </w:t>
            </w:r>
            <w:proofErr w:type="spellStart"/>
            <w:r w:rsidRPr="00E44F3E">
              <w:t>cedazuridine</w:t>
            </w:r>
            <w:proofErr w:type="spellEnd"/>
          </w:p>
        </w:tc>
        <w:tc>
          <w:tcPr>
            <w:tcW w:w="2007" w:type="dxa"/>
          </w:tcPr>
          <w:p w14:paraId="28189D33" w14:textId="77777777" w:rsidR="000A2B03" w:rsidRPr="00E44F3E" w:rsidRDefault="000A2B03" w:rsidP="0024653C">
            <w:pPr>
              <w:pStyle w:val="TableText"/>
              <w:keepLines/>
            </w:pPr>
            <w:r w:rsidRPr="00E44F3E">
              <w:t>Not specified</w:t>
            </w:r>
          </w:p>
        </w:tc>
        <w:tc>
          <w:tcPr>
            <w:tcW w:w="1929" w:type="dxa"/>
          </w:tcPr>
          <w:p w14:paraId="53538438" w14:textId="77777777" w:rsidR="000A2B03" w:rsidRPr="00E44F3E" w:rsidRDefault="000A2B03" w:rsidP="0024653C">
            <w:pPr>
              <w:pStyle w:val="TableText"/>
              <w:keepLines/>
            </w:pPr>
            <w:r w:rsidRPr="00E44F3E">
              <w:t>Chronic myelomonocytic leukaemia (CMML)</w:t>
            </w:r>
          </w:p>
        </w:tc>
        <w:tc>
          <w:tcPr>
            <w:tcW w:w="2574" w:type="dxa"/>
          </w:tcPr>
          <w:p w14:paraId="46043840" w14:textId="77777777" w:rsidR="000A2B03" w:rsidRPr="00E44F3E" w:rsidRDefault="000A2B03" w:rsidP="0024653C">
            <w:pPr>
              <w:pStyle w:val="TableText"/>
              <w:keepLines/>
            </w:pPr>
            <w:r w:rsidRPr="00E44F3E">
              <w:t>With 10%</w:t>
            </w:r>
            <w:r>
              <w:t>–</w:t>
            </w:r>
            <w:r w:rsidRPr="00E44F3E">
              <w:t>29% marrow blasts without myeloproliferative disorder</w:t>
            </w:r>
            <w:r w:rsidRPr="00E44F3E" w:rsidDel="00E238B3">
              <w:t xml:space="preserve"> </w:t>
            </w:r>
          </w:p>
        </w:tc>
        <w:tc>
          <w:tcPr>
            <w:tcW w:w="1380" w:type="dxa"/>
          </w:tcPr>
          <w:p w14:paraId="2AEEDC46" w14:textId="77777777" w:rsidR="000A2B03" w:rsidRPr="00E44F3E" w:rsidRDefault="000A2B03" w:rsidP="0024653C">
            <w:pPr>
              <w:pStyle w:val="TableText"/>
              <w:keepLines/>
              <w:jc w:val="center"/>
            </w:pPr>
            <w:r w:rsidRPr="00E44F3E">
              <w:t>Oral tablet</w:t>
            </w:r>
          </w:p>
        </w:tc>
        <w:tc>
          <w:tcPr>
            <w:tcW w:w="1148" w:type="dxa"/>
          </w:tcPr>
          <w:p w14:paraId="288527EC" w14:textId="77777777" w:rsidR="000A2B03" w:rsidRPr="00E44F3E" w:rsidRDefault="000A2B03" w:rsidP="0024653C">
            <w:pPr>
              <w:pStyle w:val="TableText"/>
              <w:keepLines/>
              <w:jc w:val="center"/>
            </w:pPr>
            <w:r w:rsidRPr="00E44F3E">
              <w:t>No</w:t>
            </w:r>
          </w:p>
        </w:tc>
        <w:tc>
          <w:tcPr>
            <w:tcW w:w="1741" w:type="dxa"/>
          </w:tcPr>
          <w:p w14:paraId="17594EF2" w14:textId="77777777" w:rsidR="000A2B03" w:rsidRPr="00E44F3E" w:rsidRDefault="000A2B03" w:rsidP="0024653C">
            <w:pPr>
              <w:pStyle w:val="TableText"/>
              <w:keepLines/>
              <w:jc w:val="center"/>
            </w:pPr>
            <w:r w:rsidRPr="00E44F3E">
              <w:t>No application</w:t>
            </w:r>
          </w:p>
        </w:tc>
        <w:tc>
          <w:tcPr>
            <w:tcW w:w="727" w:type="dxa"/>
          </w:tcPr>
          <w:p w14:paraId="583654F5" w14:textId="77777777" w:rsidR="000A2B03" w:rsidRPr="00E44F3E" w:rsidRDefault="000A2B03" w:rsidP="0024653C">
            <w:pPr>
              <w:pStyle w:val="TableText"/>
              <w:keepLines/>
              <w:jc w:val="center"/>
            </w:pPr>
            <w:r w:rsidRPr="00E44F3E">
              <w:t>No</w:t>
            </w:r>
          </w:p>
        </w:tc>
      </w:tr>
      <w:tr w:rsidR="000A2B03" w:rsidRPr="00E44F3E" w14:paraId="3A703296" w14:textId="77777777" w:rsidTr="0024653C">
        <w:trPr>
          <w:cantSplit/>
          <w:trHeight w:val="20"/>
        </w:trPr>
        <w:tc>
          <w:tcPr>
            <w:tcW w:w="923" w:type="dxa"/>
          </w:tcPr>
          <w:p w14:paraId="62FDEB58" w14:textId="77777777" w:rsidR="000A2B03" w:rsidRPr="00E44F3E" w:rsidRDefault="000A2B03" w:rsidP="0024653C">
            <w:pPr>
              <w:pStyle w:val="TableText"/>
              <w:keepLines/>
              <w:jc w:val="center"/>
            </w:pPr>
            <w:r w:rsidRPr="00E44F3E">
              <w:t>Not scorable</w:t>
            </w:r>
          </w:p>
        </w:tc>
        <w:tc>
          <w:tcPr>
            <w:tcW w:w="1569" w:type="dxa"/>
          </w:tcPr>
          <w:p w14:paraId="423A8308" w14:textId="77777777" w:rsidR="000A2B03" w:rsidRPr="00E44F3E" w:rsidRDefault="000A2B03" w:rsidP="0024653C">
            <w:pPr>
              <w:pStyle w:val="TableText"/>
              <w:keepLines/>
            </w:pPr>
            <w:r w:rsidRPr="00E44F3E">
              <w:t xml:space="preserve">Decitabine with </w:t>
            </w:r>
            <w:proofErr w:type="spellStart"/>
            <w:r w:rsidRPr="00E44F3E">
              <w:t>cedazuridine</w:t>
            </w:r>
            <w:proofErr w:type="spellEnd"/>
          </w:p>
        </w:tc>
        <w:tc>
          <w:tcPr>
            <w:tcW w:w="2007" w:type="dxa"/>
          </w:tcPr>
          <w:p w14:paraId="59C1B19B" w14:textId="77777777" w:rsidR="000A2B03" w:rsidRPr="00E44F3E" w:rsidRDefault="000A2B03" w:rsidP="0024653C">
            <w:pPr>
              <w:pStyle w:val="TableText"/>
              <w:keepLines/>
            </w:pPr>
            <w:r w:rsidRPr="00E44F3E">
              <w:t>Not specified</w:t>
            </w:r>
          </w:p>
        </w:tc>
        <w:tc>
          <w:tcPr>
            <w:tcW w:w="1929" w:type="dxa"/>
          </w:tcPr>
          <w:p w14:paraId="76C77021" w14:textId="77777777" w:rsidR="000A2B03" w:rsidRPr="00E44F3E" w:rsidRDefault="000A2B03" w:rsidP="0024653C">
            <w:pPr>
              <w:pStyle w:val="TableText"/>
              <w:keepLines/>
            </w:pPr>
            <w:r w:rsidRPr="00E44F3E">
              <w:t>Myelodysplastic syndrome</w:t>
            </w:r>
          </w:p>
        </w:tc>
        <w:tc>
          <w:tcPr>
            <w:tcW w:w="2574" w:type="dxa"/>
          </w:tcPr>
          <w:p w14:paraId="5C25A69C" w14:textId="77777777" w:rsidR="000A2B03" w:rsidRPr="00E44F3E" w:rsidRDefault="000A2B03" w:rsidP="0024653C">
            <w:pPr>
              <w:pStyle w:val="TableText"/>
              <w:keepLines/>
            </w:pPr>
            <w:r w:rsidRPr="00E44F3E">
              <w:t xml:space="preserve">Intermediate-2 or high risk 20% marrow blasts </w:t>
            </w:r>
          </w:p>
        </w:tc>
        <w:tc>
          <w:tcPr>
            <w:tcW w:w="1380" w:type="dxa"/>
          </w:tcPr>
          <w:p w14:paraId="2B759BFE" w14:textId="77777777" w:rsidR="000A2B03" w:rsidRPr="00E44F3E" w:rsidRDefault="000A2B03" w:rsidP="0024653C">
            <w:pPr>
              <w:pStyle w:val="TableText"/>
              <w:keepLines/>
              <w:jc w:val="center"/>
            </w:pPr>
            <w:r w:rsidRPr="00E44F3E">
              <w:t>Oral tablet</w:t>
            </w:r>
          </w:p>
        </w:tc>
        <w:tc>
          <w:tcPr>
            <w:tcW w:w="1148" w:type="dxa"/>
          </w:tcPr>
          <w:p w14:paraId="59EE39A3" w14:textId="77777777" w:rsidR="000A2B03" w:rsidRPr="00E44F3E" w:rsidRDefault="000A2B03" w:rsidP="0024653C">
            <w:pPr>
              <w:pStyle w:val="TableText"/>
              <w:keepLines/>
              <w:jc w:val="center"/>
            </w:pPr>
            <w:r w:rsidRPr="00E44F3E">
              <w:t>No</w:t>
            </w:r>
          </w:p>
        </w:tc>
        <w:tc>
          <w:tcPr>
            <w:tcW w:w="1741" w:type="dxa"/>
          </w:tcPr>
          <w:p w14:paraId="2325FE4E" w14:textId="77777777" w:rsidR="000A2B03" w:rsidRPr="00E44F3E" w:rsidRDefault="000A2B03" w:rsidP="0024653C">
            <w:pPr>
              <w:pStyle w:val="TableText"/>
              <w:keepLines/>
              <w:jc w:val="center"/>
            </w:pPr>
            <w:r w:rsidRPr="00E44F3E">
              <w:t xml:space="preserve">No </w:t>
            </w:r>
            <w:r>
              <w:t>a</w:t>
            </w:r>
            <w:r w:rsidRPr="00E44F3E">
              <w:t>pplication</w:t>
            </w:r>
          </w:p>
        </w:tc>
        <w:tc>
          <w:tcPr>
            <w:tcW w:w="727" w:type="dxa"/>
          </w:tcPr>
          <w:p w14:paraId="0399B2E2" w14:textId="77777777" w:rsidR="000A2B03" w:rsidRPr="00E44F3E" w:rsidRDefault="000A2B03" w:rsidP="0024653C">
            <w:pPr>
              <w:pStyle w:val="TableText"/>
              <w:keepLines/>
              <w:jc w:val="center"/>
            </w:pPr>
            <w:r w:rsidRPr="00E44F3E">
              <w:t>No</w:t>
            </w:r>
          </w:p>
        </w:tc>
      </w:tr>
      <w:tr w:rsidR="000A2B03" w:rsidRPr="00E44F3E" w14:paraId="7E04524B" w14:textId="77777777" w:rsidTr="0024653C">
        <w:trPr>
          <w:cantSplit/>
          <w:trHeight w:val="20"/>
        </w:trPr>
        <w:tc>
          <w:tcPr>
            <w:tcW w:w="923" w:type="dxa"/>
          </w:tcPr>
          <w:p w14:paraId="7D517DF4" w14:textId="77777777" w:rsidR="000A2B03" w:rsidRPr="00E44F3E" w:rsidRDefault="000A2B03" w:rsidP="0024653C">
            <w:pPr>
              <w:pStyle w:val="TableText"/>
              <w:keepLines/>
              <w:jc w:val="center"/>
            </w:pPr>
            <w:r w:rsidRPr="00E44F3E">
              <w:t>Not scorable</w:t>
            </w:r>
          </w:p>
        </w:tc>
        <w:tc>
          <w:tcPr>
            <w:tcW w:w="1569" w:type="dxa"/>
          </w:tcPr>
          <w:p w14:paraId="3A59F533" w14:textId="77777777" w:rsidR="000A2B03" w:rsidRPr="00E44F3E" w:rsidRDefault="000A2B03" w:rsidP="0024653C">
            <w:pPr>
              <w:pStyle w:val="TableText"/>
              <w:keepLines/>
            </w:pPr>
            <w:r w:rsidRPr="00E44F3E">
              <w:t>Zanubrutinib</w:t>
            </w:r>
          </w:p>
        </w:tc>
        <w:tc>
          <w:tcPr>
            <w:tcW w:w="2007" w:type="dxa"/>
          </w:tcPr>
          <w:p w14:paraId="28206D3C" w14:textId="77777777" w:rsidR="000A2B03" w:rsidRPr="00E44F3E" w:rsidRDefault="000A2B03" w:rsidP="0024653C">
            <w:pPr>
              <w:pStyle w:val="TableText"/>
              <w:keepLines/>
            </w:pPr>
            <w:r w:rsidRPr="00E44F3E">
              <w:t>Monotherapy</w:t>
            </w:r>
          </w:p>
        </w:tc>
        <w:tc>
          <w:tcPr>
            <w:tcW w:w="1929" w:type="dxa"/>
          </w:tcPr>
          <w:p w14:paraId="7F0B6A1D" w14:textId="77777777" w:rsidR="000A2B03" w:rsidRPr="00E44F3E" w:rsidRDefault="000A2B03" w:rsidP="0024653C">
            <w:pPr>
              <w:pStyle w:val="TableText"/>
              <w:keepLines/>
            </w:pPr>
            <w:r w:rsidRPr="00E44F3E">
              <w:t>Waldenstrom macroglobulinaemia</w:t>
            </w:r>
          </w:p>
        </w:tc>
        <w:tc>
          <w:tcPr>
            <w:tcW w:w="2574" w:type="dxa"/>
          </w:tcPr>
          <w:p w14:paraId="73F2DA23" w14:textId="77777777" w:rsidR="000A2B03" w:rsidRPr="00E44F3E" w:rsidRDefault="000A2B03" w:rsidP="0024653C">
            <w:pPr>
              <w:pStyle w:val="TableText"/>
              <w:keepLines/>
            </w:pPr>
            <w:r w:rsidRPr="00E44F3E">
              <w:t>Relapsed or be refractory to at least one prior chemo-immunotherapy or be unsuitable for treatment with chemo-immunotherapy</w:t>
            </w:r>
          </w:p>
        </w:tc>
        <w:tc>
          <w:tcPr>
            <w:tcW w:w="1380" w:type="dxa"/>
          </w:tcPr>
          <w:p w14:paraId="46A75771" w14:textId="77777777" w:rsidR="000A2B03" w:rsidRPr="00E44F3E" w:rsidRDefault="000A2B03" w:rsidP="0024653C">
            <w:pPr>
              <w:pStyle w:val="TableText"/>
              <w:keepLines/>
              <w:jc w:val="center"/>
            </w:pPr>
            <w:r w:rsidRPr="00E44F3E">
              <w:t>Oral capsule</w:t>
            </w:r>
          </w:p>
        </w:tc>
        <w:tc>
          <w:tcPr>
            <w:tcW w:w="1148" w:type="dxa"/>
          </w:tcPr>
          <w:p w14:paraId="1CD26517" w14:textId="77777777" w:rsidR="000A2B03" w:rsidRPr="00E44F3E" w:rsidRDefault="000A2B03" w:rsidP="0024653C">
            <w:pPr>
              <w:pStyle w:val="TableText"/>
              <w:keepLines/>
              <w:jc w:val="center"/>
            </w:pPr>
            <w:r w:rsidRPr="00E44F3E">
              <w:t>No</w:t>
            </w:r>
          </w:p>
        </w:tc>
        <w:tc>
          <w:tcPr>
            <w:tcW w:w="1741" w:type="dxa"/>
          </w:tcPr>
          <w:p w14:paraId="4E7CF16E" w14:textId="77777777" w:rsidR="000A2B03" w:rsidRPr="00E44F3E" w:rsidRDefault="000A2B03" w:rsidP="0024653C">
            <w:pPr>
              <w:pStyle w:val="TableText"/>
              <w:keepLines/>
              <w:jc w:val="center"/>
            </w:pPr>
            <w:r w:rsidRPr="00E44F3E">
              <w:t xml:space="preserve">Under </w:t>
            </w:r>
            <w:r>
              <w:t>a</w:t>
            </w:r>
            <w:r w:rsidRPr="00E44F3E">
              <w:t>ssessment</w:t>
            </w:r>
          </w:p>
        </w:tc>
        <w:tc>
          <w:tcPr>
            <w:tcW w:w="727" w:type="dxa"/>
          </w:tcPr>
          <w:p w14:paraId="2A46ED24" w14:textId="77777777" w:rsidR="000A2B03" w:rsidRPr="00E44F3E" w:rsidRDefault="000A2B03" w:rsidP="0024653C">
            <w:pPr>
              <w:pStyle w:val="TableText"/>
              <w:keepLines/>
              <w:jc w:val="center"/>
            </w:pPr>
            <w:r w:rsidRPr="00E44F3E">
              <w:t>No</w:t>
            </w:r>
          </w:p>
        </w:tc>
      </w:tr>
    </w:tbl>
    <w:p w14:paraId="0734EB06" w14:textId="2F70707D" w:rsidR="0094256A" w:rsidRPr="00E44F3E" w:rsidRDefault="0094256A" w:rsidP="0094256A">
      <w:pPr>
        <w:pStyle w:val="Note"/>
        <w:ind w:left="0" w:firstLine="0"/>
      </w:pPr>
      <w:r w:rsidRPr="00E44F3E">
        <w:lastRenderedPageBreak/>
        <w:t xml:space="preserve">Definitions: </w:t>
      </w:r>
      <w:r w:rsidR="00C84A6A">
        <w:t>‘</w:t>
      </w:r>
      <w:r w:rsidRPr="00E44F3E">
        <w:t>Monotherapy</w:t>
      </w:r>
      <w:r w:rsidR="00C84A6A">
        <w:t>’</w:t>
      </w:r>
      <w:r w:rsidRPr="00E44F3E">
        <w:t xml:space="preserve"> means the medicines are taken by themselves</w:t>
      </w:r>
      <w:r w:rsidR="002E6211">
        <w:t>;</w:t>
      </w:r>
      <w:r w:rsidRPr="00E44F3E">
        <w:t xml:space="preserve"> </w:t>
      </w:r>
      <w:r w:rsidR="00C84A6A">
        <w:t>‘</w:t>
      </w:r>
      <w:r w:rsidRPr="00E44F3E">
        <w:t>NEB</w:t>
      </w:r>
      <w:r w:rsidR="00C84A6A">
        <w:t>’</w:t>
      </w:r>
      <w:r w:rsidRPr="00E44F3E">
        <w:t xml:space="preserve"> means no evaluable benefit</w:t>
      </w:r>
      <w:r w:rsidR="002E6211">
        <w:t>;</w:t>
      </w:r>
      <w:r w:rsidRPr="00E44F3E">
        <w:t xml:space="preserve"> </w:t>
      </w:r>
      <w:r w:rsidR="002E6211">
        <w:t>‘</w:t>
      </w:r>
      <w:r w:rsidRPr="00E44F3E">
        <w:t>Not scoreable</w:t>
      </w:r>
      <w:r w:rsidR="002E6211">
        <w:t>’</w:t>
      </w:r>
      <w:r w:rsidRPr="00E44F3E">
        <w:t xml:space="preserve"> primarily indicates clinical trials with outcomes that cannot be assessed using the ESMO-MCBS:H.</w:t>
      </w:r>
    </w:p>
    <w:p w14:paraId="20C2D011" w14:textId="7715C063" w:rsidR="00D0264D" w:rsidRPr="00E44F3E" w:rsidRDefault="0093461B" w:rsidP="00EB0A8D">
      <w:pPr>
        <w:pStyle w:val="Note"/>
      </w:pPr>
      <w:r w:rsidRPr="0035534F">
        <w:t>*</w:t>
      </w:r>
      <w:r w:rsidR="009D3974" w:rsidRPr="00E44F3E">
        <w:rPr>
          <w:vertAlign w:val="superscript"/>
        </w:rPr>
        <w:tab/>
      </w:r>
      <w:r w:rsidR="00D0264D" w:rsidRPr="00E44F3E">
        <w:t xml:space="preserve">Status as of May 2024. The status of medicine applications at Pharmac is constantly being progressed and updated. Please </w:t>
      </w:r>
      <w:r w:rsidR="00D0264D" w:rsidRPr="0023062D">
        <w:t xml:space="preserve">refer to </w:t>
      </w:r>
      <w:proofErr w:type="spellStart"/>
      <w:r w:rsidR="00D0264D" w:rsidRPr="0035534F">
        <w:t>Pharmac’s</w:t>
      </w:r>
      <w:proofErr w:type="spellEnd"/>
      <w:r w:rsidR="00D0264D" w:rsidRPr="0035534F">
        <w:t xml:space="preserve"> Application Tracker</w:t>
      </w:r>
      <w:r w:rsidR="00D0264D" w:rsidRPr="0023062D">
        <w:t xml:space="preserve"> for u</w:t>
      </w:r>
      <w:r w:rsidR="00D0264D" w:rsidRPr="00E44F3E">
        <w:t>p-to-date information on a medicine application</w:t>
      </w:r>
      <w:r w:rsidR="0023062D">
        <w:t xml:space="preserve"> (</w:t>
      </w:r>
      <w:hyperlink r:id="rId79" w:history="1">
        <w:r w:rsidR="0023062D" w:rsidRPr="0023062D">
          <w:rPr>
            <w:rStyle w:val="Hyperlink"/>
          </w:rPr>
          <w:t>connect.pharmac.govt.nz/</w:t>
        </w:r>
        <w:proofErr w:type="spellStart"/>
        <w:r w:rsidR="0023062D" w:rsidRPr="0023062D">
          <w:rPr>
            <w:rStyle w:val="Hyperlink"/>
          </w:rPr>
          <w:t>apptracker</w:t>
        </w:r>
        <w:proofErr w:type="spellEnd"/>
        <w:r w:rsidR="0023062D" w:rsidRPr="0023062D">
          <w:rPr>
            <w:rStyle w:val="Hyperlink"/>
          </w:rPr>
          <w:t>/s</w:t>
        </w:r>
      </w:hyperlink>
      <w:r w:rsidR="0023062D">
        <w:t>)</w:t>
      </w:r>
      <w:r w:rsidR="00D0264D" w:rsidRPr="00E44F3E">
        <w:t>.</w:t>
      </w:r>
    </w:p>
    <w:p w14:paraId="7246AC0A" w14:textId="141A675F" w:rsidR="00D0264D" w:rsidRPr="00251BB9" w:rsidRDefault="006A3694" w:rsidP="00EB0A8D">
      <w:pPr>
        <w:pStyle w:val="Note"/>
      </w:pPr>
      <w:r>
        <w:t>†</w:t>
      </w:r>
      <w:r w:rsidR="009D3974" w:rsidRPr="00251BB9">
        <w:rPr>
          <w:rFonts w:ascii="Calibri" w:hAnsi="Calibri" w:cs="Calibri"/>
        </w:rPr>
        <w:tab/>
      </w:r>
      <w:r w:rsidR="00D0264D" w:rsidRPr="00251BB9">
        <w:t xml:space="preserve">Medicines that are part of the </w:t>
      </w:r>
      <w:r w:rsidR="00D70A96" w:rsidRPr="00251BB9">
        <w:t>Bruton</w:t>
      </w:r>
      <w:r w:rsidR="00D70A96">
        <w:t>’s</w:t>
      </w:r>
      <w:r w:rsidR="00D0264D" w:rsidRPr="00251BB9">
        <w:t xml:space="preserve"> tyrosine kinase (BTK) inhibitors medicine class – only one medicine from the medicine classes would need to be funded to close the identified gap. </w:t>
      </w:r>
      <w:r w:rsidR="0098396C">
        <w:t xml:space="preserve">The </w:t>
      </w:r>
      <w:r w:rsidR="00D0264D" w:rsidRPr="00251BB9">
        <w:t>ESMO-MCBS:H score reflects the highest score of the medicines scored in the class. Differences in ESMO-MCBS:H score are likely due to differences in trial design, follow-up periods and available data.</w:t>
      </w:r>
    </w:p>
    <w:p w14:paraId="2D01BF9D" w14:textId="4DE92E9E" w:rsidR="008B3EEA" w:rsidRPr="00251BB9" w:rsidRDefault="008B3EEA" w:rsidP="008B3EEA">
      <w:pPr>
        <w:pStyle w:val="Note"/>
      </w:pPr>
      <w:r w:rsidRPr="008B3EEA">
        <w:t>‡</w:t>
      </w:r>
      <w:r w:rsidRPr="00251BB9">
        <w:tab/>
        <w:t>Represents a regimen</w:t>
      </w:r>
      <w:r w:rsidR="00DC5AE3">
        <w:t>-indication</w:t>
      </w:r>
      <w:r w:rsidRPr="00251BB9">
        <w:t xml:space="preserve"> pair – where more than one medicine is taken as part of the same treatment, and both would need to be funded to close the gap.</w:t>
      </w:r>
    </w:p>
    <w:p w14:paraId="1C42FB8A" w14:textId="7BAA437D" w:rsidR="00D0264D" w:rsidRPr="00251BB9" w:rsidRDefault="009D3974" w:rsidP="00EB0A8D">
      <w:pPr>
        <w:pStyle w:val="Note"/>
      </w:pPr>
      <w:r w:rsidRPr="00251BB9">
        <w:t>§</w:t>
      </w:r>
      <w:r w:rsidRPr="00251BB9">
        <w:tab/>
      </w:r>
      <w:r w:rsidR="00D0264D" w:rsidRPr="00251BB9">
        <w:t xml:space="preserve">The ESMO-MCBS:H score for daratumumab reflects the intention to treat </w:t>
      </w:r>
      <w:r w:rsidR="0098396C">
        <w:t xml:space="preserve">the </w:t>
      </w:r>
      <w:r w:rsidR="00D0264D" w:rsidRPr="00251BB9">
        <w:t>population of the CASTOR trial</w:t>
      </w:r>
      <w:r w:rsidR="00BE43C7">
        <w:t xml:space="preserve"> (</w:t>
      </w:r>
      <w:proofErr w:type="spellStart"/>
      <w:r w:rsidR="00BE43C7" w:rsidRPr="00E44F3E">
        <w:rPr>
          <w:szCs w:val="18"/>
          <w:lang w:eastAsia="en-NZ"/>
        </w:rPr>
        <w:t>Hungria</w:t>
      </w:r>
      <w:proofErr w:type="spellEnd"/>
      <w:r w:rsidR="00BE43C7" w:rsidRPr="00E44F3E">
        <w:rPr>
          <w:szCs w:val="18"/>
          <w:lang w:eastAsia="en-NZ"/>
        </w:rPr>
        <w:t xml:space="preserve"> et al 2021</w:t>
      </w:r>
      <w:r w:rsidR="00BE43C7">
        <w:rPr>
          <w:szCs w:val="18"/>
          <w:lang w:eastAsia="en-NZ"/>
        </w:rPr>
        <w:t>)</w:t>
      </w:r>
      <w:r w:rsidR="0098396C">
        <w:t>,</w:t>
      </w:r>
      <w:r w:rsidR="00D0264D" w:rsidRPr="00251BB9">
        <w:t xml:space="preserve"> which included patients using daratumumab second line</w:t>
      </w:r>
      <w:r w:rsidR="00B333A8">
        <w:t xml:space="preserve"> treatment</w:t>
      </w:r>
      <w:r w:rsidR="00D0264D" w:rsidRPr="00251BB9">
        <w:t xml:space="preserve"> or later. The analysis that examined the benefit of taking daratumumab as a second</w:t>
      </w:r>
      <w:r w:rsidR="008E29C7">
        <w:t>-</w:t>
      </w:r>
      <w:r w:rsidR="00D0264D" w:rsidRPr="00251BB9">
        <w:t>line treatment (</w:t>
      </w:r>
      <w:proofErr w:type="spellStart"/>
      <w:r w:rsidR="00D0264D" w:rsidRPr="00251BB9">
        <w:t>ie</w:t>
      </w:r>
      <w:proofErr w:type="spellEnd"/>
      <w:r w:rsidR="0098396C">
        <w:t>,</w:t>
      </w:r>
      <w:r w:rsidR="00D0264D" w:rsidRPr="00251BB9">
        <w:t xml:space="preserve"> the population funded in Australia) was unable to be scored by the ESMO-MCBS:H as it was a post-hoc analysis (</w:t>
      </w:r>
      <w:proofErr w:type="spellStart"/>
      <w:r w:rsidR="00D0264D" w:rsidRPr="00251BB9">
        <w:t>ie</w:t>
      </w:r>
      <w:proofErr w:type="spellEnd"/>
      <w:r w:rsidR="0098396C">
        <w:t>,</w:t>
      </w:r>
      <w:r w:rsidR="00D0264D" w:rsidRPr="00251BB9">
        <w:t xml:space="preserve"> an analysis that was not planned to be conducted at the beginning of the trial).</w:t>
      </w:r>
    </w:p>
    <w:p w14:paraId="50B89301" w14:textId="2820A802" w:rsidR="00D0264D" w:rsidRPr="00251BB9" w:rsidRDefault="007934A4" w:rsidP="00EB0A8D">
      <w:pPr>
        <w:pStyle w:val="Note"/>
      </w:pPr>
      <w:r w:rsidRPr="00251BB9">
        <w:t>¶</w:t>
      </w:r>
      <w:r w:rsidR="009D3974" w:rsidRPr="00251BB9">
        <w:tab/>
      </w:r>
      <w:r w:rsidR="00D0264D" w:rsidRPr="00251BB9">
        <w:t xml:space="preserve">Lenalidomide is funded in </w:t>
      </w:r>
      <w:r w:rsidR="00E6006E">
        <w:t>Aotearoa New </w:t>
      </w:r>
      <w:r w:rsidR="007C6B5B">
        <w:t>Zealand</w:t>
      </w:r>
      <w:r w:rsidR="00D0264D" w:rsidRPr="00251BB9">
        <w:t xml:space="preserve"> with a Special Authority restricting use to people with relapsed or refractory multiple myeloma with progressive disease as a third</w:t>
      </w:r>
      <w:r w:rsidR="006E5C1C">
        <w:t>-</w:t>
      </w:r>
      <w:r w:rsidR="00D0264D" w:rsidRPr="00251BB9">
        <w:t>line treatment, with second</w:t>
      </w:r>
      <w:r w:rsidR="006E5C1C">
        <w:t>-</w:t>
      </w:r>
      <w:r w:rsidR="00D0264D" w:rsidRPr="00251BB9">
        <w:t>line use permitted in the presence of dosing limiting neuropathy to first</w:t>
      </w:r>
      <w:r w:rsidR="006F632F">
        <w:t>-</w:t>
      </w:r>
      <w:r w:rsidR="00D0264D" w:rsidRPr="00251BB9">
        <w:t>line agents. Clinical advice received indicated that only a small number of patients will not be covered by the current access criteria.</w:t>
      </w:r>
    </w:p>
    <w:p w14:paraId="584206C9" w14:textId="77777777" w:rsidR="003A578E" w:rsidRPr="00E44F3E" w:rsidRDefault="003A578E" w:rsidP="00B206B2"/>
    <w:p w14:paraId="004CB8E5" w14:textId="77777777" w:rsidR="003A578E" w:rsidRPr="00E44F3E" w:rsidRDefault="003A578E" w:rsidP="00B206B2">
      <w:pPr>
        <w:sectPr w:rsidR="003A578E" w:rsidRPr="00E44F3E" w:rsidSect="002950CD">
          <w:headerReference w:type="even" r:id="rId80"/>
          <w:headerReference w:type="default" r:id="rId81"/>
          <w:footerReference w:type="even" r:id="rId82"/>
          <w:footerReference w:type="default" r:id="rId83"/>
          <w:headerReference w:type="first" r:id="rId84"/>
          <w:pgSz w:w="16834" w:h="11907" w:orient="landscape" w:code="9"/>
          <w:pgMar w:top="1418" w:right="1418" w:bottom="1418" w:left="1418" w:header="284" w:footer="425" w:gutter="284"/>
          <w:cols w:space="720"/>
          <w:docGrid w:linePitch="286"/>
        </w:sectPr>
      </w:pPr>
    </w:p>
    <w:p w14:paraId="1149F972" w14:textId="07DA21E8" w:rsidR="00D0264D" w:rsidRPr="00E44F3E" w:rsidRDefault="00D0264D" w:rsidP="002950CD">
      <w:pPr>
        <w:pStyle w:val="Heading2"/>
        <w:pageBreakBefore/>
      </w:pPr>
      <w:bookmarkStart w:id="218" w:name="App6"/>
      <w:bookmarkStart w:id="219" w:name="_Toc175229019"/>
      <w:bookmarkStart w:id="220" w:name="_Toc180062132"/>
      <w:r w:rsidRPr="00E44F3E">
        <w:lastRenderedPageBreak/>
        <w:t>Appendix 6</w:t>
      </w:r>
      <w:bookmarkEnd w:id="218"/>
      <w:r w:rsidRPr="00E44F3E">
        <w:t xml:space="preserve">: Blood cancer medicines publicly funded in Australia but not in </w:t>
      </w:r>
      <w:r w:rsidR="00E6006E">
        <w:t>Aotearoa New </w:t>
      </w:r>
      <w:r w:rsidR="007C6B5B">
        <w:t>Zealand</w:t>
      </w:r>
      <w:r w:rsidRPr="00E44F3E">
        <w:t xml:space="preserve"> – gap categorisation</w:t>
      </w:r>
      <w:bookmarkEnd w:id="219"/>
      <w:bookmarkEnd w:id="220"/>
    </w:p>
    <w:p w14:paraId="5DF355A4" w14:textId="77777777" w:rsidR="00D0264D" w:rsidRPr="00E44F3E" w:rsidRDefault="00D0264D" w:rsidP="00D0264D"/>
    <w:p w14:paraId="5B295C81" w14:textId="24A27CB8" w:rsidR="00D0264D" w:rsidRPr="00E44F3E" w:rsidRDefault="00D0264D" w:rsidP="00D0264D">
      <w:r w:rsidRPr="00E44F3E">
        <w:t xml:space="preserve">This appendix provides additional information about the rationale for the ESMO-MCBS:H score for each of the blood cancer medicines identified as being available in Australia but not in </w:t>
      </w:r>
      <w:r w:rsidR="00E6006E">
        <w:t>Aotearoa New </w:t>
      </w:r>
      <w:r w:rsidR="007C6B5B">
        <w:t>Zealand</w:t>
      </w:r>
      <w:r w:rsidRPr="00E44F3E">
        <w:t xml:space="preserve">. The ESMO-MCBS:H evaluation form used to determine the ESMO-MCBS:H score for each identified gap is also detailed. </w:t>
      </w:r>
    </w:p>
    <w:p w14:paraId="5CCE983A" w14:textId="77777777" w:rsidR="00D0264D" w:rsidRPr="00E44F3E" w:rsidRDefault="00D0264D" w:rsidP="00D0264D"/>
    <w:p w14:paraId="7CB2E154" w14:textId="2995FA68" w:rsidR="00D0264D" w:rsidRPr="00E44F3E" w:rsidRDefault="00D0264D" w:rsidP="00D0264D">
      <w:pPr>
        <w:pStyle w:val="Bullet"/>
      </w:pPr>
      <w:r w:rsidRPr="00E44F3E">
        <w:fldChar w:fldCharType="begin"/>
      </w:r>
      <w:r w:rsidRPr="00E44F3E">
        <w:instrText xml:space="preserve"> REF _Ref171691167 \h </w:instrText>
      </w:r>
      <w:r w:rsidRPr="00E44F3E">
        <w:fldChar w:fldCharType="separate"/>
      </w:r>
      <w:r w:rsidR="004A6DF6" w:rsidRPr="00E44F3E">
        <w:t xml:space="preserve">Table </w:t>
      </w:r>
      <w:r w:rsidR="004A6DF6">
        <w:rPr>
          <w:noProof/>
        </w:rPr>
        <w:t>12</w:t>
      </w:r>
      <w:r w:rsidRPr="00E44F3E">
        <w:fldChar w:fldCharType="end"/>
      </w:r>
      <w:r w:rsidRPr="00E44F3E">
        <w:t xml:space="preserve"> outlines the gap categorisation for gaps identified as having an ESMO:MCBS</w:t>
      </w:r>
      <w:r w:rsidR="00213C1C">
        <w:noBreakHyphen/>
      </w:r>
      <w:r w:rsidRPr="00E44F3E">
        <w:t>H score of substantial clinical benefit</w:t>
      </w:r>
      <w:r w:rsidR="00213C1C">
        <w:t>.</w:t>
      </w:r>
      <w:r w:rsidRPr="00E44F3E">
        <w:t xml:space="preserve"> </w:t>
      </w:r>
    </w:p>
    <w:p w14:paraId="14988A6D" w14:textId="45191A94" w:rsidR="00D0264D" w:rsidRPr="00E44F3E" w:rsidRDefault="00D0264D" w:rsidP="00D0264D">
      <w:pPr>
        <w:pStyle w:val="Bullet"/>
      </w:pPr>
      <w:r w:rsidRPr="00E44F3E">
        <w:fldChar w:fldCharType="begin"/>
      </w:r>
      <w:r w:rsidRPr="00E44F3E">
        <w:instrText xml:space="preserve"> REF _Ref171691169 \h </w:instrText>
      </w:r>
      <w:r w:rsidRPr="00E44F3E">
        <w:fldChar w:fldCharType="separate"/>
      </w:r>
      <w:r w:rsidR="004A6DF6" w:rsidRPr="00E44F3E">
        <w:t xml:space="preserve">Table </w:t>
      </w:r>
      <w:r w:rsidR="004A6DF6">
        <w:rPr>
          <w:noProof/>
        </w:rPr>
        <w:t>13</w:t>
      </w:r>
      <w:r w:rsidRPr="00E44F3E">
        <w:fldChar w:fldCharType="end"/>
      </w:r>
      <w:r w:rsidRPr="00E44F3E">
        <w:t xml:space="preserve"> outlines the gap categorisation for gaps identified as having an ESMO:MCBS</w:t>
      </w:r>
      <w:r w:rsidR="00213C1C">
        <w:noBreakHyphen/>
      </w:r>
      <w:r w:rsidRPr="00E44F3E">
        <w:t>H score of non-substantial clinical benefit</w:t>
      </w:r>
      <w:r w:rsidR="00213C1C">
        <w:t>.</w:t>
      </w:r>
    </w:p>
    <w:p w14:paraId="07699D9B" w14:textId="5A5CAB2C" w:rsidR="00D0264D" w:rsidRPr="00E44F3E" w:rsidRDefault="00D0264D" w:rsidP="00D0264D">
      <w:pPr>
        <w:pStyle w:val="Bullet"/>
      </w:pPr>
      <w:r w:rsidRPr="00E44F3E">
        <w:fldChar w:fldCharType="begin"/>
      </w:r>
      <w:r w:rsidRPr="00E44F3E">
        <w:instrText xml:space="preserve"> REF _Ref171691171 \h </w:instrText>
      </w:r>
      <w:r w:rsidRPr="00E44F3E">
        <w:fldChar w:fldCharType="separate"/>
      </w:r>
      <w:r w:rsidR="004A6DF6" w:rsidRPr="00E44F3E">
        <w:t xml:space="preserve">Table </w:t>
      </w:r>
      <w:r w:rsidR="004A6DF6">
        <w:rPr>
          <w:noProof/>
        </w:rPr>
        <w:t>14</w:t>
      </w:r>
      <w:r w:rsidRPr="00E44F3E">
        <w:fldChar w:fldCharType="end"/>
      </w:r>
      <w:r w:rsidRPr="00E44F3E">
        <w:t xml:space="preserve"> outlines the gap categorisation for gaps identified as having an ESMO:MCBS</w:t>
      </w:r>
      <w:r w:rsidR="00213C1C">
        <w:noBreakHyphen/>
      </w:r>
      <w:r w:rsidRPr="00E44F3E">
        <w:t>H score of no evaluable benefit</w:t>
      </w:r>
      <w:r w:rsidR="00AF090F">
        <w:t>.</w:t>
      </w:r>
      <w:r w:rsidRPr="00E44F3E">
        <w:t xml:space="preserve"> </w:t>
      </w:r>
    </w:p>
    <w:p w14:paraId="3CE76FEA" w14:textId="6C9AE14A" w:rsidR="00D0264D" w:rsidRPr="00E44F3E" w:rsidRDefault="00D0264D" w:rsidP="00D0264D">
      <w:pPr>
        <w:pStyle w:val="Bullet"/>
      </w:pPr>
      <w:r w:rsidRPr="00E44F3E">
        <w:fldChar w:fldCharType="begin"/>
      </w:r>
      <w:r w:rsidRPr="00E44F3E">
        <w:instrText xml:space="preserve"> REF _Ref171691172 \h </w:instrText>
      </w:r>
      <w:r w:rsidRPr="00E44F3E">
        <w:fldChar w:fldCharType="separate"/>
      </w:r>
      <w:r w:rsidR="004A6DF6" w:rsidRPr="00E44F3E">
        <w:t xml:space="preserve">Table </w:t>
      </w:r>
      <w:r w:rsidR="004A6DF6">
        <w:rPr>
          <w:noProof/>
        </w:rPr>
        <w:t>15</w:t>
      </w:r>
      <w:r w:rsidRPr="00E44F3E">
        <w:fldChar w:fldCharType="end"/>
      </w:r>
      <w:r w:rsidRPr="00E44F3E">
        <w:t xml:space="preserve"> outlines the rationale for the gaps identified that could not be scored. </w:t>
      </w:r>
    </w:p>
    <w:p w14:paraId="15BD27AC" w14:textId="77777777" w:rsidR="00D0264D" w:rsidRPr="00E44F3E" w:rsidRDefault="00D0264D" w:rsidP="00D0264D"/>
    <w:p w14:paraId="08718FDA" w14:textId="77777777" w:rsidR="006D28C9" w:rsidRPr="00E44F3E" w:rsidRDefault="006D28C9" w:rsidP="006D28C9"/>
    <w:p w14:paraId="07A84743" w14:textId="77777777" w:rsidR="006D28C9" w:rsidRPr="00E44F3E" w:rsidRDefault="006D28C9" w:rsidP="006D28C9">
      <w:pPr>
        <w:sectPr w:rsidR="006D28C9" w:rsidRPr="00E44F3E" w:rsidSect="002950CD">
          <w:headerReference w:type="even" r:id="rId85"/>
          <w:headerReference w:type="default" r:id="rId86"/>
          <w:footerReference w:type="even" r:id="rId87"/>
          <w:footerReference w:type="default" r:id="rId88"/>
          <w:headerReference w:type="first" r:id="rId89"/>
          <w:pgSz w:w="11907" w:h="16834" w:code="9"/>
          <w:pgMar w:top="1418" w:right="1701" w:bottom="1418" w:left="1843" w:header="284" w:footer="425" w:gutter="284"/>
          <w:cols w:space="720"/>
          <w:docGrid w:linePitch="286"/>
        </w:sectPr>
      </w:pPr>
    </w:p>
    <w:p w14:paraId="602F6E66" w14:textId="0A9D2113" w:rsidR="00027F4B" w:rsidRPr="00E44F3E" w:rsidRDefault="00027F4B" w:rsidP="00027F4B">
      <w:pPr>
        <w:pStyle w:val="Table"/>
      </w:pPr>
      <w:bookmarkStart w:id="221" w:name="_Ref171691167"/>
      <w:bookmarkStart w:id="222" w:name="_Toc175241603"/>
      <w:bookmarkStart w:id="223" w:name="_Toc180142298"/>
      <w:bookmarkStart w:id="224" w:name="_Hlk177376922"/>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12</w:t>
      </w:r>
      <w:r w:rsidR="00D97615">
        <w:rPr>
          <w:noProof/>
        </w:rPr>
        <w:fldChar w:fldCharType="end"/>
      </w:r>
      <w:bookmarkEnd w:id="221"/>
      <w:r w:rsidRPr="00E44F3E">
        <w:t xml:space="preserve">: </w:t>
      </w:r>
      <w:r w:rsidRPr="00E44F3E">
        <w:rPr>
          <w:spacing w:val="-2"/>
        </w:rPr>
        <w:t xml:space="preserve">Medicines funded in Australia but not in </w:t>
      </w:r>
      <w:r w:rsidR="00E6006E">
        <w:rPr>
          <w:spacing w:val="-2"/>
        </w:rPr>
        <w:t>Aotearoa New </w:t>
      </w:r>
      <w:r w:rsidR="007C6B5B">
        <w:rPr>
          <w:spacing w:val="-2"/>
        </w:rPr>
        <w:t>Zealand</w:t>
      </w:r>
      <w:r w:rsidRPr="00E44F3E">
        <w:rPr>
          <w:spacing w:val="-2"/>
        </w:rPr>
        <w:t xml:space="preserve"> </w:t>
      </w:r>
      <w:r w:rsidR="009F59A4">
        <w:rPr>
          <w:spacing w:val="-2"/>
        </w:rPr>
        <w:t xml:space="preserve">– </w:t>
      </w:r>
      <w:r w:rsidR="004F2171" w:rsidRPr="004F2171">
        <w:rPr>
          <w:spacing w:val="-2"/>
        </w:rPr>
        <w:t>gap categorisation</w:t>
      </w:r>
      <w:r w:rsidR="005501D9">
        <w:rPr>
          <w:spacing w:val="-2"/>
        </w:rPr>
        <w:t>:</w:t>
      </w:r>
      <w:r w:rsidR="004F2171" w:rsidRPr="004F2171">
        <w:rPr>
          <w:spacing w:val="-2"/>
        </w:rPr>
        <w:t xml:space="preserve"> substantial clinical benefit</w:t>
      </w:r>
      <w:bookmarkEnd w:id="222"/>
      <w:bookmarkEnd w:id="223"/>
    </w:p>
    <w:tbl>
      <w:tblPr>
        <w:tblW w:w="5000" w:type="pct"/>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481"/>
        <w:gridCol w:w="1895"/>
        <w:gridCol w:w="1669"/>
        <w:gridCol w:w="2503"/>
        <w:gridCol w:w="1604"/>
        <w:gridCol w:w="1274"/>
        <w:gridCol w:w="3572"/>
      </w:tblGrid>
      <w:tr w:rsidR="00D1178C" w:rsidRPr="00E44F3E" w14:paraId="10C3D468" w14:textId="77777777" w:rsidTr="008979AC">
        <w:trPr>
          <w:trHeight w:val="20"/>
          <w:tblHeader/>
        </w:trPr>
        <w:tc>
          <w:tcPr>
            <w:tcW w:w="529" w:type="pct"/>
            <w:tcBorders>
              <w:top w:val="nil"/>
              <w:bottom w:val="nil"/>
            </w:tcBorders>
            <w:shd w:val="clear" w:color="auto" w:fill="C2D9BA"/>
          </w:tcPr>
          <w:bookmarkEnd w:id="224"/>
          <w:p w14:paraId="5F8C6D26" w14:textId="77777777" w:rsidR="00027F4B" w:rsidRPr="00E44F3E" w:rsidRDefault="00027F4B" w:rsidP="00A50B76">
            <w:pPr>
              <w:pStyle w:val="TableText"/>
              <w:keepLines/>
              <w:rPr>
                <w:b/>
                <w:bCs/>
                <w:szCs w:val="18"/>
              </w:rPr>
            </w:pPr>
            <w:r w:rsidRPr="00E44F3E">
              <w:rPr>
                <w:b/>
                <w:bCs/>
              </w:rPr>
              <w:t>Medicine name</w:t>
            </w:r>
          </w:p>
        </w:tc>
        <w:tc>
          <w:tcPr>
            <w:tcW w:w="677" w:type="pct"/>
            <w:tcBorders>
              <w:top w:val="nil"/>
              <w:bottom w:val="nil"/>
            </w:tcBorders>
            <w:shd w:val="clear" w:color="auto" w:fill="C2D9BA"/>
          </w:tcPr>
          <w:p w14:paraId="2944252B" w14:textId="77777777" w:rsidR="00027F4B" w:rsidRPr="00E44F3E" w:rsidRDefault="00027F4B" w:rsidP="00A50B76">
            <w:pPr>
              <w:pStyle w:val="TableText"/>
              <w:keepLines/>
              <w:rPr>
                <w:b/>
                <w:bCs/>
                <w:szCs w:val="18"/>
              </w:rPr>
            </w:pPr>
            <w:r w:rsidRPr="00E44F3E">
              <w:rPr>
                <w:b/>
                <w:bCs/>
              </w:rPr>
              <w:t xml:space="preserve">Used in combination with </w:t>
            </w:r>
          </w:p>
        </w:tc>
        <w:tc>
          <w:tcPr>
            <w:tcW w:w="596" w:type="pct"/>
            <w:tcBorders>
              <w:top w:val="nil"/>
              <w:bottom w:val="nil"/>
            </w:tcBorders>
            <w:shd w:val="clear" w:color="auto" w:fill="C2D9BA"/>
          </w:tcPr>
          <w:p w14:paraId="3652BEB5" w14:textId="77777777" w:rsidR="00027F4B" w:rsidRPr="00E44F3E" w:rsidRDefault="00027F4B" w:rsidP="00A50B76">
            <w:pPr>
              <w:pStyle w:val="TableText"/>
              <w:keepLines/>
              <w:rPr>
                <w:b/>
                <w:bCs/>
                <w:szCs w:val="18"/>
              </w:rPr>
            </w:pPr>
            <w:r w:rsidRPr="00E44F3E">
              <w:rPr>
                <w:b/>
                <w:bCs/>
              </w:rPr>
              <w:t>Cancer type</w:t>
            </w:r>
          </w:p>
        </w:tc>
        <w:tc>
          <w:tcPr>
            <w:tcW w:w="894" w:type="pct"/>
            <w:tcBorders>
              <w:top w:val="nil"/>
              <w:bottom w:val="nil"/>
            </w:tcBorders>
            <w:shd w:val="clear" w:color="auto" w:fill="C2D9BA"/>
          </w:tcPr>
          <w:p w14:paraId="1F6B08A9" w14:textId="77777777" w:rsidR="00027F4B" w:rsidRPr="00E44F3E" w:rsidRDefault="00027F4B" w:rsidP="00A50B76">
            <w:pPr>
              <w:pStyle w:val="TableText"/>
              <w:keepLines/>
              <w:rPr>
                <w:b/>
                <w:bCs/>
                <w:szCs w:val="18"/>
              </w:rPr>
            </w:pPr>
            <w:r w:rsidRPr="00E44F3E">
              <w:rPr>
                <w:b/>
                <w:bCs/>
              </w:rPr>
              <w:t xml:space="preserve">Specific indication </w:t>
            </w:r>
          </w:p>
        </w:tc>
        <w:tc>
          <w:tcPr>
            <w:tcW w:w="573" w:type="pct"/>
            <w:tcBorders>
              <w:top w:val="nil"/>
              <w:bottom w:val="nil"/>
            </w:tcBorders>
            <w:shd w:val="clear" w:color="auto" w:fill="C2D9BA"/>
          </w:tcPr>
          <w:p w14:paraId="68380C3D" w14:textId="77777777" w:rsidR="00027F4B" w:rsidRPr="00E44F3E" w:rsidRDefault="00027F4B" w:rsidP="00A50B76">
            <w:pPr>
              <w:pStyle w:val="TableText"/>
              <w:keepLines/>
              <w:jc w:val="center"/>
              <w:rPr>
                <w:b/>
                <w:bCs/>
              </w:rPr>
            </w:pPr>
            <w:r w:rsidRPr="00E44F3E">
              <w:rPr>
                <w:b/>
                <w:bCs/>
              </w:rPr>
              <w:t>Key pivotal trial used for scoring</w:t>
            </w:r>
          </w:p>
        </w:tc>
        <w:tc>
          <w:tcPr>
            <w:tcW w:w="455" w:type="pct"/>
            <w:tcBorders>
              <w:top w:val="nil"/>
              <w:bottom w:val="nil"/>
            </w:tcBorders>
            <w:shd w:val="clear" w:color="auto" w:fill="C2D9BA"/>
          </w:tcPr>
          <w:p w14:paraId="493A7FFD" w14:textId="2BC02C34" w:rsidR="00027F4B" w:rsidRPr="00E44F3E" w:rsidRDefault="00027F4B" w:rsidP="00A50B76">
            <w:pPr>
              <w:pStyle w:val="TableText"/>
              <w:keepLines/>
              <w:jc w:val="center"/>
              <w:rPr>
                <w:b/>
                <w:bCs/>
              </w:rPr>
            </w:pPr>
            <w:r w:rsidRPr="00E44F3E">
              <w:rPr>
                <w:b/>
                <w:bCs/>
              </w:rPr>
              <w:t>ESMO</w:t>
            </w:r>
            <w:r w:rsidR="00D1178C">
              <w:rPr>
                <w:b/>
                <w:bCs/>
              </w:rPr>
              <w:noBreakHyphen/>
            </w:r>
            <w:r w:rsidRPr="00E44F3E">
              <w:rPr>
                <w:b/>
                <w:bCs/>
              </w:rPr>
              <w:t xml:space="preserve">MCBS:H </w:t>
            </w:r>
            <w:r w:rsidR="00AF090F">
              <w:rPr>
                <w:b/>
                <w:bCs/>
              </w:rPr>
              <w:t>s</w:t>
            </w:r>
            <w:r w:rsidRPr="00E44F3E">
              <w:rPr>
                <w:b/>
                <w:bCs/>
              </w:rPr>
              <w:t>core</w:t>
            </w:r>
          </w:p>
          <w:p w14:paraId="644CE21A" w14:textId="3864BC21" w:rsidR="00027F4B" w:rsidRPr="00E44F3E" w:rsidRDefault="00027F4B" w:rsidP="00A50B76">
            <w:pPr>
              <w:pStyle w:val="TableText"/>
              <w:keepLines/>
              <w:jc w:val="center"/>
              <w:rPr>
                <w:b/>
                <w:bCs/>
              </w:rPr>
            </w:pPr>
            <w:r w:rsidRPr="008E448D">
              <w:rPr>
                <w:b/>
                <w:bCs/>
                <w:sz w:val="16"/>
                <w:szCs w:val="18"/>
              </w:rPr>
              <w:t>(ESMO</w:t>
            </w:r>
            <w:r w:rsidR="009F59A4" w:rsidRPr="008E448D">
              <w:rPr>
                <w:b/>
                <w:bCs/>
                <w:sz w:val="16"/>
                <w:szCs w:val="18"/>
              </w:rPr>
              <w:noBreakHyphen/>
            </w:r>
            <w:r w:rsidRPr="008E448D">
              <w:rPr>
                <w:b/>
                <w:bCs/>
                <w:sz w:val="16"/>
                <w:szCs w:val="18"/>
              </w:rPr>
              <w:t xml:space="preserve">MCBS:H </w:t>
            </w:r>
            <w:r w:rsidR="00AF090F" w:rsidRPr="008E448D">
              <w:rPr>
                <w:b/>
                <w:bCs/>
                <w:sz w:val="16"/>
                <w:szCs w:val="18"/>
              </w:rPr>
              <w:t>e</w:t>
            </w:r>
            <w:r w:rsidRPr="008E448D">
              <w:rPr>
                <w:b/>
                <w:bCs/>
                <w:sz w:val="16"/>
                <w:szCs w:val="18"/>
              </w:rPr>
              <w:t xml:space="preserve">valuation </w:t>
            </w:r>
            <w:r w:rsidR="00AF090F" w:rsidRPr="008E448D">
              <w:rPr>
                <w:b/>
                <w:bCs/>
                <w:sz w:val="16"/>
                <w:szCs w:val="18"/>
              </w:rPr>
              <w:t>f</w:t>
            </w:r>
            <w:r w:rsidRPr="008E448D">
              <w:rPr>
                <w:b/>
                <w:bCs/>
                <w:sz w:val="16"/>
                <w:szCs w:val="18"/>
              </w:rPr>
              <w:t>orm)</w:t>
            </w:r>
          </w:p>
        </w:tc>
        <w:tc>
          <w:tcPr>
            <w:tcW w:w="1276" w:type="pct"/>
            <w:tcBorders>
              <w:top w:val="nil"/>
              <w:bottom w:val="nil"/>
            </w:tcBorders>
            <w:shd w:val="clear" w:color="auto" w:fill="C2D9BA"/>
          </w:tcPr>
          <w:p w14:paraId="748AED70" w14:textId="7D69E00A" w:rsidR="00027F4B" w:rsidRPr="00E44F3E" w:rsidRDefault="00D030B2" w:rsidP="00A50B76">
            <w:pPr>
              <w:pStyle w:val="TableText"/>
              <w:keepLines/>
              <w:rPr>
                <w:b/>
                <w:bCs/>
                <w:szCs w:val="18"/>
              </w:rPr>
            </w:pPr>
            <w:r>
              <w:rPr>
                <w:b/>
                <w:bCs/>
              </w:rPr>
              <w:t xml:space="preserve">Rationale for </w:t>
            </w:r>
            <w:r w:rsidR="00164AED">
              <w:rPr>
                <w:b/>
                <w:bCs/>
              </w:rPr>
              <w:t>g</w:t>
            </w:r>
            <w:r w:rsidR="00027F4B" w:rsidRPr="00E44F3E">
              <w:rPr>
                <w:b/>
                <w:bCs/>
              </w:rPr>
              <w:t>ap categorisation</w:t>
            </w:r>
            <w:r w:rsidR="005501D9">
              <w:rPr>
                <w:b/>
                <w:bCs/>
              </w:rPr>
              <w:t>:</w:t>
            </w:r>
            <w:r w:rsidR="00542DB1">
              <w:rPr>
                <w:b/>
                <w:bCs/>
              </w:rPr>
              <w:br/>
            </w:r>
            <w:r w:rsidR="005501D9">
              <w:rPr>
                <w:b/>
                <w:bCs/>
              </w:rPr>
              <w:t>s</w:t>
            </w:r>
            <w:r w:rsidR="005C65E4" w:rsidRPr="005C65E4">
              <w:rPr>
                <w:b/>
                <w:bCs/>
              </w:rPr>
              <w:t>ubstantial clinical benefit</w:t>
            </w:r>
            <w:r>
              <w:rPr>
                <w:b/>
                <w:bCs/>
              </w:rPr>
              <w:t xml:space="preserve"> </w:t>
            </w:r>
          </w:p>
        </w:tc>
      </w:tr>
      <w:tr w:rsidR="00027F4B" w:rsidRPr="00E44F3E" w14:paraId="711F173B" w14:textId="77777777" w:rsidTr="008979AC">
        <w:trPr>
          <w:trHeight w:val="20"/>
        </w:trPr>
        <w:tc>
          <w:tcPr>
            <w:tcW w:w="529" w:type="pct"/>
            <w:tcBorders>
              <w:top w:val="nil"/>
              <w:bottom w:val="single" w:sz="4" w:space="0" w:color="C2D9BA"/>
            </w:tcBorders>
            <w:shd w:val="clear" w:color="auto" w:fill="auto"/>
          </w:tcPr>
          <w:p w14:paraId="43B850DB" w14:textId="77777777" w:rsidR="00027F4B" w:rsidRPr="00E44F3E" w:rsidRDefault="00027F4B" w:rsidP="00A50B76">
            <w:pPr>
              <w:pStyle w:val="TableText"/>
              <w:keepLines/>
            </w:pPr>
            <w:r w:rsidRPr="009960D8">
              <w:t>Blinatumomab</w:t>
            </w:r>
          </w:p>
        </w:tc>
        <w:tc>
          <w:tcPr>
            <w:tcW w:w="677" w:type="pct"/>
            <w:tcBorders>
              <w:top w:val="nil"/>
              <w:bottom w:val="single" w:sz="4" w:space="0" w:color="C2D9BA"/>
            </w:tcBorders>
            <w:shd w:val="clear" w:color="auto" w:fill="auto"/>
          </w:tcPr>
          <w:p w14:paraId="1102A872" w14:textId="77777777" w:rsidR="00027F4B" w:rsidRPr="00E44F3E" w:rsidRDefault="00027F4B" w:rsidP="00A50B76">
            <w:pPr>
              <w:pStyle w:val="TableText"/>
              <w:keepLines/>
            </w:pPr>
            <w:r w:rsidRPr="009960D8">
              <w:t>Monotherapy</w:t>
            </w:r>
          </w:p>
        </w:tc>
        <w:tc>
          <w:tcPr>
            <w:tcW w:w="596" w:type="pct"/>
            <w:tcBorders>
              <w:top w:val="nil"/>
              <w:bottom w:val="single" w:sz="4" w:space="0" w:color="C2D9BA"/>
            </w:tcBorders>
            <w:shd w:val="clear" w:color="auto" w:fill="auto"/>
          </w:tcPr>
          <w:p w14:paraId="2E04CA73" w14:textId="584A8C62" w:rsidR="00027F4B" w:rsidRPr="00E44F3E" w:rsidRDefault="00027F4B" w:rsidP="00A50B76">
            <w:pPr>
              <w:pStyle w:val="TableText"/>
              <w:keepLines/>
            </w:pPr>
            <w:r w:rsidRPr="00E44F3E">
              <w:t>Precursor B-cell acute lymphoblastic leukaemia (</w:t>
            </w:r>
            <w:r w:rsidR="009318E9">
              <w:t>p</w:t>
            </w:r>
            <w:r w:rsidRPr="00E44F3E">
              <w:t>re-B</w:t>
            </w:r>
            <w:r w:rsidR="009318E9">
              <w:noBreakHyphen/>
            </w:r>
            <w:r w:rsidRPr="00E44F3E">
              <w:t>cell ALL)</w:t>
            </w:r>
          </w:p>
        </w:tc>
        <w:tc>
          <w:tcPr>
            <w:tcW w:w="894" w:type="pct"/>
            <w:tcBorders>
              <w:top w:val="nil"/>
              <w:bottom w:val="single" w:sz="4" w:space="0" w:color="C2D9BA"/>
            </w:tcBorders>
            <w:shd w:val="clear" w:color="auto" w:fill="auto"/>
          </w:tcPr>
          <w:p w14:paraId="08D757A0" w14:textId="77777777" w:rsidR="00027F4B" w:rsidRPr="00E44F3E" w:rsidRDefault="00027F4B" w:rsidP="00A50B76">
            <w:pPr>
              <w:pStyle w:val="TableText"/>
              <w:keepLines/>
            </w:pPr>
            <w:r w:rsidRPr="00E44F3E">
              <w:t xml:space="preserve">Complete haematological remission with measurable residual disease (MRD) </w:t>
            </w:r>
          </w:p>
        </w:tc>
        <w:tc>
          <w:tcPr>
            <w:tcW w:w="573" w:type="pct"/>
            <w:tcBorders>
              <w:top w:val="nil"/>
              <w:bottom w:val="single" w:sz="4" w:space="0" w:color="C2D9BA"/>
            </w:tcBorders>
            <w:shd w:val="clear" w:color="auto" w:fill="auto"/>
          </w:tcPr>
          <w:p w14:paraId="4849514B" w14:textId="77777777" w:rsidR="00027F4B" w:rsidRPr="00E44F3E" w:rsidRDefault="00027F4B" w:rsidP="00A50B76">
            <w:pPr>
              <w:pStyle w:val="TableText"/>
              <w:keepLines/>
              <w:jc w:val="center"/>
            </w:pPr>
            <w:r w:rsidRPr="00E44F3E">
              <w:t>BLAST</w:t>
            </w:r>
          </w:p>
          <w:p w14:paraId="56C63B1B" w14:textId="41BC4212" w:rsidR="00027F4B" w:rsidRPr="00E44F3E" w:rsidRDefault="00027F4B" w:rsidP="00A50B76">
            <w:pPr>
              <w:pStyle w:val="TableText"/>
              <w:keepLines/>
              <w:jc w:val="center"/>
            </w:pPr>
            <w:r w:rsidRPr="00E44F3E">
              <w:t>(</w:t>
            </w:r>
            <w:proofErr w:type="spellStart"/>
            <w:r w:rsidRPr="00E44F3E">
              <w:t>Bargou</w:t>
            </w:r>
            <w:proofErr w:type="spellEnd"/>
            <w:r w:rsidRPr="00E44F3E">
              <w:t xml:space="preserve"> </w:t>
            </w:r>
            <w:r w:rsidR="00EC1065" w:rsidRPr="00E44F3E">
              <w:t>et al</w:t>
            </w:r>
            <w:r w:rsidRPr="00E44F3E">
              <w:t xml:space="preserve"> 2018; </w:t>
            </w:r>
            <w:proofErr w:type="spellStart"/>
            <w:r w:rsidRPr="00E44F3E">
              <w:t>Gökbuget</w:t>
            </w:r>
            <w:proofErr w:type="spellEnd"/>
            <w:r w:rsidRPr="00E44F3E">
              <w:t xml:space="preserve"> </w:t>
            </w:r>
            <w:r w:rsidR="00EC1065" w:rsidRPr="00E44F3E">
              <w:t>et al</w:t>
            </w:r>
            <w:r w:rsidRPr="00E44F3E">
              <w:t xml:space="preserve"> 2018)</w:t>
            </w:r>
          </w:p>
        </w:tc>
        <w:tc>
          <w:tcPr>
            <w:tcW w:w="455" w:type="pct"/>
            <w:tcBorders>
              <w:top w:val="nil"/>
              <w:bottom w:val="single" w:sz="4" w:space="0" w:color="C2D9BA"/>
            </w:tcBorders>
            <w:shd w:val="clear" w:color="auto" w:fill="auto"/>
          </w:tcPr>
          <w:p w14:paraId="0DD64E22" w14:textId="77777777" w:rsidR="00027F4B" w:rsidRPr="00E44F3E" w:rsidRDefault="00027F4B" w:rsidP="00A50B76">
            <w:pPr>
              <w:pStyle w:val="TableText"/>
              <w:keepLines/>
              <w:jc w:val="center"/>
              <w:rPr>
                <w:b/>
                <w:bCs/>
              </w:rPr>
            </w:pPr>
            <w:r w:rsidRPr="00E44F3E">
              <w:rPr>
                <w:b/>
                <w:bCs/>
              </w:rPr>
              <w:t>A</w:t>
            </w:r>
          </w:p>
          <w:p w14:paraId="7180213A" w14:textId="77777777" w:rsidR="00027F4B" w:rsidRPr="00E44F3E" w:rsidRDefault="00027F4B" w:rsidP="00A50B76">
            <w:pPr>
              <w:pStyle w:val="TableText"/>
              <w:keepLines/>
              <w:jc w:val="center"/>
              <w:rPr>
                <w:b/>
                <w:bCs/>
              </w:rPr>
            </w:pPr>
            <w:r w:rsidRPr="00E44F3E">
              <w:rPr>
                <w:b/>
                <w:bCs/>
              </w:rPr>
              <w:t>Curative</w:t>
            </w:r>
          </w:p>
          <w:p w14:paraId="5B8794B9" w14:textId="77777777" w:rsidR="00027F4B" w:rsidRPr="00E44F3E" w:rsidRDefault="00027F4B" w:rsidP="00A50B76">
            <w:pPr>
              <w:pStyle w:val="TableText"/>
              <w:keepLines/>
              <w:jc w:val="center"/>
              <w:rPr>
                <w:b/>
                <w:bCs/>
              </w:rPr>
            </w:pPr>
            <w:r w:rsidRPr="00E44F3E">
              <w:t>(1b)</w:t>
            </w:r>
          </w:p>
        </w:tc>
        <w:tc>
          <w:tcPr>
            <w:tcW w:w="1276" w:type="pct"/>
            <w:tcBorders>
              <w:top w:val="nil"/>
              <w:bottom w:val="single" w:sz="4" w:space="0" w:color="C2D9BA"/>
            </w:tcBorders>
            <w:shd w:val="clear" w:color="auto" w:fill="auto"/>
          </w:tcPr>
          <w:p w14:paraId="5F7AC2DC" w14:textId="20D37912" w:rsidR="00027F4B" w:rsidRPr="00E44F3E" w:rsidRDefault="00027F4B" w:rsidP="00A50B76">
            <w:pPr>
              <w:pStyle w:val="TableBullet"/>
              <w:keepLines/>
            </w:pPr>
            <w:r w:rsidRPr="00E44F3E">
              <w:t>Derived ESMO-MCBS:H score is based on a single</w:t>
            </w:r>
            <w:r w:rsidR="00E40CD1">
              <w:t>-</w:t>
            </w:r>
            <w:r w:rsidRPr="00E44F3E">
              <w:t xml:space="preserve">arm study. </w:t>
            </w:r>
          </w:p>
          <w:p w14:paraId="039251C2" w14:textId="6BD87397" w:rsidR="00027F4B" w:rsidRPr="00E44F3E" w:rsidRDefault="00027F4B" w:rsidP="00A50B76">
            <w:pPr>
              <w:pStyle w:val="TableBullet"/>
              <w:keepLines/>
            </w:pPr>
            <w:r w:rsidRPr="00E44F3E">
              <w:t>The primary endpoint was rate of complete MRD response.</w:t>
            </w:r>
            <w:r w:rsidR="00B1682D" w:rsidRPr="00E44F3E">
              <w:t xml:space="preserve"> </w:t>
            </w:r>
            <w:r w:rsidRPr="00E44F3E">
              <w:t>Recurrent/Disease</w:t>
            </w:r>
            <w:r w:rsidR="009318E9">
              <w:t>-</w:t>
            </w:r>
            <w:r w:rsidRPr="00E44F3E">
              <w:t xml:space="preserve">free survival was measured as a secondary endpoint and showed improvement. </w:t>
            </w:r>
          </w:p>
          <w:p w14:paraId="1F573F2B" w14:textId="69D74FB4" w:rsidR="00027F4B" w:rsidRPr="00E44F3E" w:rsidRDefault="00027F4B" w:rsidP="00A50B76">
            <w:pPr>
              <w:pStyle w:val="TableBullet"/>
              <w:keepLines/>
            </w:pPr>
            <w:r w:rsidRPr="00E44F3E">
              <w:t>Disease</w:t>
            </w:r>
            <w:r w:rsidR="009318E9">
              <w:t>-</w:t>
            </w:r>
            <w:r w:rsidRPr="00E44F3E">
              <w:t>free survival was 54% at 18 months, exceeding the pre-specified endpoint.</w:t>
            </w:r>
          </w:p>
        </w:tc>
      </w:tr>
      <w:tr w:rsidR="00027F4B" w:rsidRPr="00E44F3E" w14:paraId="475CDFF2" w14:textId="77777777" w:rsidTr="008979AC">
        <w:trPr>
          <w:trHeight w:val="20"/>
        </w:trPr>
        <w:tc>
          <w:tcPr>
            <w:tcW w:w="529" w:type="pct"/>
            <w:tcBorders>
              <w:top w:val="nil"/>
              <w:bottom w:val="single" w:sz="4" w:space="0" w:color="C2D9BA"/>
            </w:tcBorders>
            <w:shd w:val="clear" w:color="auto" w:fill="auto"/>
          </w:tcPr>
          <w:p w14:paraId="50CB1EA1" w14:textId="77777777" w:rsidR="00027F4B" w:rsidRPr="00E44F3E" w:rsidRDefault="00027F4B" w:rsidP="00A50B76">
            <w:pPr>
              <w:pStyle w:val="TableText"/>
              <w:keepLines/>
            </w:pPr>
            <w:proofErr w:type="spellStart"/>
            <w:r w:rsidRPr="00E44F3E">
              <w:t>Midostaurin</w:t>
            </w:r>
            <w:proofErr w:type="spellEnd"/>
          </w:p>
        </w:tc>
        <w:tc>
          <w:tcPr>
            <w:tcW w:w="677" w:type="pct"/>
            <w:tcBorders>
              <w:top w:val="nil"/>
              <w:bottom w:val="single" w:sz="4" w:space="0" w:color="C2D9BA"/>
            </w:tcBorders>
            <w:shd w:val="clear" w:color="auto" w:fill="auto"/>
          </w:tcPr>
          <w:p w14:paraId="1B62EB6B" w14:textId="77777777" w:rsidR="00027F4B" w:rsidRPr="00E44F3E" w:rsidRDefault="00027F4B" w:rsidP="00A50B76">
            <w:pPr>
              <w:pStyle w:val="TableText"/>
              <w:keepLines/>
            </w:pPr>
            <w:r w:rsidRPr="00E44F3E">
              <w:t>Induction and consolidation with standard anthracycline and cytarabine chemotherapy</w:t>
            </w:r>
          </w:p>
        </w:tc>
        <w:tc>
          <w:tcPr>
            <w:tcW w:w="596" w:type="pct"/>
            <w:tcBorders>
              <w:top w:val="nil"/>
              <w:bottom w:val="single" w:sz="4" w:space="0" w:color="C2D9BA"/>
            </w:tcBorders>
            <w:shd w:val="clear" w:color="auto" w:fill="auto"/>
          </w:tcPr>
          <w:p w14:paraId="3CEE350C" w14:textId="77777777" w:rsidR="00027F4B" w:rsidRPr="00E44F3E" w:rsidRDefault="00027F4B" w:rsidP="00A50B76">
            <w:pPr>
              <w:pStyle w:val="TableText"/>
              <w:keepLines/>
            </w:pPr>
            <w:r w:rsidRPr="00E44F3E">
              <w:t>Acute myeloid leukaemia (AML)</w:t>
            </w:r>
          </w:p>
        </w:tc>
        <w:tc>
          <w:tcPr>
            <w:tcW w:w="894" w:type="pct"/>
            <w:tcBorders>
              <w:top w:val="nil"/>
              <w:bottom w:val="single" w:sz="4" w:space="0" w:color="C2D9BA"/>
            </w:tcBorders>
            <w:shd w:val="clear" w:color="auto" w:fill="auto"/>
          </w:tcPr>
          <w:p w14:paraId="1975EAA6" w14:textId="77777777" w:rsidR="00027F4B" w:rsidRPr="00E44F3E" w:rsidRDefault="00027F4B" w:rsidP="00A50B76">
            <w:pPr>
              <w:pStyle w:val="TableText"/>
              <w:keepLines/>
            </w:pPr>
            <w:r w:rsidRPr="00E44F3E">
              <w:t xml:space="preserve">Newly diagnosed patients with an internal tandem duplication (ITD) or tyrosine kinase domain (TKD) FMS-like tyrosine kinase 3 (FLT3) mutation </w:t>
            </w:r>
          </w:p>
        </w:tc>
        <w:tc>
          <w:tcPr>
            <w:tcW w:w="573" w:type="pct"/>
            <w:tcBorders>
              <w:top w:val="nil"/>
              <w:bottom w:val="single" w:sz="4" w:space="0" w:color="C2D9BA"/>
            </w:tcBorders>
            <w:shd w:val="clear" w:color="auto" w:fill="auto"/>
          </w:tcPr>
          <w:p w14:paraId="5BB79B40" w14:textId="77777777" w:rsidR="00027F4B" w:rsidRPr="00E44F3E" w:rsidRDefault="00027F4B" w:rsidP="00A50B76">
            <w:pPr>
              <w:pStyle w:val="TableText"/>
              <w:keepLines/>
              <w:jc w:val="center"/>
            </w:pPr>
            <w:r w:rsidRPr="00E44F3E">
              <w:t>RATIFY</w:t>
            </w:r>
          </w:p>
          <w:p w14:paraId="7CDA00EC" w14:textId="669AA4ED" w:rsidR="00027F4B" w:rsidRPr="00E44F3E" w:rsidRDefault="00027F4B" w:rsidP="00A50B76">
            <w:pPr>
              <w:pStyle w:val="TableText"/>
              <w:keepLines/>
              <w:jc w:val="center"/>
            </w:pPr>
            <w:r w:rsidRPr="00E44F3E">
              <w:t xml:space="preserve">(Stone </w:t>
            </w:r>
            <w:r w:rsidR="00EC1065" w:rsidRPr="00E44F3E">
              <w:t>et al</w:t>
            </w:r>
            <w:r w:rsidRPr="00E44F3E">
              <w:t xml:space="preserve"> 2017)</w:t>
            </w:r>
          </w:p>
        </w:tc>
        <w:tc>
          <w:tcPr>
            <w:tcW w:w="455" w:type="pct"/>
            <w:tcBorders>
              <w:top w:val="nil"/>
              <w:bottom w:val="single" w:sz="4" w:space="0" w:color="C2D9BA"/>
            </w:tcBorders>
            <w:shd w:val="clear" w:color="auto" w:fill="auto"/>
          </w:tcPr>
          <w:p w14:paraId="5262474F" w14:textId="77777777" w:rsidR="00027F4B" w:rsidRPr="00E44F3E" w:rsidRDefault="00027F4B" w:rsidP="00A50B76">
            <w:pPr>
              <w:pStyle w:val="TableText"/>
              <w:keepLines/>
              <w:jc w:val="center"/>
              <w:rPr>
                <w:b/>
                <w:bCs/>
              </w:rPr>
            </w:pPr>
            <w:r w:rsidRPr="00E44F3E">
              <w:rPr>
                <w:b/>
                <w:bCs/>
              </w:rPr>
              <w:t>A</w:t>
            </w:r>
          </w:p>
          <w:p w14:paraId="1F5678FE" w14:textId="77777777" w:rsidR="00027F4B" w:rsidRPr="00E44F3E" w:rsidRDefault="00027F4B" w:rsidP="00A50B76">
            <w:pPr>
              <w:pStyle w:val="TableText"/>
              <w:keepLines/>
              <w:jc w:val="center"/>
              <w:rPr>
                <w:b/>
                <w:bCs/>
              </w:rPr>
            </w:pPr>
            <w:r w:rsidRPr="00E44F3E">
              <w:rPr>
                <w:b/>
                <w:bCs/>
              </w:rPr>
              <w:t>Curative</w:t>
            </w:r>
          </w:p>
          <w:p w14:paraId="536C7333" w14:textId="77777777" w:rsidR="00027F4B" w:rsidRPr="00E44F3E" w:rsidRDefault="00027F4B" w:rsidP="00A50B76">
            <w:pPr>
              <w:pStyle w:val="TableText"/>
              <w:keepLines/>
              <w:jc w:val="center"/>
              <w:rPr>
                <w:b/>
                <w:bCs/>
              </w:rPr>
            </w:pPr>
            <w:r w:rsidRPr="00E44F3E">
              <w:t>(1a)</w:t>
            </w:r>
          </w:p>
        </w:tc>
        <w:tc>
          <w:tcPr>
            <w:tcW w:w="1276" w:type="pct"/>
            <w:tcBorders>
              <w:top w:val="nil"/>
              <w:bottom w:val="single" w:sz="4" w:space="0" w:color="C2D9BA"/>
            </w:tcBorders>
            <w:shd w:val="clear" w:color="auto" w:fill="auto"/>
          </w:tcPr>
          <w:p w14:paraId="5DFCCE66" w14:textId="47A94116" w:rsidR="00027F4B" w:rsidRPr="00E44F3E" w:rsidRDefault="00027F4B" w:rsidP="00A50B76">
            <w:pPr>
              <w:pStyle w:val="TableBullet"/>
              <w:keepLines/>
            </w:pPr>
            <w:r w:rsidRPr="00E44F3E">
              <w:t xml:space="preserve">Derived ESMO-MCBS:H score is based on a comparator (chemotherapy) </w:t>
            </w:r>
            <w:r w:rsidR="00CF38A9">
              <w:t>that</w:t>
            </w:r>
            <w:r w:rsidR="00CF38A9" w:rsidRPr="00E44F3E">
              <w:t xml:space="preserve"> </w:t>
            </w:r>
            <w:r w:rsidRPr="00E44F3E">
              <w:t xml:space="preserve">is available in </w:t>
            </w:r>
            <w:r w:rsidR="00E6006E">
              <w:t>Aotearoa New </w:t>
            </w:r>
            <w:r w:rsidR="007C6B5B">
              <w:t>Zealand</w:t>
            </w:r>
            <w:r w:rsidRPr="00E44F3E">
              <w:t xml:space="preserve">. </w:t>
            </w:r>
          </w:p>
          <w:p w14:paraId="468715D1" w14:textId="4332CFF2" w:rsidR="00027F4B" w:rsidRPr="00E44F3E" w:rsidRDefault="00027F4B" w:rsidP="00A50B76">
            <w:pPr>
              <w:pStyle w:val="TableBullet"/>
              <w:keepLines/>
            </w:pPr>
            <w:r w:rsidRPr="00E44F3E">
              <w:t xml:space="preserve">The primary endpoint was overall survival. The median overall survival was 75 months with </w:t>
            </w:r>
            <w:proofErr w:type="spellStart"/>
            <w:r w:rsidRPr="00E44F3E">
              <w:t>midostaurin</w:t>
            </w:r>
            <w:proofErr w:type="spellEnd"/>
            <w:r w:rsidRPr="00E44F3E">
              <w:t xml:space="preserve"> </w:t>
            </w:r>
            <w:r w:rsidR="007E5306">
              <w:t>vs</w:t>
            </w:r>
            <w:r w:rsidRPr="00E44F3E">
              <w:t xml:space="preserve"> 26 months with chemotherapy. </w:t>
            </w:r>
          </w:p>
        </w:tc>
      </w:tr>
      <w:tr w:rsidR="00027F4B" w:rsidRPr="00E44F3E" w14:paraId="698793C3" w14:textId="77777777" w:rsidTr="008979AC">
        <w:trPr>
          <w:trHeight w:val="20"/>
        </w:trPr>
        <w:tc>
          <w:tcPr>
            <w:tcW w:w="529" w:type="pct"/>
            <w:tcBorders>
              <w:top w:val="nil"/>
              <w:bottom w:val="single" w:sz="4" w:space="0" w:color="C2D9BA"/>
            </w:tcBorders>
            <w:shd w:val="clear" w:color="auto" w:fill="auto"/>
          </w:tcPr>
          <w:p w14:paraId="51082BC4" w14:textId="77777777" w:rsidR="00027F4B" w:rsidRPr="00E44F3E" w:rsidRDefault="00027F4B" w:rsidP="00A50B76">
            <w:pPr>
              <w:pStyle w:val="TableText"/>
              <w:keepLines/>
            </w:pPr>
            <w:proofErr w:type="spellStart"/>
            <w:r w:rsidRPr="00E44F3E">
              <w:t>Asciminib</w:t>
            </w:r>
            <w:proofErr w:type="spellEnd"/>
          </w:p>
        </w:tc>
        <w:tc>
          <w:tcPr>
            <w:tcW w:w="677" w:type="pct"/>
            <w:tcBorders>
              <w:top w:val="nil"/>
              <w:bottom w:val="single" w:sz="4" w:space="0" w:color="C2D9BA"/>
            </w:tcBorders>
            <w:shd w:val="clear" w:color="auto" w:fill="auto"/>
          </w:tcPr>
          <w:p w14:paraId="4183EAC6" w14:textId="77777777" w:rsidR="00027F4B" w:rsidRPr="00E44F3E" w:rsidRDefault="00027F4B" w:rsidP="00A50B76">
            <w:pPr>
              <w:pStyle w:val="TableText"/>
              <w:keepLines/>
            </w:pPr>
            <w:r w:rsidRPr="00E44F3E">
              <w:t>Monotherapy</w:t>
            </w:r>
          </w:p>
        </w:tc>
        <w:tc>
          <w:tcPr>
            <w:tcW w:w="596" w:type="pct"/>
            <w:tcBorders>
              <w:top w:val="nil"/>
              <w:bottom w:val="single" w:sz="4" w:space="0" w:color="C2D9BA"/>
            </w:tcBorders>
            <w:shd w:val="clear" w:color="auto" w:fill="auto"/>
          </w:tcPr>
          <w:p w14:paraId="7CD28F55" w14:textId="0F60406C" w:rsidR="00027F4B" w:rsidRPr="00E44F3E" w:rsidRDefault="00027F4B" w:rsidP="00A50B76">
            <w:pPr>
              <w:pStyle w:val="TableText"/>
              <w:keepLines/>
            </w:pPr>
            <w:r w:rsidRPr="00E44F3E">
              <w:t>Chronic</w:t>
            </w:r>
            <w:r w:rsidR="00CF38A9">
              <w:t xml:space="preserve"> </w:t>
            </w:r>
            <w:r w:rsidRPr="00E44F3E">
              <w:t>myeloid leukaemia (CML)</w:t>
            </w:r>
          </w:p>
        </w:tc>
        <w:tc>
          <w:tcPr>
            <w:tcW w:w="894" w:type="pct"/>
            <w:tcBorders>
              <w:top w:val="nil"/>
              <w:bottom w:val="single" w:sz="4" w:space="0" w:color="C2D9BA"/>
            </w:tcBorders>
            <w:shd w:val="clear" w:color="auto" w:fill="auto"/>
          </w:tcPr>
          <w:p w14:paraId="34D1B52D" w14:textId="7EBE2C29" w:rsidR="00027F4B" w:rsidRPr="00E44F3E" w:rsidRDefault="00027F4B" w:rsidP="00A50B76">
            <w:pPr>
              <w:pStyle w:val="TableText"/>
              <w:keepLines/>
            </w:pPr>
            <w:r w:rsidRPr="00E44F3E">
              <w:t xml:space="preserve">Philadelphia chromosome positive or with transcript </w:t>
            </w:r>
            <w:bookmarkStart w:id="225" w:name="_Hlk177464538"/>
            <w:r w:rsidRPr="00E44F3E">
              <w:t xml:space="preserve">BCR-ABL </w:t>
            </w:r>
            <w:bookmarkEnd w:id="225"/>
            <w:r w:rsidRPr="00E44F3E">
              <w:t>tyrosine kinase without T315I mutation in chronic phase</w:t>
            </w:r>
            <w:r w:rsidR="00757129">
              <w:rPr>
                <w:rStyle w:val="CommentReference"/>
              </w:rPr>
              <w:t xml:space="preserve"> p</w:t>
            </w:r>
            <w:r w:rsidRPr="00E44F3E">
              <w:t>reviously treated with two or more tyrosine kinase inhibitors</w:t>
            </w:r>
          </w:p>
        </w:tc>
        <w:tc>
          <w:tcPr>
            <w:tcW w:w="573" w:type="pct"/>
            <w:tcBorders>
              <w:top w:val="nil"/>
              <w:bottom w:val="single" w:sz="4" w:space="0" w:color="C2D9BA"/>
            </w:tcBorders>
            <w:shd w:val="clear" w:color="auto" w:fill="auto"/>
          </w:tcPr>
          <w:p w14:paraId="30D94ECD" w14:textId="188A6547" w:rsidR="00027F4B" w:rsidRPr="00E44F3E" w:rsidRDefault="00027F4B" w:rsidP="00A50B76">
            <w:pPr>
              <w:pStyle w:val="TableText"/>
              <w:keepLines/>
              <w:jc w:val="center"/>
            </w:pPr>
            <w:r w:rsidRPr="00E44F3E">
              <w:t>ASCEMBL</w:t>
            </w:r>
          </w:p>
          <w:p w14:paraId="1BB0CBD7" w14:textId="5A1F5CB1" w:rsidR="00027F4B" w:rsidRPr="00E44F3E" w:rsidRDefault="00027F4B" w:rsidP="00A50B76">
            <w:pPr>
              <w:pStyle w:val="TableText"/>
              <w:keepLines/>
              <w:jc w:val="center"/>
            </w:pPr>
            <w:r w:rsidRPr="00E44F3E">
              <w:t>(</w:t>
            </w:r>
            <w:proofErr w:type="spellStart"/>
            <w:r w:rsidRPr="00E44F3E">
              <w:t>Hochhaus</w:t>
            </w:r>
            <w:proofErr w:type="spellEnd"/>
            <w:r w:rsidRPr="00E44F3E">
              <w:t xml:space="preserve"> </w:t>
            </w:r>
            <w:r w:rsidR="00EC1065" w:rsidRPr="00E44F3E">
              <w:t>et al</w:t>
            </w:r>
            <w:r w:rsidRPr="00E44F3E">
              <w:t xml:space="preserve"> 2023; </w:t>
            </w:r>
            <w:proofErr w:type="spellStart"/>
            <w:r w:rsidRPr="00E44F3E">
              <w:t>Réa</w:t>
            </w:r>
            <w:proofErr w:type="spellEnd"/>
            <w:r w:rsidRPr="00E44F3E">
              <w:t xml:space="preserve"> </w:t>
            </w:r>
            <w:r w:rsidR="00EC1065" w:rsidRPr="00E44F3E">
              <w:t>et al</w:t>
            </w:r>
            <w:r w:rsidRPr="00E44F3E">
              <w:t xml:space="preserve"> 2023)</w:t>
            </w:r>
          </w:p>
        </w:tc>
        <w:tc>
          <w:tcPr>
            <w:tcW w:w="455" w:type="pct"/>
            <w:tcBorders>
              <w:top w:val="nil"/>
              <w:bottom w:val="single" w:sz="4" w:space="0" w:color="C2D9BA"/>
            </w:tcBorders>
          </w:tcPr>
          <w:p w14:paraId="6268D53C" w14:textId="736D1EF4" w:rsidR="00027F4B" w:rsidRPr="00E44F3E" w:rsidRDefault="00027F4B" w:rsidP="00A50B76">
            <w:pPr>
              <w:pStyle w:val="TableText"/>
              <w:keepLines/>
              <w:jc w:val="center"/>
              <w:rPr>
                <w:b/>
                <w:bCs/>
              </w:rPr>
            </w:pPr>
            <w:r w:rsidRPr="00E44F3E">
              <w:rPr>
                <w:b/>
                <w:bCs/>
              </w:rPr>
              <w:t>4</w:t>
            </w:r>
          </w:p>
          <w:p w14:paraId="6AC9381C" w14:textId="77777777" w:rsidR="00027F4B" w:rsidRPr="00E44F3E" w:rsidRDefault="00027F4B" w:rsidP="00A50B76">
            <w:pPr>
              <w:pStyle w:val="TableText"/>
              <w:keepLines/>
              <w:jc w:val="center"/>
            </w:pPr>
            <w:r w:rsidRPr="00E44F3E">
              <w:t>(2c)</w:t>
            </w:r>
          </w:p>
        </w:tc>
        <w:tc>
          <w:tcPr>
            <w:tcW w:w="1276" w:type="pct"/>
            <w:tcBorders>
              <w:top w:val="nil"/>
              <w:bottom w:val="single" w:sz="4" w:space="0" w:color="C2D9BA"/>
            </w:tcBorders>
            <w:shd w:val="clear" w:color="auto" w:fill="auto"/>
          </w:tcPr>
          <w:p w14:paraId="295276B2" w14:textId="62760FCF" w:rsidR="00027F4B" w:rsidRPr="00E44F3E" w:rsidRDefault="00027F4B" w:rsidP="00A50B76">
            <w:pPr>
              <w:pStyle w:val="TableBullet"/>
              <w:keepLines/>
            </w:pPr>
            <w:r w:rsidRPr="00E44F3E">
              <w:t xml:space="preserve">Derived ESMO-MCBS:H score is based on a comparator (bosutinib) that is not available in </w:t>
            </w:r>
            <w:r w:rsidR="00E6006E">
              <w:t>Aotearoa New </w:t>
            </w:r>
            <w:r w:rsidR="007C6B5B">
              <w:t>Zealand</w:t>
            </w:r>
            <w:r w:rsidRPr="00E44F3E">
              <w:t>. However, other medicines in the same class (</w:t>
            </w:r>
            <w:proofErr w:type="spellStart"/>
            <w:r w:rsidRPr="00E44F3E">
              <w:t>ie</w:t>
            </w:r>
            <w:proofErr w:type="spellEnd"/>
            <w:r w:rsidR="00FD696C">
              <w:t>,</w:t>
            </w:r>
            <w:r w:rsidRPr="00E44F3E">
              <w:t xml:space="preserve"> </w:t>
            </w:r>
            <w:proofErr w:type="spellStart"/>
            <w:r w:rsidRPr="00E44F3E">
              <w:t>dasatinib</w:t>
            </w:r>
            <w:proofErr w:type="spellEnd"/>
            <w:r w:rsidRPr="00E44F3E">
              <w:t xml:space="preserve">) are. </w:t>
            </w:r>
          </w:p>
          <w:p w14:paraId="5BA05D3C" w14:textId="66495CC0" w:rsidR="00027F4B" w:rsidRPr="00E44F3E" w:rsidRDefault="00027F4B" w:rsidP="00A50B76">
            <w:pPr>
              <w:pStyle w:val="TableBullet"/>
              <w:keepLines/>
            </w:pPr>
            <w:r w:rsidRPr="00E44F3E">
              <w:lastRenderedPageBreak/>
              <w:t xml:space="preserve">The primary objective was major molecular response rate (MMR) at 24 weeks. At 24-weeks the MMR was 26% </w:t>
            </w:r>
            <w:r w:rsidR="00AF2B0E">
              <w:t>vs</w:t>
            </w:r>
            <w:r w:rsidRPr="00E44F3E">
              <w:t xml:space="preserve"> 13% in the comparator. </w:t>
            </w:r>
          </w:p>
          <w:p w14:paraId="3225A715" w14:textId="277828D0" w:rsidR="00027F4B" w:rsidRPr="00E44F3E" w:rsidRDefault="00027F4B" w:rsidP="00A50B76">
            <w:pPr>
              <w:pStyle w:val="TableBullet"/>
              <w:keepLines/>
            </w:pPr>
            <w:r w:rsidRPr="00E44F3E">
              <w:t>Quality of life was an exploratory endpoint only. Fewer grade 3</w:t>
            </w:r>
            <w:r w:rsidR="00FE7220">
              <w:t>–</w:t>
            </w:r>
            <w:r w:rsidRPr="00E44F3E">
              <w:t xml:space="preserve">4 toxicities that affect wellbeing of patients were demonstrated. </w:t>
            </w:r>
          </w:p>
        </w:tc>
      </w:tr>
      <w:tr w:rsidR="00027F4B" w:rsidRPr="00E44F3E" w14:paraId="11BDE29D" w14:textId="77777777" w:rsidTr="008979AC">
        <w:trPr>
          <w:trHeight w:val="20"/>
        </w:trPr>
        <w:tc>
          <w:tcPr>
            <w:tcW w:w="529" w:type="pct"/>
            <w:tcBorders>
              <w:top w:val="single" w:sz="4" w:space="0" w:color="C2D9BA"/>
              <w:bottom w:val="single" w:sz="4" w:space="0" w:color="C2D9BA"/>
            </w:tcBorders>
          </w:tcPr>
          <w:p w14:paraId="113C9674" w14:textId="77777777" w:rsidR="00027F4B" w:rsidRPr="00E44F3E" w:rsidRDefault="00027F4B" w:rsidP="00A50B76">
            <w:pPr>
              <w:pStyle w:val="TableText"/>
              <w:keepLines/>
            </w:pPr>
            <w:r w:rsidRPr="00E44F3E">
              <w:lastRenderedPageBreak/>
              <w:t>Azacitidine*</w:t>
            </w:r>
          </w:p>
        </w:tc>
        <w:tc>
          <w:tcPr>
            <w:tcW w:w="677" w:type="pct"/>
            <w:tcBorders>
              <w:top w:val="single" w:sz="4" w:space="0" w:color="C2D9BA"/>
              <w:bottom w:val="single" w:sz="4" w:space="0" w:color="C2D9BA"/>
            </w:tcBorders>
            <w:shd w:val="clear" w:color="auto" w:fill="auto"/>
          </w:tcPr>
          <w:p w14:paraId="5C64A838" w14:textId="77777777" w:rsidR="00027F4B" w:rsidRPr="00E44F3E" w:rsidRDefault="00027F4B" w:rsidP="00A50B76">
            <w:pPr>
              <w:pStyle w:val="TableText"/>
              <w:keepLines/>
            </w:pPr>
            <w:proofErr w:type="spellStart"/>
            <w:r w:rsidRPr="00E44F3E">
              <w:t>Venetoclax</w:t>
            </w:r>
            <w:proofErr w:type="spellEnd"/>
            <w:r w:rsidRPr="00E44F3E">
              <w:t>*</w:t>
            </w:r>
          </w:p>
        </w:tc>
        <w:tc>
          <w:tcPr>
            <w:tcW w:w="596" w:type="pct"/>
            <w:tcBorders>
              <w:top w:val="single" w:sz="4" w:space="0" w:color="C2D9BA"/>
              <w:bottom w:val="single" w:sz="4" w:space="0" w:color="C2D9BA"/>
            </w:tcBorders>
          </w:tcPr>
          <w:p w14:paraId="1C966282" w14:textId="77777777" w:rsidR="00027F4B" w:rsidRPr="00E44F3E" w:rsidRDefault="00027F4B" w:rsidP="00A50B76">
            <w:pPr>
              <w:pStyle w:val="TableText"/>
              <w:keepLines/>
            </w:pPr>
            <w:r w:rsidRPr="00E44F3E">
              <w:t>Acute myeloid leukaemia (AML)</w:t>
            </w:r>
          </w:p>
        </w:tc>
        <w:tc>
          <w:tcPr>
            <w:tcW w:w="894" w:type="pct"/>
            <w:tcBorders>
              <w:top w:val="single" w:sz="4" w:space="0" w:color="C2D9BA"/>
              <w:bottom w:val="single" w:sz="4" w:space="0" w:color="C2D9BA"/>
            </w:tcBorders>
            <w:shd w:val="clear" w:color="auto" w:fill="auto"/>
          </w:tcPr>
          <w:p w14:paraId="504DD9DC" w14:textId="47C27F17" w:rsidR="00027F4B" w:rsidRPr="00E44F3E" w:rsidRDefault="00027F4B" w:rsidP="00A50B76">
            <w:pPr>
              <w:pStyle w:val="TableText"/>
              <w:keepLines/>
            </w:pPr>
            <w:r w:rsidRPr="00E44F3E">
              <w:t>Patients who are unfit for intensive chemotherapy</w:t>
            </w:r>
          </w:p>
        </w:tc>
        <w:tc>
          <w:tcPr>
            <w:tcW w:w="573" w:type="pct"/>
            <w:tcBorders>
              <w:top w:val="single" w:sz="4" w:space="0" w:color="C2D9BA"/>
              <w:bottom w:val="single" w:sz="4" w:space="0" w:color="C2D9BA"/>
            </w:tcBorders>
          </w:tcPr>
          <w:p w14:paraId="375CBF2A" w14:textId="1AC5D88A" w:rsidR="00027F4B" w:rsidRPr="00E44F3E" w:rsidRDefault="00027F4B" w:rsidP="00A50B76">
            <w:pPr>
              <w:pStyle w:val="TableText"/>
              <w:keepLines/>
              <w:jc w:val="center"/>
            </w:pPr>
            <w:r w:rsidRPr="00E44F3E">
              <w:t>VIALE-A</w:t>
            </w:r>
          </w:p>
          <w:p w14:paraId="7C1E858C" w14:textId="136D8150" w:rsidR="00027F4B" w:rsidRPr="00E44F3E" w:rsidRDefault="00027F4B" w:rsidP="00A50B76">
            <w:pPr>
              <w:pStyle w:val="TableText"/>
              <w:keepLines/>
              <w:jc w:val="center"/>
            </w:pPr>
            <w:r w:rsidRPr="00E44F3E">
              <w:t xml:space="preserve">(DiNardo </w:t>
            </w:r>
            <w:r w:rsidR="00EC1065" w:rsidRPr="00E44F3E">
              <w:t>et al</w:t>
            </w:r>
            <w:r w:rsidRPr="00E44F3E">
              <w:t xml:space="preserve"> 2020; </w:t>
            </w:r>
            <w:proofErr w:type="spellStart"/>
            <w:r w:rsidRPr="00E44F3E">
              <w:t>Pratz</w:t>
            </w:r>
            <w:proofErr w:type="spellEnd"/>
            <w:r w:rsidRPr="00E44F3E">
              <w:t xml:space="preserve"> </w:t>
            </w:r>
            <w:r w:rsidR="00EC1065" w:rsidRPr="00E44F3E">
              <w:t>et al</w:t>
            </w:r>
            <w:r w:rsidRPr="00E44F3E">
              <w:t xml:space="preserve"> 2024)</w:t>
            </w:r>
          </w:p>
        </w:tc>
        <w:tc>
          <w:tcPr>
            <w:tcW w:w="455" w:type="pct"/>
            <w:tcBorders>
              <w:top w:val="single" w:sz="4" w:space="0" w:color="C2D9BA"/>
              <w:bottom w:val="single" w:sz="4" w:space="0" w:color="C2D9BA"/>
            </w:tcBorders>
          </w:tcPr>
          <w:p w14:paraId="3694CD39" w14:textId="108CA5B1" w:rsidR="00027F4B" w:rsidRPr="00E44F3E" w:rsidRDefault="00027F4B" w:rsidP="00A50B76">
            <w:pPr>
              <w:pStyle w:val="TableText"/>
              <w:keepLines/>
              <w:jc w:val="center"/>
              <w:rPr>
                <w:b/>
                <w:bCs/>
              </w:rPr>
            </w:pPr>
            <w:r w:rsidRPr="00E44F3E">
              <w:rPr>
                <w:b/>
                <w:bCs/>
              </w:rPr>
              <w:t>5</w:t>
            </w:r>
          </w:p>
          <w:p w14:paraId="0591C533" w14:textId="77777777" w:rsidR="00027F4B" w:rsidRPr="00E44F3E" w:rsidRDefault="00027F4B" w:rsidP="00A50B76">
            <w:pPr>
              <w:pStyle w:val="TableText"/>
              <w:keepLines/>
              <w:jc w:val="center"/>
            </w:pPr>
            <w:r w:rsidRPr="00E44F3E">
              <w:t>(2a)</w:t>
            </w:r>
          </w:p>
        </w:tc>
        <w:tc>
          <w:tcPr>
            <w:tcW w:w="1276" w:type="pct"/>
            <w:tcBorders>
              <w:top w:val="single" w:sz="4" w:space="0" w:color="C2D9BA"/>
              <w:bottom w:val="single" w:sz="4" w:space="0" w:color="C2D9BA"/>
            </w:tcBorders>
          </w:tcPr>
          <w:p w14:paraId="6DFB6D54" w14:textId="37647579" w:rsidR="00027F4B" w:rsidRPr="00E44F3E" w:rsidRDefault="00027F4B" w:rsidP="00A50B76">
            <w:pPr>
              <w:pStyle w:val="TableBullet"/>
              <w:keepLines/>
            </w:pPr>
            <w:r w:rsidRPr="00E44F3E">
              <w:t>Derived ESMO-MCBS:H score is based on azacitidine monotherapy</w:t>
            </w:r>
            <w:r w:rsidR="0068046B">
              <w:t>,</w:t>
            </w:r>
            <w:r w:rsidRPr="00E44F3E">
              <w:t xml:space="preserve"> which is not available for most AML patients in </w:t>
            </w:r>
            <w:r w:rsidR="00E6006E">
              <w:t>Aotearoa New </w:t>
            </w:r>
            <w:r w:rsidR="007C6B5B">
              <w:t>Zealand</w:t>
            </w:r>
            <w:r w:rsidRPr="00E44F3E">
              <w:t xml:space="preserve">. Clinical advice was that the gap in </w:t>
            </w:r>
            <w:r w:rsidR="00E6006E">
              <w:t>Aotearoa New </w:t>
            </w:r>
            <w:r w:rsidR="007C6B5B">
              <w:t>Zealand</w:t>
            </w:r>
            <w:r w:rsidRPr="00E44F3E">
              <w:t xml:space="preserve"> would therefore be materially larger</w:t>
            </w:r>
            <w:r w:rsidR="0068046B">
              <w:t>,</w:t>
            </w:r>
            <w:r w:rsidRPr="00E44F3E">
              <w:t xml:space="preserve"> so the derived score was upgraded from a 4 to a 5. </w:t>
            </w:r>
          </w:p>
          <w:p w14:paraId="619E1D6F" w14:textId="63FC651D" w:rsidR="00027F4B" w:rsidRPr="00E44F3E" w:rsidRDefault="00027F4B" w:rsidP="00A50B76">
            <w:pPr>
              <w:pStyle w:val="TableBullet"/>
              <w:keepLines/>
            </w:pPr>
            <w:r w:rsidRPr="00E44F3E">
              <w:t>The primary trial endpoint was overall survival. After a median of 20.5 months follow-up</w:t>
            </w:r>
            <w:r w:rsidR="0068046B">
              <w:t>,</w:t>
            </w:r>
            <w:r w:rsidRPr="00E44F3E">
              <w:t xml:space="preserve"> overall survival was 15 months in the </w:t>
            </w:r>
            <w:r w:rsidR="00D148C7" w:rsidRPr="00E44F3E">
              <w:t>azacitidine</w:t>
            </w:r>
            <w:r w:rsidRPr="00E44F3E">
              <w:t xml:space="preserve"> with </w:t>
            </w:r>
            <w:proofErr w:type="spellStart"/>
            <w:r w:rsidR="00D148C7" w:rsidRPr="00E44F3E">
              <w:t>venetoclax</w:t>
            </w:r>
            <w:proofErr w:type="spellEnd"/>
            <w:r w:rsidRPr="00E44F3E">
              <w:t xml:space="preserve"> group </w:t>
            </w:r>
            <w:r w:rsidR="00AF2B0E">
              <w:t>vs</w:t>
            </w:r>
            <w:r w:rsidRPr="00E44F3E">
              <w:t xml:space="preserve"> 9.6 in the control arm.</w:t>
            </w:r>
          </w:p>
          <w:p w14:paraId="09DC1726" w14:textId="1E379367" w:rsidR="00027F4B" w:rsidRPr="00E44F3E" w:rsidRDefault="00027F4B" w:rsidP="00A50B76">
            <w:pPr>
              <w:pStyle w:val="TableBullet"/>
              <w:keepLines/>
            </w:pPr>
            <w:r w:rsidRPr="00E44F3E">
              <w:t>Quality of life was measured as a secondary endpoint but no difference in the two groups was reported.</w:t>
            </w:r>
            <w:r w:rsidR="00B1682D" w:rsidRPr="00E44F3E">
              <w:t xml:space="preserve"> </w:t>
            </w:r>
          </w:p>
          <w:p w14:paraId="5B70CEE4" w14:textId="64BFE3F9" w:rsidR="00027F4B" w:rsidRPr="00E44F3E" w:rsidRDefault="00027F4B" w:rsidP="00A50B76">
            <w:pPr>
              <w:pStyle w:val="TableBullet"/>
              <w:keepLines/>
            </w:pPr>
            <w:r w:rsidRPr="00E44F3E">
              <w:t xml:space="preserve">Both azacitidine and </w:t>
            </w:r>
            <w:proofErr w:type="spellStart"/>
            <w:r w:rsidR="00D148C7" w:rsidRPr="00E44F3E">
              <w:t>venetoclax</w:t>
            </w:r>
            <w:proofErr w:type="spellEnd"/>
            <w:r w:rsidRPr="00E44F3E">
              <w:t xml:space="preserve"> would need to be funded for this indication to close this gap. </w:t>
            </w:r>
          </w:p>
        </w:tc>
      </w:tr>
      <w:tr w:rsidR="00027F4B" w:rsidRPr="00E44F3E" w14:paraId="69C4CC49" w14:textId="77777777" w:rsidTr="008979AC">
        <w:trPr>
          <w:trHeight w:val="20"/>
        </w:trPr>
        <w:tc>
          <w:tcPr>
            <w:tcW w:w="529" w:type="pct"/>
            <w:tcBorders>
              <w:top w:val="single" w:sz="4" w:space="0" w:color="C2D9BA"/>
              <w:bottom w:val="single" w:sz="4" w:space="0" w:color="C2D9BA"/>
            </w:tcBorders>
          </w:tcPr>
          <w:p w14:paraId="3CAB5616" w14:textId="77777777" w:rsidR="00027F4B" w:rsidRPr="00E44F3E" w:rsidRDefault="00027F4B" w:rsidP="00A50B76">
            <w:pPr>
              <w:pStyle w:val="TableText"/>
              <w:keepLines/>
            </w:pPr>
            <w:r w:rsidRPr="00E44F3E">
              <w:lastRenderedPageBreak/>
              <w:t>Blinatumomab</w:t>
            </w:r>
          </w:p>
        </w:tc>
        <w:tc>
          <w:tcPr>
            <w:tcW w:w="677" w:type="pct"/>
            <w:tcBorders>
              <w:top w:val="single" w:sz="4" w:space="0" w:color="C2D9BA"/>
              <w:bottom w:val="single" w:sz="4" w:space="0" w:color="C2D9BA"/>
            </w:tcBorders>
            <w:shd w:val="clear" w:color="auto" w:fill="auto"/>
          </w:tcPr>
          <w:p w14:paraId="1412548D" w14:textId="77777777" w:rsidR="00027F4B" w:rsidRPr="00E44F3E" w:rsidRDefault="00027F4B" w:rsidP="00A50B76">
            <w:pPr>
              <w:pStyle w:val="TableText"/>
              <w:keepLines/>
            </w:pPr>
            <w:r w:rsidRPr="00E44F3E">
              <w:t>Monotherapy</w:t>
            </w:r>
          </w:p>
        </w:tc>
        <w:tc>
          <w:tcPr>
            <w:tcW w:w="596" w:type="pct"/>
            <w:tcBorders>
              <w:top w:val="single" w:sz="4" w:space="0" w:color="C2D9BA"/>
              <w:bottom w:val="single" w:sz="4" w:space="0" w:color="C2D9BA"/>
            </w:tcBorders>
          </w:tcPr>
          <w:p w14:paraId="1E424E70" w14:textId="3A122E19" w:rsidR="00027F4B" w:rsidRPr="00E44F3E" w:rsidRDefault="00D148C7" w:rsidP="00A50B76">
            <w:pPr>
              <w:pStyle w:val="TableText"/>
              <w:keepLines/>
            </w:pPr>
            <w:r w:rsidRPr="00E44F3E">
              <w:t>Precursor</w:t>
            </w:r>
            <w:r w:rsidR="00027F4B" w:rsidRPr="00E44F3E">
              <w:t xml:space="preserve"> B-cell acute lymphoblastic leukaemia</w:t>
            </w:r>
            <w:r w:rsidR="00B1682D" w:rsidRPr="00E44F3E">
              <w:t xml:space="preserve"> </w:t>
            </w:r>
            <w:r w:rsidR="00027F4B" w:rsidRPr="00E44F3E">
              <w:t>(</w:t>
            </w:r>
            <w:r>
              <w:t>p</w:t>
            </w:r>
            <w:r w:rsidR="00027F4B" w:rsidRPr="00E44F3E">
              <w:t>re-B</w:t>
            </w:r>
            <w:r>
              <w:noBreakHyphen/>
            </w:r>
            <w:r w:rsidR="00027F4B" w:rsidRPr="00E44F3E">
              <w:t>cell ALL)</w:t>
            </w:r>
          </w:p>
        </w:tc>
        <w:tc>
          <w:tcPr>
            <w:tcW w:w="894" w:type="pct"/>
            <w:tcBorders>
              <w:top w:val="single" w:sz="4" w:space="0" w:color="C2D9BA"/>
              <w:bottom w:val="single" w:sz="4" w:space="0" w:color="C2D9BA"/>
            </w:tcBorders>
            <w:shd w:val="clear" w:color="auto" w:fill="auto"/>
          </w:tcPr>
          <w:p w14:paraId="70C7CE6A" w14:textId="77777777" w:rsidR="00027F4B" w:rsidRPr="00E44F3E" w:rsidRDefault="00027F4B" w:rsidP="00A50B76">
            <w:pPr>
              <w:pStyle w:val="TableText"/>
              <w:keepLines/>
            </w:pPr>
            <w:r w:rsidRPr="00E44F3E">
              <w:t xml:space="preserve">Patients with relapsed or refractory disease </w:t>
            </w:r>
          </w:p>
        </w:tc>
        <w:tc>
          <w:tcPr>
            <w:tcW w:w="573" w:type="pct"/>
            <w:tcBorders>
              <w:top w:val="single" w:sz="4" w:space="0" w:color="C2D9BA"/>
              <w:bottom w:val="single" w:sz="4" w:space="0" w:color="C2D9BA"/>
            </w:tcBorders>
          </w:tcPr>
          <w:p w14:paraId="7E76E350" w14:textId="65A1DB57" w:rsidR="00027F4B" w:rsidRPr="00E44F3E" w:rsidRDefault="00027F4B" w:rsidP="00A50B76">
            <w:pPr>
              <w:pStyle w:val="TableText"/>
              <w:keepLines/>
              <w:jc w:val="center"/>
            </w:pPr>
            <w:r w:rsidRPr="00E44F3E">
              <w:t>TOWER</w:t>
            </w:r>
          </w:p>
          <w:p w14:paraId="31FB7C49" w14:textId="3D55DBAB" w:rsidR="00027F4B" w:rsidRPr="00E44F3E" w:rsidRDefault="00027F4B" w:rsidP="00A50B76">
            <w:pPr>
              <w:pStyle w:val="TableText"/>
              <w:keepLines/>
              <w:jc w:val="center"/>
            </w:pPr>
            <w:r w:rsidRPr="00E44F3E">
              <w:t>(</w:t>
            </w:r>
            <w:proofErr w:type="spellStart"/>
            <w:r w:rsidRPr="00E44F3E">
              <w:t>Kantarjian</w:t>
            </w:r>
            <w:proofErr w:type="spellEnd"/>
            <w:r w:rsidRPr="00E44F3E">
              <w:t xml:space="preserve"> </w:t>
            </w:r>
            <w:r w:rsidR="00EC1065" w:rsidRPr="00E44F3E">
              <w:t>et al</w:t>
            </w:r>
            <w:r w:rsidRPr="00E44F3E">
              <w:t xml:space="preserve"> 2017; </w:t>
            </w:r>
            <w:proofErr w:type="spellStart"/>
            <w:r w:rsidRPr="00E44F3E">
              <w:t>Topp</w:t>
            </w:r>
            <w:proofErr w:type="spellEnd"/>
            <w:r w:rsidRPr="00E44F3E">
              <w:t xml:space="preserve"> </w:t>
            </w:r>
            <w:r w:rsidR="00EC1065" w:rsidRPr="00E44F3E">
              <w:t>et al</w:t>
            </w:r>
            <w:r w:rsidRPr="00E44F3E">
              <w:t xml:space="preserve"> 2018)</w:t>
            </w:r>
          </w:p>
        </w:tc>
        <w:tc>
          <w:tcPr>
            <w:tcW w:w="455" w:type="pct"/>
            <w:tcBorders>
              <w:top w:val="single" w:sz="4" w:space="0" w:color="C2D9BA"/>
              <w:bottom w:val="single" w:sz="4" w:space="0" w:color="C2D9BA"/>
            </w:tcBorders>
          </w:tcPr>
          <w:p w14:paraId="63490C4E" w14:textId="7C33A044" w:rsidR="00027F4B" w:rsidRPr="00E44F3E" w:rsidRDefault="00027F4B" w:rsidP="00A50B76">
            <w:pPr>
              <w:pStyle w:val="TableText"/>
              <w:keepLines/>
              <w:jc w:val="center"/>
              <w:rPr>
                <w:b/>
                <w:bCs/>
              </w:rPr>
            </w:pPr>
            <w:r w:rsidRPr="00E44F3E">
              <w:rPr>
                <w:b/>
                <w:bCs/>
              </w:rPr>
              <w:t>5</w:t>
            </w:r>
          </w:p>
          <w:p w14:paraId="0469FA69" w14:textId="77777777" w:rsidR="00027F4B" w:rsidRPr="00E44F3E" w:rsidRDefault="00027F4B" w:rsidP="00A50B76">
            <w:pPr>
              <w:pStyle w:val="TableText"/>
              <w:keepLines/>
              <w:jc w:val="center"/>
            </w:pPr>
            <w:r w:rsidRPr="00E44F3E">
              <w:t>(2a)</w:t>
            </w:r>
          </w:p>
        </w:tc>
        <w:tc>
          <w:tcPr>
            <w:tcW w:w="1276" w:type="pct"/>
            <w:tcBorders>
              <w:top w:val="single" w:sz="4" w:space="0" w:color="C2D9BA"/>
              <w:bottom w:val="single" w:sz="4" w:space="0" w:color="C2D9BA"/>
            </w:tcBorders>
          </w:tcPr>
          <w:p w14:paraId="66C02DAF" w14:textId="29A27531" w:rsidR="00027F4B" w:rsidRPr="00E44F3E" w:rsidRDefault="00027F4B" w:rsidP="00A50B76">
            <w:pPr>
              <w:pStyle w:val="TableBullet"/>
              <w:keepLines/>
            </w:pPr>
            <w:r w:rsidRPr="00E44F3E">
              <w:t xml:space="preserve">Derived ESMO-MCBS:H score is based on a comparator (chemotherapy) </w:t>
            </w:r>
            <w:r w:rsidR="00ED40AD">
              <w:t xml:space="preserve">that </w:t>
            </w:r>
            <w:r w:rsidRPr="00E44F3E">
              <w:t xml:space="preserve">is available in </w:t>
            </w:r>
            <w:r w:rsidR="00E6006E">
              <w:t>Aotearoa New </w:t>
            </w:r>
            <w:r w:rsidR="007C6B5B">
              <w:t>Zealand</w:t>
            </w:r>
            <w:r w:rsidRPr="00E44F3E">
              <w:t xml:space="preserve">. </w:t>
            </w:r>
          </w:p>
          <w:p w14:paraId="75A5794C" w14:textId="58769950" w:rsidR="00027F4B" w:rsidRPr="00E44F3E" w:rsidRDefault="00027F4B" w:rsidP="00A50B76">
            <w:pPr>
              <w:pStyle w:val="TableBullet"/>
              <w:keepLines/>
            </w:pPr>
            <w:r w:rsidRPr="00E44F3E">
              <w:t>The primary endpoint was overall survival.</w:t>
            </w:r>
            <w:r w:rsidR="00B1682D" w:rsidRPr="00E44F3E">
              <w:t xml:space="preserve"> </w:t>
            </w:r>
            <w:r w:rsidRPr="00E44F3E">
              <w:t xml:space="preserve">The median overall survival was 8 months with blinatumomab </w:t>
            </w:r>
            <w:r w:rsidR="00AF2B0E">
              <w:t>vs</w:t>
            </w:r>
            <w:r w:rsidRPr="00E44F3E">
              <w:t xml:space="preserve"> 4 months in the chemotherapy group.</w:t>
            </w:r>
          </w:p>
          <w:p w14:paraId="682B59EF" w14:textId="77777777" w:rsidR="00027F4B" w:rsidRPr="00E44F3E" w:rsidRDefault="00027F4B" w:rsidP="00A50B76">
            <w:pPr>
              <w:pStyle w:val="TableBullet"/>
              <w:keepLines/>
            </w:pPr>
            <w:r w:rsidRPr="00E44F3E">
              <w:t xml:space="preserve">The derived score was upgraded due to evidence of improved quality of life. </w:t>
            </w:r>
          </w:p>
          <w:p w14:paraId="62261371" w14:textId="5E78F444" w:rsidR="00027F4B" w:rsidRPr="00E44F3E" w:rsidRDefault="00027F4B" w:rsidP="00A50B76">
            <w:pPr>
              <w:pStyle w:val="TableBullet"/>
              <w:keepLines/>
            </w:pPr>
            <w:r w:rsidRPr="00E44F3E">
              <w:t xml:space="preserve">Clinical advice indicated this treatment would likely be considered curative (as a path to allograft) in </w:t>
            </w:r>
            <w:r w:rsidR="00C86655">
              <w:t xml:space="preserve">an </w:t>
            </w:r>
            <w:r w:rsidR="00E6006E">
              <w:t>Aotearoa New </w:t>
            </w:r>
            <w:r w:rsidR="007C6B5B">
              <w:t>Zealand</w:t>
            </w:r>
            <w:r w:rsidRPr="00E44F3E">
              <w:t xml:space="preserve"> context despite it not reaching the threshold for curative therapies with the ESMO-MCBS:H</w:t>
            </w:r>
            <w:r w:rsidR="00C86655">
              <w:t>.</w:t>
            </w:r>
            <w:r w:rsidRPr="00E44F3E">
              <w:t xml:space="preserve"> </w:t>
            </w:r>
          </w:p>
        </w:tc>
      </w:tr>
      <w:tr w:rsidR="00027F4B" w:rsidRPr="00E44F3E" w14:paraId="48B604B1" w14:textId="77777777" w:rsidTr="008979AC">
        <w:trPr>
          <w:trHeight w:val="20"/>
        </w:trPr>
        <w:tc>
          <w:tcPr>
            <w:tcW w:w="529" w:type="pct"/>
            <w:tcBorders>
              <w:top w:val="single" w:sz="4" w:space="0" w:color="C2D9BA"/>
              <w:bottom w:val="single" w:sz="4" w:space="0" w:color="C2D9BA"/>
            </w:tcBorders>
          </w:tcPr>
          <w:p w14:paraId="3DDDFE7C" w14:textId="77777777" w:rsidR="00027F4B" w:rsidRPr="00E44F3E" w:rsidRDefault="00027F4B" w:rsidP="00A50B76">
            <w:pPr>
              <w:pStyle w:val="TableText"/>
              <w:keepLines/>
            </w:pPr>
            <w:proofErr w:type="spellStart"/>
            <w:r w:rsidRPr="00E44F3E">
              <w:t>Gilteritinib</w:t>
            </w:r>
            <w:proofErr w:type="spellEnd"/>
          </w:p>
        </w:tc>
        <w:tc>
          <w:tcPr>
            <w:tcW w:w="677" w:type="pct"/>
            <w:tcBorders>
              <w:top w:val="single" w:sz="4" w:space="0" w:color="C2D9BA"/>
              <w:bottom w:val="single" w:sz="4" w:space="0" w:color="C2D9BA"/>
            </w:tcBorders>
            <w:shd w:val="clear" w:color="auto" w:fill="auto"/>
          </w:tcPr>
          <w:p w14:paraId="0878BF74" w14:textId="77777777" w:rsidR="00027F4B" w:rsidRPr="00E44F3E" w:rsidRDefault="00027F4B" w:rsidP="00A50B76">
            <w:pPr>
              <w:pStyle w:val="TableText"/>
              <w:keepLines/>
            </w:pPr>
            <w:r w:rsidRPr="00E44F3E">
              <w:t>Monotherapy</w:t>
            </w:r>
          </w:p>
        </w:tc>
        <w:tc>
          <w:tcPr>
            <w:tcW w:w="596" w:type="pct"/>
            <w:tcBorders>
              <w:top w:val="single" w:sz="4" w:space="0" w:color="C2D9BA"/>
              <w:bottom w:val="single" w:sz="4" w:space="0" w:color="C2D9BA"/>
            </w:tcBorders>
          </w:tcPr>
          <w:p w14:paraId="1B5587E8" w14:textId="77777777" w:rsidR="00027F4B" w:rsidRPr="00E44F3E" w:rsidRDefault="00027F4B" w:rsidP="00A50B76">
            <w:pPr>
              <w:pStyle w:val="TableText"/>
              <w:keepLines/>
            </w:pPr>
            <w:r w:rsidRPr="00E44F3E">
              <w:t>Acute myeloid leukaemia (AML)</w:t>
            </w:r>
          </w:p>
        </w:tc>
        <w:tc>
          <w:tcPr>
            <w:tcW w:w="894" w:type="pct"/>
            <w:tcBorders>
              <w:top w:val="single" w:sz="4" w:space="0" w:color="C2D9BA"/>
              <w:bottom w:val="single" w:sz="4" w:space="0" w:color="C2D9BA"/>
            </w:tcBorders>
            <w:shd w:val="clear" w:color="auto" w:fill="auto"/>
          </w:tcPr>
          <w:p w14:paraId="3B4B7CB0" w14:textId="613FC7DE" w:rsidR="00027F4B" w:rsidRPr="00E44F3E" w:rsidRDefault="00027F4B" w:rsidP="00A50B76">
            <w:pPr>
              <w:pStyle w:val="TableText"/>
              <w:keepLines/>
            </w:pPr>
            <w:r w:rsidRPr="00E44F3E">
              <w:t>Relapsed or refractory with FLT3 ITD or TKD mutation</w:t>
            </w:r>
          </w:p>
        </w:tc>
        <w:tc>
          <w:tcPr>
            <w:tcW w:w="573" w:type="pct"/>
            <w:tcBorders>
              <w:top w:val="single" w:sz="4" w:space="0" w:color="C2D9BA"/>
              <w:bottom w:val="single" w:sz="4" w:space="0" w:color="C2D9BA"/>
            </w:tcBorders>
          </w:tcPr>
          <w:p w14:paraId="181DF00E" w14:textId="6180751D" w:rsidR="00027F4B" w:rsidRPr="00E44F3E" w:rsidRDefault="00027F4B" w:rsidP="00A50B76">
            <w:pPr>
              <w:pStyle w:val="TableText"/>
              <w:keepLines/>
              <w:jc w:val="center"/>
            </w:pPr>
            <w:r w:rsidRPr="00E44F3E">
              <w:t>ADMIRAL</w:t>
            </w:r>
          </w:p>
          <w:p w14:paraId="4F8EF8F7" w14:textId="5C78B806" w:rsidR="00027F4B" w:rsidRPr="00E44F3E" w:rsidRDefault="00027F4B" w:rsidP="00A50B76">
            <w:pPr>
              <w:pStyle w:val="TableText"/>
              <w:keepLines/>
              <w:jc w:val="center"/>
            </w:pPr>
            <w:r w:rsidRPr="00E44F3E">
              <w:t xml:space="preserve">(Perl </w:t>
            </w:r>
            <w:r w:rsidR="00EC1065" w:rsidRPr="00E44F3E">
              <w:t>et al</w:t>
            </w:r>
            <w:r w:rsidRPr="00E44F3E">
              <w:t xml:space="preserve"> 2022; Perl </w:t>
            </w:r>
            <w:r w:rsidR="00EC1065" w:rsidRPr="00E44F3E">
              <w:t>et al</w:t>
            </w:r>
            <w:r w:rsidRPr="00E44F3E">
              <w:t xml:space="preserve"> 2023; Perl </w:t>
            </w:r>
            <w:r w:rsidR="00EC1065" w:rsidRPr="00E44F3E">
              <w:t>et al</w:t>
            </w:r>
            <w:r w:rsidRPr="00E44F3E">
              <w:t xml:space="preserve"> 2019)</w:t>
            </w:r>
          </w:p>
        </w:tc>
        <w:tc>
          <w:tcPr>
            <w:tcW w:w="455" w:type="pct"/>
            <w:tcBorders>
              <w:top w:val="single" w:sz="4" w:space="0" w:color="C2D9BA"/>
              <w:bottom w:val="single" w:sz="4" w:space="0" w:color="C2D9BA"/>
            </w:tcBorders>
          </w:tcPr>
          <w:p w14:paraId="6FCB4F2F" w14:textId="152C1952" w:rsidR="00027F4B" w:rsidRPr="00E44F3E" w:rsidRDefault="00027F4B" w:rsidP="00A50B76">
            <w:pPr>
              <w:pStyle w:val="TableText"/>
              <w:keepLines/>
              <w:jc w:val="center"/>
              <w:rPr>
                <w:b/>
                <w:bCs/>
              </w:rPr>
            </w:pPr>
            <w:r w:rsidRPr="00E44F3E">
              <w:rPr>
                <w:b/>
                <w:bCs/>
              </w:rPr>
              <w:t>4</w:t>
            </w:r>
          </w:p>
          <w:p w14:paraId="65A9A0AE" w14:textId="77777777" w:rsidR="00027F4B" w:rsidRPr="00E44F3E" w:rsidRDefault="00027F4B" w:rsidP="00A50B76">
            <w:pPr>
              <w:pStyle w:val="TableText"/>
              <w:keepLines/>
              <w:jc w:val="center"/>
            </w:pPr>
            <w:r w:rsidRPr="00E44F3E">
              <w:t>(2a)</w:t>
            </w:r>
          </w:p>
        </w:tc>
        <w:tc>
          <w:tcPr>
            <w:tcW w:w="1276" w:type="pct"/>
            <w:tcBorders>
              <w:top w:val="single" w:sz="4" w:space="0" w:color="C2D9BA"/>
              <w:bottom w:val="single" w:sz="4" w:space="0" w:color="C2D9BA"/>
            </w:tcBorders>
          </w:tcPr>
          <w:p w14:paraId="2CE8FACF" w14:textId="387EC627" w:rsidR="00027F4B" w:rsidRPr="00E44F3E" w:rsidRDefault="00027F4B" w:rsidP="00A50B76">
            <w:pPr>
              <w:pStyle w:val="TableBullet"/>
              <w:keepLines/>
            </w:pPr>
            <w:r w:rsidRPr="00E44F3E">
              <w:t xml:space="preserve">Derived ESMO-MCBS:H score is based on a comparator (salvage chemotherapy) </w:t>
            </w:r>
            <w:r w:rsidR="00ED40AD">
              <w:t xml:space="preserve">that </w:t>
            </w:r>
            <w:r w:rsidRPr="00E44F3E">
              <w:t xml:space="preserve">is available in </w:t>
            </w:r>
            <w:r w:rsidR="00E6006E">
              <w:t>Aotearoa New </w:t>
            </w:r>
            <w:r w:rsidR="007C6B5B">
              <w:t>Zealand</w:t>
            </w:r>
            <w:r w:rsidRPr="00E44F3E">
              <w:t xml:space="preserve">. </w:t>
            </w:r>
          </w:p>
          <w:p w14:paraId="00EAAAE6" w14:textId="7284858E" w:rsidR="00027F4B" w:rsidRPr="00E44F3E" w:rsidRDefault="00027F4B" w:rsidP="00A50B76">
            <w:pPr>
              <w:pStyle w:val="TableBullet"/>
              <w:keepLines/>
            </w:pPr>
            <w:r w:rsidRPr="00E44F3E">
              <w:t xml:space="preserve">The primary endpoint was overall survival. The median overall survival was 9 months with </w:t>
            </w:r>
            <w:proofErr w:type="spellStart"/>
            <w:r w:rsidRPr="00E44F3E">
              <w:t>gilteritinib</w:t>
            </w:r>
            <w:proofErr w:type="spellEnd"/>
            <w:r w:rsidRPr="00E44F3E">
              <w:t xml:space="preserve"> </w:t>
            </w:r>
            <w:r w:rsidR="00AF2B0E">
              <w:t>vs</w:t>
            </w:r>
            <w:r w:rsidRPr="00E44F3E">
              <w:t xml:space="preserve"> 6 months in the salvage chemotherapy group.</w:t>
            </w:r>
          </w:p>
          <w:p w14:paraId="45AAE8E9" w14:textId="77777777" w:rsidR="00027F4B" w:rsidRPr="00E44F3E" w:rsidRDefault="00027F4B" w:rsidP="00A50B76">
            <w:pPr>
              <w:pStyle w:val="TableBullet"/>
              <w:keepLines/>
            </w:pPr>
            <w:r w:rsidRPr="00E44F3E">
              <w:t xml:space="preserve">Quality of life was explored as an exploratory endpoint only. </w:t>
            </w:r>
          </w:p>
        </w:tc>
      </w:tr>
      <w:tr w:rsidR="00E357B8" w:rsidRPr="00E44F3E" w14:paraId="316C98A5" w14:textId="77777777" w:rsidTr="00870BEF">
        <w:trPr>
          <w:trHeight w:val="20"/>
        </w:trPr>
        <w:tc>
          <w:tcPr>
            <w:tcW w:w="529" w:type="pct"/>
            <w:vMerge w:val="restart"/>
            <w:tcBorders>
              <w:top w:val="single" w:sz="4" w:space="0" w:color="C2D9BA"/>
            </w:tcBorders>
          </w:tcPr>
          <w:p w14:paraId="09DEDBA3" w14:textId="7AA961A5" w:rsidR="00E357B8" w:rsidRPr="00E44F3E" w:rsidRDefault="00E357B8" w:rsidP="00A50B76">
            <w:pPr>
              <w:pStyle w:val="TableText"/>
              <w:keepLines/>
            </w:pPr>
            <w:r w:rsidRPr="00E44F3E">
              <w:rPr>
                <w:szCs w:val="18"/>
                <w:lang w:eastAsia="en-NZ"/>
              </w:rPr>
              <w:lastRenderedPageBreak/>
              <w:t>Acalabrutini</w:t>
            </w:r>
            <w:r>
              <w:rPr>
                <w:szCs w:val="18"/>
                <w:lang w:eastAsia="en-NZ"/>
              </w:rPr>
              <w:t>b</w:t>
            </w:r>
            <w:r>
              <w:t xml:space="preserve">, </w:t>
            </w:r>
            <w:r w:rsidRPr="00E44F3E">
              <w:t>Ibrutinib</w:t>
            </w:r>
            <w:r>
              <w:t xml:space="preserve"> or </w:t>
            </w:r>
            <w:r w:rsidRPr="00E44F3E">
              <w:rPr>
                <w:szCs w:val="18"/>
                <w:lang w:eastAsia="en-NZ"/>
              </w:rPr>
              <w:t>Zanubrutinib</w:t>
            </w:r>
          </w:p>
        </w:tc>
        <w:tc>
          <w:tcPr>
            <w:tcW w:w="677" w:type="pct"/>
            <w:vMerge w:val="restart"/>
            <w:tcBorders>
              <w:top w:val="single" w:sz="4" w:space="0" w:color="C2D9BA"/>
            </w:tcBorders>
            <w:shd w:val="clear" w:color="auto" w:fill="auto"/>
          </w:tcPr>
          <w:p w14:paraId="628A2A05" w14:textId="77777777" w:rsidR="00E357B8" w:rsidRPr="00E44F3E" w:rsidRDefault="00E357B8" w:rsidP="00A50B76">
            <w:pPr>
              <w:pStyle w:val="TableText"/>
              <w:keepLines/>
            </w:pPr>
            <w:r w:rsidRPr="00E44F3E">
              <w:t>Monotherapy</w:t>
            </w:r>
          </w:p>
          <w:p w14:paraId="459CADD1" w14:textId="2A8DC9D2" w:rsidR="00E357B8" w:rsidRPr="00E44F3E" w:rsidRDefault="00E357B8" w:rsidP="00CC5856">
            <w:pPr>
              <w:pStyle w:val="TableText"/>
              <w:keepLines/>
            </w:pPr>
          </w:p>
        </w:tc>
        <w:tc>
          <w:tcPr>
            <w:tcW w:w="596" w:type="pct"/>
            <w:vMerge w:val="restart"/>
            <w:tcBorders>
              <w:top w:val="single" w:sz="4" w:space="0" w:color="C2D9BA"/>
            </w:tcBorders>
          </w:tcPr>
          <w:p w14:paraId="200FFDC3" w14:textId="77777777" w:rsidR="00E357B8" w:rsidRPr="00E44F3E" w:rsidRDefault="00E357B8" w:rsidP="00A50B76">
            <w:pPr>
              <w:pStyle w:val="TableText"/>
              <w:keepLines/>
            </w:pPr>
            <w:r w:rsidRPr="00E44F3E">
              <w:t>Mantle cell lymphoma</w:t>
            </w:r>
          </w:p>
          <w:p w14:paraId="26C50E35" w14:textId="034288FB" w:rsidR="00E357B8" w:rsidRPr="00E44F3E" w:rsidRDefault="00E357B8" w:rsidP="00CC5856">
            <w:pPr>
              <w:pStyle w:val="TableText"/>
              <w:keepLines/>
            </w:pPr>
          </w:p>
        </w:tc>
        <w:tc>
          <w:tcPr>
            <w:tcW w:w="894" w:type="pct"/>
            <w:vMerge w:val="restart"/>
            <w:tcBorders>
              <w:top w:val="single" w:sz="4" w:space="0" w:color="C2D9BA"/>
            </w:tcBorders>
            <w:shd w:val="clear" w:color="auto" w:fill="auto"/>
          </w:tcPr>
          <w:p w14:paraId="3D04AC8D" w14:textId="77777777" w:rsidR="00E357B8" w:rsidRPr="00E44F3E" w:rsidRDefault="00E357B8" w:rsidP="00A50B76">
            <w:pPr>
              <w:pStyle w:val="TableText"/>
              <w:keepLines/>
            </w:pPr>
            <w:r w:rsidRPr="00E44F3E">
              <w:t xml:space="preserve">Relapsed or refractory to at least one prior therapy </w:t>
            </w:r>
          </w:p>
          <w:p w14:paraId="70BED494" w14:textId="1C843F75" w:rsidR="00E357B8" w:rsidRPr="00E44F3E" w:rsidRDefault="00E357B8" w:rsidP="00CC5856">
            <w:pPr>
              <w:pStyle w:val="TableText"/>
              <w:keepLines/>
            </w:pPr>
          </w:p>
        </w:tc>
        <w:tc>
          <w:tcPr>
            <w:tcW w:w="573" w:type="pct"/>
            <w:tcBorders>
              <w:top w:val="single" w:sz="4" w:space="0" w:color="C2D9BA"/>
              <w:bottom w:val="single" w:sz="4" w:space="0" w:color="C2D9BA"/>
            </w:tcBorders>
          </w:tcPr>
          <w:p w14:paraId="5F41873B" w14:textId="77777777" w:rsidR="00E357B8" w:rsidRDefault="00E357B8" w:rsidP="00A50B76">
            <w:pPr>
              <w:pStyle w:val="TableText"/>
              <w:keepLines/>
              <w:jc w:val="center"/>
            </w:pPr>
            <w:r w:rsidRPr="00E44F3E">
              <w:t xml:space="preserve">Ibrutinib </w:t>
            </w:r>
          </w:p>
          <w:p w14:paraId="40DAED0D" w14:textId="6EFF9D46" w:rsidR="00E357B8" w:rsidRPr="00E44F3E" w:rsidRDefault="00E357B8" w:rsidP="00A50B76">
            <w:pPr>
              <w:pStyle w:val="TableText"/>
              <w:keepLines/>
              <w:jc w:val="center"/>
            </w:pPr>
            <w:r w:rsidRPr="00E44F3E">
              <w:t>RAY</w:t>
            </w:r>
          </w:p>
          <w:p w14:paraId="29C4EF14" w14:textId="76B92EF6" w:rsidR="00E357B8" w:rsidRPr="00E44F3E" w:rsidRDefault="00E357B8" w:rsidP="00A50B76">
            <w:pPr>
              <w:pStyle w:val="TableText"/>
              <w:keepLines/>
              <w:jc w:val="center"/>
            </w:pPr>
            <w:r w:rsidRPr="00E44F3E">
              <w:t>(</w:t>
            </w:r>
            <w:proofErr w:type="spellStart"/>
            <w:r w:rsidRPr="00E44F3E">
              <w:t>Dreyling</w:t>
            </w:r>
            <w:proofErr w:type="spellEnd"/>
            <w:r w:rsidRPr="00E44F3E">
              <w:t xml:space="preserve"> et al 2016; Rule et al 2018)</w:t>
            </w:r>
          </w:p>
        </w:tc>
        <w:tc>
          <w:tcPr>
            <w:tcW w:w="455" w:type="pct"/>
            <w:tcBorders>
              <w:top w:val="single" w:sz="4" w:space="0" w:color="C2D9BA"/>
              <w:bottom w:val="single" w:sz="4" w:space="0" w:color="C2D9BA"/>
            </w:tcBorders>
          </w:tcPr>
          <w:p w14:paraId="4A46A30D" w14:textId="39FD9E93" w:rsidR="00E357B8" w:rsidRPr="00E44F3E" w:rsidRDefault="00E357B8" w:rsidP="00A50B76">
            <w:pPr>
              <w:pStyle w:val="TableText"/>
              <w:keepLines/>
              <w:jc w:val="center"/>
              <w:rPr>
                <w:b/>
                <w:bCs/>
              </w:rPr>
            </w:pPr>
            <w:r w:rsidRPr="00E44F3E">
              <w:rPr>
                <w:b/>
                <w:bCs/>
              </w:rPr>
              <w:t>4</w:t>
            </w:r>
          </w:p>
          <w:p w14:paraId="12EA012B" w14:textId="77777777" w:rsidR="00E357B8" w:rsidRPr="00E44F3E" w:rsidRDefault="00E357B8" w:rsidP="00A50B76">
            <w:pPr>
              <w:pStyle w:val="TableText"/>
              <w:keepLines/>
              <w:jc w:val="center"/>
            </w:pPr>
            <w:r w:rsidRPr="00E44F3E">
              <w:t>(2b)</w:t>
            </w:r>
          </w:p>
        </w:tc>
        <w:tc>
          <w:tcPr>
            <w:tcW w:w="1276" w:type="pct"/>
            <w:tcBorders>
              <w:top w:val="single" w:sz="4" w:space="0" w:color="C2D9BA"/>
              <w:bottom w:val="single" w:sz="4" w:space="0" w:color="C2D9BA"/>
            </w:tcBorders>
          </w:tcPr>
          <w:p w14:paraId="2747E4BC" w14:textId="3FEBAB06" w:rsidR="00E357B8" w:rsidRPr="00E44F3E" w:rsidRDefault="00E357B8" w:rsidP="00A50B76">
            <w:pPr>
              <w:pStyle w:val="TableBullet"/>
              <w:keepLines/>
            </w:pPr>
            <w:r w:rsidRPr="00E44F3E">
              <w:t>Derived ESMO-MCBS:H score is based on a comparator (</w:t>
            </w:r>
            <w:proofErr w:type="spellStart"/>
            <w:r w:rsidRPr="00E44F3E">
              <w:t>temsirolimus</w:t>
            </w:r>
            <w:proofErr w:type="spellEnd"/>
            <w:r w:rsidRPr="00E44F3E">
              <w:t xml:space="preserve">) that is not publicly funded in </w:t>
            </w:r>
            <w:r>
              <w:t>Aotearoa New Zealand</w:t>
            </w:r>
            <w:r w:rsidRPr="00E44F3E">
              <w:t>.</w:t>
            </w:r>
          </w:p>
          <w:p w14:paraId="0C1EC35C" w14:textId="630D1D6A" w:rsidR="00E357B8" w:rsidRPr="00E44F3E" w:rsidRDefault="00E357B8" w:rsidP="00A50B76">
            <w:pPr>
              <w:pStyle w:val="TableBullet"/>
              <w:keepLines/>
            </w:pPr>
            <w:r w:rsidRPr="00E44F3E">
              <w:t xml:space="preserve">Clinical advice received on review of the study was that the likely comparator in </w:t>
            </w:r>
            <w:r>
              <w:t>Aotearoa New Zealand</w:t>
            </w:r>
            <w:r w:rsidRPr="00E44F3E">
              <w:t xml:space="preserve"> (</w:t>
            </w:r>
            <w:r>
              <w:t>s</w:t>
            </w:r>
            <w:r w:rsidRPr="00E44F3E">
              <w:t xml:space="preserve">alvage </w:t>
            </w:r>
            <w:r>
              <w:t>c</w:t>
            </w:r>
            <w:r w:rsidRPr="00E44F3E">
              <w:t xml:space="preserve">hemotherapy) was unlikely to be inferior to </w:t>
            </w:r>
            <w:proofErr w:type="spellStart"/>
            <w:r w:rsidRPr="00E44F3E">
              <w:t>temsirolimus</w:t>
            </w:r>
            <w:proofErr w:type="spellEnd"/>
            <w:r w:rsidRPr="00E44F3E">
              <w:t xml:space="preserve"> in terms of efficacy</w:t>
            </w:r>
            <w:r>
              <w:t>,</w:t>
            </w:r>
            <w:r w:rsidRPr="00E44F3E">
              <w:t xml:space="preserve"> so the derived score was not changed. </w:t>
            </w:r>
          </w:p>
          <w:p w14:paraId="133969B4" w14:textId="092E4EF1" w:rsidR="00E357B8" w:rsidRPr="00E44F3E" w:rsidRDefault="00E357B8" w:rsidP="00A50B76">
            <w:pPr>
              <w:pStyle w:val="TableBullet"/>
              <w:keepLines/>
            </w:pPr>
            <w:r w:rsidRPr="00E44F3E">
              <w:t>Primary end point was progression</w:t>
            </w:r>
            <w:r>
              <w:t>-</w:t>
            </w:r>
            <w:r w:rsidRPr="00E44F3E">
              <w:t xml:space="preserve">free survival with a median progression-free survival with ibrutinib of 16 months vs 6 months in the control group. </w:t>
            </w:r>
          </w:p>
          <w:p w14:paraId="1C98EA98" w14:textId="2CD3DEC7" w:rsidR="00E357B8" w:rsidRPr="00E44F3E" w:rsidRDefault="00E357B8" w:rsidP="00A50B76">
            <w:pPr>
              <w:pStyle w:val="TableBullet"/>
              <w:keepLines/>
            </w:pPr>
            <w:r w:rsidRPr="00E44F3E">
              <w:t>Quality of life was measured and showed improvement</w:t>
            </w:r>
            <w:r>
              <w:t>.</w:t>
            </w:r>
          </w:p>
        </w:tc>
      </w:tr>
      <w:tr w:rsidR="00E357B8" w:rsidRPr="00E44F3E" w14:paraId="6769E548" w14:textId="77777777" w:rsidTr="00870BEF">
        <w:trPr>
          <w:trHeight w:val="20"/>
        </w:trPr>
        <w:tc>
          <w:tcPr>
            <w:tcW w:w="529" w:type="pct"/>
            <w:vMerge/>
          </w:tcPr>
          <w:p w14:paraId="543CD429" w14:textId="659B357E" w:rsidR="00E357B8" w:rsidRPr="00E44F3E" w:rsidRDefault="00E357B8" w:rsidP="00CC5856">
            <w:pPr>
              <w:pStyle w:val="TableText"/>
              <w:keepLines/>
            </w:pPr>
          </w:p>
        </w:tc>
        <w:tc>
          <w:tcPr>
            <w:tcW w:w="677" w:type="pct"/>
            <w:vMerge/>
            <w:shd w:val="clear" w:color="auto" w:fill="auto"/>
          </w:tcPr>
          <w:p w14:paraId="3CA3FBB1" w14:textId="5AF27D4B" w:rsidR="00E357B8" w:rsidRPr="00E44F3E" w:rsidRDefault="00E357B8" w:rsidP="00CC5856">
            <w:pPr>
              <w:pStyle w:val="TableText"/>
              <w:keepLines/>
            </w:pPr>
          </w:p>
        </w:tc>
        <w:tc>
          <w:tcPr>
            <w:tcW w:w="596" w:type="pct"/>
            <w:vMerge/>
          </w:tcPr>
          <w:p w14:paraId="79FB841F" w14:textId="58416476" w:rsidR="00E357B8" w:rsidRPr="00E44F3E" w:rsidRDefault="00E357B8" w:rsidP="00CC5856">
            <w:pPr>
              <w:pStyle w:val="TableText"/>
              <w:keepLines/>
            </w:pPr>
          </w:p>
        </w:tc>
        <w:tc>
          <w:tcPr>
            <w:tcW w:w="894" w:type="pct"/>
            <w:vMerge/>
            <w:shd w:val="clear" w:color="auto" w:fill="auto"/>
          </w:tcPr>
          <w:p w14:paraId="41089CC3" w14:textId="6D70682F" w:rsidR="00E357B8" w:rsidRPr="00E44F3E" w:rsidRDefault="00E357B8" w:rsidP="00CC5856">
            <w:pPr>
              <w:pStyle w:val="TableText"/>
              <w:keepLines/>
            </w:pPr>
          </w:p>
        </w:tc>
        <w:tc>
          <w:tcPr>
            <w:tcW w:w="573" w:type="pct"/>
            <w:tcBorders>
              <w:top w:val="single" w:sz="4" w:space="0" w:color="C2D9BA"/>
              <w:bottom w:val="single" w:sz="4" w:space="0" w:color="C2D9BA"/>
            </w:tcBorders>
          </w:tcPr>
          <w:p w14:paraId="6A6D6574" w14:textId="4F9731DA" w:rsidR="00E357B8" w:rsidRPr="00E44F3E" w:rsidRDefault="00E357B8" w:rsidP="00CC5856">
            <w:pPr>
              <w:pStyle w:val="TableText"/>
              <w:keepLines/>
              <w:jc w:val="center"/>
              <w:rPr>
                <w:szCs w:val="18"/>
                <w:lang w:eastAsia="en-NZ"/>
              </w:rPr>
            </w:pPr>
            <w:r w:rsidRPr="00E44F3E">
              <w:rPr>
                <w:szCs w:val="18"/>
                <w:lang w:eastAsia="en-NZ"/>
              </w:rPr>
              <w:t>Acalabrutinib ACE-LY-004</w:t>
            </w:r>
          </w:p>
          <w:p w14:paraId="0272B64A" w14:textId="01DA0F73" w:rsidR="00E357B8" w:rsidRPr="00E44F3E" w:rsidRDefault="00E357B8" w:rsidP="00CC5856">
            <w:pPr>
              <w:pStyle w:val="TableText"/>
              <w:keepLines/>
              <w:jc w:val="center"/>
            </w:pPr>
            <w:r w:rsidRPr="00E44F3E">
              <w:rPr>
                <w:szCs w:val="18"/>
                <w:lang w:eastAsia="en-NZ"/>
              </w:rPr>
              <w:t>(Wang et al 2018; Wang et al 2019)</w:t>
            </w:r>
          </w:p>
        </w:tc>
        <w:tc>
          <w:tcPr>
            <w:tcW w:w="455" w:type="pct"/>
            <w:tcBorders>
              <w:top w:val="single" w:sz="4" w:space="0" w:color="C2D9BA"/>
              <w:bottom w:val="single" w:sz="4" w:space="0" w:color="C2D9BA"/>
            </w:tcBorders>
          </w:tcPr>
          <w:p w14:paraId="258F6F5E" w14:textId="77777777" w:rsidR="00E357B8" w:rsidRPr="00C86FFF" w:rsidRDefault="00E357B8" w:rsidP="00CC5856">
            <w:pPr>
              <w:pStyle w:val="TableText"/>
              <w:keepLines/>
              <w:jc w:val="center"/>
              <w:rPr>
                <w:b/>
                <w:bCs/>
                <w:szCs w:val="18"/>
                <w:lang w:eastAsia="en-NZ"/>
              </w:rPr>
            </w:pPr>
            <w:r w:rsidRPr="00C86FFF">
              <w:rPr>
                <w:b/>
                <w:bCs/>
                <w:szCs w:val="18"/>
                <w:lang w:eastAsia="en-NZ"/>
              </w:rPr>
              <w:t>3</w:t>
            </w:r>
          </w:p>
          <w:p w14:paraId="05C7F95F" w14:textId="0AB032A9" w:rsidR="00E357B8" w:rsidRPr="00E44F3E" w:rsidRDefault="00E357B8" w:rsidP="00CC5856">
            <w:pPr>
              <w:pStyle w:val="TableText"/>
              <w:keepLines/>
              <w:jc w:val="center"/>
              <w:rPr>
                <w:b/>
                <w:bCs/>
              </w:rPr>
            </w:pPr>
            <w:r>
              <w:rPr>
                <w:szCs w:val="18"/>
                <w:lang w:eastAsia="en-NZ"/>
              </w:rPr>
              <w:t>(3)</w:t>
            </w:r>
          </w:p>
        </w:tc>
        <w:tc>
          <w:tcPr>
            <w:tcW w:w="1276" w:type="pct"/>
            <w:tcBorders>
              <w:top w:val="single" w:sz="4" w:space="0" w:color="C2D9BA"/>
              <w:bottom w:val="single" w:sz="4" w:space="0" w:color="C2D9BA"/>
            </w:tcBorders>
          </w:tcPr>
          <w:p w14:paraId="249428C8" w14:textId="77777777" w:rsidR="00E357B8" w:rsidRPr="00E44F3E" w:rsidRDefault="00E357B8" w:rsidP="00CC5856">
            <w:pPr>
              <w:pStyle w:val="TableBullet"/>
              <w:keepLines/>
              <w:rPr>
                <w:szCs w:val="18"/>
              </w:rPr>
            </w:pPr>
            <w:r w:rsidRPr="00E44F3E">
              <w:rPr>
                <w:szCs w:val="18"/>
              </w:rPr>
              <w:t>Derived ESMO-MCBS:H score is based on a single</w:t>
            </w:r>
            <w:r>
              <w:rPr>
                <w:szCs w:val="18"/>
              </w:rPr>
              <w:t>-</w:t>
            </w:r>
            <w:r w:rsidRPr="00E44F3E">
              <w:rPr>
                <w:szCs w:val="18"/>
              </w:rPr>
              <w:t xml:space="preserve">arm study. </w:t>
            </w:r>
          </w:p>
          <w:p w14:paraId="62ED3AA6" w14:textId="77777777" w:rsidR="00E357B8" w:rsidRPr="00E44F3E" w:rsidRDefault="00E357B8" w:rsidP="00CC5856">
            <w:pPr>
              <w:pStyle w:val="TableBullet"/>
              <w:keepLines/>
              <w:rPr>
                <w:szCs w:val="18"/>
              </w:rPr>
            </w:pPr>
            <w:r w:rsidRPr="00E44F3E">
              <w:rPr>
                <w:szCs w:val="18"/>
              </w:rPr>
              <w:t>Primary end point was overall response. After a median follow-up of 26 months the overall response rate was 81%</w:t>
            </w:r>
            <w:r>
              <w:rPr>
                <w:szCs w:val="18"/>
              </w:rPr>
              <w:t>,</w:t>
            </w:r>
            <w:r w:rsidRPr="00E44F3E">
              <w:rPr>
                <w:szCs w:val="18"/>
              </w:rPr>
              <w:t xml:space="preserve"> with 43% having a complete response. </w:t>
            </w:r>
          </w:p>
          <w:p w14:paraId="63B665BD" w14:textId="41EFE2C6" w:rsidR="00E357B8" w:rsidRPr="00E44F3E" w:rsidRDefault="00E357B8" w:rsidP="00CC5856">
            <w:pPr>
              <w:pStyle w:val="TableBullet"/>
              <w:keepLines/>
            </w:pPr>
            <w:r w:rsidRPr="00E44F3E">
              <w:rPr>
                <w:szCs w:val="18"/>
              </w:rPr>
              <w:t>Quality of life was not measured as a primary or secondary endpoint.</w:t>
            </w:r>
            <w:r w:rsidRPr="00E44F3E">
              <w:rPr>
                <w:szCs w:val="18"/>
                <w:lang w:eastAsia="en-NZ"/>
              </w:rPr>
              <w:t xml:space="preserve"> </w:t>
            </w:r>
          </w:p>
        </w:tc>
      </w:tr>
      <w:tr w:rsidR="00E357B8" w:rsidRPr="00E44F3E" w14:paraId="47DB63E1" w14:textId="77777777" w:rsidTr="00870BEF">
        <w:trPr>
          <w:trHeight w:val="20"/>
        </w:trPr>
        <w:tc>
          <w:tcPr>
            <w:tcW w:w="529" w:type="pct"/>
            <w:vMerge/>
            <w:tcBorders>
              <w:bottom w:val="single" w:sz="4" w:space="0" w:color="C2D9BA"/>
            </w:tcBorders>
          </w:tcPr>
          <w:p w14:paraId="2490CA9C" w14:textId="5C403062" w:rsidR="00E357B8" w:rsidRPr="00E44F3E" w:rsidRDefault="00E357B8" w:rsidP="004715EF">
            <w:pPr>
              <w:pStyle w:val="TableText"/>
              <w:keepLines/>
              <w:rPr>
                <w:szCs w:val="18"/>
                <w:lang w:eastAsia="en-NZ"/>
              </w:rPr>
            </w:pPr>
          </w:p>
        </w:tc>
        <w:tc>
          <w:tcPr>
            <w:tcW w:w="677" w:type="pct"/>
            <w:vMerge/>
            <w:tcBorders>
              <w:bottom w:val="single" w:sz="4" w:space="0" w:color="C2D9BA"/>
            </w:tcBorders>
            <w:shd w:val="clear" w:color="auto" w:fill="auto"/>
          </w:tcPr>
          <w:p w14:paraId="61B988CE" w14:textId="3E836408" w:rsidR="00E357B8" w:rsidRPr="00E44F3E" w:rsidRDefault="00E357B8" w:rsidP="004715EF">
            <w:pPr>
              <w:pStyle w:val="TableText"/>
              <w:keepLines/>
            </w:pPr>
          </w:p>
        </w:tc>
        <w:tc>
          <w:tcPr>
            <w:tcW w:w="596" w:type="pct"/>
            <w:vMerge/>
            <w:tcBorders>
              <w:bottom w:val="single" w:sz="4" w:space="0" w:color="C2D9BA"/>
            </w:tcBorders>
          </w:tcPr>
          <w:p w14:paraId="25C22147" w14:textId="412834EE" w:rsidR="00E357B8" w:rsidRPr="00E44F3E" w:rsidRDefault="00E357B8" w:rsidP="004715EF">
            <w:pPr>
              <w:pStyle w:val="TableText"/>
              <w:keepLines/>
            </w:pPr>
          </w:p>
        </w:tc>
        <w:tc>
          <w:tcPr>
            <w:tcW w:w="894" w:type="pct"/>
            <w:vMerge/>
            <w:tcBorders>
              <w:bottom w:val="single" w:sz="4" w:space="0" w:color="C2D9BA"/>
            </w:tcBorders>
            <w:shd w:val="clear" w:color="auto" w:fill="auto"/>
          </w:tcPr>
          <w:p w14:paraId="23835D7D" w14:textId="3E8CF88E" w:rsidR="00E357B8" w:rsidRPr="00E44F3E" w:rsidRDefault="00E357B8" w:rsidP="004715EF">
            <w:pPr>
              <w:pStyle w:val="TableText"/>
              <w:keepLines/>
            </w:pPr>
          </w:p>
        </w:tc>
        <w:tc>
          <w:tcPr>
            <w:tcW w:w="573" w:type="pct"/>
            <w:tcBorders>
              <w:top w:val="single" w:sz="4" w:space="0" w:color="C2D9BA"/>
              <w:bottom w:val="single" w:sz="4" w:space="0" w:color="C2D9BA"/>
            </w:tcBorders>
          </w:tcPr>
          <w:p w14:paraId="402EB888" w14:textId="3DF64213" w:rsidR="00E357B8" w:rsidRPr="00E44F3E" w:rsidRDefault="00E357B8" w:rsidP="004715EF">
            <w:pPr>
              <w:pStyle w:val="TableText"/>
              <w:keepLines/>
              <w:jc w:val="center"/>
              <w:rPr>
                <w:szCs w:val="18"/>
                <w:lang w:eastAsia="en-NZ"/>
              </w:rPr>
            </w:pPr>
            <w:r w:rsidRPr="00E44F3E">
              <w:rPr>
                <w:szCs w:val="18"/>
                <w:lang w:eastAsia="en-NZ"/>
              </w:rPr>
              <w:t>Zanubrutinib BGB-3111</w:t>
            </w:r>
            <w:r>
              <w:rPr>
                <w:szCs w:val="18"/>
                <w:lang w:eastAsia="en-NZ"/>
              </w:rPr>
              <w:t>–</w:t>
            </w:r>
            <w:r w:rsidRPr="00E44F3E">
              <w:rPr>
                <w:szCs w:val="18"/>
                <w:lang w:eastAsia="en-NZ"/>
              </w:rPr>
              <w:t>206 and BGB-3111-AU-003</w:t>
            </w:r>
          </w:p>
          <w:p w14:paraId="01A63CD6" w14:textId="5B69FD84" w:rsidR="00E357B8" w:rsidRPr="00E44F3E" w:rsidRDefault="00E357B8" w:rsidP="004715EF">
            <w:pPr>
              <w:pStyle w:val="TableText"/>
              <w:keepLines/>
              <w:jc w:val="center"/>
              <w:rPr>
                <w:szCs w:val="18"/>
                <w:lang w:eastAsia="en-NZ"/>
              </w:rPr>
            </w:pPr>
            <w:r w:rsidRPr="00E44F3E">
              <w:rPr>
                <w:szCs w:val="18"/>
                <w:lang w:eastAsia="en-NZ"/>
              </w:rPr>
              <w:t>(Song et al 2020; Song et al 2022; Tam et al 2021)</w:t>
            </w:r>
          </w:p>
        </w:tc>
        <w:tc>
          <w:tcPr>
            <w:tcW w:w="455" w:type="pct"/>
            <w:tcBorders>
              <w:top w:val="single" w:sz="4" w:space="0" w:color="C2D9BA"/>
              <w:bottom w:val="single" w:sz="4" w:space="0" w:color="C2D9BA"/>
            </w:tcBorders>
          </w:tcPr>
          <w:p w14:paraId="0C2F8F11" w14:textId="77777777" w:rsidR="00E357B8" w:rsidRPr="00C86FFF" w:rsidRDefault="00E357B8" w:rsidP="004715EF">
            <w:pPr>
              <w:pStyle w:val="TableText"/>
              <w:keepLines/>
              <w:jc w:val="center"/>
              <w:rPr>
                <w:b/>
                <w:bCs/>
                <w:szCs w:val="18"/>
                <w:lang w:eastAsia="en-NZ"/>
              </w:rPr>
            </w:pPr>
            <w:r w:rsidRPr="00C86FFF">
              <w:rPr>
                <w:b/>
                <w:bCs/>
                <w:szCs w:val="18"/>
                <w:lang w:eastAsia="en-NZ"/>
              </w:rPr>
              <w:t>3</w:t>
            </w:r>
          </w:p>
          <w:p w14:paraId="61788899" w14:textId="1790380D" w:rsidR="00E357B8" w:rsidRPr="00C86FFF" w:rsidRDefault="00E357B8" w:rsidP="004715EF">
            <w:pPr>
              <w:pStyle w:val="TableText"/>
              <w:keepLines/>
              <w:jc w:val="center"/>
              <w:rPr>
                <w:b/>
                <w:bCs/>
                <w:szCs w:val="18"/>
                <w:lang w:eastAsia="en-NZ"/>
              </w:rPr>
            </w:pPr>
            <w:r>
              <w:rPr>
                <w:szCs w:val="18"/>
                <w:lang w:eastAsia="en-NZ"/>
              </w:rPr>
              <w:t>(3)</w:t>
            </w:r>
          </w:p>
        </w:tc>
        <w:tc>
          <w:tcPr>
            <w:tcW w:w="1276" w:type="pct"/>
            <w:tcBorders>
              <w:top w:val="single" w:sz="4" w:space="0" w:color="C2D9BA"/>
              <w:bottom w:val="single" w:sz="4" w:space="0" w:color="C2D9BA"/>
            </w:tcBorders>
          </w:tcPr>
          <w:p w14:paraId="12C2F908" w14:textId="77777777" w:rsidR="00E357B8" w:rsidRPr="00E44F3E" w:rsidRDefault="00E357B8" w:rsidP="004715EF">
            <w:pPr>
              <w:pStyle w:val="TableBullet"/>
              <w:keepLines/>
              <w:rPr>
                <w:szCs w:val="18"/>
                <w:lang w:eastAsia="en-NZ"/>
              </w:rPr>
            </w:pPr>
            <w:r w:rsidRPr="00E44F3E">
              <w:rPr>
                <w:szCs w:val="18"/>
                <w:lang w:eastAsia="en-NZ"/>
              </w:rPr>
              <w:t>Derived ESMO-MCBS:H score is based on single</w:t>
            </w:r>
            <w:r>
              <w:rPr>
                <w:szCs w:val="18"/>
                <w:lang w:eastAsia="en-NZ"/>
              </w:rPr>
              <w:t>-</w:t>
            </w:r>
            <w:r w:rsidRPr="00E44F3E">
              <w:rPr>
                <w:szCs w:val="18"/>
                <w:lang w:eastAsia="en-NZ"/>
              </w:rPr>
              <w:t xml:space="preserve">arm study. </w:t>
            </w:r>
          </w:p>
          <w:p w14:paraId="5CD8651F" w14:textId="77777777" w:rsidR="00E357B8" w:rsidRPr="00E44F3E" w:rsidRDefault="00E357B8" w:rsidP="004715EF">
            <w:pPr>
              <w:pStyle w:val="TableBullet"/>
              <w:keepLines/>
              <w:rPr>
                <w:szCs w:val="18"/>
                <w:lang w:eastAsia="en-NZ"/>
              </w:rPr>
            </w:pPr>
            <w:r w:rsidRPr="00E44F3E">
              <w:rPr>
                <w:szCs w:val="18"/>
                <w:lang w:eastAsia="en-NZ"/>
              </w:rPr>
              <w:t xml:space="preserve">Primary end point was overall response rate. The overall response rate was 84%. </w:t>
            </w:r>
          </w:p>
          <w:p w14:paraId="681D51E3" w14:textId="74AC3F75" w:rsidR="00E357B8" w:rsidRPr="00E44F3E" w:rsidRDefault="00E357B8" w:rsidP="004715EF">
            <w:pPr>
              <w:pStyle w:val="TableBullet"/>
              <w:keepLines/>
              <w:rPr>
                <w:szCs w:val="18"/>
              </w:rPr>
            </w:pPr>
            <w:r w:rsidRPr="00E44F3E">
              <w:rPr>
                <w:szCs w:val="18"/>
                <w:lang w:eastAsia="en-NZ"/>
              </w:rPr>
              <w:t xml:space="preserve">Quality of life did not appear to be measured. </w:t>
            </w:r>
          </w:p>
        </w:tc>
      </w:tr>
      <w:tr w:rsidR="004715EF" w:rsidRPr="00E44F3E" w14:paraId="6BC82A51" w14:textId="77777777" w:rsidTr="008979AC">
        <w:trPr>
          <w:trHeight w:val="20"/>
        </w:trPr>
        <w:tc>
          <w:tcPr>
            <w:tcW w:w="529" w:type="pct"/>
            <w:tcBorders>
              <w:top w:val="single" w:sz="4" w:space="0" w:color="C2D9BA"/>
              <w:bottom w:val="single" w:sz="4" w:space="0" w:color="C2D9BA"/>
            </w:tcBorders>
          </w:tcPr>
          <w:p w14:paraId="2E28BA19" w14:textId="77777777" w:rsidR="004715EF" w:rsidRPr="00E44F3E" w:rsidRDefault="004715EF" w:rsidP="004715EF">
            <w:pPr>
              <w:pStyle w:val="TableText"/>
              <w:keepLines/>
            </w:pPr>
            <w:proofErr w:type="spellStart"/>
            <w:r w:rsidRPr="00E44F3E">
              <w:t>Idelalisib</w:t>
            </w:r>
            <w:proofErr w:type="spellEnd"/>
          </w:p>
        </w:tc>
        <w:tc>
          <w:tcPr>
            <w:tcW w:w="677" w:type="pct"/>
            <w:tcBorders>
              <w:top w:val="single" w:sz="4" w:space="0" w:color="C2D9BA"/>
              <w:bottom w:val="single" w:sz="4" w:space="0" w:color="C2D9BA"/>
            </w:tcBorders>
            <w:shd w:val="clear" w:color="auto" w:fill="auto"/>
          </w:tcPr>
          <w:p w14:paraId="6B7827D9" w14:textId="77777777" w:rsidR="004715EF" w:rsidRPr="00E44F3E" w:rsidRDefault="004715EF" w:rsidP="004715EF">
            <w:pPr>
              <w:pStyle w:val="TableText"/>
              <w:keepLines/>
            </w:pPr>
            <w:r w:rsidRPr="00E44F3E">
              <w:t>Rituximab for 8 doses followed by monotherapy</w:t>
            </w:r>
          </w:p>
        </w:tc>
        <w:tc>
          <w:tcPr>
            <w:tcW w:w="596" w:type="pct"/>
            <w:tcBorders>
              <w:top w:val="single" w:sz="4" w:space="0" w:color="C2D9BA"/>
              <w:bottom w:val="single" w:sz="4" w:space="0" w:color="C2D9BA"/>
            </w:tcBorders>
          </w:tcPr>
          <w:p w14:paraId="7B9D96B5" w14:textId="77777777" w:rsidR="004715EF" w:rsidRPr="00E44F3E" w:rsidRDefault="004715EF" w:rsidP="004715EF">
            <w:pPr>
              <w:pStyle w:val="TableText"/>
              <w:keepLines/>
            </w:pPr>
            <w:r w:rsidRPr="00E44F3E">
              <w:t>Chronic lymphocytic leukaemia (CLL) or small lymphocytic lymphoma (SLL)</w:t>
            </w:r>
          </w:p>
        </w:tc>
        <w:tc>
          <w:tcPr>
            <w:tcW w:w="894" w:type="pct"/>
            <w:tcBorders>
              <w:top w:val="single" w:sz="4" w:space="0" w:color="C2D9BA"/>
              <w:bottom w:val="single" w:sz="4" w:space="0" w:color="C2D9BA"/>
            </w:tcBorders>
            <w:shd w:val="clear" w:color="auto" w:fill="auto"/>
          </w:tcPr>
          <w:p w14:paraId="67AB86BA" w14:textId="5EE0E591" w:rsidR="004715EF" w:rsidRPr="00E44F3E" w:rsidRDefault="004715EF" w:rsidP="004715EF">
            <w:pPr>
              <w:pStyle w:val="TableText"/>
              <w:keepLines/>
            </w:pPr>
            <w:r w:rsidRPr="00E44F3E">
              <w:t>Relapsed or refractory to at least one prior therapy, CD20-positive</w:t>
            </w:r>
          </w:p>
        </w:tc>
        <w:tc>
          <w:tcPr>
            <w:tcW w:w="573" w:type="pct"/>
            <w:tcBorders>
              <w:top w:val="single" w:sz="4" w:space="0" w:color="C2D9BA"/>
              <w:bottom w:val="single" w:sz="4" w:space="0" w:color="C2D9BA"/>
            </w:tcBorders>
          </w:tcPr>
          <w:p w14:paraId="08BB1902" w14:textId="56621E7A" w:rsidR="004715EF" w:rsidRPr="00E44F3E" w:rsidRDefault="004715EF" w:rsidP="004715EF">
            <w:pPr>
              <w:pStyle w:val="TableText"/>
              <w:keepLines/>
              <w:jc w:val="center"/>
            </w:pPr>
            <w:r w:rsidRPr="00E44F3E">
              <w:t>NCT01539512</w:t>
            </w:r>
          </w:p>
          <w:p w14:paraId="0CBB046C" w14:textId="4C7328CA" w:rsidR="004715EF" w:rsidRPr="00E44F3E" w:rsidRDefault="004715EF" w:rsidP="004715EF">
            <w:pPr>
              <w:pStyle w:val="TableText"/>
              <w:keepLines/>
              <w:jc w:val="center"/>
            </w:pPr>
            <w:r w:rsidRPr="00E44F3E">
              <w:t xml:space="preserve">(Furman et al 2014; </w:t>
            </w:r>
            <w:r w:rsidRPr="00F01E7C">
              <w:t xml:space="preserve">Ghia, </w:t>
            </w:r>
            <w:proofErr w:type="spellStart"/>
            <w:r w:rsidRPr="00F01E7C">
              <w:t>Coutre</w:t>
            </w:r>
            <w:proofErr w:type="spellEnd"/>
            <w:r w:rsidRPr="00F01E7C">
              <w:t xml:space="preserve"> et al 2020</w:t>
            </w:r>
            <w:r>
              <w:t>)</w:t>
            </w:r>
          </w:p>
        </w:tc>
        <w:tc>
          <w:tcPr>
            <w:tcW w:w="455" w:type="pct"/>
            <w:tcBorders>
              <w:top w:val="single" w:sz="4" w:space="0" w:color="C2D9BA"/>
              <w:bottom w:val="single" w:sz="4" w:space="0" w:color="C2D9BA"/>
            </w:tcBorders>
          </w:tcPr>
          <w:p w14:paraId="4B8EEF31" w14:textId="1FEF68A1" w:rsidR="004715EF" w:rsidRPr="00E44F3E" w:rsidRDefault="004715EF" w:rsidP="004715EF">
            <w:pPr>
              <w:pStyle w:val="TableText"/>
              <w:keepLines/>
              <w:jc w:val="center"/>
              <w:rPr>
                <w:b/>
                <w:bCs/>
              </w:rPr>
            </w:pPr>
            <w:r w:rsidRPr="00E44F3E">
              <w:rPr>
                <w:b/>
                <w:bCs/>
              </w:rPr>
              <w:t>4</w:t>
            </w:r>
          </w:p>
          <w:p w14:paraId="457B1845" w14:textId="77777777" w:rsidR="004715EF" w:rsidRPr="00E44F3E" w:rsidRDefault="004715EF" w:rsidP="004715EF">
            <w:pPr>
              <w:pStyle w:val="TableText"/>
              <w:keepLines/>
              <w:jc w:val="center"/>
            </w:pPr>
            <w:r w:rsidRPr="00E44F3E">
              <w:t>(2b)</w:t>
            </w:r>
          </w:p>
        </w:tc>
        <w:tc>
          <w:tcPr>
            <w:tcW w:w="1276" w:type="pct"/>
            <w:tcBorders>
              <w:top w:val="single" w:sz="4" w:space="0" w:color="C2D9BA"/>
              <w:bottom w:val="single" w:sz="4" w:space="0" w:color="C2D9BA"/>
            </w:tcBorders>
          </w:tcPr>
          <w:p w14:paraId="3C44A4FE" w14:textId="49F01E42" w:rsidR="004715EF" w:rsidRPr="00E44F3E" w:rsidRDefault="004715EF" w:rsidP="004715EF">
            <w:pPr>
              <w:pStyle w:val="TableBullet"/>
              <w:keepLines/>
            </w:pPr>
            <w:r w:rsidRPr="00E44F3E">
              <w:t>Derived ESMO-MCBS:H score is based on</w:t>
            </w:r>
            <w:r>
              <w:t xml:space="preserve"> a placebo comparator,</w:t>
            </w:r>
            <w:r w:rsidRPr="00E44F3E">
              <w:t xml:space="preserve"> so </w:t>
            </w:r>
            <w:r>
              <w:t>reflects the</w:t>
            </w:r>
            <w:r w:rsidRPr="00E44F3E">
              <w:t xml:space="preserve"> gap between Australia and </w:t>
            </w:r>
            <w:r>
              <w:t>Aotearoa New Zealand</w:t>
            </w:r>
            <w:r w:rsidRPr="00E44F3E">
              <w:t xml:space="preserve">. </w:t>
            </w:r>
          </w:p>
          <w:p w14:paraId="307A87EE" w14:textId="0C90B5F9" w:rsidR="004715EF" w:rsidRPr="00E44F3E" w:rsidRDefault="004715EF" w:rsidP="004715EF">
            <w:pPr>
              <w:pStyle w:val="TableBullet"/>
              <w:keepLines/>
            </w:pPr>
            <w:r w:rsidRPr="00E44F3E">
              <w:t xml:space="preserve">Primary end point was progression-free survival with median progression-free survival not reached with </w:t>
            </w:r>
            <w:proofErr w:type="spellStart"/>
            <w:r w:rsidRPr="00E44F3E">
              <w:t>idelalisib</w:t>
            </w:r>
            <w:proofErr w:type="spellEnd"/>
            <w:r w:rsidRPr="00E44F3E">
              <w:t xml:space="preserve"> vs 5.5 weeks in the control group. At 24</w:t>
            </w:r>
            <w:r>
              <w:t xml:space="preserve"> </w:t>
            </w:r>
            <w:r w:rsidRPr="00E44F3E">
              <w:t xml:space="preserve">weeks, progression-free survival was 93% with </w:t>
            </w:r>
            <w:proofErr w:type="spellStart"/>
            <w:r w:rsidRPr="00E44F3E">
              <w:t>idelalisib</w:t>
            </w:r>
            <w:proofErr w:type="spellEnd"/>
            <w:r w:rsidRPr="00E44F3E">
              <w:t xml:space="preserve"> vs 46% in the comparator. </w:t>
            </w:r>
          </w:p>
          <w:p w14:paraId="67BD7F43" w14:textId="2F713AC6" w:rsidR="004715EF" w:rsidRPr="00E44F3E" w:rsidRDefault="004715EF" w:rsidP="004715EF">
            <w:pPr>
              <w:pStyle w:val="TableBullet"/>
              <w:keepLines/>
            </w:pPr>
            <w:r w:rsidRPr="00E44F3E">
              <w:t>Quality of life was measured and showed improvement</w:t>
            </w:r>
            <w:r>
              <w:t>.</w:t>
            </w:r>
            <w:r w:rsidRPr="00E44F3E">
              <w:t xml:space="preserve"> </w:t>
            </w:r>
          </w:p>
        </w:tc>
      </w:tr>
      <w:tr w:rsidR="004715EF" w:rsidRPr="00E44F3E" w14:paraId="770340A6" w14:textId="77777777" w:rsidTr="008979AC">
        <w:trPr>
          <w:trHeight w:val="20"/>
        </w:trPr>
        <w:tc>
          <w:tcPr>
            <w:tcW w:w="529" w:type="pct"/>
            <w:tcBorders>
              <w:top w:val="single" w:sz="4" w:space="0" w:color="C2D9BA"/>
              <w:bottom w:val="single" w:sz="4" w:space="0" w:color="C2D9BA"/>
            </w:tcBorders>
          </w:tcPr>
          <w:p w14:paraId="790C64BA" w14:textId="77777777" w:rsidR="004715EF" w:rsidRPr="00E44F3E" w:rsidRDefault="004715EF" w:rsidP="004715EF">
            <w:pPr>
              <w:pStyle w:val="TableText"/>
              <w:keepLines/>
            </w:pPr>
            <w:proofErr w:type="spellStart"/>
            <w:r w:rsidRPr="00E44F3E">
              <w:t>Inotuzumab</w:t>
            </w:r>
            <w:proofErr w:type="spellEnd"/>
            <w:r w:rsidRPr="00E44F3E">
              <w:t xml:space="preserve"> </w:t>
            </w:r>
            <w:proofErr w:type="spellStart"/>
            <w:r w:rsidRPr="00E44F3E">
              <w:t>ozogamicin</w:t>
            </w:r>
            <w:proofErr w:type="spellEnd"/>
          </w:p>
        </w:tc>
        <w:tc>
          <w:tcPr>
            <w:tcW w:w="677" w:type="pct"/>
            <w:tcBorders>
              <w:top w:val="single" w:sz="4" w:space="0" w:color="C2D9BA"/>
              <w:bottom w:val="single" w:sz="4" w:space="0" w:color="C2D9BA"/>
            </w:tcBorders>
            <w:shd w:val="clear" w:color="auto" w:fill="auto"/>
          </w:tcPr>
          <w:p w14:paraId="6B8124C9" w14:textId="77777777" w:rsidR="004715EF" w:rsidRPr="00E44F3E" w:rsidRDefault="004715EF" w:rsidP="004715EF">
            <w:pPr>
              <w:pStyle w:val="TableText"/>
              <w:keepLines/>
            </w:pPr>
            <w:r w:rsidRPr="00E44F3E">
              <w:t>Monotherapy</w:t>
            </w:r>
          </w:p>
        </w:tc>
        <w:tc>
          <w:tcPr>
            <w:tcW w:w="596" w:type="pct"/>
            <w:tcBorders>
              <w:top w:val="single" w:sz="4" w:space="0" w:color="C2D9BA"/>
              <w:bottom w:val="single" w:sz="4" w:space="0" w:color="C2D9BA"/>
            </w:tcBorders>
          </w:tcPr>
          <w:p w14:paraId="546D1E8A" w14:textId="265D7E63" w:rsidR="004715EF" w:rsidRPr="00E44F3E" w:rsidRDefault="004715EF" w:rsidP="004715EF">
            <w:pPr>
              <w:pStyle w:val="TableText"/>
              <w:keepLines/>
            </w:pPr>
            <w:r w:rsidRPr="00E44F3E">
              <w:t>Precursor B-cell acute lymphoblastic leukaemia (</w:t>
            </w:r>
            <w:r>
              <w:t>p</w:t>
            </w:r>
            <w:r w:rsidRPr="00E44F3E">
              <w:t>re-B</w:t>
            </w:r>
            <w:r>
              <w:noBreakHyphen/>
            </w:r>
            <w:r w:rsidRPr="00E44F3E">
              <w:t xml:space="preserve">cell ALL) </w:t>
            </w:r>
          </w:p>
        </w:tc>
        <w:tc>
          <w:tcPr>
            <w:tcW w:w="894" w:type="pct"/>
            <w:tcBorders>
              <w:top w:val="single" w:sz="4" w:space="0" w:color="C2D9BA"/>
              <w:bottom w:val="single" w:sz="4" w:space="0" w:color="C2D9BA"/>
            </w:tcBorders>
            <w:shd w:val="clear" w:color="auto" w:fill="auto"/>
          </w:tcPr>
          <w:p w14:paraId="79398725" w14:textId="77777777" w:rsidR="004715EF" w:rsidRPr="00E44F3E" w:rsidRDefault="004715EF" w:rsidP="004715EF">
            <w:pPr>
              <w:pStyle w:val="TableText"/>
              <w:keepLines/>
            </w:pPr>
            <w:r w:rsidRPr="00E44F3E">
              <w:t xml:space="preserve">Relapsed or refractory CD22-positive </w:t>
            </w:r>
          </w:p>
        </w:tc>
        <w:tc>
          <w:tcPr>
            <w:tcW w:w="573" w:type="pct"/>
            <w:tcBorders>
              <w:top w:val="single" w:sz="4" w:space="0" w:color="C2D9BA"/>
              <w:bottom w:val="single" w:sz="4" w:space="0" w:color="C2D9BA"/>
            </w:tcBorders>
          </w:tcPr>
          <w:p w14:paraId="104EB5CB" w14:textId="3D1FF093" w:rsidR="004715EF" w:rsidRPr="00E44F3E" w:rsidRDefault="004715EF" w:rsidP="004715EF">
            <w:pPr>
              <w:pStyle w:val="TableText"/>
              <w:keepLines/>
              <w:jc w:val="center"/>
            </w:pPr>
            <w:r w:rsidRPr="00E44F3E">
              <w:t>INO-VATE</w:t>
            </w:r>
          </w:p>
          <w:p w14:paraId="36A0ED56" w14:textId="500B31E7" w:rsidR="004715EF" w:rsidRPr="00E44F3E" w:rsidRDefault="004715EF" w:rsidP="004715EF">
            <w:pPr>
              <w:pStyle w:val="TableText"/>
              <w:keepLines/>
              <w:jc w:val="center"/>
            </w:pPr>
            <w:r w:rsidRPr="00E44F3E">
              <w:t>(</w:t>
            </w:r>
            <w:proofErr w:type="spellStart"/>
            <w:r w:rsidRPr="00E44F3E">
              <w:t>Kantarjian</w:t>
            </w:r>
            <w:proofErr w:type="spellEnd"/>
            <w:r w:rsidRPr="00E44F3E">
              <w:t xml:space="preserve"> et al 2019; </w:t>
            </w:r>
            <w:proofErr w:type="spellStart"/>
            <w:r w:rsidRPr="00E44F3E">
              <w:t>Kantarjian</w:t>
            </w:r>
            <w:proofErr w:type="spellEnd"/>
            <w:r w:rsidRPr="00E44F3E">
              <w:t xml:space="preserve">, DeAngelo, et al 2016; </w:t>
            </w:r>
            <w:proofErr w:type="spellStart"/>
            <w:r w:rsidRPr="00E44F3E">
              <w:t>Kantarjian</w:t>
            </w:r>
            <w:proofErr w:type="spellEnd"/>
            <w:r w:rsidRPr="00E44F3E">
              <w:t>, Su, et al 2016)</w:t>
            </w:r>
          </w:p>
        </w:tc>
        <w:tc>
          <w:tcPr>
            <w:tcW w:w="455" w:type="pct"/>
            <w:tcBorders>
              <w:top w:val="single" w:sz="4" w:space="0" w:color="C2D9BA"/>
              <w:bottom w:val="single" w:sz="4" w:space="0" w:color="C2D9BA"/>
            </w:tcBorders>
          </w:tcPr>
          <w:p w14:paraId="4958117E" w14:textId="1CA5A258" w:rsidR="004715EF" w:rsidRPr="00E44F3E" w:rsidRDefault="004715EF" w:rsidP="004715EF">
            <w:pPr>
              <w:pStyle w:val="TableText"/>
              <w:keepLines/>
              <w:jc w:val="center"/>
              <w:rPr>
                <w:b/>
                <w:bCs/>
              </w:rPr>
            </w:pPr>
            <w:r w:rsidRPr="00E44F3E">
              <w:rPr>
                <w:b/>
                <w:bCs/>
              </w:rPr>
              <w:t>4</w:t>
            </w:r>
          </w:p>
          <w:p w14:paraId="52A3F832" w14:textId="77777777" w:rsidR="004715EF" w:rsidRPr="00E44F3E" w:rsidRDefault="004715EF" w:rsidP="004715EF">
            <w:pPr>
              <w:pStyle w:val="TableText"/>
              <w:keepLines/>
              <w:jc w:val="center"/>
            </w:pPr>
            <w:r w:rsidRPr="00E44F3E">
              <w:t>(2a)</w:t>
            </w:r>
          </w:p>
        </w:tc>
        <w:tc>
          <w:tcPr>
            <w:tcW w:w="1276" w:type="pct"/>
            <w:tcBorders>
              <w:top w:val="single" w:sz="4" w:space="0" w:color="C2D9BA"/>
              <w:bottom w:val="single" w:sz="4" w:space="0" w:color="C2D9BA"/>
            </w:tcBorders>
          </w:tcPr>
          <w:p w14:paraId="729B2266" w14:textId="27349000" w:rsidR="004715EF" w:rsidRPr="00E44F3E" w:rsidRDefault="004715EF" w:rsidP="004715EF">
            <w:pPr>
              <w:pStyle w:val="TableBullet"/>
              <w:keepLines/>
            </w:pPr>
            <w:r w:rsidRPr="00E44F3E">
              <w:t xml:space="preserve">Derived ESMO-MCBS:H score is based on a comparator (salvage chemotherapy) </w:t>
            </w:r>
            <w:r>
              <w:t xml:space="preserve">that </w:t>
            </w:r>
            <w:r w:rsidRPr="00E44F3E">
              <w:t xml:space="preserve">is available in </w:t>
            </w:r>
            <w:r>
              <w:t>Aotearoa New Zealand</w:t>
            </w:r>
            <w:r w:rsidRPr="00E44F3E">
              <w:t xml:space="preserve">. </w:t>
            </w:r>
          </w:p>
          <w:p w14:paraId="448398EB" w14:textId="26852306" w:rsidR="004715EF" w:rsidRPr="00E44F3E" w:rsidRDefault="004715EF" w:rsidP="004715EF">
            <w:pPr>
              <w:pStyle w:val="TableBullet"/>
              <w:keepLines/>
            </w:pPr>
            <w:r w:rsidRPr="00E44F3E">
              <w:lastRenderedPageBreak/>
              <w:t xml:space="preserve">The primary endpoint was overall survival. The median overall survival was 7.7 months with </w:t>
            </w:r>
            <w:proofErr w:type="spellStart"/>
            <w:r w:rsidRPr="00E44F3E">
              <w:t>inotuzumab</w:t>
            </w:r>
            <w:proofErr w:type="spellEnd"/>
            <w:r w:rsidRPr="00E44F3E">
              <w:t xml:space="preserve"> </w:t>
            </w:r>
            <w:proofErr w:type="spellStart"/>
            <w:r w:rsidRPr="00E44F3E">
              <w:t>ozogamicin</w:t>
            </w:r>
            <w:proofErr w:type="spellEnd"/>
            <w:r w:rsidRPr="00E44F3E">
              <w:t xml:space="preserve"> </w:t>
            </w:r>
            <w:r>
              <w:t>vs</w:t>
            </w:r>
            <w:r w:rsidRPr="00E44F3E">
              <w:t xml:space="preserve"> 6 months with standard of care. </w:t>
            </w:r>
          </w:p>
          <w:p w14:paraId="078E3E93" w14:textId="4AA47DDB" w:rsidR="004715EF" w:rsidRPr="00E44F3E" w:rsidRDefault="004715EF" w:rsidP="004715EF">
            <w:pPr>
              <w:pStyle w:val="TableBullet"/>
              <w:keepLines/>
            </w:pPr>
            <w:r w:rsidRPr="00E44F3E">
              <w:t>Quality of life was measured as a secondary endpoint</w:t>
            </w:r>
            <w:r>
              <w:t>,</w:t>
            </w:r>
            <w:r w:rsidRPr="00E44F3E">
              <w:t xml:space="preserve"> but no statistically significant benefit in overall quality of life measures were demonstrated. </w:t>
            </w:r>
          </w:p>
        </w:tc>
      </w:tr>
      <w:tr w:rsidR="004715EF" w:rsidRPr="00E44F3E" w14:paraId="2315E765" w14:textId="77777777" w:rsidTr="008979AC">
        <w:trPr>
          <w:trHeight w:val="20"/>
        </w:trPr>
        <w:tc>
          <w:tcPr>
            <w:tcW w:w="529" w:type="pct"/>
            <w:tcBorders>
              <w:top w:val="single" w:sz="4" w:space="0" w:color="C2D9BA"/>
              <w:bottom w:val="single" w:sz="4" w:space="0" w:color="C2D9BA"/>
            </w:tcBorders>
          </w:tcPr>
          <w:p w14:paraId="52D429CC" w14:textId="076448F9" w:rsidR="004715EF" w:rsidRPr="00E44F3E" w:rsidRDefault="004715EF" w:rsidP="004715EF">
            <w:pPr>
              <w:pStyle w:val="TableText"/>
              <w:keepLines/>
            </w:pPr>
            <w:r w:rsidRPr="00E44F3E">
              <w:lastRenderedPageBreak/>
              <w:t xml:space="preserve">Lenalidomide </w:t>
            </w:r>
          </w:p>
        </w:tc>
        <w:tc>
          <w:tcPr>
            <w:tcW w:w="677" w:type="pct"/>
            <w:tcBorders>
              <w:top w:val="single" w:sz="4" w:space="0" w:color="C2D9BA"/>
              <w:bottom w:val="single" w:sz="4" w:space="0" w:color="C2D9BA"/>
            </w:tcBorders>
            <w:shd w:val="clear" w:color="auto" w:fill="auto"/>
          </w:tcPr>
          <w:p w14:paraId="2F7E3742" w14:textId="196725BE" w:rsidR="004715EF" w:rsidRPr="00E44F3E" w:rsidRDefault="004715EF" w:rsidP="004715EF">
            <w:pPr>
              <w:pStyle w:val="TableText"/>
              <w:keepLines/>
            </w:pPr>
            <w:r w:rsidRPr="00E44F3E">
              <w:t>Bortezomib and dexamethasone for 8 cycles then with dexamethasone from cycle 9</w:t>
            </w:r>
          </w:p>
        </w:tc>
        <w:tc>
          <w:tcPr>
            <w:tcW w:w="596" w:type="pct"/>
            <w:tcBorders>
              <w:top w:val="single" w:sz="4" w:space="0" w:color="C2D9BA"/>
              <w:bottom w:val="single" w:sz="4" w:space="0" w:color="C2D9BA"/>
            </w:tcBorders>
          </w:tcPr>
          <w:p w14:paraId="181AB12D" w14:textId="77777777" w:rsidR="004715EF" w:rsidRPr="00E44F3E" w:rsidRDefault="004715EF" w:rsidP="004715EF">
            <w:pPr>
              <w:pStyle w:val="TableText"/>
              <w:keepLines/>
            </w:pPr>
            <w:r w:rsidRPr="00E44F3E">
              <w:t xml:space="preserve">Multiple myeloma (MM) </w:t>
            </w:r>
          </w:p>
        </w:tc>
        <w:tc>
          <w:tcPr>
            <w:tcW w:w="894" w:type="pct"/>
            <w:tcBorders>
              <w:top w:val="single" w:sz="4" w:space="0" w:color="C2D9BA"/>
              <w:bottom w:val="single" w:sz="4" w:space="0" w:color="C2D9BA"/>
            </w:tcBorders>
            <w:shd w:val="clear" w:color="auto" w:fill="auto"/>
          </w:tcPr>
          <w:p w14:paraId="530BC8CA" w14:textId="77777777" w:rsidR="004715EF" w:rsidRPr="00E44F3E" w:rsidRDefault="004715EF" w:rsidP="004715EF">
            <w:pPr>
              <w:pStyle w:val="TableText"/>
              <w:keepLines/>
            </w:pPr>
            <w:r w:rsidRPr="00E44F3E">
              <w:t xml:space="preserve">Newly diagnosed </w:t>
            </w:r>
          </w:p>
        </w:tc>
        <w:tc>
          <w:tcPr>
            <w:tcW w:w="573" w:type="pct"/>
            <w:tcBorders>
              <w:top w:val="single" w:sz="4" w:space="0" w:color="C2D9BA"/>
              <w:bottom w:val="single" w:sz="4" w:space="0" w:color="C2D9BA"/>
            </w:tcBorders>
          </w:tcPr>
          <w:p w14:paraId="7EF12AFF" w14:textId="3BD99E49" w:rsidR="004715EF" w:rsidRPr="00E44F3E" w:rsidRDefault="004715EF" w:rsidP="004715EF">
            <w:pPr>
              <w:pStyle w:val="TableText"/>
              <w:keepLines/>
              <w:jc w:val="center"/>
            </w:pPr>
            <w:r w:rsidRPr="00E44F3E">
              <w:t>SWOG-SO77</w:t>
            </w:r>
          </w:p>
          <w:p w14:paraId="050B78B1" w14:textId="46B37D0A" w:rsidR="004715EF" w:rsidRPr="00E44F3E" w:rsidRDefault="004715EF" w:rsidP="004715EF">
            <w:pPr>
              <w:pStyle w:val="TableText"/>
              <w:keepLines/>
              <w:jc w:val="center"/>
            </w:pPr>
            <w:r w:rsidRPr="00E44F3E">
              <w:t>(Durie et al 2017; Durie et al 2020)</w:t>
            </w:r>
          </w:p>
        </w:tc>
        <w:tc>
          <w:tcPr>
            <w:tcW w:w="455" w:type="pct"/>
            <w:tcBorders>
              <w:top w:val="single" w:sz="4" w:space="0" w:color="C2D9BA"/>
              <w:bottom w:val="single" w:sz="4" w:space="0" w:color="C2D9BA"/>
            </w:tcBorders>
          </w:tcPr>
          <w:p w14:paraId="42EC34C6" w14:textId="4F406D3D" w:rsidR="004715EF" w:rsidRPr="00E44F3E" w:rsidRDefault="004715EF" w:rsidP="004715EF">
            <w:pPr>
              <w:pStyle w:val="TableText"/>
              <w:keepLines/>
              <w:jc w:val="center"/>
              <w:rPr>
                <w:b/>
                <w:bCs/>
              </w:rPr>
            </w:pPr>
            <w:r w:rsidRPr="00E44F3E">
              <w:rPr>
                <w:b/>
                <w:bCs/>
              </w:rPr>
              <w:t>4</w:t>
            </w:r>
          </w:p>
          <w:p w14:paraId="7AB15948" w14:textId="77777777" w:rsidR="004715EF" w:rsidRPr="00E44F3E" w:rsidRDefault="004715EF" w:rsidP="004715EF">
            <w:pPr>
              <w:pStyle w:val="TableText"/>
              <w:keepLines/>
              <w:jc w:val="center"/>
            </w:pPr>
            <w:r w:rsidRPr="00E44F3E">
              <w:t>(2a)</w:t>
            </w:r>
          </w:p>
        </w:tc>
        <w:tc>
          <w:tcPr>
            <w:tcW w:w="1276" w:type="pct"/>
            <w:tcBorders>
              <w:top w:val="single" w:sz="4" w:space="0" w:color="C2D9BA"/>
              <w:bottom w:val="single" w:sz="4" w:space="0" w:color="C2D9BA"/>
            </w:tcBorders>
          </w:tcPr>
          <w:p w14:paraId="24AF09C1" w14:textId="5367F7BD" w:rsidR="004715EF" w:rsidRPr="00E44F3E" w:rsidRDefault="004715EF" w:rsidP="004715EF">
            <w:pPr>
              <w:pStyle w:val="TableBullet"/>
              <w:keepLines/>
            </w:pPr>
            <w:r w:rsidRPr="00E44F3E">
              <w:t xml:space="preserve">Derived ESMO-MCBS:H score is based on a comparator (lenalidomide with dexamethasone). Lenalidomide is not currently available in </w:t>
            </w:r>
            <w:r>
              <w:t>Aotearoa New Zealand</w:t>
            </w:r>
            <w:r w:rsidRPr="00E44F3E">
              <w:t xml:space="preserve"> for this indication. </w:t>
            </w:r>
          </w:p>
          <w:p w14:paraId="6A160794" w14:textId="5697EBFE" w:rsidR="004715EF" w:rsidRPr="00E44F3E" w:rsidRDefault="004715EF" w:rsidP="004715EF">
            <w:pPr>
              <w:pStyle w:val="TableBullet"/>
              <w:keepLines/>
            </w:pPr>
            <w:r w:rsidRPr="00E44F3E">
              <w:t>The primary endpoint was progression</w:t>
            </w:r>
            <w:r>
              <w:t>-</w:t>
            </w:r>
            <w:r w:rsidRPr="00E44F3E">
              <w:t>free survival, but overall survival was a secondary endpoint and showed statistically significant improvement.</w:t>
            </w:r>
            <w:r>
              <w:t xml:space="preserve"> </w:t>
            </w:r>
          </w:p>
          <w:p w14:paraId="6A2DB5A2" w14:textId="0A03A1D1" w:rsidR="004715EF" w:rsidRPr="00E44F3E" w:rsidRDefault="004715EF" w:rsidP="004715EF">
            <w:pPr>
              <w:pStyle w:val="TableBullet"/>
              <w:keepLines/>
            </w:pPr>
            <w:r w:rsidRPr="00E44F3E">
              <w:t>After a median follow</w:t>
            </w:r>
            <w:r>
              <w:t>-</w:t>
            </w:r>
            <w:r w:rsidRPr="00E44F3E">
              <w:t xml:space="preserve">up period of 84 months, the median overall survival was not reached for lenalidomide, bortezomib and dexamethasone </w:t>
            </w:r>
            <w:r>
              <w:t>vs</w:t>
            </w:r>
            <w:r w:rsidRPr="00E44F3E">
              <w:t xml:space="preserve"> 69 months with lenalidomide with dexamethasone. </w:t>
            </w:r>
          </w:p>
          <w:p w14:paraId="769DE98E" w14:textId="77777777" w:rsidR="004715EF" w:rsidRPr="00E44F3E" w:rsidRDefault="004715EF" w:rsidP="004715EF">
            <w:pPr>
              <w:pStyle w:val="TableBullet"/>
              <w:keepLines/>
            </w:pPr>
            <w:r w:rsidRPr="00E44F3E">
              <w:t xml:space="preserve">Quality of life did not appear to be measured. </w:t>
            </w:r>
          </w:p>
        </w:tc>
      </w:tr>
      <w:tr w:rsidR="004715EF" w:rsidRPr="00E44F3E" w14:paraId="05BB37BB" w14:textId="77777777" w:rsidTr="008979AC">
        <w:trPr>
          <w:trHeight w:val="20"/>
        </w:trPr>
        <w:tc>
          <w:tcPr>
            <w:tcW w:w="529" w:type="pct"/>
            <w:tcBorders>
              <w:top w:val="single" w:sz="4" w:space="0" w:color="C2D9BA"/>
              <w:bottom w:val="single" w:sz="4" w:space="0" w:color="C2D9BA"/>
            </w:tcBorders>
          </w:tcPr>
          <w:p w14:paraId="1A5ADC72" w14:textId="77777777" w:rsidR="004715EF" w:rsidRPr="00E44F3E" w:rsidRDefault="004715EF" w:rsidP="004715EF">
            <w:pPr>
              <w:pStyle w:val="TableText"/>
              <w:keepLines/>
            </w:pPr>
            <w:r w:rsidRPr="00E44F3E">
              <w:lastRenderedPageBreak/>
              <w:t>Pomalidomide</w:t>
            </w:r>
          </w:p>
        </w:tc>
        <w:tc>
          <w:tcPr>
            <w:tcW w:w="677" w:type="pct"/>
            <w:tcBorders>
              <w:top w:val="single" w:sz="4" w:space="0" w:color="C2D9BA"/>
              <w:bottom w:val="single" w:sz="4" w:space="0" w:color="C2D9BA"/>
            </w:tcBorders>
            <w:shd w:val="clear" w:color="auto" w:fill="auto"/>
          </w:tcPr>
          <w:p w14:paraId="2AC7B138" w14:textId="77777777" w:rsidR="004715EF" w:rsidRPr="00E44F3E" w:rsidRDefault="004715EF" w:rsidP="004715EF">
            <w:pPr>
              <w:pStyle w:val="TableText"/>
              <w:keepLines/>
            </w:pPr>
            <w:r w:rsidRPr="00E44F3E">
              <w:t>Dexamethasone</w:t>
            </w:r>
          </w:p>
        </w:tc>
        <w:tc>
          <w:tcPr>
            <w:tcW w:w="596" w:type="pct"/>
            <w:tcBorders>
              <w:top w:val="single" w:sz="4" w:space="0" w:color="C2D9BA"/>
              <w:bottom w:val="single" w:sz="4" w:space="0" w:color="C2D9BA"/>
            </w:tcBorders>
          </w:tcPr>
          <w:p w14:paraId="49E686D6" w14:textId="77777777" w:rsidR="004715EF" w:rsidRPr="00E44F3E" w:rsidRDefault="004715EF" w:rsidP="004715EF">
            <w:pPr>
              <w:pStyle w:val="TableText"/>
              <w:keepLines/>
            </w:pPr>
            <w:r w:rsidRPr="00E44F3E">
              <w:t xml:space="preserve">Multiple myeloma (MM) </w:t>
            </w:r>
          </w:p>
        </w:tc>
        <w:tc>
          <w:tcPr>
            <w:tcW w:w="894" w:type="pct"/>
            <w:tcBorders>
              <w:top w:val="single" w:sz="4" w:space="0" w:color="C2D9BA"/>
              <w:bottom w:val="single" w:sz="4" w:space="0" w:color="C2D9BA"/>
            </w:tcBorders>
            <w:shd w:val="clear" w:color="auto" w:fill="auto"/>
          </w:tcPr>
          <w:p w14:paraId="2BCFA340" w14:textId="48638D44" w:rsidR="004715EF" w:rsidRPr="00E44F3E" w:rsidRDefault="004715EF" w:rsidP="004715EF">
            <w:pPr>
              <w:pStyle w:val="TableText"/>
              <w:keepLines/>
            </w:pPr>
            <w:r w:rsidRPr="00E44F3E">
              <w:t>Relapsed or refractory third</w:t>
            </w:r>
            <w:r>
              <w:t>-</w:t>
            </w:r>
            <w:r w:rsidRPr="00E44F3E">
              <w:t>line treatment</w:t>
            </w:r>
          </w:p>
        </w:tc>
        <w:tc>
          <w:tcPr>
            <w:tcW w:w="573" w:type="pct"/>
            <w:tcBorders>
              <w:top w:val="single" w:sz="4" w:space="0" w:color="C2D9BA"/>
              <w:bottom w:val="single" w:sz="4" w:space="0" w:color="C2D9BA"/>
            </w:tcBorders>
          </w:tcPr>
          <w:p w14:paraId="57B68A1E" w14:textId="77777777" w:rsidR="004715EF" w:rsidRPr="00E44F3E" w:rsidRDefault="004715EF" w:rsidP="004715EF">
            <w:pPr>
              <w:pStyle w:val="TableText"/>
              <w:keepLines/>
              <w:jc w:val="center"/>
            </w:pPr>
            <w:r w:rsidRPr="00E44F3E">
              <w:t>MM-003</w:t>
            </w:r>
          </w:p>
          <w:p w14:paraId="7CC2E4B5" w14:textId="66F6F4E4" w:rsidR="004715EF" w:rsidRPr="00E44F3E" w:rsidRDefault="004715EF" w:rsidP="004715EF">
            <w:pPr>
              <w:pStyle w:val="TableText"/>
              <w:keepLines/>
              <w:jc w:val="center"/>
            </w:pPr>
            <w:r w:rsidRPr="00E44F3E">
              <w:t>(Miguel et al 2013)</w:t>
            </w:r>
          </w:p>
        </w:tc>
        <w:tc>
          <w:tcPr>
            <w:tcW w:w="455" w:type="pct"/>
            <w:tcBorders>
              <w:top w:val="single" w:sz="4" w:space="0" w:color="C2D9BA"/>
              <w:bottom w:val="single" w:sz="4" w:space="0" w:color="C2D9BA"/>
            </w:tcBorders>
          </w:tcPr>
          <w:p w14:paraId="5BCCDF0D" w14:textId="77777777" w:rsidR="004715EF" w:rsidRPr="00E44F3E" w:rsidRDefault="004715EF" w:rsidP="004715EF">
            <w:pPr>
              <w:pStyle w:val="TableText"/>
              <w:keepLines/>
              <w:jc w:val="center"/>
              <w:rPr>
                <w:b/>
                <w:bCs/>
              </w:rPr>
            </w:pPr>
            <w:r w:rsidRPr="00E44F3E">
              <w:rPr>
                <w:b/>
                <w:bCs/>
              </w:rPr>
              <w:t>4</w:t>
            </w:r>
          </w:p>
          <w:p w14:paraId="57E991BE" w14:textId="77777777" w:rsidR="004715EF" w:rsidRPr="00E44F3E" w:rsidRDefault="004715EF" w:rsidP="004715EF">
            <w:pPr>
              <w:pStyle w:val="TableText"/>
              <w:keepLines/>
              <w:jc w:val="center"/>
            </w:pPr>
            <w:r w:rsidRPr="00E44F3E">
              <w:t>(2a)</w:t>
            </w:r>
          </w:p>
        </w:tc>
        <w:tc>
          <w:tcPr>
            <w:tcW w:w="1276" w:type="pct"/>
            <w:tcBorders>
              <w:top w:val="single" w:sz="4" w:space="0" w:color="C2D9BA"/>
              <w:bottom w:val="single" w:sz="4" w:space="0" w:color="C2D9BA"/>
            </w:tcBorders>
          </w:tcPr>
          <w:p w14:paraId="40A454C5" w14:textId="4478F5F9" w:rsidR="004715EF" w:rsidRPr="00E44F3E" w:rsidRDefault="004715EF" w:rsidP="004715EF">
            <w:pPr>
              <w:pStyle w:val="TableBullet"/>
              <w:keepLines/>
            </w:pPr>
            <w:r w:rsidRPr="00E44F3E">
              <w:t xml:space="preserve">Derived ESMO-MCBS:H score is based on </w:t>
            </w:r>
            <w:r>
              <w:t xml:space="preserve">a </w:t>
            </w:r>
            <w:r w:rsidRPr="00E44F3E">
              <w:t xml:space="preserve">comparator </w:t>
            </w:r>
            <w:r>
              <w:t>(</w:t>
            </w:r>
            <w:r w:rsidRPr="00E44F3E">
              <w:t>dexamethasone</w:t>
            </w:r>
            <w:r>
              <w:t>)</w:t>
            </w:r>
            <w:r w:rsidRPr="00E44F3E">
              <w:t xml:space="preserve"> </w:t>
            </w:r>
            <w:r>
              <w:t xml:space="preserve">that </w:t>
            </w:r>
            <w:r w:rsidRPr="00E44F3E">
              <w:t xml:space="preserve">is available in </w:t>
            </w:r>
            <w:r>
              <w:t>Aotearoa New Zealand</w:t>
            </w:r>
            <w:r w:rsidRPr="00E44F3E">
              <w:t xml:space="preserve"> for this indication. </w:t>
            </w:r>
          </w:p>
          <w:p w14:paraId="7B54CFEC" w14:textId="6F81303D" w:rsidR="004715EF" w:rsidRPr="00E44F3E" w:rsidRDefault="004715EF" w:rsidP="004715EF">
            <w:pPr>
              <w:pStyle w:val="TableBullet"/>
              <w:keepLines/>
            </w:pPr>
            <w:r w:rsidRPr="00E44F3E">
              <w:t>The primary trial endpoint was progression</w:t>
            </w:r>
            <w:r>
              <w:t>-</w:t>
            </w:r>
            <w:r w:rsidRPr="00E44F3E">
              <w:t>free survival</w:t>
            </w:r>
            <w:r>
              <w:t>,</w:t>
            </w:r>
            <w:r w:rsidRPr="00E44F3E">
              <w:t xml:space="preserve"> but overall survival as a secondary endpoint showed statistically significant improvement. </w:t>
            </w:r>
          </w:p>
          <w:p w14:paraId="7FB98013" w14:textId="77777777" w:rsidR="004715EF" w:rsidRPr="00E44F3E" w:rsidRDefault="004715EF" w:rsidP="004715EF">
            <w:pPr>
              <w:pStyle w:val="TableBullet"/>
              <w:keepLines/>
            </w:pPr>
            <w:r w:rsidRPr="00E44F3E">
              <w:t xml:space="preserve">Overall survival was 12 months with pomalidomide vs 8 months with dexamethasone. </w:t>
            </w:r>
          </w:p>
          <w:p w14:paraId="0A73561C" w14:textId="77777777" w:rsidR="004715EF" w:rsidRPr="00E44F3E" w:rsidRDefault="004715EF" w:rsidP="004715EF">
            <w:pPr>
              <w:pStyle w:val="TableBullet"/>
              <w:keepLines/>
            </w:pPr>
            <w:r w:rsidRPr="00E44F3E">
              <w:t xml:space="preserve">Quality of life did not appear to be measured. </w:t>
            </w:r>
          </w:p>
        </w:tc>
      </w:tr>
      <w:tr w:rsidR="004715EF" w:rsidRPr="00E44F3E" w14:paraId="71A271EE" w14:textId="77777777" w:rsidTr="008979AC">
        <w:trPr>
          <w:trHeight w:val="20"/>
        </w:trPr>
        <w:tc>
          <w:tcPr>
            <w:tcW w:w="529" w:type="pct"/>
            <w:tcBorders>
              <w:top w:val="single" w:sz="4" w:space="0" w:color="C2D9BA"/>
              <w:bottom w:val="single" w:sz="4" w:space="0" w:color="C2D9BA"/>
            </w:tcBorders>
          </w:tcPr>
          <w:p w14:paraId="7A55C650" w14:textId="77777777" w:rsidR="004715EF" w:rsidRPr="00E44F3E" w:rsidRDefault="004715EF" w:rsidP="004715EF">
            <w:pPr>
              <w:pStyle w:val="TableText"/>
              <w:keepLines/>
            </w:pPr>
            <w:proofErr w:type="spellStart"/>
            <w:r w:rsidRPr="00E44F3E">
              <w:t>Venetoclax</w:t>
            </w:r>
            <w:proofErr w:type="spellEnd"/>
            <w:r w:rsidRPr="00E44F3E">
              <w:t>*</w:t>
            </w:r>
          </w:p>
        </w:tc>
        <w:tc>
          <w:tcPr>
            <w:tcW w:w="677" w:type="pct"/>
            <w:tcBorders>
              <w:top w:val="single" w:sz="4" w:space="0" w:color="C2D9BA"/>
              <w:bottom w:val="single" w:sz="4" w:space="0" w:color="C2D9BA"/>
            </w:tcBorders>
            <w:shd w:val="clear" w:color="auto" w:fill="auto"/>
          </w:tcPr>
          <w:p w14:paraId="47A5F2E8" w14:textId="77777777" w:rsidR="004715EF" w:rsidRPr="00E44F3E" w:rsidRDefault="004715EF" w:rsidP="004715EF">
            <w:pPr>
              <w:pStyle w:val="TableText"/>
              <w:keepLines/>
            </w:pPr>
            <w:r w:rsidRPr="00E44F3E">
              <w:t>Azacitidine*</w:t>
            </w:r>
          </w:p>
        </w:tc>
        <w:tc>
          <w:tcPr>
            <w:tcW w:w="596" w:type="pct"/>
            <w:tcBorders>
              <w:top w:val="single" w:sz="4" w:space="0" w:color="C2D9BA"/>
              <w:bottom w:val="single" w:sz="4" w:space="0" w:color="C2D9BA"/>
            </w:tcBorders>
          </w:tcPr>
          <w:p w14:paraId="44649442" w14:textId="77777777" w:rsidR="004715EF" w:rsidRPr="00E44F3E" w:rsidRDefault="004715EF" w:rsidP="004715EF">
            <w:pPr>
              <w:pStyle w:val="TableText"/>
              <w:keepLines/>
            </w:pPr>
            <w:r w:rsidRPr="00E44F3E">
              <w:t>Acute myeloid leukaemia (AML)</w:t>
            </w:r>
          </w:p>
        </w:tc>
        <w:tc>
          <w:tcPr>
            <w:tcW w:w="894" w:type="pct"/>
            <w:tcBorders>
              <w:top w:val="single" w:sz="4" w:space="0" w:color="C2D9BA"/>
              <w:bottom w:val="single" w:sz="4" w:space="0" w:color="C2D9BA"/>
            </w:tcBorders>
            <w:shd w:val="clear" w:color="auto" w:fill="auto"/>
          </w:tcPr>
          <w:p w14:paraId="619889FB" w14:textId="77777777" w:rsidR="004715EF" w:rsidRPr="00E44F3E" w:rsidRDefault="004715EF" w:rsidP="004715EF">
            <w:pPr>
              <w:pStyle w:val="TableText"/>
              <w:keepLines/>
            </w:pPr>
            <w:r w:rsidRPr="00E44F3E">
              <w:t xml:space="preserve">Patients who are unfit for intensive chemotherapy </w:t>
            </w:r>
          </w:p>
        </w:tc>
        <w:tc>
          <w:tcPr>
            <w:tcW w:w="573" w:type="pct"/>
            <w:tcBorders>
              <w:top w:val="single" w:sz="4" w:space="0" w:color="C2D9BA"/>
              <w:bottom w:val="single" w:sz="4" w:space="0" w:color="C2D9BA"/>
            </w:tcBorders>
          </w:tcPr>
          <w:p w14:paraId="33F25281" w14:textId="77777777" w:rsidR="004715EF" w:rsidRPr="00E44F3E" w:rsidRDefault="004715EF" w:rsidP="004715EF">
            <w:pPr>
              <w:pStyle w:val="TableText"/>
              <w:keepLines/>
              <w:jc w:val="center"/>
            </w:pPr>
            <w:r w:rsidRPr="00E44F3E">
              <w:t>VIALE-A</w:t>
            </w:r>
          </w:p>
          <w:p w14:paraId="165432C9" w14:textId="062BC241" w:rsidR="004715EF" w:rsidRPr="00E44F3E" w:rsidRDefault="004715EF" w:rsidP="004715EF">
            <w:pPr>
              <w:pStyle w:val="TableText"/>
              <w:keepLines/>
              <w:jc w:val="center"/>
            </w:pPr>
            <w:r w:rsidRPr="00E44F3E">
              <w:t xml:space="preserve">(DiNardo et al 2020; </w:t>
            </w:r>
            <w:proofErr w:type="spellStart"/>
            <w:r w:rsidRPr="00E44F3E">
              <w:t>Pratz</w:t>
            </w:r>
            <w:proofErr w:type="spellEnd"/>
            <w:r w:rsidRPr="00E44F3E">
              <w:t xml:space="preserve"> et al 2024)</w:t>
            </w:r>
          </w:p>
        </w:tc>
        <w:tc>
          <w:tcPr>
            <w:tcW w:w="455" w:type="pct"/>
            <w:tcBorders>
              <w:top w:val="single" w:sz="4" w:space="0" w:color="C2D9BA"/>
              <w:bottom w:val="single" w:sz="4" w:space="0" w:color="C2D9BA"/>
            </w:tcBorders>
          </w:tcPr>
          <w:p w14:paraId="372D149F" w14:textId="77777777" w:rsidR="004715EF" w:rsidRPr="00E44F3E" w:rsidRDefault="004715EF" w:rsidP="004715EF">
            <w:pPr>
              <w:pStyle w:val="TableText"/>
              <w:keepLines/>
              <w:jc w:val="center"/>
              <w:rPr>
                <w:b/>
                <w:bCs/>
              </w:rPr>
            </w:pPr>
            <w:r w:rsidRPr="00E44F3E">
              <w:rPr>
                <w:b/>
                <w:bCs/>
              </w:rPr>
              <w:t>5</w:t>
            </w:r>
          </w:p>
          <w:p w14:paraId="70E2C061" w14:textId="77777777" w:rsidR="004715EF" w:rsidRPr="00E44F3E" w:rsidRDefault="004715EF" w:rsidP="004715EF">
            <w:pPr>
              <w:pStyle w:val="TableText"/>
              <w:keepLines/>
              <w:jc w:val="center"/>
            </w:pPr>
            <w:r w:rsidRPr="00E44F3E">
              <w:t>(2a)</w:t>
            </w:r>
          </w:p>
        </w:tc>
        <w:tc>
          <w:tcPr>
            <w:tcW w:w="1276" w:type="pct"/>
            <w:tcBorders>
              <w:top w:val="single" w:sz="4" w:space="0" w:color="C2D9BA"/>
              <w:bottom w:val="single" w:sz="4" w:space="0" w:color="C2D9BA"/>
            </w:tcBorders>
          </w:tcPr>
          <w:p w14:paraId="53547059" w14:textId="0A067631" w:rsidR="004715EF" w:rsidRPr="00E44F3E" w:rsidRDefault="004715EF" w:rsidP="004715EF">
            <w:pPr>
              <w:pStyle w:val="TableBullet"/>
              <w:keepLines/>
            </w:pPr>
            <w:r w:rsidRPr="00E44F3E">
              <w:t xml:space="preserve">Derived ESMO-MCBS:H score is based on </w:t>
            </w:r>
            <w:r>
              <w:t>a</w:t>
            </w:r>
            <w:r w:rsidRPr="00E44F3E">
              <w:t xml:space="preserve"> comparator </w:t>
            </w:r>
            <w:r>
              <w:t>(</w:t>
            </w:r>
            <w:r w:rsidRPr="00E44F3E">
              <w:t>azacitidine monotherapy</w:t>
            </w:r>
            <w:r>
              <w:t>)</w:t>
            </w:r>
            <w:r w:rsidRPr="00E44F3E">
              <w:t xml:space="preserve"> </w:t>
            </w:r>
            <w:r>
              <w:t xml:space="preserve">that </w:t>
            </w:r>
            <w:r w:rsidRPr="00E44F3E">
              <w:t xml:space="preserve">is not available in </w:t>
            </w:r>
            <w:r>
              <w:t>Aotearoa New Zealand</w:t>
            </w:r>
            <w:r w:rsidRPr="00E44F3E">
              <w:t xml:space="preserve"> for this indication. Clinical advice was that the gap in </w:t>
            </w:r>
            <w:r>
              <w:t>Aotearoa New Zealand</w:t>
            </w:r>
            <w:r w:rsidRPr="00E44F3E">
              <w:t xml:space="preserve"> would therefore be materially larger</w:t>
            </w:r>
            <w:r>
              <w:t>,</w:t>
            </w:r>
            <w:r w:rsidRPr="00E44F3E">
              <w:t xml:space="preserve"> so the derived score was upgraded from a 4 to a 5. </w:t>
            </w:r>
          </w:p>
          <w:p w14:paraId="6966E231" w14:textId="34F0DE0A" w:rsidR="004715EF" w:rsidRPr="00E44F3E" w:rsidRDefault="004715EF" w:rsidP="004715EF">
            <w:pPr>
              <w:pStyle w:val="TableBullet"/>
              <w:keepLines/>
            </w:pPr>
            <w:r w:rsidRPr="00E44F3E">
              <w:t>The primary trial endpoint was overall survival. After a median of 20.5 months follow-up</w:t>
            </w:r>
            <w:r>
              <w:t>,</w:t>
            </w:r>
            <w:r w:rsidRPr="00E44F3E">
              <w:t xml:space="preserve"> overall survival was 15 months in the azacitidine with </w:t>
            </w:r>
            <w:proofErr w:type="spellStart"/>
            <w:r w:rsidRPr="00E44F3E">
              <w:t>venetoclax</w:t>
            </w:r>
            <w:proofErr w:type="spellEnd"/>
            <w:r w:rsidRPr="00E44F3E">
              <w:t xml:space="preserve"> group </w:t>
            </w:r>
            <w:r>
              <w:t>vs</w:t>
            </w:r>
            <w:r w:rsidRPr="00E44F3E">
              <w:t xml:space="preserve"> 9.6 in the control arm. </w:t>
            </w:r>
          </w:p>
          <w:p w14:paraId="2B00662B" w14:textId="2E7FC207" w:rsidR="004715EF" w:rsidRPr="00E44F3E" w:rsidRDefault="004715EF" w:rsidP="004715EF">
            <w:pPr>
              <w:pStyle w:val="TableBullet"/>
              <w:keepLines/>
            </w:pPr>
            <w:r w:rsidRPr="00E44F3E">
              <w:lastRenderedPageBreak/>
              <w:t>Quality of life was measured as a secondary endpoint</w:t>
            </w:r>
            <w:r>
              <w:t>,</w:t>
            </w:r>
            <w:r w:rsidRPr="00E44F3E">
              <w:t xml:space="preserve"> but no differences in the two groups were reported. </w:t>
            </w:r>
          </w:p>
          <w:p w14:paraId="495C3678" w14:textId="77777777" w:rsidR="004715EF" w:rsidRPr="00E44F3E" w:rsidRDefault="004715EF" w:rsidP="004715EF">
            <w:pPr>
              <w:pStyle w:val="TableBullet"/>
              <w:keepLines/>
            </w:pPr>
            <w:r w:rsidRPr="00E44F3E">
              <w:t xml:space="preserve">Both azacitidine and </w:t>
            </w:r>
            <w:proofErr w:type="spellStart"/>
            <w:r w:rsidRPr="00E44F3E">
              <w:t>venetoclax</w:t>
            </w:r>
            <w:proofErr w:type="spellEnd"/>
            <w:r w:rsidRPr="00E44F3E">
              <w:t xml:space="preserve"> would need to be funded for this indication to close this gap. </w:t>
            </w:r>
          </w:p>
        </w:tc>
      </w:tr>
    </w:tbl>
    <w:p w14:paraId="64B53314" w14:textId="23A1758C" w:rsidR="00305517" w:rsidRPr="00E44F3E" w:rsidRDefault="00305517" w:rsidP="00EB0A8D">
      <w:pPr>
        <w:pStyle w:val="Note"/>
      </w:pPr>
      <w:r w:rsidRPr="00E44F3E">
        <w:lastRenderedPageBreak/>
        <w:t>* Represents a regimen</w:t>
      </w:r>
      <w:r w:rsidR="00DC5AE3">
        <w:t>-indication</w:t>
      </w:r>
      <w:r w:rsidRPr="00E44F3E">
        <w:t xml:space="preserve"> pair – where more than one medicine is taken as part of the same treatment, and both would need to be funded to close the gap.</w:t>
      </w:r>
    </w:p>
    <w:p w14:paraId="7B88BDEA" w14:textId="77777777" w:rsidR="006D28C9" w:rsidRPr="00E44F3E" w:rsidRDefault="006D28C9" w:rsidP="00EB0A8D">
      <w:pPr>
        <w:pStyle w:val="Note"/>
      </w:pPr>
    </w:p>
    <w:p w14:paraId="1E1E6A6C" w14:textId="0A4CE3A3" w:rsidR="00082FE1" w:rsidRPr="00E44F3E" w:rsidRDefault="00082FE1" w:rsidP="00FB3898">
      <w:pPr>
        <w:pStyle w:val="Table"/>
        <w:pageBreakBefore/>
      </w:pPr>
      <w:bookmarkStart w:id="226" w:name="_Ref171691169"/>
      <w:bookmarkStart w:id="227" w:name="_Toc180142299"/>
      <w:bookmarkStart w:id="228" w:name="_Toc175241604"/>
      <w:bookmarkStart w:id="229" w:name="_Hlk177376932"/>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13</w:t>
      </w:r>
      <w:r w:rsidR="00D97615">
        <w:rPr>
          <w:noProof/>
        </w:rPr>
        <w:fldChar w:fldCharType="end"/>
      </w:r>
      <w:bookmarkEnd w:id="226"/>
      <w:r w:rsidR="001170B0" w:rsidRPr="00E44F3E">
        <w:t>:</w:t>
      </w:r>
      <w:r w:rsidRPr="00E44F3E">
        <w:rPr>
          <w:bCs/>
        </w:rPr>
        <w:t xml:space="preserve"> </w:t>
      </w:r>
      <w:r w:rsidRPr="00E44F3E">
        <w:t xml:space="preserve">Medicines funded in Australia but not </w:t>
      </w:r>
      <w:r w:rsidR="00761832">
        <w:t xml:space="preserve">in </w:t>
      </w:r>
      <w:r w:rsidR="00E6006E">
        <w:t>Aotearoa New </w:t>
      </w:r>
      <w:r w:rsidR="007C6B5B">
        <w:t>Zealand</w:t>
      </w:r>
      <w:r w:rsidRPr="00E44F3E">
        <w:t xml:space="preserve"> </w:t>
      </w:r>
      <w:r w:rsidR="00A85AB2">
        <w:t xml:space="preserve">– </w:t>
      </w:r>
      <w:r w:rsidR="005C65E4" w:rsidRPr="005C65E4">
        <w:t>gap categorisation</w:t>
      </w:r>
      <w:r w:rsidR="007E354E">
        <w:t>:</w:t>
      </w:r>
      <w:r w:rsidR="005C65E4" w:rsidRPr="005C65E4">
        <w:t xml:space="preserve"> no substantial clinical benefit</w:t>
      </w:r>
      <w:bookmarkEnd w:id="227"/>
      <w:r w:rsidR="005C65E4" w:rsidRPr="005C65E4">
        <w:t xml:space="preserve"> </w:t>
      </w:r>
      <w:bookmarkEnd w:id="228"/>
    </w:p>
    <w:tbl>
      <w:tblPr>
        <w:tblW w:w="0" w:type="auto"/>
        <w:tblBorders>
          <w:bottom w:val="single" w:sz="4" w:space="0" w:color="C2D9BA"/>
          <w:insideH w:val="single" w:sz="4" w:space="0" w:color="C2D9BA"/>
        </w:tblBorders>
        <w:tblLook w:val="04A0" w:firstRow="1" w:lastRow="0" w:firstColumn="1" w:lastColumn="0" w:noHBand="0" w:noVBand="1"/>
      </w:tblPr>
      <w:tblGrid>
        <w:gridCol w:w="1583"/>
        <w:gridCol w:w="2015"/>
        <w:gridCol w:w="1582"/>
        <w:gridCol w:w="2325"/>
        <w:gridCol w:w="1702"/>
        <w:gridCol w:w="1425"/>
        <w:gridCol w:w="3366"/>
      </w:tblGrid>
      <w:tr w:rsidR="008F51A5" w:rsidRPr="00E44F3E" w14:paraId="749D5BE7" w14:textId="77777777" w:rsidTr="0069375A">
        <w:trPr>
          <w:trHeight w:val="20"/>
          <w:tblHeader/>
        </w:trPr>
        <w:tc>
          <w:tcPr>
            <w:tcW w:w="0" w:type="auto"/>
            <w:shd w:val="clear" w:color="auto" w:fill="C2D9BA"/>
          </w:tcPr>
          <w:bookmarkEnd w:id="229"/>
          <w:p w14:paraId="0FE5646A" w14:textId="77777777" w:rsidR="00A85AB2" w:rsidRPr="00E44F3E" w:rsidRDefault="00A85AB2" w:rsidP="001200C0">
            <w:pPr>
              <w:pStyle w:val="TableText"/>
              <w:keepLines/>
              <w:rPr>
                <w:szCs w:val="18"/>
                <w:lang w:eastAsia="en-NZ"/>
              </w:rPr>
            </w:pPr>
            <w:r w:rsidRPr="00E44F3E">
              <w:rPr>
                <w:b/>
                <w:bCs/>
                <w:szCs w:val="18"/>
              </w:rPr>
              <w:t>Medicine name</w:t>
            </w:r>
          </w:p>
        </w:tc>
        <w:tc>
          <w:tcPr>
            <w:tcW w:w="0" w:type="auto"/>
            <w:shd w:val="clear" w:color="auto" w:fill="C2D9BA"/>
          </w:tcPr>
          <w:p w14:paraId="6E49EC4E" w14:textId="5A19AA06" w:rsidR="00A85AB2" w:rsidRPr="00E44F3E" w:rsidRDefault="00A85AB2" w:rsidP="001200C0">
            <w:pPr>
              <w:pStyle w:val="TableText"/>
              <w:keepLines/>
              <w:rPr>
                <w:szCs w:val="18"/>
                <w:lang w:eastAsia="en-NZ"/>
              </w:rPr>
            </w:pPr>
            <w:r>
              <w:rPr>
                <w:b/>
                <w:bCs/>
                <w:szCs w:val="18"/>
              </w:rPr>
              <w:t>Used in combination with</w:t>
            </w:r>
            <w:r w:rsidRPr="00E44F3E">
              <w:rPr>
                <w:b/>
                <w:bCs/>
                <w:szCs w:val="18"/>
              </w:rPr>
              <w:t xml:space="preserve"> </w:t>
            </w:r>
          </w:p>
        </w:tc>
        <w:tc>
          <w:tcPr>
            <w:tcW w:w="0" w:type="auto"/>
            <w:shd w:val="clear" w:color="auto" w:fill="C2D9BA"/>
          </w:tcPr>
          <w:p w14:paraId="24FB5636" w14:textId="77777777" w:rsidR="00A85AB2" w:rsidRPr="00E44F3E" w:rsidRDefault="00A85AB2" w:rsidP="001200C0">
            <w:pPr>
              <w:pStyle w:val="TableText"/>
              <w:keepLines/>
              <w:rPr>
                <w:szCs w:val="18"/>
                <w:lang w:eastAsia="en-NZ"/>
              </w:rPr>
            </w:pPr>
            <w:r w:rsidRPr="00E44F3E">
              <w:rPr>
                <w:b/>
                <w:bCs/>
                <w:szCs w:val="18"/>
              </w:rPr>
              <w:t>Cancer type</w:t>
            </w:r>
          </w:p>
        </w:tc>
        <w:tc>
          <w:tcPr>
            <w:tcW w:w="0" w:type="auto"/>
            <w:shd w:val="clear" w:color="auto" w:fill="C2D9BA"/>
          </w:tcPr>
          <w:p w14:paraId="5927226B" w14:textId="77777777" w:rsidR="00A85AB2" w:rsidRPr="00E44F3E" w:rsidRDefault="00A85AB2" w:rsidP="001200C0">
            <w:pPr>
              <w:pStyle w:val="TableText"/>
              <w:keepLines/>
              <w:rPr>
                <w:szCs w:val="18"/>
                <w:lang w:eastAsia="en-NZ"/>
              </w:rPr>
            </w:pPr>
            <w:r w:rsidRPr="00E44F3E">
              <w:rPr>
                <w:b/>
                <w:bCs/>
                <w:szCs w:val="18"/>
              </w:rPr>
              <w:t xml:space="preserve">Specific indication </w:t>
            </w:r>
          </w:p>
        </w:tc>
        <w:tc>
          <w:tcPr>
            <w:tcW w:w="0" w:type="auto"/>
            <w:shd w:val="clear" w:color="auto" w:fill="C2D9BA"/>
          </w:tcPr>
          <w:p w14:paraId="4D6043AE" w14:textId="77777777" w:rsidR="00A85AB2" w:rsidRPr="00E44F3E" w:rsidRDefault="00A85AB2" w:rsidP="004957B2">
            <w:pPr>
              <w:pStyle w:val="TableText"/>
              <w:keepLines/>
              <w:jc w:val="center"/>
              <w:rPr>
                <w:szCs w:val="18"/>
                <w:lang w:eastAsia="en-NZ"/>
              </w:rPr>
            </w:pPr>
            <w:r w:rsidRPr="00E44F3E">
              <w:rPr>
                <w:b/>
                <w:bCs/>
                <w:szCs w:val="18"/>
              </w:rPr>
              <w:t>Key pivotal trial used for scoring</w:t>
            </w:r>
          </w:p>
        </w:tc>
        <w:tc>
          <w:tcPr>
            <w:tcW w:w="0" w:type="auto"/>
            <w:shd w:val="clear" w:color="auto" w:fill="C2D9BA"/>
          </w:tcPr>
          <w:p w14:paraId="7FBE2C3D" w14:textId="259C8EE9" w:rsidR="00A85AB2" w:rsidRDefault="00A85AB2" w:rsidP="001200C0">
            <w:pPr>
              <w:pStyle w:val="TableText"/>
              <w:keepLines/>
              <w:jc w:val="center"/>
              <w:rPr>
                <w:b/>
                <w:bCs/>
                <w:szCs w:val="18"/>
              </w:rPr>
            </w:pPr>
            <w:r w:rsidRPr="00D16852">
              <w:rPr>
                <w:b/>
                <w:bCs/>
                <w:szCs w:val="18"/>
              </w:rPr>
              <w:t>ESMO</w:t>
            </w:r>
            <w:r>
              <w:rPr>
                <w:b/>
                <w:bCs/>
                <w:szCs w:val="18"/>
              </w:rPr>
              <w:noBreakHyphen/>
            </w:r>
            <w:r w:rsidRPr="00D16852">
              <w:rPr>
                <w:b/>
                <w:bCs/>
                <w:szCs w:val="18"/>
              </w:rPr>
              <w:t xml:space="preserve">MCBS:H </w:t>
            </w:r>
            <w:r>
              <w:rPr>
                <w:b/>
                <w:bCs/>
                <w:szCs w:val="18"/>
              </w:rPr>
              <w:t>s</w:t>
            </w:r>
            <w:r w:rsidRPr="00E44F3E">
              <w:rPr>
                <w:b/>
                <w:bCs/>
                <w:szCs w:val="18"/>
              </w:rPr>
              <w:t>core</w:t>
            </w:r>
          </w:p>
          <w:p w14:paraId="4D37BE03" w14:textId="292FE109" w:rsidR="00A85AB2" w:rsidRPr="00C86FFF" w:rsidRDefault="00A85AB2" w:rsidP="00C86FFF">
            <w:pPr>
              <w:pStyle w:val="TableText"/>
              <w:keepLines/>
              <w:jc w:val="center"/>
              <w:rPr>
                <w:b/>
                <w:bCs/>
                <w:szCs w:val="18"/>
                <w:lang w:eastAsia="en-NZ"/>
              </w:rPr>
            </w:pPr>
            <w:r w:rsidRPr="00C86FFF">
              <w:rPr>
                <w:b/>
                <w:bCs/>
                <w:sz w:val="16"/>
                <w:szCs w:val="16"/>
                <w:lang w:eastAsia="en-NZ"/>
              </w:rPr>
              <w:t>(ESMO</w:t>
            </w:r>
            <w:r w:rsidRPr="00C86FFF">
              <w:rPr>
                <w:b/>
                <w:bCs/>
                <w:sz w:val="16"/>
                <w:szCs w:val="16"/>
                <w:lang w:eastAsia="en-NZ"/>
              </w:rPr>
              <w:noBreakHyphen/>
              <w:t>MCBS:H evaluation form)</w:t>
            </w:r>
          </w:p>
        </w:tc>
        <w:tc>
          <w:tcPr>
            <w:tcW w:w="0" w:type="auto"/>
            <w:shd w:val="clear" w:color="auto" w:fill="C2D9BA"/>
          </w:tcPr>
          <w:p w14:paraId="6E816219" w14:textId="02233540" w:rsidR="00A85AB2" w:rsidRPr="00E44F3E" w:rsidRDefault="00A85AB2" w:rsidP="001200C0">
            <w:pPr>
              <w:pStyle w:val="TableText"/>
              <w:keepLines/>
              <w:rPr>
                <w:szCs w:val="18"/>
                <w:lang w:eastAsia="en-NZ"/>
              </w:rPr>
            </w:pPr>
            <w:r w:rsidRPr="00261141">
              <w:rPr>
                <w:b/>
                <w:bCs/>
                <w:szCs w:val="18"/>
              </w:rPr>
              <w:t>Rationale for gap categorisation</w:t>
            </w:r>
            <w:r>
              <w:rPr>
                <w:b/>
                <w:bCs/>
                <w:szCs w:val="18"/>
              </w:rPr>
              <w:t xml:space="preserve">: </w:t>
            </w:r>
            <w:r w:rsidR="00542DB1">
              <w:rPr>
                <w:b/>
                <w:bCs/>
                <w:szCs w:val="18"/>
              </w:rPr>
              <w:br/>
            </w:r>
            <w:r>
              <w:rPr>
                <w:b/>
                <w:bCs/>
                <w:szCs w:val="18"/>
              </w:rPr>
              <w:t xml:space="preserve">no </w:t>
            </w:r>
            <w:r w:rsidRPr="00261141">
              <w:rPr>
                <w:b/>
                <w:bCs/>
                <w:szCs w:val="18"/>
              </w:rPr>
              <w:t xml:space="preserve">substantial clinical benefit </w:t>
            </w:r>
          </w:p>
        </w:tc>
      </w:tr>
      <w:tr w:rsidR="00E53220" w:rsidRPr="00E44F3E" w14:paraId="2CA0251D" w14:textId="77777777" w:rsidTr="0069375A">
        <w:trPr>
          <w:trHeight w:val="20"/>
        </w:trPr>
        <w:tc>
          <w:tcPr>
            <w:tcW w:w="0" w:type="auto"/>
            <w:vMerge w:val="restart"/>
            <w:shd w:val="clear" w:color="auto" w:fill="auto"/>
            <w:hideMark/>
          </w:tcPr>
          <w:p w14:paraId="0DA2477C" w14:textId="7E0B232C" w:rsidR="008F51A5" w:rsidRPr="00E44F3E" w:rsidRDefault="008F51A5" w:rsidP="001200C0">
            <w:pPr>
              <w:pStyle w:val="TableText"/>
              <w:keepLines/>
              <w:rPr>
                <w:szCs w:val="18"/>
                <w:lang w:eastAsia="en-NZ"/>
              </w:rPr>
            </w:pPr>
            <w:r w:rsidRPr="00E44F3E">
              <w:rPr>
                <w:szCs w:val="18"/>
                <w:lang w:eastAsia="en-NZ"/>
              </w:rPr>
              <w:t>Acalabrutinib</w:t>
            </w:r>
            <w:r>
              <w:rPr>
                <w:szCs w:val="18"/>
                <w:lang w:eastAsia="en-NZ"/>
              </w:rPr>
              <w:t xml:space="preserve">, ibrutinib or </w:t>
            </w:r>
            <w:proofErr w:type="spellStart"/>
            <w:r>
              <w:rPr>
                <w:szCs w:val="18"/>
                <w:lang w:eastAsia="en-NZ"/>
              </w:rPr>
              <w:t>z</w:t>
            </w:r>
            <w:r w:rsidRPr="00E44F3E">
              <w:rPr>
                <w:szCs w:val="18"/>
                <w:lang w:eastAsia="en-NZ"/>
              </w:rPr>
              <w:t>anubrutinib</w:t>
            </w:r>
            <w:proofErr w:type="spellEnd"/>
          </w:p>
        </w:tc>
        <w:tc>
          <w:tcPr>
            <w:tcW w:w="0" w:type="auto"/>
            <w:vMerge w:val="restart"/>
            <w:shd w:val="clear" w:color="auto" w:fill="auto"/>
            <w:hideMark/>
          </w:tcPr>
          <w:p w14:paraId="259D0703" w14:textId="77777777" w:rsidR="008F51A5" w:rsidRPr="00E44F3E" w:rsidRDefault="008F51A5" w:rsidP="001200C0">
            <w:pPr>
              <w:pStyle w:val="TableText"/>
              <w:keepLines/>
              <w:rPr>
                <w:szCs w:val="18"/>
                <w:lang w:eastAsia="en-NZ"/>
              </w:rPr>
            </w:pPr>
            <w:r w:rsidRPr="00E44F3E">
              <w:rPr>
                <w:szCs w:val="18"/>
                <w:lang w:eastAsia="en-NZ"/>
              </w:rPr>
              <w:t>Monotherapy</w:t>
            </w:r>
          </w:p>
        </w:tc>
        <w:tc>
          <w:tcPr>
            <w:tcW w:w="0" w:type="auto"/>
            <w:vMerge w:val="restart"/>
            <w:shd w:val="clear" w:color="auto" w:fill="auto"/>
            <w:hideMark/>
          </w:tcPr>
          <w:p w14:paraId="1422C2F4" w14:textId="77777777" w:rsidR="008F51A5" w:rsidRPr="00E44F3E" w:rsidRDefault="008F51A5" w:rsidP="001200C0">
            <w:pPr>
              <w:pStyle w:val="TableText"/>
              <w:keepLines/>
              <w:rPr>
                <w:szCs w:val="18"/>
                <w:lang w:eastAsia="en-NZ"/>
              </w:rPr>
            </w:pPr>
            <w:r w:rsidRPr="00E44F3E">
              <w:rPr>
                <w:szCs w:val="18"/>
                <w:lang w:eastAsia="en-NZ"/>
              </w:rPr>
              <w:t>Chronic lymphocytic leukaemia (CLL) or small lymphocytic lymphoma (SLL)</w:t>
            </w:r>
          </w:p>
        </w:tc>
        <w:tc>
          <w:tcPr>
            <w:tcW w:w="0" w:type="auto"/>
            <w:vMerge w:val="restart"/>
            <w:shd w:val="clear" w:color="auto" w:fill="auto"/>
            <w:hideMark/>
          </w:tcPr>
          <w:p w14:paraId="149DBB59" w14:textId="36BCEBC6" w:rsidR="008F51A5" w:rsidRPr="00E44F3E" w:rsidRDefault="008F51A5" w:rsidP="001200C0">
            <w:pPr>
              <w:pStyle w:val="TableText"/>
              <w:keepLines/>
              <w:rPr>
                <w:szCs w:val="18"/>
                <w:lang w:eastAsia="en-NZ"/>
              </w:rPr>
            </w:pPr>
            <w:r w:rsidRPr="00E44F3E">
              <w:rPr>
                <w:szCs w:val="18"/>
                <w:lang w:eastAsia="en-NZ"/>
              </w:rPr>
              <w:t>Relapsed or</w:t>
            </w:r>
            <w:r>
              <w:rPr>
                <w:szCs w:val="18"/>
                <w:lang w:eastAsia="en-NZ"/>
              </w:rPr>
              <w:t xml:space="preserve"> </w:t>
            </w:r>
            <w:r w:rsidRPr="00E44F3E">
              <w:rPr>
                <w:szCs w:val="18"/>
                <w:lang w:eastAsia="en-NZ"/>
              </w:rPr>
              <w:t>refractory to at least one prior therapy</w:t>
            </w:r>
          </w:p>
        </w:tc>
        <w:tc>
          <w:tcPr>
            <w:tcW w:w="0" w:type="auto"/>
            <w:shd w:val="clear" w:color="auto" w:fill="auto"/>
            <w:hideMark/>
          </w:tcPr>
          <w:p w14:paraId="0228FB5C" w14:textId="77777777" w:rsidR="008F51A5" w:rsidRPr="00E44F3E" w:rsidRDefault="008F51A5" w:rsidP="004957B2">
            <w:pPr>
              <w:pStyle w:val="TableText"/>
              <w:keepLines/>
              <w:jc w:val="center"/>
              <w:rPr>
                <w:szCs w:val="18"/>
                <w:lang w:eastAsia="en-NZ"/>
              </w:rPr>
            </w:pPr>
            <w:r w:rsidRPr="00E44F3E">
              <w:rPr>
                <w:szCs w:val="18"/>
                <w:lang w:eastAsia="en-NZ"/>
              </w:rPr>
              <w:t>ASCEND</w:t>
            </w:r>
          </w:p>
          <w:p w14:paraId="1A7BCAB0" w14:textId="3733C7E8" w:rsidR="008F51A5" w:rsidRPr="00E44F3E" w:rsidRDefault="008F51A5" w:rsidP="004957B2">
            <w:pPr>
              <w:pStyle w:val="TableText"/>
              <w:keepLines/>
              <w:jc w:val="center"/>
              <w:rPr>
                <w:szCs w:val="18"/>
                <w:lang w:eastAsia="en-NZ"/>
              </w:rPr>
            </w:pPr>
            <w:r w:rsidRPr="00E44F3E">
              <w:rPr>
                <w:szCs w:val="18"/>
                <w:lang w:eastAsia="en-NZ"/>
              </w:rPr>
              <w:t>(</w:t>
            </w:r>
            <w:r w:rsidRPr="00775A7A">
              <w:rPr>
                <w:szCs w:val="18"/>
                <w:lang w:eastAsia="en-NZ"/>
              </w:rPr>
              <w:t xml:space="preserve">Ghia, </w:t>
            </w:r>
            <w:proofErr w:type="spellStart"/>
            <w:r w:rsidRPr="00775A7A">
              <w:rPr>
                <w:szCs w:val="18"/>
                <w:lang w:eastAsia="en-NZ"/>
              </w:rPr>
              <w:t>Pluta</w:t>
            </w:r>
            <w:proofErr w:type="spellEnd"/>
            <w:r w:rsidRPr="00775A7A">
              <w:rPr>
                <w:szCs w:val="18"/>
                <w:lang w:eastAsia="en-NZ"/>
              </w:rPr>
              <w:t xml:space="preserve"> et al 2020, Ghia</w:t>
            </w:r>
            <w:r w:rsidRPr="00E44F3E">
              <w:rPr>
                <w:szCs w:val="18"/>
                <w:lang w:eastAsia="en-NZ"/>
              </w:rPr>
              <w:t xml:space="preserve"> et al 2022)</w:t>
            </w:r>
          </w:p>
        </w:tc>
        <w:tc>
          <w:tcPr>
            <w:tcW w:w="0" w:type="auto"/>
            <w:shd w:val="clear" w:color="auto" w:fill="auto"/>
            <w:hideMark/>
          </w:tcPr>
          <w:p w14:paraId="06775879" w14:textId="77777777" w:rsidR="008F51A5" w:rsidRPr="00C86FFF" w:rsidRDefault="008F51A5" w:rsidP="001200C0">
            <w:pPr>
              <w:pStyle w:val="TableText"/>
              <w:keepLines/>
              <w:jc w:val="center"/>
              <w:rPr>
                <w:b/>
                <w:bCs/>
                <w:szCs w:val="18"/>
                <w:lang w:eastAsia="en-NZ"/>
              </w:rPr>
            </w:pPr>
            <w:r w:rsidRPr="00C86FFF">
              <w:rPr>
                <w:b/>
                <w:bCs/>
                <w:szCs w:val="18"/>
                <w:lang w:eastAsia="en-NZ"/>
              </w:rPr>
              <w:t>3</w:t>
            </w:r>
          </w:p>
          <w:p w14:paraId="2E11CB8A" w14:textId="42024A18" w:rsidR="008F51A5" w:rsidRPr="00E44F3E" w:rsidRDefault="008F51A5" w:rsidP="001200C0">
            <w:pPr>
              <w:pStyle w:val="TableText"/>
              <w:keepLines/>
              <w:jc w:val="center"/>
              <w:rPr>
                <w:szCs w:val="18"/>
                <w:lang w:eastAsia="en-NZ"/>
              </w:rPr>
            </w:pPr>
            <w:r>
              <w:rPr>
                <w:szCs w:val="18"/>
                <w:lang w:eastAsia="en-NZ"/>
              </w:rPr>
              <w:t>(2b)</w:t>
            </w:r>
          </w:p>
        </w:tc>
        <w:tc>
          <w:tcPr>
            <w:tcW w:w="0" w:type="auto"/>
            <w:shd w:val="clear" w:color="auto" w:fill="auto"/>
            <w:hideMark/>
          </w:tcPr>
          <w:p w14:paraId="30CC37F6" w14:textId="3AF20AD5" w:rsidR="008F51A5" w:rsidRPr="00E44F3E" w:rsidRDefault="008F51A5" w:rsidP="001200C0">
            <w:pPr>
              <w:pStyle w:val="TableBullet"/>
              <w:keepLines/>
              <w:rPr>
                <w:szCs w:val="18"/>
                <w:lang w:eastAsia="en-NZ"/>
              </w:rPr>
            </w:pPr>
            <w:r w:rsidRPr="00E44F3E">
              <w:rPr>
                <w:szCs w:val="18"/>
              </w:rPr>
              <w:t>Derived ESMO-MCBS:H score is based on a comparator (</w:t>
            </w:r>
            <w:proofErr w:type="spellStart"/>
            <w:r w:rsidRPr="00E44F3E">
              <w:rPr>
                <w:szCs w:val="18"/>
              </w:rPr>
              <w:t>idelalisib</w:t>
            </w:r>
            <w:proofErr w:type="spellEnd"/>
            <w:r w:rsidRPr="00E44F3E">
              <w:rPr>
                <w:szCs w:val="18"/>
              </w:rPr>
              <w:t xml:space="preserve"> with rituximab/ </w:t>
            </w:r>
            <w:proofErr w:type="spellStart"/>
            <w:r w:rsidRPr="00E44F3E">
              <w:rPr>
                <w:szCs w:val="18"/>
              </w:rPr>
              <w:t>bendamustine</w:t>
            </w:r>
            <w:proofErr w:type="spellEnd"/>
            <w:r w:rsidRPr="00E44F3E">
              <w:rPr>
                <w:szCs w:val="18"/>
              </w:rPr>
              <w:t xml:space="preserve"> with rituximab). Only rituximab is funded in </w:t>
            </w:r>
            <w:r>
              <w:rPr>
                <w:szCs w:val="18"/>
              </w:rPr>
              <w:t>Aotearoa New Zealand</w:t>
            </w:r>
            <w:r w:rsidRPr="00E44F3E">
              <w:rPr>
                <w:szCs w:val="18"/>
              </w:rPr>
              <w:t xml:space="preserve"> for this patient group. Clinical advice was that the lack of a funded comparator in </w:t>
            </w:r>
            <w:r>
              <w:rPr>
                <w:szCs w:val="18"/>
              </w:rPr>
              <w:t>Aotearoa New Zealand</w:t>
            </w:r>
            <w:r w:rsidRPr="00E44F3E">
              <w:rPr>
                <w:szCs w:val="18"/>
              </w:rPr>
              <w:t xml:space="preserve"> being represented in the clinical trial was unlikely to materially impact the classified gap</w:t>
            </w:r>
            <w:r>
              <w:rPr>
                <w:szCs w:val="18"/>
              </w:rPr>
              <w:t>,</w:t>
            </w:r>
            <w:r w:rsidRPr="00E44F3E">
              <w:rPr>
                <w:szCs w:val="18"/>
              </w:rPr>
              <w:t xml:space="preserve"> so no change in the derived score was made.</w:t>
            </w:r>
            <w:r>
              <w:rPr>
                <w:szCs w:val="18"/>
              </w:rPr>
              <w:t xml:space="preserve"> </w:t>
            </w:r>
          </w:p>
          <w:p w14:paraId="258BB535" w14:textId="3EA2C423" w:rsidR="008F51A5" w:rsidRPr="00E44F3E" w:rsidRDefault="008F51A5" w:rsidP="001200C0">
            <w:pPr>
              <w:pStyle w:val="TableBullet"/>
              <w:keepLines/>
              <w:rPr>
                <w:szCs w:val="18"/>
                <w:lang w:eastAsia="en-NZ"/>
              </w:rPr>
            </w:pPr>
            <w:r w:rsidRPr="00E44F3E">
              <w:rPr>
                <w:szCs w:val="18"/>
              </w:rPr>
              <w:t>Primary end point was progression</w:t>
            </w:r>
            <w:r>
              <w:rPr>
                <w:szCs w:val="18"/>
              </w:rPr>
              <w:t>-</w:t>
            </w:r>
            <w:r w:rsidRPr="00E44F3E">
              <w:rPr>
                <w:szCs w:val="18"/>
              </w:rPr>
              <w:t>free survival – median progression</w:t>
            </w:r>
            <w:r>
              <w:rPr>
                <w:szCs w:val="18"/>
              </w:rPr>
              <w:t>-</w:t>
            </w:r>
            <w:r w:rsidRPr="00E44F3E">
              <w:rPr>
                <w:szCs w:val="18"/>
              </w:rPr>
              <w:t xml:space="preserve">free survival for </w:t>
            </w:r>
            <w:r w:rsidRPr="003C4B3E">
              <w:rPr>
                <w:szCs w:val="18"/>
              </w:rPr>
              <w:t>acalabrutinib</w:t>
            </w:r>
            <w:r w:rsidRPr="003C4B3E" w:rsidDel="003C4B3E">
              <w:rPr>
                <w:szCs w:val="18"/>
              </w:rPr>
              <w:t xml:space="preserve"> </w:t>
            </w:r>
            <w:r w:rsidRPr="00E44F3E">
              <w:rPr>
                <w:szCs w:val="18"/>
              </w:rPr>
              <w:t xml:space="preserve">not met after 47 months. 42-month progression-free survival </w:t>
            </w:r>
            <w:r>
              <w:rPr>
                <w:szCs w:val="18"/>
              </w:rPr>
              <w:t xml:space="preserve">rate was </w:t>
            </w:r>
            <w:r w:rsidRPr="00E44F3E">
              <w:rPr>
                <w:szCs w:val="18"/>
              </w:rPr>
              <w:t xml:space="preserve">62% (acalabrutinib) </w:t>
            </w:r>
            <w:r>
              <w:rPr>
                <w:szCs w:val="18"/>
              </w:rPr>
              <w:t>vs</w:t>
            </w:r>
            <w:r w:rsidRPr="00E44F3E">
              <w:rPr>
                <w:szCs w:val="18"/>
              </w:rPr>
              <w:t xml:space="preserve"> 19% in the comparator. </w:t>
            </w:r>
          </w:p>
          <w:p w14:paraId="7BB367C0" w14:textId="19A027D0" w:rsidR="008F51A5" w:rsidRPr="00E44F3E" w:rsidRDefault="008F51A5" w:rsidP="001200C0">
            <w:pPr>
              <w:pStyle w:val="TableBullet"/>
              <w:keepLines/>
              <w:rPr>
                <w:szCs w:val="18"/>
                <w:lang w:eastAsia="en-NZ"/>
              </w:rPr>
            </w:pPr>
            <w:r w:rsidRPr="00E44F3E">
              <w:rPr>
                <w:szCs w:val="18"/>
              </w:rPr>
              <w:t>Global quality of life was an exploratory endpoint only</w:t>
            </w:r>
            <w:r>
              <w:rPr>
                <w:szCs w:val="18"/>
              </w:rPr>
              <w:t>.</w:t>
            </w:r>
            <w:r w:rsidRPr="00E44F3E">
              <w:rPr>
                <w:szCs w:val="18"/>
                <w:lang w:eastAsia="en-NZ"/>
              </w:rPr>
              <w:t xml:space="preserve"> </w:t>
            </w:r>
          </w:p>
        </w:tc>
      </w:tr>
      <w:tr w:rsidR="00E53220" w:rsidRPr="00E44F3E" w14:paraId="173A215A" w14:textId="77777777" w:rsidTr="0069375A">
        <w:trPr>
          <w:trHeight w:val="20"/>
        </w:trPr>
        <w:tc>
          <w:tcPr>
            <w:tcW w:w="0" w:type="auto"/>
            <w:vMerge/>
            <w:shd w:val="clear" w:color="auto" w:fill="auto"/>
          </w:tcPr>
          <w:p w14:paraId="4967F267" w14:textId="586B1BBD" w:rsidR="008F51A5" w:rsidRPr="00E44F3E" w:rsidRDefault="008F51A5" w:rsidP="00D2721D">
            <w:pPr>
              <w:pStyle w:val="TableText"/>
              <w:keepLines/>
              <w:rPr>
                <w:szCs w:val="18"/>
                <w:lang w:eastAsia="en-NZ"/>
              </w:rPr>
            </w:pPr>
          </w:p>
        </w:tc>
        <w:tc>
          <w:tcPr>
            <w:tcW w:w="0" w:type="auto"/>
            <w:vMerge/>
            <w:shd w:val="clear" w:color="auto" w:fill="auto"/>
          </w:tcPr>
          <w:p w14:paraId="33CB2F36" w14:textId="4058D495" w:rsidR="008F51A5" w:rsidRPr="00E44F3E" w:rsidRDefault="008F51A5" w:rsidP="00D2721D">
            <w:pPr>
              <w:pStyle w:val="TableText"/>
              <w:keepLines/>
              <w:rPr>
                <w:szCs w:val="18"/>
                <w:lang w:eastAsia="en-NZ"/>
              </w:rPr>
            </w:pPr>
          </w:p>
        </w:tc>
        <w:tc>
          <w:tcPr>
            <w:tcW w:w="0" w:type="auto"/>
            <w:vMerge/>
            <w:shd w:val="clear" w:color="auto" w:fill="auto"/>
          </w:tcPr>
          <w:p w14:paraId="14DF03A3" w14:textId="46B246F4" w:rsidR="008F51A5" w:rsidRPr="00E44F3E" w:rsidRDefault="008F51A5" w:rsidP="00D2721D">
            <w:pPr>
              <w:pStyle w:val="TableText"/>
              <w:keepLines/>
              <w:rPr>
                <w:szCs w:val="18"/>
                <w:lang w:eastAsia="en-NZ"/>
              </w:rPr>
            </w:pPr>
          </w:p>
        </w:tc>
        <w:tc>
          <w:tcPr>
            <w:tcW w:w="0" w:type="auto"/>
            <w:vMerge/>
            <w:shd w:val="clear" w:color="auto" w:fill="auto"/>
          </w:tcPr>
          <w:p w14:paraId="4A9B2F99" w14:textId="70033918" w:rsidR="008F51A5" w:rsidRPr="00E44F3E" w:rsidRDefault="008F51A5" w:rsidP="00D2721D">
            <w:pPr>
              <w:pStyle w:val="TableText"/>
              <w:keepLines/>
              <w:rPr>
                <w:szCs w:val="18"/>
                <w:lang w:eastAsia="en-NZ"/>
              </w:rPr>
            </w:pPr>
          </w:p>
        </w:tc>
        <w:tc>
          <w:tcPr>
            <w:tcW w:w="0" w:type="auto"/>
            <w:shd w:val="clear" w:color="auto" w:fill="auto"/>
          </w:tcPr>
          <w:p w14:paraId="3652C9A3" w14:textId="3D58C47F" w:rsidR="008F51A5" w:rsidRPr="00E44F3E" w:rsidRDefault="008F51A5" w:rsidP="00D2721D">
            <w:pPr>
              <w:pStyle w:val="TableText"/>
              <w:keepLines/>
              <w:jc w:val="center"/>
              <w:rPr>
                <w:szCs w:val="18"/>
                <w:lang w:eastAsia="en-NZ"/>
              </w:rPr>
            </w:pPr>
            <w:r w:rsidRPr="00E44F3E">
              <w:rPr>
                <w:szCs w:val="18"/>
                <w:lang w:eastAsia="en-NZ"/>
              </w:rPr>
              <w:t>Ibrutinib RESONATE</w:t>
            </w:r>
          </w:p>
          <w:p w14:paraId="3E7DE0F1" w14:textId="210E478F" w:rsidR="008F51A5" w:rsidRPr="00E44F3E" w:rsidRDefault="008F51A5" w:rsidP="00D2721D">
            <w:pPr>
              <w:pStyle w:val="TableText"/>
              <w:keepLines/>
              <w:jc w:val="center"/>
              <w:rPr>
                <w:szCs w:val="18"/>
                <w:lang w:eastAsia="en-NZ"/>
              </w:rPr>
            </w:pPr>
            <w:r w:rsidRPr="00E44F3E">
              <w:rPr>
                <w:szCs w:val="18"/>
                <w:lang w:eastAsia="en-NZ"/>
              </w:rPr>
              <w:t>(Byrd et al 2014; Munir et al 2019)</w:t>
            </w:r>
          </w:p>
        </w:tc>
        <w:tc>
          <w:tcPr>
            <w:tcW w:w="0" w:type="auto"/>
            <w:shd w:val="clear" w:color="auto" w:fill="auto"/>
          </w:tcPr>
          <w:p w14:paraId="3BDC0E85" w14:textId="77777777" w:rsidR="008F51A5" w:rsidRPr="00C86FFF" w:rsidRDefault="008F51A5" w:rsidP="00D2721D">
            <w:pPr>
              <w:pStyle w:val="TableText"/>
              <w:keepLines/>
              <w:jc w:val="center"/>
              <w:rPr>
                <w:b/>
                <w:bCs/>
                <w:szCs w:val="18"/>
                <w:lang w:eastAsia="en-NZ"/>
              </w:rPr>
            </w:pPr>
            <w:r w:rsidRPr="00C86FFF">
              <w:rPr>
                <w:b/>
                <w:bCs/>
                <w:szCs w:val="18"/>
                <w:lang w:eastAsia="en-NZ"/>
              </w:rPr>
              <w:t>2</w:t>
            </w:r>
          </w:p>
          <w:p w14:paraId="7E2B47A7" w14:textId="0425C86E" w:rsidR="008F51A5" w:rsidRPr="00C86FFF" w:rsidRDefault="008F51A5" w:rsidP="00D2721D">
            <w:pPr>
              <w:pStyle w:val="TableText"/>
              <w:keepLines/>
              <w:jc w:val="center"/>
              <w:rPr>
                <w:b/>
                <w:bCs/>
                <w:szCs w:val="18"/>
                <w:lang w:eastAsia="en-NZ"/>
              </w:rPr>
            </w:pPr>
            <w:r>
              <w:rPr>
                <w:szCs w:val="18"/>
                <w:lang w:eastAsia="en-NZ"/>
              </w:rPr>
              <w:t>(2b)</w:t>
            </w:r>
          </w:p>
        </w:tc>
        <w:tc>
          <w:tcPr>
            <w:tcW w:w="0" w:type="auto"/>
            <w:shd w:val="clear" w:color="auto" w:fill="auto"/>
          </w:tcPr>
          <w:p w14:paraId="3886DBB5" w14:textId="77777777" w:rsidR="008F51A5" w:rsidRPr="00E44F3E" w:rsidRDefault="008F51A5" w:rsidP="00D2721D">
            <w:pPr>
              <w:pStyle w:val="TableBullet"/>
              <w:keepLines/>
              <w:rPr>
                <w:szCs w:val="18"/>
                <w:lang w:eastAsia="en-NZ"/>
              </w:rPr>
            </w:pPr>
            <w:r w:rsidRPr="00E44F3E">
              <w:rPr>
                <w:szCs w:val="18"/>
                <w:lang w:eastAsia="en-NZ"/>
              </w:rPr>
              <w:t xml:space="preserve">Derived ESMO-MCBS:H score is based on a comparator (ofatumumab) that is not publicly funded for blood cancer in </w:t>
            </w:r>
            <w:r>
              <w:rPr>
                <w:szCs w:val="18"/>
              </w:rPr>
              <w:t>Aotearoa New Zealand</w:t>
            </w:r>
            <w:r w:rsidRPr="00E44F3E">
              <w:rPr>
                <w:szCs w:val="18"/>
              </w:rPr>
              <w:t xml:space="preserve"> </w:t>
            </w:r>
            <w:r w:rsidRPr="00E44F3E">
              <w:rPr>
                <w:szCs w:val="18"/>
                <w:lang w:eastAsia="en-NZ"/>
              </w:rPr>
              <w:t xml:space="preserve">or Australia. Clinical advice received was that the likely comparator in </w:t>
            </w:r>
            <w:r>
              <w:rPr>
                <w:szCs w:val="18"/>
              </w:rPr>
              <w:t>Aotearoa New Zealand</w:t>
            </w:r>
            <w:r w:rsidRPr="00E44F3E">
              <w:rPr>
                <w:szCs w:val="18"/>
                <w:lang w:eastAsia="en-NZ"/>
              </w:rPr>
              <w:t xml:space="preserve"> (chlorambucil with </w:t>
            </w:r>
            <w:proofErr w:type="spellStart"/>
            <w:r w:rsidRPr="00E44F3E">
              <w:rPr>
                <w:szCs w:val="18"/>
                <w:lang w:eastAsia="en-NZ"/>
              </w:rPr>
              <w:t>obinutuzumab</w:t>
            </w:r>
            <w:proofErr w:type="spellEnd"/>
            <w:r w:rsidRPr="00E44F3E">
              <w:rPr>
                <w:szCs w:val="18"/>
                <w:lang w:eastAsia="en-NZ"/>
              </w:rPr>
              <w:t xml:space="preserve">, </w:t>
            </w:r>
            <w:proofErr w:type="spellStart"/>
            <w:r w:rsidRPr="00E44F3E">
              <w:rPr>
                <w:szCs w:val="18"/>
                <w:lang w:eastAsia="en-NZ"/>
              </w:rPr>
              <w:t>venetoclax</w:t>
            </w:r>
            <w:proofErr w:type="spellEnd"/>
            <w:r w:rsidRPr="00E44F3E">
              <w:rPr>
                <w:szCs w:val="18"/>
                <w:lang w:eastAsia="en-NZ"/>
              </w:rPr>
              <w:t xml:space="preserve"> or </w:t>
            </w:r>
            <w:r>
              <w:rPr>
                <w:szCs w:val="18"/>
                <w:lang w:eastAsia="en-NZ"/>
              </w:rPr>
              <w:t>f</w:t>
            </w:r>
            <w:r w:rsidRPr="00FD29AA">
              <w:rPr>
                <w:szCs w:val="18"/>
                <w:lang w:eastAsia="en-NZ"/>
              </w:rPr>
              <w:t xml:space="preserve">ludarabine-cyclophosphamide-rituximab </w:t>
            </w:r>
            <w:r>
              <w:rPr>
                <w:szCs w:val="18"/>
                <w:lang w:eastAsia="en-NZ"/>
              </w:rPr>
              <w:t>(</w:t>
            </w:r>
            <w:r w:rsidRPr="00E44F3E">
              <w:rPr>
                <w:szCs w:val="18"/>
                <w:lang w:eastAsia="en-NZ"/>
              </w:rPr>
              <w:t>FCR</w:t>
            </w:r>
            <w:r>
              <w:rPr>
                <w:szCs w:val="18"/>
                <w:lang w:eastAsia="en-NZ"/>
              </w:rPr>
              <w:t>)</w:t>
            </w:r>
            <w:r w:rsidRPr="00E44F3E">
              <w:rPr>
                <w:szCs w:val="18"/>
                <w:lang w:eastAsia="en-NZ"/>
              </w:rPr>
              <w:t>) was unlikely inferior to ofatumumab in terms of efficacy</w:t>
            </w:r>
            <w:r>
              <w:rPr>
                <w:szCs w:val="18"/>
                <w:lang w:eastAsia="en-NZ"/>
              </w:rPr>
              <w:t>,</w:t>
            </w:r>
            <w:r w:rsidRPr="00E44F3E">
              <w:rPr>
                <w:szCs w:val="18"/>
                <w:lang w:eastAsia="en-NZ"/>
              </w:rPr>
              <w:t xml:space="preserve"> so the derived score was not changed. </w:t>
            </w:r>
          </w:p>
          <w:p w14:paraId="28A78DFD" w14:textId="77777777" w:rsidR="008F51A5" w:rsidRPr="00E44F3E" w:rsidRDefault="008F51A5" w:rsidP="00D2721D">
            <w:pPr>
              <w:pStyle w:val="TableBullet"/>
              <w:keepLines/>
              <w:rPr>
                <w:szCs w:val="18"/>
                <w:lang w:eastAsia="en-NZ"/>
              </w:rPr>
            </w:pPr>
            <w:r w:rsidRPr="00E44F3E">
              <w:rPr>
                <w:szCs w:val="18"/>
                <w:lang w:eastAsia="en-NZ"/>
              </w:rPr>
              <w:t>Primary end point was progression-free survival</w:t>
            </w:r>
            <w:r>
              <w:rPr>
                <w:szCs w:val="18"/>
                <w:lang w:eastAsia="en-NZ"/>
              </w:rPr>
              <w:t>.</w:t>
            </w:r>
            <w:r w:rsidRPr="00E44F3E">
              <w:rPr>
                <w:szCs w:val="18"/>
                <w:lang w:eastAsia="en-NZ"/>
              </w:rPr>
              <w:t xml:space="preserve"> </w:t>
            </w:r>
            <w:r>
              <w:rPr>
                <w:szCs w:val="18"/>
                <w:lang w:eastAsia="en-NZ"/>
              </w:rPr>
              <w:t>M</w:t>
            </w:r>
            <w:r w:rsidRPr="00E44F3E">
              <w:rPr>
                <w:szCs w:val="18"/>
                <w:lang w:eastAsia="en-NZ"/>
              </w:rPr>
              <w:t xml:space="preserve">edian progression-free survival with ibrutinib </w:t>
            </w:r>
            <w:r>
              <w:rPr>
                <w:szCs w:val="18"/>
                <w:lang w:eastAsia="en-NZ"/>
              </w:rPr>
              <w:t>was</w:t>
            </w:r>
            <w:r w:rsidRPr="00E44F3E">
              <w:rPr>
                <w:szCs w:val="18"/>
                <w:lang w:eastAsia="en-NZ"/>
              </w:rPr>
              <w:t xml:space="preserve"> 44 months vs 8 months in the control group.</w:t>
            </w:r>
          </w:p>
          <w:p w14:paraId="5D68C428" w14:textId="3EFEF794" w:rsidR="008F51A5" w:rsidRPr="00E44F3E" w:rsidRDefault="008F51A5" w:rsidP="00D2721D">
            <w:pPr>
              <w:pStyle w:val="TableBullet"/>
              <w:keepLines/>
              <w:rPr>
                <w:szCs w:val="18"/>
              </w:rPr>
            </w:pPr>
            <w:r w:rsidRPr="00E44F3E">
              <w:rPr>
                <w:szCs w:val="18"/>
                <w:lang w:eastAsia="en-NZ"/>
              </w:rPr>
              <w:t xml:space="preserve">Quality of life was measured as an exploratory endpoint only. </w:t>
            </w:r>
          </w:p>
        </w:tc>
      </w:tr>
      <w:tr w:rsidR="00E53220" w:rsidRPr="00E44F3E" w14:paraId="4F2224DC" w14:textId="77777777" w:rsidTr="0069375A">
        <w:trPr>
          <w:trHeight w:val="20"/>
        </w:trPr>
        <w:tc>
          <w:tcPr>
            <w:tcW w:w="0" w:type="auto"/>
            <w:vMerge/>
            <w:shd w:val="clear" w:color="auto" w:fill="auto"/>
          </w:tcPr>
          <w:p w14:paraId="779F0B8F" w14:textId="162AC1F8" w:rsidR="008F51A5" w:rsidRPr="00E44F3E" w:rsidRDefault="008F51A5" w:rsidP="00A31F74">
            <w:pPr>
              <w:pStyle w:val="TableText"/>
              <w:keepLines/>
              <w:rPr>
                <w:szCs w:val="18"/>
                <w:lang w:eastAsia="en-NZ"/>
              </w:rPr>
            </w:pPr>
          </w:p>
        </w:tc>
        <w:tc>
          <w:tcPr>
            <w:tcW w:w="0" w:type="auto"/>
            <w:vMerge/>
            <w:shd w:val="clear" w:color="auto" w:fill="auto"/>
          </w:tcPr>
          <w:p w14:paraId="2B8B6C2E" w14:textId="06EA4376" w:rsidR="008F51A5" w:rsidRPr="00E44F3E" w:rsidRDefault="008F51A5" w:rsidP="00A31F74">
            <w:pPr>
              <w:pStyle w:val="TableText"/>
              <w:keepLines/>
              <w:rPr>
                <w:szCs w:val="18"/>
                <w:lang w:eastAsia="en-NZ"/>
              </w:rPr>
            </w:pPr>
          </w:p>
        </w:tc>
        <w:tc>
          <w:tcPr>
            <w:tcW w:w="0" w:type="auto"/>
            <w:vMerge/>
            <w:shd w:val="clear" w:color="auto" w:fill="auto"/>
          </w:tcPr>
          <w:p w14:paraId="1EC1E4AC" w14:textId="77E0D221" w:rsidR="008F51A5" w:rsidRPr="00E44F3E" w:rsidRDefault="008F51A5" w:rsidP="00A31F74">
            <w:pPr>
              <w:pStyle w:val="TableText"/>
              <w:keepLines/>
              <w:rPr>
                <w:szCs w:val="18"/>
                <w:lang w:eastAsia="en-NZ"/>
              </w:rPr>
            </w:pPr>
          </w:p>
        </w:tc>
        <w:tc>
          <w:tcPr>
            <w:tcW w:w="0" w:type="auto"/>
            <w:vMerge/>
            <w:shd w:val="clear" w:color="auto" w:fill="auto"/>
          </w:tcPr>
          <w:p w14:paraId="0F6E6AA9" w14:textId="2AE03F15" w:rsidR="008F51A5" w:rsidRPr="00E44F3E" w:rsidRDefault="008F51A5" w:rsidP="00A31F74">
            <w:pPr>
              <w:pStyle w:val="TableText"/>
              <w:keepLines/>
              <w:rPr>
                <w:szCs w:val="18"/>
                <w:lang w:eastAsia="en-NZ"/>
              </w:rPr>
            </w:pPr>
          </w:p>
        </w:tc>
        <w:tc>
          <w:tcPr>
            <w:tcW w:w="0" w:type="auto"/>
            <w:shd w:val="clear" w:color="auto" w:fill="auto"/>
          </w:tcPr>
          <w:p w14:paraId="3A39CD69" w14:textId="5C5E4AB7" w:rsidR="008F51A5" w:rsidRPr="00E44F3E" w:rsidRDefault="008F51A5" w:rsidP="00A31F74">
            <w:pPr>
              <w:pStyle w:val="TableText"/>
              <w:keepLines/>
              <w:jc w:val="center"/>
              <w:rPr>
                <w:szCs w:val="18"/>
                <w:lang w:eastAsia="en-NZ"/>
              </w:rPr>
            </w:pPr>
            <w:r w:rsidRPr="00E44F3E">
              <w:rPr>
                <w:szCs w:val="18"/>
                <w:lang w:eastAsia="en-NZ"/>
              </w:rPr>
              <w:t>Zanubrutinib ALPINE</w:t>
            </w:r>
          </w:p>
          <w:p w14:paraId="19FE9683" w14:textId="568A0DA2" w:rsidR="008F51A5" w:rsidRPr="00E44F3E" w:rsidRDefault="008F51A5" w:rsidP="00A31F74">
            <w:pPr>
              <w:pStyle w:val="TableText"/>
              <w:keepLines/>
              <w:jc w:val="center"/>
              <w:rPr>
                <w:szCs w:val="18"/>
                <w:lang w:eastAsia="en-NZ"/>
              </w:rPr>
            </w:pPr>
            <w:r w:rsidRPr="00E44F3E">
              <w:rPr>
                <w:szCs w:val="18"/>
                <w:lang w:eastAsia="en-NZ"/>
              </w:rPr>
              <w:t>(Brown et al 2023; Tam et al 2023)</w:t>
            </w:r>
          </w:p>
        </w:tc>
        <w:tc>
          <w:tcPr>
            <w:tcW w:w="0" w:type="auto"/>
            <w:shd w:val="clear" w:color="auto" w:fill="auto"/>
          </w:tcPr>
          <w:p w14:paraId="0939ED8D" w14:textId="77777777" w:rsidR="008F51A5" w:rsidRPr="00C86FFF" w:rsidRDefault="008F51A5" w:rsidP="00A31F74">
            <w:pPr>
              <w:pStyle w:val="TableText"/>
              <w:keepLines/>
              <w:jc w:val="center"/>
              <w:rPr>
                <w:b/>
                <w:bCs/>
                <w:szCs w:val="18"/>
                <w:lang w:eastAsia="en-NZ"/>
              </w:rPr>
            </w:pPr>
            <w:r w:rsidRPr="00C86FFF">
              <w:rPr>
                <w:b/>
                <w:bCs/>
                <w:szCs w:val="18"/>
                <w:lang w:eastAsia="en-NZ"/>
              </w:rPr>
              <w:t>1</w:t>
            </w:r>
          </w:p>
          <w:p w14:paraId="56E0CD25" w14:textId="0E5AEAB4" w:rsidR="008F51A5" w:rsidRPr="00C86FFF" w:rsidRDefault="008F51A5" w:rsidP="00A31F74">
            <w:pPr>
              <w:pStyle w:val="TableText"/>
              <w:keepLines/>
              <w:jc w:val="center"/>
              <w:rPr>
                <w:b/>
                <w:bCs/>
                <w:szCs w:val="18"/>
                <w:lang w:eastAsia="en-NZ"/>
              </w:rPr>
            </w:pPr>
            <w:r>
              <w:rPr>
                <w:szCs w:val="18"/>
                <w:lang w:eastAsia="en-NZ"/>
              </w:rPr>
              <w:t>(2c)</w:t>
            </w:r>
          </w:p>
        </w:tc>
        <w:tc>
          <w:tcPr>
            <w:tcW w:w="0" w:type="auto"/>
            <w:shd w:val="clear" w:color="auto" w:fill="auto"/>
          </w:tcPr>
          <w:p w14:paraId="50EAC2DF" w14:textId="77777777" w:rsidR="008F51A5" w:rsidRPr="00E44F3E" w:rsidRDefault="008F51A5" w:rsidP="00A31F74">
            <w:pPr>
              <w:pStyle w:val="TableBullet"/>
              <w:keepLines/>
              <w:rPr>
                <w:szCs w:val="18"/>
                <w:lang w:eastAsia="en-NZ"/>
              </w:rPr>
            </w:pPr>
            <w:r w:rsidRPr="00E44F3E">
              <w:rPr>
                <w:szCs w:val="18"/>
                <w:lang w:eastAsia="en-NZ"/>
              </w:rPr>
              <w:t xml:space="preserve">Derived ESMO-MCBS:H score is based on a comparator (ibrutinib) that is publicly funded in </w:t>
            </w:r>
            <w:r>
              <w:rPr>
                <w:szCs w:val="18"/>
              </w:rPr>
              <w:t>Aotearoa New Zealand</w:t>
            </w:r>
            <w:r w:rsidRPr="00E44F3E">
              <w:rPr>
                <w:szCs w:val="18"/>
              </w:rPr>
              <w:t xml:space="preserve"> </w:t>
            </w:r>
            <w:r w:rsidRPr="00E44F3E">
              <w:rPr>
                <w:szCs w:val="18"/>
                <w:lang w:eastAsia="en-NZ"/>
              </w:rPr>
              <w:t xml:space="preserve">but not for this indication. </w:t>
            </w:r>
          </w:p>
          <w:p w14:paraId="5942C9CA" w14:textId="77777777" w:rsidR="008F51A5" w:rsidRPr="00E44F3E" w:rsidRDefault="008F51A5" w:rsidP="00A31F74">
            <w:pPr>
              <w:pStyle w:val="TableBullet"/>
              <w:keepLines/>
              <w:rPr>
                <w:szCs w:val="18"/>
                <w:lang w:eastAsia="en-NZ"/>
              </w:rPr>
            </w:pPr>
            <w:r w:rsidRPr="00E44F3E">
              <w:rPr>
                <w:szCs w:val="18"/>
                <w:lang w:eastAsia="en-NZ"/>
              </w:rPr>
              <w:lastRenderedPageBreak/>
              <w:t>Primary end point was overall response</w:t>
            </w:r>
            <w:r>
              <w:rPr>
                <w:szCs w:val="18"/>
                <w:lang w:eastAsia="en-NZ"/>
              </w:rPr>
              <w:t>,</w:t>
            </w:r>
            <w:r w:rsidRPr="00E44F3E">
              <w:rPr>
                <w:szCs w:val="18"/>
                <w:lang w:eastAsia="en-NZ"/>
              </w:rPr>
              <w:t xml:space="preserve"> which was achieved in 84% with </w:t>
            </w:r>
            <w:proofErr w:type="spellStart"/>
            <w:r w:rsidRPr="00E44F3E">
              <w:rPr>
                <w:szCs w:val="18"/>
                <w:lang w:eastAsia="en-NZ"/>
              </w:rPr>
              <w:t>zanubrutinib</w:t>
            </w:r>
            <w:proofErr w:type="spellEnd"/>
            <w:r w:rsidRPr="00E44F3E">
              <w:rPr>
                <w:szCs w:val="18"/>
                <w:lang w:eastAsia="en-NZ"/>
              </w:rPr>
              <w:t xml:space="preserve"> </w:t>
            </w:r>
            <w:r>
              <w:rPr>
                <w:szCs w:val="18"/>
                <w:lang w:eastAsia="en-NZ"/>
              </w:rPr>
              <w:t>vs</w:t>
            </w:r>
            <w:r w:rsidRPr="00E44F3E">
              <w:rPr>
                <w:szCs w:val="18"/>
                <w:lang w:eastAsia="en-NZ"/>
              </w:rPr>
              <w:t xml:space="preserve"> 74% with ibrutinib. </w:t>
            </w:r>
          </w:p>
          <w:p w14:paraId="092AEF11" w14:textId="72442FFC" w:rsidR="008F51A5" w:rsidRPr="00E44F3E" w:rsidRDefault="008F51A5" w:rsidP="00A31F74">
            <w:pPr>
              <w:pStyle w:val="TableBullet"/>
              <w:keepLines/>
              <w:rPr>
                <w:szCs w:val="18"/>
              </w:rPr>
            </w:pPr>
            <w:r w:rsidRPr="00E44F3E">
              <w:rPr>
                <w:szCs w:val="18"/>
                <w:lang w:eastAsia="en-NZ"/>
              </w:rPr>
              <w:t>Quality of life was measured as a secondary endpoint</w:t>
            </w:r>
            <w:r>
              <w:rPr>
                <w:szCs w:val="18"/>
                <w:lang w:eastAsia="en-NZ"/>
              </w:rPr>
              <w:t>,</w:t>
            </w:r>
            <w:r w:rsidRPr="00E44F3E">
              <w:rPr>
                <w:szCs w:val="18"/>
                <w:lang w:eastAsia="en-NZ"/>
              </w:rPr>
              <w:t xml:space="preserve"> but no statistically significant difference in global quality of life measures was evident. </w:t>
            </w:r>
          </w:p>
        </w:tc>
      </w:tr>
      <w:tr w:rsidR="008F51A5" w:rsidRPr="00E44F3E" w14:paraId="5699969B" w14:textId="77777777" w:rsidTr="0069375A">
        <w:trPr>
          <w:trHeight w:val="20"/>
        </w:trPr>
        <w:tc>
          <w:tcPr>
            <w:tcW w:w="0" w:type="auto"/>
            <w:shd w:val="clear" w:color="auto" w:fill="auto"/>
            <w:hideMark/>
          </w:tcPr>
          <w:p w14:paraId="16BCA6D3" w14:textId="77777777" w:rsidR="00A31F74" w:rsidRPr="00E44F3E" w:rsidRDefault="00A31F74" w:rsidP="00A31F74">
            <w:pPr>
              <w:pStyle w:val="TableText"/>
              <w:keepLines/>
              <w:rPr>
                <w:szCs w:val="18"/>
                <w:lang w:eastAsia="en-NZ"/>
              </w:rPr>
            </w:pPr>
            <w:r w:rsidRPr="00E44F3E">
              <w:rPr>
                <w:szCs w:val="18"/>
                <w:lang w:eastAsia="en-NZ"/>
              </w:rPr>
              <w:lastRenderedPageBreak/>
              <w:t>Acalabrutinib*</w:t>
            </w:r>
          </w:p>
        </w:tc>
        <w:tc>
          <w:tcPr>
            <w:tcW w:w="0" w:type="auto"/>
            <w:shd w:val="clear" w:color="auto" w:fill="auto"/>
            <w:hideMark/>
          </w:tcPr>
          <w:p w14:paraId="5E58A599" w14:textId="77777777" w:rsidR="00A31F74" w:rsidRPr="00E44F3E" w:rsidRDefault="00A31F74" w:rsidP="00A31F74">
            <w:pPr>
              <w:pStyle w:val="TableText"/>
              <w:keepLines/>
              <w:rPr>
                <w:szCs w:val="18"/>
                <w:lang w:eastAsia="en-NZ"/>
              </w:rPr>
            </w:pPr>
            <w:r w:rsidRPr="00E44F3E">
              <w:rPr>
                <w:szCs w:val="18"/>
                <w:lang w:eastAsia="en-NZ"/>
              </w:rPr>
              <w:t>Obinutuzumab</w:t>
            </w:r>
          </w:p>
        </w:tc>
        <w:tc>
          <w:tcPr>
            <w:tcW w:w="0" w:type="auto"/>
            <w:shd w:val="clear" w:color="auto" w:fill="auto"/>
            <w:hideMark/>
          </w:tcPr>
          <w:p w14:paraId="09D5BA39" w14:textId="77777777" w:rsidR="00A31F74" w:rsidRPr="00E44F3E" w:rsidRDefault="00A31F74" w:rsidP="00A31F74">
            <w:pPr>
              <w:pStyle w:val="TableText"/>
              <w:keepLines/>
              <w:rPr>
                <w:szCs w:val="18"/>
                <w:lang w:eastAsia="en-NZ"/>
              </w:rPr>
            </w:pPr>
            <w:r w:rsidRPr="00E44F3E">
              <w:rPr>
                <w:szCs w:val="18"/>
                <w:lang w:eastAsia="en-NZ"/>
              </w:rPr>
              <w:t>Chronic lymphocytic leukaemia (CLL) or small lymphocytic lymphoma (SLL)</w:t>
            </w:r>
          </w:p>
        </w:tc>
        <w:tc>
          <w:tcPr>
            <w:tcW w:w="0" w:type="auto"/>
            <w:shd w:val="clear" w:color="auto" w:fill="auto"/>
            <w:hideMark/>
          </w:tcPr>
          <w:p w14:paraId="6755D5CD" w14:textId="054B5241" w:rsidR="00A31F74" w:rsidRPr="00E44F3E" w:rsidRDefault="00A31F74" w:rsidP="00A31F74">
            <w:pPr>
              <w:pStyle w:val="TableText"/>
              <w:keepLines/>
              <w:rPr>
                <w:szCs w:val="18"/>
                <w:lang w:eastAsia="en-NZ"/>
              </w:rPr>
            </w:pPr>
            <w:r w:rsidRPr="00E44F3E">
              <w:rPr>
                <w:szCs w:val="18"/>
                <w:lang w:eastAsia="en-NZ"/>
              </w:rPr>
              <w:t>Untreated patients or those who have developed an intolerance resulting in withdrawal from another first</w:t>
            </w:r>
            <w:r>
              <w:rPr>
                <w:szCs w:val="18"/>
                <w:lang w:eastAsia="en-NZ"/>
              </w:rPr>
              <w:t>-</w:t>
            </w:r>
            <w:r w:rsidRPr="00E44F3E">
              <w:rPr>
                <w:szCs w:val="18"/>
                <w:lang w:eastAsia="en-NZ"/>
              </w:rPr>
              <w:t xml:space="preserve">line agent </w:t>
            </w:r>
          </w:p>
        </w:tc>
        <w:tc>
          <w:tcPr>
            <w:tcW w:w="0" w:type="auto"/>
            <w:shd w:val="clear" w:color="auto" w:fill="auto"/>
            <w:hideMark/>
          </w:tcPr>
          <w:p w14:paraId="62F8030B" w14:textId="77777777" w:rsidR="00A31F74" w:rsidRPr="00E44F3E" w:rsidRDefault="00A31F74" w:rsidP="00A31F74">
            <w:pPr>
              <w:pStyle w:val="TableText"/>
              <w:keepLines/>
              <w:jc w:val="center"/>
              <w:rPr>
                <w:szCs w:val="18"/>
                <w:lang w:eastAsia="en-NZ"/>
              </w:rPr>
            </w:pPr>
            <w:r w:rsidRPr="00E44F3E">
              <w:rPr>
                <w:szCs w:val="18"/>
                <w:lang w:eastAsia="en-NZ"/>
              </w:rPr>
              <w:t>ELEVATE-TN</w:t>
            </w:r>
          </w:p>
          <w:p w14:paraId="279783BA" w14:textId="5F1AE0AB" w:rsidR="00A31F74" w:rsidRPr="00E44F3E" w:rsidRDefault="00A31F74" w:rsidP="00A31F74">
            <w:pPr>
              <w:pStyle w:val="TableText"/>
              <w:keepLines/>
              <w:jc w:val="center"/>
              <w:rPr>
                <w:szCs w:val="18"/>
                <w:lang w:eastAsia="en-NZ"/>
              </w:rPr>
            </w:pPr>
            <w:r w:rsidRPr="00E44F3E">
              <w:rPr>
                <w:szCs w:val="18"/>
                <w:lang w:eastAsia="en-NZ"/>
              </w:rPr>
              <w:t>(Sharman et al 2020; Sharman et al 2023)</w:t>
            </w:r>
          </w:p>
        </w:tc>
        <w:tc>
          <w:tcPr>
            <w:tcW w:w="0" w:type="auto"/>
            <w:shd w:val="clear" w:color="auto" w:fill="auto"/>
            <w:noWrap/>
            <w:hideMark/>
          </w:tcPr>
          <w:p w14:paraId="4BCC4BB9" w14:textId="77777777" w:rsidR="00A31F74" w:rsidRDefault="00A31F74" w:rsidP="00A31F74">
            <w:pPr>
              <w:pStyle w:val="TableText"/>
              <w:keepLines/>
              <w:jc w:val="center"/>
              <w:rPr>
                <w:b/>
                <w:bCs/>
                <w:szCs w:val="18"/>
                <w:lang w:eastAsia="en-NZ"/>
              </w:rPr>
            </w:pPr>
            <w:r w:rsidRPr="00C86FFF">
              <w:rPr>
                <w:b/>
                <w:bCs/>
                <w:szCs w:val="18"/>
                <w:lang w:eastAsia="en-NZ"/>
              </w:rPr>
              <w:t>3</w:t>
            </w:r>
          </w:p>
          <w:p w14:paraId="3197CE80" w14:textId="546CDEDD" w:rsidR="00A31F74" w:rsidRPr="00484BC3" w:rsidRDefault="00A31F74" w:rsidP="00A31F74">
            <w:pPr>
              <w:pStyle w:val="TableText"/>
              <w:keepLines/>
              <w:jc w:val="center"/>
              <w:rPr>
                <w:szCs w:val="18"/>
                <w:lang w:eastAsia="en-NZ"/>
              </w:rPr>
            </w:pPr>
            <w:r w:rsidRPr="00C86FFF">
              <w:rPr>
                <w:szCs w:val="18"/>
                <w:lang w:eastAsia="en-NZ"/>
              </w:rPr>
              <w:t>(2b)</w:t>
            </w:r>
          </w:p>
        </w:tc>
        <w:tc>
          <w:tcPr>
            <w:tcW w:w="0" w:type="auto"/>
            <w:shd w:val="clear" w:color="auto" w:fill="auto"/>
            <w:hideMark/>
          </w:tcPr>
          <w:p w14:paraId="6B534B5D" w14:textId="599836A9" w:rsidR="00A31F74" w:rsidRPr="00E44F3E" w:rsidRDefault="00A31F74" w:rsidP="00A31F74">
            <w:pPr>
              <w:pStyle w:val="TableBullet"/>
              <w:keepLines/>
              <w:rPr>
                <w:szCs w:val="18"/>
              </w:rPr>
            </w:pPr>
            <w:r w:rsidRPr="00E44F3E">
              <w:rPr>
                <w:szCs w:val="18"/>
                <w:lang w:eastAsia="en-NZ"/>
              </w:rPr>
              <w:t>Derived ESMO-MCBS:H score is based on a comparator (</w:t>
            </w:r>
            <w:proofErr w:type="spellStart"/>
            <w:r w:rsidRPr="00E44F3E">
              <w:rPr>
                <w:szCs w:val="18"/>
              </w:rPr>
              <w:t>obinutuzumab</w:t>
            </w:r>
            <w:proofErr w:type="spellEnd"/>
            <w:r w:rsidRPr="00E44F3E">
              <w:rPr>
                <w:szCs w:val="18"/>
              </w:rPr>
              <w:t xml:space="preserve"> with chlorambucil) </w:t>
            </w:r>
            <w:r>
              <w:rPr>
                <w:szCs w:val="18"/>
              </w:rPr>
              <w:t xml:space="preserve">that </w:t>
            </w:r>
            <w:r w:rsidRPr="00E44F3E">
              <w:rPr>
                <w:szCs w:val="18"/>
              </w:rPr>
              <w:t xml:space="preserve">is publicly funded in </w:t>
            </w:r>
            <w:r>
              <w:rPr>
                <w:szCs w:val="18"/>
              </w:rPr>
              <w:t>Aotearoa New Zealand,</w:t>
            </w:r>
            <w:r w:rsidRPr="00E44F3E">
              <w:rPr>
                <w:szCs w:val="18"/>
              </w:rPr>
              <w:t xml:space="preserve"> so </w:t>
            </w:r>
            <w:r>
              <w:t>the</w:t>
            </w:r>
            <w:r w:rsidRPr="00E44F3E">
              <w:rPr>
                <w:szCs w:val="18"/>
              </w:rPr>
              <w:t xml:space="preserve"> derived score is reflective of the gap between Australia and </w:t>
            </w:r>
            <w:r>
              <w:rPr>
                <w:szCs w:val="18"/>
              </w:rPr>
              <w:t>Aotearoa New Zealand</w:t>
            </w:r>
            <w:r w:rsidRPr="00E44F3E">
              <w:rPr>
                <w:szCs w:val="18"/>
              </w:rPr>
              <w:t xml:space="preserve">. </w:t>
            </w:r>
          </w:p>
          <w:p w14:paraId="757F16B5" w14:textId="47C353E4" w:rsidR="00A31F74" w:rsidRPr="00E44F3E" w:rsidRDefault="00A31F74" w:rsidP="00A31F74">
            <w:pPr>
              <w:pStyle w:val="TableBullet"/>
              <w:keepLines/>
              <w:rPr>
                <w:szCs w:val="18"/>
                <w:lang w:eastAsia="en-NZ"/>
              </w:rPr>
            </w:pPr>
            <w:r w:rsidRPr="00E44F3E">
              <w:rPr>
                <w:szCs w:val="18"/>
              </w:rPr>
              <w:t xml:space="preserve">Primary end point was </w:t>
            </w:r>
            <w:r w:rsidRPr="00E44F3E">
              <w:rPr>
                <w:szCs w:val="18"/>
                <w:lang w:eastAsia="en-NZ"/>
              </w:rPr>
              <w:t xml:space="preserve">progression-free survival – </w:t>
            </w:r>
            <w:r w:rsidRPr="00E44F3E">
              <w:rPr>
                <w:szCs w:val="18"/>
              </w:rPr>
              <w:t xml:space="preserve">median </w:t>
            </w:r>
            <w:r w:rsidRPr="00E44F3E">
              <w:rPr>
                <w:szCs w:val="18"/>
                <w:lang w:eastAsia="en-NZ"/>
              </w:rPr>
              <w:t xml:space="preserve">progression-free survival </w:t>
            </w:r>
            <w:r w:rsidRPr="00E44F3E">
              <w:rPr>
                <w:szCs w:val="18"/>
              </w:rPr>
              <w:t xml:space="preserve">for </w:t>
            </w:r>
            <w:r w:rsidRPr="00AB4F8A">
              <w:rPr>
                <w:szCs w:val="18"/>
              </w:rPr>
              <w:t>acalabrutinib</w:t>
            </w:r>
            <w:r w:rsidRPr="00AB4F8A" w:rsidDel="00AB4F8A">
              <w:rPr>
                <w:szCs w:val="18"/>
              </w:rPr>
              <w:t xml:space="preserve"> </w:t>
            </w:r>
            <w:r w:rsidRPr="00E44F3E">
              <w:rPr>
                <w:szCs w:val="18"/>
              </w:rPr>
              <w:t>not met after 28 months and 23 months in the comparator arm. Estimated</w:t>
            </w:r>
            <w:r w:rsidRPr="00E44F3E">
              <w:rPr>
                <w:szCs w:val="18"/>
                <w:lang w:eastAsia="en-NZ"/>
              </w:rPr>
              <w:t xml:space="preserve"> 24-month </w:t>
            </w:r>
            <w:r w:rsidRPr="00AB4F8A">
              <w:rPr>
                <w:szCs w:val="18"/>
                <w:lang w:eastAsia="en-NZ"/>
              </w:rPr>
              <w:t>progression-free survival</w:t>
            </w:r>
            <w:r>
              <w:rPr>
                <w:szCs w:val="18"/>
                <w:lang w:eastAsia="en-NZ"/>
              </w:rPr>
              <w:t xml:space="preserve"> rate was </w:t>
            </w:r>
            <w:r w:rsidRPr="00E44F3E">
              <w:rPr>
                <w:szCs w:val="18"/>
                <w:lang w:eastAsia="en-NZ"/>
              </w:rPr>
              <w:t xml:space="preserve">93% (acalabrutinib) </w:t>
            </w:r>
            <w:r w:rsidRPr="0053055E">
              <w:rPr>
                <w:szCs w:val="18"/>
                <w:lang w:eastAsia="en-NZ"/>
              </w:rPr>
              <w:t>vs</w:t>
            </w:r>
            <w:r w:rsidRPr="00E44F3E">
              <w:rPr>
                <w:szCs w:val="18"/>
                <w:lang w:eastAsia="en-NZ"/>
              </w:rPr>
              <w:t xml:space="preserve"> 47% in the comparator.</w:t>
            </w:r>
          </w:p>
          <w:p w14:paraId="27971B8F" w14:textId="77777777" w:rsidR="00A31F74" w:rsidRPr="00E44F3E" w:rsidRDefault="00A31F74" w:rsidP="00A31F74">
            <w:pPr>
              <w:pStyle w:val="TableBullet"/>
              <w:keepLines/>
              <w:rPr>
                <w:szCs w:val="18"/>
                <w:lang w:eastAsia="en-NZ"/>
              </w:rPr>
            </w:pPr>
            <w:r w:rsidRPr="00E44F3E">
              <w:rPr>
                <w:szCs w:val="18"/>
                <w:lang w:eastAsia="en-NZ"/>
              </w:rPr>
              <w:t>Quality of life measured as exploratory endpoint only.</w:t>
            </w:r>
          </w:p>
          <w:p w14:paraId="6B0915E3" w14:textId="2B7637A8" w:rsidR="00A31F74" w:rsidRPr="00E44F3E" w:rsidRDefault="00A31F74" w:rsidP="00A31F74">
            <w:pPr>
              <w:pStyle w:val="TableBullet"/>
              <w:keepLines/>
              <w:rPr>
                <w:szCs w:val="18"/>
                <w:lang w:eastAsia="en-NZ"/>
              </w:rPr>
            </w:pPr>
            <w:r w:rsidRPr="00E44F3E">
              <w:rPr>
                <w:szCs w:val="18"/>
                <w:lang w:eastAsia="en-NZ"/>
              </w:rPr>
              <w:lastRenderedPageBreak/>
              <w:t xml:space="preserve">Both acalabrutinib and </w:t>
            </w:r>
            <w:proofErr w:type="spellStart"/>
            <w:r w:rsidRPr="00E44F3E">
              <w:rPr>
                <w:szCs w:val="18"/>
                <w:lang w:eastAsia="en-NZ"/>
              </w:rPr>
              <w:t>obinutuzumab</w:t>
            </w:r>
            <w:proofErr w:type="spellEnd"/>
            <w:r w:rsidRPr="00E44F3E">
              <w:rPr>
                <w:szCs w:val="18"/>
                <w:lang w:eastAsia="en-NZ"/>
              </w:rPr>
              <w:t xml:space="preserve"> would need to be funded for this indication to close this gap. </w:t>
            </w:r>
          </w:p>
        </w:tc>
      </w:tr>
      <w:tr w:rsidR="00D2248D" w:rsidRPr="00E44F3E" w14:paraId="3503EF45" w14:textId="77777777" w:rsidTr="0069375A">
        <w:trPr>
          <w:trHeight w:val="20"/>
        </w:trPr>
        <w:tc>
          <w:tcPr>
            <w:tcW w:w="0" w:type="auto"/>
            <w:vMerge w:val="restart"/>
            <w:shd w:val="clear" w:color="auto" w:fill="auto"/>
            <w:hideMark/>
          </w:tcPr>
          <w:p w14:paraId="5D339CF0" w14:textId="77777777" w:rsidR="00D2248D" w:rsidRPr="00E44F3E" w:rsidRDefault="00D2248D" w:rsidP="00A31F74">
            <w:pPr>
              <w:pStyle w:val="TableText"/>
              <w:keepLines/>
              <w:rPr>
                <w:szCs w:val="18"/>
                <w:lang w:eastAsia="en-NZ"/>
              </w:rPr>
            </w:pPr>
            <w:r w:rsidRPr="00E44F3E">
              <w:rPr>
                <w:szCs w:val="18"/>
                <w:lang w:eastAsia="en-NZ"/>
              </w:rPr>
              <w:lastRenderedPageBreak/>
              <w:t>Carfilzomib</w:t>
            </w:r>
          </w:p>
        </w:tc>
        <w:tc>
          <w:tcPr>
            <w:tcW w:w="0" w:type="auto"/>
            <w:vMerge w:val="restart"/>
            <w:shd w:val="clear" w:color="auto" w:fill="auto"/>
            <w:hideMark/>
          </w:tcPr>
          <w:p w14:paraId="20187ADB" w14:textId="26B9F75D" w:rsidR="00D2248D" w:rsidRPr="00E44F3E" w:rsidRDefault="00D2248D" w:rsidP="00A31F74">
            <w:pPr>
              <w:pStyle w:val="TableText"/>
              <w:keepLines/>
              <w:rPr>
                <w:szCs w:val="18"/>
                <w:lang w:eastAsia="en-NZ"/>
              </w:rPr>
            </w:pPr>
            <w:r w:rsidRPr="00E44F3E">
              <w:rPr>
                <w:szCs w:val="18"/>
                <w:lang w:eastAsia="en-NZ"/>
              </w:rPr>
              <w:t>Dexamethasone</w:t>
            </w:r>
            <w:r>
              <w:rPr>
                <w:szCs w:val="18"/>
                <w:lang w:eastAsia="en-NZ"/>
              </w:rPr>
              <w:t xml:space="preserve"> with or without</w:t>
            </w:r>
            <w:r w:rsidRPr="00E44F3E">
              <w:rPr>
                <w:szCs w:val="18"/>
                <w:lang w:eastAsia="en-NZ"/>
              </w:rPr>
              <w:t xml:space="preserve"> lenalidomide*</w:t>
            </w:r>
          </w:p>
        </w:tc>
        <w:tc>
          <w:tcPr>
            <w:tcW w:w="0" w:type="auto"/>
            <w:vMerge w:val="restart"/>
            <w:shd w:val="clear" w:color="auto" w:fill="auto"/>
            <w:hideMark/>
          </w:tcPr>
          <w:p w14:paraId="662DEAF7" w14:textId="77777777" w:rsidR="00D2248D" w:rsidRPr="00E44F3E" w:rsidRDefault="00D2248D" w:rsidP="00A31F74">
            <w:pPr>
              <w:pStyle w:val="TableText"/>
              <w:keepLines/>
              <w:rPr>
                <w:szCs w:val="18"/>
                <w:lang w:eastAsia="en-NZ"/>
              </w:rPr>
            </w:pPr>
            <w:r w:rsidRPr="00E44F3E">
              <w:rPr>
                <w:szCs w:val="18"/>
                <w:lang w:eastAsia="en-NZ"/>
              </w:rPr>
              <w:t xml:space="preserve">Multiple myeloma (MM) </w:t>
            </w:r>
          </w:p>
        </w:tc>
        <w:tc>
          <w:tcPr>
            <w:tcW w:w="0" w:type="auto"/>
            <w:vMerge w:val="restart"/>
            <w:shd w:val="clear" w:color="auto" w:fill="auto"/>
            <w:hideMark/>
          </w:tcPr>
          <w:p w14:paraId="0A9BE38B" w14:textId="77777777" w:rsidR="00D2248D" w:rsidRPr="00E44F3E" w:rsidRDefault="00D2248D" w:rsidP="00A31F74">
            <w:pPr>
              <w:pStyle w:val="TableText"/>
              <w:keepLines/>
              <w:rPr>
                <w:szCs w:val="18"/>
                <w:lang w:eastAsia="en-NZ"/>
              </w:rPr>
            </w:pPr>
            <w:r w:rsidRPr="00E44F3E">
              <w:rPr>
                <w:szCs w:val="18"/>
                <w:lang w:eastAsia="en-NZ"/>
              </w:rPr>
              <w:t>Progressive disease after at least one prior therapy (one or twice weekly) in combination with dexamethasone</w:t>
            </w:r>
          </w:p>
        </w:tc>
        <w:tc>
          <w:tcPr>
            <w:tcW w:w="0" w:type="auto"/>
            <w:shd w:val="clear" w:color="auto" w:fill="auto"/>
            <w:hideMark/>
          </w:tcPr>
          <w:p w14:paraId="19750EDC" w14:textId="28597104" w:rsidR="00D2248D" w:rsidRPr="00E44F3E" w:rsidRDefault="00D2248D" w:rsidP="00A31F74">
            <w:pPr>
              <w:pStyle w:val="TableText"/>
              <w:keepLines/>
              <w:jc w:val="center"/>
              <w:rPr>
                <w:szCs w:val="18"/>
                <w:lang w:eastAsia="en-NZ"/>
              </w:rPr>
            </w:pPr>
            <w:r>
              <w:rPr>
                <w:szCs w:val="18"/>
                <w:lang w:eastAsia="en-NZ"/>
              </w:rPr>
              <w:t>Carfilzomib with d</w:t>
            </w:r>
            <w:r w:rsidRPr="00E44F3E">
              <w:rPr>
                <w:szCs w:val="18"/>
                <w:lang w:eastAsia="en-NZ"/>
              </w:rPr>
              <w:t>examethasone ENDEAVOUR</w:t>
            </w:r>
          </w:p>
          <w:p w14:paraId="1E054433" w14:textId="51F3A4DC" w:rsidR="00D2248D" w:rsidRPr="00E44F3E" w:rsidRDefault="00D2248D" w:rsidP="00A31F74">
            <w:pPr>
              <w:pStyle w:val="TableText"/>
              <w:keepLines/>
              <w:jc w:val="center"/>
              <w:rPr>
                <w:szCs w:val="18"/>
                <w:lang w:eastAsia="en-NZ"/>
              </w:rPr>
            </w:pPr>
            <w:r w:rsidRPr="00E44F3E">
              <w:rPr>
                <w:szCs w:val="18"/>
                <w:lang w:eastAsia="en-NZ"/>
              </w:rPr>
              <w:t>(</w:t>
            </w:r>
            <w:proofErr w:type="spellStart"/>
            <w:r w:rsidRPr="00E44F3E">
              <w:rPr>
                <w:szCs w:val="18"/>
                <w:lang w:eastAsia="en-NZ"/>
              </w:rPr>
              <w:t>Dimopoulos</w:t>
            </w:r>
            <w:proofErr w:type="spellEnd"/>
            <w:r w:rsidRPr="00E44F3E">
              <w:rPr>
                <w:szCs w:val="18"/>
                <w:lang w:eastAsia="en-NZ"/>
              </w:rPr>
              <w:t xml:space="preserve"> et al 2017; </w:t>
            </w:r>
            <w:proofErr w:type="spellStart"/>
            <w:r w:rsidRPr="00E44F3E">
              <w:rPr>
                <w:szCs w:val="18"/>
                <w:lang w:eastAsia="en-NZ"/>
              </w:rPr>
              <w:t>Dimopoulos</w:t>
            </w:r>
            <w:proofErr w:type="spellEnd"/>
            <w:r w:rsidRPr="00E44F3E">
              <w:rPr>
                <w:szCs w:val="18"/>
                <w:lang w:eastAsia="en-NZ"/>
              </w:rPr>
              <w:t xml:space="preserve"> et al 2016; Ludwig et al 2019)</w:t>
            </w:r>
          </w:p>
        </w:tc>
        <w:tc>
          <w:tcPr>
            <w:tcW w:w="0" w:type="auto"/>
            <w:shd w:val="clear" w:color="auto" w:fill="auto"/>
            <w:hideMark/>
          </w:tcPr>
          <w:p w14:paraId="466BE1D8" w14:textId="77777777" w:rsidR="00D2248D" w:rsidRPr="00C86FFF" w:rsidRDefault="00D2248D" w:rsidP="00A31F74">
            <w:pPr>
              <w:pStyle w:val="TableText"/>
              <w:keepLines/>
              <w:jc w:val="center"/>
              <w:rPr>
                <w:b/>
                <w:bCs/>
                <w:szCs w:val="18"/>
                <w:lang w:eastAsia="en-NZ"/>
              </w:rPr>
            </w:pPr>
            <w:r w:rsidRPr="00C86FFF">
              <w:rPr>
                <w:b/>
                <w:bCs/>
                <w:szCs w:val="18"/>
                <w:lang w:eastAsia="en-NZ"/>
              </w:rPr>
              <w:t>3</w:t>
            </w:r>
          </w:p>
          <w:p w14:paraId="2C410136" w14:textId="6D9E3004" w:rsidR="00D2248D" w:rsidRPr="00E44F3E" w:rsidRDefault="00D2248D" w:rsidP="00A31F74">
            <w:pPr>
              <w:pStyle w:val="TableText"/>
              <w:keepLines/>
              <w:jc w:val="center"/>
              <w:rPr>
                <w:szCs w:val="18"/>
                <w:lang w:eastAsia="en-NZ"/>
              </w:rPr>
            </w:pPr>
            <w:r>
              <w:rPr>
                <w:szCs w:val="18"/>
                <w:lang w:eastAsia="en-NZ"/>
              </w:rPr>
              <w:t>(2a)</w:t>
            </w:r>
          </w:p>
        </w:tc>
        <w:tc>
          <w:tcPr>
            <w:tcW w:w="0" w:type="auto"/>
            <w:shd w:val="clear" w:color="auto" w:fill="auto"/>
            <w:hideMark/>
          </w:tcPr>
          <w:p w14:paraId="07F65F50" w14:textId="4DF08855" w:rsidR="00D2248D" w:rsidRPr="00E44F3E" w:rsidRDefault="00D2248D" w:rsidP="00A31F74">
            <w:pPr>
              <w:pStyle w:val="TableBullet"/>
              <w:keepLines/>
              <w:rPr>
                <w:szCs w:val="18"/>
                <w:lang w:eastAsia="en-NZ"/>
              </w:rPr>
            </w:pPr>
            <w:r w:rsidRPr="00E44F3E">
              <w:rPr>
                <w:szCs w:val="18"/>
                <w:lang w:eastAsia="en-NZ"/>
              </w:rPr>
              <w:t xml:space="preserve">Derived ESMO-MCBS:H score is based on a comparator (bortezomib and dexamethasone)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11B32288" w14:textId="1FAAF410" w:rsidR="00D2248D" w:rsidRPr="00E44F3E" w:rsidRDefault="00D2248D" w:rsidP="00A31F74">
            <w:pPr>
              <w:pStyle w:val="TableBullet"/>
              <w:keepLines/>
              <w:rPr>
                <w:szCs w:val="18"/>
                <w:lang w:eastAsia="en-NZ"/>
              </w:rPr>
            </w:pPr>
            <w:r w:rsidRPr="00E44F3E">
              <w:rPr>
                <w:szCs w:val="18"/>
                <w:lang w:eastAsia="en-NZ"/>
              </w:rPr>
              <w:t>The primary end point was progression</w:t>
            </w:r>
            <w:r>
              <w:rPr>
                <w:szCs w:val="18"/>
                <w:lang w:eastAsia="en-NZ"/>
              </w:rPr>
              <w:t>-</w:t>
            </w:r>
            <w:r w:rsidRPr="00E44F3E">
              <w:rPr>
                <w:szCs w:val="18"/>
                <w:lang w:eastAsia="en-NZ"/>
              </w:rPr>
              <w:t>free survival</w:t>
            </w:r>
            <w:r>
              <w:rPr>
                <w:szCs w:val="18"/>
                <w:lang w:eastAsia="en-NZ"/>
              </w:rPr>
              <w:t>,</w:t>
            </w:r>
            <w:r w:rsidRPr="00E44F3E">
              <w:rPr>
                <w:szCs w:val="18"/>
                <w:lang w:eastAsia="en-NZ"/>
              </w:rPr>
              <w:t xml:space="preserve"> but overall survival as a secondary endpoint showed statistically significant improvement. </w:t>
            </w:r>
          </w:p>
          <w:p w14:paraId="2040842A" w14:textId="4DCCC45D" w:rsidR="00D2248D" w:rsidRPr="00E44F3E" w:rsidRDefault="00D2248D" w:rsidP="00A31F74">
            <w:pPr>
              <w:pStyle w:val="TableBullet"/>
              <w:keepLines/>
              <w:rPr>
                <w:szCs w:val="18"/>
                <w:lang w:eastAsia="en-NZ"/>
              </w:rPr>
            </w:pPr>
            <w:r w:rsidRPr="00E44F3E">
              <w:rPr>
                <w:szCs w:val="18"/>
                <w:lang w:eastAsia="en-NZ"/>
              </w:rPr>
              <w:t xml:space="preserve">Median overall survival was 48 months for carfilzomib </w:t>
            </w:r>
            <w:r>
              <w:rPr>
                <w:szCs w:val="18"/>
                <w:lang w:eastAsia="en-NZ"/>
              </w:rPr>
              <w:t>vs</w:t>
            </w:r>
            <w:r w:rsidRPr="00E44F3E">
              <w:rPr>
                <w:szCs w:val="18"/>
                <w:lang w:eastAsia="en-NZ"/>
              </w:rPr>
              <w:t xml:space="preserve"> 40 months with the comparator. </w:t>
            </w:r>
          </w:p>
          <w:p w14:paraId="661B010B" w14:textId="77777777" w:rsidR="00D2248D" w:rsidRPr="00E44F3E" w:rsidRDefault="00D2248D" w:rsidP="00A31F74">
            <w:pPr>
              <w:pStyle w:val="TableBullet"/>
              <w:keepLines/>
              <w:rPr>
                <w:szCs w:val="18"/>
                <w:lang w:eastAsia="en-NZ"/>
              </w:rPr>
            </w:pPr>
            <w:r w:rsidRPr="00E44F3E">
              <w:rPr>
                <w:szCs w:val="18"/>
                <w:lang w:eastAsia="en-NZ"/>
              </w:rPr>
              <w:t xml:space="preserve">Quality of life measured as exploratory endpoint only. </w:t>
            </w:r>
          </w:p>
        </w:tc>
      </w:tr>
      <w:tr w:rsidR="00D2248D" w:rsidRPr="00E44F3E" w14:paraId="43A2F62B" w14:textId="77777777" w:rsidTr="0069375A">
        <w:trPr>
          <w:trHeight w:val="20"/>
        </w:trPr>
        <w:tc>
          <w:tcPr>
            <w:tcW w:w="0" w:type="auto"/>
            <w:vMerge/>
            <w:shd w:val="clear" w:color="auto" w:fill="auto"/>
          </w:tcPr>
          <w:p w14:paraId="07DA17AE" w14:textId="17D96443" w:rsidR="00D2248D" w:rsidRPr="00E44F3E" w:rsidRDefault="00D2248D" w:rsidP="00EF6173">
            <w:pPr>
              <w:pStyle w:val="TableText"/>
              <w:keepLines/>
              <w:rPr>
                <w:szCs w:val="18"/>
                <w:lang w:eastAsia="en-NZ"/>
              </w:rPr>
            </w:pPr>
          </w:p>
        </w:tc>
        <w:tc>
          <w:tcPr>
            <w:tcW w:w="0" w:type="auto"/>
            <w:vMerge/>
            <w:shd w:val="clear" w:color="auto" w:fill="auto"/>
          </w:tcPr>
          <w:p w14:paraId="54CB13F9" w14:textId="1F5B97C0" w:rsidR="00D2248D" w:rsidRPr="00E44F3E" w:rsidRDefault="00D2248D" w:rsidP="00EF6173">
            <w:pPr>
              <w:pStyle w:val="TableText"/>
              <w:keepLines/>
              <w:rPr>
                <w:szCs w:val="18"/>
                <w:lang w:eastAsia="en-NZ"/>
              </w:rPr>
            </w:pPr>
          </w:p>
        </w:tc>
        <w:tc>
          <w:tcPr>
            <w:tcW w:w="0" w:type="auto"/>
            <w:vMerge/>
            <w:shd w:val="clear" w:color="auto" w:fill="auto"/>
          </w:tcPr>
          <w:p w14:paraId="0DCA2648" w14:textId="74F6139E" w:rsidR="00D2248D" w:rsidRPr="00E44F3E" w:rsidRDefault="00D2248D" w:rsidP="00EF6173">
            <w:pPr>
              <w:pStyle w:val="TableText"/>
              <w:keepLines/>
              <w:rPr>
                <w:szCs w:val="18"/>
                <w:lang w:eastAsia="en-NZ"/>
              </w:rPr>
            </w:pPr>
          </w:p>
        </w:tc>
        <w:tc>
          <w:tcPr>
            <w:tcW w:w="0" w:type="auto"/>
            <w:vMerge/>
            <w:shd w:val="clear" w:color="auto" w:fill="auto"/>
          </w:tcPr>
          <w:p w14:paraId="1F2B3E13" w14:textId="419B115E" w:rsidR="00D2248D" w:rsidRPr="00E44F3E" w:rsidRDefault="00D2248D" w:rsidP="00EF6173">
            <w:pPr>
              <w:pStyle w:val="TableText"/>
              <w:keepLines/>
              <w:rPr>
                <w:szCs w:val="18"/>
                <w:lang w:eastAsia="en-NZ"/>
              </w:rPr>
            </w:pPr>
          </w:p>
        </w:tc>
        <w:tc>
          <w:tcPr>
            <w:tcW w:w="0" w:type="auto"/>
            <w:shd w:val="clear" w:color="auto" w:fill="auto"/>
          </w:tcPr>
          <w:p w14:paraId="356F5B69" w14:textId="09E82B12" w:rsidR="00D2248D" w:rsidRDefault="00D2248D" w:rsidP="00EF6173">
            <w:pPr>
              <w:pStyle w:val="TableText"/>
              <w:keepLines/>
              <w:jc w:val="center"/>
              <w:rPr>
                <w:szCs w:val="18"/>
                <w:lang w:eastAsia="en-NZ"/>
              </w:rPr>
            </w:pPr>
            <w:r>
              <w:rPr>
                <w:szCs w:val="18"/>
                <w:lang w:eastAsia="en-NZ"/>
              </w:rPr>
              <w:t>Carfilzomib with d</w:t>
            </w:r>
            <w:r w:rsidRPr="00E44F3E">
              <w:rPr>
                <w:szCs w:val="18"/>
                <w:lang w:eastAsia="en-NZ"/>
              </w:rPr>
              <w:t>examethasone and lenalidomide</w:t>
            </w:r>
          </w:p>
          <w:p w14:paraId="28868DED" w14:textId="52FC55AB" w:rsidR="00D2248D" w:rsidRPr="00E44F3E" w:rsidRDefault="00D2248D" w:rsidP="00EF6173">
            <w:pPr>
              <w:pStyle w:val="TableText"/>
              <w:keepLines/>
              <w:jc w:val="center"/>
              <w:rPr>
                <w:szCs w:val="18"/>
                <w:lang w:eastAsia="en-NZ"/>
              </w:rPr>
            </w:pPr>
            <w:r w:rsidRPr="00E44F3E">
              <w:rPr>
                <w:szCs w:val="18"/>
                <w:lang w:eastAsia="en-NZ"/>
              </w:rPr>
              <w:t>ASPIRE</w:t>
            </w:r>
          </w:p>
          <w:p w14:paraId="58F90EEE" w14:textId="4CFF9417" w:rsidR="00D2248D" w:rsidRPr="00E44F3E" w:rsidRDefault="00D2248D" w:rsidP="00EF6173">
            <w:pPr>
              <w:pStyle w:val="TableText"/>
              <w:keepLines/>
              <w:jc w:val="center"/>
              <w:rPr>
                <w:szCs w:val="18"/>
                <w:lang w:eastAsia="en-NZ"/>
              </w:rPr>
            </w:pPr>
            <w:r w:rsidRPr="00E44F3E">
              <w:rPr>
                <w:szCs w:val="18"/>
                <w:lang w:eastAsia="en-NZ"/>
              </w:rPr>
              <w:t>(Siegel et al 2018; Stewart et al 2016; Stewart et al 2015)</w:t>
            </w:r>
          </w:p>
        </w:tc>
        <w:tc>
          <w:tcPr>
            <w:tcW w:w="0" w:type="auto"/>
            <w:shd w:val="clear" w:color="auto" w:fill="auto"/>
          </w:tcPr>
          <w:p w14:paraId="03E10BC7" w14:textId="21308EBE" w:rsidR="00D2248D" w:rsidRPr="00C86FFF" w:rsidRDefault="009D4B4F" w:rsidP="00EF6173">
            <w:pPr>
              <w:pStyle w:val="TableText"/>
              <w:keepLines/>
              <w:jc w:val="center"/>
              <w:rPr>
                <w:b/>
                <w:bCs/>
                <w:szCs w:val="18"/>
                <w:lang w:eastAsia="en-NZ"/>
              </w:rPr>
            </w:pPr>
            <w:r>
              <w:rPr>
                <w:b/>
                <w:bCs/>
                <w:szCs w:val="18"/>
                <w:lang w:eastAsia="en-NZ"/>
              </w:rPr>
              <w:t>3</w:t>
            </w:r>
          </w:p>
          <w:p w14:paraId="65BEAADB" w14:textId="6B8D8777" w:rsidR="00D2248D" w:rsidRPr="00C86FFF" w:rsidRDefault="00D2248D" w:rsidP="00EF6173">
            <w:pPr>
              <w:pStyle w:val="TableText"/>
              <w:keepLines/>
              <w:jc w:val="center"/>
              <w:rPr>
                <w:b/>
                <w:bCs/>
                <w:szCs w:val="18"/>
                <w:lang w:eastAsia="en-NZ"/>
              </w:rPr>
            </w:pPr>
            <w:r>
              <w:rPr>
                <w:szCs w:val="18"/>
                <w:lang w:eastAsia="en-NZ"/>
              </w:rPr>
              <w:t>(2a)</w:t>
            </w:r>
          </w:p>
        </w:tc>
        <w:tc>
          <w:tcPr>
            <w:tcW w:w="0" w:type="auto"/>
            <w:shd w:val="clear" w:color="auto" w:fill="auto"/>
          </w:tcPr>
          <w:p w14:paraId="2F92C695" w14:textId="77777777" w:rsidR="00D2248D" w:rsidRPr="00E44F3E" w:rsidRDefault="00D2248D" w:rsidP="00EF6173">
            <w:pPr>
              <w:pStyle w:val="TableBullet"/>
              <w:keepLines/>
              <w:rPr>
                <w:szCs w:val="18"/>
                <w:lang w:eastAsia="en-NZ"/>
              </w:rPr>
            </w:pPr>
            <w:r w:rsidRPr="00E44F3E">
              <w:rPr>
                <w:szCs w:val="18"/>
                <w:lang w:eastAsia="en-NZ"/>
              </w:rPr>
              <w:t xml:space="preserve">Derived ESMO-MCBS:H score is based on a comparator (lenalidomide with dexamethasone). Lenalidomide is not publicly funded in </w:t>
            </w:r>
            <w:r>
              <w:rPr>
                <w:szCs w:val="18"/>
              </w:rPr>
              <w:t>Aotearoa New Zealand</w:t>
            </w:r>
            <w:r w:rsidRPr="00E44F3E">
              <w:rPr>
                <w:szCs w:val="18"/>
              </w:rPr>
              <w:t xml:space="preserve"> </w:t>
            </w:r>
            <w:r w:rsidRPr="00E44F3E">
              <w:rPr>
                <w:szCs w:val="18"/>
                <w:lang w:eastAsia="en-NZ"/>
              </w:rPr>
              <w:t xml:space="preserve">for all patients with this indication. There is a small number of patients who will not be able to access lenalidomide second line currently in </w:t>
            </w:r>
            <w:r>
              <w:rPr>
                <w:szCs w:val="18"/>
                <w:lang w:eastAsia="en-NZ"/>
              </w:rPr>
              <w:t>Aotearoa New Zealand</w:t>
            </w:r>
            <w:r w:rsidRPr="00E44F3E">
              <w:rPr>
                <w:szCs w:val="18"/>
                <w:lang w:eastAsia="en-NZ"/>
              </w:rPr>
              <w:t xml:space="preserve">. Clinical advice was that this was not material. </w:t>
            </w:r>
          </w:p>
          <w:p w14:paraId="2CD920C4" w14:textId="77777777" w:rsidR="00D2248D" w:rsidRPr="00E44F3E" w:rsidRDefault="00D2248D" w:rsidP="00EF6173">
            <w:pPr>
              <w:pStyle w:val="TableBullet"/>
              <w:keepLines/>
              <w:rPr>
                <w:szCs w:val="18"/>
                <w:lang w:eastAsia="en-NZ"/>
              </w:rPr>
            </w:pPr>
            <w:r w:rsidRPr="00E44F3E">
              <w:rPr>
                <w:szCs w:val="18"/>
                <w:lang w:eastAsia="en-NZ"/>
              </w:rPr>
              <w:t>Primary end point was progression</w:t>
            </w:r>
            <w:r>
              <w:rPr>
                <w:szCs w:val="18"/>
                <w:lang w:eastAsia="en-NZ"/>
              </w:rPr>
              <w:t>-</w:t>
            </w:r>
            <w:r w:rsidRPr="00E44F3E">
              <w:rPr>
                <w:szCs w:val="18"/>
                <w:lang w:eastAsia="en-NZ"/>
              </w:rPr>
              <w:t xml:space="preserve">free survival; however, overall survival as a secondary endpoint showed statistically significant differences. </w:t>
            </w:r>
          </w:p>
          <w:p w14:paraId="20CAC27E" w14:textId="77777777" w:rsidR="00D2248D" w:rsidRPr="00E44F3E" w:rsidRDefault="00D2248D" w:rsidP="00EF6173">
            <w:pPr>
              <w:pStyle w:val="TableBullet"/>
              <w:keepLines/>
              <w:rPr>
                <w:szCs w:val="18"/>
                <w:lang w:eastAsia="en-NZ"/>
              </w:rPr>
            </w:pPr>
            <w:r w:rsidRPr="00E44F3E">
              <w:rPr>
                <w:szCs w:val="18"/>
                <w:lang w:eastAsia="en-NZ"/>
              </w:rPr>
              <w:t xml:space="preserve">Median survival was 48 months with carfilzomib, lenalidomide and dexamethasone </w:t>
            </w:r>
            <w:r>
              <w:rPr>
                <w:szCs w:val="18"/>
                <w:lang w:eastAsia="en-NZ"/>
              </w:rPr>
              <w:t>vs</w:t>
            </w:r>
            <w:r w:rsidRPr="00E44F3E">
              <w:rPr>
                <w:szCs w:val="18"/>
                <w:lang w:eastAsia="en-NZ"/>
              </w:rPr>
              <w:t xml:space="preserve"> 40 months with lenalidomide and dexamethasone. </w:t>
            </w:r>
          </w:p>
          <w:p w14:paraId="1D941399" w14:textId="77777777" w:rsidR="00D2248D" w:rsidRPr="00E44F3E" w:rsidRDefault="00D2248D" w:rsidP="00EF6173">
            <w:pPr>
              <w:pStyle w:val="TableBullet"/>
              <w:keepLines/>
              <w:rPr>
                <w:szCs w:val="18"/>
                <w:lang w:eastAsia="en-NZ"/>
              </w:rPr>
            </w:pPr>
            <w:r w:rsidRPr="00E44F3E">
              <w:rPr>
                <w:szCs w:val="18"/>
                <w:lang w:eastAsia="en-NZ"/>
              </w:rPr>
              <w:t xml:space="preserve">Quality of life did not appear to be measured. </w:t>
            </w:r>
          </w:p>
          <w:p w14:paraId="5EAD9110" w14:textId="54C0946C" w:rsidR="00D2248D" w:rsidRPr="00E44F3E" w:rsidRDefault="00D2248D" w:rsidP="00EF6173">
            <w:pPr>
              <w:pStyle w:val="TableBullet"/>
              <w:keepLines/>
              <w:rPr>
                <w:szCs w:val="18"/>
                <w:lang w:eastAsia="en-NZ"/>
              </w:rPr>
            </w:pPr>
            <w:r w:rsidRPr="00E44F3E">
              <w:rPr>
                <w:szCs w:val="18"/>
                <w:lang w:eastAsia="en-NZ"/>
              </w:rPr>
              <w:t xml:space="preserve">Both lenalidomide and carfilzomib need to be funded to close this gap. </w:t>
            </w:r>
          </w:p>
        </w:tc>
      </w:tr>
      <w:tr w:rsidR="00EF6173" w:rsidRPr="00E44F3E" w14:paraId="13720B86" w14:textId="77777777" w:rsidTr="0069375A">
        <w:trPr>
          <w:trHeight w:val="20"/>
        </w:trPr>
        <w:tc>
          <w:tcPr>
            <w:tcW w:w="0" w:type="auto"/>
            <w:shd w:val="clear" w:color="auto" w:fill="auto"/>
            <w:hideMark/>
          </w:tcPr>
          <w:p w14:paraId="72FEEF99" w14:textId="77777777" w:rsidR="00EF6173" w:rsidRPr="00E44F3E" w:rsidRDefault="00EF6173" w:rsidP="00EF6173">
            <w:pPr>
              <w:pStyle w:val="TableText"/>
              <w:keepLines/>
              <w:rPr>
                <w:szCs w:val="18"/>
                <w:lang w:eastAsia="en-NZ"/>
              </w:rPr>
            </w:pPr>
            <w:r w:rsidRPr="00E44F3E">
              <w:rPr>
                <w:szCs w:val="18"/>
                <w:lang w:eastAsia="en-NZ"/>
              </w:rPr>
              <w:lastRenderedPageBreak/>
              <w:t>Daratumumab</w:t>
            </w:r>
          </w:p>
        </w:tc>
        <w:tc>
          <w:tcPr>
            <w:tcW w:w="0" w:type="auto"/>
            <w:shd w:val="clear" w:color="auto" w:fill="auto"/>
            <w:hideMark/>
          </w:tcPr>
          <w:p w14:paraId="393AB000" w14:textId="77777777" w:rsidR="00EF6173" w:rsidRPr="00E44F3E" w:rsidRDefault="00EF6173" w:rsidP="00EF6173">
            <w:pPr>
              <w:pStyle w:val="TableText"/>
              <w:keepLines/>
              <w:rPr>
                <w:szCs w:val="18"/>
                <w:lang w:eastAsia="en-NZ"/>
              </w:rPr>
            </w:pPr>
            <w:r w:rsidRPr="00E44F3E">
              <w:rPr>
                <w:szCs w:val="18"/>
                <w:lang w:eastAsia="en-NZ"/>
              </w:rPr>
              <w:t>Bortezomib and dexamethasone</w:t>
            </w:r>
          </w:p>
        </w:tc>
        <w:tc>
          <w:tcPr>
            <w:tcW w:w="0" w:type="auto"/>
            <w:shd w:val="clear" w:color="auto" w:fill="auto"/>
            <w:hideMark/>
          </w:tcPr>
          <w:p w14:paraId="1B7ECDBD" w14:textId="77777777" w:rsidR="00EF6173" w:rsidRPr="00E44F3E" w:rsidRDefault="00EF6173" w:rsidP="00EF6173">
            <w:pPr>
              <w:pStyle w:val="TableText"/>
              <w:keepLines/>
              <w:rPr>
                <w:szCs w:val="18"/>
                <w:lang w:eastAsia="en-NZ"/>
              </w:rPr>
            </w:pPr>
            <w:r w:rsidRPr="00E44F3E">
              <w:rPr>
                <w:szCs w:val="18"/>
                <w:lang w:eastAsia="en-NZ"/>
              </w:rPr>
              <w:t xml:space="preserve">Multiple myeloma (MM) </w:t>
            </w:r>
          </w:p>
        </w:tc>
        <w:tc>
          <w:tcPr>
            <w:tcW w:w="0" w:type="auto"/>
            <w:shd w:val="clear" w:color="auto" w:fill="auto"/>
            <w:hideMark/>
          </w:tcPr>
          <w:p w14:paraId="6AA7880D" w14:textId="77777777" w:rsidR="00EF6173" w:rsidRPr="00E44F3E" w:rsidRDefault="00EF6173" w:rsidP="00EF6173">
            <w:pPr>
              <w:pStyle w:val="TableText"/>
              <w:keepLines/>
              <w:rPr>
                <w:szCs w:val="18"/>
                <w:lang w:eastAsia="en-NZ"/>
              </w:rPr>
            </w:pPr>
            <w:r w:rsidRPr="00E44F3E">
              <w:rPr>
                <w:szCs w:val="18"/>
                <w:lang w:eastAsia="en-NZ"/>
              </w:rPr>
              <w:t>Treatment of relapsed/refractory disease</w:t>
            </w:r>
          </w:p>
        </w:tc>
        <w:tc>
          <w:tcPr>
            <w:tcW w:w="0" w:type="auto"/>
            <w:shd w:val="clear" w:color="auto" w:fill="auto"/>
            <w:hideMark/>
          </w:tcPr>
          <w:p w14:paraId="381B43FF" w14:textId="00C2276C" w:rsidR="00EF6173" w:rsidRPr="00E44F3E" w:rsidRDefault="00EF6173" w:rsidP="00EF6173">
            <w:pPr>
              <w:pStyle w:val="TableText"/>
              <w:keepLines/>
              <w:jc w:val="center"/>
              <w:rPr>
                <w:szCs w:val="18"/>
                <w:lang w:eastAsia="en-NZ"/>
              </w:rPr>
            </w:pPr>
            <w:r w:rsidRPr="00E44F3E">
              <w:rPr>
                <w:szCs w:val="18"/>
                <w:lang w:eastAsia="en-NZ"/>
              </w:rPr>
              <w:t>CASTOR</w:t>
            </w:r>
          </w:p>
          <w:p w14:paraId="3D18576A" w14:textId="15E5330C"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Hungria</w:t>
            </w:r>
            <w:proofErr w:type="spellEnd"/>
            <w:r w:rsidRPr="00E44F3E">
              <w:rPr>
                <w:szCs w:val="18"/>
                <w:lang w:eastAsia="en-NZ"/>
              </w:rPr>
              <w:t xml:space="preserve"> et al 2021; Palumbo et al 2016)</w:t>
            </w:r>
          </w:p>
        </w:tc>
        <w:tc>
          <w:tcPr>
            <w:tcW w:w="0" w:type="auto"/>
            <w:shd w:val="clear" w:color="auto" w:fill="auto"/>
            <w:hideMark/>
          </w:tcPr>
          <w:p w14:paraId="52BED73F"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101D7647" w14:textId="42DC770D" w:rsidR="00EF6173" w:rsidRPr="00E44F3E" w:rsidRDefault="00EF6173" w:rsidP="00EF6173">
            <w:pPr>
              <w:pStyle w:val="TableText"/>
              <w:keepLines/>
              <w:jc w:val="center"/>
              <w:rPr>
                <w:szCs w:val="18"/>
                <w:lang w:eastAsia="en-NZ"/>
              </w:rPr>
            </w:pPr>
            <w:r>
              <w:rPr>
                <w:szCs w:val="18"/>
                <w:lang w:eastAsia="en-NZ"/>
              </w:rPr>
              <w:t>(2a)</w:t>
            </w:r>
          </w:p>
        </w:tc>
        <w:tc>
          <w:tcPr>
            <w:tcW w:w="0" w:type="auto"/>
            <w:shd w:val="clear" w:color="auto" w:fill="auto"/>
            <w:hideMark/>
          </w:tcPr>
          <w:p w14:paraId="5AB2CA20" w14:textId="19D8833B" w:rsidR="00EF6173" w:rsidRPr="00E44F3E" w:rsidRDefault="00EF6173" w:rsidP="00EF6173">
            <w:pPr>
              <w:pStyle w:val="TableBullet"/>
              <w:keepLines/>
              <w:rPr>
                <w:szCs w:val="18"/>
                <w:lang w:eastAsia="en-NZ"/>
              </w:rPr>
            </w:pPr>
            <w:r w:rsidRPr="00E44F3E">
              <w:rPr>
                <w:szCs w:val="18"/>
                <w:lang w:eastAsia="en-NZ"/>
              </w:rPr>
              <w:t>Derived ESMO-MCBS:H score is based on a comparator (</w:t>
            </w:r>
            <w:r>
              <w:rPr>
                <w:szCs w:val="18"/>
                <w:lang w:eastAsia="en-NZ"/>
              </w:rPr>
              <w:t>b</w:t>
            </w:r>
            <w:r w:rsidRPr="00E44F3E">
              <w:rPr>
                <w:szCs w:val="18"/>
                <w:lang w:eastAsia="en-NZ"/>
              </w:rPr>
              <w:t xml:space="preserve">ortezomib and dexamethasone)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18011361" w14:textId="222F1B51" w:rsidR="00EF6173" w:rsidRPr="00E44F3E" w:rsidRDefault="00EF6173" w:rsidP="00EF6173">
            <w:pPr>
              <w:pStyle w:val="TableBullet"/>
              <w:keepLines/>
              <w:rPr>
                <w:szCs w:val="18"/>
                <w:lang w:eastAsia="en-NZ"/>
              </w:rPr>
            </w:pPr>
            <w:r w:rsidRPr="00E44F3E">
              <w:rPr>
                <w:szCs w:val="18"/>
                <w:lang w:eastAsia="en-NZ"/>
              </w:rPr>
              <w:t>The primary end point was progression</w:t>
            </w:r>
            <w:r>
              <w:rPr>
                <w:szCs w:val="18"/>
                <w:lang w:eastAsia="en-NZ"/>
              </w:rPr>
              <w:t>-</w:t>
            </w:r>
            <w:r w:rsidRPr="00E44F3E">
              <w:rPr>
                <w:szCs w:val="18"/>
                <w:lang w:eastAsia="en-NZ"/>
              </w:rPr>
              <w:t>free survival</w:t>
            </w:r>
            <w:r>
              <w:rPr>
                <w:szCs w:val="18"/>
                <w:lang w:eastAsia="en-NZ"/>
              </w:rPr>
              <w:t>,</w:t>
            </w:r>
            <w:r w:rsidRPr="00E44F3E">
              <w:rPr>
                <w:szCs w:val="18"/>
                <w:lang w:eastAsia="en-NZ"/>
              </w:rPr>
              <w:t xml:space="preserve"> but overall survival as a secondary endpoint showed statistically significant improvement. </w:t>
            </w:r>
          </w:p>
          <w:p w14:paraId="7C513D56" w14:textId="0437C4B3" w:rsidR="00EF6173" w:rsidRPr="00E44F3E" w:rsidRDefault="00EF6173" w:rsidP="00EF6173">
            <w:pPr>
              <w:pStyle w:val="TableBullet"/>
              <w:keepLines/>
              <w:rPr>
                <w:szCs w:val="18"/>
                <w:lang w:eastAsia="en-NZ"/>
              </w:rPr>
            </w:pPr>
            <w:r w:rsidRPr="00E44F3E">
              <w:rPr>
                <w:szCs w:val="18"/>
                <w:lang w:eastAsia="en-NZ"/>
              </w:rPr>
              <w:t xml:space="preserve">Median overall survival was 50 months for daratumumab </w:t>
            </w:r>
            <w:r>
              <w:rPr>
                <w:szCs w:val="18"/>
                <w:lang w:eastAsia="en-NZ"/>
              </w:rPr>
              <w:t>vs</w:t>
            </w:r>
            <w:r w:rsidRPr="00E44F3E">
              <w:rPr>
                <w:szCs w:val="18"/>
                <w:lang w:eastAsia="en-NZ"/>
              </w:rPr>
              <w:t xml:space="preserve"> 39 months with the comparator. </w:t>
            </w:r>
          </w:p>
          <w:p w14:paraId="53AB08EC" w14:textId="77777777" w:rsidR="00EF6173" w:rsidRPr="00E44F3E" w:rsidRDefault="00EF6173" w:rsidP="00EF6173">
            <w:pPr>
              <w:pStyle w:val="TableBullet"/>
              <w:keepLines/>
              <w:rPr>
                <w:szCs w:val="18"/>
                <w:lang w:eastAsia="en-NZ"/>
              </w:rPr>
            </w:pPr>
            <w:r w:rsidRPr="00E44F3E">
              <w:rPr>
                <w:szCs w:val="18"/>
                <w:lang w:eastAsia="en-NZ"/>
              </w:rPr>
              <w:t xml:space="preserve">Available evidence for quality of life was measured for the intervention trial arm only. </w:t>
            </w:r>
          </w:p>
          <w:p w14:paraId="6382292A" w14:textId="7255AE6D" w:rsidR="00EF6173" w:rsidRPr="00E44F3E" w:rsidRDefault="00EF6173" w:rsidP="00EF6173">
            <w:pPr>
              <w:pStyle w:val="TableBullet"/>
              <w:keepLines/>
              <w:rPr>
                <w:szCs w:val="18"/>
                <w:lang w:eastAsia="en-NZ"/>
              </w:rPr>
            </w:pPr>
            <w:r w:rsidRPr="00E44F3E">
              <w:rPr>
                <w:szCs w:val="18"/>
                <w:lang w:eastAsia="en-NZ"/>
              </w:rPr>
              <w:t>The main trial evidence was for daratumumab used in the treatment of relapsed multiple myeloma second line</w:t>
            </w:r>
            <w:r>
              <w:rPr>
                <w:szCs w:val="18"/>
                <w:lang w:eastAsia="en-NZ"/>
              </w:rPr>
              <w:t xml:space="preserve"> treatment</w:t>
            </w:r>
            <w:r w:rsidRPr="00E44F3E">
              <w:rPr>
                <w:szCs w:val="18"/>
                <w:lang w:eastAsia="en-NZ"/>
              </w:rPr>
              <w:t xml:space="preserve"> or later. Data for second line only was conducted as a post-hoc sub-group analysis. Post-hoc sub-group analys</w:t>
            </w:r>
            <w:r>
              <w:rPr>
                <w:szCs w:val="18"/>
                <w:lang w:eastAsia="en-NZ"/>
              </w:rPr>
              <w:t>e</w:t>
            </w:r>
            <w:r w:rsidRPr="00E44F3E">
              <w:rPr>
                <w:szCs w:val="18"/>
                <w:lang w:eastAsia="en-NZ"/>
              </w:rPr>
              <w:t xml:space="preserve">s are unable to be scored using the ESMO-MCBS:H. </w:t>
            </w:r>
          </w:p>
        </w:tc>
      </w:tr>
      <w:tr w:rsidR="00EF6173" w:rsidRPr="00E44F3E" w14:paraId="20B24627" w14:textId="77777777" w:rsidTr="0069375A">
        <w:trPr>
          <w:trHeight w:val="20"/>
        </w:trPr>
        <w:tc>
          <w:tcPr>
            <w:tcW w:w="0" w:type="auto"/>
            <w:shd w:val="clear" w:color="auto" w:fill="auto"/>
            <w:hideMark/>
          </w:tcPr>
          <w:p w14:paraId="1930D04D" w14:textId="77777777" w:rsidR="00EF6173" w:rsidRPr="00E44F3E" w:rsidRDefault="00EF6173" w:rsidP="00EF6173">
            <w:pPr>
              <w:pStyle w:val="TableText"/>
              <w:keepLines/>
              <w:rPr>
                <w:szCs w:val="18"/>
                <w:lang w:eastAsia="en-NZ"/>
              </w:rPr>
            </w:pPr>
            <w:proofErr w:type="spellStart"/>
            <w:r w:rsidRPr="00E44F3E">
              <w:rPr>
                <w:szCs w:val="18"/>
                <w:lang w:eastAsia="en-NZ"/>
              </w:rPr>
              <w:lastRenderedPageBreak/>
              <w:t>Elotuzumab</w:t>
            </w:r>
            <w:proofErr w:type="spellEnd"/>
            <w:r w:rsidRPr="00E44F3E">
              <w:rPr>
                <w:szCs w:val="18"/>
                <w:lang w:eastAsia="en-NZ"/>
              </w:rPr>
              <w:t>*</w:t>
            </w:r>
          </w:p>
        </w:tc>
        <w:tc>
          <w:tcPr>
            <w:tcW w:w="0" w:type="auto"/>
            <w:shd w:val="clear" w:color="auto" w:fill="auto"/>
            <w:hideMark/>
          </w:tcPr>
          <w:p w14:paraId="00B3CB6E" w14:textId="77777777" w:rsidR="00EF6173" w:rsidRPr="00E44F3E" w:rsidRDefault="00EF6173" w:rsidP="00EF6173">
            <w:pPr>
              <w:pStyle w:val="TableText"/>
              <w:keepLines/>
              <w:rPr>
                <w:szCs w:val="18"/>
                <w:lang w:eastAsia="en-NZ"/>
              </w:rPr>
            </w:pPr>
            <w:r w:rsidRPr="00E44F3E">
              <w:rPr>
                <w:szCs w:val="18"/>
                <w:lang w:eastAsia="en-NZ"/>
              </w:rPr>
              <w:t>Dexamethasone and lenalidomide*</w:t>
            </w:r>
          </w:p>
        </w:tc>
        <w:tc>
          <w:tcPr>
            <w:tcW w:w="0" w:type="auto"/>
            <w:shd w:val="clear" w:color="auto" w:fill="auto"/>
            <w:hideMark/>
          </w:tcPr>
          <w:p w14:paraId="0C8FE9F2" w14:textId="77777777" w:rsidR="00EF6173" w:rsidRPr="00E44F3E" w:rsidRDefault="00EF6173" w:rsidP="00EF6173">
            <w:pPr>
              <w:pStyle w:val="TableText"/>
              <w:keepLines/>
              <w:rPr>
                <w:szCs w:val="18"/>
                <w:lang w:eastAsia="en-NZ"/>
              </w:rPr>
            </w:pPr>
            <w:r w:rsidRPr="00E44F3E">
              <w:rPr>
                <w:szCs w:val="18"/>
                <w:lang w:eastAsia="en-NZ"/>
              </w:rPr>
              <w:t xml:space="preserve">Multiple myeloma (MM) </w:t>
            </w:r>
          </w:p>
        </w:tc>
        <w:tc>
          <w:tcPr>
            <w:tcW w:w="0" w:type="auto"/>
            <w:shd w:val="clear" w:color="auto" w:fill="auto"/>
            <w:hideMark/>
          </w:tcPr>
          <w:p w14:paraId="080E9820" w14:textId="77777777" w:rsidR="00EF6173" w:rsidRPr="00E44F3E" w:rsidRDefault="00EF6173" w:rsidP="00EF6173">
            <w:pPr>
              <w:pStyle w:val="TableText"/>
              <w:keepLines/>
              <w:rPr>
                <w:szCs w:val="18"/>
                <w:lang w:eastAsia="en-NZ"/>
              </w:rPr>
            </w:pPr>
            <w:r w:rsidRPr="00E44F3E">
              <w:rPr>
                <w:szCs w:val="18"/>
                <w:lang w:eastAsia="en-NZ"/>
              </w:rPr>
              <w:t>Treatment of relapsed/refractory disease</w:t>
            </w:r>
          </w:p>
        </w:tc>
        <w:tc>
          <w:tcPr>
            <w:tcW w:w="0" w:type="auto"/>
            <w:shd w:val="clear" w:color="auto" w:fill="auto"/>
            <w:hideMark/>
          </w:tcPr>
          <w:p w14:paraId="32EEACE0" w14:textId="77777777" w:rsidR="00EF6173" w:rsidRPr="00E44F3E" w:rsidRDefault="00EF6173" w:rsidP="00EF6173">
            <w:pPr>
              <w:pStyle w:val="TableText"/>
              <w:keepLines/>
              <w:jc w:val="center"/>
              <w:rPr>
                <w:szCs w:val="18"/>
                <w:lang w:eastAsia="en-NZ"/>
              </w:rPr>
            </w:pPr>
            <w:r w:rsidRPr="00E44F3E">
              <w:rPr>
                <w:szCs w:val="18"/>
                <w:lang w:eastAsia="en-NZ"/>
              </w:rPr>
              <w:t>ELQOUENT-2</w:t>
            </w:r>
          </w:p>
          <w:p w14:paraId="624B0C36" w14:textId="2B616B5D"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Dimopoulos</w:t>
            </w:r>
            <w:proofErr w:type="spellEnd"/>
            <w:r w:rsidRPr="00E44F3E">
              <w:rPr>
                <w:szCs w:val="18"/>
                <w:lang w:eastAsia="en-NZ"/>
              </w:rPr>
              <w:t xml:space="preserve"> et al 2020; </w:t>
            </w:r>
            <w:proofErr w:type="spellStart"/>
            <w:r w:rsidRPr="00E44F3E">
              <w:rPr>
                <w:szCs w:val="18"/>
                <w:lang w:eastAsia="en-NZ"/>
              </w:rPr>
              <w:t>Lonial</w:t>
            </w:r>
            <w:proofErr w:type="spellEnd"/>
            <w:r w:rsidRPr="00E44F3E">
              <w:rPr>
                <w:szCs w:val="18"/>
                <w:lang w:eastAsia="en-NZ"/>
              </w:rPr>
              <w:t xml:space="preserve"> et al 2015)</w:t>
            </w:r>
          </w:p>
        </w:tc>
        <w:tc>
          <w:tcPr>
            <w:tcW w:w="0" w:type="auto"/>
            <w:shd w:val="clear" w:color="auto" w:fill="auto"/>
            <w:hideMark/>
          </w:tcPr>
          <w:p w14:paraId="0F482EAE"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18606B06" w14:textId="3FD596BD" w:rsidR="00EF6173" w:rsidRPr="00E44F3E" w:rsidRDefault="00EF6173" w:rsidP="00EF6173">
            <w:pPr>
              <w:pStyle w:val="TableText"/>
              <w:keepLines/>
              <w:jc w:val="center"/>
              <w:rPr>
                <w:szCs w:val="18"/>
                <w:lang w:eastAsia="en-NZ"/>
              </w:rPr>
            </w:pPr>
            <w:r>
              <w:rPr>
                <w:szCs w:val="18"/>
                <w:lang w:eastAsia="en-NZ"/>
              </w:rPr>
              <w:t>(2a)</w:t>
            </w:r>
          </w:p>
        </w:tc>
        <w:tc>
          <w:tcPr>
            <w:tcW w:w="0" w:type="auto"/>
            <w:shd w:val="clear" w:color="auto" w:fill="auto"/>
            <w:hideMark/>
          </w:tcPr>
          <w:p w14:paraId="1ABC1F80" w14:textId="5A832772" w:rsidR="00EF6173" w:rsidRPr="00E44F3E" w:rsidRDefault="00EF6173" w:rsidP="00EF6173">
            <w:pPr>
              <w:pStyle w:val="TableBullet"/>
              <w:keepLines/>
              <w:rPr>
                <w:szCs w:val="18"/>
                <w:lang w:eastAsia="en-NZ"/>
              </w:rPr>
            </w:pPr>
            <w:r w:rsidRPr="00E44F3E">
              <w:rPr>
                <w:szCs w:val="18"/>
                <w:lang w:eastAsia="en-NZ"/>
              </w:rPr>
              <w:t>Derived ESMO-MCBS:H score is based on a comparator (lenalidomide</w:t>
            </w:r>
            <w:r>
              <w:rPr>
                <w:szCs w:val="18"/>
                <w:lang w:eastAsia="en-NZ"/>
              </w:rPr>
              <w:t xml:space="preserve"> with </w:t>
            </w:r>
            <w:r w:rsidRPr="00E44F3E">
              <w:rPr>
                <w:szCs w:val="18"/>
                <w:lang w:eastAsia="en-NZ"/>
              </w:rPr>
              <w:t xml:space="preserve">dexamethasone)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3E113037" w14:textId="748D1F7F" w:rsidR="00EF6173" w:rsidRPr="00E44F3E" w:rsidRDefault="00EF6173" w:rsidP="00EF6173">
            <w:pPr>
              <w:pStyle w:val="TableBullet"/>
              <w:keepLines/>
              <w:rPr>
                <w:szCs w:val="18"/>
                <w:lang w:eastAsia="en-NZ"/>
              </w:rPr>
            </w:pPr>
            <w:r w:rsidRPr="00E44F3E">
              <w:rPr>
                <w:szCs w:val="18"/>
                <w:lang w:eastAsia="en-NZ"/>
              </w:rPr>
              <w:t>The primary end point was progression</w:t>
            </w:r>
            <w:r>
              <w:rPr>
                <w:szCs w:val="18"/>
                <w:lang w:eastAsia="en-NZ"/>
              </w:rPr>
              <w:t>-</w:t>
            </w:r>
            <w:r w:rsidRPr="00E44F3E">
              <w:rPr>
                <w:szCs w:val="18"/>
                <w:lang w:eastAsia="en-NZ"/>
              </w:rPr>
              <w:t>free survival and overall response rate; however, the secondary endpoint of overall survival showed statistically significant improvement.</w:t>
            </w:r>
          </w:p>
          <w:p w14:paraId="34738918" w14:textId="07C01B42" w:rsidR="00EF6173" w:rsidRPr="00E44F3E" w:rsidRDefault="00EF6173" w:rsidP="00EF6173">
            <w:pPr>
              <w:pStyle w:val="TableBullet"/>
              <w:keepLines/>
              <w:rPr>
                <w:szCs w:val="18"/>
                <w:lang w:eastAsia="en-NZ"/>
              </w:rPr>
            </w:pPr>
            <w:r w:rsidRPr="00E44F3E">
              <w:rPr>
                <w:szCs w:val="18"/>
                <w:lang w:eastAsia="en-NZ"/>
              </w:rPr>
              <w:t xml:space="preserve">Median overall survival was 48 months for </w:t>
            </w:r>
            <w:proofErr w:type="spellStart"/>
            <w:r>
              <w:rPr>
                <w:szCs w:val="18"/>
                <w:lang w:eastAsia="en-NZ"/>
              </w:rPr>
              <w:t>e</w:t>
            </w:r>
            <w:r w:rsidRPr="00E44F3E">
              <w:rPr>
                <w:szCs w:val="18"/>
                <w:lang w:eastAsia="en-NZ"/>
              </w:rPr>
              <w:t>lotuzumab</w:t>
            </w:r>
            <w:proofErr w:type="spellEnd"/>
            <w:r w:rsidRPr="00E44F3E">
              <w:rPr>
                <w:szCs w:val="18"/>
                <w:lang w:eastAsia="en-NZ"/>
              </w:rPr>
              <w:t xml:space="preserve"> with lenalidomide and dexamethasone </w:t>
            </w:r>
            <w:r>
              <w:rPr>
                <w:szCs w:val="18"/>
                <w:lang w:eastAsia="en-NZ"/>
              </w:rPr>
              <w:t>vs</w:t>
            </w:r>
            <w:r w:rsidRPr="00E44F3E">
              <w:rPr>
                <w:szCs w:val="18"/>
                <w:lang w:eastAsia="en-NZ"/>
              </w:rPr>
              <w:t xml:space="preserve"> 40 months with the comparator. </w:t>
            </w:r>
          </w:p>
          <w:p w14:paraId="4F5F32C3" w14:textId="77777777" w:rsidR="00EF6173" w:rsidRPr="00E44F3E" w:rsidRDefault="00EF6173" w:rsidP="00EF6173">
            <w:pPr>
              <w:pStyle w:val="TableBullet"/>
              <w:keepLines/>
              <w:rPr>
                <w:szCs w:val="18"/>
                <w:lang w:eastAsia="en-NZ"/>
              </w:rPr>
            </w:pPr>
            <w:r w:rsidRPr="00E44F3E">
              <w:rPr>
                <w:szCs w:val="18"/>
                <w:lang w:eastAsia="en-NZ"/>
              </w:rPr>
              <w:t xml:space="preserve">Quality of life was measured as an exploratory endpoint. </w:t>
            </w:r>
          </w:p>
          <w:p w14:paraId="122B42E7" w14:textId="77777777" w:rsidR="00EF6173" w:rsidRPr="00E44F3E" w:rsidRDefault="00EF6173" w:rsidP="00EF6173">
            <w:pPr>
              <w:pStyle w:val="TableBullet"/>
              <w:keepLines/>
              <w:rPr>
                <w:szCs w:val="18"/>
                <w:lang w:eastAsia="en-NZ"/>
              </w:rPr>
            </w:pPr>
            <w:r w:rsidRPr="00E44F3E">
              <w:rPr>
                <w:szCs w:val="18"/>
                <w:lang w:eastAsia="en-NZ"/>
              </w:rPr>
              <w:t xml:space="preserve">Both lenalidomide and </w:t>
            </w:r>
            <w:proofErr w:type="spellStart"/>
            <w:r w:rsidRPr="00E44F3E">
              <w:rPr>
                <w:szCs w:val="18"/>
                <w:lang w:eastAsia="en-NZ"/>
              </w:rPr>
              <w:t>elotuzumab</w:t>
            </w:r>
            <w:proofErr w:type="spellEnd"/>
            <w:r w:rsidRPr="00E44F3E">
              <w:rPr>
                <w:szCs w:val="18"/>
                <w:lang w:eastAsia="en-NZ"/>
              </w:rPr>
              <w:t xml:space="preserve"> need to be funded to close this gap. </w:t>
            </w:r>
          </w:p>
        </w:tc>
      </w:tr>
      <w:tr w:rsidR="00EF6173" w:rsidRPr="00E44F3E" w14:paraId="2111AA3D" w14:textId="77777777" w:rsidTr="0069375A">
        <w:trPr>
          <w:trHeight w:val="20"/>
        </w:trPr>
        <w:tc>
          <w:tcPr>
            <w:tcW w:w="0" w:type="auto"/>
            <w:shd w:val="clear" w:color="auto" w:fill="auto"/>
            <w:hideMark/>
          </w:tcPr>
          <w:p w14:paraId="7239FC6A" w14:textId="77777777" w:rsidR="00EF6173" w:rsidRPr="00E44F3E" w:rsidRDefault="00EF6173" w:rsidP="00EF6173">
            <w:pPr>
              <w:pStyle w:val="TableText"/>
              <w:keepLines/>
              <w:rPr>
                <w:szCs w:val="18"/>
                <w:lang w:eastAsia="en-NZ"/>
              </w:rPr>
            </w:pPr>
            <w:proofErr w:type="spellStart"/>
            <w:r w:rsidRPr="00E44F3E">
              <w:rPr>
                <w:szCs w:val="18"/>
                <w:lang w:eastAsia="en-NZ"/>
              </w:rPr>
              <w:t>Idelalisib</w:t>
            </w:r>
            <w:proofErr w:type="spellEnd"/>
          </w:p>
        </w:tc>
        <w:tc>
          <w:tcPr>
            <w:tcW w:w="0" w:type="auto"/>
            <w:shd w:val="clear" w:color="auto" w:fill="auto"/>
            <w:hideMark/>
          </w:tcPr>
          <w:p w14:paraId="35955BD4"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3DF0AE74" w14:textId="77777777" w:rsidR="00EF6173" w:rsidRPr="00E44F3E" w:rsidRDefault="00EF6173" w:rsidP="00EF6173">
            <w:pPr>
              <w:pStyle w:val="TableText"/>
              <w:keepLines/>
              <w:rPr>
                <w:szCs w:val="18"/>
                <w:lang w:eastAsia="en-NZ"/>
              </w:rPr>
            </w:pPr>
            <w:r w:rsidRPr="00E44F3E">
              <w:rPr>
                <w:szCs w:val="18"/>
              </w:rPr>
              <w:t>Follicular B-cell non-Hodgkin’s lymphoma</w:t>
            </w:r>
          </w:p>
        </w:tc>
        <w:tc>
          <w:tcPr>
            <w:tcW w:w="0" w:type="auto"/>
            <w:shd w:val="clear" w:color="auto" w:fill="auto"/>
            <w:hideMark/>
          </w:tcPr>
          <w:p w14:paraId="55617B32" w14:textId="77777777" w:rsidR="00EF6173" w:rsidRPr="00E44F3E" w:rsidRDefault="00EF6173" w:rsidP="00EF6173">
            <w:pPr>
              <w:pStyle w:val="TableText"/>
              <w:keepLines/>
              <w:rPr>
                <w:szCs w:val="18"/>
                <w:lang w:eastAsia="en-NZ"/>
              </w:rPr>
            </w:pPr>
            <w:r w:rsidRPr="00E44F3E">
              <w:rPr>
                <w:szCs w:val="18"/>
              </w:rPr>
              <w:t>Refractory second line</w:t>
            </w:r>
          </w:p>
        </w:tc>
        <w:tc>
          <w:tcPr>
            <w:tcW w:w="0" w:type="auto"/>
            <w:shd w:val="clear" w:color="auto" w:fill="auto"/>
            <w:hideMark/>
          </w:tcPr>
          <w:p w14:paraId="17C00BF3" w14:textId="336F0458" w:rsidR="00EF6173" w:rsidRPr="00E44F3E" w:rsidRDefault="00EF6173" w:rsidP="00EF6173">
            <w:pPr>
              <w:pStyle w:val="TableText"/>
              <w:keepLines/>
              <w:jc w:val="center"/>
              <w:rPr>
                <w:szCs w:val="18"/>
                <w:lang w:eastAsia="en-NZ"/>
              </w:rPr>
            </w:pPr>
            <w:r w:rsidRPr="00E44F3E">
              <w:rPr>
                <w:szCs w:val="18"/>
                <w:lang w:eastAsia="en-NZ"/>
              </w:rPr>
              <w:t>Delta</w:t>
            </w:r>
          </w:p>
          <w:p w14:paraId="6DAC1671" w14:textId="5DB1C898" w:rsidR="00EF6173" w:rsidRPr="00E44F3E" w:rsidRDefault="00EF6173" w:rsidP="00EF6173">
            <w:pPr>
              <w:pStyle w:val="TableText"/>
              <w:keepLines/>
              <w:jc w:val="center"/>
              <w:rPr>
                <w:szCs w:val="18"/>
                <w:lang w:eastAsia="en-NZ"/>
              </w:rPr>
            </w:pPr>
            <w:r w:rsidRPr="00E44F3E">
              <w:rPr>
                <w:szCs w:val="18"/>
                <w:lang w:eastAsia="en-NZ"/>
              </w:rPr>
              <w:t>(Gopal et al 2014)</w:t>
            </w:r>
          </w:p>
        </w:tc>
        <w:tc>
          <w:tcPr>
            <w:tcW w:w="0" w:type="auto"/>
            <w:shd w:val="clear" w:color="auto" w:fill="auto"/>
            <w:hideMark/>
          </w:tcPr>
          <w:p w14:paraId="2EBDBFCD"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7502F404" w14:textId="1A25152D"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0AB2C545" w14:textId="629A91D5" w:rsidR="00EF6173" w:rsidRPr="00E44F3E" w:rsidRDefault="00EF6173" w:rsidP="00EF6173">
            <w:pPr>
              <w:pStyle w:val="TableBullet"/>
              <w:keepLines/>
              <w:rPr>
                <w:szCs w:val="18"/>
                <w:lang w:eastAsia="en-NZ"/>
              </w:rPr>
            </w:pPr>
            <w:r w:rsidRPr="00E44F3E">
              <w:rPr>
                <w:szCs w:val="18"/>
                <w:lang w:eastAsia="en-NZ"/>
              </w:rPr>
              <w:t>Derived ESMO-MCBS:H score is based on a single</w:t>
            </w:r>
            <w:r>
              <w:rPr>
                <w:szCs w:val="18"/>
                <w:lang w:eastAsia="en-NZ"/>
              </w:rPr>
              <w:t>-</w:t>
            </w:r>
            <w:r w:rsidRPr="00E44F3E">
              <w:rPr>
                <w:szCs w:val="18"/>
                <w:lang w:eastAsia="en-NZ"/>
              </w:rPr>
              <w:t xml:space="preserve">arm study. </w:t>
            </w:r>
          </w:p>
          <w:p w14:paraId="07468E95" w14:textId="77777777" w:rsidR="00EF6173" w:rsidRPr="00E44F3E" w:rsidRDefault="00EF6173" w:rsidP="00EF6173">
            <w:pPr>
              <w:pStyle w:val="TableBullet"/>
              <w:keepLines/>
              <w:rPr>
                <w:szCs w:val="18"/>
                <w:lang w:eastAsia="en-NZ"/>
              </w:rPr>
            </w:pPr>
            <w:r w:rsidRPr="00E44F3E">
              <w:rPr>
                <w:szCs w:val="18"/>
                <w:lang w:eastAsia="en-NZ"/>
              </w:rPr>
              <w:t>The primary end point was overall response rate.</w:t>
            </w:r>
          </w:p>
          <w:p w14:paraId="38D8AB8B" w14:textId="5ED9931C" w:rsidR="00EF6173" w:rsidRPr="00E44F3E" w:rsidRDefault="00EF6173" w:rsidP="00EF6173">
            <w:pPr>
              <w:pStyle w:val="TableBullet"/>
              <w:keepLines/>
              <w:rPr>
                <w:szCs w:val="18"/>
                <w:lang w:eastAsia="en-NZ"/>
              </w:rPr>
            </w:pPr>
            <w:r w:rsidRPr="00E44F3E">
              <w:rPr>
                <w:szCs w:val="18"/>
                <w:lang w:eastAsia="en-NZ"/>
              </w:rPr>
              <w:lastRenderedPageBreak/>
              <w:t>The overall response rate was 57%</w:t>
            </w:r>
            <w:r>
              <w:rPr>
                <w:szCs w:val="18"/>
                <w:lang w:eastAsia="en-NZ"/>
              </w:rPr>
              <w:t>,</w:t>
            </w:r>
            <w:r w:rsidRPr="00E44F3E">
              <w:rPr>
                <w:szCs w:val="18"/>
                <w:lang w:eastAsia="en-NZ"/>
              </w:rPr>
              <w:t xml:space="preserve"> and median progression</w:t>
            </w:r>
            <w:r>
              <w:rPr>
                <w:szCs w:val="18"/>
                <w:lang w:eastAsia="en-NZ"/>
              </w:rPr>
              <w:t>-</w:t>
            </w:r>
            <w:r w:rsidRPr="00E44F3E">
              <w:rPr>
                <w:szCs w:val="18"/>
                <w:lang w:eastAsia="en-NZ"/>
              </w:rPr>
              <w:t xml:space="preserve">free survival was 11 months. </w:t>
            </w:r>
          </w:p>
          <w:p w14:paraId="6B39BCEC" w14:textId="77777777" w:rsidR="00EF6173" w:rsidRPr="00E44F3E" w:rsidRDefault="00EF6173" w:rsidP="00EF6173">
            <w:pPr>
              <w:pStyle w:val="TableBullet"/>
              <w:keepLines/>
              <w:rPr>
                <w:szCs w:val="18"/>
                <w:lang w:eastAsia="en-NZ"/>
              </w:rPr>
            </w:pPr>
            <w:r w:rsidRPr="00E44F3E">
              <w:rPr>
                <w:szCs w:val="18"/>
                <w:lang w:eastAsia="en-NZ"/>
              </w:rPr>
              <w:t xml:space="preserve">Quality of life was measured as a secondary endpoint, but results do not appear to have been published. </w:t>
            </w:r>
          </w:p>
        </w:tc>
      </w:tr>
      <w:tr w:rsidR="00EF6173" w:rsidRPr="00E44F3E" w14:paraId="6A2064B6" w14:textId="77777777" w:rsidTr="0069375A">
        <w:trPr>
          <w:trHeight w:val="20"/>
        </w:trPr>
        <w:tc>
          <w:tcPr>
            <w:tcW w:w="0" w:type="auto"/>
            <w:shd w:val="clear" w:color="auto" w:fill="auto"/>
            <w:hideMark/>
          </w:tcPr>
          <w:p w14:paraId="79F28341" w14:textId="77777777" w:rsidR="00EF6173" w:rsidRPr="00E44F3E" w:rsidRDefault="00EF6173" w:rsidP="00EF6173">
            <w:pPr>
              <w:pStyle w:val="TableText"/>
              <w:keepLines/>
              <w:rPr>
                <w:szCs w:val="18"/>
                <w:lang w:eastAsia="en-NZ"/>
              </w:rPr>
            </w:pPr>
            <w:r w:rsidRPr="00E44F3E">
              <w:rPr>
                <w:szCs w:val="18"/>
                <w:lang w:eastAsia="en-NZ"/>
              </w:rPr>
              <w:lastRenderedPageBreak/>
              <w:t>Lenalidomide</w:t>
            </w:r>
          </w:p>
        </w:tc>
        <w:tc>
          <w:tcPr>
            <w:tcW w:w="0" w:type="auto"/>
            <w:shd w:val="clear" w:color="auto" w:fill="auto"/>
            <w:hideMark/>
          </w:tcPr>
          <w:p w14:paraId="67A25663" w14:textId="77777777" w:rsidR="00EF6173" w:rsidRPr="00E44F3E" w:rsidRDefault="00EF6173" w:rsidP="00EF6173">
            <w:pPr>
              <w:pStyle w:val="TableText"/>
              <w:keepLines/>
              <w:rPr>
                <w:szCs w:val="18"/>
                <w:lang w:eastAsia="en-NZ"/>
              </w:rPr>
            </w:pPr>
            <w:r w:rsidRPr="00E44F3E">
              <w:rPr>
                <w:szCs w:val="18"/>
                <w:lang w:eastAsia="en-NZ"/>
              </w:rPr>
              <w:t>Not specified</w:t>
            </w:r>
          </w:p>
        </w:tc>
        <w:tc>
          <w:tcPr>
            <w:tcW w:w="0" w:type="auto"/>
            <w:shd w:val="clear" w:color="auto" w:fill="auto"/>
            <w:hideMark/>
          </w:tcPr>
          <w:p w14:paraId="59D904E1" w14:textId="77777777" w:rsidR="00EF6173" w:rsidRPr="00E44F3E" w:rsidRDefault="00EF6173" w:rsidP="00EF6173">
            <w:pPr>
              <w:pStyle w:val="TableText"/>
              <w:keepLines/>
              <w:rPr>
                <w:szCs w:val="18"/>
                <w:lang w:eastAsia="en-NZ"/>
              </w:rPr>
            </w:pPr>
            <w:r w:rsidRPr="00E44F3E">
              <w:rPr>
                <w:szCs w:val="18"/>
                <w:lang w:eastAsia="en-NZ"/>
              </w:rPr>
              <w:t xml:space="preserve">Other </w:t>
            </w:r>
          </w:p>
        </w:tc>
        <w:tc>
          <w:tcPr>
            <w:tcW w:w="0" w:type="auto"/>
            <w:shd w:val="clear" w:color="auto" w:fill="auto"/>
            <w:hideMark/>
          </w:tcPr>
          <w:p w14:paraId="759D21AC" w14:textId="466720CF" w:rsidR="00EF6173" w:rsidRPr="00E44F3E" w:rsidRDefault="00EF6173" w:rsidP="00EF6173">
            <w:pPr>
              <w:pStyle w:val="TableText"/>
              <w:keepLines/>
              <w:rPr>
                <w:szCs w:val="18"/>
                <w:lang w:eastAsia="en-NZ"/>
              </w:rPr>
            </w:pPr>
            <w:r w:rsidRPr="00E44F3E">
              <w:rPr>
                <w:szCs w:val="18"/>
                <w:lang w:eastAsia="en-NZ"/>
              </w:rPr>
              <w:t>Myelodysplastic syndrome with del</w:t>
            </w:r>
            <w:r>
              <w:rPr>
                <w:szCs w:val="18"/>
                <w:lang w:eastAsia="en-NZ"/>
              </w:rPr>
              <w:t>(</w:t>
            </w:r>
            <w:r w:rsidRPr="00E44F3E">
              <w:rPr>
                <w:szCs w:val="18"/>
                <w:lang w:eastAsia="en-NZ"/>
              </w:rPr>
              <w:t>15q</w:t>
            </w:r>
            <w:r>
              <w:rPr>
                <w:szCs w:val="18"/>
                <w:lang w:eastAsia="en-NZ"/>
              </w:rPr>
              <w:t>)</w:t>
            </w:r>
          </w:p>
        </w:tc>
        <w:tc>
          <w:tcPr>
            <w:tcW w:w="0" w:type="auto"/>
            <w:shd w:val="clear" w:color="auto" w:fill="auto"/>
            <w:hideMark/>
          </w:tcPr>
          <w:p w14:paraId="2821BFF1" w14:textId="77777777" w:rsidR="00EF6173" w:rsidRPr="00E44F3E" w:rsidRDefault="00EF6173" w:rsidP="00EF6173">
            <w:pPr>
              <w:pStyle w:val="TableText"/>
              <w:keepLines/>
              <w:jc w:val="center"/>
              <w:rPr>
                <w:szCs w:val="18"/>
                <w:lang w:eastAsia="en-NZ"/>
              </w:rPr>
            </w:pPr>
            <w:r w:rsidRPr="00E44F3E">
              <w:rPr>
                <w:szCs w:val="18"/>
                <w:lang w:eastAsia="en-NZ"/>
              </w:rPr>
              <w:t>MDS-004</w:t>
            </w:r>
          </w:p>
          <w:p w14:paraId="2C625366" w14:textId="0CDD8228"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Fenaux</w:t>
            </w:r>
            <w:proofErr w:type="spellEnd"/>
            <w:r w:rsidRPr="00E44F3E">
              <w:rPr>
                <w:szCs w:val="18"/>
                <w:lang w:eastAsia="en-NZ"/>
              </w:rPr>
              <w:t xml:space="preserve"> et al 2011)</w:t>
            </w:r>
          </w:p>
        </w:tc>
        <w:tc>
          <w:tcPr>
            <w:tcW w:w="0" w:type="auto"/>
            <w:shd w:val="clear" w:color="auto" w:fill="auto"/>
            <w:hideMark/>
          </w:tcPr>
          <w:p w14:paraId="74B11899"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7F832122" w14:textId="6C6E3246" w:rsidR="00EF6173" w:rsidRPr="00E44F3E" w:rsidRDefault="00EF6173" w:rsidP="00EF6173">
            <w:pPr>
              <w:pStyle w:val="TableText"/>
              <w:keepLines/>
              <w:jc w:val="center"/>
              <w:rPr>
                <w:szCs w:val="18"/>
                <w:lang w:eastAsia="en-NZ"/>
              </w:rPr>
            </w:pPr>
            <w:r>
              <w:rPr>
                <w:szCs w:val="18"/>
                <w:lang w:eastAsia="en-NZ"/>
              </w:rPr>
              <w:t>(2c)</w:t>
            </w:r>
          </w:p>
        </w:tc>
        <w:tc>
          <w:tcPr>
            <w:tcW w:w="0" w:type="auto"/>
            <w:shd w:val="clear" w:color="auto" w:fill="auto"/>
          </w:tcPr>
          <w:p w14:paraId="27352FB1" w14:textId="7B3CF149" w:rsidR="00EF6173" w:rsidRDefault="00EF6173" w:rsidP="00EF6173">
            <w:pPr>
              <w:pStyle w:val="TableBullet"/>
              <w:keepLines/>
              <w:rPr>
                <w:szCs w:val="18"/>
                <w:lang w:eastAsia="en-NZ"/>
              </w:rPr>
            </w:pPr>
            <w:r w:rsidRPr="006030A4">
              <w:rPr>
                <w:szCs w:val="18"/>
                <w:lang w:eastAsia="en-NZ"/>
              </w:rPr>
              <w:t>D</w:t>
            </w:r>
            <w:r>
              <w:rPr>
                <w:szCs w:val="18"/>
                <w:lang w:eastAsia="en-NZ"/>
              </w:rPr>
              <w:t xml:space="preserve">erived ESMO-MCBS:H score is based on a placebo compactor so reflects </w:t>
            </w:r>
            <w:r w:rsidRPr="00E44F3E">
              <w:rPr>
                <w:szCs w:val="18"/>
                <w:lang w:eastAsia="en-NZ"/>
              </w:rPr>
              <w:t xml:space="preserve">the gap between Australia and </w:t>
            </w:r>
            <w:r>
              <w:rPr>
                <w:szCs w:val="18"/>
              </w:rPr>
              <w:t>Aotearoa New Zealand</w:t>
            </w:r>
            <w:r w:rsidRPr="00E44F3E">
              <w:rPr>
                <w:szCs w:val="18"/>
                <w:lang w:eastAsia="en-NZ"/>
              </w:rPr>
              <w:t xml:space="preserve">. </w:t>
            </w:r>
          </w:p>
          <w:p w14:paraId="290C8C70" w14:textId="77777777" w:rsidR="00EF6173" w:rsidRDefault="00EF6173" w:rsidP="00EF6173">
            <w:pPr>
              <w:pStyle w:val="TableBullet"/>
              <w:keepLines/>
              <w:rPr>
                <w:szCs w:val="18"/>
                <w:lang w:eastAsia="en-NZ"/>
              </w:rPr>
            </w:pPr>
            <w:r>
              <w:rPr>
                <w:szCs w:val="18"/>
                <w:lang w:eastAsia="en-NZ"/>
              </w:rPr>
              <w:t xml:space="preserve">The primary end point was red blood cell </w:t>
            </w:r>
            <w:r w:rsidRPr="00484FD4">
              <w:rPr>
                <w:szCs w:val="18"/>
                <w:lang w:eastAsia="en-NZ"/>
              </w:rPr>
              <w:t>transfusion independence for ≥ 26 weeks</w:t>
            </w:r>
            <w:r>
              <w:rPr>
                <w:szCs w:val="18"/>
                <w:lang w:eastAsia="en-NZ"/>
              </w:rPr>
              <w:t xml:space="preserve">. </w:t>
            </w:r>
          </w:p>
          <w:p w14:paraId="645BDA74" w14:textId="77777777" w:rsidR="00EF6173" w:rsidRDefault="00EF6173" w:rsidP="00EF6173">
            <w:pPr>
              <w:pStyle w:val="TableBullet"/>
              <w:keepLines/>
              <w:rPr>
                <w:szCs w:val="18"/>
                <w:lang w:eastAsia="en-NZ"/>
              </w:rPr>
            </w:pPr>
            <w:r>
              <w:rPr>
                <w:szCs w:val="18"/>
                <w:lang w:eastAsia="en-NZ"/>
              </w:rPr>
              <w:t xml:space="preserve">Red blood cell </w:t>
            </w:r>
            <w:r w:rsidRPr="00484FD4">
              <w:rPr>
                <w:szCs w:val="18"/>
                <w:lang w:eastAsia="en-NZ"/>
              </w:rPr>
              <w:t>transfusion independence for ≥ 26 weeks</w:t>
            </w:r>
            <w:r>
              <w:rPr>
                <w:szCs w:val="18"/>
                <w:lang w:eastAsia="en-NZ"/>
              </w:rPr>
              <w:t xml:space="preserve"> was achieved by 56% of patients with lenalidomide 10mg, 42.6% of patients with lenalidomide 5mg vs 5.9% with placebo </w:t>
            </w:r>
          </w:p>
          <w:p w14:paraId="2EE6DFB1" w14:textId="6A3C7FCE" w:rsidR="00EF6173" w:rsidRPr="00D31FB1" w:rsidRDefault="00EF6173" w:rsidP="00EF6173">
            <w:pPr>
              <w:pStyle w:val="TableBullet"/>
              <w:keepLines/>
              <w:rPr>
                <w:szCs w:val="18"/>
                <w:lang w:eastAsia="en-NZ"/>
              </w:rPr>
            </w:pPr>
            <w:r w:rsidRPr="00E44F3E">
              <w:rPr>
                <w:szCs w:val="18"/>
                <w:lang w:eastAsia="en-NZ"/>
              </w:rPr>
              <w:t xml:space="preserve">Quality of life was measured </w:t>
            </w:r>
            <w:r>
              <w:rPr>
                <w:szCs w:val="18"/>
                <w:lang w:eastAsia="en-NZ"/>
              </w:rPr>
              <w:t xml:space="preserve">and showed improvement and fewer grade 3-4 toxicities that effect patient well-being were demonstrated. </w:t>
            </w:r>
          </w:p>
        </w:tc>
      </w:tr>
      <w:tr w:rsidR="00EF6173" w:rsidRPr="00E44F3E" w14:paraId="726D9DDD" w14:textId="77777777" w:rsidTr="0069375A">
        <w:trPr>
          <w:trHeight w:val="20"/>
        </w:trPr>
        <w:tc>
          <w:tcPr>
            <w:tcW w:w="0" w:type="auto"/>
            <w:shd w:val="clear" w:color="auto" w:fill="auto"/>
            <w:hideMark/>
          </w:tcPr>
          <w:p w14:paraId="77C48B08" w14:textId="77777777" w:rsidR="00EF6173" w:rsidRPr="00E44F3E" w:rsidRDefault="00EF6173" w:rsidP="00EF6173">
            <w:pPr>
              <w:pStyle w:val="TableText"/>
              <w:keepLines/>
              <w:rPr>
                <w:szCs w:val="18"/>
                <w:lang w:eastAsia="en-NZ"/>
              </w:rPr>
            </w:pPr>
            <w:r w:rsidRPr="00E44F3E">
              <w:rPr>
                <w:szCs w:val="18"/>
                <w:lang w:eastAsia="en-NZ"/>
              </w:rPr>
              <w:lastRenderedPageBreak/>
              <w:t>Obinutuzumab</w:t>
            </w:r>
          </w:p>
        </w:tc>
        <w:tc>
          <w:tcPr>
            <w:tcW w:w="0" w:type="auto"/>
            <w:shd w:val="clear" w:color="auto" w:fill="auto"/>
            <w:hideMark/>
          </w:tcPr>
          <w:p w14:paraId="4A16A7D8" w14:textId="77777777" w:rsidR="00EF6173" w:rsidRPr="00E44F3E" w:rsidRDefault="00EF6173" w:rsidP="00EF6173">
            <w:pPr>
              <w:pStyle w:val="TableText"/>
              <w:keepLines/>
              <w:rPr>
                <w:szCs w:val="18"/>
                <w:lang w:eastAsia="en-NZ"/>
              </w:rPr>
            </w:pPr>
            <w:r w:rsidRPr="00E44F3E">
              <w:rPr>
                <w:szCs w:val="18"/>
                <w:lang w:eastAsia="en-NZ"/>
              </w:rPr>
              <w:t>Acalabrutinib*</w:t>
            </w:r>
          </w:p>
        </w:tc>
        <w:tc>
          <w:tcPr>
            <w:tcW w:w="0" w:type="auto"/>
            <w:shd w:val="clear" w:color="auto" w:fill="auto"/>
            <w:hideMark/>
          </w:tcPr>
          <w:p w14:paraId="6231DFB6" w14:textId="77777777" w:rsidR="00EF6173" w:rsidRPr="00E44F3E" w:rsidRDefault="00EF6173" w:rsidP="00EF6173">
            <w:pPr>
              <w:pStyle w:val="TableText"/>
              <w:keepLines/>
              <w:rPr>
                <w:szCs w:val="18"/>
                <w:lang w:eastAsia="en-NZ"/>
              </w:rPr>
            </w:pPr>
            <w:r w:rsidRPr="00E44F3E">
              <w:rPr>
                <w:szCs w:val="18"/>
                <w:lang w:eastAsia="en-NZ"/>
              </w:rPr>
              <w:t>Chronic lymphocytic leukaemia (CLL) or small lymphocytic lymphoma (SLL)</w:t>
            </w:r>
          </w:p>
        </w:tc>
        <w:tc>
          <w:tcPr>
            <w:tcW w:w="0" w:type="auto"/>
            <w:shd w:val="clear" w:color="auto" w:fill="auto"/>
            <w:hideMark/>
          </w:tcPr>
          <w:p w14:paraId="2E602595" w14:textId="0B2BA96F" w:rsidR="00EF6173" w:rsidRPr="00E44F3E" w:rsidRDefault="00EF6173" w:rsidP="00EF6173">
            <w:pPr>
              <w:pStyle w:val="TableText"/>
              <w:keepLines/>
              <w:rPr>
                <w:szCs w:val="18"/>
                <w:lang w:eastAsia="en-NZ"/>
              </w:rPr>
            </w:pPr>
            <w:r w:rsidRPr="00E44F3E">
              <w:rPr>
                <w:szCs w:val="18"/>
                <w:lang w:eastAsia="en-NZ"/>
              </w:rPr>
              <w:t>Untreated patients or those who have developed an intolerance resulting in withdrawal from another first</w:t>
            </w:r>
            <w:r>
              <w:rPr>
                <w:szCs w:val="18"/>
                <w:lang w:eastAsia="en-NZ"/>
              </w:rPr>
              <w:t>-</w:t>
            </w:r>
            <w:r w:rsidRPr="00E44F3E">
              <w:rPr>
                <w:szCs w:val="18"/>
                <w:lang w:eastAsia="en-NZ"/>
              </w:rPr>
              <w:t xml:space="preserve">line agent </w:t>
            </w:r>
          </w:p>
        </w:tc>
        <w:tc>
          <w:tcPr>
            <w:tcW w:w="0" w:type="auto"/>
            <w:shd w:val="clear" w:color="auto" w:fill="auto"/>
            <w:hideMark/>
          </w:tcPr>
          <w:p w14:paraId="398E7E26" w14:textId="77777777" w:rsidR="00EF6173" w:rsidRPr="00E44F3E" w:rsidRDefault="00EF6173" w:rsidP="00EF6173">
            <w:pPr>
              <w:pStyle w:val="TableText"/>
              <w:keepLines/>
              <w:jc w:val="center"/>
              <w:rPr>
                <w:szCs w:val="18"/>
                <w:lang w:eastAsia="en-NZ"/>
              </w:rPr>
            </w:pPr>
            <w:r w:rsidRPr="00E44F3E">
              <w:rPr>
                <w:szCs w:val="18"/>
                <w:lang w:eastAsia="en-NZ"/>
              </w:rPr>
              <w:t>ELEVATE-TN</w:t>
            </w:r>
          </w:p>
          <w:p w14:paraId="18BB497C" w14:textId="3ABF1DE6" w:rsidR="00EF6173" w:rsidRPr="00E44F3E" w:rsidRDefault="00EF6173" w:rsidP="00EF6173">
            <w:pPr>
              <w:pStyle w:val="TableText"/>
              <w:keepLines/>
              <w:jc w:val="center"/>
              <w:rPr>
                <w:szCs w:val="18"/>
                <w:lang w:eastAsia="en-NZ"/>
              </w:rPr>
            </w:pPr>
            <w:r w:rsidRPr="00E44F3E">
              <w:rPr>
                <w:szCs w:val="18"/>
                <w:lang w:eastAsia="en-NZ"/>
              </w:rPr>
              <w:t>(Sharman et al 2020; Sharman et al 2023)</w:t>
            </w:r>
          </w:p>
        </w:tc>
        <w:tc>
          <w:tcPr>
            <w:tcW w:w="0" w:type="auto"/>
            <w:shd w:val="clear" w:color="auto" w:fill="auto"/>
            <w:hideMark/>
          </w:tcPr>
          <w:p w14:paraId="31B57179"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4389638C" w14:textId="3A5D43FE"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4D414AD0" w14:textId="65F4A9B3" w:rsidR="00EF6173" w:rsidRPr="00E44F3E" w:rsidRDefault="00EF6173" w:rsidP="00EF6173">
            <w:pPr>
              <w:pStyle w:val="TableBullet"/>
              <w:keepLines/>
              <w:rPr>
                <w:szCs w:val="18"/>
                <w:lang w:eastAsia="en-NZ"/>
              </w:rPr>
            </w:pPr>
            <w:r w:rsidRPr="00E44F3E">
              <w:rPr>
                <w:szCs w:val="18"/>
                <w:lang w:eastAsia="en-NZ"/>
              </w:rPr>
              <w:t>Derived ESMO-MCBS:H score is based on a comparator (</w:t>
            </w:r>
            <w:proofErr w:type="spellStart"/>
            <w:r w:rsidRPr="00E44F3E">
              <w:rPr>
                <w:szCs w:val="18"/>
                <w:lang w:eastAsia="en-NZ"/>
              </w:rPr>
              <w:t>obinutuzumab</w:t>
            </w:r>
            <w:proofErr w:type="spellEnd"/>
            <w:r w:rsidRPr="00E44F3E">
              <w:rPr>
                <w:szCs w:val="18"/>
                <w:lang w:eastAsia="en-NZ"/>
              </w:rPr>
              <w:t xml:space="preserve"> with chlorambucil)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5CDFE36E" w14:textId="3FE5D2EC" w:rsidR="00EF6173" w:rsidRPr="00E44F3E" w:rsidRDefault="00EF6173" w:rsidP="00EF6173">
            <w:pPr>
              <w:pStyle w:val="TableBullet"/>
              <w:keepLines/>
              <w:rPr>
                <w:szCs w:val="18"/>
                <w:lang w:eastAsia="en-NZ"/>
              </w:rPr>
            </w:pPr>
            <w:r w:rsidRPr="00E44F3E">
              <w:rPr>
                <w:szCs w:val="18"/>
                <w:lang w:eastAsia="en-NZ"/>
              </w:rPr>
              <w:t>Primary end point was progression-free survival</w:t>
            </w:r>
            <w:r>
              <w:rPr>
                <w:szCs w:val="18"/>
                <w:lang w:eastAsia="en-NZ"/>
              </w:rPr>
              <w:t>.</w:t>
            </w:r>
            <w:r w:rsidRPr="00E44F3E">
              <w:rPr>
                <w:szCs w:val="18"/>
                <w:lang w:eastAsia="en-NZ"/>
              </w:rPr>
              <w:t xml:space="preserve"> </w:t>
            </w:r>
            <w:r>
              <w:rPr>
                <w:szCs w:val="18"/>
                <w:lang w:eastAsia="en-NZ"/>
              </w:rPr>
              <w:t>M</w:t>
            </w:r>
            <w:r w:rsidRPr="00E44F3E">
              <w:rPr>
                <w:szCs w:val="18"/>
                <w:lang w:eastAsia="en-NZ"/>
              </w:rPr>
              <w:t xml:space="preserve">edian progression-free survival for acalabrutinib </w:t>
            </w:r>
            <w:r>
              <w:rPr>
                <w:szCs w:val="18"/>
                <w:lang w:eastAsia="en-NZ"/>
              </w:rPr>
              <w:t xml:space="preserve">was </w:t>
            </w:r>
            <w:r w:rsidRPr="00E44F3E">
              <w:rPr>
                <w:szCs w:val="18"/>
                <w:lang w:eastAsia="en-NZ"/>
              </w:rPr>
              <w:t xml:space="preserve">not met after 28 months </w:t>
            </w:r>
            <w:r>
              <w:rPr>
                <w:szCs w:val="18"/>
                <w:lang w:eastAsia="en-NZ"/>
              </w:rPr>
              <w:t>vs</w:t>
            </w:r>
            <w:r w:rsidRPr="00E44F3E">
              <w:rPr>
                <w:szCs w:val="18"/>
                <w:lang w:eastAsia="en-NZ"/>
              </w:rPr>
              <w:t xml:space="preserve"> 23 months in the comparator arm. Estimated 24-month progression-free survival </w:t>
            </w:r>
            <w:r>
              <w:rPr>
                <w:szCs w:val="18"/>
                <w:lang w:eastAsia="en-NZ"/>
              </w:rPr>
              <w:t xml:space="preserve">rate was </w:t>
            </w:r>
            <w:r w:rsidRPr="00E44F3E">
              <w:rPr>
                <w:szCs w:val="18"/>
                <w:lang w:eastAsia="en-NZ"/>
              </w:rPr>
              <w:t xml:space="preserve">93% (acalabrutinib) </w:t>
            </w:r>
            <w:r w:rsidRPr="0053055E">
              <w:rPr>
                <w:szCs w:val="18"/>
                <w:lang w:eastAsia="en-NZ"/>
              </w:rPr>
              <w:t>vs</w:t>
            </w:r>
            <w:r w:rsidRPr="00E44F3E">
              <w:rPr>
                <w:szCs w:val="18"/>
                <w:lang w:eastAsia="en-NZ"/>
              </w:rPr>
              <w:t xml:space="preserve"> 47% in the comparator. </w:t>
            </w:r>
          </w:p>
          <w:p w14:paraId="1424D2F2" w14:textId="77777777" w:rsidR="00EF6173" w:rsidRPr="00E44F3E" w:rsidRDefault="00EF6173" w:rsidP="00EF6173">
            <w:pPr>
              <w:pStyle w:val="TableBullet"/>
              <w:keepLines/>
              <w:rPr>
                <w:szCs w:val="18"/>
                <w:lang w:eastAsia="en-NZ"/>
              </w:rPr>
            </w:pPr>
            <w:r w:rsidRPr="00E44F3E">
              <w:rPr>
                <w:szCs w:val="18"/>
                <w:lang w:eastAsia="en-NZ"/>
              </w:rPr>
              <w:t xml:space="preserve">Quality of life measured as exploratory endpoint only. </w:t>
            </w:r>
          </w:p>
          <w:p w14:paraId="63BD5B8A" w14:textId="77777777" w:rsidR="00EF6173" w:rsidRPr="00E44F3E" w:rsidRDefault="00EF6173" w:rsidP="00EF6173">
            <w:pPr>
              <w:pStyle w:val="TableBullet"/>
              <w:keepLines/>
              <w:rPr>
                <w:szCs w:val="18"/>
                <w:lang w:eastAsia="en-NZ"/>
              </w:rPr>
            </w:pPr>
            <w:r w:rsidRPr="00E44F3E">
              <w:rPr>
                <w:szCs w:val="18"/>
                <w:lang w:eastAsia="en-NZ"/>
              </w:rPr>
              <w:t xml:space="preserve">Both acalabrutinib and </w:t>
            </w:r>
            <w:proofErr w:type="spellStart"/>
            <w:r w:rsidRPr="00E44F3E">
              <w:rPr>
                <w:szCs w:val="18"/>
                <w:lang w:eastAsia="en-NZ"/>
              </w:rPr>
              <w:t>obinutuzumab</w:t>
            </w:r>
            <w:proofErr w:type="spellEnd"/>
            <w:r w:rsidRPr="00E44F3E">
              <w:rPr>
                <w:szCs w:val="18"/>
                <w:lang w:eastAsia="en-NZ"/>
              </w:rPr>
              <w:t xml:space="preserve"> would need to be funded for this indication to close this gap. </w:t>
            </w:r>
          </w:p>
        </w:tc>
      </w:tr>
      <w:tr w:rsidR="00EF6173" w:rsidRPr="00E44F3E" w14:paraId="608EDBC8" w14:textId="77777777" w:rsidTr="0069375A">
        <w:trPr>
          <w:trHeight w:val="20"/>
        </w:trPr>
        <w:tc>
          <w:tcPr>
            <w:tcW w:w="0" w:type="auto"/>
            <w:shd w:val="clear" w:color="auto" w:fill="auto"/>
            <w:hideMark/>
          </w:tcPr>
          <w:p w14:paraId="724E143A" w14:textId="77777777" w:rsidR="00EF6173" w:rsidRPr="00E44F3E" w:rsidRDefault="00EF6173" w:rsidP="00EF6173">
            <w:pPr>
              <w:pStyle w:val="TableText"/>
              <w:keepLines/>
              <w:rPr>
                <w:szCs w:val="18"/>
                <w:lang w:eastAsia="en-NZ"/>
              </w:rPr>
            </w:pPr>
            <w:r w:rsidRPr="00E44F3E">
              <w:rPr>
                <w:szCs w:val="18"/>
                <w:lang w:eastAsia="en-NZ"/>
              </w:rPr>
              <w:lastRenderedPageBreak/>
              <w:t>Obinutuzumab*</w:t>
            </w:r>
          </w:p>
        </w:tc>
        <w:tc>
          <w:tcPr>
            <w:tcW w:w="0" w:type="auto"/>
            <w:shd w:val="clear" w:color="auto" w:fill="auto"/>
            <w:hideMark/>
          </w:tcPr>
          <w:p w14:paraId="386AF978" w14:textId="77777777" w:rsidR="00EF6173" w:rsidRPr="00E44F3E" w:rsidRDefault="00EF6173" w:rsidP="00EF6173">
            <w:pPr>
              <w:pStyle w:val="TableText"/>
              <w:keepLines/>
              <w:rPr>
                <w:szCs w:val="18"/>
                <w:lang w:eastAsia="en-NZ"/>
              </w:rPr>
            </w:pPr>
            <w:proofErr w:type="spellStart"/>
            <w:r w:rsidRPr="00E44F3E">
              <w:rPr>
                <w:szCs w:val="18"/>
                <w:lang w:eastAsia="en-NZ"/>
              </w:rPr>
              <w:t>Venetoclax</w:t>
            </w:r>
            <w:proofErr w:type="spellEnd"/>
            <w:r w:rsidRPr="00E44F3E">
              <w:rPr>
                <w:szCs w:val="18"/>
                <w:lang w:eastAsia="en-NZ"/>
              </w:rPr>
              <w:t>*</w:t>
            </w:r>
          </w:p>
        </w:tc>
        <w:tc>
          <w:tcPr>
            <w:tcW w:w="0" w:type="auto"/>
            <w:shd w:val="clear" w:color="auto" w:fill="auto"/>
            <w:hideMark/>
          </w:tcPr>
          <w:p w14:paraId="7AF148EE" w14:textId="77777777" w:rsidR="00EF6173" w:rsidRPr="00E44F3E" w:rsidRDefault="00EF6173" w:rsidP="00EF6173">
            <w:pPr>
              <w:pStyle w:val="TableText"/>
              <w:keepLines/>
              <w:rPr>
                <w:szCs w:val="18"/>
                <w:lang w:eastAsia="en-NZ"/>
              </w:rPr>
            </w:pPr>
            <w:r w:rsidRPr="00E44F3E">
              <w:rPr>
                <w:szCs w:val="18"/>
                <w:lang w:eastAsia="en-NZ"/>
              </w:rPr>
              <w:t>Chronic lymphocytic leukaemia (CLL) or small lymphocytic lymphoma (SLL)</w:t>
            </w:r>
          </w:p>
        </w:tc>
        <w:tc>
          <w:tcPr>
            <w:tcW w:w="0" w:type="auto"/>
            <w:shd w:val="clear" w:color="auto" w:fill="auto"/>
            <w:hideMark/>
          </w:tcPr>
          <w:p w14:paraId="1587D896" w14:textId="77777777" w:rsidR="00EF6173" w:rsidRPr="00E44F3E" w:rsidRDefault="00EF6173" w:rsidP="00EF6173">
            <w:pPr>
              <w:pStyle w:val="TableText"/>
              <w:keepLines/>
              <w:rPr>
                <w:szCs w:val="18"/>
                <w:lang w:eastAsia="en-NZ"/>
              </w:rPr>
            </w:pPr>
            <w:r w:rsidRPr="00E44F3E">
              <w:rPr>
                <w:szCs w:val="18"/>
                <w:lang w:eastAsia="en-NZ"/>
              </w:rPr>
              <w:t xml:space="preserve">Previously untreated disease in combination with </w:t>
            </w:r>
            <w:proofErr w:type="spellStart"/>
            <w:r w:rsidRPr="00E44F3E">
              <w:rPr>
                <w:szCs w:val="18"/>
                <w:lang w:eastAsia="en-NZ"/>
              </w:rPr>
              <w:t>venetoclax</w:t>
            </w:r>
            <w:proofErr w:type="spellEnd"/>
            <w:r w:rsidRPr="00E44F3E">
              <w:rPr>
                <w:szCs w:val="18"/>
                <w:lang w:eastAsia="en-NZ"/>
              </w:rPr>
              <w:t xml:space="preserve"> </w:t>
            </w:r>
          </w:p>
        </w:tc>
        <w:tc>
          <w:tcPr>
            <w:tcW w:w="0" w:type="auto"/>
            <w:shd w:val="clear" w:color="auto" w:fill="auto"/>
            <w:hideMark/>
          </w:tcPr>
          <w:p w14:paraId="178CAB5E" w14:textId="77777777" w:rsidR="00EF6173" w:rsidRPr="00E44F3E" w:rsidRDefault="00EF6173" w:rsidP="00EF6173">
            <w:pPr>
              <w:pStyle w:val="TableText"/>
              <w:keepLines/>
              <w:jc w:val="center"/>
              <w:rPr>
                <w:szCs w:val="18"/>
                <w:lang w:eastAsia="en-NZ"/>
              </w:rPr>
            </w:pPr>
            <w:r w:rsidRPr="00E44F3E">
              <w:rPr>
                <w:szCs w:val="18"/>
                <w:lang w:eastAsia="en-NZ"/>
              </w:rPr>
              <w:t>CLL14</w:t>
            </w:r>
          </w:p>
          <w:p w14:paraId="59A0BCB8" w14:textId="48416E9B" w:rsidR="00EF6173" w:rsidRPr="00E44F3E" w:rsidRDefault="00EF6173" w:rsidP="00EF6173">
            <w:pPr>
              <w:pStyle w:val="TableText"/>
              <w:keepLines/>
              <w:jc w:val="center"/>
              <w:rPr>
                <w:szCs w:val="18"/>
                <w:lang w:eastAsia="en-NZ"/>
              </w:rPr>
            </w:pPr>
            <w:r w:rsidRPr="00E44F3E">
              <w:rPr>
                <w:szCs w:val="18"/>
                <w:lang w:eastAsia="en-NZ"/>
              </w:rPr>
              <w:t>(Al-</w:t>
            </w:r>
            <w:proofErr w:type="spellStart"/>
            <w:r w:rsidRPr="00E44F3E">
              <w:rPr>
                <w:szCs w:val="18"/>
                <w:lang w:eastAsia="en-NZ"/>
              </w:rPr>
              <w:t>Sawaf</w:t>
            </w:r>
            <w:proofErr w:type="spellEnd"/>
            <w:r w:rsidRPr="00E44F3E">
              <w:rPr>
                <w:szCs w:val="18"/>
                <w:lang w:eastAsia="en-NZ"/>
              </w:rPr>
              <w:t xml:space="preserve"> et al 2020; Fischer et al 2019)</w:t>
            </w:r>
          </w:p>
        </w:tc>
        <w:tc>
          <w:tcPr>
            <w:tcW w:w="0" w:type="auto"/>
            <w:shd w:val="clear" w:color="auto" w:fill="auto"/>
            <w:hideMark/>
          </w:tcPr>
          <w:p w14:paraId="5D3A9CD9"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492B28BC" w14:textId="2DF8A3B0"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3716C896" w14:textId="404EE157" w:rsidR="00EF6173" w:rsidRPr="00E44F3E" w:rsidRDefault="00EF6173" w:rsidP="00EF6173">
            <w:pPr>
              <w:pStyle w:val="TableBullet"/>
              <w:keepLines/>
              <w:rPr>
                <w:szCs w:val="18"/>
                <w:lang w:eastAsia="en-NZ"/>
              </w:rPr>
            </w:pPr>
            <w:r w:rsidRPr="00E44F3E">
              <w:rPr>
                <w:szCs w:val="18"/>
                <w:lang w:eastAsia="en-NZ"/>
              </w:rPr>
              <w:t>Derived ESMO-MCBS:H score is based on a comparator (</w:t>
            </w:r>
            <w:proofErr w:type="spellStart"/>
            <w:r w:rsidRPr="00E44F3E">
              <w:rPr>
                <w:szCs w:val="18"/>
                <w:lang w:eastAsia="en-NZ"/>
              </w:rPr>
              <w:t>obinutuzumab</w:t>
            </w:r>
            <w:proofErr w:type="spellEnd"/>
            <w:r w:rsidRPr="00E44F3E">
              <w:rPr>
                <w:szCs w:val="18"/>
                <w:lang w:eastAsia="en-NZ"/>
              </w:rPr>
              <w:t xml:space="preserve"> with chlorambucil)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0019F538" w14:textId="61ADE4D4" w:rsidR="00EF6173" w:rsidRPr="00E44F3E" w:rsidRDefault="00EF6173" w:rsidP="00EF6173">
            <w:pPr>
              <w:pStyle w:val="TableBullet"/>
              <w:keepLines/>
              <w:rPr>
                <w:szCs w:val="18"/>
                <w:lang w:eastAsia="en-NZ"/>
              </w:rPr>
            </w:pPr>
            <w:r w:rsidRPr="00E44F3E">
              <w:rPr>
                <w:szCs w:val="18"/>
                <w:lang w:eastAsia="en-NZ"/>
              </w:rPr>
              <w:t xml:space="preserve">Primary end point was progression-free survival – median progression-free survival for </w:t>
            </w:r>
            <w:proofErr w:type="spellStart"/>
            <w:r w:rsidRPr="00E44F3E">
              <w:rPr>
                <w:szCs w:val="18"/>
                <w:lang w:eastAsia="en-NZ"/>
              </w:rPr>
              <w:t>obinutuzumab</w:t>
            </w:r>
            <w:proofErr w:type="spellEnd"/>
            <w:r w:rsidRPr="00E44F3E">
              <w:rPr>
                <w:szCs w:val="18"/>
                <w:lang w:eastAsia="en-NZ"/>
              </w:rPr>
              <w:t xml:space="preserve"> with </w:t>
            </w:r>
            <w:proofErr w:type="spellStart"/>
            <w:r w:rsidRPr="00E44F3E">
              <w:rPr>
                <w:szCs w:val="18"/>
                <w:lang w:eastAsia="en-NZ"/>
              </w:rPr>
              <w:t>venetoclax</w:t>
            </w:r>
            <w:proofErr w:type="spellEnd"/>
            <w:r w:rsidRPr="00E44F3E">
              <w:rPr>
                <w:szCs w:val="18"/>
                <w:lang w:eastAsia="en-NZ"/>
              </w:rPr>
              <w:t xml:space="preserve"> was not met after 40 months </w:t>
            </w:r>
            <w:r>
              <w:rPr>
                <w:szCs w:val="18"/>
                <w:lang w:eastAsia="en-NZ"/>
              </w:rPr>
              <w:t>vs</w:t>
            </w:r>
            <w:r w:rsidRPr="00E44F3E">
              <w:rPr>
                <w:szCs w:val="18"/>
                <w:lang w:eastAsia="en-NZ"/>
              </w:rPr>
              <w:t xml:space="preserve"> 36 months in the comparator arm. Estimated 3-year survival was 82% vs 50% in the comparator. </w:t>
            </w:r>
          </w:p>
          <w:p w14:paraId="7EE106D5" w14:textId="77777777" w:rsidR="00EF6173" w:rsidRPr="00E44F3E" w:rsidRDefault="00EF6173" w:rsidP="00EF6173">
            <w:pPr>
              <w:pStyle w:val="TableBullet"/>
              <w:keepLines/>
              <w:rPr>
                <w:szCs w:val="18"/>
                <w:lang w:eastAsia="en-NZ"/>
              </w:rPr>
            </w:pPr>
            <w:r w:rsidRPr="00E44F3E">
              <w:rPr>
                <w:szCs w:val="18"/>
                <w:lang w:eastAsia="en-NZ"/>
              </w:rPr>
              <w:t xml:space="preserve">Quality of life measured as exploratory endpoint only. </w:t>
            </w:r>
          </w:p>
          <w:p w14:paraId="19D02101" w14:textId="77777777" w:rsidR="00EF6173" w:rsidRPr="00E44F3E" w:rsidRDefault="00EF6173" w:rsidP="00EF6173">
            <w:pPr>
              <w:pStyle w:val="TableBullet"/>
              <w:keepLines/>
              <w:rPr>
                <w:szCs w:val="18"/>
                <w:lang w:eastAsia="en-NZ"/>
              </w:rPr>
            </w:pPr>
            <w:r w:rsidRPr="00E44F3E">
              <w:rPr>
                <w:szCs w:val="18"/>
                <w:lang w:eastAsia="en-NZ"/>
              </w:rPr>
              <w:t xml:space="preserve">Both </w:t>
            </w:r>
            <w:proofErr w:type="spellStart"/>
            <w:r w:rsidRPr="00E44F3E">
              <w:rPr>
                <w:szCs w:val="18"/>
                <w:lang w:eastAsia="en-NZ"/>
              </w:rPr>
              <w:t>obinutuzumab</w:t>
            </w:r>
            <w:proofErr w:type="spellEnd"/>
            <w:r w:rsidRPr="00E44F3E">
              <w:rPr>
                <w:szCs w:val="18"/>
                <w:lang w:eastAsia="en-NZ"/>
              </w:rPr>
              <w:t xml:space="preserve"> and </w:t>
            </w:r>
            <w:proofErr w:type="spellStart"/>
            <w:r w:rsidRPr="00E44F3E">
              <w:rPr>
                <w:szCs w:val="18"/>
                <w:lang w:eastAsia="en-NZ"/>
              </w:rPr>
              <w:t>venetoclax</w:t>
            </w:r>
            <w:proofErr w:type="spellEnd"/>
            <w:r w:rsidRPr="00E44F3E">
              <w:rPr>
                <w:szCs w:val="18"/>
                <w:lang w:eastAsia="en-NZ"/>
              </w:rPr>
              <w:t xml:space="preserve"> would need to be funded for this indication to close this gap. </w:t>
            </w:r>
          </w:p>
        </w:tc>
      </w:tr>
      <w:tr w:rsidR="00EF6173" w:rsidRPr="00E44F3E" w14:paraId="35E88102" w14:textId="77777777" w:rsidTr="0069375A">
        <w:trPr>
          <w:trHeight w:val="20"/>
        </w:trPr>
        <w:tc>
          <w:tcPr>
            <w:tcW w:w="0" w:type="auto"/>
            <w:shd w:val="clear" w:color="auto" w:fill="auto"/>
            <w:hideMark/>
          </w:tcPr>
          <w:p w14:paraId="63927F3D" w14:textId="77777777" w:rsidR="00EF6173" w:rsidRPr="00E44F3E" w:rsidRDefault="00EF6173" w:rsidP="00EF6173">
            <w:pPr>
              <w:pStyle w:val="TableText"/>
              <w:keepLines/>
              <w:rPr>
                <w:szCs w:val="18"/>
                <w:lang w:eastAsia="en-NZ"/>
              </w:rPr>
            </w:pPr>
            <w:r w:rsidRPr="00E44F3E">
              <w:rPr>
                <w:szCs w:val="18"/>
                <w:lang w:eastAsia="en-NZ"/>
              </w:rPr>
              <w:t>Pembrolizumab</w:t>
            </w:r>
          </w:p>
        </w:tc>
        <w:tc>
          <w:tcPr>
            <w:tcW w:w="0" w:type="auto"/>
            <w:shd w:val="clear" w:color="auto" w:fill="auto"/>
            <w:hideMark/>
          </w:tcPr>
          <w:p w14:paraId="06284378"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51B1132E" w14:textId="77777777" w:rsidR="00EF6173" w:rsidRPr="00E44F3E" w:rsidRDefault="00EF6173" w:rsidP="00EF6173">
            <w:pPr>
              <w:pStyle w:val="TableText"/>
              <w:keepLines/>
              <w:rPr>
                <w:szCs w:val="18"/>
                <w:lang w:eastAsia="en-NZ"/>
              </w:rPr>
            </w:pPr>
            <w:r w:rsidRPr="00E44F3E">
              <w:rPr>
                <w:szCs w:val="18"/>
                <w:lang w:eastAsia="en-NZ"/>
              </w:rPr>
              <w:t xml:space="preserve">Hodgkin’s lymphoma </w:t>
            </w:r>
          </w:p>
        </w:tc>
        <w:tc>
          <w:tcPr>
            <w:tcW w:w="0" w:type="auto"/>
            <w:shd w:val="clear" w:color="auto" w:fill="auto"/>
            <w:hideMark/>
          </w:tcPr>
          <w:p w14:paraId="1139BB95" w14:textId="77777777" w:rsidR="00EF6173" w:rsidRPr="00E44F3E" w:rsidRDefault="00EF6173" w:rsidP="00EF6173">
            <w:pPr>
              <w:pStyle w:val="TableText"/>
              <w:keepLines/>
              <w:rPr>
                <w:szCs w:val="18"/>
                <w:lang w:eastAsia="en-NZ"/>
              </w:rPr>
            </w:pPr>
            <w:r w:rsidRPr="00E44F3E">
              <w:rPr>
                <w:szCs w:val="18"/>
                <w:lang w:eastAsia="en-NZ"/>
              </w:rPr>
              <w:t xml:space="preserve">Relapsed or refractory </w:t>
            </w:r>
          </w:p>
        </w:tc>
        <w:tc>
          <w:tcPr>
            <w:tcW w:w="0" w:type="auto"/>
            <w:shd w:val="clear" w:color="auto" w:fill="auto"/>
            <w:hideMark/>
          </w:tcPr>
          <w:p w14:paraId="6EDDFDDF" w14:textId="77777777" w:rsidR="00EF6173" w:rsidRPr="00E44F3E" w:rsidRDefault="00EF6173" w:rsidP="00EF6173">
            <w:pPr>
              <w:pStyle w:val="TableText"/>
              <w:keepLines/>
              <w:jc w:val="center"/>
              <w:rPr>
                <w:szCs w:val="18"/>
                <w:lang w:eastAsia="en-NZ"/>
              </w:rPr>
            </w:pPr>
            <w:r w:rsidRPr="00E44F3E">
              <w:rPr>
                <w:szCs w:val="18"/>
                <w:lang w:eastAsia="en-NZ"/>
              </w:rPr>
              <w:t>KEYNOTE 204</w:t>
            </w:r>
          </w:p>
          <w:p w14:paraId="0E7EBB0C" w14:textId="4CB25F31" w:rsidR="00EF6173" w:rsidRPr="00E44F3E" w:rsidRDefault="00EF6173" w:rsidP="00EF6173">
            <w:pPr>
              <w:pStyle w:val="TableText"/>
              <w:keepLines/>
              <w:jc w:val="center"/>
              <w:rPr>
                <w:szCs w:val="18"/>
                <w:lang w:eastAsia="en-NZ"/>
              </w:rPr>
            </w:pPr>
            <w:r w:rsidRPr="00E44F3E">
              <w:rPr>
                <w:szCs w:val="18"/>
                <w:lang w:eastAsia="en-NZ"/>
              </w:rPr>
              <w:t>(Kuruvilla et al 2021)</w:t>
            </w:r>
          </w:p>
        </w:tc>
        <w:tc>
          <w:tcPr>
            <w:tcW w:w="0" w:type="auto"/>
            <w:shd w:val="clear" w:color="auto" w:fill="auto"/>
            <w:hideMark/>
          </w:tcPr>
          <w:p w14:paraId="4BF32E3F"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0BDB04ED" w14:textId="32FC6B1B"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23E2B3BC" w14:textId="08BE582F" w:rsidR="00EF6173" w:rsidRPr="00E44F3E" w:rsidRDefault="00EF6173" w:rsidP="00EF6173">
            <w:pPr>
              <w:pStyle w:val="TableBullet"/>
              <w:keepLines/>
              <w:rPr>
                <w:szCs w:val="18"/>
                <w:lang w:eastAsia="en-NZ"/>
              </w:rPr>
            </w:pPr>
            <w:r w:rsidRPr="00E44F3E">
              <w:rPr>
                <w:szCs w:val="18"/>
                <w:lang w:eastAsia="en-NZ"/>
              </w:rPr>
              <w:t xml:space="preserve">Derived ESMO-MCBS:H score is based on a comparator (brentuximab)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4B1605A5" w14:textId="0949CADC" w:rsidR="00EF6173" w:rsidRPr="00E44F3E" w:rsidRDefault="00EF6173" w:rsidP="00EF6173">
            <w:pPr>
              <w:pStyle w:val="TableBullet"/>
              <w:keepLines/>
              <w:rPr>
                <w:szCs w:val="18"/>
                <w:lang w:eastAsia="en-NZ"/>
              </w:rPr>
            </w:pPr>
            <w:r w:rsidRPr="00E44F3E">
              <w:rPr>
                <w:szCs w:val="18"/>
                <w:lang w:eastAsia="en-NZ"/>
              </w:rPr>
              <w:lastRenderedPageBreak/>
              <w:t>Primary end points were progression</w:t>
            </w:r>
            <w:r>
              <w:rPr>
                <w:szCs w:val="18"/>
                <w:lang w:eastAsia="en-NZ"/>
              </w:rPr>
              <w:t>-</w:t>
            </w:r>
            <w:r w:rsidRPr="00E44F3E">
              <w:rPr>
                <w:szCs w:val="18"/>
                <w:lang w:eastAsia="en-NZ"/>
              </w:rPr>
              <w:t xml:space="preserve">free survival and overall survival (not analysed in interim analysis). </w:t>
            </w:r>
          </w:p>
          <w:p w14:paraId="26E35652" w14:textId="6EF80DD8" w:rsidR="00EF6173" w:rsidRPr="00E44F3E" w:rsidRDefault="00EF6173" w:rsidP="00EF6173">
            <w:pPr>
              <w:pStyle w:val="TableBullet"/>
              <w:keepLines/>
              <w:rPr>
                <w:szCs w:val="18"/>
                <w:lang w:eastAsia="en-NZ"/>
              </w:rPr>
            </w:pPr>
            <w:r w:rsidRPr="00E44F3E">
              <w:rPr>
                <w:szCs w:val="18"/>
                <w:lang w:eastAsia="en-NZ"/>
              </w:rPr>
              <w:t>After a median of 26 months, median progression</w:t>
            </w:r>
            <w:r>
              <w:rPr>
                <w:szCs w:val="18"/>
                <w:lang w:eastAsia="en-NZ"/>
              </w:rPr>
              <w:t>-</w:t>
            </w:r>
            <w:r w:rsidRPr="00E44F3E">
              <w:rPr>
                <w:szCs w:val="18"/>
                <w:lang w:eastAsia="en-NZ"/>
              </w:rPr>
              <w:t xml:space="preserve">free survival for pembrolizumab was 13 months vs 8 months for the comparator. </w:t>
            </w:r>
          </w:p>
          <w:p w14:paraId="7A735749" w14:textId="23792DBC" w:rsidR="00EF6173" w:rsidRPr="00E44F3E" w:rsidRDefault="00EF6173" w:rsidP="00EF6173">
            <w:pPr>
              <w:pStyle w:val="TableBullet"/>
              <w:keepLines/>
              <w:rPr>
                <w:szCs w:val="18"/>
                <w:lang w:eastAsia="en-NZ"/>
              </w:rPr>
            </w:pPr>
            <w:r w:rsidRPr="00E44F3E">
              <w:rPr>
                <w:szCs w:val="18"/>
                <w:lang w:eastAsia="en-NZ"/>
              </w:rPr>
              <w:t>Quality of life measured as exploratory endpoint only</w:t>
            </w:r>
            <w:r>
              <w:rPr>
                <w:szCs w:val="18"/>
                <w:lang w:eastAsia="en-NZ"/>
              </w:rPr>
              <w:t>.</w:t>
            </w:r>
            <w:r w:rsidRPr="00E44F3E">
              <w:rPr>
                <w:szCs w:val="18"/>
                <w:lang w:eastAsia="en-NZ"/>
              </w:rPr>
              <w:t xml:space="preserve"> </w:t>
            </w:r>
          </w:p>
        </w:tc>
      </w:tr>
      <w:tr w:rsidR="00EF6173" w:rsidRPr="00E44F3E" w14:paraId="29A27856" w14:textId="77777777" w:rsidTr="0069375A">
        <w:trPr>
          <w:trHeight w:val="20"/>
        </w:trPr>
        <w:tc>
          <w:tcPr>
            <w:tcW w:w="0" w:type="auto"/>
            <w:shd w:val="clear" w:color="auto" w:fill="auto"/>
            <w:hideMark/>
          </w:tcPr>
          <w:p w14:paraId="33A9FC60" w14:textId="77777777" w:rsidR="00EF6173" w:rsidRPr="00E44F3E" w:rsidRDefault="00EF6173" w:rsidP="00EF6173">
            <w:pPr>
              <w:pStyle w:val="TableText"/>
              <w:keepLines/>
              <w:rPr>
                <w:szCs w:val="18"/>
                <w:lang w:eastAsia="en-NZ"/>
              </w:rPr>
            </w:pPr>
            <w:r w:rsidRPr="00E44F3E">
              <w:rPr>
                <w:szCs w:val="18"/>
                <w:lang w:eastAsia="en-NZ"/>
              </w:rPr>
              <w:lastRenderedPageBreak/>
              <w:t>Pembrolizumab</w:t>
            </w:r>
          </w:p>
        </w:tc>
        <w:tc>
          <w:tcPr>
            <w:tcW w:w="0" w:type="auto"/>
            <w:shd w:val="clear" w:color="auto" w:fill="auto"/>
            <w:hideMark/>
          </w:tcPr>
          <w:p w14:paraId="1B43AFC4"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0EBAB139" w14:textId="77777777" w:rsidR="00EF6173" w:rsidRPr="00E44F3E" w:rsidRDefault="00EF6173" w:rsidP="00EF6173">
            <w:pPr>
              <w:pStyle w:val="TableText"/>
              <w:keepLines/>
              <w:rPr>
                <w:szCs w:val="18"/>
                <w:lang w:eastAsia="en-NZ"/>
              </w:rPr>
            </w:pPr>
            <w:r w:rsidRPr="00E44F3E">
              <w:rPr>
                <w:szCs w:val="18"/>
              </w:rPr>
              <w:t xml:space="preserve">Primary mediastinal B-cell lymphoma </w:t>
            </w:r>
          </w:p>
        </w:tc>
        <w:tc>
          <w:tcPr>
            <w:tcW w:w="0" w:type="auto"/>
            <w:shd w:val="clear" w:color="auto" w:fill="auto"/>
            <w:hideMark/>
          </w:tcPr>
          <w:p w14:paraId="2B2D81F8" w14:textId="77777777" w:rsidR="00EF6173" w:rsidRPr="00E44F3E" w:rsidRDefault="00EF6173" w:rsidP="00EF6173">
            <w:pPr>
              <w:pStyle w:val="TableText"/>
              <w:keepLines/>
              <w:rPr>
                <w:szCs w:val="18"/>
                <w:lang w:eastAsia="en-NZ"/>
              </w:rPr>
            </w:pPr>
            <w:r w:rsidRPr="00E44F3E">
              <w:rPr>
                <w:szCs w:val="18"/>
              </w:rPr>
              <w:t xml:space="preserve">Relapsed or refractory </w:t>
            </w:r>
          </w:p>
        </w:tc>
        <w:tc>
          <w:tcPr>
            <w:tcW w:w="0" w:type="auto"/>
            <w:shd w:val="clear" w:color="auto" w:fill="auto"/>
            <w:hideMark/>
          </w:tcPr>
          <w:p w14:paraId="0BDFCBA8" w14:textId="77777777" w:rsidR="00EF6173" w:rsidRPr="00E44F3E" w:rsidRDefault="00EF6173" w:rsidP="00EF6173">
            <w:pPr>
              <w:pStyle w:val="TableText"/>
              <w:keepLines/>
              <w:jc w:val="center"/>
              <w:rPr>
                <w:szCs w:val="18"/>
                <w:lang w:eastAsia="en-NZ"/>
              </w:rPr>
            </w:pPr>
            <w:r w:rsidRPr="00E44F3E">
              <w:rPr>
                <w:szCs w:val="18"/>
                <w:lang w:eastAsia="en-NZ"/>
              </w:rPr>
              <w:t>KEYNOTE 170</w:t>
            </w:r>
          </w:p>
          <w:p w14:paraId="18E02295" w14:textId="1DC05530" w:rsidR="00EF6173" w:rsidRPr="00E44F3E" w:rsidRDefault="00EF6173" w:rsidP="00EF6173">
            <w:pPr>
              <w:pStyle w:val="TableText"/>
              <w:keepLines/>
              <w:jc w:val="center"/>
              <w:rPr>
                <w:szCs w:val="18"/>
                <w:lang w:eastAsia="en-NZ"/>
              </w:rPr>
            </w:pPr>
            <w:r w:rsidRPr="00E44F3E">
              <w:rPr>
                <w:szCs w:val="18"/>
                <w:lang w:eastAsia="en-NZ"/>
              </w:rPr>
              <w:t xml:space="preserve">(Armand et al 2019; </w:t>
            </w:r>
            <w:proofErr w:type="spellStart"/>
            <w:r w:rsidRPr="00E44F3E">
              <w:rPr>
                <w:szCs w:val="18"/>
                <w:lang w:eastAsia="en-NZ"/>
              </w:rPr>
              <w:t>Zinzani</w:t>
            </w:r>
            <w:proofErr w:type="spellEnd"/>
            <w:r w:rsidRPr="00E44F3E">
              <w:rPr>
                <w:szCs w:val="18"/>
                <w:lang w:eastAsia="en-NZ"/>
              </w:rPr>
              <w:t xml:space="preserve"> et al 2023)</w:t>
            </w:r>
          </w:p>
        </w:tc>
        <w:tc>
          <w:tcPr>
            <w:tcW w:w="0" w:type="auto"/>
            <w:shd w:val="clear" w:color="auto" w:fill="auto"/>
            <w:hideMark/>
          </w:tcPr>
          <w:p w14:paraId="5ED5D7A7"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088C2E07" w14:textId="1272A625"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009803B9" w14:textId="222901EA" w:rsidR="00EF6173" w:rsidRPr="00E44F3E" w:rsidRDefault="00EF6173" w:rsidP="00EF6173">
            <w:pPr>
              <w:pStyle w:val="TableBullet"/>
              <w:keepLines/>
              <w:rPr>
                <w:szCs w:val="18"/>
                <w:lang w:eastAsia="en-NZ"/>
              </w:rPr>
            </w:pPr>
            <w:r w:rsidRPr="00E44F3E">
              <w:rPr>
                <w:szCs w:val="18"/>
                <w:lang w:eastAsia="en-NZ"/>
              </w:rPr>
              <w:t>Derived ESMO-MCBS:H score is based on single</w:t>
            </w:r>
            <w:r>
              <w:rPr>
                <w:szCs w:val="18"/>
                <w:lang w:eastAsia="en-NZ"/>
              </w:rPr>
              <w:t>-</w:t>
            </w:r>
            <w:r w:rsidRPr="00E44F3E">
              <w:rPr>
                <w:szCs w:val="18"/>
                <w:lang w:eastAsia="en-NZ"/>
              </w:rPr>
              <w:t xml:space="preserve">arm study. </w:t>
            </w:r>
          </w:p>
          <w:p w14:paraId="62D38BD9" w14:textId="77777777" w:rsidR="00EF6173" w:rsidRPr="00E44F3E" w:rsidRDefault="00EF6173" w:rsidP="00EF6173">
            <w:pPr>
              <w:pStyle w:val="TableBullet"/>
              <w:keepLines/>
              <w:rPr>
                <w:szCs w:val="18"/>
                <w:lang w:eastAsia="en-NZ"/>
              </w:rPr>
            </w:pPr>
            <w:r w:rsidRPr="00E44F3E">
              <w:rPr>
                <w:szCs w:val="18"/>
                <w:lang w:eastAsia="en-NZ"/>
              </w:rPr>
              <w:t xml:space="preserve">Primary end point was overall response rate. </w:t>
            </w:r>
          </w:p>
          <w:p w14:paraId="68A8F426" w14:textId="77777777" w:rsidR="00EF6173" w:rsidRPr="00E44F3E" w:rsidRDefault="00EF6173" w:rsidP="00EF6173">
            <w:pPr>
              <w:pStyle w:val="TableBullet"/>
              <w:keepLines/>
              <w:rPr>
                <w:szCs w:val="18"/>
                <w:lang w:eastAsia="en-NZ"/>
              </w:rPr>
            </w:pPr>
            <w:r w:rsidRPr="00E44F3E">
              <w:rPr>
                <w:szCs w:val="18"/>
                <w:lang w:eastAsia="en-NZ"/>
              </w:rPr>
              <w:t>Overall response rate was noted to be 42%.</w:t>
            </w:r>
          </w:p>
          <w:p w14:paraId="34AB45D3"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EF6173" w:rsidRPr="00E44F3E" w14:paraId="31A46D49" w14:textId="77777777" w:rsidTr="0069375A">
        <w:trPr>
          <w:trHeight w:val="20"/>
        </w:trPr>
        <w:tc>
          <w:tcPr>
            <w:tcW w:w="0" w:type="auto"/>
            <w:shd w:val="clear" w:color="auto" w:fill="auto"/>
            <w:hideMark/>
          </w:tcPr>
          <w:p w14:paraId="58EF360F" w14:textId="77777777" w:rsidR="00EF6173" w:rsidRPr="00E44F3E" w:rsidRDefault="00EF6173" w:rsidP="00EF6173">
            <w:pPr>
              <w:pStyle w:val="TableText"/>
              <w:keepLines/>
              <w:rPr>
                <w:szCs w:val="18"/>
                <w:lang w:eastAsia="en-NZ"/>
              </w:rPr>
            </w:pPr>
            <w:r w:rsidRPr="00E44F3E">
              <w:rPr>
                <w:szCs w:val="18"/>
                <w:lang w:eastAsia="en-NZ"/>
              </w:rPr>
              <w:t>Ponatinib</w:t>
            </w:r>
          </w:p>
        </w:tc>
        <w:tc>
          <w:tcPr>
            <w:tcW w:w="0" w:type="auto"/>
            <w:shd w:val="clear" w:color="auto" w:fill="auto"/>
            <w:hideMark/>
          </w:tcPr>
          <w:p w14:paraId="6BF9CDD7"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695A9CA0" w14:textId="77777777" w:rsidR="00EF6173" w:rsidRPr="00E44F3E" w:rsidRDefault="00EF6173" w:rsidP="00EF6173">
            <w:pPr>
              <w:pStyle w:val="TableText"/>
              <w:keepLines/>
              <w:rPr>
                <w:szCs w:val="18"/>
                <w:lang w:eastAsia="en-NZ"/>
              </w:rPr>
            </w:pPr>
            <w:r w:rsidRPr="00E44F3E">
              <w:rPr>
                <w:szCs w:val="18"/>
                <w:lang w:eastAsia="en-NZ"/>
              </w:rPr>
              <w:t>Chronic myeloid leukaemia (CML)</w:t>
            </w:r>
          </w:p>
        </w:tc>
        <w:tc>
          <w:tcPr>
            <w:tcW w:w="0" w:type="auto"/>
            <w:shd w:val="clear" w:color="auto" w:fill="auto"/>
            <w:hideMark/>
          </w:tcPr>
          <w:p w14:paraId="54379924" w14:textId="77777777" w:rsidR="00EF6173" w:rsidRPr="00E44F3E" w:rsidRDefault="00EF6173" w:rsidP="00EF6173">
            <w:pPr>
              <w:pStyle w:val="TableText"/>
              <w:keepLines/>
              <w:rPr>
                <w:szCs w:val="18"/>
                <w:lang w:eastAsia="en-NZ"/>
              </w:rPr>
            </w:pPr>
            <w:r w:rsidRPr="00E44F3E">
              <w:rPr>
                <w:szCs w:val="18"/>
                <w:lang w:eastAsia="en-NZ"/>
              </w:rPr>
              <w:t>For patients when at least two prior tyrosine kinase inhibitors have failed or have not been tolerated to a severity necessitating permanent treatment withdrawal</w:t>
            </w:r>
          </w:p>
        </w:tc>
        <w:tc>
          <w:tcPr>
            <w:tcW w:w="0" w:type="auto"/>
            <w:shd w:val="clear" w:color="auto" w:fill="auto"/>
            <w:hideMark/>
          </w:tcPr>
          <w:p w14:paraId="73FACCF2" w14:textId="5486C2EB" w:rsidR="00EF6173" w:rsidRPr="00E44F3E" w:rsidRDefault="00EF6173" w:rsidP="00EF6173">
            <w:pPr>
              <w:pStyle w:val="TableText"/>
              <w:keepLines/>
              <w:jc w:val="center"/>
              <w:rPr>
                <w:szCs w:val="18"/>
                <w:lang w:eastAsia="en-NZ"/>
              </w:rPr>
            </w:pPr>
            <w:r w:rsidRPr="00E44F3E">
              <w:rPr>
                <w:szCs w:val="18"/>
                <w:lang w:eastAsia="en-NZ"/>
              </w:rPr>
              <w:t>PACE</w:t>
            </w:r>
          </w:p>
          <w:p w14:paraId="37F9F7A1" w14:textId="33D0B632" w:rsidR="00EF6173" w:rsidRPr="00E44F3E" w:rsidRDefault="00EF6173" w:rsidP="00EF6173">
            <w:pPr>
              <w:pStyle w:val="TableText"/>
              <w:keepLines/>
              <w:jc w:val="center"/>
              <w:rPr>
                <w:szCs w:val="18"/>
                <w:lang w:eastAsia="en-NZ"/>
              </w:rPr>
            </w:pPr>
            <w:r w:rsidRPr="00E44F3E">
              <w:rPr>
                <w:szCs w:val="18"/>
                <w:lang w:eastAsia="en-NZ"/>
              </w:rPr>
              <w:t>(Cortes et al 2013; Cortes et al 2018)</w:t>
            </w:r>
          </w:p>
        </w:tc>
        <w:tc>
          <w:tcPr>
            <w:tcW w:w="0" w:type="auto"/>
            <w:shd w:val="clear" w:color="auto" w:fill="auto"/>
            <w:hideMark/>
          </w:tcPr>
          <w:p w14:paraId="29CD31A4"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3C19EB00" w14:textId="72939A91"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7BFB0366" w14:textId="09A5562F" w:rsidR="00EF6173" w:rsidRPr="00E44F3E" w:rsidRDefault="00EF6173" w:rsidP="00EF6173">
            <w:pPr>
              <w:pStyle w:val="TableBullet"/>
              <w:keepLines/>
              <w:rPr>
                <w:szCs w:val="18"/>
                <w:lang w:eastAsia="en-NZ"/>
              </w:rPr>
            </w:pPr>
            <w:r w:rsidRPr="00E44F3E">
              <w:rPr>
                <w:szCs w:val="18"/>
                <w:lang w:eastAsia="en-NZ"/>
              </w:rPr>
              <w:t>Derived ESMO-MCBS:H score is based on single</w:t>
            </w:r>
            <w:r>
              <w:rPr>
                <w:szCs w:val="18"/>
                <w:lang w:eastAsia="en-NZ"/>
              </w:rPr>
              <w:t>-</w:t>
            </w:r>
            <w:r w:rsidRPr="00E44F3E">
              <w:rPr>
                <w:szCs w:val="18"/>
                <w:lang w:eastAsia="en-NZ"/>
              </w:rPr>
              <w:t xml:space="preserve">arm study. </w:t>
            </w:r>
          </w:p>
          <w:p w14:paraId="67BE5D1C" w14:textId="77777777" w:rsidR="00EF6173" w:rsidRPr="00E44F3E" w:rsidRDefault="00EF6173" w:rsidP="00EF6173">
            <w:pPr>
              <w:pStyle w:val="TableBullet"/>
              <w:keepLines/>
              <w:rPr>
                <w:szCs w:val="18"/>
                <w:lang w:eastAsia="en-NZ"/>
              </w:rPr>
            </w:pPr>
            <w:r w:rsidRPr="00E44F3E">
              <w:rPr>
                <w:szCs w:val="18"/>
                <w:lang w:eastAsia="en-NZ"/>
              </w:rPr>
              <w:t>Primary end point was major cytogenetic response within the first 12 months and major haematologic response at any time in the first 6 months.</w:t>
            </w:r>
          </w:p>
          <w:p w14:paraId="0D06DB29" w14:textId="77777777" w:rsidR="00EF6173" w:rsidRPr="00E44F3E" w:rsidRDefault="00EF6173" w:rsidP="00EF6173">
            <w:pPr>
              <w:pStyle w:val="TableBullet"/>
              <w:keepLines/>
              <w:rPr>
                <w:szCs w:val="18"/>
                <w:lang w:eastAsia="en-NZ"/>
              </w:rPr>
            </w:pPr>
            <w:r w:rsidRPr="00E44F3E">
              <w:rPr>
                <w:szCs w:val="18"/>
                <w:lang w:eastAsia="en-NZ"/>
              </w:rPr>
              <w:t xml:space="preserve">This score reflects the aggregate of CML patients in blast, accelerated and chronic phases. </w:t>
            </w:r>
          </w:p>
          <w:p w14:paraId="5B125B28" w14:textId="26E8052B" w:rsidR="00EF6173" w:rsidRPr="00E44F3E" w:rsidRDefault="00EF6173" w:rsidP="00EF6173">
            <w:pPr>
              <w:pStyle w:val="TableBullet"/>
              <w:keepLines/>
              <w:rPr>
                <w:szCs w:val="18"/>
                <w:lang w:eastAsia="en-NZ"/>
              </w:rPr>
            </w:pPr>
            <w:r w:rsidRPr="00E44F3E">
              <w:rPr>
                <w:szCs w:val="18"/>
                <w:lang w:eastAsia="en-NZ"/>
              </w:rPr>
              <w:lastRenderedPageBreak/>
              <w:t>Major haematological response was achieved by 61% of accelerated phase CML patients and 31% of blast phase CML patients</w:t>
            </w:r>
            <w:r>
              <w:rPr>
                <w:szCs w:val="18"/>
                <w:lang w:eastAsia="en-NZ"/>
              </w:rPr>
              <w:t xml:space="preserve"> –</w:t>
            </w:r>
            <w:r w:rsidRPr="00E44F3E">
              <w:rPr>
                <w:szCs w:val="18"/>
                <w:lang w:eastAsia="en-NZ"/>
              </w:rPr>
              <w:t xml:space="preserve"> 60% of chronic phase CML patients achieved major cytogenetic response.</w:t>
            </w:r>
          </w:p>
          <w:p w14:paraId="6A3FEE43"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EF6173" w:rsidRPr="00E44F3E" w14:paraId="5C314B31" w14:textId="77777777" w:rsidTr="00CE39F6">
        <w:trPr>
          <w:cantSplit/>
          <w:trHeight w:val="20"/>
        </w:trPr>
        <w:tc>
          <w:tcPr>
            <w:tcW w:w="0" w:type="auto"/>
            <w:shd w:val="clear" w:color="auto" w:fill="auto"/>
            <w:hideMark/>
          </w:tcPr>
          <w:p w14:paraId="0C016768" w14:textId="77777777" w:rsidR="00EF6173" w:rsidRPr="00E44F3E" w:rsidRDefault="00EF6173" w:rsidP="00EF6173">
            <w:pPr>
              <w:pStyle w:val="TableText"/>
              <w:keepLines/>
              <w:rPr>
                <w:szCs w:val="18"/>
                <w:lang w:eastAsia="en-NZ"/>
              </w:rPr>
            </w:pPr>
            <w:r w:rsidRPr="00E44F3E">
              <w:rPr>
                <w:szCs w:val="18"/>
                <w:lang w:eastAsia="en-NZ"/>
              </w:rPr>
              <w:lastRenderedPageBreak/>
              <w:t>Pralatrexate</w:t>
            </w:r>
          </w:p>
        </w:tc>
        <w:tc>
          <w:tcPr>
            <w:tcW w:w="0" w:type="auto"/>
            <w:shd w:val="clear" w:color="auto" w:fill="auto"/>
            <w:hideMark/>
          </w:tcPr>
          <w:p w14:paraId="2CE8CB1D" w14:textId="77777777" w:rsidR="00EF6173" w:rsidRPr="00E44F3E" w:rsidRDefault="00EF6173" w:rsidP="00EF6173">
            <w:pPr>
              <w:pStyle w:val="TableText"/>
              <w:keepLines/>
              <w:rPr>
                <w:szCs w:val="18"/>
                <w:lang w:eastAsia="en-NZ"/>
              </w:rPr>
            </w:pPr>
            <w:r w:rsidRPr="00E44F3E">
              <w:rPr>
                <w:szCs w:val="18"/>
                <w:lang w:eastAsia="en-NZ"/>
              </w:rPr>
              <w:t>Not specified</w:t>
            </w:r>
          </w:p>
        </w:tc>
        <w:tc>
          <w:tcPr>
            <w:tcW w:w="0" w:type="auto"/>
            <w:shd w:val="clear" w:color="auto" w:fill="auto"/>
            <w:hideMark/>
          </w:tcPr>
          <w:p w14:paraId="79C4D233" w14:textId="77777777" w:rsidR="00EF6173" w:rsidRPr="00E44F3E" w:rsidRDefault="00EF6173" w:rsidP="00EF6173">
            <w:pPr>
              <w:pStyle w:val="TableText"/>
              <w:keepLines/>
              <w:rPr>
                <w:szCs w:val="18"/>
                <w:lang w:eastAsia="en-NZ"/>
              </w:rPr>
            </w:pPr>
            <w:r w:rsidRPr="00E44F3E">
              <w:rPr>
                <w:szCs w:val="18"/>
                <w:lang w:eastAsia="en-NZ"/>
              </w:rPr>
              <w:t xml:space="preserve">Peripheral T-cell lymphoma </w:t>
            </w:r>
          </w:p>
        </w:tc>
        <w:tc>
          <w:tcPr>
            <w:tcW w:w="0" w:type="auto"/>
            <w:shd w:val="clear" w:color="auto" w:fill="auto"/>
            <w:hideMark/>
          </w:tcPr>
          <w:p w14:paraId="0EC0F75A" w14:textId="2E1B1006" w:rsidR="00EF6173" w:rsidRPr="00E44F3E" w:rsidRDefault="00EF6173" w:rsidP="00EF6173">
            <w:pPr>
              <w:pStyle w:val="TableText"/>
              <w:keepLines/>
              <w:rPr>
                <w:szCs w:val="18"/>
                <w:lang w:eastAsia="en-NZ"/>
              </w:rPr>
            </w:pPr>
            <w:r w:rsidRPr="00E44F3E">
              <w:rPr>
                <w:szCs w:val="18"/>
                <w:lang w:eastAsia="en-NZ"/>
              </w:rPr>
              <w:t>Relapsed or chemotherapy</w:t>
            </w:r>
            <w:r>
              <w:rPr>
                <w:szCs w:val="18"/>
                <w:lang w:eastAsia="en-NZ"/>
              </w:rPr>
              <w:t>-</w:t>
            </w:r>
            <w:r w:rsidRPr="00E44F3E">
              <w:rPr>
                <w:szCs w:val="18"/>
                <w:lang w:eastAsia="en-NZ"/>
              </w:rPr>
              <w:t xml:space="preserve">refractory </w:t>
            </w:r>
          </w:p>
        </w:tc>
        <w:tc>
          <w:tcPr>
            <w:tcW w:w="0" w:type="auto"/>
            <w:shd w:val="clear" w:color="auto" w:fill="auto"/>
            <w:hideMark/>
          </w:tcPr>
          <w:p w14:paraId="1BDDDEE3" w14:textId="50F09F71" w:rsidR="00EF6173" w:rsidRPr="00E44F3E" w:rsidRDefault="00EF6173" w:rsidP="00EF6173">
            <w:pPr>
              <w:pStyle w:val="TableText"/>
              <w:keepLines/>
              <w:jc w:val="center"/>
              <w:rPr>
                <w:szCs w:val="18"/>
                <w:lang w:eastAsia="en-NZ"/>
              </w:rPr>
            </w:pPr>
            <w:r w:rsidRPr="00E44F3E">
              <w:rPr>
                <w:szCs w:val="18"/>
                <w:lang w:eastAsia="en-NZ"/>
              </w:rPr>
              <w:t>PROPEL</w:t>
            </w:r>
          </w:p>
          <w:p w14:paraId="3A69D85A" w14:textId="158259AD" w:rsidR="00EF6173" w:rsidRPr="00E44F3E" w:rsidRDefault="00EF6173" w:rsidP="00EF6173">
            <w:pPr>
              <w:pStyle w:val="TableText"/>
              <w:keepLines/>
              <w:jc w:val="center"/>
              <w:rPr>
                <w:szCs w:val="18"/>
                <w:lang w:eastAsia="en-NZ"/>
              </w:rPr>
            </w:pPr>
            <w:r w:rsidRPr="00E44F3E">
              <w:rPr>
                <w:szCs w:val="18"/>
                <w:lang w:eastAsia="en-NZ"/>
              </w:rPr>
              <w:t>(O’Connor et al 2011)</w:t>
            </w:r>
          </w:p>
        </w:tc>
        <w:tc>
          <w:tcPr>
            <w:tcW w:w="0" w:type="auto"/>
            <w:shd w:val="clear" w:color="auto" w:fill="auto"/>
            <w:hideMark/>
          </w:tcPr>
          <w:p w14:paraId="0CFC7D5F"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0696091C" w14:textId="24E16B14"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1823A637" w14:textId="35721621" w:rsidR="00EF6173" w:rsidRPr="00E44F3E" w:rsidRDefault="00EF6173" w:rsidP="00EF6173">
            <w:pPr>
              <w:pStyle w:val="TableBullet"/>
              <w:keepLines/>
              <w:rPr>
                <w:szCs w:val="18"/>
                <w:lang w:eastAsia="en-NZ"/>
              </w:rPr>
            </w:pPr>
            <w:r w:rsidRPr="00E44F3E">
              <w:rPr>
                <w:szCs w:val="18"/>
                <w:lang w:eastAsia="en-NZ"/>
              </w:rPr>
              <w:t>Derived ESMO-MCBS:H score is based on single</w:t>
            </w:r>
            <w:r>
              <w:rPr>
                <w:szCs w:val="18"/>
                <w:lang w:eastAsia="en-NZ"/>
              </w:rPr>
              <w:t>-</w:t>
            </w:r>
            <w:r w:rsidRPr="00E44F3E">
              <w:rPr>
                <w:szCs w:val="18"/>
                <w:lang w:eastAsia="en-NZ"/>
              </w:rPr>
              <w:t xml:space="preserve">arm study. </w:t>
            </w:r>
          </w:p>
          <w:p w14:paraId="2AAC44A1" w14:textId="77777777" w:rsidR="00EF6173" w:rsidRPr="00E44F3E" w:rsidRDefault="00EF6173" w:rsidP="00EF6173">
            <w:pPr>
              <w:pStyle w:val="TableBullet"/>
              <w:keepLines/>
              <w:rPr>
                <w:szCs w:val="18"/>
                <w:lang w:eastAsia="en-NZ"/>
              </w:rPr>
            </w:pPr>
            <w:r w:rsidRPr="00E44F3E">
              <w:rPr>
                <w:szCs w:val="18"/>
                <w:lang w:eastAsia="en-NZ"/>
              </w:rPr>
              <w:t xml:space="preserve">Primary end point was overall response rate. The overall response rate was 29%. </w:t>
            </w:r>
          </w:p>
          <w:p w14:paraId="2DD19441"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EF6173" w:rsidRPr="00E44F3E" w14:paraId="1841A801" w14:textId="77777777" w:rsidTr="0069375A">
        <w:trPr>
          <w:trHeight w:val="20"/>
        </w:trPr>
        <w:tc>
          <w:tcPr>
            <w:tcW w:w="0" w:type="auto"/>
            <w:shd w:val="clear" w:color="auto" w:fill="auto"/>
            <w:hideMark/>
          </w:tcPr>
          <w:p w14:paraId="6A1E7EE0" w14:textId="77777777" w:rsidR="00EF6173" w:rsidRPr="00E44F3E" w:rsidRDefault="00EF6173" w:rsidP="00EF6173">
            <w:pPr>
              <w:pStyle w:val="TableText"/>
              <w:keepLines/>
              <w:rPr>
                <w:szCs w:val="18"/>
                <w:lang w:eastAsia="en-NZ"/>
              </w:rPr>
            </w:pPr>
            <w:proofErr w:type="spellStart"/>
            <w:r w:rsidRPr="00E44F3E">
              <w:rPr>
                <w:szCs w:val="18"/>
                <w:lang w:eastAsia="en-NZ"/>
              </w:rPr>
              <w:t>Venetoclax</w:t>
            </w:r>
            <w:proofErr w:type="spellEnd"/>
            <w:r w:rsidRPr="00E44F3E">
              <w:rPr>
                <w:szCs w:val="18"/>
                <w:lang w:eastAsia="en-NZ"/>
              </w:rPr>
              <w:t>*</w:t>
            </w:r>
          </w:p>
        </w:tc>
        <w:tc>
          <w:tcPr>
            <w:tcW w:w="0" w:type="auto"/>
            <w:shd w:val="clear" w:color="auto" w:fill="auto"/>
            <w:hideMark/>
          </w:tcPr>
          <w:p w14:paraId="2EF63CAE" w14:textId="77777777" w:rsidR="00EF6173" w:rsidRPr="00E44F3E" w:rsidRDefault="00EF6173" w:rsidP="00EF6173">
            <w:pPr>
              <w:pStyle w:val="TableText"/>
              <w:keepLines/>
              <w:rPr>
                <w:szCs w:val="18"/>
                <w:lang w:eastAsia="en-NZ"/>
              </w:rPr>
            </w:pPr>
            <w:r w:rsidRPr="00E44F3E">
              <w:rPr>
                <w:szCs w:val="18"/>
                <w:lang w:eastAsia="en-NZ"/>
              </w:rPr>
              <w:t xml:space="preserve"> Obinutuzumab*</w:t>
            </w:r>
          </w:p>
        </w:tc>
        <w:tc>
          <w:tcPr>
            <w:tcW w:w="0" w:type="auto"/>
            <w:shd w:val="clear" w:color="auto" w:fill="auto"/>
            <w:hideMark/>
          </w:tcPr>
          <w:p w14:paraId="3782A8DE" w14:textId="77777777" w:rsidR="00EF6173" w:rsidRPr="00E44F3E" w:rsidRDefault="00EF6173" w:rsidP="00EF6173">
            <w:pPr>
              <w:pStyle w:val="TableText"/>
              <w:keepLines/>
              <w:rPr>
                <w:szCs w:val="18"/>
                <w:lang w:eastAsia="en-NZ"/>
              </w:rPr>
            </w:pPr>
            <w:r w:rsidRPr="00E44F3E">
              <w:rPr>
                <w:szCs w:val="18"/>
                <w:lang w:eastAsia="en-NZ"/>
              </w:rPr>
              <w:t>Chronic lymphocytic leukaemia (CLL) or small lymphocytic lymphoma (SLL)</w:t>
            </w:r>
          </w:p>
        </w:tc>
        <w:tc>
          <w:tcPr>
            <w:tcW w:w="0" w:type="auto"/>
            <w:shd w:val="clear" w:color="auto" w:fill="auto"/>
            <w:hideMark/>
          </w:tcPr>
          <w:p w14:paraId="2A951555" w14:textId="5FD13052" w:rsidR="00EF6173" w:rsidRPr="00E44F3E" w:rsidRDefault="00EF6173" w:rsidP="00EF6173">
            <w:pPr>
              <w:pStyle w:val="TableText"/>
              <w:keepLines/>
              <w:rPr>
                <w:szCs w:val="18"/>
                <w:lang w:eastAsia="en-NZ"/>
              </w:rPr>
            </w:pPr>
            <w:r w:rsidRPr="00E44F3E">
              <w:rPr>
                <w:szCs w:val="18"/>
                <w:lang w:eastAsia="en-NZ"/>
              </w:rPr>
              <w:t xml:space="preserve">Previously untreated disease in combination with </w:t>
            </w:r>
            <w:proofErr w:type="spellStart"/>
            <w:r w:rsidRPr="00E44F3E">
              <w:rPr>
                <w:szCs w:val="18"/>
                <w:lang w:eastAsia="en-NZ"/>
              </w:rPr>
              <w:t>obinutuzumab</w:t>
            </w:r>
            <w:proofErr w:type="spellEnd"/>
            <w:r w:rsidRPr="00E44F3E">
              <w:rPr>
                <w:szCs w:val="18"/>
                <w:lang w:eastAsia="en-NZ"/>
              </w:rPr>
              <w:t xml:space="preserve"> </w:t>
            </w:r>
          </w:p>
        </w:tc>
        <w:tc>
          <w:tcPr>
            <w:tcW w:w="0" w:type="auto"/>
            <w:shd w:val="clear" w:color="auto" w:fill="auto"/>
            <w:hideMark/>
          </w:tcPr>
          <w:p w14:paraId="346018B3" w14:textId="77777777" w:rsidR="00EF6173" w:rsidRPr="00E44F3E" w:rsidRDefault="00EF6173" w:rsidP="00EF6173">
            <w:pPr>
              <w:pStyle w:val="TableText"/>
              <w:keepLines/>
              <w:jc w:val="center"/>
              <w:rPr>
                <w:szCs w:val="18"/>
                <w:lang w:eastAsia="en-NZ"/>
              </w:rPr>
            </w:pPr>
            <w:r w:rsidRPr="00E44F3E">
              <w:rPr>
                <w:szCs w:val="18"/>
                <w:lang w:eastAsia="en-NZ"/>
              </w:rPr>
              <w:t>CLL14</w:t>
            </w:r>
          </w:p>
          <w:p w14:paraId="52EBE59B" w14:textId="568D2216" w:rsidR="00EF6173" w:rsidRPr="00E44F3E" w:rsidRDefault="00EF6173" w:rsidP="00EF6173">
            <w:pPr>
              <w:pStyle w:val="TableText"/>
              <w:keepLines/>
              <w:jc w:val="center"/>
              <w:rPr>
                <w:szCs w:val="18"/>
                <w:lang w:eastAsia="en-NZ"/>
              </w:rPr>
            </w:pPr>
            <w:r w:rsidRPr="00E44F3E">
              <w:rPr>
                <w:szCs w:val="18"/>
                <w:lang w:eastAsia="en-NZ"/>
              </w:rPr>
              <w:t>(Al-</w:t>
            </w:r>
            <w:proofErr w:type="spellStart"/>
            <w:r w:rsidRPr="00E44F3E">
              <w:rPr>
                <w:szCs w:val="18"/>
                <w:lang w:eastAsia="en-NZ"/>
              </w:rPr>
              <w:t>Sawaf</w:t>
            </w:r>
            <w:proofErr w:type="spellEnd"/>
            <w:r w:rsidRPr="00E44F3E">
              <w:rPr>
                <w:szCs w:val="18"/>
                <w:lang w:eastAsia="en-NZ"/>
              </w:rPr>
              <w:t xml:space="preserve"> et al 2020; Fischer et al 2019)</w:t>
            </w:r>
          </w:p>
        </w:tc>
        <w:tc>
          <w:tcPr>
            <w:tcW w:w="0" w:type="auto"/>
            <w:shd w:val="clear" w:color="auto" w:fill="auto"/>
            <w:hideMark/>
          </w:tcPr>
          <w:p w14:paraId="31164B15" w14:textId="77777777" w:rsidR="00EF6173" w:rsidRPr="00C86FFF" w:rsidRDefault="00EF6173" w:rsidP="00EF6173">
            <w:pPr>
              <w:pStyle w:val="TableText"/>
              <w:keepLines/>
              <w:jc w:val="center"/>
              <w:rPr>
                <w:b/>
                <w:bCs/>
                <w:szCs w:val="18"/>
                <w:lang w:eastAsia="en-NZ"/>
              </w:rPr>
            </w:pPr>
            <w:r w:rsidRPr="00C86FFF">
              <w:rPr>
                <w:b/>
                <w:bCs/>
                <w:szCs w:val="18"/>
                <w:lang w:eastAsia="en-NZ"/>
              </w:rPr>
              <w:t>3</w:t>
            </w:r>
          </w:p>
          <w:p w14:paraId="74308926" w14:textId="7EBDAC6B"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7D873944" w14:textId="321D633B" w:rsidR="00EF6173" w:rsidRPr="00E44F3E" w:rsidRDefault="00EF6173" w:rsidP="00EF6173">
            <w:pPr>
              <w:pStyle w:val="TableBullet"/>
              <w:keepLines/>
              <w:rPr>
                <w:szCs w:val="18"/>
                <w:lang w:eastAsia="en-NZ"/>
              </w:rPr>
            </w:pPr>
            <w:r w:rsidRPr="00E44F3E">
              <w:rPr>
                <w:szCs w:val="18"/>
                <w:lang w:eastAsia="en-NZ"/>
              </w:rPr>
              <w:t>Derived ESMO-MCBS:H score is based on a comparator (</w:t>
            </w:r>
            <w:proofErr w:type="spellStart"/>
            <w:r w:rsidRPr="00E44F3E">
              <w:rPr>
                <w:szCs w:val="18"/>
                <w:lang w:eastAsia="en-NZ"/>
              </w:rPr>
              <w:t>obinutuzumab</w:t>
            </w:r>
            <w:proofErr w:type="spellEnd"/>
            <w:r w:rsidRPr="00E44F3E">
              <w:rPr>
                <w:szCs w:val="18"/>
                <w:lang w:eastAsia="en-NZ"/>
              </w:rPr>
              <w:t xml:space="preserve"> with chlorambucil)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47ACE156" w14:textId="2C749F5C" w:rsidR="00EF6173" w:rsidRPr="00E44F3E" w:rsidRDefault="00EF6173" w:rsidP="00EF6173">
            <w:pPr>
              <w:pStyle w:val="TableBullet"/>
              <w:keepLines/>
              <w:rPr>
                <w:szCs w:val="18"/>
                <w:lang w:eastAsia="en-NZ"/>
              </w:rPr>
            </w:pPr>
            <w:r w:rsidRPr="00E44F3E">
              <w:rPr>
                <w:szCs w:val="18"/>
                <w:lang w:eastAsia="en-NZ"/>
              </w:rPr>
              <w:lastRenderedPageBreak/>
              <w:t xml:space="preserve">Primary end point was progression-free survival – median progression-free survival for </w:t>
            </w:r>
            <w:proofErr w:type="spellStart"/>
            <w:r w:rsidRPr="00E44F3E">
              <w:rPr>
                <w:szCs w:val="18"/>
                <w:lang w:eastAsia="en-NZ"/>
              </w:rPr>
              <w:t>obinutuzumab</w:t>
            </w:r>
            <w:proofErr w:type="spellEnd"/>
            <w:r w:rsidRPr="00E44F3E">
              <w:rPr>
                <w:szCs w:val="18"/>
                <w:lang w:eastAsia="en-NZ"/>
              </w:rPr>
              <w:t xml:space="preserve"> with </w:t>
            </w:r>
            <w:proofErr w:type="spellStart"/>
            <w:r w:rsidRPr="00E44F3E">
              <w:rPr>
                <w:szCs w:val="18"/>
                <w:lang w:eastAsia="en-NZ"/>
              </w:rPr>
              <w:t>venetoclax</w:t>
            </w:r>
            <w:proofErr w:type="spellEnd"/>
            <w:r w:rsidRPr="00E44F3E">
              <w:rPr>
                <w:szCs w:val="18"/>
                <w:lang w:eastAsia="en-NZ"/>
              </w:rPr>
              <w:t xml:space="preserve"> was not met after 40 months and was 36 months in the comparator arm.</w:t>
            </w:r>
          </w:p>
          <w:p w14:paraId="4E4D6EFE" w14:textId="77777777" w:rsidR="00EF6173" w:rsidRPr="00E44F3E" w:rsidRDefault="00EF6173" w:rsidP="00EF6173">
            <w:pPr>
              <w:pStyle w:val="TableBullet"/>
              <w:keepLines/>
              <w:rPr>
                <w:szCs w:val="18"/>
                <w:lang w:eastAsia="en-NZ"/>
              </w:rPr>
            </w:pPr>
            <w:r w:rsidRPr="00E44F3E">
              <w:rPr>
                <w:szCs w:val="18"/>
                <w:lang w:eastAsia="en-NZ"/>
              </w:rPr>
              <w:t xml:space="preserve">Estimated 3-year survival was 82% vs 50% in the comparator. </w:t>
            </w:r>
          </w:p>
          <w:p w14:paraId="0BA7DC72" w14:textId="77777777" w:rsidR="00EF6173" w:rsidRPr="00E44F3E" w:rsidRDefault="00EF6173" w:rsidP="00EF6173">
            <w:pPr>
              <w:pStyle w:val="TableBullet"/>
              <w:keepLines/>
              <w:rPr>
                <w:szCs w:val="18"/>
                <w:lang w:eastAsia="en-NZ"/>
              </w:rPr>
            </w:pPr>
            <w:r w:rsidRPr="00E44F3E">
              <w:rPr>
                <w:szCs w:val="18"/>
                <w:lang w:eastAsia="en-NZ"/>
              </w:rPr>
              <w:t xml:space="preserve">Quality of life measured as exploratory endpoint only. </w:t>
            </w:r>
          </w:p>
          <w:p w14:paraId="41C0B08B" w14:textId="77777777" w:rsidR="00EF6173" w:rsidRPr="00E44F3E" w:rsidRDefault="00EF6173" w:rsidP="00EF6173">
            <w:pPr>
              <w:pStyle w:val="TableBullet"/>
              <w:keepLines/>
              <w:rPr>
                <w:szCs w:val="18"/>
                <w:lang w:eastAsia="en-NZ"/>
              </w:rPr>
            </w:pPr>
            <w:r w:rsidRPr="00E44F3E">
              <w:rPr>
                <w:szCs w:val="18"/>
                <w:lang w:eastAsia="en-NZ"/>
              </w:rPr>
              <w:t xml:space="preserve">Both </w:t>
            </w:r>
            <w:proofErr w:type="spellStart"/>
            <w:r w:rsidRPr="00E44F3E">
              <w:rPr>
                <w:szCs w:val="18"/>
                <w:lang w:eastAsia="en-NZ"/>
              </w:rPr>
              <w:t>obinutuzumab</w:t>
            </w:r>
            <w:proofErr w:type="spellEnd"/>
            <w:r w:rsidRPr="00E44F3E">
              <w:rPr>
                <w:szCs w:val="18"/>
                <w:lang w:eastAsia="en-NZ"/>
              </w:rPr>
              <w:t xml:space="preserve"> and </w:t>
            </w:r>
            <w:proofErr w:type="spellStart"/>
            <w:r w:rsidRPr="00E44F3E">
              <w:rPr>
                <w:szCs w:val="18"/>
                <w:lang w:eastAsia="en-NZ"/>
              </w:rPr>
              <w:t>venetoclax</w:t>
            </w:r>
            <w:proofErr w:type="spellEnd"/>
            <w:r w:rsidRPr="00E44F3E">
              <w:rPr>
                <w:szCs w:val="18"/>
                <w:lang w:eastAsia="en-NZ"/>
              </w:rPr>
              <w:t xml:space="preserve"> would need to be funded for this indication to close this gap. </w:t>
            </w:r>
          </w:p>
        </w:tc>
      </w:tr>
      <w:tr w:rsidR="00EF6173" w:rsidRPr="00E44F3E" w14:paraId="3238A6AA" w14:textId="77777777" w:rsidTr="0069375A">
        <w:trPr>
          <w:trHeight w:val="20"/>
        </w:trPr>
        <w:tc>
          <w:tcPr>
            <w:tcW w:w="0" w:type="auto"/>
            <w:shd w:val="clear" w:color="auto" w:fill="auto"/>
            <w:hideMark/>
          </w:tcPr>
          <w:p w14:paraId="4537452A" w14:textId="77777777" w:rsidR="00EF6173" w:rsidRPr="00E44F3E" w:rsidRDefault="00EF6173" w:rsidP="00EF6173">
            <w:pPr>
              <w:pStyle w:val="TableText"/>
              <w:keepLines/>
              <w:rPr>
                <w:szCs w:val="18"/>
                <w:lang w:eastAsia="en-NZ"/>
              </w:rPr>
            </w:pPr>
            <w:r w:rsidRPr="00E44F3E">
              <w:rPr>
                <w:szCs w:val="18"/>
                <w:lang w:eastAsia="en-NZ"/>
              </w:rPr>
              <w:lastRenderedPageBreak/>
              <w:t xml:space="preserve">Brentuximab </w:t>
            </w:r>
            <w:proofErr w:type="spellStart"/>
            <w:r w:rsidRPr="00E44F3E">
              <w:rPr>
                <w:szCs w:val="18"/>
                <w:lang w:eastAsia="en-NZ"/>
              </w:rPr>
              <w:t>vedotin</w:t>
            </w:r>
            <w:proofErr w:type="spellEnd"/>
          </w:p>
        </w:tc>
        <w:tc>
          <w:tcPr>
            <w:tcW w:w="0" w:type="auto"/>
            <w:shd w:val="clear" w:color="auto" w:fill="auto"/>
            <w:hideMark/>
          </w:tcPr>
          <w:p w14:paraId="74652529" w14:textId="77777777" w:rsidR="00EF6173" w:rsidRPr="00E44F3E" w:rsidRDefault="00EF6173" w:rsidP="00EF6173">
            <w:pPr>
              <w:pStyle w:val="TableText"/>
              <w:keepLines/>
              <w:rPr>
                <w:szCs w:val="18"/>
                <w:lang w:eastAsia="en-NZ"/>
              </w:rPr>
            </w:pPr>
            <w:r w:rsidRPr="00E44F3E">
              <w:rPr>
                <w:szCs w:val="18"/>
                <w:lang w:eastAsia="en-NZ"/>
              </w:rPr>
              <w:t xml:space="preserve">Cyclophosphamide, </w:t>
            </w:r>
            <w:proofErr w:type="gramStart"/>
            <w:r w:rsidRPr="00E44F3E">
              <w:rPr>
                <w:szCs w:val="18"/>
                <w:lang w:eastAsia="en-NZ"/>
              </w:rPr>
              <w:t>doxorubicin</w:t>
            </w:r>
            <w:proofErr w:type="gramEnd"/>
            <w:r w:rsidRPr="00E44F3E">
              <w:rPr>
                <w:szCs w:val="18"/>
                <w:lang w:eastAsia="en-NZ"/>
              </w:rPr>
              <w:t xml:space="preserve"> and prednisone</w:t>
            </w:r>
          </w:p>
        </w:tc>
        <w:tc>
          <w:tcPr>
            <w:tcW w:w="0" w:type="auto"/>
            <w:shd w:val="clear" w:color="auto" w:fill="auto"/>
            <w:hideMark/>
          </w:tcPr>
          <w:p w14:paraId="674F8BFB" w14:textId="6528FAC1" w:rsidR="00EF6173" w:rsidRPr="00E44F3E" w:rsidRDefault="00EF6173" w:rsidP="00EF6173">
            <w:pPr>
              <w:pStyle w:val="TableText"/>
              <w:keepLines/>
              <w:rPr>
                <w:szCs w:val="18"/>
                <w:lang w:eastAsia="en-NZ"/>
              </w:rPr>
            </w:pPr>
            <w:r w:rsidRPr="00E44F3E">
              <w:rPr>
                <w:szCs w:val="18"/>
                <w:lang w:eastAsia="en-NZ"/>
              </w:rPr>
              <w:t>Peripheral T</w:t>
            </w:r>
            <w:r>
              <w:rPr>
                <w:szCs w:val="18"/>
                <w:lang w:eastAsia="en-NZ"/>
              </w:rPr>
              <w:noBreakHyphen/>
            </w:r>
            <w:r w:rsidRPr="00E44F3E">
              <w:rPr>
                <w:szCs w:val="18"/>
                <w:lang w:eastAsia="en-NZ"/>
              </w:rPr>
              <w:t xml:space="preserve">cell lymphoma, non-cutaneous type </w:t>
            </w:r>
          </w:p>
        </w:tc>
        <w:tc>
          <w:tcPr>
            <w:tcW w:w="0" w:type="auto"/>
            <w:shd w:val="clear" w:color="auto" w:fill="auto"/>
            <w:hideMark/>
          </w:tcPr>
          <w:p w14:paraId="71BA0036" w14:textId="6356DAE9" w:rsidR="00EF6173" w:rsidRPr="00E44F3E" w:rsidRDefault="00EF6173" w:rsidP="00EF6173">
            <w:pPr>
              <w:pStyle w:val="TableText"/>
              <w:keepLines/>
              <w:rPr>
                <w:szCs w:val="18"/>
                <w:lang w:eastAsia="en-NZ"/>
              </w:rPr>
            </w:pPr>
            <w:r w:rsidRPr="00E44F3E">
              <w:rPr>
                <w:szCs w:val="18"/>
                <w:lang w:eastAsia="en-NZ"/>
              </w:rPr>
              <w:t>First</w:t>
            </w:r>
            <w:r>
              <w:rPr>
                <w:szCs w:val="18"/>
                <w:lang w:eastAsia="en-NZ"/>
              </w:rPr>
              <w:t>-</w:t>
            </w:r>
            <w:r w:rsidRPr="00E44F3E">
              <w:rPr>
                <w:szCs w:val="18"/>
                <w:lang w:eastAsia="en-NZ"/>
              </w:rPr>
              <w:t>line treatment with curative intent, CD30</w:t>
            </w:r>
            <w:r>
              <w:rPr>
                <w:szCs w:val="18"/>
                <w:lang w:eastAsia="en-NZ"/>
              </w:rPr>
              <w:t>-</w:t>
            </w:r>
            <w:r w:rsidRPr="00E44F3E">
              <w:rPr>
                <w:szCs w:val="18"/>
                <w:lang w:eastAsia="en-NZ"/>
              </w:rPr>
              <w:t xml:space="preserve">positive </w:t>
            </w:r>
          </w:p>
        </w:tc>
        <w:tc>
          <w:tcPr>
            <w:tcW w:w="0" w:type="auto"/>
            <w:shd w:val="clear" w:color="auto" w:fill="auto"/>
            <w:hideMark/>
          </w:tcPr>
          <w:p w14:paraId="07A70444" w14:textId="77777777" w:rsidR="00EF6173" w:rsidRPr="00E44F3E" w:rsidRDefault="00EF6173" w:rsidP="00EF6173">
            <w:pPr>
              <w:pStyle w:val="TableText"/>
              <w:keepLines/>
              <w:jc w:val="center"/>
              <w:rPr>
                <w:szCs w:val="18"/>
                <w:lang w:eastAsia="en-NZ"/>
              </w:rPr>
            </w:pPr>
            <w:r w:rsidRPr="00E44F3E">
              <w:rPr>
                <w:szCs w:val="18"/>
                <w:lang w:eastAsia="en-NZ"/>
              </w:rPr>
              <w:t>ECHELON-2</w:t>
            </w:r>
          </w:p>
          <w:p w14:paraId="26861509" w14:textId="78A15701" w:rsidR="00EF6173" w:rsidRPr="00E44F3E" w:rsidRDefault="00EF6173" w:rsidP="00EF6173">
            <w:pPr>
              <w:pStyle w:val="TableText"/>
              <w:keepLines/>
              <w:jc w:val="center"/>
              <w:rPr>
                <w:szCs w:val="18"/>
                <w:lang w:eastAsia="en-NZ"/>
              </w:rPr>
            </w:pPr>
            <w:r w:rsidRPr="00E44F3E">
              <w:rPr>
                <w:szCs w:val="18"/>
                <w:lang w:eastAsia="en-NZ"/>
              </w:rPr>
              <w:t>(Horwitz et al 2019; Horwitz et al 2022)</w:t>
            </w:r>
          </w:p>
        </w:tc>
        <w:tc>
          <w:tcPr>
            <w:tcW w:w="0" w:type="auto"/>
            <w:shd w:val="clear" w:color="auto" w:fill="auto"/>
            <w:hideMark/>
          </w:tcPr>
          <w:p w14:paraId="0271BBE5" w14:textId="77777777" w:rsidR="00EF6173" w:rsidRPr="00C86FFF" w:rsidRDefault="00EF6173" w:rsidP="00EF6173">
            <w:pPr>
              <w:pStyle w:val="TableText"/>
              <w:keepLines/>
              <w:jc w:val="center"/>
              <w:rPr>
                <w:b/>
                <w:bCs/>
                <w:szCs w:val="18"/>
                <w:lang w:eastAsia="en-NZ"/>
              </w:rPr>
            </w:pPr>
            <w:r w:rsidRPr="00C86FFF">
              <w:rPr>
                <w:b/>
                <w:bCs/>
                <w:szCs w:val="18"/>
                <w:lang w:eastAsia="en-NZ"/>
              </w:rPr>
              <w:t>2</w:t>
            </w:r>
          </w:p>
          <w:p w14:paraId="72314C3D" w14:textId="1851194A" w:rsidR="00EF6173" w:rsidRPr="00E44F3E" w:rsidRDefault="00EF6173" w:rsidP="00EF6173">
            <w:pPr>
              <w:pStyle w:val="TableText"/>
              <w:keepLines/>
              <w:jc w:val="center"/>
              <w:rPr>
                <w:szCs w:val="18"/>
                <w:lang w:eastAsia="en-NZ"/>
              </w:rPr>
            </w:pPr>
            <w:r>
              <w:rPr>
                <w:szCs w:val="18"/>
                <w:lang w:eastAsia="en-NZ"/>
              </w:rPr>
              <w:t>(2a)</w:t>
            </w:r>
          </w:p>
        </w:tc>
        <w:tc>
          <w:tcPr>
            <w:tcW w:w="0" w:type="auto"/>
            <w:shd w:val="clear" w:color="auto" w:fill="auto"/>
            <w:hideMark/>
          </w:tcPr>
          <w:p w14:paraId="7B3DA4DD" w14:textId="4418201C" w:rsidR="00EF6173" w:rsidRPr="00E44F3E" w:rsidRDefault="00EF6173" w:rsidP="00EF6173">
            <w:pPr>
              <w:pStyle w:val="TableBullet"/>
              <w:keepLines/>
              <w:rPr>
                <w:szCs w:val="18"/>
                <w:lang w:eastAsia="en-NZ"/>
              </w:rPr>
            </w:pPr>
            <w:bookmarkStart w:id="230" w:name="_Hlk177387487"/>
            <w:r w:rsidRPr="00E44F3E">
              <w:rPr>
                <w:szCs w:val="18"/>
                <w:lang w:eastAsia="en-NZ"/>
              </w:rPr>
              <w:t xml:space="preserve">Derived ESMO-MCBS:H score </w:t>
            </w:r>
            <w:bookmarkEnd w:id="230"/>
            <w:r w:rsidRPr="00E44F3E">
              <w:rPr>
                <w:szCs w:val="18"/>
                <w:lang w:eastAsia="en-NZ"/>
              </w:rPr>
              <w:t xml:space="preserve">is based on a comparator (CHOP chemotherapy) that is publicly funded in </w:t>
            </w:r>
            <w:r>
              <w:rPr>
                <w:szCs w:val="18"/>
              </w:rPr>
              <w:t>Aotearoa New Zealand</w:t>
            </w:r>
            <w:r w:rsidRPr="00E44F3E">
              <w:rPr>
                <w:szCs w:val="18"/>
              </w:rPr>
              <w:t xml:space="preserve">, </w:t>
            </w:r>
            <w:r w:rsidRPr="00E44F3E">
              <w:rPr>
                <w:szCs w:val="18"/>
                <w:lang w:eastAsia="en-NZ"/>
              </w:rPr>
              <w:t xml:space="preserve">so the derived score is reflective of the gap between Australia and </w:t>
            </w:r>
            <w:r>
              <w:rPr>
                <w:szCs w:val="18"/>
              </w:rPr>
              <w:t>Aotearoa New Zealand</w:t>
            </w:r>
            <w:r w:rsidRPr="00E44F3E">
              <w:rPr>
                <w:szCs w:val="18"/>
                <w:lang w:eastAsia="en-NZ"/>
              </w:rPr>
              <w:t>.</w:t>
            </w:r>
            <w:r>
              <w:rPr>
                <w:szCs w:val="18"/>
                <w:lang w:eastAsia="en-NZ"/>
              </w:rPr>
              <w:t xml:space="preserve"> </w:t>
            </w:r>
          </w:p>
          <w:p w14:paraId="06EAAEF8" w14:textId="6C94B753" w:rsidR="00EF6173" w:rsidRPr="00E44F3E" w:rsidRDefault="00EF6173" w:rsidP="00EF6173">
            <w:pPr>
              <w:pStyle w:val="TableBullet"/>
              <w:keepLines/>
              <w:rPr>
                <w:szCs w:val="18"/>
                <w:lang w:eastAsia="en-NZ"/>
              </w:rPr>
            </w:pPr>
            <w:bookmarkStart w:id="231" w:name="_Hlk177387460"/>
            <w:r w:rsidRPr="00E44F3E">
              <w:rPr>
                <w:szCs w:val="18"/>
                <w:lang w:eastAsia="en-NZ"/>
              </w:rPr>
              <w:t xml:space="preserve">Primary end point was </w:t>
            </w:r>
            <w:bookmarkEnd w:id="231"/>
            <w:r w:rsidRPr="00E44F3E">
              <w:rPr>
                <w:szCs w:val="18"/>
                <w:lang w:eastAsia="en-NZ"/>
              </w:rPr>
              <w:t>progression</w:t>
            </w:r>
            <w:r>
              <w:rPr>
                <w:szCs w:val="18"/>
                <w:lang w:eastAsia="en-NZ"/>
              </w:rPr>
              <w:t>-</w:t>
            </w:r>
            <w:r w:rsidRPr="00E44F3E">
              <w:rPr>
                <w:szCs w:val="18"/>
                <w:lang w:eastAsia="en-NZ"/>
              </w:rPr>
              <w:t xml:space="preserve">free survival; however, overall survival as a secondary endpoint showed statistically significant differences. </w:t>
            </w:r>
          </w:p>
          <w:p w14:paraId="74471D28" w14:textId="77F61E25" w:rsidR="00EF6173" w:rsidRPr="00E44F3E" w:rsidRDefault="00EF6173" w:rsidP="00EF6173">
            <w:pPr>
              <w:pStyle w:val="TableBullet"/>
              <w:keepLines/>
              <w:rPr>
                <w:szCs w:val="18"/>
                <w:lang w:eastAsia="en-NZ"/>
              </w:rPr>
            </w:pPr>
            <w:r w:rsidRPr="00E44F3E">
              <w:rPr>
                <w:szCs w:val="18"/>
                <w:lang w:eastAsia="en-NZ"/>
              </w:rPr>
              <w:lastRenderedPageBreak/>
              <w:t xml:space="preserve">Median survival was not reached in either trial arm. Estimated 5-year survival was 70% for </w:t>
            </w:r>
            <w:r>
              <w:rPr>
                <w:szCs w:val="18"/>
                <w:lang w:eastAsia="en-NZ"/>
              </w:rPr>
              <w:t>b</w:t>
            </w:r>
            <w:r w:rsidRPr="00E44F3E">
              <w:rPr>
                <w:szCs w:val="18"/>
                <w:lang w:eastAsia="en-NZ"/>
              </w:rPr>
              <w:t xml:space="preserve">rentuximab </w:t>
            </w:r>
            <w:r>
              <w:rPr>
                <w:szCs w:val="18"/>
                <w:lang w:eastAsia="en-NZ"/>
              </w:rPr>
              <w:t>vs</w:t>
            </w:r>
            <w:r w:rsidRPr="00E44F3E">
              <w:rPr>
                <w:szCs w:val="18"/>
                <w:lang w:eastAsia="en-NZ"/>
              </w:rPr>
              <w:t xml:space="preserve"> 61% in the comparator. </w:t>
            </w:r>
          </w:p>
          <w:p w14:paraId="67368928"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EF6173" w:rsidRPr="00E44F3E" w14:paraId="0A6215C4" w14:textId="77777777" w:rsidTr="0069375A">
        <w:trPr>
          <w:trHeight w:val="20"/>
        </w:trPr>
        <w:tc>
          <w:tcPr>
            <w:tcW w:w="0" w:type="auto"/>
            <w:shd w:val="clear" w:color="auto" w:fill="auto"/>
            <w:hideMark/>
          </w:tcPr>
          <w:p w14:paraId="61188EF5" w14:textId="77777777" w:rsidR="00EF6173" w:rsidRPr="00E44F3E" w:rsidRDefault="00EF6173" w:rsidP="00EF6173">
            <w:pPr>
              <w:pStyle w:val="TableText"/>
              <w:keepLines/>
              <w:rPr>
                <w:szCs w:val="18"/>
                <w:lang w:eastAsia="en-NZ"/>
              </w:rPr>
            </w:pPr>
            <w:r w:rsidRPr="00E44F3E">
              <w:rPr>
                <w:szCs w:val="18"/>
                <w:lang w:eastAsia="en-NZ"/>
              </w:rPr>
              <w:lastRenderedPageBreak/>
              <w:t>Daratumumab</w:t>
            </w:r>
          </w:p>
        </w:tc>
        <w:tc>
          <w:tcPr>
            <w:tcW w:w="0" w:type="auto"/>
            <w:shd w:val="clear" w:color="auto" w:fill="auto"/>
            <w:hideMark/>
          </w:tcPr>
          <w:p w14:paraId="0631433F" w14:textId="77777777" w:rsidR="00EF6173" w:rsidRPr="00E44F3E" w:rsidRDefault="00EF6173" w:rsidP="00EF6173">
            <w:pPr>
              <w:pStyle w:val="TableText"/>
              <w:keepLines/>
              <w:rPr>
                <w:szCs w:val="18"/>
                <w:lang w:eastAsia="en-NZ"/>
              </w:rPr>
            </w:pPr>
            <w:r w:rsidRPr="00E44F3E">
              <w:rPr>
                <w:szCs w:val="18"/>
                <w:lang w:eastAsia="en-NZ"/>
              </w:rPr>
              <w:t>Cyclophosphamide, bortezomib and dexamethasone</w:t>
            </w:r>
          </w:p>
        </w:tc>
        <w:tc>
          <w:tcPr>
            <w:tcW w:w="0" w:type="auto"/>
            <w:shd w:val="clear" w:color="auto" w:fill="auto"/>
            <w:hideMark/>
          </w:tcPr>
          <w:p w14:paraId="2AED6D21" w14:textId="77777777" w:rsidR="00EF6173" w:rsidRPr="00E44F3E" w:rsidRDefault="00EF6173" w:rsidP="00EF6173">
            <w:pPr>
              <w:pStyle w:val="TableText"/>
              <w:keepLines/>
              <w:rPr>
                <w:szCs w:val="18"/>
                <w:lang w:eastAsia="en-NZ"/>
              </w:rPr>
            </w:pPr>
            <w:r w:rsidRPr="00E44F3E">
              <w:rPr>
                <w:szCs w:val="18"/>
                <w:lang w:eastAsia="en-NZ"/>
              </w:rPr>
              <w:t>Systemic light chain (AL) amyloidosis</w:t>
            </w:r>
          </w:p>
        </w:tc>
        <w:tc>
          <w:tcPr>
            <w:tcW w:w="0" w:type="auto"/>
            <w:shd w:val="clear" w:color="auto" w:fill="auto"/>
            <w:hideMark/>
          </w:tcPr>
          <w:p w14:paraId="617E7AAA" w14:textId="313E9411" w:rsidR="00EF6173" w:rsidRPr="00E44F3E" w:rsidRDefault="00EF6173" w:rsidP="00EF6173">
            <w:pPr>
              <w:pStyle w:val="TableText"/>
              <w:keepLines/>
              <w:rPr>
                <w:szCs w:val="18"/>
                <w:lang w:eastAsia="en-NZ"/>
              </w:rPr>
            </w:pPr>
            <w:r w:rsidRPr="00E44F3E">
              <w:rPr>
                <w:szCs w:val="18"/>
                <w:lang w:eastAsia="en-NZ"/>
              </w:rPr>
              <w:t xml:space="preserve">Newly </w:t>
            </w:r>
            <w:r>
              <w:rPr>
                <w:szCs w:val="18"/>
                <w:lang w:eastAsia="en-NZ"/>
              </w:rPr>
              <w:t>diagnosed s</w:t>
            </w:r>
            <w:r w:rsidRPr="00E44F3E">
              <w:rPr>
                <w:szCs w:val="18"/>
                <w:lang w:eastAsia="en-NZ"/>
              </w:rPr>
              <w:t>ystemic</w:t>
            </w:r>
            <w:r>
              <w:rPr>
                <w:szCs w:val="18"/>
                <w:lang w:eastAsia="en-NZ"/>
              </w:rPr>
              <w:t xml:space="preserve"> light chain amyloidosis </w:t>
            </w:r>
            <w:r w:rsidRPr="00E44F3E">
              <w:rPr>
                <w:szCs w:val="18"/>
                <w:lang w:eastAsia="en-NZ"/>
              </w:rPr>
              <w:t xml:space="preserve"> </w:t>
            </w:r>
          </w:p>
        </w:tc>
        <w:tc>
          <w:tcPr>
            <w:tcW w:w="0" w:type="auto"/>
            <w:shd w:val="clear" w:color="auto" w:fill="auto"/>
            <w:hideMark/>
          </w:tcPr>
          <w:p w14:paraId="4C34C5F7" w14:textId="77777777" w:rsidR="00EF6173" w:rsidRPr="00E44F3E" w:rsidRDefault="00EF6173" w:rsidP="00EF6173">
            <w:pPr>
              <w:pStyle w:val="TableText"/>
              <w:keepLines/>
              <w:jc w:val="center"/>
              <w:rPr>
                <w:szCs w:val="18"/>
                <w:lang w:eastAsia="en-NZ"/>
              </w:rPr>
            </w:pPr>
            <w:r w:rsidRPr="00E44F3E">
              <w:rPr>
                <w:szCs w:val="18"/>
                <w:lang w:eastAsia="en-NZ"/>
              </w:rPr>
              <w:t>ANDROMEDA</w:t>
            </w:r>
          </w:p>
          <w:p w14:paraId="2A6637C5" w14:textId="3DF11148"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Kastritis</w:t>
            </w:r>
            <w:proofErr w:type="spellEnd"/>
            <w:r w:rsidRPr="00E44F3E">
              <w:rPr>
                <w:szCs w:val="18"/>
                <w:lang w:eastAsia="en-NZ"/>
              </w:rPr>
              <w:t xml:space="preserve"> et al 2021; </w:t>
            </w:r>
            <w:proofErr w:type="spellStart"/>
            <w:r w:rsidRPr="00E44F3E">
              <w:rPr>
                <w:szCs w:val="18"/>
                <w:lang w:eastAsia="en-NZ"/>
              </w:rPr>
              <w:t>Palladini</w:t>
            </w:r>
            <w:proofErr w:type="spellEnd"/>
            <w:r w:rsidRPr="00E44F3E">
              <w:rPr>
                <w:szCs w:val="18"/>
                <w:lang w:eastAsia="en-NZ"/>
              </w:rPr>
              <w:t xml:space="preserve"> et al 2020; </w:t>
            </w:r>
            <w:proofErr w:type="spellStart"/>
            <w:r w:rsidRPr="00E44F3E">
              <w:rPr>
                <w:szCs w:val="18"/>
                <w:lang w:eastAsia="en-NZ"/>
              </w:rPr>
              <w:t>Sanchorawala</w:t>
            </w:r>
            <w:proofErr w:type="spellEnd"/>
            <w:r w:rsidRPr="00E44F3E">
              <w:rPr>
                <w:szCs w:val="18"/>
                <w:lang w:eastAsia="en-NZ"/>
              </w:rPr>
              <w:t xml:space="preserve"> et al 2022)</w:t>
            </w:r>
          </w:p>
        </w:tc>
        <w:tc>
          <w:tcPr>
            <w:tcW w:w="0" w:type="auto"/>
            <w:shd w:val="clear" w:color="auto" w:fill="auto"/>
            <w:hideMark/>
          </w:tcPr>
          <w:p w14:paraId="49282A6C" w14:textId="77777777" w:rsidR="00EF6173" w:rsidRPr="00C86FFF" w:rsidRDefault="00EF6173" w:rsidP="00EF6173">
            <w:pPr>
              <w:pStyle w:val="TableText"/>
              <w:keepLines/>
              <w:jc w:val="center"/>
              <w:rPr>
                <w:b/>
                <w:bCs/>
                <w:szCs w:val="18"/>
                <w:lang w:eastAsia="en-NZ"/>
              </w:rPr>
            </w:pPr>
            <w:r w:rsidRPr="00C86FFF">
              <w:rPr>
                <w:b/>
                <w:bCs/>
                <w:szCs w:val="18"/>
                <w:lang w:eastAsia="en-NZ"/>
              </w:rPr>
              <w:t>2</w:t>
            </w:r>
          </w:p>
          <w:p w14:paraId="0CFB7F04" w14:textId="330C02C5" w:rsidR="00EF6173" w:rsidRPr="00E44F3E" w:rsidRDefault="00EF6173" w:rsidP="00EF6173">
            <w:pPr>
              <w:pStyle w:val="TableText"/>
              <w:keepLines/>
              <w:jc w:val="center"/>
              <w:rPr>
                <w:szCs w:val="18"/>
                <w:lang w:eastAsia="en-NZ"/>
              </w:rPr>
            </w:pPr>
            <w:r>
              <w:rPr>
                <w:szCs w:val="18"/>
                <w:lang w:eastAsia="en-NZ"/>
              </w:rPr>
              <w:t>(2c)</w:t>
            </w:r>
          </w:p>
        </w:tc>
        <w:tc>
          <w:tcPr>
            <w:tcW w:w="0" w:type="auto"/>
            <w:shd w:val="clear" w:color="auto" w:fill="auto"/>
            <w:hideMark/>
          </w:tcPr>
          <w:p w14:paraId="0B04C6EA" w14:textId="5E0D8ED9" w:rsidR="00EF6173" w:rsidRPr="00E44F3E" w:rsidRDefault="00EF6173" w:rsidP="00EF6173">
            <w:pPr>
              <w:pStyle w:val="TableBullet"/>
              <w:keepLines/>
              <w:rPr>
                <w:szCs w:val="18"/>
                <w:lang w:eastAsia="en-NZ"/>
              </w:rPr>
            </w:pPr>
            <w:r w:rsidRPr="00E44F3E">
              <w:rPr>
                <w:szCs w:val="18"/>
                <w:lang w:eastAsia="en-NZ"/>
              </w:rPr>
              <w:t>Derived ESMO-MCBS:H score is based on a comparator (</w:t>
            </w:r>
            <w:r>
              <w:rPr>
                <w:szCs w:val="18"/>
                <w:lang w:eastAsia="en-NZ"/>
              </w:rPr>
              <w:t>b</w:t>
            </w:r>
            <w:r w:rsidRPr="00E44F3E">
              <w:rPr>
                <w:szCs w:val="18"/>
                <w:lang w:eastAsia="en-NZ"/>
              </w:rPr>
              <w:t xml:space="preserve">ortezomib, cyclophosphamide, dexamethasone) that is publicly funded in </w:t>
            </w:r>
            <w:r>
              <w:rPr>
                <w:szCs w:val="18"/>
              </w:rPr>
              <w:t>Aotearoa New Zealand,</w:t>
            </w:r>
            <w:r w:rsidRPr="00E44F3E">
              <w:rPr>
                <w:szCs w:val="18"/>
              </w:rPr>
              <w:t xml:space="preserve"> </w:t>
            </w:r>
            <w:r w:rsidRPr="00E44F3E">
              <w:rPr>
                <w:szCs w:val="18"/>
                <w:lang w:eastAsia="en-NZ"/>
              </w:rPr>
              <w:t xml:space="preserve">so the derived score is reflective of the gap between Australia and </w:t>
            </w:r>
            <w:r>
              <w:rPr>
                <w:szCs w:val="18"/>
              </w:rPr>
              <w:t>Aotearoa New Zealand</w:t>
            </w:r>
            <w:r w:rsidRPr="00E44F3E">
              <w:rPr>
                <w:szCs w:val="18"/>
                <w:lang w:eastAsia="en-NZ"/>
              </w:rPr>
              <w:t>.</w:t>
            </w:r>
          </w:p>
          <w:p w14:paraId="514FC8BD" w14:textId="03F911AF" w:rsidR="00EF6173" w:rsidRPr="00E44F3E" w:rsidRDefault="00EF6173" w:rsidP="00EF6173">
            <w:pPr>
              <w:pStyle w:val="TableBullet"/>
              <w:keepLines/>
              <w:rPr>
                <w:szCs w:val="18"/>
                <w:lang w:eastAsia="en-NZ"/>
              </w:rPr>
            </w:pPr>
            <w:r w:rsidRPr="00E44F3E">
              <w:rPr>
                <w:szCs w:val="18"/>
                <w:lang w:eastAsia="en-NZ"/>
              </w:rPr>
              <w:t>Primary end point was haematologic complete response</w:t>
            </w:r>
            <w:r>
              <w:rPr>
                <w:szCs w:val="18"/>
                <w:lang w:eastAsia="en-NZ"/>
              </w:rPr>
              <w:t xml:space="preserve"> –</w:t>
            </w:r>
            <w:r w:rsidRPr="00E44F3E">
              <w:rPr>
                <w:szCs w:val="18"/>
                <w:lang w:eastAsia="en-NZ"/>
              </w:rPr>
              <w:t xml:space="preserve"> 53% of patients in daratumumab trial arm achieved complete haematologic response </w:t>
            </w:r>
            <w:r>
              <w:rPr>
                <w:szCs w:val="18"/>
                <w:lang w:eastAsia="en-NZ"/>
              </w:rPr>
              <w:t>vs</w:t>
            </w:r>
            <w:r w:rsidRPr="00E44F3E">
              <w:rPr>
                <w:szCs w:val="18"/>
                <w:lang w:eastAsia="en-NZ"/>
              </w:rPr>
              <w:t xml:space="preserve"> 18% in the comparator arm. </w:t>
            </w:r>
          </w:p>
          <w:p w14:paraId="7CD4CA4E" w14:textId="77777777" w:rsidR="00EF6173" w:rsidRPr="00E44F3E" w:rsidRDefault="00EF6173" w:rsidP="00EF6173">
            <w:pPr>
              <w:pStyle w:val="TableBullet"/>
              <w:keepLines/>
              <w:rPr>
                <w:szCs w:val="18"/>
                <w:lang w:eastAsia="en-NZ"/>
              </w:rPr>
            </w:pPr>
            <w:r w:rsidRPr="00E44F3E">
              <w:rPr>
                <w:szCs w:val="18"/>
                <w:lang w:eastAsia="en-NZ"/>
              </w:rPr>
              <w:t xml:space="preserve">Quality of life was measured but did not show a global statistically significant improvement. </w:t>
            </w:r>
          </w:p>
        </w:tc>
      </w:tr>
      <w:tr w:rsidR="00EF6173" w:rsidRPr="00E44F3E" w14:paraId="75E87F3A" w14:textId="77777777" w:rsidTr="0069375A">
        <w:trPr>
          <w:trHeight w:val="20"/>
        </w:trPr>
        <w:tc>
          <w:tcPr>
            <w:tcW w:w="0" w:type="auto"/>
            <w:shd w:val="clear" w:color="auto" w:fill="auto"/>
            <w:hideMark/>
          </w:tcPr>
          <w:p w14:paraId="38D306D2" w14:textId="77777777" w:rsidR="00EF6173" w:rsidRPr="00E44F3E" w:rsidRDefault="00EF6173" w:rsidP="00EF6173">
            <w:pPr>
              <w:pStyle w:val="TableText"/>
              <w:keepLines/>
              <w:rPr>
                <w:szCs w:val="18"/>
                <w:lang w:eastAsia="en-NZ"/>
              </w:rPr>
            </w:pPr>
            <w:r w:rsidRPr="00E44F3E">
              <w:rPr>
                <w:szCs w:val="18"/>
                <w:lang w:eastAsia="en-NZ"/>
              </w:rPr>
              <w:lastRenderedPageBreak/>
              <w:t>Pomalidomide</w:t>
            </w:r>
          </w:p>
        </w:tc>
        <w:tc>
          <w:tcPr>
            <w:tcW w:w="0" w:type="auto"/>
            <w:shd w:val="clear" w:color="auto" w:fill="auto"/>
            <w:hideMark/>
          </w:tcPr>
          <w:p w14:paraId="12B98A19" w14:textId="77777777" w:rsidR="00EF6173" w:rsidRPr="00E44F3E" w:rsidRDefault="00EF6173" w:rsidP="00EF6173">
            <w:pPr>
              <w:pStyle w:val="TableText"/>
              <w:keepLines/>
              <w:rPr>
                <w:szCs w:val="18"/>
                <w:lang w:eastAsia="en-NZ"/>
              </w:rPr>
            </w:pPr>
            <w:r w:rsidRPr="00E44F3E">
              <w:rPr>
                <w:szCs w:val="18"/>
                <w:lang w:eastAsia="en-NZ"/>
              </w:rPr>
              <w:t>Dexamethasone and bortezomib</w:t>
            </w:r>
          </w:p>
        </w:tc>
        <w:tc>
          <w:tcPr>
            <w:tcW w:w="0" w:type="auto"/>
            <w:shd w:val="clear" w:color="auto" w:fill="auto"/>
            <w:hideMark/>
          </w:tcPr>
          <w:p w14:paraId="72F39275" w14:textId="77777777" w:rsidR="00EF6173" w:rsidRPr="00E44F3E" w:rsidRDefault="00EF6173" w:rsidP="00EF6173">
            <w:pPr>
              <w:pStyle w:val="TableText"/>
              <w:keepLines/>
              <w:rPr>
                <w:szCs w:val="18"/>
                <w:lang w:eastAsia="en-NZ"/>
              </w:rPr>
            </w:pPr>
            <w:r w:rsidRPr="00E44F3E">
              <w:rPr>
                <w:szCs w:val="18"/>
                <w:lang w:eastAsia="en-NZ"/>
              </w:rPr>
              <w:t xml:space="preserve">Multiple myeloma (MM) </w:t>
            </w:r>
          </w:p>
        </w:tc>
        <w:tc>
          <w:tcPr>
            <w:tcW w:w="0" w:type="auto"/>
            <w:shd w:val="clear" w:color="auto" w:fill="auto"/>
            <w:hideMark/>
          </w:tcPr>
          <w:p w14:paraId="0546873F" w14:textId="77777777" w:rsidR="00EF6173" w:rsidRPr="00E44F3E" w:rsidRDefault="00EF6173" w:rsidP="00EF6173">
            <w:pPr>
              <w:pStyle w:val="TableText"/>
              <w:keepLines/>
              <w:rPr>
                <w:szCs w:val="18"/>
                <w:lang w:eastAsia="en-NZ"/>
              </w:rPr>
            </w:pPr>
            <w:r w:rsidRPr="00E44F3E">
              <w:rPr>
                <w:szCs w:val="18"/>
                <w:lang w:eastAsia="en-NZ"/>
              </w:rPr>
              <w:t xml:space="preserve">Second line triple combination therapy </w:t>
            </w:r>
          </w:p>
        </w:tc>
        <w:tc>
          <w:tcPr>
            <w:tcW w:w="0" w:type="auto"/>
            <w:shd w:val="clear" w:color="auto" w:fill="auto"/>
            <w:hideMark/>
          </w:tcPr>
          <w:p w14:paraId="7DBF2F5C" w14:textId="77777777" w:rsidR="00EF6173" w:rsidRPr="00E44F3E" w:rsidRDefault="00EF6173" w:rsidP="00EF6173">
            <w:pPr>
              <w:pStyle w:val="TableText"/>
              <w:keepLines/>
              <w:jc w:val="center"/>
              <w:rPr>
                <w:szCs w:val="18"/>
                <w:lang w:eastAsia="en-NZ"/>
              </w:rPr>
            </w:pPr>
            <w:r w:rsidRPr="00E44F3E">
              <w:rPr>
                <w:szCs w:val="18"/>
                <w:lang w:eastAsia="en-NZ"/>
              </w:rPr>
              <w:t>OPTIMISMM</w:t>
            </w:r>
          </w:p>
          <w:p w14:paraId="5E4B660B" w14:textId="662A6F0C"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Dimopoulos</w:t>
            </w:r>
            <w:proofErr w:type="spellEnd"/>
            <w:r w:rsidRPr="00E44F3E">
              <w:rPr>
                <w:szCs w:val="18"/>
                <w:lang w:eastAsia="en-NZ"/>
              </w:rPr>
              <w:t xml:space="preserve"> et al 2021; Richardson et al 2019; Richardson et al 2022)</w:t>
            </w:r>
          </w:p>
        </w:tc>
        <w:tc>
          <w:tcPr>
            <w:tcW w:w="0" w:type="auto"/>
            <w:shd w:val="clear" w:color="auto" w:fill="auto"/>
            <w:hideMark/>
          </w:tcPr>
          <w:p w14:paraId="06EF9314" w14:textId="77777777" w:rsidR="00EF6173" w:rsidRPr="00C86FFF" w:rsidRDefault="00EF6173" w:rsidP="00EF6173">
            <w:pPr>
              <w:pStyle w:val="TableText"/>
              <w:keepLines/>
              <w:jc w:val="center"/>
              <w:rPr>
                <w:b/>
                <w:bCs/>
                <w:szCs w:val="18"/>
                <w:lang w:eastAsia="en-NZ"/>
              </w:rPr>
            </w:pPr>
            <w:r w:rsidRPr="00C86FFF">
              <w:rPr>
                <w:b/>
                <w:bCs/>
                <w:szCs w:val="18"/>
                <w:lang w:eastAsia="en-NZ"/>
              </w:rPr>
              <w:t>2</w:t>
            </w:r>
          </w:p>
          <w:p w14:paraId="64253867" w14:textId="34156D87"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0E8CE712" w14:textId="136A2360" w:rsidR="00EF6173" w:rsidRPr="00E44F3E" w:rsidRDefault="00EF6173" w:rsidP="00EF6173">
            <w:pPr>
              <w:pStyle w:val="TableBullet"/>
              <w:keepLines/>
              <w:rPr>
                <w:szCs w:val="18"/>
                <w:lang w:eastAsia="en-NZ"/>
              </w:rPr>
            </w:pPr>
            <w:r w:rsidRPr="00E44F3E">
              <w:rPr>
                <w:szCs w:val="18"/>
                <w:lang w:eastAsia="en-NZ"/>
              </w:rPr>
              <w:t xml:space="preserve">Derived ESMO-MCBS:H score is based on a comparator (bortezomib with dexamethasone) that is publicly funded in </w:t>
            </w:r>
            <w:r>
              <w:rPr>
                <w:szCs w:val="18"/>
              </w:rPr>
              <w:t>Aotearoa New Zealand</w:t>
            </w:r>
            <w:r w:rsidRPr="00E44F3E">
              <w:rPr>
                <w:szCs w:val="18"/>
              </w:rPr>
              <w:t xml:space="preserve"> </w:t>
            </w:r>
            <w:r w:rsidRPr="00E44F3E">
              <w:rPr>
                <w:szCs w:val="18"/>
                <w:lang w:eastAsia="en-NZ"/>
              </w:rPr>
              <w:t>for this indication</w:t>
            </w:r>
            <w:r>
              <w:rPr>
                <w:szCs w:val="18"/>
                <w:lang w:eastAsia="en-NZ"/>
              </w:rPr>
              <w:t>,</w:t>
            </w:r>
            <w:r w:rsidRPr="00E44F3E">
              <w:rPr>
                <w:szCs w:val="18"/>
                <w:lang w:eastAsia="en-NZ"/>
              </w:rPr>
              <w:t xml:space="preserve"> so the derived score is reflective of the gap between Australia and </w:t>
            </w:r>
            <w:r>
              <w:rPr>
                <w:szCs w:val="18"/>
              </w:rPr>
              <w:t>Aotearoa New Zealand</w:t>
            </w:r>
            <w:r w:rsidRPr="00E44F3E">
              <w:rPr>
                <w:szCs w:val="18"/>
                <w:lang w:eastAsia="en-NZ"/>
              </w:rPr>
              <w:t xml:space="preserve">. </w:t>
            </w:r>
          </w:p>
          <w:p w14:paraId="4E8948D9" w14:textId="2399B6E0" w:rsidR="00EF6173" w:rsidRPr="00E44F3E" w:rsidRDefault="00EF6173" w:rsidP="00EF6173">
            <w:pPr>
              <w:pStyle w:val="TableBullet"/>
              <w:keepLines/>
              <w:rPr>
                <w:szCs w:val="18"/>
                <w:lang w:eastAsia="en-NZ"/>
              </w:rPr>
            </w:pPr>
            <w:r w:rsidRPr="00E44F3E">
              <w:rPr>
                <w:szCs w:val="18"/>
                <w:lang w:eastAsia="en-NZ"/>
              </w:rPr>
              <w:t>Primary end point was progression</w:t>
            </w:r>
            <w:r>
              <w:rPr>
                <w:szCs w:val="18"/>
                <w:lang w:eastAsia="en-NZ"/>
              </w:rPr>
              <w:t>-</w:t>
            </w:r>
            <w:r w:rsidRPr="00E44F3E">
              <w:rPr>
                <w:szCs w:val="18"/>
                <w:lang w:eastAsia="en-NZ"/>
              </w:rPr>
              <w:t>free survival. Median progression</w:t>
            </w:r>
            <w:r>
              <w:rPr>
                <w:szCs w:val="18"/>
                <w:lang w:eastAsia="en-NZ"/>
              </w:rPr>
              <w:t>-</w:t>
            </w:r>
            <w:r w:rsidRPr="00E44F3E">
              <w:rPr>
                <w:szCs w:val="18"/>
                <w:lang w:eastAsia="en-NZ"/>
              </w:rPr>
              <w:t xml:space="preserve">free survival was 11 months with pomalidomide with bortezomib and dexamethasone </w:t>
            </w:r>
            <w:r>
              <w:rPr>
                <w:szCs w:val="18"/>
                <w:lang w:eastAsia="en-NZ"/>
              </w:rPr>
              <w:t>vs</w:t>
            </w:r>
            <w:r w:rsidRPr="00E44F3E">
              <w:rPr>
                <w:szCs w:val="18"/>
                <w:lang w:eastAsia="en-NZ"/>
              </w:rPr>
              <w:t xml:space="preserve"> 7 months with the comparator. </w:t>
            </w:r>
          </w:p>
          <w:p w14:paraId="03BC9D3A" w14:textId="77777777" w:rsidR="00EF6173" w:rsidRPr="00E44F3E" w:rsidRDefault="00EF6173" w:rsidP="00EF6173">
            <w:pPr>
              <w:pStyle w:val="TableBullet"/>
              <w:keepLines/>
              <w:rPr>
                <w:szCs w:val="18"/>
                <w:lang w:eastAsia="en-NZ"/>
              </w:rPr>
            </w:pPr>
            <w:r w:rsidRPr="00E44F3E">
              <w:rPr>
                <w:szCs w:val="18"/>
                <w:lang w:eastAsia="en-NZ"/>
              </w:rPr>
              <w:t xml:space="preserve">Quality of life was measured as an exploratory endpoint only. </w:t>
            </w:r>
          </w:p>
        </w:tc>
      </w:tr>
      <w:tr w:rsidR="00EF6173" w:rsidRPr="00E44F3E" w14:paraId="06F05E3F" w14:textId="77777777" w:rsidTr="0069375A">
        <w:trPr>
          <w:trHeight w:val="20"/>
        </w:trPr>
        <w:tc>
          <w:tcPr>
            <w:tcW w:w="0" w:type="auto"/>
            <w:shd w:val="clear" w:color="auto" w:fill="auto"/>
            <w:hideMark/>
          </w:tcPr>
          <w:p w14:paraId="7365C702" w14:textId="77777777" w:rsidR="00EF6173" w:rsidRPr="00E44F3E" w:rsidRDefault="00EF6173" w:rsidP="00EF6173">
            <w:pPr>
              <w:pStyle w:val="TableText"/>
              <w:keepLines/>
              <w:rPr>
                <w:szCs w:val="18"/>
                <w:lang w:eastAsia="en-NZ"/>
              </w:rPr>
            </w:pPr>
            <w:r w:rsidRPr="00E44F3E">
              <w:rPr>
                <w:szCs w:val="18"/>
                <w:lang w:eastAsia="en-NZ"/>
              </w:rPr>
              <w:t>Ponatinib</w:t>
            </w:r>
          </w:p>
        </w:tc>
        <w:tc>
          <w:tcPr>
            <w:tcW w:w="0" w:type="auto"/>
            <w:shd w:val="clear" w:color="auto" w:fill="auto"/>
            <w:hideMark/>
          </w:tcPr>
          <w:p w14:paraId="22908A25"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1E106F02" w14:textId="77777777" w:rsidR="00EF6173" w:rsidRPr="00E44F3E" w:rsidRDefault="00EF6173" w:rsidP="00EF6173">
            <w:pPr>
              <w:pStyle w:val="TableText"/>
              <w:keepLines/>
              <w:rPr>
                <w:szCs w:val="18"/>
                <w:lang w:eastAsia="en-NZ"/>
              </w:rPr>
            </w:pPr>
            <w:r w:rsidRPr="00E44F3E">
              <w:rPr>
                <w:szCs w:val="18"/>
                <w:lang w:eastAsia="en-NZ"/>
              </w:rPr>
              <w:t>Acute lymphoblastic leukaemia (ALL)</w:t>
            </w:r>
          </w:p>
        </w:tc>
        <w:tc>
          <w:tcPr>
            <w:tcW w:w="0" w:type="auto"/>
            <w:shd w:val="clear" w:color="auto" w:fill="auto"/>
            <w:hideMark/>
          </w:tcPr>
          <w:p w14:paraId="777F50BA" w14:textId="11FCC68A" w:rsidR="00EF6173" w:rsidRPr="00E44F3E" w:rsidRDefault="00EF6173" w:rsidP="00EF6173">
            <w:pPr>
              <w:pStyle w:val="TableText"/>
              <w:keepLines/>
              <w:rPr>
                <w:szCs w:val="18"/>
                <w:lang w:eastAsia="en-NZ"/>
              </w:rPr>
            </w:pPr>
            <w:r w:rsidRPr="00E44F3E">
              <w:rPr>
                <w:szCs w:val="18"/>
                <w:lang w:eastAsia="en-NZ"/>
              </w:rPr>
              <w:t xml:space="preserve">Second line for patients with T315I, </w:t>
            </w:r>
            <w:r w:rsidRPr="00655EEC">
              <w:rPr>
                <w:szCs w:val="18"/>
                <w:lang w:eastAsia="en-NZ"/>
              </w:rPr>
              <w:t>Philadelphia chromosome positive</w:t>
            </w:r>
            <w:r w:rsidRPr="00E44F3E">
              <w:rPr>
                <w:szCs w:val="18"/>
                <w:lang w:eastAsia="en-NZ"/>
              </w:rPr>
              <w:t xml:space="preserve"> or BCR-ABL mutation</w:t>
            </w:r>
          </w:p>
        </w:tc>
        <w:tc>
          <w:tcPr>
            <w:tcW w:w="0" w:type="auto"/>
            <w:shd w:val="clear" w:color="auto" w:fill="auto"/>
            <w:hideMark/>
          </w:tcPr>
          <w:p w14:paraId="6A48E7D4" w14:textId="17A0BA68" w:rsidR="00EF6173" w:rsidRPr="00E44F3E" w:rsidRDefault="00EF6173" w:rsidP="00EF6173">
            <w:pPr>
              <w:pStyle w:val="TableText"/>
              <w:keepLines/>
              <w:jc w:val="center"/>
              <w:rPr>
                <w:szCs w:val="18"/>
                <w:lang w:eastAsia="en-NZ"/>
              </w:rPr>
            </w:pPr>
            <w:r w:rsidRPr="00E44F3E">
              <w:rPr>
                <w:szCs w:val="18"/>
                <w:lang w:eastAsia="en-NZ"/>
              </w:rPr>
              <w:t>PACE</w:t>
            </w:r>
          </w:p>
          <w:p w14:paraId="3BB304CC" w14:textId="44E92A8F" w:rsidR="00EF6173" w:rsidRPr="00E44F3E" w:rsidRDefault="00EF6173" w:rsidP="00EF6173">
            <w:pPr>
              <w:pStyle w:val="TableText"/>
              <w:keepLines/>
              <w:jc w:val="center"/>
              <w:rPr>
                <w:szCs w:val="18"/>
                <w:lang w:eastAsia="en-NZ"/>
              </w:rPr>
            </w:pPr>
            <w:r w:rsidRPr="00E44F3E">
              <w:rPr>
                <w:szCs w:val="18"/>
                <w:lang w:eastAsia="en-NZ"/>
              </w:rPr>
              <w:t>(Cortes et al 2013; Cortes et al 2018)</w:t>
            </w:r>
          </w:p>
        </w:tc>
        <w:tc>
          <w:tcPr>
            <w:tcW w:w="0" w:type="auto"/>
            <w:shd w:val="clear" w:color="auto" w:fill="auto"/>
            <w:hideMark/>
          </w:tcPr>
          <w:p w14:paraId="05A93AAF" w14:textId="77777777" w:rsidR="00EF6173" w:rsidRPr="00C86FFF" w:rsidRDefault="00EF6173" w:rsidP="00EF6173">
            <w:pPr>
              <w:pStyle w:val="TableText"/>
              <w:keepLines/>
              <w:jc w:val="center"/>
              <w:rPr>
                <w:b/>
                <w:bCs/>
                <w:szCs w:val="18"/>
                <w:lang w:eastAsia="en-NZ"/>
              </w:rPr>
            </w:pPr>
            <w:r w:rsidRPr="00C86FFF">
              <w:rPr>
                <w:b/>
                <w:bCs/>
                <w:szCs w:val="18"/>
                <w:lang w:eastAsia="en-NZ"/>
              </w:rPr>
              <w:t>2</w:t>
            </w:r>
          </w:p>
          <w:p w14:paraId="6ECBDC6F" w14:textId="098C67DC"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7B700530" w14:textId="60FAEE55" w:rsidR="00EF6173" w:rsidRPr="00E44F3E" w:rsidRDefault="00EF6173" w:rsidP="00EF6173">
            <w:pPr>
              <w:pStyle w:val="TableBullet"/>
              <w:keepLines/>
              <w:rPr>
                <w:szCs w:val="18"/>
                <w:lang w:eastAsia="en-NZ"/>
              </w:rPr>
            </w:pPr>
            <w:r w:rsidRPr="00E44F3E">
              <w:rPr>
                <w:szCs w:val="18"/>
                <w:lang w:eastAsia="en-NZ"/>
              </w:rPr>
              <w:t>Derived ESMO-MCBS:H score is based on single</w:t>
            </w:r>
            <w:r>
              <w:rPr>
                <w:szCs w:val="18"/>
                <w:lang w:eastAsia="en-NZ"/>
              </w:rPr>
              <w:t>-</w:t>
            </w:r>
            <w:r w:rsidRPr="00E44F3E">
              <w:rPr>
                <w:szCs w:val="18"/>
                <w:lang w:eastAsia="en-NZ"/>
              </w:rPr>
              <w:t xml:space="preserve">arm study. </w:t>
            </w:r>
          </w:p>
          <w:p w14:paraId="1383F8D4" w14:textId="77777777" w:rsidR="00EF6173" w:rsidRPr="00E44F3E" w:rsidRDefault="00EF6173" w:rsidP="00EF6173">
            <w:pPr>
              <w:pStyle w:val="TableBullet"/>
              <w:keepLines/>
              <w:rPr>
                <w:szCs w:val="18"/>
                <w:lang w:eastAsia="en-NZ"/>
              </w:rPr>
            </w:pPr>
            <w:r w:rsidRPr="00E44F3E">
              <w:rPr>
                <w:szCs w:val="18"/>
                <w:lang w:eastAsia="en-NZ"/>
              </w:rPr>
              <w:t>Primary end point was major cytogenetic response within the first 12 months and major haematologic response at any time in the first 6 months.</w:t>
            </w:r>
          </w:p>
          <w:p w14:paraId="48ED9031" w14:textId="77777777" w:rsidR="00EF6173" w:rsidRPr="00E44F3E" w:rsidRDefault="00EF6173" w:rsidP="00EF6173">
            <w:pPr>
              <w:pStyle w:val="TableBullet"/>
              <w:keepLines/>
              <w:rPr>
                <w:szCs w:val="18"/>
                <w:lang w:eastAsia="en-NZ"/>
              </w:rPr>
            </w:pPr>
            <w:r w:rsidRPr="00E44F3E">
              <w:rPr>
                <w:szCs w:val="18"/>
                <w:lang w:eastAsia="en-NZ"/>
              </w:rPr>
              <w:t xml:space="preserve">Major haematological response was achieved by 41% of patients. </w:t>
            </w:r>
          </w:p>
          <w:p w14:paraId="5CC183F6"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EF6173" w:rsidRPr="00E44F3E" w14:paraId="0CFF1D81" w14:textId="77777777" w:rsidTr="0069375A">
        <w:trPr>
          <w:trHeight w:val="20"/>
        </w:trPr>
        <w:tc>
          <w:tcPr>
            <w:tcW w:w="0" w:type="auto"/>
            <w:shd w:val="clear" w:color="auto" w:fill="auto"/>
            <w:hideMark/>
          </w:tcPr>
          <w:p w14:paraId="4E5C3D40" w14:textId="77777777" w:rsidR="00EF6173" w:rsidRPr="00E44F3E" w:rsidRDefault="00EF6173" w:rsidP="00EF6173">
            <w:pPr>
              <w:pStyle w:val="TableText"/>
              <w:keepLines/>
              <w:rPr>
                <w:szCs w:val="18"/>
                <w:lang w:eastAsia="en-NZ"/>
              </w:rPr>
            </w:pPr>
            <w:r w:rsidRPr="00E44F3E">
              <w:rPr>
                <w:szCs w:val="18"/>
                <w:lang w:eastAsia="en-NZ"/>
              </w:rPr>
              <w:lastRenderedPageBreak/>
              <w:t>Selinexor</w:t>
            </w:r>
          </w:p>
        </w:tc>
        <w:tc>
          <w:tcPr>
            <w:tcW w:w="0" w:type="auto"/>
            <w:shd w:val="clear" w:color="auto" w:fill="auto"/>
            <w:hideMark/>
          </w:tcPr>
          <w:p w14:paraId="43A69A17" w14:textId="3C0A9722" w:rsidR="00EF6173" w:rsidRPr="00E44F3E" w:rsidRDefault="00EF6173" w:rsidP="00EF6173">
            <w:pPr>
              <w:pStyle w:val="TableText"/>
              <w:keepLines/>
              <w:rPr>
                <w:szCs w:val="18"/>
                <w:lang w:eastAsia="en-NZ"/>
              </w:rPr>
            </w:pPr>
            <w:r w:rsidRPr="00E44F3E">
              <w:rPr>
                <w:szCs w:val="18"/>
                <w:lang w:eastAsia="en-NZ"/>
              </w:rPr>
              <w:t xml:space="preserve">Triplet with dexamethasone and bortezomib </w:t>
            </w:r>
            <w:r>
              <w:rPr>
                <w:szCs w:val="18"/>
                <w:lang w:eastAsia="en-NZ"/>
              </w:rPr>
              <w:t>or</w:t>
            </w:r>
            <w:r w:rsidRPr="00E44F3E">
              <w:rPr>
                <w:szCs w:val="18"/>
                <w:lang w:eastAsia="en-NZ"/>
              </w:rPr>
              <w:t xml:space="preserve"> doublet with dexamethasone</w:t>
            </w:r>
          </w:p>
        </w:tc>
        <w:tc>
          <w:tcPr>
            <w:tcW w:w="0" w:type="auto"/>
            <w:shd w:val="clear" w:color="auto" w:fill="auto"/>
            <w:hideMark/>
          </w:tcPr>
          <w:p w14:paraId="69723606" w14:textId="77777777" w:rsidR="00EF6173" w:rsidRPr="00E44F3E" w:rsidRDefault="00EF6173" w:rsidP="00EF6173">
            <w:pPr>
              <w:pStyle w:val="TableText"/>
              <w:keepLines/>
              <w:rPr>
                <w:szCs w:val="18"/>
                <w:lang w:eastAsia="en-NZ"/>
              </w:rPr>
            </w:pPr>
            <w:r w:rsidRPr="00E44F3E">
              <w:rPr>
                <w:szCs w:val="18"/>
                <w:lang w:eastAsia="en-NZ"/>
              </w:rPr>
              <w:t xml:space="preserve">Multiple myeloma (MM) </w:t>
            </w:r>
          </w:p>
        </w:tc>
        <w:tc>
          <w:tcPr>
            <w:tcW w:w="0" w:type="auto"/>
            <w:shd w:val="clear" w:color="auto" w:fill="auto"/>
            <w:hideMark/>
          </w:tcPr>
          <w:p w14:paraId="5D8F83EE" w14:textId="77777777" w:rsidR="00EF6173" w:rsidRPr="00E44F3E" w:rsidRDefault="00EF6173" w:rsidP="00EF6173">
            <w:pPr>
              <w:pStyle w:val="TableText"/>
              <w:keepLines/>
              <w:rPr>
                <w:szCs w:val="18"/>
                <w:lang w:eastAsia="en-NZ"/>
              </w:rPr>
            </w:pPr>
            <w:r w:rsidRPr="00E44F3E">
              <w:rPr>
                <w:szCs w:val="18"/>
                <w:lang w:eastAsia="en-NZ"/>
              </w:rPr>
              <w:t xml:space="preserve">Relapsed and/or refractory </w:t>
            </w:r>
          </w:p>
        </w:tc>
        <w:tc>
          <w:tcPr>
            <w:tcW w:w="0" w:type="auto"/>
            <w:shd w:val="clear" w:color="auto" w:fill="auto"/>
            <w:hideMark/>
          </w:tcPr>
          <w:p w14:paraId="65C5360C" w14:textId="0C1BD56B" w:rsidR="00EF6173" w:rsidRPr="00E44F3E" w:rsidRDefault="00EF6173" w:rsidP="00EF6173">
            <w:pPr>
              <w:pStyle w:val="TableText"/>
              <w:keepLines/>
              <w:jc w:val="center"/>
              <w:rPr>
                <w:szCs w:val="18"/>
                <w:lang w:eastAsia="en-NZ"/>
              </w:rPr>
            </w:pPr>
            <w:r w:rsidRPr="00E44F3E">
              <w:rPr>
                <w:szCs w:val="18"/>
                <w:lang w:eastAsia="en-NZ"/>
              </w:rPr>
              <w:t>BOSTON</w:t>
            </w:r>
          </w:p>
          <w:p w14:paraId="063DC47F" w14:textId="37177C14" w:rsidR="00EF6173" w:rsidRPr="00E44F3E" w:rsidRDefault="00EF6173" w:rsidP="00EF6173">
            <w:pPr>
              <w:pStyle w:val="TableText"/>
              <w:keepLines/>
              <w:jc w:val="center"/>
              <w:rPr>
                <w:szCs w:val="18"/>
                <w:lang w:eastAsia="en-NZ"/>
              </w:rPr>
            </w:pPr>
            <w:r w:rsidRPr="00E44F3E">
              <w:rPr>
                <w:szCs w:val="18"/>
                <w:lang w:eastAsia="en-NZ"/>
              </w:rPr>
              <w:t>(</w:t>
            </w:r>
            <w:proofErr w:type="spellStart"/>
            <w:r w:rsidRPr="00E44F3E">
              <w:rPr>
                <w:szCs w:val="18"/>
                <w:lang w:eastAsia="en-NZ"/>
              </w:rPr>
              <w:t>Grosicki</w:t>
            </w:r>
            <w:proofErr w:type="spellEnd"/>
            <w:r w:rsidRPr="00E44F3E">
              <w:rPr>
                <w:szCs w:val="18"/>
                <w:lang w:eastAsia="en-NZ"/>
              </w:rPr>
              <w:t xml:space="preserve"> et al 2020)</w:t>
            </w:r>
          </w:p>
        </w:tc>
        <w:tc>
          <w:tcPr>
            <w:tcW w:w="0" w:type="auto"/>
            <w:shd w:val="clear" w:color="auto" w:fill="auto"/>
            <w:hideMark/>
          </w:tcPr>
          <w:p w14:paraId="7863F2A5" w14:textId="77777777" w:rsidR="00EF6173" w:rsidRPr="00C86FFF" w:rsidRDefault="00EF6173" w:rsidP="00EF6173">
            <w:pPr>
              <w:pStyle w:val="TableText"/>
              <w:keepLines/>
              <w:jc w:val="center"/>
              <w:rPr>
                <w:b/>
                <w:bCs/>
                <w:szCs w:val="18"/>
                <w:lang w:eastAsia="en-NZ"/>
              </w:rPr>
            </w:pPr>
            <w:r w:rsidRPr="00C86FFF">
              <w:rPr>
                <w:b/>
                <w:bCs/>
                <w:szCs w:val="18"/>
                <w:lang w:eastAsia="en-NZ"/>
              </w:rPr>
              <w:t>2</w:t>
            </w:r>
          </w:p>
          <w:p w14:paraId="66D414E3" w14:textId="4B6DD0D1" w:rsidR="00EF6173" w:rsidRPr="00E44F3E" w:rsidRDefault="00EF6173" w:rsidP="00EF6173">
            <w:pPr>
              <w:pStyle w:val="TableText"/>
              <w:keepLines/>
              <w:jc w:val="center"/>
              <w:rPr>
                <w:szCs w:val="18"/>
                <w:lang w:eastAsia="en-NZ"/>
              </w:rPr>
            </w:pPr>
            <w:r>
              <w:rPr>
                <w:szCs w:val="18"/>
                <w:lang w:eastAsia="en-NZ"/>
              </w:rPr>
              <w:t>(2b)</w:t>
            </w:r>
          </w:p>
        </w:tc>
        <w:tc>
          <w:tcPr>
            <w:tcW w:w="0" w:type="auto"/>
            <w:shd w:val="clear" w:color="auto" w:fill="auto"/>
            <w:hideMark/>
          </w:tcPr>
          <w:p w14:paraId="2EE45346" w14:textId="3AB06C45" w:rsidR="00EF6173" w:rsidRPr="00E44F3E" w:rsidRDefault="00EF6173" w:rsidP="00EF6173">
            <w:pPr>
              <w:pStyle w:val="TableBullet"/>
              <w:keepLines/>
              <w:rPr>
                <w:szCs w:val="18"/>
                <w:lang w:eastAsia="en-NZ"/>
              </w:rPr>
            </w:pPr>
            <w:r w:rsidRPr="00E44F3E">
              <w:rPr>
                <w:szCs w:val="18"/>
                <w:lang w:eastAsia="en-NZ"/>
              </w:rPr>
              <w:t xml:space="preserve">Derived ESMO-MCBS:H score is based on a comparator (bortezomib with dexamethasone) that is publicly funded in </w:t>
            </w:r>
            <w:r>
              <w:rPr>
                <w:szCs w:val="18"/>
              </w:rPr>
              <w:t>Aotearoa New Zealand</w:t>
            </w:r>
            <w:r w:rsidRPr="00E44F3E">
              <w:rPr>
                <w:szCs w:val="18"/>
              </w:rPr>
              <w:t xml:space="preserve"> </w:t>
            </w:r>
            <w:r w:rsidRPr="00E44F3E">
              <w:rPr>
                <w:szCs w:val="18"/>
                <w:lang w:eastAsia="en-NZ"/>
              </w:rPr>
              <w:t>for this indication</w:t>
            </w:r>
            <w:r>
              <w:rPr>
                <w:szCs w:val="18"/>
                <w:lang w:eastAsia="en-NZ"/>
              </w:rPr>
              <w:t>,</w:t>
            </w:r>
            <w:r w:rsidRPr="00E44F3E">
              <w:rPr>
                <w:szCs w:val="18"/>
                <w:lang w:eastAsia="en-NZ"/>
              </w:rPr>
              <w:t xml:space="preserve"> so the derived score is reflective of the gap between Australia and </w:t>
            </w:r>
            <w:r>
              <w:rPr>
                <w:szCs w:val="18"/>
              </w:rPr>
              <w:t>Aotearoa New Zealand</w:t>
            </w:r>
            <w:r w:rsidRPr="00E44F3E">
              <w:rPr>
                <w:szCs w:val="18"/>
                <w:lang w:eastAsia="en-NZ"/>
              </w:rPr>
              <w:t xml:space="preserve">. </w:t>
            </w:r>
          </w:p>
          <w:p w14:paraId="085B5DC1" w14:textId="6192C8B8" w:rsidR="00EF6173" w:rsidRPr="00E44F3E" w:rsidRDefault="00EF6173" w:rsidP="00EF6173">
            <w:pPr>
              <w:pStyle w:val="TableBullet"/>
              <w:keepLines/>
              <w:rPr>
                <w:szCs w:val="18"/>
                <w:lang w:eastAsia="en-NZ"/>
              </w:rPr>
            </w:pPr>
            <w:r w:rsidRPr="00E44F3E">
              <w:rPr>
                <w:szCs w:val="18"/>
                <w:lang w:eastAsia="en-NZ"/>
              </w:rPr>
              <w:t>Primary end point was progression</w:t>
            </w:r>
            <w:r>
              <w:rPr>
                <w:szCs w:val="18"/>
                <w:lang w:eastAsia="en-NZ"/>
              </w:rPr>
              <w:t>-</w:t>
            </w:r>
            <w:r w:rsidRPr="00E44F3E">
              <w:rPr>
                <w:szCs w:val="18"/>
                <w:lang w:eastAsia="en-NZ"/>
              </w:rPr>
              <w:t>free survival. Median progression</w:t>
            </w:r>
            <w:r>
              <w:rPr>
                <w:szCs w:val="18"/>
                <w:lang w:eastAsia="en-NZ"/>
              </w:rPr>
              <w:t>-</w:t>
            </w:r>
            <w:r w:rsidRPr="00E44F3E">
              <w:rPr>
                <w:szCs w:val="18"/>
                <w:lang w:eastAsia="en-NZ"/>
              </w:rPr>
              <w:t xml:space="preserve">free survival was 14 months with </w:t>
            </w:r>
            <w:proofErr w:type="spellStart"/>
            <w:r w:rsidRPr="00E44F3E">
              <w:rPr>
                <w:szCs w:val="18"/>
                <w:lang w:eastAsia="en-NZ"/>
              </w:rPr>
              <w:t>selinexor</w:t>
            </w:r>
            <w:proofErr w:type="spellEnd"/>
            <w:r w:rsidRPr="00E44F3E">
              <w:rPr>
                <w:szCs w:val="18"/>
                <w:lang w:eastAsia="en-NZ"/>
              </w:rPr>
              <w:t xml:space="preserve"> </w:t>
            </w:r>
            <w:r>
              <w:rPr>
                <w:szCs w:val="18"/>
                <w:lang w:eastAsia="en-NZ"/>
              </w:rPr>
              <w:t>vs</w:t>
            </w:r>
            <w:r w:rsidRPr="00E44F3E">
              <w:rPr>
                <w:szCs w:val="18"/>
                <w:lang w:eastAsia="en-NZ"/>
              </w:rPr>
              <w:t xml:space="preserve"> 10 months with the comparator. </w:t>
            </w:r>
          </w:p>
          <w:p w14:paraId="342866DE" w14:textId="4DF79387" w:rsidR="00EF6173" w:rsidRPr="00E44F3E" w:rsidRDefault="00EF6173" w:rsidP="00EF6173">
            <w:pPr>
              <w:pStyle w:val="TableBullet"/>
              <w:keepLines/>
              <w:rPr>
                <w:szCs w:val="18"/>
                <w:lang w:eastAsia="en-NZ"/>
              </w:rPr>
            </w:pPr>
            <w:r w:rsidRPr="00E44F3E">
              <w:rPr>
                <w:szCs w:val="18"/>
                <w:lang w:eastAsia="en-NZ"/>
              </w:rPr>
              <w:t>Quality of life was measured as a secondary endpoint</w:t>
            </w:r>
            <w:r>
              <w:rPr>
                <w:szCs w:val="18"/>
                <w:lang w:eastAsia="en-NZ"/>
              </w:rPr>
              <w:t>,</w:t>
            </w:r>
            <w:r w:rsidRPr="00E44F3E">
              <w:rPr>
                <w:szCs w:val="18"/>
                <w:lang w:eastAsia="en-NZ"/>
              </w:rPr>
              <w:t xml:space="preserve"> but no statistically significant improvement in global quality of life was reported. </w:t>
            </w:r>
          </w:p>
        </w:tc>
      </w:tr>
      <w:tr w:rsidR="00EF6173" w:rsidRPr="00E44F3E" w14:paraId="460529CD" w14:textId="77777777" w:rsidTr="0069375A">
        <w:trPr>
          <w:trHeight w:val="20"/>
        </w:trPr>
        <w:tc>
          <w:tcPr>
            <w:tcW w:w="0" w:type="auto"/>
            <w:shd w:val="clear" w:color="auto" w:fill="auto"/>
            <w:hideMark/>
          </w:tcPr>
          <w:p w14:paraId="321BA2F3" w14:textId="77777777" w:rsidR="00EF6173" w:rsidRPr="00E44F3E" w:rsidRDefault="00EF6173" w:rsidP="00EF6173">
            <w:pPr>
              <w:pStyle w:val="TableText"/>
              <w:keepLines/>
              <w:rPr>
                <w:szCs w:val="18"/>
                <w:lang w:eastAsia="en-NZ"/>
              </w:rPr>
            </w:pPr>
            <w:r w:rsidRPr="00E44F3E">
              <w:rPr>
                <w:szCs w:val="18"/>
                <w:lang w:eastAsia="en-NZ"/>
              </w:rPr>
              <w:t xml:space="preserve">Brentuximab </w:t>
            </w:r>
            <w:proofErr w:type="spellStart"/>
            <w:r w:rsidRPr="00E44F3E">
              <w:rPr>
                <w:szCs w:val="18"/>
                <w:lang w:eastAsia="en-NZ"/>
              </w:rPr>
              <w:t>vedotin</w:t>
            </w:r>
            <w:proofErr w:type="spellEnd"/>
          </w:p>
        </w:tc>
        <w:tc>
          <w:tcPr>
            <w:tcW w:w="0" w:type="auto"/>
            <w:shd w:val="clear" w:color="auto" w:fill="auto"/>
            <w:hideMark/>
          </w:tcPr>
          <w:p w14:paraId="694709E2"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6553197C" w14:textId="77777777" w:rsidR="00EF6173" w:rsidRPr="00E44F3E" w:rsidRDefault="00EF6173" w:rsidP="00EF6173">
            <w:pPr>
              <w:pStyle w:val="TableText"/>
              <w:keepLines/>
              <w:rPr>
                <w:szCs w:val="18"/>
                <w:lang w:eastAsia="en-NZ"/>
              </w:rPr>
            </w:pPr>
            <w:r w:rsidRPr="00E44F3E">
              <w:rPr>
                <w:szCs w:val="18"/>
                <w:lang w:eastAsia="en-NZ"/>
              </w:rPr>
              <w:t xml:space="preserve">T-cell lymphoma, cutaneous </w:t>
            </w:r>
          </w:p>
        </w:tc>
        <w:tc>
          <w:tcPr>
            <w:tcW w:w="0" w:type="auto"/>
            <w:shd w:val="clear" w:color="auto" w:fill="auto"/>
            <w:hideMark/>
          </w:tcPr>
          <w:p w14:paraId="4005A9F3" w14:textId="572B2F35" w:rsidR="00EF6173" w:rsidRPr="00E44F3E" w:rsidRDefault="00EF6173" w:rsidP="00EF6173">
            <w:pPr>
              <w:pStyle w:val="TableText"/>
              <w:keepLines/>
              <w:rPr>
                <w:szCs w:val="18"/>
                <w:lang w:eastAsia="en-NZ"/>
              </w:rPr>
            </w:pPr>
            <w:r w:rsidRPr="00E44F3E">
              <w:rPr>
                <w:szCs w:val="18"/>
                <w:lang w:eastAsia="en-NZ"/>
              </w:rPr>
              <w:t xml:space="preserve">Relapsed or refractory, CD30-positive </w:t>
            </w:r>
          </w:p>
        </w:tc>
        <w:tc>
          <w:tcPr>
            <w:tcW w:w="0" w:type="auto"/>
            <w:shd w:val="clear" w:color="auto" w:fill="auto"/>
            <w:hideMark/>
          </w:tcPr>
          <w:p w14:paraId="3455AB71" w14:textId="22D70EBD" w:rsidR="00EF6173" w:rsidRPr="00E44F3E" w:rsidRDefault="00EF6173" w:rsidP="00EF6173">
            <w:pPr>
              <w:pStyle w:val="TableText"/>
              <w:keepLines/>
              <w:jc w:val="center"/>
              <w:rPr>
                <w:szCs w:val="18"/>
                <w:lang w:eastAsia="en-NZ"/>
              </w:rPr>
            </w:pPr>
            <w:r w:rsidRPr="00E44F3E">
              <w:rPr>
                <w:szCs w:val="18"/>
                <w:lang w:eastAsia="en-NZ"/>
              </w:rPr>
              <w:t>ALCANZA</w:t>
            </w:r>
          </w:p>
          <w:p w14:paraId="48DA4E0A" w14:textId="71FFDECB" w:rsidR="00EF6173" w:rsidRPr="00E44F3E" w:rsidRDefault="00EF6173" w:rsidP="00EF6173">
            <w:pPr>
              <w:pStyle w:val="TableText"/>
              <w:keepLines/>
              <w:jc w:val="center"/>
              <w:rPr>
                <w:szCs w:val="18"/>
                <w:lang w:eastAsia="en-NZ"/>
              </w:rPr>
            </w:pPr>
            <w:r w:rsidRPr="00E44F3E">
              <w:rPr>
                <w:szCs w:val="18"/>
                <w:lang w:eastAsia="en-NZ"/>
              </w:rPr>
              <w:t>(Dummer et al 2020; Horwitz et al 2021; Prince et al 2017)</w:t>
            </w:r>
          </w:p>
        </w:tc>
        <w:tc>
          <w:tcPr>
            <w:tcW w:w="0" w:type="auto"/>
            <w:shd w:val="clear" w:color="auto" w:fill="auto"/>
            <w:hideMark/>
          </w:tcPr>
          <w:p w14:paraId="0FAF13A1" w14:textId="77777777" w:rsidR="00EF6173" w:rsidRPr="00C86FFF" w:rsidRDefault="00EF6173" w:rsidP="00EF6173">
            <w:pPr>
              <w:pStyle w:val="TableText"/>
              <w:keepLines/>
              <w:jc w:val="center"/>
              <w:rPr>
                <w:b/>
                <w:bCs/>
                <w:szCs w:val="18"/>
                <w:lang w:eastAsia="en-NZ"/>
              </w:rPr>
            </w:pPr>
            <w:r w:rsidRPr="00C86FFF">
              <w:rPr>
                <w:b/>
                <w:bCs/>
                <w:szCs w:val="18"/>
                <w:lang w:eastAsia="en-NZ"/>
              </w:rPr>
              <w:t>1</w:t>
            </w:r>
          </w:p>
          <w:p w14:paraId="218886A2" w14:textId="79DFA552" w:rsidR="00EF6173" w:rsidRPr="00E44F3E" w:rsidRDefault="00EF6173" w:rsidP="00EF6173">
            <w:pPr>
              <w:pStyle w:val="TableText"/>
              <w:keepLines/>
              <w:jc w:val="center"/>
              <w:rPr>
                <w:szCs w:val="18"/>
                <w:lang w:eastAsia="en-NZ"/>
              </w:rPr>
            </w:pPr>
            <w:r>
              <w:rPr>
                <w:szCs w:val="18"/>
                <w:lang w:eastAsia="en-NZ"/>
              </w:rPr>
              <w:t>(2c)</w:t>
            </w:r>
          </w:p>
        </w:tc>
        <w:tc>
          <w:tcPr>
            <w:tcW w:w="0" w:type="auto"/>
            <w:shd w:val="clear" w:color="auto" w:fill="auto"/>
            <w:hideMark/>
          </w:tcPr>
          <w:p w14:paraId="0DB7F0B5" w14:textId="2D932E2B" w:rsidR="00EF6173" w:rsidRPr="00E44F3E" w:rsidRDefault="00EF6173" w:rsidP="00EF6173">
            <w:pPr>
              <w:pStyle w:val="TableBullet"/>
              <w:keepLines/>
              <w:rPr>
                <w:szCs w:val="18"/>
                <w:lang w:eastAsia="en-NZ"/>
              </w:rPr>
            </w:pPr>
            <w:r w:rsidRPr="00E44F3E">
              <w:rPr>
                <w:szCs w:val="18"/>
                <w:lang w:eastAsia="en-NZ"/>
              </w:rPr>
              <w:t xml:space="preserve">Derived ESMO-MCBS:H score is based on a comparator (methotrexate or bexarotene). Methotrexate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649A1343" w14:textId="0EB440FA" w:rsidR="00EF6173" w:rsidRPr="00E44F3E" w:rsidRDefault="00EF6173" w:rsidP="00EF6173">
            <w:pPr>
              <w:pStyle w:val="TableBullet"/>
              <w:keepLines/>
              <w:rPr>
                <w:szCs w:val="18"/>
                <w:lang w:eastAsia="en-NZ"/>
              </w:rPr>
            </w:pPr>
            <w:r w:rsidRPr="00E44F3E">
              <w:rPr>
                <w:szCs w:val="18"/>
                <w:lang w:eastAsia="en-NZ"/>
              </w:rPr>
              <w:lastRenderedPageBreak/>
              <w:t>Primary end point was overall response rate</w:t>
            </w:r>
            <w:r>
              <w:rPr>
                <w:szCs w:val="18"/>
                <w:lang w:eastAsia="en-NZ"/>
              </w:rPr>
              <w:t xml:space="preserve"> –</w:t>
            </w:r>
            <w:r w:rsidRPr="00E44F3E">
              <w:rPr>
                <w:szCs w:val="18"/>
                <w:lang w:eastAsia="en-NZ"/>
              </w:rPr>
              <w:t xml:space="preserve"> 56% of patients achieved an overall response with brentuximab with </w:t>
            </w:r>
            <w:proofErr w:type="spellStart"/>
            <w:r w:rsidRPr="00E44F3E">
              <w:rPr>
                <w:szCs w:val="18"/>
                <w:lang w:eastAsia="en-NZ"/>
              </w:rPr>
              <w:t>bendamustine</w:t>
            </w:r>
            <w:proofErr w:type="spellEnd"/>
            <w:r w:rsidRPr="00E44F3E">
              <w:rPr>
                <w:szCs w:val="18"/>
                <w:lang w:eastAsia="en-NZ"/>
              </w:rPr>
              <w:t xml:space="preserve"> and rituximab </w:t>
            </w:r>
            <w:r>
              <w:rPr>
                <w:szCs w:val="18"/>
                <w:lang w:eastAsia="en-NZ"/>
              </w:rPr>
              <w:t>vs</w:t>
            </w:r>
            <w:r w:rsidRPr="00E44F3E">
              <w:rPr>
                <w:szCs w:val="18"/>
                <w:lang w:eastAsia="en-NZ"/>
              </w:rPr>
              <w:t xml:space="preserve"> 13% with the comparator. </w:t>
            </w:r>
          </w:p>
          <w:p w14:paraId="05E1E46F" w14:textId="6DF9E3FA" w:rsidR="00EF6173" w:rsidRPr="00E44F3E" w:rsidRDefault="00EF6173" w:rsidP="00EF6173">
            <w:pPr>
              <w:pStyle w:val="TableBullet"/>
              <w:keepLines/>
              <w:rPr>
                <w:szCs w:val="18"/>
                <w:lang w:eastAsia="en-NZ"/>
              </w:rPr>
            </w:pPr>
            <w:r w:rsidRPr="00E44F3E">
              <w:rPr>
                <w:szCs w:val="18"/>
                <w:lang w:eastAsia="en-NZ"/>
              </w:rPr>
              <w:t>Quality of life was measured as secondary endpoint</w:t>
            </w:r>
            <w:r>
              <w:rPr>
                <w:szCs w:val="18"/>
                <w:lang w:eastAsia="en-NZ"/>
              </w:rPr>
              <w:t>,</w:t>
            </w:r>
            <w:r w:rsidRPr="00E44F3E">
              <w:rPr>
                <w:szCs w:val="18"/>
                <w:lang w:eastAsia="en-NZ"/>
              </w:rPr>
              <w:t xml:space="preserve"> but no statistically significant difference in global quality of life was evident. </w:t>
            </w:r>
          </w:p>
        </w:tc>
      </w:tr>
      <w:tr w:rsidR="00EF6173" w:rsidRPr="00E44F3E" w14:paraId="575B7431" w14:textId="77777777" w:rsidTr="00462C03">
        <w:trPr>
          <w:trHeight w:val="3380"/>
        </w:trPr>
        <w:tc>
          <w:tcPr>
            <w:tcW w:w="0" w:type="auto"/>
            <w:shd w:val="clear" w:color="auto" w:fill="auto"/>
            <w:hideMark/>
          </w:tcPr>
          <w:p w14:paraId="4F216F25" w14:textId="77777777" w:rsidR="00EF6173" w:rsidRPr="00E44F3E" w:rsidRDefault="00EF6173" w:rsidP="00EF6173">
            <w:pPr>
              <w:pStyle w:val="TableText"/>
              <w:keepLines/>
              <w:rPr>
                <w:szCs w:val="18"/>
                <w:lang w:eastAsia="en-NZ"/>
              </w:rPr>
            </w:pPr>
            <w:proofErr w:type="spellStart"/>
            <w:r w:rsidRPr="00E44F3E">
              <w:rPr>
                <w:szCs w:val="18"/>
                <w:lang w:eastAsia="en-NZ"/>
              </w:rPr>
              <w:lastRenderedPageBreak/>
              <w:t>Vorinostat</w:t>
            </w:r>
            <w:proofErr w:type="spellEnd"/>
          </w:p>
        </w:tc>
        <w:tc>
          <w:tcPr>
            <w:tcW w:w="0" w:type="auto"/>
            <w:shd w:val="clear" w:color="auto" w:fill="auto"/>
            <w:hideMark/>
          </w:tcPr>
          <w:p w14:paraId="50B1B7D5" w14:textId="77777777" w:rsidR="00EF6173" w:rsidRPr="00E44F3E" w:rsidRDefault="00EF6173" w:rsidP="00EF6173">
            <w:pPr>
              <w:pStyle w:val="TableText"/>
              <w:keepLines/>
              <w:rPr>
                <w:szCs w:val="18"/>
                <w:lang w:eastAsia="en-NZ"/>
              </w:rPr>
            </w:pPr>
            <w:r w:rsidRPr="00E44F3E">
              <w:rPr>
                <w:szCs w:val="18"/>
                <w:lang w:eastAsia="en-NZ"/>
              </w:rPr>
              <w:t>Monotherapy</w:t>
            </w:r>
          </w:p>
        </w:tc>
        <w:tc>
          <w:tcPr>
            <w:tcW w:w="0" w:type="auto"/>
            <w:shd w:val="clear" w:color="auto" w:fill="auto"/>
            <w:hideMark/>
          </w:tcPr>
          <w:p w14:paraId="4CE6349B" w14:textId="77777777" w:rsidR="00EF6173" w:rsidRPr="00E44F3E" w:rsidRDefault="00EF6173" w:rsidP="00EF6173">
            <w:pPr>
              <w:pStyle w:val="TableText"/>
              <w:keepLines/>
              <w:rPr>
                <w:szCs w:val="18"/>
                <w:lang w:eastAsia="en-NZ"/>
              </w:rPr>
            </w:pPr>
            <w:r w:rsidRPr="00E44F3E">
              <w:rPr>
                <w:szCs w:val="18"/>
                <w:lang w:eastAsia="en-NZ"/>
              </w:rPr>
              <w:t xml:space="preserve">T-cell lymphoma, cutaneous </w:t>
            </w:r>
          </w:p>
        </w:tc>
        <w:tc>
          <w:tcPr>
            <w:tcW w:w="0" w:type="auto"/>
            <w:shd w:val="clear" w:color="auto" w:fill="auto"/>
            <w:hideMark/>
          </w:tcPr>
          <w:p w14:paraId="367CEA10" w14:textId="77777777" w:rsidR="00EF6173" w:rsidRPr="00E44F3E" w:rsidRDefault="00EF6173" w:rsidP="00EF6173">
            <w:pPr>
              <w:pStyle w:val="TableText"/>
              <w:keepLines/>
              <w:rPr>
                <w:szCs w:val="18"/>
                <w:lang w:eastAsia="en-NZ"/>
              </w:rPr>
            </w:pPr>
            <w:r w:rsidRPr="00E44F3E">
              <w:rPr>
                <w:szCs w:val="18"/>
                <w:lang w:eastAsia="en-NZ"/>
              </w:rPr>
              <w:t>Relapsed or chemotherapy-refractory and ineligible for stem cell transplant</w:t>
            </w:r>
          </w:p>
        </w:tc>
        <w:tc>
          <w:tcPr>
            <w:tcW w:w="0" w:type="auto"/>
            <w:shd w:val="clear" w:color="auto" w:fill="auto"/>
            <w:hideMark/>
          </w:tcPr>
          <w:p w14:paraId="712C33CA" w14:textId="77777777" w:rsidR="00EF6173" w:rsidRPr="00C86FFF" w:rsidRDefault="00EF6173" w:rsidP="00EF6173">
            <w:pPr>
              <w:pStyle w:val="TableText"/>
              <w:keepLines/>
              <w:jc w:val="center"/>
            </w:pPr>
            <w:r w:rsidRPr="00C86FFF">
              <w:t>NCT00091559</w:t>
            </w:r>
          </w:p>
          <w:p w14:paraId="6BC2DE4B" w14:textId="09945752" w:rsidR="00EF6173" w:rsidRPr="00E44F3E" w:rsidRDefault="00EF6173" w:rsidP="00EF6173">
            <w:pPr>
              <w:pStyle w:val="TableText"/>
              <w:keepLines/>
              <w:jc w:val="center"/>
              <w:rPr>
                <w:szCs w:val="18"/>
                <w:lang w:eastAsia="en-NZ"/>
              </w:rPr>
            </w:pPr>
            <w:r w:rsidRPr="00C86FFF">
              <w:t xml:space="preserve">(Duvic </w:t>
            </w:r>
            <w:r w:rsidRPr="00E44F3E">
              <w:rPr>
                <w:szCs w:val="18"/>
                <w:lang w:eastAsia="en-NZ"/>
              </w:rPr>
              <w:t>et al 2007; Olsen et al 2007)</w:t>
            </w:r>
          </w:p>
        </w:tc>
        <w:tc>
          <w:tcPr>
            <w:tcW w:w="0" w:type="auto"/>
            <w:shd w:val="clear" w:color="auto" w:fill="auto"/>
            <w:hideMark/>
          </w:tcPr>
          <w:p w14:paraId="6877D841" w14:textId="77777777" w:rsidR="00EF6173" w:rsidRPr="00C86FFF" w:rsidRDefault="00EF6173" w:rsidP="00EF6173">
            <w:pPr>
              <w:pStyle w:val="TableText"/>
              <w:keepLines/>
              <w:jc w:val="center"/>
              <w:rPr>
                <w:b/>
                <w:bCs/>
                <w:szCs w:val="18"/>
                <w:lang w:eastAsia="en-NZ"/>
              </w:rPr>
            </w:pPr>
            <w:r w:rsidRPr="00C86FFF">
              <w:rPr>
                <w:b/>
                <w:bCs/>
                <w:szCs w:val="18"/>
                <w:lang w:eastAsia="en-NZ"/>
              </w:rPr>
              <w:t>1</w:t>
            </w:r>
          </w:p>
          <w:p w14:paraId="284ADFAA" w14:textId="6743FE75" w:rsidR="00EF6173" w:rsidRPr="00E44F3E" w:rsidRDefault="00EF6173" w:rsidP="00EF6173">
            <w:pPr>
              <w:pStyle w:val="TableText"/>
              <w:keepLines/>
              <w:jc w:val="center"/>
              <w:rPr>
                <w:szCs w:val="18"/>
                <w:lang w:eastAsia="en-NZ"/>
              </w:rPr>
            </w:pPr>
            <w:r>
              <w:rPr>
                <w:szCs w:val="18"/>
                <w:lang w:eastAsia="en-NZ"/>
              </w:rPr>
              <w:t>(3)</w:t>
            </w:r>
          </w:p>
        </w:tc>
        <w:tc>
          <w:tcPr>
            <w:tcW w:w="0" w:type="auto"/>
            <w:shd w:val="clear" w:color="auto" w:fill="auto"/>
            <w:hideMark/>
          </w:tcPr>
          <w:p w14:paraId="72E21C59" w14:textId="4E887668" w:rsidR="00EF6173" w:rsidRPr="00E44F3E" w:rsidRDefault="00EF6173" w:rsidP="00EF6173">
            <w:pPr>
              <w:pStyle w:val="TableBullet"/>
              <w:keepLines/>
              <w:rPr>
                <w:szCs w:val="18"/>
                <w:lang w:eastAsia="en-NZ"/>
              </w:rPr>
            </w:pPr>
            <w:r w:rsidRPr="00E44F3E">
              <w:rPr>
                <w:szCs w:val="18"/>
                <w:lang w:eastAsia="en-NZ"/>
              </w:rPr>
              <w:t>Derived ESMO-MCBS:H score is based on a single</w:t>
            </w:r>
            <w:r>
              <w:rPr>
                <w:szCs w:val="18"/>
                <w:lang w:eastAsia="en-NZ"/>
              </w:rPr>
              <w:t>-</w:t>
            </w:r>
            <w:r w:rsidRPr="00E44F3E">
              <w:rPr>
                <w:szCs w:val="18"/>
                <w:lang w:eastAsia="en-NZ"/>
              </w:rPr>
              <w:t xml:space="preserve">arm study. </w:t>
            </w:r>
          </w:p>
          <w:p w14:paraId="6766653C" w14:textId="0247EE4E" w:rsidR="00EF6173" w:rsidRPr="00E44F3E" w:rsidRDefault="00EF6173" w:rsidP="00EF6173">
            <w:pPr>
              <w:pStyle w:val="TableBullet"/>
              <w:keepLines/>
              <w:rPr>
                <w:szCs w:val="18"/>
                <w:lang w:eastAsia="en-NZ"/>
              </w:rPr>
            </w:pPr>
            <w:r w:rsidRPr="00E44F3E">
              <w:rPr>
                <w:szCs w:val="18"/>
                <w:lang w:eastAsia="en-NZ"/>
              </w:rPr>
              <w:t>Primary end point was objective response rate</w:t>
            </w:r>
            <w:r>
              <w:rPr>
                <w:szCs w:val="18"/>
                <w:lang w:eastAsia="en-NZ"/>
              </w:rPr>
              <w:t>,</w:t>
            </w:r>
            <w:r w:rsidRPr="00E44F3E">
              <w:rPr>
                <w:szCs w:val="18"/>
                <w:lang w:eastAsia="en-NZ"/>
              </w:rPr>
              <w:t xml:space="preserve"> which was achieved by 30% of patients. </w:t>
            </w:r>
          </w:p>
          <w:p w14:paraId="5E46A602" w14:textId="77777777" w:rsidR="00EF6173" w:rsidRPr="00E44F3E" w:rsidRDefault="00EF6173" w:rsidP="00EF6173">
            <w:pPr>
              <w:pStyle w:val="TableBullet"/>
              <w:keepLines/>
              <w:rPr>
                <w:szCs w:val="18"/>
                <w:lang w:eastAsia="en-NZ"/>
              </w:rPr>
            </w:pPr>
            <w:r w:rsidRPr="00E44F3E">
              <w:rPr>
                <w:szCs w:val="18"/>
                <w:lang w:eastAsia="en-NZ"/>
              </w:rPr>
              <w:t xml:space="preserve">Quality of life did not appear to be measured. </w:t>
            </w:r>
          </w:p>
        </w:tc>
      </w:tr>
      <w:tr w:rsidR="00462C03" w:rsidRPr="00E44F3E" w14:paraId="7B029C8E" w14:textId="77777777" w:rsidTr="00462C03">
        <w:trPr>
          <w:trHeight w:val="659"/>
        </w:trPr>
        <w:tc>
          <w:tcPr>
            <w:tcW w:w="0" w:type="auto"/>
            <w:vMerge w:val="restart"/>
            <w:shd w:val="clear" w:color="auto" w:fill="auto"/>
          </w:tcPr>
          <w:p w14:paraId="41D87E74" w14:textId="5119FDE1" w:rsidR="00462C03" w:rsidRPr="00E44F3E" w:rsidRDefault="00462C03" w:rsidP="00462C03">
            <w:pPr>
              <w:pStyle w:val="TableText"/>
              <w:keepLines/>
              <w:rPr>
                <w:szCs w:val="18"/>
                <w:lang w:eastAsia="en-NZ"/>
              </w:rPr>
            </w:pPr>
            <w:r w:rsidRPr="00E44F3E">
              <w:lastRenderedPageBreak/>
              <w:t>Acalabrutinib</w:t>
            </w:r>
            <w:r w:rsidRPr="00E44F3E">
              <w:rPr>
                <w:szCs w:val="18"/>
                <w:lang w:eastAsia="en-NZ"/>
              </w:rPr>
              <w:t xml:space="preserve"> </w:t>
            </w:r>
            <w:r>
              <w:rPr>
                <w:szCs w:val="18"/>
                <w:lang w:eastAsia="en-NZ"/>
              </w:rPr>
              <w:t xml:space="preserve">or </w:t>
            </w:r>
            <w:r w:rsidRPr="00E44F3E">
              <w:rPr>
                <w:szCs w:val="18"/>
                <w:lang w:eastAsia="en-NZ"/>
              </w:rPr>
              <w:t>Zanubrutinib</w:t>
            </w:r>
          </w:p>
        </w:tc>
        <w:tc>
          <w:tcPr>
            <w:tcW w:w="0" w:type="auto"/>
            <w:vMerge w:val="restart"/>
            <w:shd w:val="clear" w:color="auto" w:fill="auto"/>
          </w:tcPr>
          <w:p w14:paraId="297812C4" w14:textId="6D2D8178" w:rsidR="00462C03" w:rsidRPr="00E44F3E" w:rsidRDefault="00462C03" w:rsidP="00462C03">
            <w:pPr>
              <w:pStyle w:val="TableText"/>
              <w:keepLines/>
              <w:rPr>
                <w:szCs w:val="18"/>
                <w:lang w:eastAsia="en-NZ"/>
              </w:rPr>
            </w:pPr>
            <w:r w:rsidRPr="00E44F3E">
              <w:rPr>
                <w:szCs w:val="18"/>
                <w:lang w:eastAsia="en-NZ"/>
              </w:rPr>
              <w:t>Monotherapy</w:t>
            </w:r>
          </w:p>
        </w:tc>
        <w:tc>
          <w:tcPr>
            <w:tcW w:w="0" w:type="auto"/>
            <w:vMerge w:val="restart"/>
            <w:shd w:val="clear" w:color="auto" w:fill="auto"/>
          </w:tcPr>
          <w:p w14:paraId="7E74AEE2" w14:textId="05CCC58B" w:rsidR="00462C03" w:rsidRPr="00E44F3E" w:rsidRDefault="00462C03" w:rsidP="00462C03">
            <w:pPr>
              <w:pStyle w:val="TableText"/>
              <w:keepLines/>
              <w:rPr>
                <w:szCs w:val="18"/>
                <w:lang w:eastAsia="en-NZ"/>
              </w:rPr>
            </w:pPr>
            <w:r w:rsidRPr="00E44F3E">
              <w:rPr>
                <w:szCs w:val="18"/>
                <w:lang w:eastAsia="en-NZ"/>
              </w:rPr>
              <w:t>Chronic lymphocytic leukaemia (CLL) or small lymphocytic lymphoma (SLL)</w:t>
            </w:r>
          </w:p>
        </w:tc>
        <w:tc>
          <w:tcPr>
            <w:tcW w:w="0" w:type="auto"/>
            <w:vMerge w:val="restart"/>
            <w:shd w:val="clear" w:color="auto" w:fill="auto"/>
          </w:tcPr>
          <w:p w14:paraId="5D661175" w14:textId="1BC31D2C" w:rsidR="00462C03" w:rsidRPr="00E44F3E" w:rsidRDefault="00462C03" w:rsidP="00462C03">
            <w:pPr>
              <w:pStyle w:val="TableText"/>
              <w:keepLines/>
              <w:rPr>
                <w:szCs w:val="18"/>
                <w:lang w:eastAsia="en-NZ"/>
              </w:rPr>
            </w:pPr>
            <w:r w:rsidRPr="00E44F3E">
              <w:rPr>
                <w:szCs w:val="18"/>
                <w:lang w:eastAsia="en-NZ"/>
              </w:rPr>
              <w:t xml:space="preserve">Previously untreated or intolerant to another first-line drug treatment </w:t>
            </w:r>
          </w:p>
        </w:tc>
        <w:tc>
          <w:tcPr>
            <w:tcW w:w="0" w:type="auto"/>
            <w:shd w:val="clear" w:color="auto" w:fill="auto"/>
          </w:tcPr>
          <w:p w14:paraId="3EF1939C" w14:textId="77777777" w:rsidR="00462C03" w:rsidRPr="00E44F3E" w:rsidRDefault="00462C03" w:rsidP="00462C03">
            <w:pPr>
              <w:pStyle w:val="TableText"/>
              <w:keepLines/>
              <w:jc w:val="center"/>
              <w:rPr>
                <w:szCs w:val="18"/>
                <w:lang w:eastAsia="en-NZ"/>
              </w:rPr>
            </w:pPr>
            <w:r w:rsidRPr="00E44F3E">
              <w:rPr>
                <w:szCs w:val="18"/>
                <w:lang w:eastAsia="en-NZ"/>
              </w:rPr>
              <w:t>Zanubrutinib SEQUOIA</w:t>
            </w:r>
          </w:p>
          <w:p w14:paraId="2FB88B00" w14:textId="54B8B07F" w:rsidR="00462C03" w:rsidRPr="00E44F3E" w:rsidRDefault="00462C03" w:rsidP="00462C03">
            <w:pPr>
              <w:pStyle w:val="TableText"/>
              <w:jc w:val="center"/>
            </w:pPr>
            <w:r w:rsidRPr="00E44F3E">
              <w:rPr>
                <w:szCs w:val="18"/>
                <w:lang w:eastAsia="en-NZ"/>
              </w:rPr>
              <w:t>(Ghia et al 2023; Tam et al 2022)</w:t>
            </w:r>
          </w:p>
        </w:tc>
        <w:tc>
          <w:tcPr>
            <w:tcW w:w="0" w:type="auto"/>
            <w:shd w:val="clear" w:color="auto" w:fill="auto"/>
          </w:tcPr>
          <w:p w14:paraId="4C57D665" w14:textId="77777777" w:rsidR="00462C03" w:rsidRPr="00C86FFF" w:rsidRDefault="00462C03" w:rsidP="00462C03">
            <w:pPr>
              <w:pStyle w:val="TableText"/>
              <w:keepLines/>
              <w:jc w:val="center"/>
              <w:rPr>
                <w:b/>
                <w:bCs/>
                <w:szCs w:val="18"/>
                <w:lang w:eastAsia="en-NZ"/>
              </w:rPr>
            </w:pPr>
            <w:r w:rsidRPr="00C86FFF">
              <w:rPr>
                <w:b/>
                <w:bCs/>
                <w:szCs w:val="18"/>
                <w:lang w:eastAsia="en-NZ"/>
              </w:rPr>
              <w:t>1</w:t>
            </w:r>
          </w:p>
          <w:p w14:paraId="55B93C24" w14:textId="60C8CDDC" w:rsidR="00462C03" w:rsidRPr="00E44F3E" w:rsidRDefault="00462C03" w:rsidP="00462C03">
            <w:pPr>
              <w:pStyle w:val="TableText"/>
              <w:keepLines/>
              <w:jc w:val="center"/>
            </w:pPr>
            <w:r>
              <w:rPr>
                <w:szCs w:val="18"/>
                <w:lang w:eastAsia="en-NZ"/>
              </w:rPr>
              <w:t>(2b)</w:t>
            </w:r>
          </w:p>
        </w:tc>
        <w:tc>
          <w:tcPr>
            <w:tcW w:w="0" w:type="auto"/>
            <w:shd w:val="clear" w:color="auto" w:fill="auto"/>
          </w:tcPr>
          <w:p w14:paraId="128E63B7" w14:textId="77777777" w:rsidR="00462C03" w:rsidRPr="00E44F3E" w:rsidRDefault="00462C03" w:rsidP="00462C03">
            <w:pPr>
              <w:pStyle w:val="TableBullet"/>
              <w:keepLines/>
              <w:rPr>
                <w:szCs w:val="18"/>
                <w:lang w:eastAsia="en-NZ"/>
              </w:rPr>
            </w:pPr>
            <w:r w:rsidRPr="00E44F3E">
              <w:rPr>
                <w:szCs w:val="18"/>
                <w:lang w:eastAsia="en-NZ"/>
              </w:rPr>
              <w:t>Derived ESMO-MCBS:H score is based on a comparator (</w:t>
            </w:r>
            <w:proofErr w:type="spellStart"/>
            <w:r w:rsidRPr="00E44F3E">
              <w:rPr>
                <w:szCs w:val="18"/>
                <w:lang w:eastAsia="en-NZ"/>
              </w:rPr>
              <w:t>bendamustine</w:t>
            </w:r>
            <w:proofErr w:type="spellEnd"/>
            <w:r w:rsidRPr="00E44F3E">
              <w:rPr>
                <w:szCs w:val="18"/>
                <w:lang w:eastAsia="en-NZ"/>
              </w:rPr>
              <w:t xml:space="preserve"> and rituximab) that is publicly funded in </w:t>
            </w:r>
            <w:r>
              <w:rPr>
                <w:szCs w:val="18"/>
              </w:rPr>
              <w:t>Aotearoa New Zealand,</w:t>
            </w:r>
            <w:r w:rsidRPr="00E44F3E">
              <w:rPr>
                <w:szCs w:val="18"/>
              </w:rPr>
              <w:t xml:space="preserve"> </w:t>
            </w:r>
            <w:r w:rsidRPr="00E44F3E">
              <w:rPr>
                <w:szCs w:val="18"/>
                <w:lang w:eastAsia="en-NZ"/>
              </w:rPr>
              <w:t xml:space="preserve">so </w:t>
            </w:r>
            <w:r>
              <w:t>the</w:t>
            </w:r>
            <w:r w:rsidRPr="00E44F3E">
              <w:rPr>
                <w:szCs w:val="18"/>
                <w:lang w:eastAsia="en-NZ"/>
              </w:rPr>
              <w:t xml:space="preserve"> derived score is reflective of the gap between Australia and </w:t>
            </w:r>
            <w:r>
              <w:rPr>
                <w:szCs w:val="18"/>
              </w:rPr>
              <w:t>Aotearoa New Zealand</w:t>
            </w:r>
            <w:r w:rsidRPr="00E44F3E">
              <w:rPr>
                <w:szCs w:val="18"/>
                <w:lang w:eastAsia="en-NZ"/>
              </w:rPr>
              <w:t xml:space="preserve">. </w:t>
            </w:r>
          </w:p>
          <w:p w14:paraId="7B942171" w14:textId="77777777" w:rsidR="00462C03" w:rsidRPr="00E44F3E" w:rsidRDefault="00462C03" w:rsidP="00462C03">
            <w:pPr>
              <w:pStyle w:val="TableBullet"/>
              <w:keepLines/>
              <w:rPr>
                <w:szCs w:val="18"/>
                <w:lang w:eastAsia="en-NZ"/>
              </w:rPr>
            </w:pPr>
            <w:r w:rsidRPr="00E44F3E">
              <w:rPr>
                <w:szCs w:val="18"/>
                <w:lang w:eastAsia="en-NZ"/>
              </w:rPr>
              <w:t>Primary end point was progression</w:t>
            </w:r>
            <w:r>
              <w:rPr>
                <w:szCs w:val="18"/>
                <w:lang w:eastAsia="en-NZ"/>
              </w:rPr>
              <w:t>-</w:t>
            </w:r>
            <w:r w:rsidRPr="00E44F3E">
              <w:rPr>
                <w:szCs w:val="18"/>
                <w:lang w:eastAsia="en-NZ"/>
              </w:rPr>
              <w:t>free survival. Median progression</w:t>
            </w:r>
            <w:r>
              <w:rPr>
                <w:szCs w:val="18"/>
                <w:lang w:eastAsia="en-NZ"/>
              </w:rPr>
              <w:t>-</w:t>
            </w:r>
            <w:r w:rsidRPr="00E44F3E">
              <w:rPr>
                <w:szCs w:val="18"/>
                <w:lang w:eastAsia="en-NZ"/>
              </w:rPr>
              <w:t>free survival was not yet reached in either group. At 24 months, estimated progression</w:t>
            </w:r>
            <w:r>
              <w:rPr>
                <w:szCs w:val="18"/>
                <w:lang w:eastAsia="en-NZ"/>
              </w:rPr>
              <w:t>-</w:t>
            </w:r>
            <w:r w:rsidRPr="00E44F3E">
              <w:rPr>
                <w:szCs w:val="18"/>
                <w:lang w:eastAsia="en-NZ"/>
              </w:rPr>
              <w:t xml:space="preserve">free survival was 86% with </w:t>
            </w:r>
            <w:proofErr w:type="spellStart"/>
            <w:r w:rsidRPr="00E44F3E">
              <w:rPr>
                <w:szCs w:val="18"/>
                <w:lang w:eastAsia="en-NZ"/>
              </w:rPr>
              <w:t>zanubrutinib</w:t>
            </w:r>
            <w:proofErr w:type="spellEnd"/>
            <w:r w:rsidRPr="00E44F3E">
              <w:rPr>
                <w:szCs w:val="18"/>
                <w:lang w:eastAsia="en-NZ"/>
              </w:rPr>
              <w:t xml:space="preserve"> </w:t>
            </w:r>
            <w:r>
              <w:rPr>
                <w:szCs w:val="18"/>
                <w:lang w:eastAsia="en-NZ"/>
              </w:rPr>
              <w:t>vs</w:t>
            </w:r>
            <w:r w:rsidRPr="00E44F3E">
              <w:rPr>
                <w:szCs w:val="18"/>
                <w:lang w:eastAsia="en-NZ"/>
              </w:rPr>
              <w:t xml:space="preserve"> 70% with the comparator. The study was stopped early due to preliminary progression</w:t>
            </w:r>
            <w:r>
              <w:rPr>
                <w:szCs w:val="18"/>
                <w:lang w:eastAsia="en-NZ"/>
              </w:rPr>
              <w:t>-</w:t>
            </w:r>
            <w:r w:rsidRPr="00E44F3E">
              <w:rPr>
                <w:szCs w:val="18"/>
                <w:lang w:eastAsia="en-NZ"/>
              </w:rPr>
              <w:t xml:space="preserve">free survival results. </w:t>
            </w:r>
          </w:p>
          <w:p w14:paraId="7CD3F491" w14:textId="77777777" w:rsidR="00462C03" w:rsidRDefault="00462C03" w:rsidP="00462C03">
            <w:pPr>
              <w:pStyle w:val="TableBullet"/>
              <w:keepLines/>
              <w:rPr>
                <w:szCs w:val="18"/>
                <w:lang w:eastAsia="en-NZ"/>
              </w:rPr>
            </w:pPr>
            <w:r w:rsidRPr="00E44F3E">
              <w:rPr>
                <w:szCs w:val="18"/>
                <w:lang w:eastAsia="en-NZ"/>
              </w:rPr>
              <w:t>Quality of life was measured as a secondary endpoint</w:t>
            </w:r>
            <w:r>
              <w:rPr>
                <w:szCs w:val="18"/>
                <w:lang w:eastAsia="en-NZ"/>
              </w:rPr>
              <w:t>,</w:t>
            </w:r>
            <w:r w:rsidRPr="00E44F3E">
              <w:rPr>
                <w:szCs w:val="18"/>
                <w:lang w:eastAsia="en-NZ"/>
              </w:rPr>
              <w:t xml:space="preserve"> but no statistically significant difference in global quality of life measures was evident. </w:t>
            </w:r>
          </w:p>
          <w:p w14:paraId="3E45134F" w14:textId="77777777" w:rsidR="00462C03" w:rsidRPr="00E44F3E" w:rsidRDefault="00462C03" w:rsidP="00462C03">
            <w:pPr>
              <w:pStyle w:val="TableBullet"/>
              <w:keepLines/>
            </w:pPr>
          </w:p>
        </w:tc>
      </w:tr>
      <w:tr w:rsidR="00462C03" w:rsidRPr="00E44F3E" w14:paraId="6F901BFC" w14:textId="77777777" w:rsidTr="0069375A">
        <w:trPr>
          <w:trHeight w:val="20"/>
        </w:trPr>
        <w:tc>
          <w:tcPr>
            <w:tcW w:w="0" w:type="auto"/>
            <w:vMerge/>
            <w:shd w:val="clear" w:color="auto" w:fill="auto"/>
          </w:tcPr>
          <w:p w14:paraId="67C3AFE0" w14:textId="77777777" w:rsidR="00462C03" w:rsidRPr="00E44F3E" w:rsidRDefault="00462C03" w:rsidP="00462C03">
            <w:pPr>
              <w:pStyle w:val="TableText"/>
              <w:keepLines/>
              <w:rPr>
                <w:szCs w:val="18"/>
                <w:lang w:eastAsia="en-NZ"/>
              </w:rPr>
            </w:pPr>
          </w:p>
        </w:tc>
        <w:tc>
          <w:tcPr>
            <w:tcW w:w="0" w:type="auto"/>
            <w:vMerge/>
            <w:shd w:val="clear" w:color="auto" w:fill="auto"/>
          </w:tcPr>
          <w:p w14:paraId="593F15BE" w14:textId="77777777" w:rsidR="00462C03" w:rsidRPr="00E44F3E" w:rsidRDefault="00462C03" w:rsidP="00462C03">
            <w:pPr>
              <w:pStyle w:val="TableText"/>
              <w:keepLines/>
              <w:rPr>
                <w:szCs w:val="18"/>
                <w:lang w:eastAsia="en-NZ"/>
              </w:rPr>
            </w:pPr>
          </w:p>
        </w:tc>
        <w:tc>
          <w:tcPr>
            <w:tcW w:w="0" w:type="auto"/>
            <w:vMerge/>
            <w:shd w:val="clear" w:color="auto" w:fill="auto"/>
          </w:tcPr>
          <w:p w14:paraId="6431ED0B" w14:textId="77777777" w:rsidR="00462C03" w:rsidRPr="00E44F3E" w:rsidRDefault="00462C03" w:rsidP="00462C03">
            <w:pPr>
              <w:pStyle w:val="TableText"/>
              <w:keepLines/>
              <w:rPr>
                <w:szCs w:val="18"/>
                <w:lang w:eastAsia="en-NZ"/>
              </w:rPr>
            </w:pPr>
          </w:p>
        </w:tc>
        <w:tc>
          <w:tcPr>
            <w:tcW w:w="0" w:type="auto"/>
            <w:vMerge/>
            <w:shd w:val="clear" w:color="auto" w:fill="auto"/>
          </w:tcPr>
          <w:p w14:paraId="6A5FA2B9" w14:textId="77777777" w:rsidR="00462C03" w:rsidRPr="00E44F3E" w:rsidRDefault="00462C03" w:rsidP="00462C03">
            <w:pPr>
              <w:pStyle w:val="TableText"/>
              <w:keepLines/>
              <w:rPr>
                <w:szCs w:val="18"/>
                <w:lang w:eastAsia="en-NZ"/>
              </w:rPr>
            </w:pPr>
          </w:p>
        </w:tc>
        <w:tc>
          <w:tcPr>
            <w:tcW w:w="0" w:type="auto"/>
            <w:shd w:val="clear" w:color="auto" w:fill="auto"/>
          </w:tcPr>
          <w:p w14:paraId="65C26D0A" w14:textId="77777777" w:rsidR="00462C03" w:rsidRPr="00E44F3E" w:rsidRDefault="00462C03" w:rsidP="00462C03">
            <w:pPr>
              <w:pStyle w:val="TableText"/>
              <w:jc w:val="center"/>
            </w:pPr>
            <w:r w:rsidRPr="00E44F3E">
              <w:t>Acalabrutinib ELEVATE-TN</w:t>
            </w:r>
          </w:p>
          <w:p w14:paraId="71F28A57" w14:textId="6EDE02CE" w:rsidR="00462C03" w:rsidRPr="00E44F3E" w:rsidRDefault="00462C03" w:rsidP="00462C03">
            <w:pPr>
              <w:pStyle w:val="TableText"/>
              <w:jc w:val="center"/>
            </w:pPr>
            <w:r w:rsidRPr="00E44F3E">
              <w:t>(Sharman et al 2020; Sharman et al 2023)</w:t>
            </w:r>
          </w:p>
        </w:tc>
        <w:tc>
          <w:tcPr>
            <w:tcW w:w="0" w:type="auto"/>
            <w:shd w:val="clear" w:color="auto" w:fill="auto"/>
          </w:tcPr>
          <w:p w14:paraId="00B22478" w14:textId="6B586F0A" w:rsidR="00462C03" w:rsidRPr="00E44F3E" w:rsidRDefault="00462C03" w:rsidP="00462C03">
            <w:pPr>
              <w:pStyle w:val="TableText"/>
              <w:keepLines/>
              <w:jc w:val="center"/>
            </w:pPr>
            <w:r w:rsidRPr="00E44F3E">
              <w:t>Not scoreable</w:t>
            </w:r>
          </w:p>
        </w:tc>
        <w:tc>
          <w:tcPr>
            <w:tcW w:w="0" w:type="auto"/>
            <w:shd w:val="clear" w:color="auto" w:fill="auto"/>
          </w:tcPr>
          <w:p w14:paraId="4D2DC29F" w14:textId="3AA8CC2B" w:rsidR="00462C03" w:rsidRPr="00E44F3E" w:rsidRDefault="00462C03" w:rsidP="00462C03">
            <w:pPr>
              <w:pStyle w:val="TableBullet"/>
              <w:keepLines/>
            </w:pPr>
            <w:r w:rsidRPr="00E44F3E">
              <w:t>Available trial evidence does not include parameters that permit the application of the ESMO-MCBS:H</w:t>
            </w:r>
            <w:r>
              <w:t>.</w:t>
            </w:r>
            <w:r w:rsidRPr="00E44F3E">
              <w:t xml:space="preserve"> </w:t>
            </w:r>
            <w:r w:rsidRPr="00E44F3E">
              <w:rPr>
                <w:lang w:eastAsia="en-NZ"/>
              </w:rPr>
              <w:t xml:space="preserve">Progression-free survival </w:t>
            </w:r>
            <w:r w:rsidRPr="00E44F3E">
              <w:t xml:space="preserve">for aclarubicin as a monotherapy was a secondary trial endpoint. </w:t>
            </w:r>
          </w:p>
        </w:tc>
      </w:tr>
    </w:tbl>
    <w:p w14:paraId="1C63BC9F" w14:textId="15998C31" w:rsidR="00082FE1" w:rsidRPr="00E44F3E" w:rsidRDefault="00C22DC4" w:rsidP="00EB0A8D">
      <w:pPr>
        <w:pStyle w:val="Note"/>
      </w:pPr>
      <w:r w:rsidRPr="00E44F3E">
        <w:t>* Represents a regimen</w:t>
      </w:r>
      <w:r w:rsidR="00DC5AE3">
        <w:t>-indication</w:t>
      </w:r>
      <w:r w:rsidRPr="00E44F3E">
        <w:t xml:space="preserve"> pair – where more than one medicine is taken as part of the same treatment, and both would need to be funded to close the gap.</w:t>
      </w:r>
    </w:p>
    <w:p w14:paraId="463619AF" w14:textId="494DBF05" w:rsidR="00082FE1" w:rsidRPr="00E44F3E" w:rsidRDefault="00082FE1" w:rsidP="00675A4B">
      <w:pPr>
        <w:pStyle w:val="Table"/>
        <w:pageBreakBefore/>
      </w:pPr>
      <w:bookmarkStart w:id="232" w:name="_Ref171691171"/>
      <w:bookmarkStart w:id="233" w:name="_Toc175241605"/>
      <w:bookmarkStart w:id="234" w:name="_Toc180142300"/>
      <w:bookmarkStart w:id="235" w:name="_Hlk177376942"/>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14</w:t>
      </w:r>
      <w:r w:rsidR="00D97615">
        <w:rPr>
          <w:noProof/>
        </w:rPr>
        <w:fldChar w:fldCharType="end"/>
      </w:r>
      <w:bookmarkEnd w:id="232"/>
      <w:r w:rsidR="001170B0" w:rsidRPr="00E44F3E">
        <w:t>:</w:t>
      </w:r>
      <w:r w:rsidRPr="00E44F3E">
        <w:t xml:space="preserve"> Medicines funded in Australia but not </w:t>
      </w:r>
      <w:r w:rsidR="00761832">
        <w:t xml:space="preserve">in </w:t>
      </w:r>
      <w:r w:rsidR="00E6006E">
        <w:t>Aotearoa New </w:t>
      </w:r>
      <w:r w:rsidR="007C6B5B">
        <w:t>Zealand</w:t>
      </w:r>
      <w:r w:rsidRPr="00E44F3E">
        <w:t xml:space="preserve"> </w:t>
      </w:r>
      <w:r w:rsidR="00A85AB2">
        <w:t xml:space="preserve">– </w:t>
      </w:r>
      <w:r w:rsidR="001C0502" w:rsidRPr="001C0502">
        <w:t>gap categorisation</w:t>
      </w:r>
      <w:r w:rsidR="00A85AB2">
        <w:t xml:space="preserve">: </w:t>
      </w:r>
      <w:r w:rsidR="001C0502" w:rsidRPr="001C0502">
        <w:t>no evaluable benefit</w:t>
      </w:r>
      <w:bookmarkEnd w:id="233"/>
      <w:bookmarkEnd w:id="234"/>
    </w:p>
    <w:tbl>
      <w:tblPr>
        <w:tblStyle w:val="CCA"/>
        <w:tblW w:w="0" w:type="auto"/>
        <w:tblLook w:val="04A0" w:firstRow="1" w:lastRow="0" w:firstColumn="1" w:lastColumn="0" w:noHBand="0" w:noVBand="1"/>
      </w:tblPr>
      <w:tblGrid>
        <w:gridCol w:w="1477"/>
        <w:gridCol w:w="1593"/>
        <w:gridCol w:w="2203"/>
        <w:gridCol w:w="2321"/>
        <w:gridCol w:w="1453"/>
        <w:gridCol w:w="1478"/>
        <w:gridCol w:w="3473"/>
      </w:tblGrid>
      <w:tr w:rsidR="00382C78" w:rsidRPr="00E44F3E" w14:paraId="2EF3B834" w14:textId="77777777" w:rsidTr="00F70DF6">
        <w:trPr>
          <w:cnfStyle w:val="100000000000" w:firstRow="1" w:lastRow="0" w:firstColumn="0" w:lastColumn="0" w:oddVBand="0" w:evenVBand="0" w:oddHBand="0" w:evenHBand="0" w:firstRowFirstColumn="0" w:firstRowLastColumn="0" w:lastRowFirstColumn="0" w:lastRowLastColumn="0"/>
        </w:trPr>
        <w:tc>
          <w:tcPr>
            <w:tcW w:w="0" w:type="auto"/>
          </w:tcPr>
          <w:bookmarkEnd w:id="235"/>
          <w:p w14:paraId="1DC62553" w14:textId="684AB2A0" w:rsidR="00E61ABD" w:rsidRPr="00E44F3E" w:rsidRDefault="00E61ABD" w:rsidP="0069375A">
            <w:pPr>
              <w:pStyle w:val="TableText"/>
              <w:keepLines/>
              <w:rPr>
                <w:b/>
                <w:bCs/>
              </w:rPr>
            </w:pPr>
            <w:r w:rsidRPr="00E44F3E">
              <w:rPr>
                <w:b/>
                <w:bCs/>
              </w:rPr>
              <w:t>Medicine name</w:t>
            </w:r>
          </w:p>
        </w:tc>
        <w:tc>
          <w:tcPr>
            <w:tcW w:w="0" w:type="auto"/>
          </w:tcPr>
          <w:p w14:paraId="5592929B" w14:textId="067BCA0C" w:rsidR="00E61ABD" w:rsidRPr="00E44F3E" w:rsidRDefault="00401C70" w:rsidP="0069375A">
            <w:pPr>
              <w:pStyle w:val="TableText"/>
              <w:keepLines/>
              <w:rPr>
                <w:b/>
                <w:bCs/>
              </w:rPr>
            </w:pPr>
            <w:r>
              <w:rPr>
                <w:b/>
                <w:bCs/>
              </w:rPr>
              <w:t>Used in combination with</w:t>
            </w:r>
            <w:r w:rsidR="00E61ABD" w:rsidRPr="00E44F3E">
              <w:rPr>
                <w:b/>
                <w:bCs/>
              </w:rPr>
              <w:t xml:space="preserve"> </w:t>
            </w:r>
          </w:p>
        </w:tc>
        <w:tc>
          <w:tcPr>
            <w:tcW w:w="0" w:type="auto"/>
          </w:tcPr>
          <w:p w14:paraId="730F19A6" w14:textId="49388D42" w:rsidR="00E61ABD" w:rsidRPr="00E44F3E" w:rsidRDefault="00E61ABD" w:rsidP="0069375A">
            <w:pPr>
              <w:pStyle w:val="TableText"/>
              <w:keepLines/>
              <w:rPr>
                <w:b/>
                <w:bCs/>
              </w:rPr>
            </w:pPr>
            <w:r w:rsidRPr="00E44F3E">
              <w:rPr>
                <w:b/>
                <w:bCs/>
              </w:rPr>
              <w:t>Cancer type</w:t>
            </w:r>
          </w:p>
        </w:tc>
        <w:tc>
          <w:tcPr>
            <w:tcW w:w="0" w:type="auto"/>
          </w:tcPr>
          <w:p w14:paraId="2557F13D" w14:textId="198FFD43" w:rsidR="00E61ABD" w:rsidRPr="00E44F3E" w:rsidRDefault="00E61ABD" w:rsidP="0069375A">
            <w:pPr>
              <w:pStyle w:val="TableText"/>
              <w:keepLines/>
              <w:rPr>
                <w:b/>
                <w:bCs/>
              </w:rPr>
            </w:pPr>
            <w:r w:rsidRPr="00E44F3E">
              <w:rPr>
                <w:b/>
                <w:bCs/>
              </w:rPr>
              <w:t xml:space="preserve">Specific indication </w:t>
            </w:r>
          </w:p>
        </w:tc>
        <w:tc>
          <w:tcPr>
            <w:tcW w:w="0" w:type="auto"/>
          </w:tcPr>
          <w:p w14:paraId="39CE756C" w14:textId="43F3B67A" w:rsidR="00E61ABD" w:rsidRPr="00E44F3E" w:rsidRDefault="00E61ABD" w:rsidP="0069375A">
            <w:pPr>
              <w:pStyle w:val="TableText"/>
              <w:keepLines/>
              <w:rPr>
                <w:b/>
                <w:bCs/>
              </w:rPr>
            </w:pPr>
            <w:r w:rsidRPr="00E44F3E">
              <w:rPr>
                <w:b/>
                <w:bCs/>
              </w:rPr>
              <w:t>Key pivotal trial used for scoring</w:t>
            </w:r>
          </w:p>
        </w:tc>
        <w:tc>
          <w:tcPr>
            <w:tcW w:w="0" w:type="auto"/>
          </w:tcPr>
          <w:p w14:paraId="407B75EB" w14:textId="5602EB20" w:rsidR="00E61ABD" w:rsidRPr="00E44F3E" w:rsidRDefault="00D16852" w:rsidP="0069375A">
            <w:pPr>
              <w:pStyle w:val="TableText"/>
              <w:keepLines/>
              <w:jc w:val="center"/>
              <w:rPr>
                <w:b/>
                <w:bCs/>
              </w:rPr>
            </w:pPr>
            <w:r w:rsidRPr="00D16852">
              <w:rPr>
                <w:b/>
                <w:bCs/>
              </w:rPr>
              <w:t>ESMO</w:t>
            </w:r>
            <w:r w:rsidR="00A5590D">
              <w:rPr>
                <w:b/>
                <w:bCs/>
              </w:rPr>
              <w:noBreakHyphen/>
            </w:r>
            <w:r w:rsidRPr="00D16852">
              <w:rPr>
                <w:b/>
                <w:bCs/>
              </w:rPr>
              <w:t xml:space="preserve">MCBS:H </w:t>
            </w:r>
            <w:r>
              <w:rPr>
                <w:b/>
                <w:bCs/>
              </w:rPr>
              <w:t>s</w:t>
            </w:r>
            <w:r w:rsidR="00E61ABD" w:rsidRPr="00E44F3E">
              <w:rPr>
                <w:b/>
                <w:bCs/>
              </w:rPr>
              <w:t>core</w:t>
            </w:r>
            <w:r w:rsidR="00F8045E">
              <w:rPr>
                <w:b/>
                <w:bCs/>
              </w:rPr>
              <w:br/>
            </w:r>
            <w:r w:rsidR="00F8045E" w:rsidRPr="00156CDE">
              <w:rPr>
                <w:b/>
                <w:bCs/>
                <w:sz w:val="16"/>
                <w:szCs w:val="18"/>
              </w:rPr>
              <w:t>(</w:t>
            </w:r>
            <w:r w:rsidR="00A5590D" w:rsidRPr="00156CDE">
              <w:rPr>
                <w:b/>
                <w:bCs/>
                <w:sz w:val="16"/>
                <w:szCs w:val="18"/>
              </w:rPr>
              <w:t>ESMO</w:t>
            </w:r>
            <w:r w:rsidR="004D159E">
              <w:rPr>
                <w:b/>
                <w:bCs/>
                <w:sz w:val="16"/>
                <w:szCs w:val="18"/>
              </w:rPr>
              <w:t>-</w:t>
            </w:r>
            <w:r w:rsidR="00A5590D" w:rsidRPr="00156CDE">
              <w:rPr>
                <w:b/>
                <w:bCs/>
                <w:sz w:val="16"/>
                <w:szCs w:val="18"/>
              </w:rPr>
              <w:t xml:space="preserve">MCBS:H </w:t>
            </w:r>
            <w:r w:rsidR="00F8045E" w:rsidRPr="00156CDE">
              <w:rPr>
                <w:b/>
                <w:bCs/>
                <w:sz w:val="16"/>
                <w:szCs w:val="18"/>
              </w:rPr>
              <w:t>evaluation form)</w:t>
            </w:r>
          </w:p>
        </w:tc>
        <w:tc>
          <w:tcPr>
            <w:tcW w:w="0" w:type="auto"/>
          </w:tcPr>
          <w:p w14:paraId="5B678F5D" w14:textId="49031061" w:rsidR="00E61ABD" w:rsidRPr="00E44F3E" w:rsidRDefault="00692B97" w:rsidP="0069375A">
            <w:pPr>
              <w:pStyle w:val="TableText"/>
              <w:keepLines/>
              <w:rPr>
                <w:b/>
                <w:bCs/>
              </w:rPr>
            </w:pPr>
            <w:r w:rsidRPr="00692B97">
              <w:rPr>
                <w:b/>
                <w:bCs/>
              </w:rPr>
              <w:t>Rationale for gap categorisation</w:t>
            </w:r>
            <w:r w:rsidR="00542DB1">
              <w:rPr>
                <w:b/>
                <w:bCs/>
              </w:rPr>
              <w:t>:</w:t>
            </w:r>
            <w:r>
              <w:t xml:space="preserve"> </w:t>
            </w:r>
            <w:r>
              <w:br/>
            </w:r>
            <w:r>
              <w:rPr>
                <w:b/>
                <w:bCs/>
              </w:rPr>
              <w:t>n</w:t>
            </w:r>
            <w:r w:rsidRPr="00692B97">
              <w:rPr>
                <w:b/>
                <w:bCs/>
              </w:rPr>
              <w:t xml:space="preserve">o evaluable benefit </w:t>
            </w:r>
          </w:p>
        </w:tc>
      </w:tr>
      <w:tr w:rsidR="005C5201" w:rsidRPr="00E44F3E" w14:paraId="72B82ECA" w14:textId="77777777" w:rsidTr="00F70DF6">
        <w:tc>
          <w:tcPr>
            <w:tcW w:w="0" w:type="auto"/>
          </w:tcPr>
          <w:p w14:paraId="56EE7F6D" w14:textId="1077DA85" w:rsidR="009F243B" w:rsidRPr="00135084" w:rsidRDefault="009F243B" w:rsidP="0069375A">
            <w:pPr>
              <w:pStyle w:val="TableText"/>
              <w:keepLines/>
            </w:pPr>
            <w:r w:rsidRPr="00135084">
              <w:t>Zanubrutinib</w:t>
            </w:r>
          </w:p>
        </w:tc>
        <w:tc>
          <w:tcPr>
            <w:tcW w:w="0" w:type="auto"/>
          </w:tcPr>
          <w:p w14:paraId="169B5EF4" w14:textId="6106D18B" w:rsidR="009F243B" w:rsidRPr="00E44F3E" w:rsidRDefault="009F243B" w:rsidP="0069375A">
            <w:pPr>
              <w:pStyle w:val="TableText"/>
              <w:keepLines/>
            </w:pPr>
            <w:r w:rsidRPr="00E44F3E">
              <w:t>Monotherapy</w:t>
            </w:r>
          </w:p>
        </w:tc>
        <w:tc>
          <w:tcPr>
            <w:tcW w:w="0" w:type="auto"/>
          </w:tcPr>
          <w:p w14:paraId="61966EC3" w14:textId="5DA1A84C" w:rsidR="009F243B" w:rsidRPr="00E44F3E" w:rsidRDefault="009F243B" w:rsidP="0069375A">
            <w:pPr>
              <w:pStyle w:val="TableText"/>
              <w:keepLines/>
            </w:pPr>
            <w:r w:rsidRPr="00E44F3E">
              <w:t xml:space="preserve">Waldenstrom macroglobulinaemia </w:t>
            </w:r>
          </w:p>
        </w:tc>
        <w:tc>
          <w:tcPr>
            <w:tcW w:w="0" w:type="auto"/>
          </w:tcPr>
          <w:p w14:paraId="63240A8D" w14:textId="60320FE0" w:rsidR="009F243B" w:rsidRPr="00E44F3E" w:rsidRDefault="009F243B" w:rsidP="0069375A">
            <w:pPr>
              <w:pStyle w:val="TableText"/>
              <w:keepLines/>
            </w:pPr>
            <w:r w:rsidRPr="00E44F3E">
              <w:t>Relapsed or refractory to at least one prior chemo-immunotherapy or be unsuitable for treatment with chemo-immunotherapy</w:t>
            </w:r>
          </w:p>
        </w:tc>
        <w:tc>
          <w:tcPr>
            <w:tcW w:w="0" w:type="auto"/>
          </w:tcPr>
          <w:p w14:paraId="10B496FE" w14:textId="77777777" w:rsidR="009F243B" w:rsidRPr="00E44F3E" w:rsidRDefault="009F243B" w:rsidP="0069375A">
            <w:pPr>
              <w:pStyle w:val="TableText"/>
              <w:keepLines/>
            </w:pPr>
            <w:r w:rsidRPr="00E44F3E">
              <w:t>ASPEN</w:t>
            </w:r>
          </w:p>
          <w:p w14:paraId="78B5A9A6" w14:textId="02DC9886" w:rsidR="009F243B" w:rsidRPr="00E44F3E" w:rsidRDefault="009F243B" w:rsidP="0069375A">
            <w:pPr>
              <w:pStyle w:val="TableText"/>
              <w:keepLines/>
            </w:pPr>
            <w:r w:rsidRPr="00E44F3E">
              <w:t>(</w:t>
            </w:r>
            <w:proofErr w:type="spellStart"/>
            <w:r w:rsidRPr="00E44F3E">
              <w:t>Dimopoulos</w:t>
            </w:r>
            <w:proofErr w:type="spellEnd"/>
            <w:r w:rsidRPr="00E44F3E">
              <w:t xml:space="preserve"> </w:t>
            </w:r>
            <w:r w:rsidR="00EC1065" w:rsidRPr="00E44F3E">
              <w:t>et al</w:t>
            </w:r>
            <w:r w:rsidRPr="00E44F3E">
              <w:t xml:space="preserve"> 2023; Tam </w:t>
            </w:r>
            <w:r w:rsidR="00EC1065" w:rsidRPr="00E44F3E">
              <w:t>et al</w:t>
            </w:r>
            <w:r w:rsidRPr="00E44F3E">
              <w:t xml:space="preserve"> 2020)</w:t>
            </w:r>
          </w:p>
        </w:tc>
        <w:tc>
          <w:tcPr>
            <w:tcW w:w="0" w:type="auto"/>
          </w:tcPr>
          <w:p w14:paraId="0F2E7D6E" w14:textId="77777777" w:rsidR="009F243B" w:rsidRPr="00E44F3E" w:rsidRDefault="009F243B" w:rsidP="0069375A">
            <w:pPr>
              <w:pStyle w:val="TableText"/>
              <w:keepLines/>
              <w:jc w:val="center"/>
              <w:rPr>
                <w:b/>
                <w:bCs/>
              </w:rPr>
            </w:pPr>
            <w:r w:rsidRPr="00E44F3E">
              <w:rPr>
                <w:b/>
                <w:bCs/>
              </w:rPr>
              <w:t>NEB</w:t>
            </w:r>
          </w:p>
          <w:p w14:paraId="6C3A2AC1" w14:textId="71966204" w:rsidR="009F243B" w:rsidRPr="00E44F3E" w:rsidRDefault="00F8045E" w:rsidP="0069375A">
            <w:pPr>
              <w:pStyle w:val="TableText"/>
              <w:keepLines/>
              <w:jc w:val="center"/>
            </w:pPr>
            <w:r>
              <w:t>(</w:t>
            </w:r>
            <w:r w:rsidR="009F243B" w:rsidRPr="00E44F3E">
              <w:t>2c</w:t>
            </w:r>
            <w:r>
              <w:t>)</w:t>
            </w:r>
          </w:p>
        </w:tc>
        <w:tc>
          <w:tcPr>
            <w:tcW w:w="0" w:type="auto"/>
          </w:tcPr>
          <w:p w14:paraId="793C89F7" w14:textId="41FA10AF" w:rsidR="00173ADA" w:rsidRPr="00E44F3E" w:rsidRDefault="00173ADA" w:rsidP="0069375A">
            <w:pPr>
              <w:pStyle w:val="TableBullet"/>
              <w:keepLines/>
            </w:pPr>
            <w:r w:rsidRPr="00E44F3E">
              <w:t xml:space="preserve">Derived ESMO-MCBS:H score is based on a study that showed no statistically significant difference between </w:t>
            </w:r>
            <w:proofErr w:type="spellStart"/>
            <w:r w:rsidR="00036F68">
              <w:t>z</w:t>
            </w:r>
            <w:r w:rsidRPr="00E44F3E">
              <w:t>anubrutinib</w:t>
            </w:r>
            <w:proofErr w:type="spellEnd"/>
            <w:r w:rsidRPr="00E44F3E">
              <w:t xml:space="preserve"> and the comparator ibrutinib in terms of the primary endpoint of number of patients achieving complete or very good partial response. </w:t>
            </w:r>
          </w:p>
          <w:p w14:paraId="0E872C39" w14:textId="315EE596" w:rsidR="009F243B" w:rsidRPr="00E44F3E" w:rsidRDefault="00173ADA" w:rsidP="0069375A">
            <w:pPr>
              <w:pStyle w:val="TableBullet"/>
              <w:keepLines/>
            </w:pPr>
            <w:r w:rsidRPr="00E44F3E">
              <w:t>Non-statistically significant differences in primary endpoints cannot be scored using the ESMO-MCBS:H.</w:t>
            </w:r>
          </w:p>
        </w:tc>
      </w:tr>
      <w:tr w:rsidR="005C5201" w:rsidRPr="00E44F3E" w14:paraId="6F571305" w14:textId="77777777" w:rsidTr="00F70DF6">
        <w:tc>
          <w:tcPr>
            <w:tcW w:w="0" w:type="auto"/>
          </w:tcPr>
          <w:p w14:paraId="1EE80268" w14:textId="1DC24D8B" w:rsidR="009F243B" w:rsidRPr="00135084" w:rsidRDefault="009F243B" w:rsidP="0069375A">
            <w:pPr>
              <w:pStyle w:val="TableText"/>
              <w:keepLines/>
            </w:pPr>
            <w:proofErr w:type="spellStart"/>
            <w:r w:rsidRPr="00135084">
              <w:t>Bendamustine</w:t>
            </w:r>
            <w:proofErr w:type="spellEnd"/>
            <w:r w:rsidRPr="00135084">
              <w:t>*</w:t>
            </w:r>
          </w:p>
        </w:tc>
        <w:tc>
          <w:tcPr>
            <w:tcW w:w="0" w:type="auto"/>
          </w:tcPr>
          <w:p w14:paraId="45B10F8C" w14:textId="634A5BEE" w:rsidR="009F243B" w:rsidRPr="00E44F3E" w:rsidRDefault="009F243B" w:rsidP="0069375A">
            <w:pPr>
              <w:pStyle w:val="TableText"/>
              <w:keepLines/>
            </w:pPr>
            <w:r w:rsidRPr="00E44F3E">
              <w:t xml:space="preserve">Obinutuzumab* </w:t>
            </w:r>
            <w:r w:rsidR="00F53E61">
              <w:t>or</w:t>
            </w:r>
            <w:r w:rsidRPr="00E44F3E">
              <w:t xml:space="preserve"> </w:t>
            </w:r>
            <w:r w:rsidR="000C2EBE" w:rsidRPr="00E44F3E">
              <w:t>rituximab</w:t>
            </w:r>
            <w:r w:rsidRPr="00E44F3E">
              <w:t xml:space="preserve"> </w:t>
            </w:r>
          </w:p>
        </w:tc>
        <w:tc>
          <w:tcPr>
            <w:tcW w:w="0" w:type="auto"/>
          </w:tcPr>
          <w:p w14:paraId="34AE3771" w14:textId="3624A75C" w:rsidR="009F243B" w:rsidRPr="00E44F3E" w:rsidRDefault="009F243B" w:rsidP="0069375A">
            <w:pPr>
              <w:pStyle w:val="TableText"/>
              <w:keepLines/>
            </w:pPr>
            <w:r w:rsidRPr="00E44F3E">
              <w:t>Indolent non-Hodgkin’s lymphoma stage II bulky or stage III/IV</w:t>
            </w:r>
          </w:p>
        </w:tc>
        <w:tc>
          <w:tcPr>
            <w:tcW w:w="0" w:type="auto"/>
          </w:tcPr>
          <w:p w14:paraId="1A91ABC4" w14:textId="1853CC9D" w:rsidR="009F243B" w:rsidRPr="00E44F3E" w:rsidRDefault="009F243B" w:rsidP="0069375A">
            <w:pPr>
              <w:pStyle w:val="TableText"/>
              <w:keepLines/>
            </w:pPr>
            <w:r w:rsidRPr="00E44F3E">
              <w:t>Induction, previously untreated, CD20-positive</w:t>
            </w:r>
          </w:p>
        </w:tc>
        <w:tc>
          <w:tcPr>
            <w:tcW w:w="0" w:type="auto"/>
          </w:tcPr>
          <w:p w14:paraId="35CFA4FA" w14:textId="77777777" w:rsidR="009F243B" w:rsidRPr="00E44F3E" w:rsidRDefault="009F243B" w:rsidP="0069375A">
            <w:pPr>
              <w:pStyle w:val="TableText"/>
              <w:keepLines/>
            </w:pPr>
            <w:r w:rsidRPr="00E44F3E">
              <w:t>GALLIUM</w:t>
            </w:r>
          </w:p>
          <w:p w14:paraId="61773D24" w14:textId="26492227" w:rsidR="009F243B" w:rsidRPr="00E44F3E" w:rsidRDefault="009F243B" w:rsidP="0069375A">
            <w:pPr>
              <w:pStyle w:val="TableText"/>
              <w:keepLines/>
            </w:pPr>
            <w:r w:rsidRPr="00E44F3E">
              <w:t xml:space="preserve">(Marcus </w:t>
            </w:r>
            <w:r w:rsidR="00EC1065" w:rsidRPr="00E44F3E">
              <w:t>et al</w:t>
            </w:r>
            <w:r w:rsidRPr="00E44F3E">
              <w:t xml:space="preserve"> 2017; Townsend </w:t>
            </w:r>
            <w:r w:rsidR="00EC1065" w:rsidRPr="00E44F3E">
              <w:t>et al</w:t>
            </w:r>
            <w:r w:rsidRPr="00E44F3E">
              <w:t xml:space="preserve"> 2023)</w:t>
            </w:r>
          </w:p>
        </w:tc>
        <w:tc>
          <w:tcPr>
            <w:tcW w:w="0" w:type="auto"/>
          </w:tcPr>
          <w:p w14:paraId="7873D583" w14:textId="77777777" w:rsidR="009F243B" w:rsidRPr="00E44F3E" w:rsidRDefault="009F243B" w:rsidP="0069375A">
            <w:pPr>
              <w:pStyle w:val="TableText"/>
              <w:keepLines/>
              <w:jc w:val="center"/>
              <w:rPr>
                <w:b/>
                <w:bCs/>
              </w:rPr>
            </w:pPr>
            <w:r w:rsidRPr="00E44F3E">
              <w:rPr>
                <w:b/>
                <w:bCs/>
              </w:rPr>
              <w:t>NEB</w:t>
            </w:r>
          </w:p>
          <w:p w14:paraId="36717E19" w14:textId="02469916" w:rsidR="009F243B" w:rsidRPr="00E44F3E" w:rsidRDefault="00F8045E" w:rsidP="0069375A">
            <w:pPr>
              <w:pStyle w:val="TableText"/>
              <w:keepLines/>
              <w:jc w:val="center"/>
            </w:pPr>
            <w:r>
              <w:t>(</w:t>
            </w:r>
            <w:r w:rsidR="009F243B" w:rsidRPr="00E44F3E">
              <w:t>2b</w:t>
            </w:r>
            <w:r>
              <w:t>)</w:t>
            </w:r>
          </w:p>
        </w:tc>
        <w:tc>
          <w:tcPr>
            <w:tcW w:w="0" w:type="auto"/>
          </w:tcPr>
          <w:p w14:paraId="051185CB" w14:textId="0430FFA9" w:rsidR="00173ADA" w:rsidRPr="00E44F3E" w:rsidRDefault="00173ADA" w:rsidP="0069375A">
            <w:pPr>
              <w:pStyle w:val="TableBullet"/>
              <w:keepLines/>
            </w:pPr>
            <w:r w:rsidRPr="00E44F3E">
              <w:t xml:space="preserve">Derived ESMO-MCBS:H score is based on a comparator (rituximab-based chemotherapy) that is publicly funded in </w:t>
            </w:r>
            <w:r w:rsidR="00E6006E">
              <w:t>Aotearoa New </w:t>
            </w:r>
            <w:r w:rsidR="007C6B5B">
              <w:t>Zealand</w:t>
            </w:r>
            <w:r w:rsidR="009B5538">
              <w:t>,</w:t>
            </w:r>
            <w:r w:rsidRPr="00E44F3E">
              <w:t xml:space="preserve"> so </w:t>
            </w:r>
            <w:r w:rsidR="002C37FC">
              <w:t>the</w:t>
            </w:r>
            <w:r w:rsidR="002C37FC" w:rsidRPr="00E44F3E">
              <w:t xml:space="preserve"> </w:t>
            </w:r>
            <w:r w:rsidRPr="00E44F3E">
              <w:t xml:space="preserve">derived score is reflective of the gap between Australia and </w:t>
            </w:r>
            <w:r w:rsidR="00E6006E">
              <w:t>Aotearoa New </w:t>
            </w:r>
            <w:r w:rsidR="007C6B5B">
              <w:t>Zealand</w:t>
            </w:r>
            <w:r w:rsidRPr="00E44F3E">
              <w:t xml:space="preserve">. </w:t>
            </w:r>
          </w:p>
          <w:p w14:paraId="0C465DA5" w14:textId="523A658D" w:rsidR="00173ADA" w:rsidRPr="00E44F3E" w:rsidRDefault="00173ADA" w:rsidP="0069375A">
            <w:pPr>
              <w:pStyle w:val="TableBullet"/>
              <w:keepLines/>
            </w:pPr>
            <w:r w:rsidRPr="00E44F3E">
              <w:t>Primary end point was progression-free survival</w:t>
            </w:r>
            <w:r w:rsidR="002F795E">
              <w:t>.</w:t>
            </w:r>
            <w:r w:rsidR="00321BB1" w:rsidRPr="00E44F3E">
              <w:t xml:space="preserve"> </w:t>
            </w:r>
            <w:r w:rsidR="002F795E">
              <w:t>Seven</w:t>
            </w:r>
            <w:r w:rsidRPr="00E44F3E">
              <w:t xml:space="preserve">-year progression-free survival </w:t>
            </w:r>
            <w:r w:rsidR="002F795E">
              <w:t xml:space="preserve">rate was </w:t>
            </w:r>
            <w:r w:rsidRPr="00E44F3E">
              <w:t xml:space="preserve">63.4% </w:t>
            </w:r>
            <w:r w:rsidR="0053055E" w:rsidRPr="0053055E">
              <w:t>vs</w:t>
            </w:r>
            <w:r w:rsidRPr="00E44F3E">
              <w:t xml:space="preserve"> 55.7% in the comparator.</w:t>
            </w:r>
          </w:p>
          <w:p w14:paraId="02832C75" w14:textId="6ACEF220" w:rsidR="00173ADA" w:rsidRPr="00E44F3E" w:rsidRDefault="00173ADA" w:rsidP="0069375A">
            <w:pPr>
              <w:pStyle w:val="TableBullet"/>
              <w:keepLines/>
            </w:pPr>
            <w:r w:rsidRPr="00E44F3E">
              <w:t>Quality of life was measured as a secondary endpoint</w:t>
            </w:r>
            <w:r w:rsidR="009B5538">
              <w:t>,</w:t>
            </w:r>
            <w:r w:rsidRPr="00E44F3E">
              <w:t xml:space="preserve"> but no published results were found. </w:t>
            </w:r>
          </w:p>
          <w:p w14:paraId="3AFF4DC3" w14:textId="238ADC02" w:rsidR="009F243B" w:rsidRPr="00E44F3E" w:rsidRDefault="00173ADA" w:rsidP="0069375A">
            <w:pPr>
              <w:pStyle w:val="TableBullet"/>
              <w:keepLines/>
            </w:pPr>
            <w:r w:rsidRPr="00E44F3E">
              <w:lastRenderedPageBreak/>
              <w:t xml:space="preserve">Both </w:t>
            </w:r>
            <w:proofErr w:type="spellStart"/>
            <w:r w:rsidR="009B5538" w:rsidRPr="00E44F3E">
              <w:t>bendamustine</w:t>
            </w:r>
            <w:proofErr w:type="spellEnd"/>
            <w:r w:rsidRPr="00E44F3E">
              <w:t xml:space="preserve"> and </w:t>
            </w:r>
            <w:proofErr w:type="spellStart"/>
            <w:r w:rsidR="009B5538" w:rsidRPr="00E44F3E">
              <w:t>obinutuzumab</w:t>
            </w:r>
            <w:proofErr w:type="spellEnd"/>
            <w:r w:rsidRPr="00E44F3E">
              <w:t xml:space="preserve"> would need to be funded for this indication and treatment combination to close the gap. The current funding restrictions for </w:t>
            </w:r>
            <w:proofErr w:type="spellStart"/>
            <w:r w:rsidRPr="00E44F3E">
              <w:t>bendamustine</w:t>
            </w:r>
            <w:proofErr w:type="spellEnd"/>
            <w:r w:rsidRPr="00E44F3E">
              <w:t xml:space="preserve"> in </w:t>
            </w:r>
            <w:r w:rsidR="00E6006E">
              <w:t>Aotearoa New </w:t>
            </w:r>
            <w:r w:rsidR="007C6B5B">
              <w:t>Zealand</w:t>
            </w:r>
            <w:r w:rsidRPr="00E44F3E">
              <w:t xml:space="preserve"> do not permit use with </w:t>
            </w:r>
            <w:proofErr w:type="spellStart"/>
            <w:r w:rsidRPr="00E44F3E">
              <w:t>obinutuzumab</w:t>
            </w:r>
            <w:proofErr w:type="spellEnd"/>
            <w:r w:rsidRPr="00E44F3E">
              <w:t>.</w:t>
            </w:r>
          </w:p>
        </w:tc>
      </w:tr>
      <w:tr w:rsidR="005C5201" w:rsidRPr="00E44F3E" w14:paraId="231827F3" w14:textId="77777777" w:rsidTr="00F70DF6">
        <w:tc>
          <w:tcPr>
            <w:tcW w:w="0" w:type="auto"/>
          </w:tcPr>
          <w:p w14:paraId="7A819735" w14:textId="373544BF" w:rsidR="009F243B" w:rsidRPr="00135084" w:rsidRDefault="009F243B" w:rsidP="0069375A">
            <w:pPr>
              <w:pStyle w:val="TableText"/>
              <w:keepLines/>
            </w:pPr>
            <w:r w:rsidRPr="00135084">
              <w:lastRenderedPageBreak/>
              <w:t>Obinutuzumab</w:t>
            </w:r>
          </w:p>
        </w:tc>
        <w:tc>
          <w:tcPr>
            <w:tcW w:w="0" w:type="auto"/>
          </w:tcPr>
          <w:p w14:paraId="5892B7C6" w14:textId="119B2270" w:rsidR="009F243B" w:rsidRPr="00E44F3E" w:rsidRDefault="009F243B" w:rsidP="0069375A">
            <w:pPr>
              <w:pStyle w:val="TableText"/>
              <w:keepLines/>
            </w:pPr>
            <w:proofErr w:type="spellStart"/>
            <w:r w:rsidRPr="00E44F3E">
              <w:t>Bendamustine</w:t>
            </w:r>
            <w:proofErr w:type="spellEnd"/>
            <w:r w:rsidRPr="00E44F3E">
              <w:t xml:space="preserve">* </w:t>
            </w:r>
          </w:p>
        </w:tc>
        <w:tc>
          <w:tcPr>
            <w:tcW w:w="0" w:type="auto"/>
          </w:tcPr>
          <w:p w14:paraId="0FA119F3" w14:textId="0784EE5E" w:rsidR="009F243B" w:rsidRPr="00E44F3E" w:rsidRDefault="009F243B" w:rsidP="0069375A">
            <w:pPr>
              <w:pStyle w:val="TableText"/>
              <w:keepLines/>
            </w:pPr>
            <w:r w:rsidRPr="00E44F3E">
              <w:t>Follicular lymphoma stage II bulky or stage III/IV</w:t>
            </w:r>
          </w:p>
        </w:tc>
        <w:tc>
          <w:tcPr>
            <w:tcW w:w="0" w:type="auto"/>
          </w:tcPr>
          <w:p w14:paraId="326D2BC9" w14:textId="61DD669E" w:rsidR="009F243B" w:rsidRPr="00E44F3E" w:rsidRDefault="009F243B" w:rsidP="0069375A">
            <w:pPr>
              <w:pStyle w:val="TableText"/>
              <w:keepLines/>
            </w:pPr>
            <w:r w:rsidRPr="00E44F3E">
              <w:t>Induction, previously untreated, CD20-positive</w:t>
            </w:r>
          </w:p>
        </w:tc>
        <w:tc>
          <w:tcPr>
            <w:tcW w:w="0" w:type="auto"/>
          </w:tcPr>
          <w:p w14:paraId="4456EBB8" w14:textId="77777777" w:rsidR="009F243B" w:rsidRPr="00E44F3E" w:rsidRDefault="009F243B" w:rsidP="0069375A">
            <w:pPr>
              <w:pStyle w:val="TableText"/>
              <w:keepLines/>
            </w:pPr>
            <w:r w:rsidRPr="00E44F3E">
              <w:t>GALLIUM</w:t>
            </w:r>
          </w:p>
          <w:p w14:paraId="213593D1" w14:textId="1143F55D" w:rsidR="009F243B" w:rsidRPr="00E44F3E" w:rsidRDefault="009F243B" w:rsidP="0069375A">
            <w:pPr>
              <w:pStyle w:val="TableText"/>
              <w:keepLines/>
            </w:pPr>
            <w:r w:rsidRPr="00E44F3E">
              <w:t xml:space="preserve">(Marcus </w:t>
            </w:r>
            <w:r w:rsidR="00EC1065" w:rsidRPr="00E44F3E">
              <w:t>et al</w:t>
            </w:r>
            <w:r w:rsidRPr="00E44F3E">
              <w:t xml:space="preserve"> 2017; Townsend </w:t>
            </w:r>
            <w:r w:rsidR="00EC1065" w:rsidRPr="00E44F3E">
              <w:t>et al</w:t>
            </w:r>
            <w:r w:rsidRPr="00E44F3E">
              <w:t xml:space="preserve"> 2023)</w:t>
            </w:r>
          </w:p>
        </w:tc>
        <w:tc>
          <w:tcPr>
            <w:tcW w:w="0" w:type="auto"/>
          </w:tcPr>
          <w:p w14:paraId="4264F606" w14:textId="77777777" w:rsidR="009F243B" w:rsidRPr="00E44F3E" w:rsidRDefault="009F243B" w:rsidP="0069375A">
            <w:pPr>
              <w:pStyle w:val="TableText"/>
              <w:keepLines/>
              <w:jc w:val="center"/>
              <w:rPr>
                <w:b/>
                <w:bCs/>
              </w:rPr>
            </w:pPr>
            <w:r w:rsidRPr="00E44F3E">
              <w:rPr>
                <w:b/>
                <w:bCs/>
              </w:rPr>
              <w:t>NEB</w:t>
            </w:r>
          </w:p>
          <w:p w14:paraId="1F746B94" w14:textId="6852F6FF" w:rsidR="009F243B" w:rsidRPr="00E44F3E" w:rsidRDefault="00F8045E" w:rsidP="0069375A">
            <w:pPr>
              <w:pStyle w:val="TableText"/>
              <w:keepLines/>
              <w:jc w:val="center"/>
            </w:pPr>
            <w:r>
              <w:t>(</w:t>
            </w:r>
            <w:r w:rsidR="009F243B" w:rsidRPr="00E44F3E">
              <w:t>2b</w:t>
            </w:r>
            <w:r>
              <w:t>)</w:t>
            </w:r>
          </w:p>
        </w:tc>
        <w:tc>
          <w:tcPr>
            <w:tcW w:w="0" w:type="auto"/>
          </w:tcPr>
          <w:p w14:paraId="01E2A28E" w14:textId="3A095DCE" w:rsidR="00173ADA" w:rsidRPr="00E44F3E" w:rsidRDefault="00173ADA" w:rsidP="0069375A">
            <w:pPr>
              <w:pStyle w:val="TableBullet"/>
              <w:keepLines/>
            </w:pPr>
            <w:r w:rsidRPr="00E44F3E">
              <w:t xml:space="preserve">Derived ESMO-MCBS:H score is based on a comparator (rituximab-based chemotherapy) that is publicly funded in </w:t>
            </w:r>
            <w:r w:rsidR="00E6006E">
              <w:t>Aotearoa New </w:t>
            </w:r>
            <w:r w:rsidR="007C6B5B">
              <w:t>Zealand</w:t>
            </w:r>
            <w:r w:rsidR="00EF51C3">
              <w:t>,</w:t>
            </w:r>
            <w:r w:rsidRPr="00E44F3E">
              <w:t xml:space="preserve"> so </w:t>
            </w:r>
            <w:r w:rsidR="002C37FC">
              <w:t>the</w:t>
            </w:r>
            <w:r w:rsidR="002C37FC" w:rsidRPr="00E44F3E">
              <w:t xml:space="preserve"> </w:t>
            </w:r>
            <w:r w:rsidRPr="00E44F3E">
              <w:t xml:space="preserve">derived score is reflective of the gap between Australia and </w:t>
            </w:r>
            <w:r w:rsidR="00E6006E">
              <w:t>Aotearoa New </w:t>
            </w:r>
            <w:r w:rsidR="007C6B5B">
              <w:t>Zealand</w:t>
            </w:r>
            <w:r w:rsidRPr="00E44F3E">
              <w:t xml:space="preserve">. </w:t>
            </w:r>
          </w:p>
          <w:p w14:paraId="6E82D56F" w14:textId="569325B8" w:rsidR="00173ADA" w:rsidRPr="00E44F3E" w:rsidRDefault="00173ADA" w:rsidP="0069375A">
            <w:pPr>
              <w:pStyle w:val="TableBullet"/>
              <w:keepLines/>
            </w:pPr>
            <w:r w:rsidRPr="00E44F3E">
              <w:t>Primary end point was progression-free survival</w:t>
            </w:r>
            <w:r w:rsidR="002F795E">
              <w:t>.</w:t>
            </w:r>
            <w:r w:rsidRPr="00E44F3E">
              <w:t xml:space="preserve"> </w:t>
            </w:r>
            <w:r w:rsidR="002F795E">
              <w:t>Seven</w:t>
            </w:r>
            <w:r w:rsidRPr="00E44F3E">
              <w:t xml:space="preserve">-year progression-free survival </w:t>
            </w:r>
            <w:r w:rsidR="002F795E">
              <w:t xml:space="preserve">rate was </w:t>
            </w:r>
            <w:r w:rsidRPr="00E44F3E">
              <w:t xml:space="preserve">63.4% </w:t>
            </w:r>
            <w:r w:rsidR="0053055E" w:rsidRPr="0053055E">
              <w:t>vs</w:t>
            </w:r>
            <w:r w:rsidRPr="00E44F3E">
              <w:t xml:space="preserve"> 55.7%</w:t>
            </w:r>
            <w:r w:rsidR="00EF51C3">
              <w:t xml:space="preserve"> </w:t>
            </w:r>
            <w:r w:rsidR="00EF51C3" w:rsidRPr="00EF51C3">
              <w:t>in the comparator</w:t>
            </w:r>
            <w:r w:rsidR="00F86262">
              <w:t>.</w:t>
            </w:r>
          </w:p>
          <w:p w14:paraId="2C42F7D7" w14:textId="77777777" w:rsidR="00173ADA" w:rsidRPr="00E44F3E" w:rsidRDefault="00173ADA" w:rsidP="0069375A">
            <w:pPr>
              <w:pStyle w:val="TableBullet"/>
              <w:keepLines/>
            </w:pPr>
            <w:r w:rsidRPr="00E44F3E">
              <w:t xml:space="preserve">Quality of life was measured as secondary endpoint but no published results were found. </w:t>
            </w:r>
          </w:p>
          <w:p w14:paraId="504FDE83" w14:textId="017066AD" w:rsidR="009F243B" w:rsidRPr="00E44F3E" w:rsidRDefault="00173ADA" w:rsidP="0069375A">
            <w:pPr>
              <w:pStyle w:val="TableBullet"/>
              <w:keepLines/>
            </w:pPr>
            <w:r w:rsidRPr="00E44F3E">
              <w:t xml:space="preserve">Both </w:t>
            </w:r>
            <w:proofErr w:type="spellStart"/>
            <w:r w:rsidR="00F86262" w:rsidRPr="00E44F3E">
              <w:t>bendamustine</w:t>
            </w:r>
            <w:proofErr w:type="spellEnd"/>
            <w:r w:rsidRPr="00E44F3E">
              <w:t xml:space="preserve"> and </w:t>
            </w:r>
            <w:proofErr w:type="spellStart"/>
            <w:r w:rsidR="00F86262" w:rsidRPr="00E44F3E">
              <w:t>obinutuzumab</w:t>
            </w:r>
            <w:proofErr w:type="spellEnd"/>
            <w:r w:rsidRPr="00E44F3E">
              <w:t xml:space="preserve"> would need to be funded for this indication and treatment combination to close the gap. The current funding restrictions for </w:t>
            </w:r>
            <w:proofErr w:type="spellStart"/>
            <w:r w:rsidRPr="00E44F3E">
              <w:t>bendamustine</w:t>
            </w:r>
            <w:proofErr w:type="spellEnd"/>
            <w:r w:rsidRPr="00E44F3E">
              <w:t xml:space="preserve"> in </w:t>
            </w:r>
            <w:r w:rsidR="00E6006E">
              <w:t>Aotearoa New </w:t>
            </w:r>
            <w:r w:rsidR="007C6B5B">
              <w:t>Zealand</w:t>
            </w:r>
            <w:r w:rsidRPr="00E44F3E">
              <w:t xml:space="preserve"> do not permit use with </w:t>
            </w:r>
            <w:proofErr w:type="spellStart"/>
            <w:r w:rsidRPr="00E44F3E">
              <w:t>obinutuzumab</w:t>
            </w:r>
            <w:proofErr w:type="spellEnd"/>
            <w:r w:rsidRPr="00E44F3E">
              <w:t>.</w:t>
            </w:r>
          </w:p>
        </w:tc>
      </w:tr>
    </w:tbl>
    <w:p w14:paraId="685D0141" w14:textId="50836BC2" w:rsidR="000C2EBE" w:rsidRDefault="000C2EBE" w:rsidP="00EB0A8D">
      <w:pPr>
        <w:pStyle w:val="Note"/>
      </w:pPr>
      <w:r>
        <w:t>Note: NEB = no evaluable benefit.</w:t>
      </w:r>
    </w:p>
    <w:p w14:paraId="7571B102" w14:textId="0EBB18D6" w:rsidR="00D01DF4" w:rsidRPr="00E44F3E" w:rsidRDefault="00845B6B" w:rsidP="00EB0A8D">
      <w:pPr>
        <w:pStyle w:val="Note"/>
      </w:pPr>
      <w:r w:rsidRPr="00E44F3E">
        <w:t>* Represents a regimen</w:t>
      </w:r>
      <w:r w:rsidR="00DC5AE3">
        <w:t xml:space="preserve">-indication </w:t>
      </w:r>
      <w:r w:rsidRPr="00E44F3E">
        <w:t>pair – where more than one medicine is taken as part of the same treatment, and both would need to be funded to close the gap.</w:t>
      </w:r>
    </w:p>
    <w:p w14:paraId="2966A7A0" w14:textId="77777777" w:rsidR="00D01DF4" w:rsidRPr="00E44F3E" w:rsidRDefault="00D01DF4" w:rsidP="00845B6B"/>
    <w:p w14:paraId="116314F9" w14:textId="2BE07F3A" w:rsidR="00082FE1" w:rsidRPr="00E44F3E" w:rsidRDefault="00082FE1" w:rsidP="00675A4B">
      <w:pPr>
        <w:pStyle w:val="Table"/>
        <w:pageBreakBefore/>
      </w:pPr>
      <w:bookmarkStart w:id="236" w:name="_Ref171691172"/>
      <w:bookmarkStart w:id="237" w:name="_Toc180142301"/>
      <w:bookmarkStart w:id="238" w:name="_Hlk177376996"/>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15</w:t>
      </w:r>
      <w:r w:rsidR="00D97615">
        <w:rPr>
          <w:noProof/>
        </w:rPr>
        <w:fldChar w:fldCharType="end"/>
      </w:r>
      <w:bookmarkEnd w:id="236"/>
      <w:r w:rsidR="001170B0" w:rsidRPr="00E44F3E">
        <w:t>:</w:t>
      </w:r>
      <w:r w:rsidRPr="00E44F3E">
        <w:t xml:space="preserve"> Medicines funded in Australia but not </w:t>
      </w:r>
      <w:r w:rsidR="00761832">
        <w:t xml:space="preserve">in </w:t>
      </w:r>
      <w:r w:rsidR="00E6006E">
        <w:t>Aotearoa New </w:t>
      </w:r>
      <w:r w:rsidR="007C6B5B">
        <w:t>Zealand</w:t>
      </w:r>
      <w:r w:rsidRPr="00E44F3E">
        <w:t xml:space="preserve"> </w:t>
      </w:r>
      <w:r w:rsidR="00A85AB2">
        <w:t xml:space="preserve">– </w:t>
      </w:r>
      <w:r w:rsidR="001C0502" w:rsidRPr="001C0502">
        <w:t>gap categorisation</w:t>
      </w:r>
      <w:r w:rsidR="00A85AB2">
        <w:t>:</w:t>
      </w:r>
      <w:r w:rsidR="001C0502" w:rsidRPr="001C0502">
        <w:t xml:space="preserve"> not scorable</w:t>
      </w:r>
      <w:bookmarkEnd w:id="237"/>
    </w:p>
    <w:tbl>
      <w:tblPr>
        <w:tblStyle w:val="CCA"/>
        <w:tblW w:w="0" w:type="auto"/>
        <w:tblLook w:val="04A0" w:firstRow="1" w:lastRow="0" w:firstColumn="1" w:lastColumn="0" w:noHBand="0" w:noVBand="1"/>
      </w:tblPr>
      <w:tblGrid>
        <w:gridCol w:w="1478"/>
        <w:gridCol w:w="1404"/>
        <w:gridCol w:w="1783"/>
        <w:gridCol w:w="2784"/>
        <w:gridCol w:w="1462"/>
        <w:gridCol w:w="1101"/>
        <w:gridCol w:w="3986"/>
      </w:tblGrid>
      <w:tr w:rsidR="00973F78" w:rsidRPr="00E44F3E" w14:paraId="3A2B880B" w14:textId="77777777" w:rsidTr="00C1304B">
        <w:trPr>
          <w:cnfStyle w:val="100000000000" w:firstRow="1" w:lastRow="0" w:firstColumn="0" w:lastColumn="0" w:oddVBand="0" w:evenVBand="0" w:oddHBand="0" w:evenHBand="0" w:firstRowFirstColumn="0" w:firstRowLastColumn="0" w:lastRowFirstColumn="0" w:lastRowLastColumn="0"/>
          <w:cantSplit/>
          <w:trHeight w:val="20"/>
          <w:tblHeader/>
        </w:trPr>
        <w:tc>
          <w:tcPr>
            <w:tcW w:w="0" w:type="auto"/>
          </w:tcPr>
          <w:bookmarkEnd w:id="238"/>
          <w:p w14:paraId="212858DE" w14:textId="77777777" w:rsidR="00082FE1" w:rsidRPr="00E44F3E" w:rsidRDefault="00082FE1">
            <w:pPr>
              <w:pStyle w:val="TableText"/>
              <w:rPr>
                <w:b/>
                <w:bCs/>
                <w:szCs w:val="18"/>
              </w:rPr>
            </w:pPr>
            <w:r w:rsidRPr="00E44F3E">
              <w:rPr>
                <w:b/>
                <w:bCs/>
              </w:rPr>
              <w:t>Medicine name</w:t>
            </w:r>
          </w:p>
        </w:tc>
        <w:tc>
          <w:tcPr>
            <w:tcW w:w="0" w:type="auto"/>
          </w:tcPr>
          <w:p w14:paraId="23E61045" w14:textId="595E9520" w:rsidR="00082FE1" w:rsidRPr="00E44F3E" w:rsidRDefault="00082FE1">
            <w:pPr>
              <w:pStyle w:val="TableText"/>
              <w:rPr>
                <w:b/>
                <w:bCs/>
                <w:szCs w:val="18"/>
              </w:rPr>
            </w:pPr>
            <w:r w:rsidRPr="00E44F3E">
              <w:rPr>
                <w:b/>
                <w:bCs/>
              </w:rPr>
              <w:t xml:space="preserve">Used in combination with </w:t>
            </w:r>
          </w:p>
        </w:tc>
        <w:tc>
          <w:tcPr>
            <w:tcW w:w="0" w:type="auto"/>
          </w:tcPr>
          <w:p w14:paraId="4C0AF5D1" w14:textId="77777777" w:rsidR="00082FE1" w:rsidRPr="00E44F3E" w:rsidRDefault="00082FE1">
            <w:pPr>
              <w:pStyle w:val="TableText"/>
              <w:rPr>
                <w:b/>
                <w:bCs/>
                <w:szCs w:val="18"/>
              </w:rPr>
            </w:pPr>
            <w:r w:rsidRPr="00E44F3E">
              <w:rPr>
                <w:b/>
                <w:bCs/>
              </w:rPr>
              <w:t>Cancer type</w:t>
            </w:r>
          </w:p>
        </w:tc>
        <w:tc>
          <w:tcPr>
            <w:tcW w:w="0" w:type="auto"/>
          </w:tcPr>
          <w:p w14:paraId="5B852918" w14:textId="77777777" w:rsidR="00082FE1" w:rsidRPr="00E44F3E" w:rsidRDefault="00082FE1">
            <w:pPr>
              <w:pStyle w:val="TableText"/>
              <w:rPr>
                <w:b/>
                <w:bCs/>
                <w:szCs w:val="18"/>
              </w:rPr>
            </w:pPr>
            <w:r w:rsidRPr="00E44F3E">
              <w:rPr>
                <w:b/>
                <w:bCs/>
              </w:rPr>
              <w:t xml:space="preserve">Specific indication </w:t>
            </w:r>
          </w:p>
        </w:tc>
        <w:tc>
          <w:tcPr>
            <w:tcW w:w="0" w:type="auto"/>
          </w:tcPr>
          <w:p w14:paraId="1E865337" w14:textId="77777777" w:rsidR="00082FE1" w:rsidRPr="00E44F3E" w:rsidRDefault="00082FE1">
            <w:pPr>
              <w:pStyle w:val="TableText"/>
              <w:jc w:val="center"/>
              <w:rPr>
                <w:b/>
                <w:bCs/>
              </w:rPr>
            </w:pPr>
            <w:r w:rsidRPr="00E44F3E">
              <w:rPr>
                <w:b/>
                <w:bCs/>
              </w:rPr>
              <w:t>Key pivotal trial used for scoring</w:t>
            </w:r>
          </w:p>
        </w:tc>
        <w:tc>
          <w:tcPr>
            <w:tcW w:w="0" w:type="auto"/>
          </w:tcPr>
          <w:p w14:paraId="1EB0E17F" w14:textId="37F20DE8" w:rsidR="00082FE1" w:rsidRPr="00E44F3E" w:rsidRDefault="00D16852" w:rsidP="00692B97">
            <w:pPr>
              <w:pStyle w:val="TableText"/>
              <w:jc w:val="center"/>
              <w:rPr>
                <w:b/>
                <w:bCs/>
              </w:rPr>
            </w:pPr>
            <w:r w:rsidRPr="00D16852">
              <w:rPr>
                <w:b/>
                <w:bCs/>
              </w:rPr>
              <w:t xml:space="preserve">ESMO-MCBS:H </w:t>
            </w:r>
            <w:r>
              <w:rPr>
                <w:b/>
                <w:bCs/>
              </w:rPr>
              <w:t>s</w:t>
            </w:r>
            <w:r w:rsidR="00082FE1" w:rsidRPr="00E44F3E">
              <w:rPr>
                <w:b/>
                <w:bCs/>
              </w:rPr>
              <w:t>core</w:t>
            </w:r>
            <w:r w:rsidR="00692B97">
              <w:rPr>
                <w:b/>
                <w:bCs/>
              </w:rPr>
              <w:t xml:space="preserve"> </w:t>
            </w:r>
          </w:p>
        </w:tc>
        <w:tc>
          <w:tcPr>
            <w:tcW w:w="0" w:type="auto"/>
          </w:tcPr>
          <w:p w14:paraId="02C77DA3" w14:textId="54DEBB47" w:rsidR="00082FE1" w:rsidRPr="00E44F3E" w:rsidRDefault="006175A3" w:rsidP="00542DB1">
            <w:pPr>
              <w:pStyle w:val="TableText"/>
              <w:rPr>
                <w:b/>
                <w:bCs/>
                <w:szCs w:val="18"/>
              </w:rPr>
            </w:pPr>
            <w:r w:rsidRPr="006175A3">
              <w:rPr>
                <w:b/>
                <w:bCs/>
              </w:rPr>
              <w:t>Rationale for gap categorisation</w:t>
            </w:r>
            <w:r w:rsidR="00542DB1">
              <w:rPr>
                <w:b/>
                <w:bCs/>
              </w:rPr>
              <w:t>:</w:t>
            </w:r>
            <w:r w:rsidR="00542DB1">
              <w:rPr>
                <w:b/>
                <w:bCs/>
              </w:rPr>
              <w:br/>
            </w:r>
            <w:r>
              <w:rPr>
                <w:b/>
                <w:bCs/>
              </w:rPr>
              <w:t>not scorable</w:t>
            </w:r>
          </w:p>
        </w:tc>
      </w:tr>
      <w:tr w:rsidR="00A60BCE" w:rsidRPr="00E44F3E" w14:paraId="6E70B433" w14:textId="77777777" w:rsidTr="00C1304B">
        <w:trPr>
          <w:cantSplit/>
          <w:trHeight w:val="20"/>
        </w:trPr>
        <w:tc>
          <w:tcPr>
            <w:tcW w:w="0" w:type="auto"/>
          </w:tcPr>
          <w:p w14:paraId="4EB9CE37" w14:textId="77777777" w:rsidR="00082FE1" w:rsidRPr="00E44F3E" w:rsidRDefault="00082FE1">
            <w:pPr>
              <w:pStyle w:val="TableText"/>
            </w:pPr>
            <w:proofErr w:type="spellStart"/>
            <w:r w:rsidRPr="00E44F3E">
              <w:t>Asciminib</w:t>
            </w:r>
            <w:proofErr w:type="spellEnd"/>
          </w:p>
        </w:tc>
        <w:tc>
          <w:tcPr>
            <w:tcW w:w="0" w:type="auto"/>
          </w:tcPr>
          <w:p w14:paraId="4928F7EF" w14:textId="77777777" w:rsidR="00082FE1" w:rsidRPr="00E44F3E" w:rsidRDefault="00082FE1">
            <w:pPr>
              <w:pStyle w:val="TableText"/>
            </w:pPr>
            <w:r w:rsidRPr="00E44F3E">
              <w:t>Monotherapy</w:t>
            </w:r>
          </w:p>
        </w:tc>
        <w:tc>
          <w:tcPr>
            <w:tcW w:w="0" w:type="auto"/>
          </w:tcPr>
          <w:p w14:paraId="43BC7181" w14:textId="77777777" w:rsidR="00082FE1" w:rsidRPr="00E44F3E" w:rsidRDefault="00082FE1">
            <w:pPr>
              <w:pStyle w:val="TableText"/>
            </w:pPr>
            <w:r w:rsidRPr="00E44F3E">
              <w:t>Chronic myeloid leukaemia (CML)</w:t>
            </w:r>
          </w:p>
        </w:tc>
        <w:tc>
          <w:tcPr>
            <w:tcW w:w="0" w:type="auto"/>
          </w:tcPr>
          <w:p w14:paraId="2F5B27FF" w14:textId="5EFE8194" w:rsidR="00082FE1" w:rsidRPr="00E44F3E" w:rsidRDefault="00082FE1">
            <w:pPr>
              <w:pStyle w:val="TableText"/>
            </w:pPr>
            <w:r w:rsidRPr="00E44F3E">
              <w:t>Philadelphia chromosome positive or with transcript BCR-ABL1 tyrosine kinase chronic myeloid leukaemia in chronic phase</w:t>
            </w:r>
            <w:r w:rsidR="00461A84">
              <w:t xml:space="preserve"> </w:t>
            </w:r>
            <w:r w:rsidRPr="00E44F3E">
              <w:t>with the T315I mutation</w:t>
            </w:r>
          </w:p>
        </w:tc>
        <w:tc>
          <w:tcPr>
            <w:tcW w:w="0" w:type="auto"/>
          </w:tcPr>
          <w:p w14:paraId="571A3C13" w14:textId="77777777" w:rsidR="00082FE1" w:rsidRPr="00E44F3E" w:rsidRDefault="00082FE1" w:rsidP="00456AED">
            <w:pPr>
              <w:pStyle w:val="TableText"/>
              <w:jc w:val="center"/>
            </w:pPr>
            <w:r w:rsidRPr="00E44F3E">
              <w:t>NCT02081378</w:t>
            </w:r>
          </w:p>
          <w:p w14:paraId="4B8FA0CA" w14:textId="10ADC5CB" w:rsidR="00082FE1" w:rsidRPr="00E44F3E" w:rsidRDefault="00082FE1" w:rsidP="00456AED">
            <w:pPr>
              <w:pStyle w:val="TableText"/>
              <w:jc w:val="center"/>
            </w:pPr>
            <w:r w:rsidRPr="00E44F3E">
              <w:t>(</w:t>
            </w:r>
            <w:proofErr w:type="spellStart"/>
            <w:r w:rsidRPr="00E44F3E">
              <w:t>Hochhaus</w:t>
            </w:r>
            <w:proofErr w:type="spellEnd"/>
            <w:r w:rsidRPr="00E44F3E">
              <w:t xml:space="preserve"> </w:t>
            </w:r>
            <w:r w:rsidR="00EC1065" w:rsidRPr="00E44F3E">
              <w:t>et al</w:t>
            </w:r>
            <w:r w:rsidRPr="00E44F3E">
              <w:t xml:space="preserve"> 2023; </w:t>
            </w:r>
            <w:proofErr w:type="spellStart"/>
            <w:r w:rsidRPr="00E44F3E">
              <w:t>Réa</w:t>
            </w:r>
            <w:proofErr w:type="spellEnd"/>
            <w:r w:rsidRPr="00E44F3E">
              <w:t xml:space="preserve"> </w:t>
            </w:r>
            <w:r w:rsidR="00EC1065" w:rsidRPr="00E44F3E">
              <w:t>et al</w:t>
            </w:r>
            <w:r w:rsidRPr="00E44F3E">
              <w:t xml:space="preserve"> 2023)</w:t>
            </w:r>
          </w:p>
        </w:tc>
        <w:tc>
          <w:tcPr>
            <w:tcW w:w="0" w:type="auto"/>
          </w:tcPr>
          <w:p w14:paraId="6018369A" w14:textId="77777777" w:rsidR="00082FE1" w:rsidRPr="00E44F3E" w:rsidRDefault="00082FE1" w:rsidP="00456AED">
            <w:pPr>
              <w:pStyle w:val="TableText"/>
              <w:jc w:val="center"/>
            </w:pPr>
            <w:r w:rsidRPr="00E44F3E">
              <w:t>Not scoreable</w:t>
            </w:r>
          </w:p>
        </w:tc>
        <w:tc>
          <w:tcPr>
            <w:tcW w:w="0" w:type="auto"/>
          </w:tcPr>
          <w:p w14:paraId="1BF3AE41" w14:textId="6A037564" w:rsidR="00082FE1" w:rsidRPr="00E44F3E" w:rsidRDefault="00082FE1">
            <w:pPr>
              <w:pStyle w:val="TableText"/>
            </w:pPr>
            <w:r w:rsidRPr="00E44F3E">
              <w:t>Available trial evidence does not include parameters that permit the application of the ESMO-MCBS:H</w:t>
            </w:r>
            <w:r w:rsidR="00456AED">
              <w:t>. P</w:t>
            </w:r>
            <w:r w:rsidRPr="00E44F3E">
              <w:t xml:space="preserve">rimary evidence is a dose escalation trial. </w:t>
            </w:r>
          </w:p>
        </w:tc>
      </w:tr>
      <w:tr w:rsidR="00A60BCE" w:rsidRPr="00E44F3E" w14:paraId="67DE3CF9" w14:textId="77777777" w:rsidTr="00C1304B">
        <w:trPr>
          <w:cantSplit/>
          <w:trHeight w:val="20"/>
        </w:trPr>
        <w:tc>
          <w:tcPr>
            <w:tcW w:w="0" w:type="auto"/>
          </w:tcPr>
          <w:p w14:paraId="36EF1BE0" w14:textId="66EE904E" w:rsidR="00082FE1" w:rsidRPr="00E44F3E" w:rsidRDefault="00082FE1" w:rsidP="006D5037">
            <w:pPr>
              <w:pStyle w:val="TableText"/>
            </w:pPr>
            <w:r w:rsidRPr="00E44F3E">
              <w:t>Azacitidine</w:t>
            </w:r>
            <w:r w:rsidR="006D5037">
              <w:t xml:space="preserve"> </w:t>
            </w:r>
            <w:r w:rsidRPr="00E44F3E">
              <w:t>(tablets)</w:t>
            </w:r>
          </w:p>
        </w:tc>
        <w:tc>
          <w:tcPr>
            <w:tcW w:w="0" w:type="auto"/>
          </w:tcPr>
          <w:p w14:paraId="0E0D2A7C" w14:textId="77777777" w:rsidR="00082FE1" w:rsidRPr="00E44F3E" w:rsidRDefault="00082FE1">
            <w:pPr>
              <w:pStyle w:val="TableText"/>
            </w:pPr>
            <w:r w:rsidRPr="00E44F3E">
              <w:t>Monotherapy</w:t>
            </w:r>
          </w:p>
        </w:tc>
        <w:tc>
          <w:tcPr>
            <w:tcW w:w="0" w:type="auto"/>
          </w:tcPr>
          <w:p w14:paraId="2A237CD0" w14:textId="77777777" w:rsidR="00082FE1" w:rsidRPr="00E44F3E" w:rsidRDefault="00082FE1">
            <w:pPr>
              <w:pStyle w:val="TableText"/>
            </w:pPr>
            <w:r w:rsidRPr="00E44F3E">
              <w:t>Acute myeloid leukaemia (AML)</w:t>
            </w:r>
          </w:p>
        </w:tc>
        <w:tc>
          <w:tcPr>
            <w:tcW w:w="0" w:type="auto"/>
          </w:tcPr>
          <w:p w14:paraId="2E780005" w14:textId="77777777" w:rsidR="00082FE1" w:rsidRPr="00E44F3E" w:rsidRDefault="00082FE1">
            <w:pPr>
              <w:pStyle w:val="TableText"/>
            </w:pPr>
            <w:r w:rsidRPr="00E44F3E">
              <w:t xml:space="preserve">Treatment following intensive induction chemotherapy </w:t>
            </w:r>
          </w:p>
        </w:tc>
        <w:tc>
          <w:tcPr>
            <w:tcW w:w="0" w:type="auto"/>
          </w:tcPr>
          <w:p w14:paraId="4CA58C18" w14:textId="69230110" w:rsidR="00082FE1" w:rsidRPr="00E44F3E" w:rsidRDefault="00082FE1" w:rsidP="00456AED">
            <w:pPr>
              <w:pStyle w:val="TableText"/>
              <w:jc w:val="center"/>
            </w:pPr>
            <w:r w:rsidRPr="00E44F3E">
              <w:t xml:space="preserve">QUAZAR </w:t>
            </w:r>
            <w:r w:rsidR="006D5037" w:rsidRPr="006D5037">
              <w:t>AML-001</w:t>
            </w:r>
          </w:p>
          <w:p w14:paraId="6DA11310" w14:textId="5698C075" w:rsidR="00082FE1" w:rsidRPr="00E44F3E" w:rsidRDefault="00082FE1" w:rsidP="00456AED">
            <w:pPr>
              <w:pStyle w:val="TableText"/>
              <w:jc w:val="center"/>
            </w:pPr>
            <w:r w:rsidRPr="00E44F3E">
              <w:t xml:space="preserve">(Wei </w:t>
            </w:r>
            <w:r w:rsidR="00EC1065" w:rsidRPr="00E44F3E">
              <w:t>et al</w:t>
            </w:r>
            <w:r w:rsidRPr="00E44F3E">
              <w:t xml:space="preserve"> 2020</w:t>
            </w:r>
            <w:r w:rsidR="00980D01">
              <w:t>)</w:t>
            </w:r>
          </w:p>
        </w:tc>
        <w:tc>
          <w:tcPr>
            <w:tcW w:w="0" w:type="auto"/>
          </w:tcPr>
          <w:p w14:paraId="57654778" w14:textId="77777777" w:rsidR="00082FE1" w:rsidRPr="00E44F3E" w:rsidRDefault="00082FE1" w:rsidP="00456AED">
            <w:pPr>
              <w:pStyle w:val="TableText"/>
              <w:jc w:val="center"/>
            </w:pPr>
            <w:r w:rsidRPr="00E44F3E">
              <w:t>Not scoreable</w:t>
            </w:r>
          </w:p>
        </w:tc>
        <w:tc>
          <w:tcPr>
            <w:tcW w:w="0" w:type="auto"/>
          </w:tcPr>
          <w:p w14:paraId="6373ADC5" w14:textId="70B01407" w:rsidR="00082FE1" w:rsidRPr="00E44F3E" w:rsidRDefault="00082FE1">
            <w:pPr>
              <w:pStyle w:val="TableText"/>
            </w:pPr>
            <w:r w:rsidRPr="00E44F3E">
              <w:t>Available trial evidence does not include parameters that permit the application of the ESMO-MCBS:H</w:t>
            </w:r>
            <w:r w:rsidR="00980D01">
              <w:t>. N</w:t>
            </w:r>
            <w:r w:rsidRPr="00E44F3E">
              <w:t>o hazard ratios were presented and no 10% survival at 3</w:t>
            </w:r>
            <w:r w:rsidR="00980D01">
              <w:t xml:space="preserve"> </w:t>
            </w:r>
            <w:r w:rsidRPr="00E44F3E">
              <w:t xml:space="preserve">years reported. </w:t>
            </w:r>
          </w:p>
        </w:tc>
      </w:tr>
      <w:tr w:rsidR="00A60BCE" w:rsidRPr="00E44F3E" w14:paraId="19F0323D" w14:textId="77777777" w:rsidTr="00C1304B">
        <w:trPr>
          <w:cantSplit/>
          <w:trHeight w:val="20"/>
        </w:trPr>
        <w:tc>
          <w:tcPr>
            <w:tcW w:w="0" w:type="auto"/>
          </w:tcPr>
          <w:p w14:paraId="5752D9DC" w14:textId="07A56F56" w:rsidR="00082FE1" w:rsidRPr="00E44F3E" w:rsidRDefault="00082FE1" w:rsidP="006D5037">
            <w:pPr>
              <w:pStyle w:val="TableText"/>
            </w:pPr>
            <w:r w:rsidRPr="00E44F3E">
              <w:t xml:space="preserve">Decitabine with </w:t>
            </w:r>
            <w:proofErr w:type="spellStart"/>
            <w:r w:rsidRPr="00E44F3E">
              <w:t>cedazuridine</w:t>
            </w:r>
            <w:proofErr w:type="spellEnd"/>
            <w:r w:rsidR="006D5037">
              <w:t xml:space="preserve"> </w:t>
            </w:r>
            <w:r w:rsidRPr="00E44F3E">
              <w:t>(tablets)</w:t>
            </w:r>
          </w:p>
        </w:tc>
        <w:tc>
          <w:tcPr>
            <w:tcW w:w="0" w:type="auto"/>
          </w:tcPr>
          <w:p w14:paraId="207CB201" w14:textId="77777777" w:rsidR="00082FE1" w:rsidRPr="00E44F3E" w:rsidRDefault="00082FE1">
            <w:pPr>
              <w:pStyle w:val="TableText"/>
            </w:pPr>
            <w:r w:rsidRPr="00E44F3E">
              <w:t>Not specified</w:t>
            </w:r>
          </w:p>
        </w:tc>
        <w:tc>
          <w:tcPr>
            <w:tcW w:w="0" w:type="auto"/>
          </w:tcPr>
          <w:p w14:paraId="6AC5851C" w14:textId="77777777" w:rsidR="00082FE1" w:rsidRPr="00E44F3E" w:rsidRDefault="00082FE1">
            <w:pPr>
              <w:pStyle w:val="TableText"/>
            </w:pPr>
            <w:r w:rsidRPr="00E44F3E">
              <w:t>Acute myeloid leukaemia (AML)</w:t>
            </w:r>
          </w:p>
        </w:tc>
        <w:tc>
          <w:tcPr>
            <w:tcW w:w="0" w:type="auto"/>
          </w:tcPr>
          <w:p w14:paraId="36907E94" w14:textId="70ACDF60" w:rsidR="00082FE1" w:rsidRPr="00E44F3E" w:rsidRDefault="00082FE1">
            <w:pPr>
              <w:pStyle w:val="TableText"/>
            </w:pPr>
            <w:r w:rsidRPr="00E44F3E">
              <w:t>With 20%</w:t>
            </w:r>
            <w:r w:rsidR="00A41599">
              <w:t>–</w:t>
            </w:r>
            <w:r w:rsidRPr="00E44F3E">
              <w:t>30% marrow blasts and multi-lineage dysplasia</w:t>
            </w:r>
          </w:p>
        </w:tc>
        <w:tc>
          <w:tcPr>
            <w:tcW w:w="0" w:type="auto"/>
          </w:tcPr>
          <w:p w14:paraId="6054D3E6" w14:textId="1698DAB0" w:rsidR="00082FE1" w:rsidRPr="00E44F3E" w:rsidRDefault="00082FE1" w:rsidP="00456AED">
            <w:pPr>
              <w:pStyle w:val="TableText"/>
              <w:jc w:val="center"/>
            </w:pPr>
            <w:r w:rsidRPr="00E44F3E">
              <w:t>ASCERTAIN</w:t>
            </w:r>
          </w:p>
          <w:p w14:paraId="3151FA1E" w14:textId="7C77D16D" w:rsidR="00082FE1" w:rsidRPr="00E44F3E" w:rsidRDefault="00082FE1" w:rsidP="00456AED">
            <w:pPr>
              <w:pStyle w:val="TableText"/>
              <w:jc w:val="center"/>
            </w:pPr>
            <w:r w:rsidRPr="00E44F3E">
              <w:t>(Garcia-</w:t>
            </w:r>
            <w:proofErr w:type="spellStart"/>
            <w:r w:rsidRPr="00E44F3E">
              <w:t>Manero</w:t>
            </w:r>
            <w:proofErr w:type="spellEnd"/>
            <w:r w:rsidRPr="00E44F3E">
              <w:t xml:space="preserve"> </w:t>
            </w:r>
            <w:r w:rsidR="00EC1065" w:rsidRPr="00E44F3E">
              <w:t>et al</w:t>
            </w:r>
            <w:r w:rsidRPr="00E44F3E">
              <w:t xml:space="preserve"> 2024)</w:t>
            </w:r>
          </w:p>
        </w:tc>
        <w:tc>
          <w:tcPr>
            <w:tcW w:w="0" w:type="auto"/>
          </w:tcPr>
          <w:p w14:paraId="30F52964" w14:textId="77777777" w:rsidR="00082FE1" w:rsidRPr="00E44F3E" w:rsidRDefault="00082FE1" w:rsidP="00456AED">
            <w:pPr>
              <w:pStyle w:val="TableText"/>
              <w:jc w:val="center"/>
            </w:pPr>
            <w:r w:rsidRPr="00E44F3E">
              <w:t>Not scoreable</w:t>
            </w:r>
          </w:p>
        </w:tc>
        <w:tc>
          <w:tcPr>
            <w:tcW w:w="0" w:type="auto"/>
          </w:tcPr>
          <w:p w14:paraId="4841A8A9" w14:textId="64660381" w:rsidR="00082FE1" w:rsidRPr="00E44F3E" w:rsidRDefault="00082FE1">
            <w:pPr>
              <w:pStyle w:val="TableText"/>
            </w:pPr>
            <w:r w:rsidRPr="00E44F3E">
              <w:t>Available trial evidence does not include parameters that permit the application of the ESMO-MCBS:H</w:t>
            </w:r>
            <w:r w:rsidR="00980D01">
              <w:t>.</w:t>
            </w:r>
            <w:r w:rsidRPr="00E44F3E">
              <w:t xml:space="preserve"> </w:t>
            </w:r>
            <w:r w:rsidR="00980D01">
              <w:t>T</w:t>
            </w:r>
            <w:r w:rsidRPr="00E44F3E">
              <w:t>his trial was not scorable as although the clinical trial notes inclusions of AML patients, the results presented do not include AML patients.</w:t>
            </w:r>
            <w:r w:rsidR="00B1682D" w:rsidRPr="00E44F3E">
              <w:t xml:space="preserve"> </w:t>
            </w:r>
            <w:r w:rsidRPr="00E44F3E">
              <w:t>Published results for CML and MDS do not present end points that are scoreable.</w:t>
            </w:r>
          </w:p>
        </w:tc>
      </w:tr>
      <w:tr w:rsidR="00A60BCE" w:rsidRPr="00E44F3E" w14:paraId="624B2C33" w14:textId="77777777" w:rsidTr="00C1304B">
        <w:trPr>
          <w:cantSplit/>
          <w:trHeight w:val="20"/>
        </w:trPr>
        <w:tc>
          <w:tcPr>
            <w:tcW w:w="0" w:type="auto"/>
          </w:tcPr>
          <w:p w14:paraId="337F195C" w14:textId="12F993DF" w:rsidR="00082FE1" w:rsidRPr="00E44F3E" w:rsidRDefault="00082FE1" w:rsidP="006D5037">
            <w:pPr>
              <w:pStyle w:val="TableText"/>
            </w:pPr>
            <w:r w:rsidRPr="00E44F3E">
              <w:t xml:space="preserve">Decitabine with </w:t>
            </w:r>
            <w:proofErr w:type="spellStart"/>
            <w:r w:rsidRPr="00E44F3E">
              <w:t>cedazuridine</w:t>
            </w:r>
            <w:proofErr w:type="spellEnd"/>
            <w:r w:rsidR="006D5037">
              <w:t xml:space="preserve"> </w:t>
            </w:r>
            <w:r w:rsidRPr="00E44F3E">
              <w:t>(tablets)</w:t>
            </w:r>
          </w:p>
        </w:tc>
        <w:tc>
          <w:tcPr>
            <w:tcW w:w="0" w:type="auto"/>
          </w:tcPr>
          <w:p w14:paraId="2DFC9DAA" w14:textId="77777777" w:rsidR="00082FE1" w:rsidRPr="00E44F3E" w:rsidRDefault="00082FE1">
            <w:pPr>
              <w:pStyle w:val="TableText"/>
            </w:pPr>
            <w:r w:rsidRPr="00E44F3E">
              <w:t>Not specified</w:t>
            </w:r>
          </w:p>
        </w:tc>
        <w:tc>
          <w:tcPr>
            <w:tcW w:w="0" w:type="auto"/>
          </w:tcPr>
          <w:p w14:paraId="4F3941EC" w14:textId="77777777" w:rsidR="00082FE1" w:rsidRPr="00E44F3E" w:rsidRDefault="00082FE1">
            <w:pPr>
              <w:pStyle w:val="TableText"/>
            </w:pPr>
            <w:r w:rsidRPr="00E44F3E">
              <w:t>Chronic myelomonocytic leukaemia (CMML)</w:t>
            </w:r>
          </w:p>
        </w:tc>
        <w:tc>
          <w:tcPr>
            <w:tcW w:w="0" w:type="auto"/>
          </w:tcPr>
          <w:p w14:paraId="62A2D94B" w14:textId="289BF4E7" w:rsidR="00082FE1" w:rsidRPr="00E44F3E" w:rsidRDefault="00082FE1">
            <w:pPr>
              <w:pStyle w:val="TableText"/>
            </w:pPr>
            <w:r w:rsidRPr="00E44F3E">
              <w:t>With 10%</w:t>
            </w:r>
            <w:r w:rsidR="00A41599">
              <w:t>–</w:t>
            </w:r>
            <w:r w:rsidRPr="00E44F3E">
              <w:t>29% marrow blasts without myeloproliferative disorder</w:t>
            </w:r>
          </w:p>
        </w:tc>
        <w:tc>
          <w:tcPr>
            <w:tcW w:w="0" w:type="auto"/>
          </w:tcPr>
          <w:p w14:paraId="1C76F4EE" w14:textId="0624F8F0" w:rsidR="00082FE1" w:rsidRPr="00E44F3E" w:rsidRDefault="00082FE1" w:rsidP="00456AED">
            <w:pPr>
              <w:pStyle w:val="TableText"/>
              <w:jc w:val="center"/>
            </w:pPr>
            <w:r w:rsidRPr="00E44F3E">
              <w:t>ASCERTAIN</w:t>
            </w:r>
          </w:p>
          <w:p w14:paraId="1A9F0A68" w14:textId="14FCBD71" w:rsidR="00082FE1" w:rsidRPr="00E44F3E" w:rsidRDefault="00082FE1" w:rsidP="00456AED">
            <w:pPr>
              <w:pStyle w:val="TableText"/>
              <w:jc w:val="center"/>
            </w:pPr>
            <w:r w:rsidRPr="00E44F3E">
              <w:t>(Garcia-</w:t>
            </w:r>
            <w:proofErr w:type="spellStart"/>
            <w:r w:rsidRPr="00E44F3E">
              <w:t>Manero</w:t>
            </w:r>
            <w:proofErr w:type="spellEnd"/>
            <w:r w:rsidRPr="00E44F3E">
              <w:t xml:space="preserve"> </w:t>
            </w:r>
            <w:r w:rsidR="00EC1065" w:rsidRPr="00E44F3E">
              <w:t>et al</w:t>
            </w:r>
            <w:r w:rsidRPr="00E44F3E">
              <w:t xml:space="preserve"> 2024)</w:t>
            </w:r>
          </w:p>
        </w:tc>
        <w:tc>
          <w:tcPr>
            <w:tcW w:w="0" w:type="auto"/>
          </w:tcPr>
          <w:p w14:paraId="625EF73E" w14:textId="77777777" w:rsidR="00082FE1" w:rsidRPr="00E44F3E" w:rsidRDefault="00082FE1" w:rsidP="00456AED">
            <w:pPr>
              <w:pStyle w:val="TableText"/>
              <w:jc w:val="center"/>
            </w:pPr>
            <w:r w:rsidRPr="00E44F3E">
              <w:t>Not scoreable</w:t>
            </w:r>
          </w:p>
        </w:tc>
        <w:tc>
          <w:tcPr>
            <w:tcW w:w="0" w:type="auto"/>
          </w:tcPr>
          <w:p w14:paraId="703FFFF4" w14:textId="6DBF14A3" w:rsidR="00082FE1" w:rsidRPr="00E44F3E" w:rsidRDefault="00082FE1">
            <w:pPr>
              <w:pStyle w:val="TableText"/>
            </w:pPr>
            <w:r w:rsidRPr="00E44F3E">
              <w:t>Available trial evidence does not include parameters that permit the application of the ESMO-MCBS:H</w:t>
            </w:r>
            <w:r w:rsidR="00E85477">
              <w:t>.</w:t>
            </w:r>
            <w:r w:rsidRPr="00E44F3E">
              <w:t xml:space="preserve"> </w:t>
            </w:r>
            <w:r w:rsidR="00E85477">
              <w:t>T</w:t>
            </w:r>
            <w:r w:rsidRPr="00E44F3E">
              <w:t>he primary endpoint was total decitabine exposure over 5 days.</w:t>
            </w:r>
          </w:p>
        </w:tc>
      </w:tr>
      <w:tr w:rsidR="00A60BCE" w:rsidRPr="00E44F3E" w14:paraId="08D2EF58" w14:textId="77777777" w:rsidTr="00C1304B">
        <w:trPr>
          <w:cantSplit/>
          <w:trHeight w:val="20"/>
        </w:trPr>
        <w:tc>
          <w:tcPr>
            <w:tcW w:w="0" w:type="auto"/>
          </w:tcPr>
          <w:p w14:paraId="7E43687D" w14:textId="1A46606E" w:rsidR="00082FE1" w:rsidRPr="00E44F3E" w:rsidRDefault="00082FE1" w:rsidP="006D5037">
            <w:pPr>
              <w:pStyle w:val="TableText"/>
            </w:pPr>
            <w:r w:rsidRPr="00E44F3E">
              <w:t xml:space="preserve">Decitabine with </w:t>
            </w:r>
            <w:proofErr w:type="spellStart"/>
            <w:r w:rsidRPr="00E44F3E">
              <w:t>cedazuridine</w:t>
            </w:r>
            <w:proofErr w:type="spellEnd"/>
            <w:r w:rsidR="006D5037">
              <w:t xml:space="preserve"> </w:t>
            </w:r>
            <w:r w:rsidRPr="00E44F3E">
              <w:t>(tablets)</w:t>
            </w:r>
          </w:p>
        </w:tc>
        <w:tc>
          <w:tcPr>
            <w:tcW w:w="0" w:type="auto"/>
          </w:tcPr>
          <w:p w14:paraId="7B0C7406" w14:textId="77777777" w:rsidR="00082FE1" w:rsidRPr="00E44F3E" w:rsidRDefault="00082FE1">
            <w:pPr>
              <w:pStyle w:val="TableText"/>
            </w:pPr>
            <w:r w:rsidRPr="00E44F3E">
              <w:t>Not specified</w:t>
            </w:r>
          </w:p>
        </w:tc>
        <w:tc>
          <w:tcPr>
            <w:tcW w:w="0" w:type="auto"/>
          </w:tcPr>
          <w:p w14:paraId="27CC0AAF" w14:textId="77777777" w:rsidR="00082FE1" w:rsidRPr="00E44F3E" w:rsidRDefault="00082FE1">
            <w:pPr>
              <w:pStyle w:val="TableText"/>
            </w:pPr>
            <w:r w:rsidRPr="00E44F3E">
              <w:t>Myelodysplastic syndrome</w:t>
            </w:r>
          </w:p>
        </w:tc>
        <w:tc>
          <w:tcPr>
            <w:tcW w:w="0" w:type="auto"/>
          </w:tcPr>
          <w:p w14:paraId="59C2A2D4" w14:textId="77777777" w:rsidR="00082FE1" w:rsidRPr="00E44F3E" w:rsidRDefault="00082FE1">
            <w:pPr>
              <w:pStyle w:val="TableText"/>
            </w:pPr>
            <w:r w:rsidRPr="00E44F3E">
              <w:t>Intermediate-2 or high risk 20% marrow blasts</w:t>
            </w:r>
          </w:p>
        </w:tc>
        <w:tc>
          <w:tcPr>
            <w:tcW w:w="0" w:type="auto"/>
          </w:tcPr>
          <w:p w14:paraId="1AED9541" w14:textId="77777777" w:rsidR="00082FE1" w:rsidRPr="00E44F3E" w:rsidRDefault="00082FE1" w:rsidP="00456AED">
            <w:pPr>
              <w:pStyle w:val="TableText"/>
              <w:jc w:val="center"/>
            </w:pPr>
            <w:r w:rsidRPr="00E44F3E">
              <w:t>ASCERTAIN</w:t>
            </w:r>
          </w:p>
          <w:p w14:paraId="2783AA38" w14:textId="01BBB761" w:rsidR="00082FE1" w:rsidRPr="00E44F3E" w:rsidRDefault="00082FE1" w:rsidP="00456AED">
            <w:pPr>
              <w:pStyle w:val="TableText"/>
              <w:jc w:val="center"/>
            </w:pPr>
            <w:r w:rsidRPr="00E44F3E">
              <w:t>(Garcia-</w:t>
            </w:r>
            <w:proofErr w:type="spellStart"/>
            <w:r w:rsidRPr="00E44F3E">
              <w:t>Manero</w:t>
            </w:r>
            <w:proofErr w:type="spellEnd"/>
            <w:r w:rsidRPr="00E44F3E">
              <w:t xml:space="preserve"> </w:t>
            </w:r>
            <w:r w:rsidR="00EC1065" w:rsidRPr="00E44F3E">
              <w:t>et al</w:t>
            </w:r>
            <w:r w:rsidRPr="00E44F3E">
              <w:t xml:space="preserve"> 2024)</w:t>
            </w:r>
          </w:p>
        </w:tc>
        <w:tc>
          <w:tcPr>
            <w:tcW w:w="0" w:type="auto"/>
          </w:tcPr>
          <w:p w14:paraId="0125E463" w14:textId="77777777" w:rsidR="00082FE1" w:rsidRPr="00E44F3E" w:rsidRDefault="00082FE1" w:rsidP="00456AED">
            <w:pPr>
              <w:pStyle w:val="TableText"/>
              <w:jc w:val="center"/>
            </w:pPr>
            <w:r w:rsidRPr="00E44F3E">
              <w:t>Not scoreable</w:t>
            </w:r>
          </w:p>
        </w:tc>
        <w:tc>
          <w:tcPr>
            <w:tcW w:w="0" w:type="auto"/>
          </w:tcPr>
          <w:p w14:paraId="25B76CBA" w14:textId="6B6A7A3C" w:rsidR="00082FE1" w:rsidRPr="00E44F3E" w:rsidRDefault="00082FE1">
            <w:pPr>
              <w:pStyle w:val="TableText"/>
            </w:pPr>
            <w:r w:rsidRPr="00E44F3E">
              <w:t>Available trial evidence does not include parameters that permit the application of the ESMO-MCBS:H</w:t>
            </w:r>
            <w:r w:rsidR="00E85477">
              <w:t>.</w:t>
            </w:r>
            <w:r w:rsidRPr="00E44F3E">
              <w:t xml:space="preserve"> </w:t>
            </w:r>
            <w:r w:rsidR="00E85477">
              <w:t>T</w:t>
            </w:r>
            <w:r w:rsidRPr="00E44F3E">
              <w:t>he primary endpoint was total decitabine exposure over 5 days.</w:t>
            </w:r>
          </w:p>
        </w:tc>
      </w:tr>
    </w:tbl>
    <w:p w14:paraId="70BD02B9" w14:textId="77777777" w:rsidR="00082FE1" w:rsidRPr="00E44F3E" w:rsidRDefault="00082FE1" w:rsidP="006D28C9"/>
    <w:p w14:paraId="47EAC141" w14:textId="77777777" w:rsidR="006D28C9" w:rsidRPr="00E44F3E" w:rsidRDefault="006D28C9" w:rsidP="006D28C9">
      <w:pPr>
        <w:sectPr w:rsidR="006D28C9" w:rsidRPr="00E44F3E" w:rsidSect="002950CD">
          <w:headerReference w:type="even" r:id="rId90"/>
          <w:headerReference w:type="default" r:id="rId91"/>
          <w:footerReference w:type="even" r:id="rId92"/>
          <w:footerReference w:type="default" r:id="rId93"/>
          <w:headerReference w:type="first" r:id="rId94"/>
          <w:pgSz w:w="16834" w:h="11907" w:orient="landscape" w:code="9"/>
          <w:pgMar w:top="1418" w:right="1418" w:bottom="1418" w:left="1418" w:header="284" w:footer="425" w:gutter="284"/>
          <w:cols w:space="720"/>
          <w:docGrid w:linePitch="286"/>
        </w:sectPr>
      </w:pPr>
    </w:p>
    <w:p w14:paraId="1404AF36" w14:textId="65FDB1D4" w:rsidR="006D28C9" w:rsidRPr="00E44F3E" w:rsidRDefault="00082FE1" w:rsidP="002950CD">
      <w:pPr>
        <w:pStyle w:val="Heading2"/>
        <w:pageBreakBefore/>
      </w:pPr>
      <w:bookmarkStart w:id="239" w:name="App7"/>
      <w:bookmarkStart w:id="240" w:name="_Toc180062133"/>
      <w:r w:rsidRPr="00E44F3E">
        <w:lastRenderedPageBreak/>
        <w:t>Appendix 7</w:t>
      </w:r>
      <w:bookmarkEnd w:id="239"/>
      <w:r w:rsidRPr="00E44F3E">
        <w:t>: Description of each gap with associated substantial clinical benefit</w:t>
      </w:r>
      <w:bookmarkEnd w:id="240"/>
    </w:p>
    <w:p w14:paraId="0FBC44A2" w14:textId="043CA190" w:rsidR="008A6A23" w:rsidRPr="00E44F3E" w:rsidRDefault="008A6A23" w:rsidP="007A7C4A">
      <w:r w:rsidRPr="00E44F3E">
        <w:t xml:space="preserve">This appendix provides a detailed description of each identified gap associated with substantial clinical benefit, organised by type of cancer. The table for each medicine-indication </w:t>
      </w:r>
      <w:r w:rsidR="000E51A7">
        <w:t xml:space="preserve">pair </w:t>
      </w:r>
      <w:r w:rsidRPr="00E44F3E">
        <w:t>gap includes:</w:t>
      </w:r>
    </w:p>
    <w:p w14:paraId="44A1BAFD" w14:textId="6029F0A6" w:rsidR="008A6A23" w:rsidRPr="00E44F3E" w:rsidRDefault="008A6A23" w:rsidP="007A7C4A">
      <w:pPr>
        <w:pStyle w:val="Bullet"/>
      </w:pPr>
      <w:r w:rsidRPr="00E44F3E">
        <w:t xml:space="preserve">the medicine </w:t>
      </w:r>
      <w:proofErr w:type="gramStart"/>
      <w:r w:rsidRPr="00E44F3E">
        <w:t>class</w:t>
      </w:r>
      <w:proofErr w:type="gramEnd"/>
    </w:p>
    <w:p w14:paraId="0B8F6856" w14:textId="1AF8C2AA" w:rsidR="008A6A23" w:rsidRPr="00E44F3E" w:rsidRDefault="008A6A23" w:rsidP="007A7C4A">
      <w:pPr>
        <w:pStyle w:val="Bullet"/>
      </w:pPr>
      <w:r w:rsidRPr="00E44F3E">
        <w:t>intent of treatment (whether curative or non-curative)</w:t>
      </w:r>
    </w:p>
    <w:p w14:paraId="17A2585A" w14:textId="3737A2EF" w:rsidR="008A6A23" w:rsidRPr="00E44F3E" w:rsidRDefault="008A6A23" w:rsidP="007A7C4A">
      <w:pPr>
        <w:pStyle w:val="Bullet"/>
      </w:pPr>
      <w:r w:rsidRPr="00E44F3E">
        <w:t xml:space="preserve">where the gap is in the pipeline of </w:t>
      </w:r>
      <w:proofErr w:type="spellStart"/>
      <w:r w:rsidRPr="00E44F3E">
        <w:t>Pharmac’s</w:t>
      </w:r>
      <w:proofErr w:type="spellEnd"/>
      <w:r w:rsidRPr="00E44F3E">
        <w:t xml:space="preserve"> assessment</w:t>
      </w:r>
    </w:p>
    <w:p w14:paraId="4A243582" w14:textId="7EF9D484" w:rsidR="008A6A23" w:rsidRPr="00E44F3E" w:rsidRDefault="008A6A23" w:rsidP="007A7C4A">
      <w:pPr>
        <w:pStyle w:val="Bullet"/>
      </w:pPr>
      <w:r w:rsidRPr="00E44F3E">
        <w:t>the associated ESMO-MCBS</w:t>
      </w:r>
      <w:r w:rsidR="00181030">
        <w:t>:H</w:t>
      </w:r>
      <w:r w:rsidRPr="00E44F3E">
        <w:t xml:space="preserve"> score for the gap</w:t>
      </w:r>
    </w:p>
    <w:p w14:paraId="6A259AA2" w14:textId="06582858" w:rsidR="008A6A23" w:rsidRPr="00E44F3E" w:rsidRDefault="008A6A23" w:rsidP="007A7C4A">
      <w:pPr>
        <w:pStyle w:val="Bullet"/>
      </w:pPr>
      <w:r w:rsidRPr="00E44F3E">
        <w:t>how filling the gap would change current clinical practices</w:t>
      </w:r>
    </w:p>
    <w:p w14:paraId="7F98288C" w14:textId="4B13388D" w:rsidR="008A6A23" w:rsidRPr="00E44F3E" w:rsidRDefault="008A6A23" w:rsidP="007A7C4A">
      <w:pPr>
        <w:pStyle w:val="Bullet"/>
      </w:pPr>
      <w:r w:rsidRPr="00E44F3E">
        <w:t>how the medicine would be given</w:t>
      </w:r>
    </w:p>
    <w:p w14:paraId="0B588E4E" w14:textId="6AD66CF7" w:rsidR="008A6A23" w:rsidRPr="00E44F3E" w:rsidRDefault="008A6A23" w:rsidP="007A7C4A">
      <w:pPr>
        <w:pStyle w:val="Bullet"/>
      </w:pPr>
      <w:r w:rsidRPr="00E44F3E">
        <w:t>additional considerations for patients, whānau and the health system.</w:t>
      </w:r>
    </w:p>
    <w:p w14:paraId="15C99166" w14:textId="77777777" w:rsidR="00303303" w:rsidRPr="00E44F3E" w:rsidRDefault="00303303" w:rsidP="00135084">
      <w:pPr>
        <w:pStyle w:val="Heading3"/>
        <w:pageBreakBefore/>
      </w:pPr>
      <w:bookmarkStart w:id="241" w:name="_Ref177736714"/>
      <w:r w:rsidRPr="00E44F3E">
        <w:lastRenderedPageBreak/>
        <w:t>Leukaemia</w:t>
      </w:r>
      <w:bookmarkEnd w:id="241"/>
    </w:p>
    <w:p w14:paraId="70DBBB96" w14:textId="11F03AC4" w:rsidR="00303303" w:rsidRPr="00E44F3E" w:rsidRDefault="001170B0" w:rsidP="001170B0">
      <w:pPr>
        <w:pStyle w:val="Table"/>
      </w:pPr>
      <w:bookmarkStart w:id="242" w:name="_Ref177735663"/>
      <w:bookmarkStart w:id="243" w:name="_Toc175241606"/>
      <w:bookmarkStart w:id="244" w:name="_Toc180142302"/>
      <w:bookmarkStart w:id="245" w:name="Appendix_7_Table_7point1"/>
      <w:r w:rsidRPr="00E44F3E">
        <w:t xml:space="preserve">Table </w:t>
      </w:r>
      <w:r w:rsidR="00D97615">
        <w:fldChar w:fldCharType="begin"/>
      </w:r>
      <w:r w:rsidR="00D97615">
        <w:instrText xml:space="preserve"> SEQ Table \* ARABIC </w:instrText>
      </w:r>
      <w:r w:rsidR="00D97615">
        <w:fldChar w:fldCharType="separate"/>
      </w:r>
      <w:r w:rsidR="004A6DF6">
        <w:rPr>
          <w:noProof/>
        </w:rPr>
        <w:t>16</w:t>
      </w:r>
      <w:r w:rsidR="00D97615">
        <w:rPr>
          <w:noProof/>
        </w:rPr>
        <w:fldChar w:fldCharType="end"/>
      </w:r>
      <w:bookmarkEnd w:id="242"/>
      <w:r w:rsidR="00303303" w:rsidRPr="00E44F3E">
        <w:t xml:space="preserve">: </w:t>
      </w:r>
      <w:proofErr w:type="spellStart"/>
      <w:r w:rsidR="00303303" w:rsidRPr="00E44F3E">
        <w:t>Asciminib</w:t>
      </w:r>
      <w:proofErr w:type="spellEnd"/>
      <w:r w:rsidR="00303303" w:rsidRPr="00E44F3E">
        <w:t xml:space="preserve"> third line for chronic myeloid leukaemia</w:t>
      </w:r>
      <w:bookmarkEnd w:id="243"/>
      <w:bookmarkEnd w:id="244"/>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2216"/>
        <w:gridCol w:w="439"/>
        <w:gridCol w:w="5424"/>
      </w:tblGrid>
      <w:tr w:rsidR="00303303" w:rsidRPr="00E44F3E" w14:paraId="17391492" w14:textId="77777777" w:rsidTr="003A2175">
        <w:trPr>
          <w:cantSplit/>
        </w:trPr>
        <w:tc>
          <w:tcPr>
            <w:tcW w:w="0" w:type="auto"/>
            <w:tcBorders>
              <w:top w:val="nil"/>
              <w:left w:val="nil"/>
              <w:bottom w:val="nil"/>
              <w:right w:val="nil"/>
            </w:tcBorders>
            <w:shd w:val="clear" w:color="auto" w:fill="C2D9BA"/>
            <w:hideMark/>
          </w:tcPr>
          <w:bookmarkEnd w:id="245"/>
          <w:p w14:paraId="38B858E9" w14:textId="77777777" w:rsidR="00303303" w:rsidRPr="00E44F3E" w:rsidRDefault="00303303">
            <w:pPr>
              <w:pStyle w:val="TableText"/>
              <w:ind w:right="113"/>
              <w:rPr>
                <w:b/>
              </w:rPr>
            </w:pPr>
            <w:r w:rsidRPr="00E44F3E">
              <w:rPr>
                <w:b/>
              </w:rPr>
              <w:t>Indication description</w:t>
            </w:r>
          </w:p>
        </w:tc>
        <w:tc>
          <w:tcPr>
            <w:tcW w:w="0" w:type="auto"/>
            <w:gridSpan w:val="2"/>
            <w:tcBorders>
              <w:top w:val="nil"/>
              <w:left w:val="nil"/>
              <w:bottom w:val="nil"/>
              <w:right w:val="nil"/>
            </w:tcBorders>
            <w:shd w:val="clear" w:color="auto" w:fill="C2D9BA"/>
          </w:tcPr>
          <w:p w14:paraId="0590988D" w14:textId="3046965D" w:rsidR="00303303" w:rsidRPr="00E44F3E" w:rsidRDefault="00303303" w:rsidP="005364E8">
            <w:pPr>
              <w:pStyle w:val="TableText"/>
            </w:pPr>
            <w:r w:rsidRPr="00E44F3E">
              <w:t xml:space="preserve">Chronic myeloid leukaemia (without T315I mutation*) </w:t>
            </w:r>
          </w:p>
        </w:tc>
      </w:tr>
      <w:tr w:rsidR="00303303" w:rsidRPr="00E44F3E" w14:paraId="120C3864" w14:textId="77777777" w:rsidTr="003A2175">
        <w:trPr>
          <w:cantSplit/>
        </w:trPr>
        <w:tc>
          <w:tcPr>
            <w:tcW w:w="0" w:type="auto"/>
            <w:tcBorders>
              <w:top w:val="single" w:sz="4" w:space="0" w:color="C2D9BA"/>
              <w:left w:val="nil"/>
              <w:bottom w:val="single" w:sz="4" w:space="0" w:color="C2D9BA"/>
              <w:right w:val="nil"/>
            </w:tcBorders>
            <w:shd w:val="clear" w:color="auto" w:fill="E7F0E3"/>
            <w:hideMark/>
          </w:tcPr>
          <w:p w14:paraId="03D6D320" w14:textId="77777777" w:rsidR="00303303" w:rsidRPr="00E44F3E" w:rsidRDefault="00303303">
            <w:pPr>
              <w:pStyle w:val="TableText"/>
              <w:ind w:right="113"/>
              <w:rPr>
                <w:b/>
              </w:rPr>
            </w:pPr>
            <w:r w:rsidRPr="00E44F3E">
              <w:rPr>
                <w:b/>
              </w:rPr>
              <w:t xml:space="preserve">Medicine </w:t>
            </w:r>
          </w:p>
        </w:tc>
        <w:tc>
          <w:tcPr>
            <w:tcW w:w="0" w:type="auto"/>
            <w:gridSpan w:val="2"/>
            <w:tcBorders>
              <w:top w:val="single" w:sz="4" w:space="0" w:color="C2D9BA"/>
              <w:left w:val="nil"/>
              <w:bottom w:val="single" w:sz="4" w:space="0" w:color="C2D9BA"/>
              <w:right w:val="nil"/>
            </w:tcBorders>
            <w:shd w:val="clear" w:color="auto" w:fill="E7F0E3"/>
            <w:hideMark/>
          </w:tcPr>
          <w:p w14:paraId="636E1AEF" w14:textId="77777777" w:rsidR="00303303" w:rsidRPr="00E44F3E" w:rsidRDefault="00303303">
            <w:pPr>
              <w:pStyle w:val="TableText"/>
            </w:pPr>
            <w:proofErr w:type="spellStart"/>
            <w:r w:rsidRPr="00E44F3E">
              <w:t>Asciminib</w:t>
            </w:r>
            <w:proofErr w:type="spellEnd"/>
          </w:p>
        </w:tc>
      </w:tr>
      <w:tr w:rsidR="00303303" w:rsidRPr="00E44F3E" w14:paraId="03388606" w14:textId="77777777" w:rsidTr="003A2175">
        <w:trPr>
          <w:cantSplit/>
        </w:trPr>
        <w:tc>
          <w:tcPr>
            <w:tcW w:w="0" w:type="auto"/>
            <w:tcBorders>
              <w:top w:val="single" w:sz="4" w:space="0" w:color="C2D9BA"/>
              <w:left w:val="nil"/>
              <w:bottom w:val="single" w:sz="4" w:space="0" w:color="C2D9BA"/>
              <w:right w:val="nil"/>
            </w:tcBorders>
            <w:hideMark/>
          </w:tcPr>
          <w:p w14:paraId="79DC0793"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091B9BE6" w14:textId="3729CD6A" w:rsidR="00303303" w:rsidRPr="00E44F3E" w:rsidRDefault="00303303">
            <w:pPr>
              <w:pStyle w:val="TableText"/>
            </w:pPr>
            <w:r w:rsidRPr="00E44F3E">
              <w:t xml:space="preserve">A novel, first-in-class </w:t>
            </w:r>
            <w:r w:rsidR="005364E8">
              <w:t>s</w:t>
            </w:r>
            <w:r w:rsidRPr="00E44F3E">
              <w:t xml:space="preserve">pecifically </w:t>
            </w:r>
            <w:r w:rsidR="005364E8">
              <w:t>t</w:t>
            </w:r>
            <w:r w:rsidRPr="00E44F3E">
              <w:t xml:space="preserve">argeting the ABL </w:t>
            </w:r>
            <w:proofErr w:type="spellStart"/>
            <w:r w:rsidR="00764311">
              <w:t>m</w:t>
            </w:r>
            <w:r w:rsidRPr="00E44F3E">
              <w:t>yristoyl</w:t>
            </w:r>
            <w:proofErr w:type="spellEnd"/>
            <w:r w:rsidRPr="00E44F3E">
              <w:t xml:space="preserve"> </w:t>
            </w:r>
            <w:r w:rsidR="00764311">
              <w:t>p</w:t>
            </w:r>
            <w:r w:rsidRPr="00E44F3E">
              <w:t>ocket (STAMP) inhibitor that potently inhibits the kinase activity of BCR-ABL1 via allosteric binding</w:t>
            </w:r>
            <w:r w:rsidR="0052443B">
              <w:t>.</w:t>
            </w:r>
          </w:p>
        </w:tc>
      </w:tr>
      <w:tr w:rsidR="00303303" w:rsidRPr="00E44F3E" w14:paraId="09E81535" w14:textId="77777777" w:rsidTr="003A2175">
        <w:trPr>
          <w:cantSplit/>
        </w:trPr>
        <w:tc>
          <w:tcPr>
            <w:tcW w:w="0" w:type="auto"/>
            <w:tcBorders>
              <w:top w:val="single" w:sz="4" w:space="0" w:color="C2D9BA"/>
              <w:left w:val="nil"/>
              <w:bottom w:val="single" w:sz="4" w:space="0" w:color="C2D9BA"/>
              <w:right w:val="nil"/>
            </w:tcBorders>
            <w:hideMark/>
          </w:tcPr>
          <w:p w14:paraId="2A7A41E3"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2F3E73AA" w14:textId="7EEBAB55" w:rsidR="00303303" w:rsidRPr="00E44F3E" w:rsidRDefault="00303303">
            <w:pPr>
              <w:pStyle w:val="TableText"/>
            </w:pPr>
            <w:r w:rsidRPr="00E44F3E">
              <w:t>Long treatment-free remission</w:t>
            </w:r>
            <w:r w:rsidR="0052443B">
              <w:t>.</w:t>
            </w:r>
          </w:p>
        </w:tc>
      </w:tr>
      <w:tr w:rsidR="00303303" w:rsidRPr="00E44F3E" w14:paraId="0721B9FE" w14:textId="77777777" w:rsidTr="003A2175">
        <w:trPr>
          <w:cantSplit/>
        </w:trPr>
        <w:tc>
          <w:tcPr>
            <w:tcW w:w="0" w:type="auto"/>
            <w:tcBorders>
              <w:top w:val="single" w:sz="4" w:space="0" w:color="C2D9BA"/>
              <w:left w:val="nil"/>
              <w:bottom w:val="single" w:sz="4" w:space="0" w:color="C2D9BA"/>
              <w:right w:val="nil"/>
            </w:tcBorders>
            <w:hideMark/>
          </w:tcPr>
          <w:p w14:paraId="27823A91" w14:textId="74651F32" w:rsidR="00303303" w:rsidRPr="00E44F3E" w:rsidRDefault="00303303">
            <w:pPr>
              <w:pStyle w:val="TableText"/>
              <w:ind w:right="113"/>
              <w:rPr>
                <w:b/>
              </w:rPr>
            </w:pPr>
            <w:r w:rsidRPr="00E44F3E">
              <w:rPr>
                <w:b/>
              </w:rPr>
              <w:t>Pharmac status</w:t>
            </w:r>
            <w:r w:rsidR="000C7D25">
              <w:rPr>
                <w:b/>
              </w:rPr>
              <w:t xml:space="preserve"> (October 2024)</w:t>
            </w:r>
          </w:p>
        </w:tc>
        <w:tc>
          <w:tcPr>
            <w:tcW w:w="0" w:type="auto"/>
            <w:gridSpan w:val="2"/>
            <w:tcBorders>
              <w:top w:val="single" w:sz="4" w:space="0" w:color="C2D9BA"/>
              <w:left w:val="nil"/>
              <w:bottom w:val="single" w:sz="4" w:space="0" w:color="C2D9BA"/>
              <w:right w:val="nil"/>
            </w:tcBorders>
            <w:hideMark/>
          </w:tcPr>
          <w:p w14:paraId="035A248D" w14:textId="77777777" w:rsidR="00303303" w:rsidRPr="00A83372" w:rsidRDefault="00717241" w:rsidP="00A83372">
            <w:pPr>
              <w:pStyle w:val="Bullet"/>
              <w:rPr>
                <w:sz w:val="18"/>
              </w:rPr>
            </w:pPr>
            <w:r w:rsidRPr="00A83372">
              <w:rPr>
                <w:sz w:val="18"/>
              </w:rPr>
              <w:t xml:space="preserve">Application received March 2024 </w:t>
            </w:r>
          </w:p>
          <w:p w14:paraId="2E8004D1" w14:textId="77777777" w:rsidR="00717241" w:rsidRPr="00A83372" w:rsidRDefault="00F1295E" w:rsidP="00A83372">
            <w:pPr>
              <w:pStyle w:val="Bullet"/>
              <w:rPr>
                <w:sz w:val="18"/>
              </w:rPr>
            </w:pPr>
            <w:r w:rsidRPr="00A83372">
              <w:rPr>
                <w:sz w:val="18"/>
              </w:rPr>
              <w:t>Currently seeking clinical advice</w:t>
            </w:r>
          </w:p>
          <w:p w14:paraId="4A0D9BE0" w14:textId="01DAF32A" w:rsidR="00A83372" w:rsidRPr="00E44F3E" w:rsidRDefault="00A83372" w:rsidP="00A83372">
            <w:pPr>
              <w:pStyle w:val="Bullet"/>
            </w:pPr>
            <w:r w:rsidRPr="00A83372">
              <w:rPr>
                <w:rStyle w:val="Hyperlink"/>
                <w:sz w:val="18"/>
              </w:rPr>
              <w:t>connect.pharmac.govt.nz/apptracker/s/application-public/a10OZ000000szzN/p002030</w:t>
            </w:r>
          </w:p>
        </w:tc>
      </w:tr>
      <w:tr w:rsidR="00303303" w:rsidRPr="00E44F3E" w14:paraId="617F4618" w14:textId="77777777" w:rsidTr="003A2175">
        <w:trPr>
          <w:cantSplit/>
        </w:trPr>
        <w:tc>
          <w:tcPr>
            <w:tcW w:w="0" w:type="auto"/>
            <w:tcBorders>
              <w:top w:val="single" w:sz="4" w:space="0" w:color="C2D9BA"/>
              <w:left w:val="nil"/>
              <w:bottom w:val="single" w:sz="4" w:space="0" w:color="C2D9BA"/>
              <w:right w:val="nil"/>
            </w:tcBorders>
            <w:hideMark/>
          </w:tcPr>
          <w:p w14:paraId="33E9020B" w14:textId="53AF5644"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0D001F64" w14:textId="77777777" w:rsidR="00303303" w:rsidRPr="00E44F3E" w:rsidRDefault="00303303">
            <w:pPr>
              <w:pStyle w:val="TableText"/>
            </w:pPr>
            <w:r w:rsidRPr="00E44F3E">
              <w:t>4</w:t>
            </w:r>
          </w:p>
        </w:tc>
        <w:tc>
          <w:tcPr>
            <w:tcW w:w="0" w:type="auto"/>
            <w:tcBorders>
              <w:top w:val="single" w:sz="4" w:space="0" w:color="C2D9BA"/>
              <w:left w:val="nil"/>
              <w:bottom w:val="single" w:sz="4" w:space="0" w:color="C2D9BA"/>
              <w:right w:val="nil"/>
            </w:tcBorders>
            <w:hideMark/>
          </w:tcPr>
          <w:p w14:paraId="58C0E611" w14:textId="77777777" w:rsidR="00303303" w:rsidRPr="00E44F3E" w:rsidRDefault="00303303">
            <w:pPr>
              <w:pStyle w:val="TableText"/>
              <w:rPr>
                <w:rFonts w:cs="Helvetica"/>
                <w:szCs w:val="18"/>
              </w:rPr>
            </w:pPr>
            <w:r w:rsidRPr="00E44F3E">
              <w:rPr>
                <w:rFonts w:cs="Helvetica"/>
                <w:szCs w:val="18"/>
              </w:rPr>
              <w:t>Compared to bosutinib:</w:t>
            </w:r>
          </w:p>
          <w:p w14:paraId="7B46F07D" w14:textId="77777777" w:rsidR="00303303" w:rsidRPr="00E44F3E" w:rsidRDefault="00303303" w:rsidP="00135084">
            <w:pPr>
              <w:pStyle w:val="TableBullet"/>
            </w:pPr>
            <w:r w:rsidRPr="00E44F3E">
              <w:t>Gain of 12.2% in the molecular response rate.</w:t>
            </w:r>
          </w:p>
          <w:p w14:paraId="6B84F533" w14:textId="77777777" w:rsidR="00303303" w:rsidRPr="00E44F3E" w:rsidRDefault="00303303" w:rsidP="00135084">
            <w:pPr>
              <w:pStyle w:val="TableBullet"/>
            </w:pPr>
            <w:r w:rsidRPr="00E44F3E">
              <w:t>Quality-of-life improvement did not contribute to the score.</w:t>
            </w:r>
          </w:p>
          <w:p w14:paraId="66BFA73A" w14:textId="77777777" w:rsidR="00303303" w:rsidRPr="00E44F3E" w:rsidRDefault="00303303" w:rsidP="00135084">
            <w:pPr>
              <w:pStyle w:val="TableBullet"/>
            </w:pPr>
            <w:r w:rsidRPr="00E44F3E">
              <w:t>Fewer grade 3 or 4 toxicities contributed to the score.</w:t>
            </w:r>
          </w:p>
        </w:tc>
      </w:tr>
      <w:tr w:rsidR="00303303" w:rsidRPr="00E44F3E" w14:paraId="6F5E6D80" w14:textId="77777777" w:rsidTr="003A2175">
        <w:trPr>
          <w:cantSplit/>
        </w:trPr>
        <w:tc>
          <w:tcPr>
            <w:tcW w:w="0" w:type="auto"/>
            <w:tcBorders>
              <w:top w:val="single" w:sz="4" w:space="0" w:color="C2D9BA"/>
              <w:left w:val="nil"/>
              <w:bottom w:val="single" w:sz="4" w:space="0" w:color="C2D9BA"/>
              <w:right w:val="nil"/>
            </w:tcBorders>
            <w:hideMark/>
          </w:tcPr>
          <w:p w14:paraId="6AB0E161" w14:textId="088D5F06"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tcPr>
          <w:p w14:paraId="1EC33E33" w14:textId="6C8A3835" w:rsidR="00303303" w:rsidRPr="00E44F3E" w:rsidRDefault="009273A9">
            <w:pPr>
              <w:pStyle w:val="TableText"/>
            </w:pPr>
            <w:r w:rsidRPr="009273A9">
              <w:t>Chronic myeloid leukaemia</w:t>
            </w:r>
            <w:r w:rsidR="00303303" w:rsidRPr="00E44F3E">
              <w:t xml:space="preserve"> is currently treated with ATP-competitive tyrosine kinase inhibitors (TKIs)</w:t>
            </w:r>
            <w:r w:rsidR="003A1182">
              <w:t>,</w:t>
            </w:r>
            <w:r w:rsidR="00303303" w:rsidRPr="00E44F3E">
              <w:t xml:space="preserve"> including imatinib, nilotinib </w:t>
            </w:r>
            <w:r w:rsidR="003A1182">
              <w:t>and</w:t>
            </w:r>
            <w:r w:rsidR="00303303" w:rsidRPr="00E44F3E">
              <w:t xml:space="preserve"> </w:t>
            </w:r>
            <w:proofErr w:type="spellStart"/>
            <w:r w:rsidR="00303303" w:rsidRPr="00E44F3E">
              <w:t>dasatinib</w:t>
            </w:r>
            <w:proofErr w:type="spellEnd"/>
            <w:r w:rsidR="00303303" w:rsidRPr="00E44F3E">
              <w:t>.</w:t>
            </w:r>
          </w:p>
          <w:p w14:paraId="0935C8A1" w14:textId="0D9B3B26" w:rsidR="00303303" w:rsidRPr="00E44F3E" w:rsidRDefault="00303303">
            <w:pPr>
              <w:pStyle w:val="TableText"/>
            </w:pPr>
            <w:proofErr w:type="spellStart"/>
            <w:r w:rsidRPr="00E44F3E">
              <w:t>Asciminib</w:t>
            </w:r>
            <w:proofErr w:type="spellEnd"/>
            <w:r w:rsidRPr="00E44F3E">
              <w:t xml:space="preserve"> targets a different domain of the BCR-ABL1 oncoprotein, offering another line of treatment if a patient develops resistance to, or intolerance to, the ATP-competitive </w:t>
            </w:r>
            <w:r w:rsidR="00922C48">
              <w:t>TKI</w:t>
            </w:r>
            <w:r w:rsidRPr="00E44F3E">
              <w:t xml:space="preserve">s. </w:t>
            </w:r>
          </w:p>
        </w:tc>
      </w:tr>
      <w:tr w:rsidR="00303303" w:rsidRPr="00E44F3E" w14:paraId="17EE082A" w14:textId="77777777" w:rsidTr="003A2175">
        <w:trPr>
          <w:cantSplit/>
        </w:trPr>
        <w:tc>
          <w:tcPr>
            <w:tcW w:w="0" w:type="auto"/>
            <w:tcBorders>
              <w:top w:val="single" w:sz="4" w:space="0" w:color="C2D9BA"/>
              <w:left w:val="nil"/>
              <w:bottom w:val="single" w:sz="4" w:space="0" w:color="C2D9BA"/>
              <w:right w:val="nil"/>
            </w:tcBorders>
            <w:hideMark/>
          </w:tcPr>
          <w:p w14:paraId="149BBD5D"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tcPr>
          <w:p w14:paraId="35BC67FC" w14:textId="4D09A630" w:rsidR="00303303" w:rsidRPr="00E44F3E" w:rsidRDefault="00303303">
            <w:pPr>
              <w:pStyle w:val="TableText"/>
            </w:pPr>
            <w:proofErr w:type="spellStart"/>
            <w:r w:rsidRPr="00E44F3E">
              <w:t>Asciminib</w:t>
            </w:r>
            <w:proofErr w:type="spellEnd"/>
            <w:r w:rsidRPr="00E44F3E">
              <w:t xml:space="preserve"> is taken as </w:t>
            </w:r>
            <w:r w:rsidR="00922C48">
              <w:t xml:space="preserve">an </w:t>
            </w:r>
            <w:r w:rsidRPr="00E44F3E">
              <w:t>oral tablet 80 mg once daily or 40 mg twice daily (Q12H) continuously. This dose applies only to patients without the T315I mutation as per ASCEMBL trial.</w:t>
            </w:r>
          </w:p>
        </w:tc>
      </w:tr>
      <w:tr w:rsidR="00303303" w:rsidRPr="00E44F3E" w14:paraId="4FF9A3F0" w14:textId="77777777" w:rsidTr="003A2175">
        <w:trPr>
          <w:cantSplit/>
        </w:trPr>
        <w:tc>
          <w:tcPr>
            <w:tcW w:w="0" w:type="auto"/>
            <w:tcBorders>
              <w:top w:val="single" w:sz="4" w:space="0" w:color="C2D9BA"/>
              <w:left w:val="nil"/>
              <w:bottom w:val="single" w:sz="4" w:space="0" w:color="C2D9BA"/>
              <w:right w:val="nil"/>
            </w:tcBorders>
            <w:hideMark/>
          </w:tcPr>
          <w:p w14:paraId="21BBF007"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hideMark/>
          </w:tcPr>
          <w:p w14:paraId="41F3FBEF" w14:textId="77777777" w:rsidR="00303303" w:rsidRPr="00E44F3E" w:rsidRDefault="00303303" w:rsidP="002950CD">
            <w:pPr>
              <w:pStyle w:val="TableBullet"/>
            </w:pPr>
            <w:r w:rsidRPr="00E44F3E">
              <w:t>Regular blood tests and other monitoring are required to monitor for toxicity and response to treatment.</w:t>
            </w:r>
          </w:p>
          <w:p w14:paraId="4814CCED" w14:textId="77777777" w:rsidR="00303303" w:rsidRPr="00E44F3E" w:rsidRDefault="00303303" w:rsidP="002950CD">
            <w:pPr>
              <w:pStyle w:val="TableBullet"/>
            </w:pPr>
            <w:r w:rsidRPr="00E44F3E">
              <w:t xml:space="preserve">Dose modifications or delays may be needed if patient is intolerant of </w:t>
            </w:r>
            <w:proofErr w:type="spellStart"/>
            <w:r w:rsidRPr="00E44F3E">
              <w:t>asciminib</w:t>
            </w:r>
            <w:proofErr w:type="spellEnd"/>
            <w:r w:rsidRPr="00E44F3E">
              <w:t>.</w:t>
            </w:r>
          </w:p>
          <w:p w14:paraId="6106766A" w14:textId="77777777" w:rsidR="00303303" w:rsidRPr="00E44F3E" w:rsidRDefault="00303303" w:rsidP="002950CD">
            <w:pPr>
              <w:pStyle w:val="TableBullet"/>
            </w:pPr>
            <w:r w:rsidRPr="00E44F3E">
              <w:t>Other medications may be needed to control side effects and to prevent infection.</w:t>
            </w:r>
          </w:p>
        </w:tc>
      </w:tr>
      <w:tr w:rsidR="00303303" w:rsidRPr="00E44F3E" w14:paraId="6968A97F" w14:textId="77777777" w:rsidTr="003A2175">
        <w:trPr>
          <w:cantSplit/>
        </w:trPr>
        <w:tc>
          <w:tcPr>
            <w:tcW w:w="0" w:type="auto"/>
            <w:tcBorders>
              <w:top w:val="single" w:sz="4" w:space="0" w:color="C2D9BA"/>
              <w:left w:val="nil"/>
              <w:bottom w:val="single" w:sz="4" w:space="0" w:color="C2D9BA"/>
              <w:right w:val="nil"/>
            </w:tcBorders>
            <w:hideMark/>
          </w:tcPr>
          <w:p w14:paraId="37130973" w14:textId="77777777" w:rsidR="00303303" w:rsidRPr="00E44F3E" w:rsidRDefault="00303303">
            <w:pPr>
              <w:pStyle w:val="TableText"/>
              <w:ind w:right="113"/>
              <w:rPr>
                <w:b/>
              </w:rPr>
            </w:pPr>
            <w:r w:rsidRPr="00E44F3E">
              <w:rPr>
                <w:b/>
              </w:rPr>
              <w:t>Health system resource considerations</w:t>
            </w:r>
          </w:p>
        </w:tc>
        <w:tc>
          <w:tcPr>
            <w:tcW w:w="0" w:type="auto"/>
            <w:gridSpan w:val="2"/>
            <w:tcBorders>
              <w:top w:val="single" w:sz="4" w:space="0" w:color="C2D9BA"/>
              <w:left w:val="nil"/>
              <w:bottom w:val="single" w:sz="4" w:space="0" w:color="C2D9BA"/>
              <w:right w:val="nil"/>
            </w:tcBorders>
          </w:tcPr>
          <w:p w14:paraId="705E63C1" w14:textId="77777777" w:rsidR="00303303" w:rsidRPr="00E44F3E" w:rsidRDefault="00303303" w:rsidP="002950CD">
            <w:pPr>
              <w:pStyle w:val="TableBullet"/>
            </w:pPr>
            <w:r w:rsidRPr="00E44F3E">
              <w:t xml:space="preserve">Increased demand for laboratory services to monitor for treatment-related toxicities and disease response. </w:t>
            </w:r>
          </w:p>
          <w:p w14:paraId="7025E14A" w14:textId="77777777" w:rsidR="00303303" w:rsidRPr="00E44F3E" w:rsidRDefault="00303303" w:rsidP="002950CD">
            <w:pPr>
              <w:pStyle w:val="TableBullet"/>
            </w:pPr>
            <w:r w:rsidRPr="00E44F3E">
              <w:t>Potential for increased demand for supportive care and toxicity management (including health care professionals’ time and adjustment of pharmaceuticals).</w:t>
            </w:r>
          </w:p>
          <w:p w14:paraId="7840CF96" w14:textId="77777777" w:rsidR="00303303" w:rsidRPr="00E44F3E" w:rsidRDefault="00303303" w:rsidP="002950CD">
            <w:pPr>
              <w:pStyle w:val="TableBullet"/>
            </w:pPr>
            <w:r w:rsidRPr="00E44F3E">
              <w:t>Additional follow-up appointments required.</w:t>
            </w:r>
          </w:p>
        </w:tc>
      </w:tr>
    </w:tbl>
    <w:p w14:paraId="6F3B5EA7" w14:textId="73D214C9" w:rsidR="00303303" w:rsidRDefault="005364E8" w:rsidP="005364E8">
      <w:pPr>
        <w:pStyle w:val="Note"/>
      </w:pPr>
      <w:r w:rsidRPr="00E44F3E">
        <w:t>*</w:t>
      </w:r>
      <w:r>
        <w:t> </w:t>
      </w:r>
      <w:r w:rsidRPr="00E44F3E">
        <w:t>ASCEMBL trial excluded patients with bosutinib resistant BCR-ABL1 mutations of T315I or V299L</w:t>
      </w:r>
    </w:p>
    <w:p w14:paraId="27C01DBA" w14:textId="77777777" w:rsidR="005364E8" w:rsidRPr="00135084" w:rsidRDefault="005364E8" w:rsidP="005364E8">
      <w:pPr>
        <w:rPr>
          <w:lang w:eastAsia="en-US"/>
        </w:rPr>
      </w:pPr>
    </w:p>
    <w:p w14:paraId="53AB0DA0" w14:textId="3B797E93" w:rsidR="00303303" w:rsidRPr="00E44F3E" w:rsidRDefault="00303303" w:rsidP="00FB3898">
      <w:pPr>
        <w:pStyle w:val="Table"/>
        <w:pageBreakBefore/>
      </w:pPr>
      <w:bookmarkStart w:id="246" w:name="_Ref177735638"/>
      <w:bookmarkStart w:id="247" w:name="_Toc175241607"/>
      <w:bookmarkStart w:id="248" w:name="_Toc180142303"/>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17</w:t>
      </w:r>
      <w:r w:rsidR="00D97615">
        <w:rPr>
          <w:noProof/>
        </w:rPr>
        <w:fldChar w:fldCharType="end"/>
      </w:r>
      <w:bookmarkEnd w:id="246"/>
      <w:r w:rsidR="001816EC">
        <w:t>:</w:t>
      </w:r>
      <w:r w:rsidRPr="00E44F3E">
        <w:t xml:space="preserve"> Blinatumomab for acute lymphoblastic leukaemia – </w:t>
      </w:r>
      <w:r w:rsidR="00451553">
        <w:t>m</w:t>
      </w:r>
      <w:r w:rsidRPr="00E44F3E">
        <w:t xml:space="preserve">easurable </w:t>
      </w:r>
      <w:r w:rsidR="00451553">
        <w:t>r</w:t>
      </w:r>
      <w:r w:rsidRPr="00E44F3E">
        <w:t xml:space="preserve">esidual </w:t>
      </w:r>
      <w:r w:rsidR="00451553">
        <w:t>d</w:t>
      </w:r>
      <w:r w:rsidRPr="00E44F3E">
        <w:t>isease (MRD) positive</w:t>
      </w:r>
      <w:bookmarkEnd w:id="247"/>
      <w:bookmarkEnd w:id="248"/>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990"/>
        <w:gridCol w:w="466"/>
        <w:gridCol w:w="5623"/>
      </w:tblGrid>
      <w:tr w:rsidR="00997E07" w:rsidRPr="00E44F3E" w14:paraId="209E8330" w14:textId="77777777" w:rsidTr="003A2175">
        <w:trPr>
          <w:cantSplit/>
        </w:trPr>
        <w:tc>
          <w:tcPr>
            <w:tcW w:w="0" w:type="auto"/>
            <w:tcBorders>
              <w:top w:val="nil"/>
              <w:left w:val="nil"/>
              <w:bottom w:val="nil"/>
              <w:right w:val="nil"/>
            </w:tcBorders>
            <w:shd w:val="clear" w:color="auto" w:fill="C2D9BA"/>
            <w:hideMark/>
          </w:tcPr>
          <w:p w14:paraId="64368EC3" w14:textId="5DA7882D" w:rsidR="00303303" w:rsidRPr="00E44F3E" w:rsidRDefault="00303303">
            <w:pPr>
              <w:pStyle w:val="TableText"/>
              <w:ind w:right="113"/>
              <w:rPr>
                <w:b/>
              </w:rPr>
            </w:pPr>
            <w:r w:rsidRPr="00E44F3E">
              <w:rPr>
                <w:b/>
              </w:rPr>
              <w:t>Indication</w:t>
            </w:r>
            <w:r w:rsidR="00B1682D" w:rsidRPr="00E44F3E">
              <w:rPr>
                <w:b/>
              </w:rPr>
              <w:t xml:space="preserve"> </w:t>
            </w:r>
            <w:r w:rsidRPr="00E44F3E">
              <w:rPr>
                <w:b/>
              </w:rPr>
              <w:t>description</w:t>
            </w:r>
          </w:p>
        </w:tc>
        <w:tc>
          <w:tcPr>
            <w:tcW w:w="0" w:type="auto"/>
            <w:gridSpan w:val="2"/>
            <w:tcBorders>
              <w:top w:val="nil"/>
              <w:left w:val="nil"/>
              <w:bottom w:val="nil"/>
              <w:right w:val="nil"/>
            </w:tcBorders>
            <w:shd w:val="clear" w:color="auto" w:fill="C2D9BA"/>
            <w:hideMark/>
          </w:tcPr>
          <w:p w14:paraId="1C0FAE4D" w14:textId="09D9D624" w:rsidR="00303303" w:rsidRPr="00E44F3E" w:rsidRDefault="00303303">
            <w:pPr>
              <w:pStyle w:val="TableText"/>
            </w:pPr>
            <w:r w:rsidRPr="00E44F3E">
              <w:t xml:space="preserve">B-cell precursor </w:t>
            </w:r>
            <w:r w:rsidR="00977300" w:rsidRPr="00977300">
              <w:t xml:space="preserve">acute lymphoblastic leukaemia </w:t>
            </w:r>
            <w:r w:rsidR="00977300">
              <w:t>(</w:t>
            </w:r>
            <w:r w:rsidRPr="00E44F3E">
              <w:t>ALL</w:t>
            </w:r>
            <w:r w:rsidR="00977300">
              <w:t>)</w:t>
            </w:r>
            <w:r w:rsidRPr="00E44F3E">
              <w:t xml:space="preserve"> in first or later haematologic complete remission and with persistent or recurrent MRD ≥10</w:t>
            </w:r>
            <w:r w:rsidRPr="00E44F3E">
              <w:rPr>
                <w:vertAlign w:val="superscript"/>
              </w:rPr>
              <w:t>−3</w:t>
            </w:r>
            <w:r w:rsidRPr="00E44F3E">
              <w:t xml:space="preserve"> after a minimum of 3 blocks of intensive chemotherapy – bridge to allogeneic </w:t>
            </w:r>
            <w:r w:rsidR="0011385C" w:rsidRPr="0011385C">
              <w:t>haematopoietic</w:t>
            </w:r>
            <w:r w:rsidRPr="00E44F3E">
              <w:t xml:space="preserve"> stem cell transplant</w:t>
            </w:r>
            <w:r w:rsidR="00977300">
              <w:t xml:space="preserve"> (HSCT)</w:t>
            </w:r>
          </w:p>
        </w:tc>
      </w:tr>
      <w:tr w:rsidR="00997E07" w:rsidRPr="00E44F3E" w14:paraId="03DA1F82" w14:textId="77777777" w:rsidTr="003A2175">
        <w:trPr>
          <w:cantSplit/>
        </w:trPr>
        <w:tc>
          <w:tcPr>
            <w:tcW w:w="0" w:type="auto"/>
            <w:tcBorders>
              <w:top w:val="single" w:sz="4" w:space="0" w:color="C2D9BA"/>
              <w:left w:val="nil"/>
              <w:bottom w:val="single" w:sz="4" w:space="0" w:color="C2D9BA"/>
              <w:right w:val="nil"/>
            </w:tcBorders>
            <w:shd w:val="clear" w:color="auto" w:fill="E7F0E3"/>
            <w:hideMark/>
          </w:tcPr>
          <w:p w14:paraId="7C1B794A" w14:textId="77777777" w:rsidR="00303303" w:rsidRPr="00E44F3E" w:rsidRDefault="00303303">
            <w:pPr>
              <w:pStyle w:val="TableT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4508F635" w14:textId="77777777" w:rsidR="00303303" w:rsidRPr="00E44F3E" w:rsidRDefault="00303303">
            <w:pPr>
              <w:pStyle w:val="TableText"/>
            </w:pPr>
            <w:r w:rsidRPr="00E44F3E">
              <w:t>Blinatumomab</w:t>
            </w:r>
          </w:p>
        </w:tc>
      </w:tr>
      <w:tr w:rsidR="003D6E35" w:rsidRPr="00E44F3E" w14:paraId="322AAF1E" w14:textId="77777777" w:rsidTr="003A2175">
        <w:trPr>
          <w:cantSplit/>
        </w:trPr>
        <w:tc>
          <w:tcPr>
            <w:tcW w:w="0" w:type="auto"/>
            <w:tcBorders>
              <w:top w:val="single" w:sz="4" w:space="0" w:color="C2D9BA"/>
              <w:left w:val="nil"/>
              <w:bottom w:val="single" w:sz="4" w:space="0" w:color="C2D9BA"/>
              <w:right w:val="nil"/>
            </w:tcBorders>
            <w:hideMark/>
          </w:tcPr>
          <w:p w14:paraId="61F75FF1"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6A2896B6" w14:textId="65694D06" w:rsidR="00303303" w:rsidRPr="00E44F3E" w:rsidRDefault="00303303">
            <w:pPr>
              <w:pStyle w:val="TableText"/>
            </w:pPr>
            <w:r w:rsidRPr="00E44F3E">
              <w:t>Blinatumomab is a bispecific T</w:t>
            </w:r>
            <w:r w:rsidR="00451553">
              <w:t>-</w:t>
            </w:r>
            <w:r w:rsidRPr="00E44F3E">
              <w:t>cell engager (</w:t>
            </w:r>
            <w:proofErr w:type="spellStart"/>
            <w:r w:rsidRPr="00E44F3E">
              <w:t>BiTE</w:t>
            </w:r>
            <w:proofErr w:type="spellEnd"/>
            <w:r w:rsidRPr="00E44F3E">
              <w:rPr>
                <w:rFonts w:ascii="Symbol" w:eastAsia="Symbol" w:hAnsi="Symbol" w:cs="Symbol"/>
              </w:rPr>
              <w:t>â</w:t>
            </w:r>
            <w:r w:rsidRPr="00E44F3E">
              <w:t>) molecule that binds specifically to CD19 expressed on the surface of cells of B-lineage origin and CD3 expressed on the surface of T</w:t>
            </w:r>
            <w:r w:rsidR="00451553">
              <w:t>-</w:t>
            </w:r>
            <w:r w:rsidRPr="00E44F3E">
              <w:t>cells</w:t>
            </w:r>
            <w:r w:rsidR="0052443B">
              <w:t>.</w:t>
            </w:r>
          </w:p>
        </w:tc>
      </w:tr>
      <w:tr w:rsidR="003D6E35" w:rsidRPr="00E44F3E" w14:paraId="3C9C77D2" w14:textId="77777777" w:rsidTr="003A2175">
        <w:trPr>
          <w:cantSplit/>
        </w:trPr>
        <w:tc>
          <w:tcPr>
            <w:tcW w:w="0" w:type="auto"/>
            <w:tcBorders>
              <w:top w:val="single" w:sz="4" w:space="0" w:color="C2D9BA"/>
              <w:left w:val="nil"/>
              <w:bottom w:val="single" w:sz="4" w:space="0" w:color="C2D9BA"/>
              <w:right w:val="nil"/>
            </w:tcBorders>
            <w:hideMark/>
          </w:tcPr>
          <w:p w14:paraId="2A8CD410"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77B02C32" w14:textId="066BB749" w:rsidR="00303303" w:rsidRPr="00E44F3E" w:rsidRDefault="00303303">
            <w:pPr>
              <w:pStyle w:val="TableText"/>
            </w:pPr>
            <w:r w:rsidRPr="00E44F3E">
              <w:t>Curative</w:t>
            </w:r>
            <w:r w:rsidR="0052443B">
              <w:t>.</w:t>
            </w:r>
          </w:p>
        </w:tc>
      </w:tr>
      <w:tr w:rsidR="003D6E35" w:rsidRPr="00E44F3E" w14:paraId="7DFFBD2B" w14:textId="77777777" w:rsidTr="003A2175">
        <w:trPr>
          <w:cantSplit/>
        </w:trPr>
        <w:tc>
          <w:tcPr>
            <w:tcW w:w="0" w:type="auto"/>
            <w:tcBorders>
              <w:top w:val="single" w:sz="4" w:space="0" w:color="C2D9BA"/>
              <w:left w:val="nil"/>
              <w:bottom w:val="single" w:sz="4" w:space="0" w:color="C2D9BA"/>
              <w:right w:val="nil"/>
            </w:tcBorders>
            <w:hideMark/>
          </w:tcPr>
          <w:p w14:paraId="59AD7E4B" w14:textId="521349D0" w:rsidR="00303303" w:rsidRPr="00E44F3E" w:rsidRDefault="00303303">
            <w:pPr>
              <w:pStyle w:val="TableText"/>
              <w:ind w:right="113"/>
              <w:rPr>
                <w:b/>
              </w:rPr>
            </w:pPr>
            <w:r w:rsidRPr="00E44F3E">
              <w:rPr>
                <w:b/>
              </w:rPr>
              <w:t xml:space="preserve">Pharmac status </w:t>
            </w:r>
            <w:r w:rsidR="005B4C16">
              <w:rPr>
                <w:b/>
              </w:rPr>
              <w:t>(October 2024)</w:t>
            </w:r>
          </w:p>
        </w:tc>
        <w:tc>
          <w:tcPr>
            <w:tcW w:w="0" w:type="auto"/>
            <w:gridSpan w:val="2"/>
            <w:tcBorders>
              <w:top w:val="single" w:sz="4" w:space="0" w:color="C2D9BA"/>
              <w:left w:val="nil"/>
              <w:bottom w:val="single" w:sz="4" w:space="0" w:color="C2D9BA"/>
              <w:right w:val="nil"/>
            </w:tcBorders>
            <w:hideMark/>
          </w:tcPr>
          <w:p w14:paraId="5987AB18" w14:textId="77777777" w:rsidR="00303303" w:rsidRDefault="00437A24" w:rsidP="005B4C16">
            <w:pPr>
              <w:pStyle w:val="TableBullet"/>
            </w:pPr>
            <w:r>
              <w:t xml:space="preserve">Application received February 2024 </w:t>
            </w:r>
          </w:p>
          <w:p w14:paraId="1E3DBBC0" w14:textId="77777777" w:rsidR="005B4C16" w:rsidRDefault="005B4C16" w:rsidP="005B4C16">
            <w:pPr>
              <w:pStyle w:val="TableBullet"/>
            </w:pPr>
            <w:r>
              <w:t xml:space="preserve">Currently seeking clinical advice </w:t>
            </w:r>
          </w:p>
          <w:p w14:paraId="0672D270" w14:textId="443FA27C" w:rsidR="005B4C16" w:rsidRPr="000C7D25" w:rsidRDefault="005B4C16" w:rsidP="005B4C16">
            <w:pPr>
              <w:pStyle w:val="TableBullet"/>
              <w:rPr>
                <w:bCs/>
              </w:rPr>
            </w:pPr>
            <w:r w:rsidRPr="000C7D25">
              <w:rPr>
                <w:rStyle w:val="Hyperlink"/>
                <w:bCs/>
              </w:rPr>
              <w:t>connect.pharmac.govt.nz/apptracker/s/application-public/a10OZ000000e52b/p002022</w:t>
            </w:r>
          </w:p>
        </w:tc>
      </w:tr>
      <w:tr w:rsidR="00786E84" w:rsidRPr="00E44F3E" w14:paraId="4E85DBE4" w14:textId="77777777" w:rsidTr="003A2175">
        <w:trPr>
          <w:cantSplit/>
        </w:trPr>
        <w:tc>
          <w:tcPr>
            <w:tcW w:w="0" w:type="auto"/>
            <w:tcBorders>
              <w:top w:val="single" w:sz="4" w:space="0" w:color="C2D9BA"/>
              <w:left w:val="nil"/>
              <w:bottom w:val="single" w:sz="4" w:space="0" w:color="C2D9BA"/>
              <w:right w:val="nil"/>
            </w:tcBorders>
            <w:hideMark/>
          </w:tcPr>
          <w:p w14:paraId="57091A73" w14:textId="4F318B84"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13488320" w14:textId="44769D29" w:rsidR="00303303" w:rsidRPr="00E44F3E" w:rsidRDefault="00303303">
            <w:pPr>
              <w:pStyle w:val="TableText"/>
              <w:rPr>
                <w:vertAlign w:val="superscript"/>
              </w:rPr>
            </w:pPr>
            <w:r w:rsidRPr="00E44F3E">
              <w:t>A</w:t>
            </w:r>
            <w:r w:rsidRPr="00E44F3E">
              <w:rPr>
                <w:vertAlign w:val="superscript"/>
              </w:rPr>
              <w:t>PT</w:t>
            </w:r>
          </w:p>
        </w:tc>
        <w:tc>
          <w:tcPr>
            <w:tcW w:w="0" w:type="auto"/>
            <w:tcBorders>
              <w:top w:val="single" w:sz="4" w:space="0" w:color="C2D9BA"/>
              <w:left w:val="nil"/>
              <w:bottom w:val="single" w:sz="4" w:space="0" w:color="C2D9BA"/>
              <w:right w:val="nil"/>
            </w:tcBorders>
          </w:tcPr>
          <w:p w14:paraId="5FDB11D4" w14:textId="1577FF0B" w:rsidR="00303303" w:rsidRPr="00E44F3E" w:rsidRDefault="00303303" w:rsidP="00F064DD">
            <w:pPr>
              <w:pStyle w:val="TableBullet"/>
            </w:pPr>
            <w:r w:rsidRPr="00E44F3E">
              <w:t>Multicentre open-label, single-arm phase 2 study conducted at 46 centres in Europe and Russia.</w:t>
            </w:r>
          </w:p>
          <w:p w14:paraId="7247DC7C" w14:textId="4824702B" w:rsidR="00303303" w:rsidRPr="00E44F3E" w:rsidRDefault="00303303" w:rsidP="00F064DD">
            <w:pPr>
              <w:pStyle w:val="TableBullet"/>
            </w:pPr>
            <w:r w:rsidRPr="00E44F3E">
              <w:t>Kaplan-Meier estimate for relapse</w:t>
            </w:r>
            <w:r w:rsidR="00F57A5D">
              <w:t>-</w:t>
            </w:r>
            <w:r w:rsidRPr="00E44F3E">
              <w:t>free survival at 18 months was 54% (95% CI, 33%</w:t>
            </w:r>
            <w:r w:rsidR="00A41599">
              <w:t>–</w:t>
            </w:r>
            <w:r w:rsidRPr="00E44F3E">
              <w:t>70%), exceeding the pre</w:t>
            </w:r>
            <w:r w:rsidR="004D2423">
              <w:t>-</w:t>
            </w:r>
            <w:r w:rsidRPr="00E44F3E">
              <w:t xml:space="preserve">specified boundary of 28% and thereby meeting the key secondary end point. </w:t>
            </w:r>
          </w:p>
          <w:p w14:paraId="49E28585" w14:textId="77777777" w:rsidR="00303303" w:rsidRPr="00E44F3E" w:rsidRDefault="00303303" w:rsidP="00F064DD">
            <w:pPr>
              <w:pStyle w:val="TableBullet"/>
            </w:pPr>
            <w:r w:rsidRPr="00E44F3E">
              <w:t xml:space="preserve">Acute transient toxicity of concern was not noted. </w:t>
            </w:r>
          </w:p>
          <w:p w14:paraId="12291E8E" w14:textId="129ADCE8" w:rsidR="00303303" w:rsidRPr="00E44F3E" w:rsidRDefault="00303303" w:rsidP="00F064DD">
            <w:pPr>
              <w:pStyle w:val="TableBullet"/>
            </w:pPr>
            <w:r w:rsidRPr="00E44F3E">
              <w:t>Persistent post-transplant toxicities are to be expected</w:t>
            </w:r>
            <w:r w:rsidR="00A32C61">
              <w:t>;</w:t>
            </w:r>
            <w:r w:rsidRPr="00E44F3E">
              <w:t xml:space="preserve"> hence, A</w:t>
            </w:r>
            <w:r w:rsidRPr="00E44F3E">
              <w:rPr>
                <w:vertAlign w:val="superscript"/>
              </w:rPr>
              <w:t>PT</w:t>
            </w:r>
            <w:r w:rsidR="00A32C61" w:rsidRPr="00135084">
              <w:t>.</w:t>
            </w:r>
            <w:r w:rsidR="00F064DD">
              <w:t xml:space="preserve"> (PT = persistent</w:t>
            </w:r>
            <w:r w:rsidR="00F241D7">
              <w:t xml:space="preserve"> </w:t>
            </w:r>
            <w:r w:rsidR="00F241D7" w:rsidRPr="00F241D7">
              <w:t>toxicity</w:t>
            </w:r>
            <w:r w:rsidR="00F241D7">
              <w:t>.)</w:t>
            </w:r>
          </w:p>
        </w:tc>
      </w:tr>
      <w:tr w:rsidR="003D6E35" w:rsidRPr="00E44F3E" w14:paraId="680CEF71" w14:textId="77777777" w:rsidTr="003A2175">
        <w:trPr>
          <w:cantSplit/>
        </w:trPr>
        <w:tc>
          <w:tcPr>
            <w:tcW w:w="0" w:type="auto"/>
            <w:tcBorders>
              <w:top w:val="single" w:sz="4" w:space="0" w:color="C2D9BA"/>
              <w:left w:val="nil"/>
              <w:bottom w:val="single" w:sz="4" w:space="0" w:color="C2D9BA"/>
              <w:right w:val="nil"/>
            </w:tcBorders>
            <w:hideMark/>
          </w:tcPr>
          <w:p w14:paraId="00519D69" w14:textId="5A1977B0"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tcPr>
          <w:p w14:paraId="79D47EAF" w14:textId="363D4CB8" w:rsidR="00303303" w:rsidRPr="00E44F3E" w:rsidRDefault="00303303">
            <w:pPr>
              <w:pStyle w:val="TableText"/>
            </w:pPr>
            <w:r w:rsidRPr="00E44F3E">
              <w:t xml:space="preserve">Typically, in </w:t>
            </w:r>
            <w:r w:rsidR="00E6006E">
              <w:t>Aotearoa New </w:t>
            </w:r>
            <w:r w:rsidR="007C6B5B">
              <w:t>Zealand</w:t>
            </w:r>
            <w:r w:rsidRPr="00E44F3E">
              <w:t xml:space="preserve">, only one cycle of blinatumomab is administered as a bridge to allogeneic </w:t>
            </w:r>
            <w:r w:rsidR="005A0A0D">
              <w:t>HSCT</w:t>
            </w:r>
            <w:r w:rsidRPr="00E44F3E">
              <w:t>. Only funded via NPPA.</w:t>
            </w:r>
          </w:p>
        </w:tc>
      </w:tr>
      <w:tr w:rsidR="003D6E35" w:rsidRPr="00E44F3E" w14:paraId="3B7760ED" w14:textId="77777777" w:rsidTr="003A2175">
        <w:trPr>
          <w:cantSplit/>
        </w:trPr>
        <w:tc>
          <w:tcPr>
            <w:tcW w:w="0" w:type="auto"/>
            <w:tcBorders>
              <w:top w:val="single" w:sz="4" w:space="0" w:color="C2D9BA"/>
              <w:left w:val="nil"/>
              <w:bottom w:val="single" w:sz="4" w:space="0" w:color="C2D9BA"/>
              <w:right w:val="nil"/>
            </w:tcBorders>
            <w:hideMark/>
          </w:tcPr>
          <w:p w14:paraId="534AA33B"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hideMark/>
          </w:tcPr>
          <w:p w14:paraId="7164FED3" w14:textId="77777777" w:rsidR="00303303" w:rsidRPr="00E44F3E" w:rsidRDefault="00303303" w:rsidP="002950CD">
            <w:pPr>
              <w:pStyle w:val="TableBullet"/>
            </w:pPr>
            <w:r w:rsidRPr="00E44F3E">
              <w:t>This medicine is given by continuous intravenous infusion for 28 days.</w:t>
            </w:r>
          </w:p>
          <w:p w14:paraId="4A90D02D" w14:textId="77777777" w:rsidR="00303303" w:rsidRPr="00E44F3E" w:rsidRDefault="00303303" w:rsidP="002950CD">
            <w:pPr>
              <w:pStyle w:val="TableBullet"/>
            </w:pPr>
            <w:r w:rsidRPr="00E44F3E">
              <w:t>Central venous access device (CVAD) is required to administer this treatment.</w:t>
            </w:r>
          </w:p>
          <w:p w14:paraId="308F1B00" w14:textId="77777777" w:rsidR="00303303" w:rsidRPr="00E44F3E" w:rsidRDefault="00303303" w:rsidP="002950CD">
            <w:pPr>
              <w:pStyle w:val="TableBullet"/>
            </w:pPr>
            <w:r w:rsidRPr="00E44F3E">
              <w:t xml:space="preserve">Each cycle is administered once every 6 weeks for 28 days. </w:t>
            </w:r>
          </w:p>
          <w:p w14:paraId="7D0BA1DE" w14:textId="68B50F46" w:rsidR="00303303" w:rsidRPr="00E44F3E" w:rsidRDefault="00303303" w:rsidP="002950CD">
            <w:pPr>
              <w:pStyle w:val="TableBullet"/>
            </w:pPr>
            <w:r w:rsidRPr="00E44F3E">
              <w:t xml:space="preserve">Patients receive blinatumomab by continuous intravenous infusion for up to 4 cycles. First cycle as induction with up to three cycles as consolidation. Patients may proceed to allogeneic </w:t>
            </w:r>
            <w:r w:rsidR="004720BA" w:rsidRPr="004720BA">
              <w:t>HSCT</w:t>
            </w:r>
            <w:r w:rsidRPr="00E44F3E">
              <w:t xml:space="preserve"> after cycle 1.</w:t>
            </w:r>
          </w:p>
          <w:p w14:paraId="424DBDCE" w14:textId="0517E7DF" w:rsidR="00303303" w:rsidRPr="00E44F3E" w:rsidRDefault="00303303" w:rsidP="002950CD">
            <w:pPr>
              <w:pStyle w:val="TableBullet"/>
            </w:pPr>
            <w:r w:rsidRPr="00E44F3E">
              <w:t xml:space="preserve">Australian </w:t>
            </w:r>
            <w:r w:rsidR="00D43C30">
              <w:t>PBS</w:t>
            </w:r>
            <w:r w:rsidRPr="00E44F3E">
              <w:t xml:space="preserve"> funding is for up to four cycles in a lifetime.</w:t>
            </w:r>
          </w:p>
        </w:tc>
      </w:tr>
      <w:tr w:rsidR="003D6E35" w:rsidRPr="00E44F3E" w14:paraId="3563A9BD" w14:textId="77777777" w:rsidTr="003A2175">
        <w:trPr>
          <w:cantSplit/>
        </w:trPr>
        <w:tc>
          <w:tcPr>
            <w:tcW w:w="0" w:type="auto"/>
            <w:tcBorders>
              <w:top w:val="single" w:sz="4" w:space="0" w:color="C2D9BA"/>
              <w:left w:val="nil"/>
              <w:bottom w:val="single" w:sz="4" w:space="0" w:color="C2D9BA"/>
              <w:right w:val="nil"/>
            </w:tcBorders>
            <w:hideMark/>
          </w:tcPr>
          <w:p w14:paraId="6DCE3CCF"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tcPr>
          <w:p w14:paraId="1BFFD3CD" w14:textId="77777777" w:rsidR="00303303" w:rsidRPr="00E44F3E" w:rsidRDefault="00303303" w:rsidP="002950CD">
            <w:pPr>
              <w:pStyle w:val="TableBullet"/>
            </w:pPr>
            <w:r w:rsidRPr="00E44F3E">
              <w:t>Patients will receive a continuous IV infusion for 28 days.</w:t>
            </w:r>
          </w:p>
          <w:p w14:paraId="406D2A07" w14:textId="4EF7B0DC" w:rsidR="00303303" w:rsidRPr="00E44F3E" w:rsidRDefault="00303303" w:rsidP="002950CD">
            <w:pPr>
              <w:pStyle w:val="TableBullet"/>
            </w:pPr>
            <w:r w:rsidRPr="00E44F3E">
              <w:t>CVAD is required to administer this treatment.</w:t>
            </w:r>
          </w:p>
          <w:p w14:paraId="017A3AFF" w14:textId="4453EB24" w:rsidR="00303303" w:rsidRPr="00E44F3E" w:rsidRDefault="00303303" w:rsidP="002950CD">
            <w:pPr>
              <w:pStyle w:val="TableBullet"/>
            </w:pPr>
            <w:r w:rsidRPr="00E44F3E">
              <w:t>Patients may be required to stay in a hospital or clinic for up to</w:t>
            </w:r>
            <w:r w:rsidR="00526C97">
              <w:t xml:space="preserve"> </w:t>
            </w:r>
            <w:r w:rsidRPr="00E44F3E">
              <w:t>9 days of the first cycle and the first 2 days of the second cycle of blinatumomab.</w:t>
            </w:r>
          </w:p>
          <w:p w14:paraId="4935F0CC" w14:textId="4BAC4F33" w:rsidR="00303303" w:rsidRPr="00E44F3E" w:rsidRDefault="00303303" w:rsidP="002950CD">
            <w:pPr>
              <w:pStyle w:val="TableBullet"/>
            </w:pPr>
            <w:r w:rsidRPr="00E44F3E">
              <w:t>Patients who are MRD</w:t>
            </w:r>
            <w:r w:rsidR="00F63272">
              <w:t xml:space="preserve"> positive</w:t>
            </w:r>
            <w:r w:rsidRPr="00E44F3E">
              <w:t xml:space="preserve"> treated with blinatumomab may proceed to allogeneic </w:t>
            </w:r>
            <w:r w:rsidR="005A0A0D" w:rsidRPr="005A0A0D">
              <w:t>HSCT</w:t>
            </w:r>
            <w:r w:rsidRPr="00E44F3E">
              <w:t xml:space="preserve">. </w:t>
            </w:r>
          </w:p>
        </w:tc>
      </w:tr>
      <w:tr w:rsidR="003D6E35" w:rsidRPr="00E44F3E" w14:paraId="4BAC356D" w14:textId="77777777" w:rsidTr="003A2175">
        <w:trPr>
          <w:cantSplit/>
        </w:trPr>
        <w:tc>
          <w:tcPr>
            <w:tcW w:w="0" w:type="auto"/>
            <w:tcBorders>
              <w:top w:val="single" w:sz="4" w:space="0" w:color="C2D9BA"/>
              <w:left w:val="nil"/>
              <w:bottom w:val="single" w:sz="4" w:space="0" w:color="C2D9BA"/>
              <w:right w:val="nil"/>
            </w:tcBorders>
            <w:hideMark/>
          </w:tcPr>
          <w:p w14:paraId="4B737E9E" w14:textId="77777777" w:rsidR="00303303" w:rsidRPr="00E44F3E" w:rsidRDefault="00303303">
            <w:pPr>
              <w:pStyle w:val="TableText"/>
              <w:ind w:right="113"/>
              <w:rPr>
                <w:b/>
              </w:rPr>
            </w:pPr>
            <w:r w:rsidRPr="00E44F3E">
              <w:rPr>
                <w:b/>
              </w:rPr>
              <w:lastRenderedPageBreak/>
              <w:t>Health system resource considerations</w:t>
            </w:r>
          </w:p>
        </w:tc>
        <w:tc>
          <w:tcPr>
            <w:tcW w:w="0" w:type="auto"/>
            <w:gridSpan w:val="2"/>
            <w:tcBorders>
              <w:top w:val="single" w:sz="4" w:space="0" w:color="C2D9BA"/>
              <w:left w:val="nil"/>
              <w:bottom w:val="single" w:sz="4" w:space="0" w:color="C2D9BA"/>
              <w:right w:val="nil"/>
            </w:tcBorders>
            <w:hideMark/>
          </w:tcPr>
          <w:p w14:paraId="28CD4DC4" w14:textId="0D3F9BF0" w:rsidR="00303303" w:rsidRPr="00E44F3E" w:rsidRDefault="00303303" w:rsidP="002950CD">
            <w:pPr>
              <w:pStyle w:val="TableBullet"/>
            </w:pPr>
            <w:r w:rsidRPr="00E44F3E">
              <w:t>CVAD is required to administer this treatment.</w:t>
            </w:r>
          </w:p>
          <w:p w14:paraId="672D0DED" w14:textId="77777777" w:rsidR="00303303" w:rsidRPr="00E44F3E" w:rsidRDefault="00303303" w:rsidP="002950CD">
            <w:pPr>
              <w:pStyle w:val="TableBullet"/>
            </w:pPr>
            <w:r w:rsidRPr="00E44F3E">
              <w:t>Stability of blinatumomab – reconstituted IV bag or cassettes 96 hours at room temperature and 10 days refrigerated.</w:t>
            </w:r>
          </w:p>
          <w:p w14:paraId="467C2001" w14:textId="77777777" w:rsidR="00303303" w:rsidRPr="00E44F3E" w:rsidRDefault="00303303" w:rsidP="002950CD">
            <w:pPr>
              <w:pStyle w:val="TableBullet"/>
            </w:pPr>
            <w:r w:rsidRPr="00E44F3E">
              <w:t>Bags/cassettes need to be changed every 96 hours over 28 days.</w:t>
            </w:r>
          </w:p>
          <w:p w14:paraId="22E49737" w14:textId="77777777" w:rsidR="00303303" w:rsidRPr="00E44F3E" w:rsidRDefault="00303303" w:rsidP="002950CD">
            <w:pPr>
              <w:pStyle w:val="TableBullet"/>
            </w:pPr>
            <w:r w:rsidRPr="00E44F3E">
              <w:t>Risk of cytokine release syndrome and hypersensitivity reactions, especially in cycle 1. Pre-medication required, monitoring and management of reactions if they occur.</w:t>
            </w:r>
          </w:p>
          <w:p w14:paraId="10E36449" w14:textId="73451558" w:rsidR="00303303" w:rsidRPr="00E44F3E" w:rsidRDefault="00303303">
            <w:pPr>
              <w:pStyle w:val="TableBullet"/>
            </w:pPr>
            <w:r w:rsidRPr="00E44F3E">
              <w:t>Patients may be required to stay in a hospital or clinic for up to</w:t>
            </w:r>
            <w:r w:rsidR="00526C97">
              <w:t xml:space="preserve"> </w:t>
            </w:r>
            <w:r w:rsidRPr="00E44F3E">
              <w:t>9 days of the first cycle and the first 2 days of the second</w:t>
            </w:r>
            <w:r w:rsidR="001369C7">
              <w:t xml:space="preserve"> </w:t>
            </w:r>
            <w:r w:rsidRPr="00E44F3E">
              <w:t>cycle of blinatumomab.</w:t>
            </w:r>
          </w:p>
          <w:p w14:paraId="7E8B10DE" w14:textId="77777777" w:rsidR="00303303" w:rsidRPr="00E44F3E" w:rsidRDefault="00303303" w:rsidP="002950CD">
            <w:pPr>
              <w:pStyle w:val="TableBullet"/>
            </w:pPr>
            <w:r w:rsidRPr="00E44F3E">
              <w:t xml:space="preserve">Increased demand for laboratory services to monitor for treatment-related toxicities. </w:t>
            </w:r>
          </w:p>
          <w:p w14:paraId="38131860" w14:textId="3C50C1BD" w:rsidR="00303303" w:rsidRPr="00E44F3E" w:rsidRDefault="00303303" w:rsidP="002950CD">
            <w:pPr>
              <w:pStyle w:val="TableBullet"/>
            </w:pPr>
            <w:r w:rsidRPr="00E44F3E">
              <w:t>Potential for increased demand for supportive care and toxicity management (including health care professional</w:t>
            </w:r>
            <w:r w:rsidR="00C54A8F">
              <w:t>s’</w:t>
            </w:r>
            <w:r w:rsidRPr="00E44F3E">
              <w:t xml:space="preserve"> time and adjustment of pharmaceuticals).</w:t>
            </w:r>
          </w:p>
          <w:p w14:paraId="4F9ADAF0" w14:textId="77777777" w:rsidR="00303303" w:rsidRPr="00E44F3E" w:rsidRDefault="00303303" w:rsidP="002950CD">
            <w:pPr>
              <w:pStyle w:val="TableBullet"/>
            </w:pPr>
            <w:r w:rsidRPr="00E44F3E">
              <w:t>Additional follow-up appointments required.</w:t>
            </w:r>
          </w:p>
          <w:p w14:paraId="02CE0EA5" w14:textId="0AE3EED1" w:rsidR="00303303" w:rsidRPr="00E44F3E" w:rsidRDefault="00303303" w:rsidP="002950CD">
            <w:pPr>
              <w:pStyle w:val="TableBullet"/>
            </w:pPr>
            <w:r w:rsidRPr="00E44F3E">
              <w:t xml:space="preserve">Allogeneic </w:t>
            </w:r>
            <w:r w:rsidR="005A0A0D" w:rsidRPr="005A0A0D">
              <w:t>HSCT</w:t>
            </w:r>
            <w:r w:rsidR="005A0A0D">
              <w:t xml:space="preserve"> </w:t>
            </w:r>
            <w:r w:rsidRPr="00E44F3E">
              <w:t>for suitable patients</w:t>
            </w:r>
            <w:r w:rsidR="00C54A8F">
              <w:t>.</w:t>
            </w:r>
          </w:p>
          <w:p w14:paraId="3614812C" w14:textId="77777777" w:rsidR="00303303" w:rsidRPr="00E44F3E" w:rsidRDefault="00303303" w:rsidP="002950CD">
            <w:pPr>
              <w:pStyle w:val="TableBullet"/>
            </w:pPr>
            <w:r w:rsidRPr="00E44F3E">
              <w:t>Increased demand for laboratory services to monitor for disease response.</w:t>
            </w:r>
          </w:p>
        </w:tc>
      </w:tr>
    </w:tbl>
    <w:p w14:paraId="288A692C" w14:textId="42585C50" w:rsidR="00303303" w:rsidRPr="00E44F3E" w:rsidRDefault="00542C2D" w:rsidP="00542C2D">
      <w:pPr>
        <w:pStyle w:val="Note"/>
      </w:pPr>
      <w:r w:rsidRPr="00E44F3E">
        <w:t>*</w:t>
      </w:r>
      <w:r w:rsidRPr="00E44F3E">
        <w:tab/>
      </w:r>
      <w:r w:rsidR="00940840">
        <w:t>PT = p</w:t>
      </w:r>
      <w:r w:rsidRPr="00E44F3E">
        <w:t>ersistent toxicity.</w:t>
      </w:r>
    </w:p>
    <w:p w14:paraId="2BA0CF50" w14:textId="77777777" w:rsidR="0081593D" w:rsidRPr="00E44F3E" w:rsidRDefault="0081593D" w:rsidP="0081593D">
      <w:bookmarkStart w:id="249" w:name="_Toc175241608"/>
    </w:p>
    <w:p w14:paraId="2A6B656B" w14:textId="63152BE6" w:rsidR="00303303" w:rsidRPr="00E44F3E" w:rsidRDefault="00303303" w:rsidP="00FB3898">
      <w:pPr>
        <w:pStyle w:val="Table"/>
        <w:pageBreakBefore/>
      </w:pPr>
      <w:bookmarkStart w:id="250" w:name="_Ref177735645"/>
      <w:bookmarkStart w:id="251" w:name="_Toc180142304"/>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18</w:t>
      </w:r>
      <w:r w:rsidR="00D97615">
        <w:rPr>
          <w:noProof/>
        </w:rPr>
        <w:fldChar w:fldCharType="end"/>
      </w:r>
      <w:bookmarkEnd w:id="250"/>
      <w:r w:rsidR="001816EC">
        <w:t>:</w:t>
      </w:r>
      <w:r w:rsidRPr="00E44F3E">
        <w:t xml:space="preserve"> Blinatumomab for acute lymphoblastic leukaemia relapsed or refractory – induction and consolidation</w:t>
      </w:r>
      <w:bookmarkEnd w:id="249"/>
      <w:bookmarkEnd w:id="251"/>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2678"/>
        <w:gridCol w:w="368"/>
        <w:gridCol w:w="5033"/>
      </w:tblGrid>
      <w:tr w:rsidR="00303303" w:rsidRPr="00E44F3E" w14:paraId="7D78F2EA" w14:textId="77777777" w:rsidTr="0081593D">
        <w:tc>
          <w:tcPr>
            <w:tcW w:w="0" w:type="auto"/>
            <w:tcBorders>
              <w:top w:val="nil"/>
              <w:left w:val="nil"/>
              <w:bottom w:val="nil"/>
              <w:right w:val="nil"/>
            </w:tcBorders>
            <w:shd w:val="clear" w:color="auto" w:fill="C2D9BA"/>
            <w:hideMark/>
          </w:tcPr>
          <w:p w14:paraId="751E8A1E" w14:textId="0E099131" w:rsidR="00303303" w:rsidRPr="00E44F3E" w:rsidRDefault="00303303" w:rsidP="0081593D">
            <w:pPr>
              <w:pStyle w:val="TableText"/>
              <w:keepNext/>
              <w:ind w:right="113"/>
              <w:rPr>
                <w:b/>
              </w:rPr>
            </w:pPr>
            <w:r w:rsidRPr="00E44F3E">
              <w:rPr>
                <w:b/>
              </w:rPr>
              <w:t>Indication</w:t>
            </w:r>
            <w:r w:rsidR="00B1682D" w:rsidRPr="00E44F3E">
              <w:rPr>
                <w:b/>
              </w:rPr>
              <w:t xml:space="preserve"> </w:t>
            </w:r>
            <w:r w:rsidRPr="00E44F3E">
              <w:rPr>
                <w:b/>
              </w:rPr>
              <w:t>description</w:t>
            </w:r>
          </w:p>
        </w:tc>
        <w:tc>
          <w:tcPr>
            <w:tcW w:w="0" w:type="auto"/>
            <w:gridSpan w:val="2"/>
            <w:tcBorders>
              <w:top w:val="nil"/>
              <w:left w:val="nil"/>
              <w:bottom w:val="nil"/>
              <w:right w:val="nil"/>
            </w:tcBorders>
            <w:shd w:val="clear" w:color="auto" w:fill="C2D9BA"/>
            <w:hideMark/>
          </w:tcPr>
          <w:p w14:paraId="2FA58F58" w14:textId="77777777" w:rsidR="00303303" w:rsidRPr="00E44F3E" w:rsidRDefault="00303303" w:rsidP="0081593D">
            <w:pPr>
              <w:pStyle w:val="TableText"/>
              <w:keepNext/>
            </w:pPr>
            <w:r w:rsidRPr="00E44F3E">
              <w:t>Ph-negative CD19-positive B-cell precursor acute lymphoblastic leukaemia relapsed or refractory – induction and consolidation</w:t>
            </w:r>
          </w:p>
        </w:tc>
      </w:tr>
      <w:tr w:rsidR="00303303" w:rsidRPr="00E44F3E" w14:paraId="2E55489F" w14:textId="77777777" w:rsidTr="0081593D">
        <w:tc>
          <w:tcPr>
            <w:tcW w:w="0" w:type="auto"/>
            <w:tcBorders>
              <w:top w:val="single" w:sz="4" w:space="0" w:color="C2D9BA"/>
              <w:left w:val="nil"/>
              <w:bottom w:val="single" w:sz="4" w:space="0" w:color="C2D9BA"/>
              <w:right w:val="nil"/>
            </w:tcBorders>
            <w:shd w:val="clear" w:color="auto" w:fill="E7F0E3"/>
            <w:hideMark/>
          </w:tcPr>
          <w:p w14:paraId="240BF3F2" w14:textId="77777777" w:rsidR="00303303" w:rsidRPr="00E44F3E" w:rsidRDefault="00303303" w:rsidP="0081593D">
            <w:pPr>
              <w:pStyle w:val="TableText"/>
              <w:keepN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799A44FB" w14:textId="77777777" w:rsidR="00303303" w:rsidRPr="00E44F3E" w:rsidRDefault="00303303" w:rsidP="0081593D">
            <w:pPr>
              <w:pStyle w:val="TableText"/>
              <w:keepNext/>
            </w:pPr>
            <w:r w:rsidRPr="00E44F3E">
              <w:t>Blinatumomab</w:t>
            </w:r>
          </w:p>
        </w:tc>
      </w:tr>
      <w:tr w:rsidR="00303303" w:rsidRPr="00E44F3E" w14:paraId="78B25697" w14:textId="77777777" w:rsidTr="0081593D">
        <w:tc>
          <w:tcPr>
            <w:tcW w:w="0" w:type="auto"/>
            <w:tcBorders>
              <w:top w:val="single" w:sz="4" w:space="0" w:color="C2D9BA"/>
              <w:left w:val="nil"/>
              <w:bottom w:val="single" w:sz="4" w:space="0" w:color="C2D9BA"/>
              <w:right w:val="nil"/>
            </w:tcBorders>
            <w:hideMark/>
          </w:tcPr>
          <w:p w14:paraId="18CFC3EC"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759BE523" w14:textId="14074060" w:rsidR="00303303" w:rsidRPr="00E44F3E" w:rsidRDefault="00303303">
            <w:pPr>
              <w:pStyle w:val="TableText"/>
            </w:pPr>
            <w:r w:rsidRPr="00E44F3E">
              <w:t>Blinatumomab is a bispecific T</w:t>
            </w:r>
            <w:r w:rsidR="00451553">
              <w:t>-</w:t>
            </w:r>
            <w:r w:rsidRPr="00E44F3E">
              <w:t>cell engager (</w:t>
            </w:r>
            <w:proofErr w:type="spellStart"/>
            <w:r w:rsidRPr="00E44F3E">
              <w:t>BiTE</w:t>
            </w:r>
            <w:proofErr w:type="spellEnd"/>
            <w:r w:rsidRPr="00E44F3E">
              <w:rPr>
                <w:rFonts w:ascii="Symbol" w:eastAsia="Symbol" w:hAnsi="Symbol" w:cs="Symbol"/>
              </w:rPr>
              <w:t>â</w:t>
            </w:r>
            <w:r w:rsidRPr="00E44F3E">
              <w:t>) molecule that binds specifically to CD19 expressed on the surface of cells of B</w:t>
            </w:r>
            <w:r w:rsidR="00BC4AE5">
              <w:noBreakHyphen/>
            </w:r>
            <w:r w:rsidRPr="00E44F3E">
              <w:t>lineage origin and CD3 expressed on the surface of T</w:t>
            </w:r>
            <w:r w:rsidR="00451553">
              <w:t>-</w:t>
            </w:r>
            <w:r w:rsidRPr="00E44F3E">
              <w:t>cells.</w:t>
            </w:r>
          </w:p>
        </w:tc>
      </w:tr>
      <w:tr w:rsidR="00303303" w:rsidRPr="00E44F3E" w14:paraId="6F51687D" w14:textId="77777777" w:rsidTr="0081593D">
        <w:tc>
          <w:tcPr>
            <w:tcW w:w="0" w:type="auto"/>
            <w:tcBorders>
              <w:top w:val="single" w:sz="4" w:space="0" w:color="C2D9BA"/>
              <w:left w:val="nil"/>
              <w:bottom w:val="single" w:sz="4" w:space="0" w:color="C2D9BA"/>
              <w:right w:val="nil"/>
            </w:tcBorders>
            <w:hideMark/>
          </w:tcPr>
          <w:p w14:paraId="6CB0C7D4"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54EEFC49" w14:textId="753D6675" w:rsidR="00303303" w:rsidRPr="00E44F3E" w:rsidRDefault="00303303">
            <w:pPr>
              <w:pStyle w:val="TableText"/>
            </w:pPr>
            <w:r w:rsidRPr="00E44F3E">
              <w:t xml:space="preserve">To achieve a complete response and remission that may allow suitable patients to proceed to allogeneic </w:t>
            </w:r>
            <w:r w:rsidR="00F035C0" w:rsidRPr="00F035C0">
              <w:t xml:space="preserve">haematopoietic </w:t>
            </w:r>
            <w:r w:rsidRPr="00E44F3E">
              <w:t>stem cell transplant (HSCT). To improve overall survival.</w:t>
            </w:r>
          </w:p>
        </w:tc>
      </w:tr>
      <w:tr w:rsidR="00303303" w:rsidRPr="00E44F3E" w14:paraId="19066B1B" w14:textId="77777777" w:rsidTr="0081593D">
        <w:tc>
          <w:tcPr>
            <w:tcW w:w="0" w:type="auto"/>
            <w:tcBorders>
              <w:top w:val="single" w:sz="4" w:space="0" w:color="C2D9BA"/>
              <w:left w:val="nil"/>
              <w:bottom w:val="single" w:sz="4" w:space="0" w:color="C2D9BA"/>
              <w:right w:val="nil"/>
            </w:tcBorders>
            <w:hideMark/>
          </w:tcPr>
          <w:p w14:paraId="212279CD" w14:textId="3C6484DB" w:rsidR="00303303" w:rsidRPr="00E44F3E" w:rsidRDefault="00303303">
            <w:pPr>
              <w:pStyle w:val="TableText"/>
              <w:ind w:right="113"/>
              <w:rPr>
                <w:b/>
              </w:rPr>
            </w:pPr>
            <w:r w:rsidRPr="00E44F3E">
              <w:rPr>
                <w:b/>
              </w:rPr>
              <w:t xml:space="preserve">Pharmac status </w:t>
            </w:r>
            <w:r w:rsidR="000C7D25">
              <w:rPr>
                <w:b/>
              </w:rPr>
              <w:t>(October 2024)</w:t>
            </w:r>
          </w:p>
        </w:tc>
        <w:tc>
          <w:tcPr>
            <w:tcW w:w="0" w:type="auto"/>
            <w:gridSpan w:val="2"/>
            <w:tcBorders>
              <w:top w:val="single" w:sz="4" w:space="0" w:color="C2D9BA"/>
              <w:left w:val="nil"/>
              <w:bottom w:val="single" w:sz="4" w:space="0" w:color="C2D9BA"/>
              <w:right w:val="nil"/>
            </w:tcBorders>
            <w:hideMark/>
          </w:tcPr>
          <w:p w14:paraId="2A339C78" w14:textId="0B352822" w:rsidR="00303303" w:rsidRPr="00E44F3E" w:rsidRDefault="00303303">
            <w:pPr>
              <w:pStyle w:val="TableText"/>
            </w:pPr>
            <w:r w:rsidRPr="00E44F3E">
              <w:t xml:space="preserve">No application received for this indication. </w:t>
            </w:r>
          </w:p>
        </w:tc>
      </w:tr>
      <w:tr w:rsidR="00303303" w:rsidRPr="00E44F3E" w14:paraId="75F12B50" w14:textId="77777777" w:rsidTr="0081593D">
        <w:tc>
          <w:tcPr>
            <w:tcW w:w="0" w:type="auto"/>
            <w:tcBorders>
              <w:top w:val="single" w:sz="4" w:space="0" w:color="C2D9BA"/>
              <w:left w:val="nil"/>
              <w:bottom w:val="single" w:sz="4" w:space="0" w:color="C2D9BA"/>
              <w:right w:val="nil"/>
            </w:tcBorders>
            <w:hideMark/>
          </w:tcPr>
          <w:p w14:paraId="2647B789" w14:textId="7806BA1A"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2858DC9C" w14:textId="77777777" w:rsidR="00303303" w:rsidRPr="00E44F3E" w:rsidRDefault="00303303">
            <w:pPr>
              <w:pStyle w:val="TableText"/>
            </w:pPr>
            <w:r w:rsidRPr="00E44F3E">
              <w:t xml:space="preserve">5 </w:t>
            </w:r>
          </w:p>
        </w:tc>
        <w:tc>
          <w:tcPr>
            <w:tcW w:w="0" w:type="auto"/>
            <w:tcBorders>
              <w:top w:val="single" w:sz="4" w:space="0" w:color="C2D9BA"/>
              <w:left w:val="nil"/>
              <w:bottom w:val="single" w:sz="4" w:space="0" w:color="C2D9BA"/>
              <w:right w:val="nil"/>
            </w:tcBorders>
          </w:tcPr>
          <w:p w14:paraId="74141E57" w14:textId="77777777" w:rsidR="00303303" w:rsidRPr="00E44F3E" w:rsidRDefault="00303303">
            <w:pPr>
              <w:pStyle w:val="TableText"/>
            </w:pPr>
            <w:r w:rsidRPr="00E44F3E">
              <w:t>Compared with standard-of-care chemotherapy:</w:t>
            </w:r>
          </w:p>
          <w:p w14:paraId="42DCEF5C" w14:textId="77777777" w:rsidR="00303303" w:rsidRPr="00E44F3E" w:rsidRDefault="00303303" w:rsidP="00135084">
            <w:pPr>
              <w:pStyle w:val="TableBullet"/>
            </w:pPr>
            <w:r w:rsidRPr="00E44F3E">
              <w:t>Gain in median overall survival of 3.7 months.</w:t>
            </w:r>
          </w:p>
          <w:p w14:paraId="30D76AB9" w14:textId="77777777" w:rsidR="00303303" w:rsidRPr="00E44F3E" w:rsidRDefault="00303303" w:rsidP="00135084">
            <w:pPr>
              <w:pStyle w:val="TableBullet"/>
            </w:pPr>
            <w:r w:rsidRPr="00E44F3E">
              <w:t>Toxicity results did not contribute to the score.</w:t>
            </w:r>
          </w:p>
          <w:p w14:paraId="53260DED" w14:textId="77777777" w:rsidR="00303303" w:rsidRPr="00E44F3E" w:rsidRDefault="00303303" w:rsidP="00135084">
            <w:pPr>
              <w:pStyle w:val="TableBullet"/>
            </w:pPr>
            <w:r w:rsidRPr="00E44F3E">
              <w:t>Benefit in quality of life was observed.</w:t>
            </w:r>
          </w:p>
        </w:tc>
      </w:tr>
      <w:tr w:rsidR="00303303" w:rsidRPr="00E44F3E" w14:paraId="26B9252F" w14:textId="77777777" w:rsidTr="0081593D">
        <w:tc>
          <w:tcPr>
            <w:tcW w:w="0" w:type="auto"/>
            <w:tcBorders>
              <w:top w:val="single" w:sz="4" w:space="0" w:color="C2D9BA"/>
              <w:left w:val="nil"/>
              <w:bottom w:val="single" w:sz="4" w:space="0" w:color="C2D9BA"/>
              <w:right w:val="nil"/>
            </w:tcBorders>
            <w:hideMark/>
          </w:tcPr>
          <w:p w14:paraId="4017A3AF" w14:textId="351E76D3"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65EF41B8" w14:textId="4EE97F69" w:rsidR="00303303" w:rsidRPr="00E44F3E" w:rsidRDefault="00303303">
            <w:pPr>
              <w:pStyle w:val="TableText"/>
            </w:pPr>
            <w:r w:rsidRPr="00E44F3E">
              <w:t xml:space="preserve">Standard salvage chemotherapy may be used for relapsed refractory acute lymphoblastic leukaemia. The duration of remission, if achieved at all, is typically short. If a sufficiently long remission is induced a few patients may be able to proceed to allogeneic </w:t>
            </w:r>
            <w:r w:rsidR="005A0A0D" w:rsidRPr="005A0A0D">
              <w:t>HSCT</w:t>
            </w:r>
            <w:r w:rsidRPr="00E44F3E">
              <w:t xml:space="preserve">. </w:t>
            </w:r>
          </w:p>
        </w:tc>
      </w:tr>
      <w:tr w:rsidR="00303303" w:rsidRPr="00E44F3E" w14:paraId="3A6DA306" w14:textId="77777777" w:rsidTr="0081593D">
        <w:tc>
          <w:tcPr>
            <w:tcW w:w="0" w:type="auto"/>
            <w:tcBorders>
              <w:top w:val="single" w:sz="4" w:space="0" w:color="C2D9BA"/>
              <w:left w:val="nil"/>
              <w:bottom w:val="single" w:sz="4" w:space="0" w:color="C2D9BA"/>
              <w:right w:val="nil"/>
            </w:tcBorders>
            <w:hideMark/>
          </w:tcPr>
          <w:p w14:paraId="27D440C9"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hideMark/>
          </w:tcPr>
          <w:p w14:paraId="14C62827" w14:textId="77777777" w:rsidR="00303303" w:rsidRPr="00E44F3E" w:rsidRDefault="00303303" w:rsidP="002950CD">
            <w:pPr>
              <w:pStyle w:val="TableBullet"/>
            </w:pPr>
            <w:r w:rsidRPr="00E44F3E">
              <w:t>This medicine is given by continuous intravenous infusion.</w:t>
            </w:r>
          </w:p>
          <w:p w14:paraId="10FF1E70" w14:textId="77777777" w:rsidR="00303303" w:rsidRPr="00E44F3E" w:rsidRDefault="00303303" w:rsidP="002950CD">
            <w:pPr>
              <w:pStyle w:val="TableBullet"/>
            </w:pPr>
            <w:r w:rsidRPr="00E44F3E">
              <w:t>Central venous access device (CVAD) is required to administer this treatment.</w:t>
            </w:r>
          </w:p>
          <w:p w14:paraId="263F5FFE" w14:textId="77777777" w:rsidR="00303303" w:rsidRPr="00E44F3E" w:rsidRDefault="00303303" w:rsidP="002950CD">
            <w:pPr>
              <w:pStyle w:val="TableBullet"/>
            </w:pPr>
            <w:r w:rsidRPr="00E44F3E">
              <w:t xml:space="preserve">Each cycle is administered once every 6 weeks for 28 days. </w:t>
            </w:r>
          </w:p>
          <w:p w14:paraId="68525AAE" w14:textId="77777777" w:rsidR="00303303" w:rsidRPr="00E44F3E" w:rsidRDefault="00303303" w:rsidP="002950CD">
            <w:pPr>
              <w:pStyle w:val="TableBullet"/>
            </w:pPr>
            <w:r w:rsidRPr="00E44F3E">
              <w:t>Given as up to two cycles of induction therapy followed by up to three cycles of consolidation therapy if in morphologic remission (≤5% bone marrow blasts).</w:t>
            </w:r>
          </w:p>
        </w:tc>
      </w:tr>
      <w:tr w:rsidR="00303303" w:rsidRPr="00E44F3E" w14:paraId="207F955A" w14:textId="77777777" w:rsidTr="0081593D">
        <w:tc>
          <w:tcPr>
            <w:tcW w:w="0" w:type="auto"/>
            <w:tcBorders>
              <w:top w:val="single" w:sz="4" w:space="0" w:color="C2D9BA"/>
              <w:left w:val="nil"/>
              <w:bottom w:val="single" w:sz="4" w:space="0" w:color="C2D9BA"/>
              <w:right w:val="nil"/>
            </w:tcBorders>
            <w:hideMark/>
          </w:tcPr>
          <w:p w14:paraId="1B13E08B"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tcPr>
          <w:p w14:paraId="6499F349" w14:textId="77777777" w:rsidR="00303303" w:rsidRPr="00E44F3E" w:rsidRDefault="00303303" w:rsidP="002950CD">
            <w:pPr>
              <w:pStyle w:val="TableBullet"/>
            </w:pPr>
            <w:r w:rsidRPr="00E44F3E">
              <w:t>Patients will receive a continuous IV infusion for 28 days.</w:t>
            </w:r>
          </w:p>
          <w:p w14:paraId="0117199B" w14:textId="4F3445E7" w:rsidR="00303303" w:rsidRPr="00E44F3E" w:rsidRDefault="00303303" w:rsidP="002950CD">
            <w:pPr>
              <w:pStyle w:val="TableBullet"/>
            </w:pPr>
            <w:r w:rsidRPr="00E44F3E">
              <w:t>CVAD is required to administer this treatment.</w:t>
            </w:r>
          </w:p>
          <w:p w14:paraId="5AA79A15" w14:textId="357E4C64" w:rsidR="00303303" w:rsidRPr="00E44F3E" w:rsidRDefault="00303303" w:rsidP="002950CD">
            <w:pPr>
              <w:pStyle w:val="TableBullet"/>
            </w:pPr>
            <w:r w:rsidRPr="00E44F3E">
              <w:t>Patients may be required to stay in a hospital or clinic for up to</w:t>
            </w:r>
            <w:r w:rsidR="00526C97">
              <w:t xml:space="preserve"> </w:t>
            </w:r>
            <w:r w:rsidRPr="00E44F3E">
              <w:t>9 days of the first cycle and the first 2 days of the second cycle of blinatumomab.</w:t>
            </w:r>
          </w:p>
          <w:p w14:paraId="6ACEF450" w14:textId="04A4B68D" w:rsidR="00303303" w:rsidRPr="00E44F3E" w:rsidRDefault="00303303" w:rsidP="002950CD">
            <w:pPr>
              <w:pStyle w:val="TableBullet"/>
            </w:pPr>
            <w:r w:rsidRPr="00E44F3E">
              <w:t xml:space="preserve">Patients who are treated with blinatumomab may proceed to allogeneic </w:t>
            </w:r>
            <w:r w:rsidR="005C2A09">
              <w:t>HSCT</w:t>
            </w:r>
            <w:r w:rsidRPr="00E44F3E">
              <w:t xml:space="preserve">. </w:t>
            </w:r>
          </w:p>
        </w:tc>
      </w:tr>
      <w:tr w:rsidR="00303303" w:rsidRPr="00E44F3E" w14:paraId="0FA42541" w14:textId="77777777" w:rsidTr="0081593D">
        <w:tc>
          <w:tcPr>
            <w:tcW w:w="0" w:type="auto"/>
            <w:tcBorders>
              <w:top w:val="single" w:sz="4" w:space="0" w:color="C2D9BA"/>
              <w:left w:val="nil"/>
              <w:bottom w:val="single" w:sz="4" w:space="0" w:color="C2D9BA"/>
              <w:right w:val="nil"/>
            </w:tcBorders>
            <w:hideMark/>
          </w:tcPr>
          <w:p w14:paraId="599173F0" w14:textId="77777777" w:rsidR="00303303" w:rsidRPr="00E44F3E" w:rsidRDefault="00303303">
            <w:pPr>
              <w:pStyle w:val="TableText"/>
              <w:ind w:right="113"/>
              <w:rPr>
                <w:b/>
              </w:rPr>
            </w:pPr>
            <w:r w:rsidRPr="00E44F3E">
              <w:rPr>
                <w:b/>
              </w:rPr>
              <w:t>Health system resource considerations</w:t>
            </w:r>
          </w:p>
        </w:tc>
        <w:tc>
          <w:tcPr>
            <w:tcW w:w="0" w:type="auto"/>
            <w:gridSpan w:val="2"/>
            <w:tcBorders>
              <w:top w:val="single" w:sz="4" w:space="0" w:color="C2D9BA"/>
              <w:left w:val="nil"/>
              <w:bottom w:val="single" w:sz="4" w:space="0" w:color="C2D9BA"/>
              <w:right w:val="nil"/>
            </w:tcBorders>
          </w:tcPr>
          <w:p w14:paraId="3C199AA6" w14:textId="07131DC3" w:rsidR="00303303" w:rsidRPr="00E44F3E" w:rsidRDefault="00303303" w:rsidP="002950CD">
            <w:pPr>
              <w:pStyle w:val="TableBullet"/>
            </w:pPr>
            <w:r w:rsidRPr="00E44F3E">
              <w:t>CVAD is required to administer this treatment.</w:t>
            </w:r>
          </w:p>
          <w:p w14:paraId="3D4EB1B0" w14:textId="77777777" w:rsidR="00303303" w:rsidRPr="00E44F3E" w:rsidRDefault="00303303" w:rsidP="002950CD">
            <w:pPr>
              <w:pStyle w:val="TableBullet"/>
            </w:pPr>
            <w:r w:rsidRPr="00E44F3E">
              <w:t>Stability – reconstituted IV bag or cassettes 96 hours at room temperature and 10 days refrigerated.</w:t>
            </w:r>
          </w:p>
          <w:p w14:paraId="0F038F8C" w14:textId="77777777" w:rsidR="00303303" w:rsidRPr="00E44F3E" w:rsidRDefault="00303303" w:rsidP="002950CD">
            <w:pPr>
              <w:pStyle w:val="TableBullet"/>
            </w:pPr>
            <w:r w:rsidRPr="00E44F3E">
              <w:t>Bags/cassettes need to be changed every 96 hours over 28 days.</w:t>
            </w:r>
          </w:p>
          <w:p w14:paraId="16A6A2D6" w14:textId="77777777" w:rsidR="00303303" w:rsidRPr="00E44F3E" w:rsidRDefault="00303303" w:rsidP="002950CD">
            <w:pPr>
              <w:pStyle w:val="TableBullet"/>
            </w:pPr>
            <w:r w:rsidRPr="00E44F3E">
              <w:t>Risk of cytokine release syndrome and hypersensitivity reactions, especially in cycle 1. Pre-medication required, monitoring and management of reactions if they occur.</w:t>
            </w:r>
          </w:p>
          <w:p w14:paraId="3951D656" w14:textId="799583AA" w:rsidR="00303303" w:rsidRPr="00E44F3E" w:rsidRDefault="00303303">
            <w:pPr>
              <w:pStyle w:val="TableBullet"/>
            </w:pPr>
            <w:r w:rsidRPr="00E44F3E">
              <w:t>Patients may be required to stay in a hospital or clinic for up to</w:t>
            </w:r>
            <w:r w:rsidR="00526C97">
              <w:t xml:space="preserve"> </w:t>
            </w:r>
            <w:r w:rsidRPr="00E44F3E">
              <w:t>9 days of the first cycle and the first 2 days of the second</w:t>
            </w:r>
            <w:r w:rsidR="00381B9D">
              <w:t xml:space="preserve"> </w:t>
            </w:r>
            <w:r w:rsidRPr="00E44F3E">
              <w:t>cycle of blinatumomab.</w:t>
            </w:r>
          </w:p>
          <w:p w14:paraId="1398734B" w14:textId="77777777" w:rsidR="00303303" w:rsidRPr="00E44F3E" w:rsidRDefault="00303303" w:rsidP="002950CD">
            <w:pPr>
              <w:pStyle w:val="TableBullet"/>
            </w:pPr>
            <w:r w:rsidRPr="00E44F3E">
              <w:lastRenderedPageBreak/>
              <w:t>Increased demand for laboratory services to monitor for treatment-related toxicities.</w:t>
            </w:r>
          </w:p>
          <w:p w14:paraId="5A8BB3C0" w14:textId="4336BF5F" w:rsidR="00303303" w:rsidRPr="00E44F3E" w:rsidRDefault="00303303" w:rsidP="002950CD">
            <w:pPr>
              <w:pStyle w:val="TableBullet"/>
            </w:pPr>
            <w:r w:rsidRPr="00E44F3E">
              <w:t>Potential for increased demand for supportive care and toxicity management (including health care professional</w:t>
            </w:r>
            <w:r w:rsidR="00C54A8F">
              <w:t>s’</w:t>
            </w:r>
            <w:r w:rsidRPr="00E44F3E">
              <w:t xml:space="preserve"> time and adjustment of pharmaceuticals).</w:t>
            </w:r>
          </w:p>
          <w:p w14:paraId="3C7BACBC" w14:textId="77777777" w:rsidR="00303303" w:rsidRPr="00E44F3E" w:rsidRDefault="00303303" w:rsidP="002950CD">
            <w:pPr>
              <w:pStyle w:val="TableBullet"/>
            </w:pPr>
            <w:r w:rsidRPr="00E44F3E">
              <w:t>Additional follow-up appointments required.</w:t>
            </w:r>
          </w:p>
          <w:p w14:paraId="6F9E75EC" w14:textId="2D6D69C3" w:rsidR="00303303" w:rsidRPr="00E44F3E" w:rsidRDefault="00303303" w:rsidP="002950CD">
            <w:pPr>
              <w:pStyle w:val="TableBullet"/>
            </w:pPr>
            <w:r w:rsidRPr="00E44F3E">
              <w:t xml:space="preserve">Allogeneic </w:t>
            </w:r>
            <w:r w:rsidR="005A0A0D" w:rsidRPr="005A0A0D">
              <w:t>HSCT</w:t>
            </w:r>
            <w:r w:rsidR="005A0A0D">
              <w:t xml:space="preserve"> </w:t>
            </w:r>
            <w:r w:rsidRPr="00E44F3E">
              <w:t>for suitable patients.</w:t>
            </w:r>
          </w:p>
          <w:p w14:paraId="2D1EBF78" w14:textId="77777777" w:rsidR="00303303" w:rsidRPr="00E44F3E" w:rsidRDefault="00303303" w:rsidP="002950CD">
            <w:pPr>
              <w:pStyle w:val="TableBullet"/>
            </w:pPr>
            <w:r w:rsidRPr="00E44F3E">
              <w:t>Increased demand for laboratory services to monitor for disease response.</w:t>
            </w:r>
          </w:p>
        </w:tc>
      </w:tr>
    </w:tbl>
    <w:p w14:paraId="6F75B982" w14:textId="77777777" w:rsidR="00542C2D" w:rsidRPr="00E44F3E" w:rsidRDefault="00542C2D" w:rsidP="00ED42AB"/>
    <w:p w14:paraId="5BA5D9DC" w14:textId="41495488" w:rsidR="00303303" w:rsidRPr="00E44F3E" w:rsidRDefault="00303303" w:rsidP="00FB3898">
      <w:pPr>
        <w:pStyle w:val="Table"/>
        <w:pageBreakBefore/>
      </w:pPr>
      <w:bookmarkStart w:id="252" w:name="_Ref177735672"/>
      <w:bookmarkStart w:id="253" w:name="_Toc180142305"/>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19</w:t>
      </w:r>
      <w:r w:rsidR="00D97615">
        <w:rPr>
          <w:noProof/>
        </w:rPr>
        <w:fldChar w:fldCharType="end"/>
      </w:r>
      <w:bookmarkEnd w:id="252"/>
      <w:r w:rsidR="001170B0" w:rsidRPr="00E44F3E">
        <w:t>:</w:t>
      </w:r>
      <w:r w:rsidRPr="00E44F3E">
        <w:t xml:space="preserve"> </w:t>
      </w:r>
      <w:proofErr w:type="spellStart"/>
      <w:r w:rsidRPr="00E44F3E">
        <w:t>Gilteritinib</w:t>
      </w:r>
      <w:proofErr w:type="spellEnd"/>
      <w:r w:rsidRPr="00E44F3E">
        <w:t xml:space="preserve"> for FLT3</w:t>
      </w:r>
      <w:r w:rsidR="00FC5197">
        <w:t>-positive</w:t>
      </w:r>
      <w:r w:rsidRPr="00E44F3E">
        <w:t xml:space="preserve"> acute myeloid leukaemia</w:t>
      </w:r>
      <w:bookmarkEnd w:id="253"/>
    </w:p>
    <w:tbl>
      <w:tblPr>
        <w:tblW w:w="0" w:type="auto"/>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640"/>
        <w:gridCol w:w="235"/>
        <w:gridCol w:w="5204"/>
      </w:tblGrid>
      <w:tr w:rsidR="00ED42AB" w:rsidRPr="00E44F3E" w14:paraId="51A1938B" w14:textId="77777777" w:rsidTr="00862FD7">
        <w:tc>
          <w:tcPr>
            <w:tcW w:w="2640" w:type="dxa"/>
            <w:tcBorders>
              <w:top w:val="nil"/>
              <w:left w:val="nil"/>
              <w:bottom w:val="nil"/>
              <w:right w:val="nil"/>
            </w:tcBorders>
            <w:shd w:val="clear" w:color="auto" w:fill="C2D9BA"/>
            <w:hideMark/>
          </w:tcPr>
          <w:p w14:paraId="04A3ABDC" w14:textId="77777777" w:rsidR="00303303" w:rsidRPr="00E44F3E" w:rsidRDefault="00303303">
            <w:pPr>
              <w:pStyle w:val="TableText"/>
              <w:ind w:right="113"/>
              <w:rPr>
                <w:b/>
              </w:rPr>
            </w:pPr>
            <w:r w:rsidRPr="00E44F3E">
              <w:rPr>
                <w:b/>
              </w:rPr>
              <w:t>Indication description</w:t>
            </w:r>
          </w:p>
        </w:tc>
        <w:tc>
          <w:tcPr>
            <w:tcW w:w="5439" w:type="dxa"/>
            <w:gridSpan w:val="2"/>
            <w:tcBorders>
              <w:top w:val="nil"/>
              <w:left w:val="nil"/>
              <w:bottom w:val="nil"/>
              <w:right w:val="nil"/>
            </w:tcBorders>
            <w:shd w:val="clear" w:color="auto" w:fill="C2D9BA"/>
            <w:hideMark/>
          </w:tcPr>
          <w:p w14:paraId="1604CFB8" w14:textId="1B285438" w:rsidR="00303303" w:rsidRPr="00E44F3E" w:rsidRDefault="00303303">
            <w:pPr>
              <w:pStyle w:val="TableText"/>
            </w:pPr>
            <w:r w:rsidRPr="00E44F3E">
              <w:t xml:space="preserve">Acute myeloid leukaemia </w:t>
            </w:r>
            <w:r w:rsidR="00862FD7">
              <w:t xml:space="preserve">(AML) </w:t>
            </w:r>
            <w:r w:rsidRPr="00E44F3E">
              <w:t xml:space="preserve">with FMS-like tyrosine kinase 3 </w:t>
            </w:r>
            <w:r w:rsidR="00C306B3" w:rsidRPr="00E44F3E">
              <w:t>(FLT3)</w:t>
            </w:r>
            <w:r w:rsidR="00C306B3">
              <w:t xml:space="preserve"> </w:t>
            </w:r>
            <w:r w:rsidRPr="00E44F3E">
              <w:t xml:space="preserve">gene relapsed or refractory </w:t>
            </w:r>
          </w:p>
        </w:tc>
      </w:tr>
      <w:tr w:rsidR="00ED42AB" w:rsidRPr="00E44F3E" w14:paraId="6E08512B" w14:textId="77777777" w:rsidTr="00862FD7">
        <w:tc>
          <w:tcPr>
            <w:tcW w:w="2640" w:type="dxa"/>
            <w:tcBorders>
              <w:top w:val="single" w:sz="4" w:space="0" w:color="C2D9BA"/>
              <w:left w:val="nil"/>
              <w:bottom w:val="single" w:sz="4" w:space="0" w:color="C2D9BA"/>
              <w:right w:val="nil"/>
            </w:tcBorders>
            <w:shd w:val="clear" w:color="auto" w:fill="E7F0E3"/>
            <w:hideMark/>
          </w:tcPr>
          <w:p w14:paraId="3EA62332" w14:textId="77777777" w:rsidR="00303303" w:rsidRPr="00E44F3E" w:rsidRDefault="00303303">
            <w:pPr>
              <w:pStyle w:val="TableText"/>
              <w:ind w:right="113"/>
              <w:rPr>
                <w:b/>
              </w:rPr>
            </w:pPr>
            <w:r w:rsidRPr="00E44F3E">
              <w:rPr>
                <w:b/>
              </w:rPr>
              <w:t>Medicine</w:t>
            </w:r>
          </w:p>
        </w:tc>
        <w:tc>
          <w:tcPr>
            <w:tcW w:w="5439" w:type="dxa"/>
            <w:gridSpan w:val="2"/>
            <w:tcBorders>
              <w:top w:val="single" w:sz="4" w:space="0" w:color="C2D9BA"/>
              <w:left w:val="nil"/>
              <w:bottom w:val="single" w:sz="4" w:space="0" w:color="C2D9BA"/>
              <w:right w:val="nil"/>
            </w:tcBorders>
            <w:shd w:val="clear" w:color="auto" w:fill="E7F0E3"/>
            <w:hideMark/>
          </w:tcPr>
          <w:p w14:paraId="06A11DFE" w14:textId="77777777" w:rsidR="00303303" w:rsidRPr="00E44F3E" w:rsidRDefault="00303303">
            <w:pPr>
              <w:pStyle w:val="TableText"/>
            </w:pPr>
            <w:proofErr w:type="spellStart"/>
            <w:r w:rsidRPr="00E44F3E">
              <w:t>Gilteritinib</w:t>
            </w:r>
            <w:proofErr w:type="spellEnd"/>
          </w:p>
        </w:tc>
      </w:tr>
      <w:tr w:rsidR="00ED42AB" w:rsidRPr="00E44F3E" w14:paraId="7D26172E" w14:textId="77777777" w:rsidTr="00862FD7">
        <w:tc>
          <w:tcPr>
            <w:tcW w:w="2640" w:type="dxa"/>
            <w:tcBorders>
              <w:top w:val="single" w:sz="4" w:space="0" w:color="C2D9BA"/>
              <w:left w:val="nil"/>
              <w:bottom w:val="single" w:sz="4" w:space="0" w:color="C2D9BA"/>
              <w:right w:val="nil"/>
            </w:tcBorders>
            <w:hideMark/>
          </w:tcPr>
          <w:p w14:paraId="501ECBCA" w14:textId="77777777" w:rsidR="00303303" w:rsidRPr="00E44F3E" w:rsidRDefault="00303303">
            <w:pPr>
              <w:pStyle w:val="TableText"/>
              <w:ind w:right="113"/>
              <w:rPr>
                <w:b/>
              </w:rPr>
            </w:pPr>
            <w:r w:rsidRPr="00E44F3E">
              <w:rPr>
                <w:b/>
              </w:rPr>
              <w:t>Description of medicine class</w:t>
            </w:r>
          </w:p>
        </w:tc>
        <w:tc>
          <w:tcPr>
            <w:tcW w:w="5439" w:type="dxa"/>
            <w:gridSpan w:val="2"/>
            <w:tcBorders>
              <w:top w:val="single" w:sz="4" w:space="0" w:color="C2D9BA"/>
              <w:left w:val="nil"/>
              <w:bottom w:val="single" w:sz="4" w:space="0" w:color="C2D9BA"/>
              <w:right w:val="nil"/>
            </w:tcBorders>
            <w:hideMark/>
          </w:tcPr>
          <w:p w14:paraId="487CF73F" w14:textId="727F19E0" w:rsidR="00303303" w:rsidRPr="00E44F3E" w:rsidRDefault="00303303">
            <w:pPr>
              <w:pStyle w:val="TableText"/>
            </w:pPr>
            <w:proofErr w:type="spellStart"/>
            <w:r w:rsidRPr="00E44F3E">
              <w:t>Gilteritinib</w:t>
            </w:r>
            <w:proofErr w:type="spellEnd"/>
            <w:r w:rsidRPr="00E44F3E">
              <w:t xml:space="preserve"> is a small</w:t>
            </w:r>
            <w:r w:rsidR="00E40CD1">
              <w:t>-</w:t>
            </w:r>
            <w:r w:rsidRPr="00E44F3E">
              <w:t>molecule, multi-targeted tyrosine kinase inhibitor including FLT3</w:t>
            </w:r>
            <w:r w:rsidR="0052443B">
              <w:t>.</w:t>
            </w:r>
          </w:p>
        </w:tc>
      </w:tr>
      <w:tr w:rsidR="00ED42AB" w:rsidRPr="00E44F3E" w14:paraId="2C94CF6C" w14:textId="77777777" w:rsidTr="00862FD7">
        <w:tc>
          <w:tcPr>
            <w:tcW w:w="2640" w:type="dxa"/>
            <w:tcBorders>
              <w:top w:val="single" w:sz="4" w:space="0" w:color="C2D9BA"/>
              <w:left w:val="nil"/>
              <w:bottom w:val="single" w:sz="4" w:space="0" w:color="C2D9BA"/>
              <w:right w:val="nil"/>
            </w:tcBorders>
            <w:hideMark/>
          </w:tcPr>
          <w:p w14:paraId="3954441C" w14:textId="77777777" w:rsidR="00303303" w:rsidRPr="00E44F3E" w:rsidRDefault="00303303">
            <w:pPr>
              <w:pStyle w:val="TableText"/>
              <w:ind w:right="113"/>
              <w:rPr>
                <w:b/>
              </w:rPr>
            </w:pPr>
            <w:r w:rsidRPr="00E44F3E">
              <w:rPr>
                <w:b/>
              </w:rPr>
              <w:t>Intent of treatment</w:t>
            </w:r>
          </w:p>
        </w:tc>
        <w:tc>
          <w:tcPr>
            <w:tcW w:w="5439" w:type="dxa"/>
            <w:gridSpan w:val="2"/>
            <w:tcBorders>
              <w:top w:val="single" w:sz="4" w:space="0" w:color="C2D9BA"/>
              <w:left w:val="nil"/>
              <w:bottom w:val="single" w:sz="4" w:space="0" w:color="C2D9BA"/>
              <w:right w:val="nil"/>
            </w:tcBorders>
            <w:hideMark/>
          </w:tcPr>
          <w:p w14:paraId="70C5BE82" w14:textId="4901B464" w:rsidR="00303303" w:rsidRPr="00E44F3E" w:rsidRDefault="00303303" w:rsidP="00135084">
            <w:pPr>
              <w:pStyle w:val="TableBullet"/>
            </w:pPr>
            <w:r w:rsidRPr="00E44F3E">
              <w:t>Non-curative</w:t>
            </w:r>
            <w:r w:rsidR="0098342A">
              <w:t>.</w:t>
            </w:r>
            <w:r w:rsidRPr="00E44F3E">
              <w:t xml:space="preserve"> </w:t>
            </w:r>
          </w:p>
          <w:p w14:paraId="6D2A8759" w14:textId="1110AC0D" w:rsidR="00303303" w:rsidRPr="00E44F3E" w:rsidRDefault="00303303" w:rsidP="00135084">
            <w:pPr>
              <w:pStyle w:val="TableBullet"/>
            </w:pPr>
            <w:r w:rsidRPr="00E44F3E">
              <w:t xml:space="preserve">PBS funding initial treatment of relapsed disease, and if responding can proceed to allogeneic </w:t>
            </w:r>
            <w:r w:rsidR="0011385C" w:rsidRPr="0011385C">
              <w:t>haematopoietic</w:t>
            </w:r>
            <w:r w:rsidRPr="00E44F3E">
              <w:t xml:space="preserve"> stem cell transplant</w:t>
            </w:r>
            <w:r w:rsidR="00862FD7">
              <w:t xml:space="preserve"> </w:t>
            </w:r>
            <w:r w:rsidR="00862FD7" w:rsidRPr="00862FD7">
              <w:t>(</w:t>
            </w:r>
            <w:r w:rsidR="00E76E92">
              <w:t>HSCT</w:t>
            </w:r>
            <w:r w:rsidR="00862FD7" w:rsidRPr="00862FD7">
              <w:t>)</w:t>
            </w:r>
            <w:r w:rsidRPr="00E44F3E">
              <w:t>.</w:t>
            </w:r>
          </w:p>
          <w:p w14:paraId="13974092" w14:textId="2562CD19" w:rsidR="00303303" w:rsidRPr="00E44F3E" w:rsidRDefault="00303303" w:rsidP="00135084">
            <w:pPr>
              <w:pStyle w:val="TableBullet"/>
            </w:pPr>
            <w:r w:rsidRPr="00E44F3E">
              <w:t xml:space="preserve">PBS funding is available for continuing treatment with </w:t>
            </w:r>
            <w:proofErr w:type="spellStart"/>
            <w:r w:rsidR="0098342A" w:rsidRPr="00E44F3E">
              <w:t>gilteritinib</w:t>
            </w:r>
            <w:proofErr w:type="spellEnd"/>
            <w:r w:rsidRPr="00E44F3E">
              <w:t xml:space="preserve"> for those who have not undergone or are not undergoing an allogeneic </w:t>
            </w:r>
            <w:r w:rsidR="00E76E92" w:rsidRPr="00E76E92">
              <w:t>HSCT</w:t>
            </w:r>
            <w:r w:rsidRPr="00E44F3E">
              <w:t>.</w:t>
            </w:r>
          </w:p>
        </w:tc>
      </w:tr>
      <w:tr w:rsidR="00ED42AB" w:rsidRPr="00E44F3E" w14:paraId="73A33463" w14:textId="77777777" w:rsidTr="00862FD7">
        <w:tc>
          <w:tcPr>
            <w:tcW w:w="2640" w:type="dxa"/>
            <w:tcBorders>
              <w:top w:val="single" w:sz="4" w:space="0" w:color="C2D9BA"/>
              <w:left w:val="nil"/>
              <w:bottom w:val="single" w:sz="4" w:space="0" w:color="C2D9BA"/>
              <w:right w:val="nil"/>
            </w:tcBorders>
            <w:hideMark/>
          </w:tcPr>
          <w:p w14:paraId="63E6266B" w14:textId="75CDDAF1" w:rsidR="00303303" w:rsidRPr="00E44F3E" w:rsidRDefault="00303303">
            <w:pPr>
              <w:pStyle w:val="TableText"/>
              <w:ind w:right="113"/>
              <w:rPr>
                <w:b/>
              </w:rPr>
            </w:pPr>
            <w:r w:rsidRPr="00E44F3E">
              <w:rPr>
                <w:b/>
              </w:rPr>
              <w:t xml:space="preserve">Pharmac status </w:t>
            </w:r>
            <w:r w:rsidR="00B067E1">
              <w:rPr>
                <w:b/>
              </w:rPr>
              <w:t>(October 2024)</w:t>
            </w:r>
          </w:p>
        </w:tc>
        <w:tc>
          <w:tcPr>
            <w:tcW w:w="5439" w:type="dxa"/>
            <w:gridSpan w:val="2"/>
            <w:tcBorders>
              <w:top w:val="single" w:sz="4" w:space="0" w:color="C2D9BA"/>
              <w:left w:val="nil"/>
              <w:bottom w:val="single" w:sz="4" w:space="0" w:color="C2D9BA"/>
              <w:right w:val="nil"/>
            </w:tcBorders>
            <w:hideMark/>
          </w:tcPr>
          <w:p w14:paraId="0F5CBBF4" w14:textId="67768D0C" w:rsidR="00303303" w:rsidRPr="00E44F3E" w:rsidRDefault="00303303">
            <w:pPr>
              <w:pStyle w:val="TableText"/>
            </w:pPr>
            <w:r w:rsidRPr="00E44F3E">
              <w:t>No funding applications</w:t>
            </w:r>
            <w:r w:rsidR="0052443B">
              <w:t>.</w:t>
            </w:r>
          </w:p>
        </w:tc>
      </w:tr>
      <w:tr w:rsidR="00ED42AB" w:rsidRPr="00E44F3E" w14:paraId="548A5F8A" w14:textId="77777777" w:rsidTr="00862FD7">
        <w:tc>
          <w:tcPr>
            <w:tcW w:w="2640" w:type="dxa"/>
            <w:tcBorders>
              <w:top w:val="single" w:sz="4" w:space="0" w:color="C2D9BA"/>
              <w:left w:val="nil"/>
              <w:bottom w:val="single" w:sz="4" w:space="0" w:color="C2D9BA"/>
              <w:right w:val="nil"/>
            </w:tcBorders>
            <w:hideMark/>
          </w:tcPr>
          <w:p w14:paraId="571DB55F" w14:textId="224F4377"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235" w:type="dxa"/>
            <w:tcBorders>
              <w:top w:val="single" w:sz="4" w:space="0" w:color="C2D9BA"/>
              <w:left w:val="nil"/>
              <w:bottom w:val="single" w:sz="4" w:space="0" w:color="C2D9BA"/>
              <w:right w:val="nil"/>
            </w:tcBorders>
            <w:hideMark/>
          </w:tcPr>
          <w:p w14:paraId="29C3DDA5" w14:textId="77777777" w:rsidR="00303303" w:rsidRPr="00E44F3E" w:rsidRDefault="00303303">
            <w:pPr>
              <w:pStyle w:val="TableText"/>
            </w:pPr>
            <w:r w:rsidRPr="00E44F3E">
              <w:t>4</w:t>
            </w:r>
          </w:p>
        </w:tc>
        <w:tc>
          <w:tcPr>
            <w:tcW w:w="5204" w:type="dxa"/>
            <w:tcBorders>
              <w:top w:val="single" w:sz="4" w:space="0" w:color="C2D9BA"/>
              <w:left w:val="nil"/>
              <w:bottom w:val="single" w:sz="4" w:space="0" w:color="C2D9BA"/>
              <w:right w:val="nil"/>
            </w:tcBorders>
            <w:hideMark/>
          </w:tcPr>
          <w:p w14:paraId="5A1ADE81" w14:textId="77777777" w:rsidR="00303303" w:rsidRPr="00E44F3E" w:rsidRDefault="00303303">
            <w:pPr>
              <w:pStyle w:val="TableText"/>
            </w:pPr>
            <w:r w:rsidRPr="00E44F3E">
              <w:t>Compared with chemotherapy:</w:t>
            </w:r>
          </w:p>
          <w:p w14:paraId="53D6D35A" w14:textId="77777777" w:rsidR="00303303" w:rsidRPr="00E44F3E" w:rsidRDefault="00303303" w:rsidP="00135084">
            <w:pPr>
              <w:pStyle w:val="TableBullet"/>
            </w:pPr>
            <w:r w:rsidRPr="00E44F3E">
              <w:t>Gain in median overall survival of 3.7 months.</w:t>
            </w:r>
          </w:p>
          <w:p w14:paraId="73771163" w14:textId="77777777" w:rsidR="00303303" w:rsidRPr="00E44F3E" w:rsidRDefault="00303303" w:rsidP="00135084">
            <w:pPr>
              <w:pStyle w:val="TableBullet"/>
            </w:pPr>
            <w:r w:rsidRPr="00E44F3E">
              <w:t>Toxicity results did not contribute to the score.</w:t>
            </w:r>
          </w:p>
          <w:p w14:paraId="39E3002C" w14:textId="55DBF030" w:rsidR="00303303" w:rsidRPr="00E44F3E" w:rsidRDefault="008C5229" w:rsidP="00135084">
            <w:pPr>
              <w:pStyle w:val="TableBullet"/>
            </w:pPr>
            <w:r w:rsidRPr="008C5229">
              <w:t>Health-related quality of life</w:t>
            </w:r>
            <w:r w:rsidR="00303303" w:rsidRPr="00E44F3E">
              <w:t xml:space="preserve"> was an exploratory endpoint only</w:t>
            </w:r>
            <w:r w:rsidR="0098342A">
              <w:t>,</w:t>
            </w:r>
            <w:r w:rsidR="00303303" w:rsidRPr="00E44F3E">
              <w:t xml:space="preserve"> so no upgrade to a score of 5 was possible.</w:t>
            </w:r>
          </w:p>
        </w:tc>
      </w:tr>
      <w:tr w:rsidR="00ED42AB" w:rsidRPr="00E44F3E" w14:paraId="3C10842C" w14:textId="77777777" w:rsidTr="00862FD7">
        <w:tc>
          <w:tcPr>
            <w:tcW w:w="2640" w:type="dxa"/>
            <w:tcBorders>
              <w:top w:val="single" w:sz="4" w:space="0" w:color="C2D9BA"/>
              <w:left w:val="nil"/>
              <w:bottom w:val="single" w:sz="4" w:space="0" w:color="C2D9BA"/>
              <w:right w:val="nil"/>
            </w:tcBorders>
            <w:hideMark/>
          </w:tcPr>
          <w:p w14:paraId="5B801CE1" w14:textId="719A57F9"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5439" w:type="dxa"/>
            <w:gridSpan w:val="2"/>
            <w:tcBorders>
              <w:top w:val="single" w:sz="4" w:space="0" w:color="C2D9BA"/>
              <w:left w:val="nil"/>
              <w:bottom w:val="single" w:sz="4" w:space="0" w:color="C2D9BA"/>
              <w:right w:val="nil"/>
            </w:tcBorders>
          </w:tcPr>
          <w:p w14:paraId="5CE0C538" w14:textId="492DD2EF" w:rsidR="00303303" w:rsidRPr="00E44F3E" w:rsidRDefault="00303303" w:rsidP="002950CD">
            <w:pPr>
              <w:pStyle w:val="TableBullet"/>
            </w:pPr>
            <w:r w:rsidRPr="00E44F3E">
              <w:t>Relapsed or refractory FLT3</w:t>
            </w:r>
            <w:r w:rsidR="00266566">
              <w:t>-positive</w:t>
            </w:r>
            <w:r w:rsidRPr="00E44F3E">
              <w:t xml:space="preserve"> AML would be treated with salvage chemotherapy</w:t>
            </w:r>
            <w:r w:rsidR="001E3F34">
              <w:t>,</w:t>
            </w:r>
            <w:r w:rsidRPr="00E44F3E">
              <w:t xml:space="preserve"> and these patients may not respond.</w:t>
            </w:r>
          </w:p>
          <w:p w14:paraId="35FADB3F" w14:textId="7E01EED1" w:rsidR="00303303" w:rsidRPr="00E44F3E" w:rsidRDefault="00303303" w:rsidP="002950CD">
            <w:pPr>
              <w:pStyle w:val="TableBullet"/>
            </w:pPr>
            <w:proofErr w:type="spellStart"/>
            <w:r w:rsidRPr="00E44F3E">
              <w:t>Gilteritinib</w:t>
            </w:r>
            <w:proofErr w:type="spellEnd"/>
            <w:r w:rsidRPr="00E44F3E">
              <w:t xml:space="preserve"> as a single</w:t>
            </w:r>
            <w:r w:rsidR="00E40CD1">
              <w:t>-</w:t>
            </w:r>
            <w:r w:rsidRPr="00E44F3E">
              <w:t>agent oral treatment improves overall survival compared with salvage chemotherapy.</w:t>
            </w:r>
          </w:p>
          <w:p w14:paraId="73B9DAEC" w14:textId="7239631A" w:rsidR="00303303" w:rsidRPr="00E44F3E" w:rsidRDefault="00303303" w:rsidP="002950CD">
            <w:pPr>
              <w:pStyle w:val="TableBullet"/>
            </w:pPr>
            <w:proofErr w:type="spellStart"/>
            <w:r w:rsidRPr="00E44F3E">
              <w:t>Gilteritinib</w:t>
            </w:r>
            <w:proofErr w:type="spellEnd"/>
            <w:r w:rsidRPr="00E44F3E">
              <w:t>-induced remission may allow for some patients (</w:t>
            </w:r>
            <w:proofErr w:type="spellStart"/>
            <w:r w:rsidR="0083352C">
              <w:t>eg</w:t>
            </w:r>
            <w:proofErr w:type="spellEnd"/>
            <w:r w:rsidR="0083352C">
              <w:t>,</w:t>
            </w:r>
            <w:r w:rsidRPr="00E44F3E">
              <w:t xml:space="preserve"> 25% in ADMIRAL study) to undergo a potentially curative allogeneic </w:t>
            </w:r>
            <w:r w:rsidR="005C2A09" w:rsidRPr="005C2A09">
              <w:t>HSCT</w:t>
            </w:r>
            <w:r w:rsidRPr="00E44F3E">
              <w:t>.</w:t>
            </w:r>
          </w:p>
        </w:tc>
      </w:tr>
      <w:tr w:rsidR="00ED42AB" w:rsidRPr="00E44F3E" w14:paraId="0E101C9F" w14:textId="77777777" w:rsidTr="00862FD7">
        <w:tc>
          <w:tcPr>
            <w:tcW w:w="2640" w:type="dxa"/>
            <w:tcBorders>
              <w:top w:val="single" w:sz="4" w:space="0" w:color="C2D9BA"/>
              <w:left w:val="nil"/>
              <w:bottom w:val="single" w:sz="4" w:space="0" w:color="C2D9BA"/>
              <w:right w:val="nil"/>
            </w:tcBorders>
            <w:hideMark/>
          </w:tcPr>
          <w:p w14:paraId="60AB7050" w14:textId="77777777" w:rsidR="00303303" w:rsidRPr="00E44F3E" w:rsidRDefault="00303303">
            <w:pPr>
              <w:pStyle w:val="TableText"/>
              <w:ind w:right="113"/>
              <w:rPr>
                <w:b/>
              </w:rPr>
            </w:pPr>
            <w:r w:rsidRPr="00E44F3E">
              <w:rPr>
                <w:b/>
              </w:rPr>
              <w:t>How this medicine would be given</w:t>
            </w:r>
          </w:p>
        </w:tc>
        <w:tc>
          <w:tcPr>
            <w:tcW w:w="5439" w:type="dxa"/>
            <w:gridSpan w:val="2"/>
            <w:tcBorders>
              <w:top w:val="single" w:sz="4" w:space="0" w:color="C2D9BA"/>
              <w:left w:val="nil"/>
              <w:bottom w:val="single" w:sz="4" w:space="0" w:color="C2D9BA"/>
              <w:right w:val="nil"/>
            </w:tcBorders>
            <w:hideMark/>
          </w:tcPr>
          <w:p w14:paraId="2C008F38" w14:textId="1E9BD4DC" w:rsidR="00303303" w:rsidRPr="00E44F3E" w:rsidRDefault="00303303" w:rsidP="002950CD">
            <w:pPr>
              <w:pStyle w:val="TableBullet"/>
            </w:pPr>
            <w:proofErr w:type="spellStart"/>
            <w:r w:rsidRPr="00E44F3E">
              <w:t>Gilteritinib</w:t>
            </w:r>
            <w:proofErr w:type="spellEnd"/>
            <w:r w:rsidRPr="00E44F3E">
              <w:t xml:space="preserve"> dose 120 mg (3 </w:t>
            </w:r>
            <w:r w:rsidR="00F64019">
              <w:t>×</w:t>
            </w:r>
            <w:r w:rsidRPr="00E44F3E">
              <w:t xml:space="preserve"> 40 mg) orally once daily day 1 to 28 Q4W, continuously</w:t>
            </w:r>
            <w:r w:rsidR="00F64019">
              <w:t>.</w:t>
            </w:r>
          </w:p>
          <w:p w14:paraId="2C832F3C" w14:textId="77777777" w:rsidR="00303303" w:rsidRPr="00E44F3E" w:rsidRDefault="00303303" w:rsidP="002950CD">
            <w:pPr>
              <w:pStyle w:val="TableBullet"/>
            </w:pPr>
            <w:r w:rsidRPr="00E44F3E">
              <w:t>Response may be delayed. Assess treatment response at 4 weeks and increase dose if not in complete remission. Assess for full clinical response after 6 months.</w:t>
            </w:r>
          </w:p>
          <w:p w14:paraId="3FB7ED1C" w14:textId="015D3475" w:rsidR="00303303" w:rsidRPr="00E44F3E" w:rsidRDefault="00303303" w:rsidP="002950CD">
            <w:pPr>
              <w:pStyle w:val="TableBullet"/>
            </w:pPr>
            <w:r w:rsidRPr="00E44F3E">
              <w:t xml:space="preserve">In ADMIRAL clinical trial 25% went on to receive an allogeneic </w:t>
            </w:r>
            <w:r w:rsidR="005C2A09" w:rsidRPr="005C2A09">
              <w:t>HSCT</w:t>
            </w:r>
            <w:r w:rsidR="005C2A09">
              <w:t xml:space="preserve"> </w:t>
            </w:r>
            <w:r w:rsidRPr="00E44F3E">
              <w:t>if they were in remission and had a suitable donor.</w:t>
            </w:r>
          </w:p>
        </w:tc>
      </w:tr>
      <w:tr w:rsidR="00ED42AB" w:rsidRPr="00E44F3E" w14:paraId="596244EA" w14:textId="77777777" w:rsidTr="00862FD7">
        <w:tc>
          <w:tcPr>
            <w:tcW w:w="2640" w:type="dxa"/>
            <w:tcBorders>
              <w:top w:val="single" w:sz="4" w:space="0" w:color="C2D9BA"/>
              <w:left w:val="nil"/>
              <w:bottom w:val="single" w:sz="4" w:space="0" w:color="C2D9BA"/>
              <w:right w:val="nil"/>
            </w:tcBorders>
            <w:hideMark/>
          </w:tcPr>
          <w:p w14:paraId="1B26C440" w14:textId="77777777" w:rsidR="00303303" w:rsidRPr="00E44F3E" w:rsidRDefault="00303303">
            <w:pPr>
              <w:pStyle w:val="TableText"/>
              <w:ind w:right="113"/>
              <w:rPr>
                <w:b/>
              </w:rPr>
            </w:pPr>
            <w:r w:rsidRPr="00E44F3E">
              <w:rPr>
                <w:b/>
              </w:rPr>
              <w:t>Patient and whānau considerations</w:t>
            </w:r>
          </w:p>
        </w:tc>
        <w:tc>
          <w:tcPr>
            <w:tcW w:w="5439" w:type="dxa"/>
            <w:gridSpan w:val="2"/>
            <w:tcBorders>
              <w:top w:val="single" w:sz="4" w:space="0" w:color="C2D9BA"/>
              <w:left w:val="nil"/>
              <w:bottom w:val="single" w:sz="4" w:space="0" w:color="C2D9BA"/>
              <w:right w:val="nil"/>
            </w:tcBorders>
          </w:tcPr>
          <w:p w14:paraId="39437F7A" w14:textId="77777777" w:rsidR="00303303" w:rsidRPr="00E44F3E" w:rsidRDefault="00303303" w:rsidP="002950CD">
            <w:pPr>
              <w:pStyle w:val="TableBullet"/>
            </w:pPr>
            <w:r w:rsidRPr="00E44F3E">
              <w:t>A bone marrow sample is needed to screen for the FLT3 mutations.</w:t>
            </w:r>
          </w:p>
          <w:p w14:paraId="6D7E35F2" w14:textId="5EB227C5" w:rsidR="00303303" w:rsidRPr="00E44F3E" w:rsidRDefault="00303303" w:rsidP="002950CD">
            <w:pPr>
              <w:pStyle w:val="TableBullet"/>
            </w:pPr>
            <w:r w:rsidRPr="00E44F3E">
              <w:t>This treatment would be an alternative to salvage chemotherapy</w:t>
            </w:r>
            <w:r w:rsidR="0066423D">
              <w:t>,</w:t>
            </w:r>
            <w:r w:rsidRPr="00E44F3E">
              <w:t xml:space="preserve"> potentially offering improved survival and remission for AML with FLT3 mutation.</w:t>
            </w:r>
          </w:p>
          <w:p w14:paraId="1DE881D2" w14:textId="6FB20FA5" w:rsidR="00303303" w:rsidRPr="00E44F3E" w:rsidRDefault="00303303" w:rsidP="002950CD">
            <w:pPr>
              <w:pStyle w:val="TableBullet"/>
            </w:pPr>
            <w:r w:rsidRPr="00E44F3E">
              <w:t xml:space="preserve">This treatment may be a bridge to allogeneic </w:t>
            </w:r>
            <w:r w:rsidR="00E76E92" w:rsidRPr="00E76E92">
              <w:t>HSCT</w:t>
            </w:r>
            <w:r w:rsidRPr="00E44F3E">
              <w:t>.</w:t>
            </w:r>
          </w:p>
          <w:p w14:paraId="7BC92755" w14:textId="1D0F0E0D" w:rsidR="00303303" w:rsidRPr="00E44F3E" w:rsidRDefault="00303303" w:rsidP="002950CD">
            <w:pPr>
              <w:pStyle w:val="TableBullet"/>
            </w:pPr>
            <w:proofErr w:type="spellStart"/>
            <w:r w:rsidRPr="00E44F3E">
              <w:t>Gilteritinib</w:t>
            </w:r>
            <w:proofErr w:type="spellEnd"/>
            <w:r w:rsidRPr="00E44F3E">
              <w:t xml:space="preserve"> needs to be taken orally </w:t>
            </w:r>
            <w:r w:rsidR="00F53E61">
              <w:t>once</w:t>
            </w:r>
            <w:r w:rsidRPr="00E44F3E">
              <w:t xml:space="preserve"> daily continuously, allowing treatment at home.</w:t>
            </w:r>
          </w:p>
          <w:p w14:paraId="6EF6E41C" w14:textId="77777777" w:rsidR="00303303" w:rsidRPr="00E44F3E" w:rsidRDefault="00303303" w:rsidP="002950CD">
            <w:pPr>
              <w:pStyle w:val="TableBullet"/>
            </w:pPr>
            <w:r w:rsidRPr="00E44F3E">
              <w:t>Regular blood tests and other monitoring are required to monitor for toxicity and response to treatment.</w:t>
            </w:r>
          </w:p>
          <w:p w14:paraId="1099E64F" w14:textId="659AD752" w:rsidR="00303303" w:rsidRPr="00E44F3E" w:rsidRDefault="00303303" w:rsidP="002950CD">
            <w:pPr>
              <w:pStyle w:val="TableBullet"/>
            </w:pPr>
            <w:r w:rsidRPr="00E44F3E">
              <w:t xml:space="preserve">Dose modifications or delays may be needed if patient is </w:t>
            </w:r>
            <w:r w:rsidR="0073642C">
              <w:t>intolerant to treatment</w:t>
            </w:r>
            <w:r w:rsidRPr="00E44F3E">
              <w:t>.</w:t>
            </w:r>
          </w:p>
          <w:p w14:paraId="7B2519F8" w14:textId="77777777" w:rsidR="00303303" w:rsidRPr="00E44F3E" w:rsidRDefault="00303303" w:rsidP="002950CD">
            <w:pPr>
              <w:pStyle w:val="TableBullet"/>
            </w:pPr>
            <w:r w:rsidRPr="00E44F3E">
              <w:t>Other medications may be needed to control side effects and to prevent infection.</w:t>
            </w:r>
          </w:p>
        </w:tc>
      </w:tr>
      <w:tr w:rsidR="00ED42AB" w:rsidRPr="00E44F3E" w14:paraId="4648FC2F" w14:textId="77777777" w:rsidTr="00862FD7">
        <w:tc>
          <w:tcPr>
            <w:tcW w:w="2640" w:type="dxa"/>
            <w:tcBorders>
              <w:top w:val="single" w:sz="4" w:space="0" w:color="C2D9BA"/>
              <w:left w:val="nil"/>
              <w:bottom w:val="single" w:sz="4" w:space="0" w:color="C2D9BA"/>
              <w:right w:val="nil"/>
            </w:tcBorders>
            <w:hideMark/>
          </w:tcPr>
          <w:p w14:paraId="29FAAEBC" w14:textId="77777777" w:rsidR="00303303" w:rsidRPr="00E44F3E" w:rsidRDefault="00303303">
            <w:pPr>
              <w:pStyle w:val="TableText"/>
              <w:ind w:right="113"/>
              <w:rPr>
                <w:b/>
              </w:rPr>
            </w:pPr>
            <w:r w:rsidRPr="00E44F3E">
              <w:rPr>
                <w:b/>
              </w:rPr>
              <w:lastRenderedPageBreak/>
              <w:t>Health system resource considerations</w:t>
            </w:r>
          </w:p>
        </w:tc>
        <w:tc>
          <w:tcPr>
            <w:tcW w:w="5439" w:type="dxa"/>
            <w:gridSpan w:val="2"/>
            <w:tcBorders>
              <w:top w:val="single" w:sz="4" w:space="0" w:color="C2D9BA"/>
              <w:left w:val="nil"/>
              <w:bottom w:val="single" w:sz="4" w:space="0" w:color="C2D9BA"/>
              <w:right w:val="nil"/>
            </w:tcBorders>
          </w:tcPr>
          <w:p w14:paraId="110E2117" w14:textId="00435363" w:rsidR="00303303" w:rsidRPr="00E44F3E" w:rsidRDefault="00303303" w:rsidP="002950CD">
            <w:pPr>
              <w:pStyle w:val="TableBullet"/>
            </w:pPr>
            <w:r w:rsidRPr="00E44F3E">
              <w:t>Increased demand for laboratory services to screen for FLT3</w:t>
            </w:r>
            <w:r w:rsidR="00CD2118">
              <w:t>-positive</w:t>
            </w:r>
            <w:r w:rsidRPr="00E44F3E">
              <w:t xml:space="preserve"> mutations in relapsed and refractory AML.</w:t>
            </w:r>
          </w:p>
          <w:p w14:paraId="66182B12" w14:textId="77777777" w:rsidR="00303303" w:rsidRPr="00E44F3E" w:rsidRDefault="00303303" w:rsidP="002950CD">
            <w:pPr>
              <w:pStyle w:val="TableBullet"/>
            </w:pPr>
            <w:r w:rsidRPr="00E44F3E">
              <w:t>Increased demand for laboratory services to monitor for treatment-related toxicities.</w:t>
            </w:r>
          </w:p>
          <w:p w14:paraId="483948D3" w14:textId="77777777" w:rsidR="00303303" w:rsidRPr="00E44F3E" w:rsidRDefault="00303303" w:rsidP="002950CD">
            <w:pPr>
              <w:pStyle w:val="TableBullet"/>
            </w:pPr>
            <w:r w:rsidRPr="00E44F3E">
              <w:t>Potential for increased demand for supportive care and toxicity management (including health care professionals’ time and adjustment of pharmaceuticals).</w:t>
            </w:r>
          </w:p>
          <w:p w14:paraId="58ABA715" w14:textId="77777777" w:rsidR="00303303" w:rsidRPr="00E44F3E" w:rsidRDefault="00303303" w:rsidP="002950CD">
            <w:pPr>
              <w:pStyle w:val="TableBullet"/>
            </w:pPr>
            <w:r w:rsidRPr="00E44F3E">
              <w:t>Additional follow-up appointments required.</w:t>
            </w:r>
          </w:p>
          <w:p w14:paraId="4C35C810" w14:textId="77777777" w:rsidR="00303303" w:rsidRPr="00E44F3E" w:rsidRDefault="00303303" w:rsidP="002950CD">
            <w:pPr>
              <w:pStyle w:val="TableBullet"/>
            </w:pPr>
            <w:r w:rsidRPr="00E44F3E">
              <w:t>Increased demand for laboratory services to monitor for disease response.</w:t>
            </w:r>
          </w:p>
        </w:tc>
      </w:tr>
    </w:tbl>
    <w:p w14:paraId="78FF5FE7" w14:textId="77777777" w:rsidR="00303303" w:rsidRPr="00E44F3E" w:rsidRDefault="00303303" w:rsidP="00303303"/>
    <w:p w14:paraId="780F1009" w14:textId="518D5C5D" w:rsidR="00303303" w:rsidRPr="00E44F3E" w:rsidRDefault="00303303" w:rsidP="00FB3898">
      <w:pPr>
        <w:pStyle w:val="Table"/>
        <w:pageBreakBefore/>
      </w:pPr>
      <w:bookmarkStart w:id="254" w:name="_Ref177735677"/>
      <w:bookmarkStart w:id="255" w:name="_Toc180142306"/>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20</w:t>
      </w:r>
      <w:r w:rsidR="00D97615">
        <w:rPr>
          <w:noProof/>
        </w:rPr>
        <w:fldChar w:fldCharType="end"/>
      </w:r>
      <w:bookmarkEnd w:id="254"/>
      <w:r w:rsidR="001170B0" w:rsidRPr="00E44F3E">
        <w:t>:</w:t>
      </w:r>
      <w:r w:rsidRPr="00E44F3E">
        <w:t xml:space="preserve"> </w:t>
      </w:r>
      <w:proofErr w:type="spellStart"/>
      <w:r w:rsidRPr="00E44F3E">
        <w:t>Idelalisib</w:t>
      </w:r>
      <w:proofErr w:type="spellEnd"/>
      <w:r w:rsidRPr="00E44F3E">
        <w:t xml:space="preserve"> with rituximab for chronic lymphocytic leukaemia</w:t>
      </w:r>
      <w:bookmarkEnd w:id="255"/>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2786"/>
        <w:gridCol w:w="282"/>
        <w:gridCol w:w="5011"/>
      </w:tblGrid>
      <w:tr w:rsidR="00303303" w:rsidRPr="00E44F3E" w14:paraId="3F37F4D0" w14:textId="77777777" w:rsidTr="00ED42AB">
        <w:trPr>
          <w:cantSplit/>
        </w:trPr>
        <w:tc>
          <w:tcPr>
            <w:tcW w:w="0" w:type="auto"/>
            <w:tcBorders>
              <w:top w:val="nil"/>
              <w:left w:val="nil"/>
              <w:bottom w:val="nil"/>
              <w:right w:val="nil"/>
            </w:tcBorders>
            <w:shd w:val="clear" w:color="auto" w:fill="C2D9BA"/>
            <w:hideMark/>
          </w:tcPr>
          <w:p w14:paraId="74E7117E" w14:textId="77777777" w:rsidR="00303303" w:rsidRPr="00E44F3E" w:rsidRDefault="00303303">
            <w:pPr>
              <w:pStyle w:val="TableText"/>
              <w:ind w:right="113"/>
              <w:rPr>
                <w:b/>
              </w:rPr>
            </w:pPr>
            <w:r w:rsidRPr="00E44F3E">
              <w:rPr>
                <w:b/>
              </w:rPr>
              <w:t>Indication description</w:t>
            </w:r>
          </w:p>
        </w:tc>
        <w:tc>
          <w:tcPr>
            <w:tcW w:w="0" w:type="auto"/>
            <w:gridSpan w:val="2"/>
            <w:tcBorders>
              <w:top w:val="nil"/>
              <w:left w:val="nil"/>
              <w:bottom w:val="nil"/>
              <w:right w:val="nil"/>
            </w:tcBorders>
            <w:shd w:val="clear" w:color="auto" w:fill="C2D9BA"/>
            <w:hideMark/>
          </w:tcPr>
          <w:p w14:paraId="5F970216" w14:textId="560A51EB" w:rsidR="00303303" w:rsidRPr="00E44F3E" w:rsidRDefault="00303303">
            <w:pPr>
              <w:pStyle w:val="TableText"/>
            </w:pPr>
            <w:proofErr w:type="spellStart"/>
            <w:r w:rsidRPr="00E44F3E">
              <w:t>Idelalisib</w:t>
            </w:r>
            <w:proofErr w:type="spellEnd"/>
            <w:r w:rsidRPr="00E44F3E">
              <w:t xml:space="preserve"> with rituximab second line plus for relapsed or refractory chronic lymphocytic leukaemia</w:t>
            </w:r>
            <w:r w:rsidR="00314D10">
              <w:t xml:space="preserve"> (CLL)</w:t>
            </w:r>
          </w:p>
        </w:tc>
      </w:tr>
      <w:tr w:rsidR="00303303" w:rsidRPr="00E44F3E" w14:paraId="4D29BB89" w14:textId="77777777" w:rsidTr="00ED42AB">
        <w:trPr>
          <w:cantSplit/>
        </w:trPr>
        <w:tc>
          <w:tcPr>
            <w:tcW w:w="0" w:type="auto"/>
            <w:tcBorders>
              <w:top w:val="single" w:sz="4" w:space="0" w:color="C2D9BA"/>
              <w:left w:val="nil"/>
              <w:bottom w:val="single" w:sz="4" w:space="0" w:color="C2D9BA"/>
              <w:right w:val="nil"/>
            </w:tcBorders>
            <w:shd w:val="clear" w:color="auto" w:fill="E7F0E3"/>
            <w:hideMark/>
          </w:tcPr>
          <w:p w14:paraId="60B79BD6" w14:textId="77777777" w:rsidR="00303303" w:rsidRPr="00E44F3E" w:rsidRDefault="00303303">
            <w:pPr>
              <w:pStyle w:val="TableT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7EE25D7F" w14:textId="77777777" w:rsidR="00303303" w:rsidRPr="00E44F3E" w:rsidRDefault="00303303">
            <w:pPr>
              <w:pStyle w:val="TableText"/>
            </w:pPr>
            <w:proofErr w:type="spellStart"/>
            <w:r w:rsidRPr="00E44F3E">
              <w:t>Idelalisib</w:t>
            </w:r>
            <w:proofErr w:type="spellEnd"/>
          </w:p>
        </w:tc>
      </w:tr>
      <w:tr w:rsidR="00303303" w:rsidRPr="00E44F3E" w14:paraId="62801F4B" w14:textId="77777777" w:rsidTr="00ED42AB">
        <w:trPr>
          <w:cantSplit/>
        </w:trPr>
        <w:tc>
          <w:tcPr>
            <w:tcW w:w="0" w:type="auto"/>
            <w:tcBorders>
              <w:top w:val="single" w:sz="4" w:space="0" w:color="C2D9BA"/>
              <w:left w:val="nil"/>
              <w:bottom w:val="single" w:sz="4" w:space="0" w:color="C2D9BA"/>
              <w:right w:val="nil"/>
            </w:tcBorders>
            <w:hideMark/>
          </w:tcPr>
          <w:p w14:paraId="550C4DE9"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5415C700" w14:textId="65AAAC5F" w:rsidR="00303303" w:rsidRPr="00E44F3E" w:rsidRDefault="00303303">
            <w:pPr>
              <w:pStyle w:val="TableText"/>
            </w:pPr>
            <w:proofErr w:type="spellStart"/>
            <w:r w:rsidRPr="00E44F3E">
              <w:t>Idelalisib</w:t>
            </w:r>
            <w:proofErr w:type="spellEnd"/>
            <w:r w:rsidRPr="00E44F3E">
              <w:t xml:space="preserve"> is a selective inhibitor of adenosine-5</w:t>
            </w:r>
            <w:r w:rsidR="004650A2" w:rsidRPr="00E44F3E">
              <w:t>’</w:t>
            </w:r>
            <w:r w:rsidRPr="00E44F3E">
              <w:t>-triphosphate (ATP) binding to PI3K</w:t>
            </w:r>
            <w:r w:rsidR="008C6FF6">
              <w:t>-</w:t>
            </w:r>
            <w:r w:rsidRPr="00E44F3E">
              <w:t>delta kinase, resulting in inhibition of the P13K signalling pathway in malignant B</w:t>
            </w:r>
            <w:r w:rsidR="00933F09">
              <w:t>-</w:t>
            </w:r>
            <w:r w:rsidRPr="00E44F3E">
              <w:t>cells</w:t>
            </w:r>
            <w:r w:rsidR="0052443B">
              <w:t>.</w:t>
            </w:r>
          </w:p>
        </w:tc>
      </w:tr>
      <w:tr w:rsidR="00303303" w:rsidRPr="00E44F3E" w14:paraId="5C9BBCCB" w14:textId="77777777" w:rsidTr="00ED42AB">
        <w:trPr>
          <w:cantSplit/>
        </w:trPr>
        <w:tc>
          <w:tcPr>
            <w:tcW w:w="0" w:type="auto"/>
            <w:tcBorders>
              <w:top w:val="single" w:sz="4" w:space="0" w:color="C2D9BA"/>
              <w:left w:val="nil"/>
              <w:bottom w:val="single" w:sz="4" w:space="0" w:color="C2D9BA"/>
              <w:right w:val="nil"/>
            </w:tcBorders>
            <w:hideMark/>
          </w:tcPr>
          <w:p w14:paraId="683D6758"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16B298C7" w14:textId="2BFA8689" w:rsidR="00303303" w:rsidRPr="00E44F3E" w:rsidRDefault="00303303">
            <w:pPr>
              <w:pStyle w:val="TableText"/>
            </w:pPr>
            <w:r w:rsidRPr="00E44F3E">
              <w:t>Non-curative</w:t>
            </w:r>
            <w:r w:rsidR="0052443B">
              <w:t>.</w:t>
            </w:r>
          </w:p>
        </w:tc>
      </w:tr>
      <w:tr w:rsidR="00303303" w:rsidRPr="00E44F3E" w14:paraId="4BF8C5D0" w14:textId="77777777" w:rsidTr="00ED42AB">
        <w:trPr>
          <w:cantSplit/>
        </w:trPr>
        <w:tc>
          <w:tcPr>
            <w:tcW w:w="0" w:type="auto"/>
            <w:tcBorders>
              <w:top w:val="single" w:sz="4" w:space="0" w:color="C2D9BA"/>
              <w:left w:val="nil"/>
              <w:bottom w:val="single" w:sz="4" w:space="0" w:color="C2D9BA"/>
              <w:right w:val="nil"/>
            </w:tcBorders>
            <w:hideMark/>
          </w:tcPr>
          <w:p w14:paraId="5DA6A1EB" w14:textId="451F5D84" w:rsidR="00303303" w:rsidRPr="00E44F3E" w:rsidRDefault="00303303">
            <w:pPr>
              <w:pStyle w:val="TableText"/>
              <w:ind w:right="113"/>
              <w:rPr>
                <w:b/>
              </w:rPr>
            </w:pPr>
            <w:r w:rsidRPr="00E44F3E">
              <w:rPr>
                <w:b/>
              </w:rPr>
              <w:t>Pharmac status</w:t>
            </w:r>
            <w:r w:rsidR="00B067E1">
              <w:rPr>
                <w:b/>
              </w:rPr>
              <w:t xml:space="preserve"> (October 2024)</w:t>
            </w:r>
          </w:p>
        </w:tc>
        <w:tc>
          <w:tcPr>
            <w:tcW w:w="0" w:type="auto"/>
            <w:gridSpan w:val="2"/>
            <w:tcBorders>
              <w:top w:val="single" w:sz="4" w:space="0" w:color="C2D9BA"/>
              <w:left w:val="nil"/>
              <w:bottom w:val="single" w:sz="4" w:space="0" w:color="C2D9BA"/>
              <w:right w:val="nil"/>
            </w:tcBorders>
            <w:hideMark/>
          </w:tcPr>
          <w:p w14:paraId="5C9E9CF8" w14:textId="7112A230" w:rsidR="00303303" w:rsidRPr="00E44F3E" w:rsidRDefault="00303303">
            <w:pPr>
              <w:pStyle w:val="TableText"/>
            </w:pPr>
            <w:r w:rsidRPr="00E44F3E">
              <w:t>No applications with Pharmac</w:t>
            </w:r>
            <w:r w:rsidR="0052443B">
              <w:t>.</w:t>
            </w:r>
          </w:p>
        </w:tc>
      </w:tr>
      <w:tr w:rsidR="00303303" w:rsidRPr="00E44F3E" w14:paraId="30029A8F" w14:textId="77777777" w:rsidTr="00ED42AB">
        <w:trPr>
          <w:cantSplit/>
        </w:trPr>
        <w:tc>
          <w:tcPr>
            <w:tcW w:w="0" w:type="auto"/>
            <w:tcBorders>
              <w:top w:val="single" w:sz="4" w:space="0" w:color="C2D9BA"/>
              <w:left w:val="nil"/>
              <w:bottom w:val="single" w:sz="4" w:space="0" w:color="C2D9BA"/>
              <w:right w:val="nil"/>
            </w:tcBorders>
            <w:hideMark/>
          </w:tcPr>
          <w:p w14:paraId="21C98FBC" w14:textId="247F7259"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4C9BEA99" w14:textId="77777777" w:rsidR="00303303" w:rsidRPr="00E44F3E" w:rsidRDefault="00303303">
            <w:pPr>
              <w:pStyle w:val="TableText"/>
            </w:pPr>
            <w:r w:rsidRPr="00E44F3E">
              <w:t>4</w:t>
            </w:r>
          </w:p>
        </w:tc>
        <w:tc>
          <w:tcPr>
            <w:tcW w:w="0" w:type="auto"/>
            <w:tcBorders>
              <w:top w:val="single" w:sz="4" w:space="0" w:color="C2D9BA"/>
              <w:left w:val="nil"/>
              <w:bottom w:val="single" w:sz="4" w:space="0" w:color="C2D9BA"/>
              <w:right w:val="nil"/>
            </w:tcBorders>
            <w:hideMark/>
          </w:tcPr>
          <w:p w14:paraId="1483DE7B" w14:textId="77777777" w:rsidR="00303303" w:rsidRPr="00E44F3E" w:rsidRDefault="00303303">
            <w:pPr>
              <w:pStyle w:val="TableText"/>
            </w:pPr>
            <w:r w:rsidRPr="00E44F3E">
              <w:t>Compared with placebo:</w:t>
            </w:r>
          </w:p>
          <w:p w14:paraId="21FAC191" w14:textId="208782F9" w:rsidR="00303303" w:rsidRPr="00E44F3E" w:rsidRDefault="00303303" w:rsidP="00135084">
            <w:pPr>
              <w:pStyle w:val="TableBullet"/>
            </w:pPr>
            <w:r w:rsidRPr="00E44F3E">
              <w:t>Gain of &gt;5.5 months median progression</w:t>
            </w:r>
            <w:r w:rsidR="00933F09">
              <w:t>-</w:t>
            </w:r>
            <w:r w:rsidRPr="00E44F3E">
              <w:t>free survival.</w:t>
            </w:r>
          </w:p>
          <w:p w14:paraId="2BE0A9F3" w14:textId="77777777" w:rsidR="00303303" w:rsidRPr="00E44F3E" w:rsidRDefault="00303303" w:rsidP="00135084">
            <w:pPr>
              <w:pStyle w:val="TableBullet"/>
            </w:pPr>
            <w:r w:rsidRPr="00E44F3E">
              <w:t>Toxicity results did not contribute to the score.</w:t>
            </w:r>
          </w:p>
          <w:p w14:paraId="64E493AF" w14:textId="09B856AA" w:rsidR="00303303" w:rsidRPr="00E44F3E" w:rsidRDefault="00303303" w:rsidP="00135084">
            <w:pPr>
              <w:pStyle w:val="TableBullet"/>
            </w:pPr>
            <w:r w:rsidRPr="00E44F3E">
              <w:t xml:space="preserve">Improvement in </w:t>
            </w:r>
            <w:r w:rsidR="008C5229" w:rsidRPr="008C5229">
              <w:t>health-related quality of life</w:t>
            </w:r>
            <w:r w:rsidR="008C5229" w:rsidRPr="008C5229" w:rsidDel="008C5229">
              <w:t xml:space="preserve"> </w:t>
            </w:r>
            <w:r w:rsidRPr="00E44F3E">
              <w:t>allows an upgrade to score from 3 to 4.</w:t>
            </w:r>
            <w:r w:rsidR="00B1682D" w:rsidRPr="00E44F3E">
              <w:t xml:space="preserve"> </w:t>
            </w:r>
          </w:p>
        </w:tc>
      </w:tr>
      <w:tr w:rsidR="00303303" w:rsidRPr="00E44F3E" w14:paraId="5F698E47" w14:textId="77777777" w:rsidTr="00ED42AB">
        <w:trPr>
          <w:cantSplit/>
        </w:trPr>
        <w:tc>
          <w:tcPr>
            <w:tcW w:w="0" w:type="auto"/>
            <w:tcBorders>
              <w:top w:val="single" w:sz="4" w:space="0" w:color="C2D9BA"/>
              <w:left w:val="nil"/>
              <w:bottom w:val="single" w:sz="4" w:space="0" w:color="C2D9BA"/>
              <w:right w:val="nil"/>
            </w:tcBorders>
            <w:hideMark/>
          </w:tcPr>
          <w:p w14:paraId="6EF02EB2" w14:textId="7FE160D1"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0F3C5F33" w14:textId="77777777" w:rsidR="00303303" w:rsidRPr="00E44F3E" w:rsidRDefault="00303303">
            <w:pPr>
              <w:pStyle w:val="TableText"/>
            </w:pPr>
            <w:r w:rsidRPr="00E44F3E">
              <w:t>Standard chemotherapy treatments include purine analogues and alkylating agents, often combined with monoclonal antibodies. These treatments may have unacceptable side effects in older patients and those with coexisting illnesses.</w:t>
            </w:r>
          </w:p>
          <w:p w14:paraId="1A1CD6CF" w14:textId="77777777" w:rsidR="00303303" w:rsidRPr="00E44F3E" w:rsidRDefault="00303303">
            <w:pPr>
              <w:pStyle w:val="TableText"/>
            </w:pPr>
            <w:proofErr w:type="spellStart"/>
            <w:r w:rsidRPr="00E44F3E">
              <w:t>Idelalisib</w:t>
            </w:r>
            <w:proofErr w:type="spellEnd"/>
            <w:r w:rsidRPr="00E44F3E">
              <w:t xml:space="preserve"> combined with rituximab is an alternative treatment option to treat relapsed and refectory CLL patients who can’t receive chemotherapy due to cumulative myelotoxicity, poor renal function and/or comorbidities.</w:t>
            </w:r>
          </w:p>
        </w:tc>
      </w:tr>
      <w:tr w:rsidR="00303303" w:rsidRPr="00E44F3E" w14:paraId="137164DA" w14:textId="77777777" w:rsidTr="00ED42AB">
        <w:trPr>
          <w:cantSplit/>
        </w:trPr>
        <w:tc>
          <w:tcPr>
            <w:tcW w:w="0" w:type="auto"/>
            <w:tcBorders>
              <w:top w:val="single" w:sz="4" w:space="0" w:color="C2D9BA"/>
              <w:left w:val="nil"/>
              <w:bottom w:val="single" w:sz="4" w:space="0" w:color="C2D9BA"/>
              <w:right w:val="nil"/>
            </w:tcBorders>
            <w:hideMark/>
          </w:tcPr>
          <w:p w14:paraId="6F8413C7"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hideMark/>
          </w:tcPr>
          <w:p w14:paraId="38F7BF44" w14:textId="044C2073" w:rsidR="00303303" w:rsidRPr="00E44F3E" w:rsidRDefault="00303303">
            <w:pPr>
              <w:pStyle w:val="TableText"/>
            </w:pPr>
            <w:r w:rsidRPr="00E44F3E">
              <w:t>Rituximab 375 mg/m</w:t>
            </w:r>
            <w:r w:rsidRPr="00E44F3E">
              <w:rPr>
                <w:vertAlign w:val="superscript"/>
              </w:rPr>
              <w:t>2</w:t>
            </w:r>
            <w:r w:rsidRPr="00E44F3E">
              <w:t xml:space="preserve"> intravenous cycle 1</w:t>
            </w:r>
            <w:r w:rsidR="00377686">
              <w:t>,</w:t>
            </w:r>
            <w:r w:rsidRPr="00E44F3E">
              <w:t xml:space="preserve"> then 500 mg/m</w:t>
            </w:r>
            <w:r w:rsidRPr="00135084">
              <w:rPr>
                <w:vertAlign w:val="superscript"/>
              </w:rPr>
              <w:t>2</w:t>
            </w:r>
            <w:r w:rsidRPr="00E44F3E">
              <w:t xml:space="preserve"> cycles 2 to 4 Q2W</w:t>
            </w:r>
            <w:r w:rsidR="00377686">
              <w:t>,</w:t>
            </w:r>
            <w:r w:rsidRPr="00E44F3E">
              <w:t xml:space="preserve"> then 500 mg/m</w:t>
            </w:r>
            <w:r w:rsidRPr="00E44F3E">
              <w:rPr>
                <w:vertAlign w:val="superscript"/>
              </w:rPr>
              <w:t>2</w:t>
            </w:r>
            <w:r w:rsidRPr="00E44F3E">
              <w:t xml:space="preserve"> IV cycles 5 to 8 Q4W. </w:t>
            </w:r>
            <w:proofErr w:type="spellStart"/>
            <w:r w:rsidRPr="00E44F3E">
              <w:t>Idelalisib</w:t>
            </w:r>
            <w:proofErr w:type="spellEnd"/>
            <w:r w:rsidRPr="00E44F3E">
              <w:t xml:space="preserve"> 150</w:t>
            </w:r>
            <w:r w:rsidR="001437A6">
              <w:t> </w:t>
            </w:r>
            <w:r w:rsidRPr="00E44F3E">
              <w:t>mg orally twice daily continuously.</w:t>
            </w:r>
          </w:p>
        </w:tc>
      </w:tr>
      <w:tr w:rsidR="00303303" w:rsidRPr="00E44F3E" w14:paraId="71ADDAA8" w14:textId="77777777" w:rsidTr="00ED42AB">
        <w:trPr>
          <w:cantSplit/>
        </w:trPr>
        <w:tc>
          <w:tcPr>
            <w:tcW w:w="0" w:type="auto"/>
            <w:tcBorders>
              <w:top w:val="single" w:sz="4" w:space="0" w:color="C2D9BA"/>
              <w:left w:val="nil"/>
              <w:bottom w:val="single" w:sz="4" w:space="0" w:color="C2D9BA"/>
              <w:right w:val="nil"/>
            </w:tcBorders>
            <w:hideMark/>
          </w:tcPr>
          <w:p w14:paraId="0036CE2D"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hideMark/>
          </w:tcPr>
          <w:p w14:paraId="519032B1" w14:textId="77777777" w:rsidR="00303303" w:rsidRPr="00E44F3E" w:rsidRDefault="00303303" w:rsidP="00135084">
            <w:pPr>
              <w:pStyle w:val="TableBullet"/>
            </w:pPr>
            <w:r w:rsidRPr="00E44F3E">
              <w:t>Rituximab is administered by slow IV infusion cycle 1 and may need to be as an inpatient if high risk of cytokine release syndrome. Further cycles can be administered in a chemotherapy outpatient clinic.</w:t>
            </w:r>
          </w:p>
          <w:p w14:paraId="23F59FCC" w14:textId="77777777" w:rsidR="00303303" w:rsidRPr="00E44F3E" w:rsidRDefault="00303303" w:rsidP="00135084">
            <w:pPr>
              <w:pStyle w:val="TableBullet"/>
            </w:pPr>
            <w:proofErr w:type="spellStart"/>
            <w:r w:rsidRPr="00E44F3E">
              <w:t>Idelalisib</w:t>
            </w:r>
            <w:proofErr w:type="spellEnd"/>
            <w:r w:rsidRPr="00E44F3E">
              <w:t xml:space="preserve"> tablets allow treatment at home.</w:t>
            </w:r>
          </w:p>
          <w:p w14:paraId="210021C3" w14:textId="77777777" w:rsidR="00303303" w:rsidRPr="00E44F3E" w:rsidRDefault="00303303" w:rsidP="00135084">
            <w:pPr>
              <w:pStyle w:val="TableBullet"/>
            </w:pPr>
            <w:r w:rsidRPr="00E44F3E">
              <w:t>Regular blood tests and other monitoring are required to monitor for toxicity and response to treatment.</w:t>
            </w:r>
          </w:p>
          <w:p w14:paraId="1D1C08B7" w14:textId="77777777" w:rsidR="00303303" w:rsidRPr="00E44F3E" w:rsidRDefault="00303303" w:rsidP="00135084">
            <w:pPr>
              <w:pStyle w:val="TableBullet"/>
            </w:pPr>
            <w:r w:rsidRPr="00E44F3E">
              <w:t>Dose modifications or delays may be needed if patient is intolerant to treatment.</w:t>
            </w:r>
          </w:p>
          <w:p w14:paraId="578703E9" w14:textId="77858C41" w:rsidR="00303303" w:rsidRPr="001437A6" w:rsidRDefault="00303303" w:rsidP="00135084">
            <w:pPr>
              <w:pStyle w:val="TableBullet"/>
            </w:pPr>
            <w:r w:rsidRPr="00E44F3E">
              <w:t>Other medications may be needed to control side effects and to prevent infections.</w:t>
            </w:r>
          </w:p>
        </w:tc>
      </w:tr>
      <w:tr w:rsidR="00303303" w:rsidRPr="00E44F3E" w14:paraId="62119DFD" w14:textId="77777777" w:rsidTr="00ED42AB">
        <w:trPr>
          <w:cantSplit/>
        </w:trPr>
        <w:tc>
          <w:tcPr>
            <w:tcW w:w="0" w:type="auto"/>
            <w:tcBorders>
              <w:top w:val="single" w:sz="4" w:space="0" w:color="C2D9BA"/>
              <w:left w:val="nil"/>
              <w:bottom w:val="single" w:sz="4" w:space="0" w:color="C2D9BA"/>
              <w:right w:val="nil"/>
            </w:tcBorders>
            <w:hideMark/>
          </w:tcPr>
          <w:p w14:paraId="35AA5724" w14:textId="77777777" w:rsidR="00303303" w:rsidRPr="00E44F3E" w:rsidRDefault="00303303">
            <w:pPr>
              <w:pStyle w:val="TableText"/>
              <w:ind w:right="113"/>
              <w:rPr>
                <w:b/>
              </w:rPr>
            </w:pPr>
            <w:r w:rsidRPr="00E44F3E">
              <w:rPr>
                <w:b/>
              </w:rPr>
              <w:t>Health system resource considerations</w:t>
            </w:r>
          </w:p>
        </w:tc>
        <w:tc>
          <w:tcPr>
            <w:tcW w:w="0" w:type="auto"/>
            <w:gridSpan w:val="2"/>
            <w:tcBorders>
              <w:top w:val="single" w:sz="4" w:space="0" w:color="C2D9BA"/>
              <w:left w:val="nil"/>
              <w:bottom w:val="single" w:sz="4" w:space="0" w:color="C2D9BA"/>
              <w:right w:val="nil"/>
            </w:tcBorders>
          </w:tcPr>
          <w:p w14:paraId="62DDE082" w14:textId="77777777" w:rsidR="00303303" w:rsidRPr="00E44F3E" w:rsidRDefault="00303303" w:rsidP="00135084">
            <w:pPr>
              <w:pStyle w:val="TableBullet"/>
            </w:pPr>
            <w:r w:rsidRPr="00E44F3E">
              <w:t>Rituximab is administered by slow IV infusion cycle 1 and may need to be as an inpatient if high risk of cytokine release syndrome. Further cycles can be administered in a chemotherapy outpatient clinic.</w:t>
            </w:r>
          </w:p>
          <w:p w14:paraId="74FAD2A9" w14:textId="77777777" w:rsidR="00303303" w:rsidRPr="00E44F3E" w:rsidRDefault="00303303" w:rsidP="00135084">
            <w:pPr>
              <w:pStyle w:val="TableBullet"/>
            </w:pPr>
            <w:r w:rsidRPr="00E44F3E">
              <w:t xml:space="preserve">Increased demand for laboratory services to monitor for treatment-related toxicities. </w:t>
            </w:r>
          </w:p>
          <w:p w14:paraId="55708BC3" w14:textId="3722931A" w:rsidR="00303303" w:rsidRPr="00E44F3E" w:rsidRDefault="00303303" w:rsidP="00135084">
            <w:pPr>
              <w:pStyle w:val="TableBullet"/>
            </w:pPr>
            <w:r w:rsidRPr="00E44F3E">
              <w:t>Potential for increased demand for supportive care and toxicity management (including health care professionals’ time and adjustment of pharmaceuticals)</w:t>
            </w:r>
            <w:r w:rsidR="00BE536D">
              <w:t>.</w:t>
            </w:r>
          </w:p>
          <w:p w14:paraId="59AEA71B" w14:textId="77777777" w:rsidR="00303303" w:rsidRPr="00E44F3E" w:rsidRDefault="00303303" w:rsidP="00135084">
            <w:pPr>
              <w:pStyle w:val="TableBullet"/>
            </w:pPr>
            <w:r w:rsidRPr="00E44F3E">
              <w:t>Additional follow-up appointments required.</w:t>
            </w:r>
          </w:p>
          <w:p w14:paraId="6AEEB138" w14:textId="67838EB3" w:rsidR="00303303" w:rsidRPr="00E44F3E" w:rsidRDefault="00303303" w:rsidP="00135084">
            <w:pPr>
              <w:pStyle w:val="TableBullet"/>
            </w:pPr>
            <w:r w:rsidRPr="00E44F3E">
              <w:t>Increased demand for laboratory services to monitor for disease response.</w:t>
            </w:r>
          </w:p>
        </w:tc>
      </w:tr>
    </w:tbl>
    <w:p w14:paraId="760E9E15" w14:textId="3FE7AAE9" w:rsidR="00303303" w:rsidRPr="00E44F3E" w:rsidRDefault="00303303" w:rsidP="00675A4B">
      <w:pPr>
        <w:pStyle w:val="Table"/>
        <w:pageBreakBefore/>
      </w:pPr>
      <w:bookmarkStart w:id="256" w:name="_Ref177736093"/>
      <w:bookmarkStart w:id="257" w:name="_Ref177737165"/>
      <w:bookmarkStart w:id="258" w:name="_Toc180142307"/>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21</w:t>
      </w:r>
      <w:r w:rsidR="00D97615">
        <w:rPr>
          <w:noProof/>
        </w:rPr>
        <w:fldChar w:fldCharType="end"/>
      </w:r>
      <w:bookmarkEnd w:id="256"/>
      <w:r w:rsidR="00245D5E" w:rsidRPr="00E44F3E">
        <w:t>:</w:t>
      </w:r>
      <w:r w:rsidRPr="00E44F3E">
        <w:t xml:space="preserve"> </w:t>
      </w:r>
      <w:proofErr w:type="spellStart"/>
      <w:r w:rsidRPr="00E44F3E">
        <w:t>Inotuzumab</w:t>
      </w:r>
      <w:proofErr w:type="spellEnd"/>
      <w:r w:rsidRPr="00E44F3E">
        <w:t xml:space="preserve"> </w:t>
      </w:r>
      <w:proofErr w:type="spellStart"/>
      <w:r w:rsidRPr="00E44F3E">
        <w:t>ozogamicin</w:t>
      </w:r>
      <w:proofErr w:type="spellEnd"/>
      <w:r w:rsidRPr="00E44F3E">
        <w:t xml:space="preserve"> for CD22-positive B-cell acute lymphoblastic leukaemia relapsed or refractory</w:t>
      </w:r>
      <w:r w:rsidR="00321BB1" w:rsidRPr="00E44F3E">
        <w:t xml:space="preserve"> – </w:t>
      </w:r>
      <w:r w:rsidRPr="00E44F3E">
        <w:t>induction and consolidation</w:t>
      </w:r>
      <w:bookmarkEnd w:id="257"/>
      <w:bookmarkEnd w:id="258"/>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837"/>
        <w:gridCol w:w="444"/>
        <w:gridCol w:w="5798"/>
      </w:tblGrid>
      <w:tr w:rsidR="00303303" w:rsidRPr="00E44F3E" w14:paraId="69B1F0FC" w14:textId="77777777" w:rsidTr="00ED42AB">
        <w:trPr>
          <w:cantSplit/>
        </w:trPr>
        <w:tc>
          <w:tcPr>
            <w:tcW w:w="0" w:type="auto"/>
            <w:tcBorders>
              <w:top w:val="nil"/>
              <w:left w:val="nil"/>
              <w:bottom w:val="nil"/>
              <w:right w:val="nil"/>
            </w:tcBorders>
            <w:shd w:val="clear" w:color="auto" w:fill="C2D9BA"/>
            <w:hideMark/>
          </w:tcPr>
          <w:p w14:paraId="29D390A1" w14:textId="77777777" w:rsidR="00303303" w:rsidRPr="00E44F3E" w:rsidRDefault="00303303">
            <w:pPr>
              <w:pStyle w:val="TableText"/>
              <w:ind w:right="113"/>
              <w:rPr>
                <w:b/>
              </w:rPr>
            </w:pPr>
            <w:r w:rsidRPr="00E44F3E">
              <w:rPr>
                <w:b/>
              </w:rPr>
              <w:t>Indication description</w:t>
            </w:r>
          </w:p>
        </w:tc>
        <w:tc>
          <w:tcPr>
            <w:tcW w:w="0" w:type="auto"/>
            <w:gridSpan w:val="2"/>
            <w:tcBorders>
              <w:top w:val="nil"/>
              <w:left w:val="nil"/>
              <w:bottom w:val="nil"/>
              <w:right w:val="nil"/>
            </w:tcBorders>
            <w:shd w:val="clear" w:color="auto" w:fill="C2D9BA"/>
            <w:hideMark/>
          </w:tcPr>
          <w:p w14:paraId="346033DA" w14:textId="78FEE448" w:rsidR="00303303" w:rsidRPr="00E44F3E" w:rsidRDefault="00303303">
            <w:pPr>
              <w:pStyle w:val="TableText"/>
            </w:pPr>
            <w:r w:rsidRPr="00E44F3E">
              <w:t xml:space="preserve">CD22-positive B-cell precursor acute lymphoblastic leukaemia </w:t>
            </w:r>
            <w:r w:rsidR="00CB3638">
              <w:t xml:space="preserve">(ALL) </w:t>
            </w:r>
            <w:r w:rsidRPr="00E44F3E">
              <w:t>relapsed or refractory – induction and consolidation</w:t>
            </w:r>
          </w:p>
        </w:tc>
      </w:tr>
      <w:tr w:rsidR="00303303" w:rsidRPr="00E44F3E" w14:paraId="30DC6694" w14:textId="77777777" w:rsidTr="00ED42AB">
        <w:trPr>
          <w:cantSplit/>
        </w:trPr>
        <w:tc>
          <w:tcPr>
            <w:tcW w:w="0" w:type="auto"/>
            <w:tcBorders>
              <w:top w:val="single" w:sz="4" w:space="0" w:color="C2D9BA"/>
              <w:left w:val="nil"/>
              <w:bottom w:val="single" w:sz="4" w:space="0" w:color="C2D9BA"/>
              <w:right w:val="nil"/>
            </w:tcBorders>
            <w:shd w:val="clear" w:color="auto" w:fill="E7F0E3"/>
            <w:hideMark/>
          </w:tcPr>
          <w:p w14:paraId="6A76D5A0" w14:textId="77777777" w:rsidR="00303303" w:rsidRPr="00E44F3E" w:rsidRDefault="00303303">
            <w:pPr>
              <w:pStyle w:val="TableT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6BEE5269" w14:textId="77777777" w:rsidR="00303303" w:rsidRPr="00E44F3E" w:rsidRDefault="00303303">
            <w:pPr>
              <w:pStyle w:val="TableText"/>
            </w:pPr>
            <w:proofErr w:type="spellStart"/>
            <w:r w:rsidRPr="00E44F3E">
              <w:t>Inotuzumab</w:t>
            </w:r>
            <w:proofErr w:type="spellEnd"/>
            <w:r w:rsidRPr="00E44F3E">
              <w:t xml:space="preserve"> </w:t>
            </w:r>
            <w:proofErr w:type="spellStart"/>
            <w:r w:rsidRPr="00E44F3E">
              <w:t>ozogamicin</w:t>
            </w:r>
            <w:proofErr w:type="spellEnd"/>
          </w:p>
        </w:tc>
      </w:tr>
      <w:tr w:rsidR="00303303" w:rsidRPr="00E44F3E" w14:paraId="72ADF741" w14:textId="77777777" w:rsidTr="00ED42AB">
        <w:trPr>
          <w:cantSplit/>
        </w:trPr>
        <w:tc>
          <w:tcPr>
            <w:tcW w:w="0" w:type="auto"/>
            <w:tcBorders>
              <w:top w:val="single" w:sz="4" w:space="0" w:color="C2D9BA"/>
              <w:left w:val="nil"/>
              <w:bottom w:val="single" w:sz="4" w:space="0" w:color="C2D9BA"/>
              <w:right w:val="nil"/>
            </w:tcBorders>
            <w:hideMark/>
          </w:tcPr>
          <w:p w14:paraId="12580CEB"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56F43BFB" w14:textId="4728257B" w:rsidR="00303303" w:rsidRPr="00E44F3E" w:rsidRDefault="00303303">
            <w:pPr>
              <w:pStyle w:val="TableText"/>
            </w:pPr>
            <w:proofErr w:type="spellStart"/>
            <w:r w:rsidRPr="00E44F3E">
              <w:t>Inotuzumab</w:t>
            </w:r>
            <w:proofErr w:type="spellEnd"/>
            <w:r w:rsidRPr="00E44F3E">
              <w:t xml:space="preserve"> </w:t>
            </w:r>
            <w:proofErr w:type="spellStart"/>
            <w:r w:rsidRPr="00E44F3E">
              <w:t>ozogamicin</w:t>
            </w:r>
            <w:proofErr w:type="spellEnd"/>
            <w:r w:rsidRPr="00E44F3E">
              <w:t xml:space="preserve"> is a CD22-directed antibody-drug conjugate (ADC)</w:t>
            </w:r>
            <w:r w:rsidR="0052443B">
              <w:t>.</w:t>
            </w:r>
          </w:p>
        </w:tc>
      </w:tr>
      <w:tr w:rsidR="00303303" w:rsidRPr="00E44F3E" w14:paraId="44C9785B" w14:textId="77777777" w:rsidTr="00ED42AB">
        <w:trPr>
          <w:cantSplit/>
        </w:trPr>
        <w:tc>
          <w:tcPr>
            <w:tcW w:w="0" w:type="auto"/>
            <w:tcBorders>
              <w:top w:val="single" w:sz="4" w:space="0" w:color="C2D9BA"/>
              <w:left w:val="nil"/>
              <w:bottom w:val="single" w:sz="4" w:space="0" w:color="C2D9BA"/>
              <w:right w:val="nil"/>
            </w:tcBorders>
            <w:hideMark/>
          </w:tcPr>
          <w:p w14:paraId="16F3681C"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12EDB871" w14:textId="6588A34D" w:rsidR="00303303" w:rsidRPr="00E44F3E" w:rsidRDefault="00303303">
            <w:pPr>
              <w:pStyle w:val="TableText"/>
            </w:pPr>
            <w:r w:rsidRPr="00E44F3E">
              <w:t xml:space="preserve">To achieve a complete response and remission that may proceed to allogeneic </w:t>
            </w:r>
            <w:bookmarkStart w:id="259" w:name="_Hlk177464395"/>
            <w:r w:rsidR="00F035C0" w:rsidRPr="00F035C0">
              <w:t>haematopoietic</w:t>
            </w:r>
            <w:r w:rsidR="00F035C0">
              <w:t xml:space="preserve"> </w:t>
            </w:r>
            <w:r w:rsidRPr="00E44F3E">
              <w:t>stem cell transplant (HSCT</w:t>
            </w:r>
            <w:bookmarkEnd w:id="259"/>
            <w:r w:rsidRPr="00E44F3E">
              <w:t>) for suitable patients. To improve overall survival.</w:t>
            </w:r>
          </w:p>
        </w:tc>
      </w:tr>
      <w:tr w:rsidR="00303303" w:rsidRPr="00E44F3E" w14:paraId="582D3A09" w14:textId="77777777" w:rsidTr="00ED42AB">
        <w:trPr>
          <w:cantSplit/>
        </w:trPr>
        <w:tc>
          <w:tcPr>
            <w:tcW w:w="0" w:type="auto"/>
            <w:tcBorders>
              <w:top w:val="single" w:sz="4" w:space="0" w:color="C2D9BA"/>
              <w:left w:val="nil"/>
              <w:bottom w:val="single" w:sz="4" w:space="0" w:color="C2D9BA"/>
              <w:right w:val="nil"/>
            </w:tcBorders>
            <w:hideMark/>
          </w:tcPr>
          <w:p w14:paraId="001B0278" w14:textId="61C11BA1" w:rsidR="00303303" w:rsidRPr="00E44F3E" w:rsidRDefault="00303303">
            <w:pPr>
              <w:pStyle w:val="TableText"/>
              <w:ind w:right="113"/>
              <w:rPr>
                <w:b/>
              </w:rPr>
            </w:pPr>
            <w:r w:rsidRPr="00E44F3E">
              <w:rPr>
                <w:b/>
              </w:rPr>
              <w:t>Pharmac status</w:t>
            </w:r>
            <w:r w:rsidR="00B067E1">
              <w:rPr>
                <w:b/>
              </w:rPr>
              <w:t xml:space="preserve"> (October 2024)</w:t>
            </w:r>
          </w:p>
        </w:tc>
        <w:tc>
          <w:tcPr>
            <w:tcW w:w="0" w:type="auto"/>
            <w:gridSpan w:val="2"/>
            <w:tcBorders>
              <w:top w:val="single" w:sz="4" w:space="0" w:color="C2D9BA"/>
              <w:left w:val="nil"/>
              <w:bottom w:val="single" w:sz="4" w:space="0" w:color="C2D9BA"/>
              <w:right w:val="nil"/>
            </w:tcBorders>
            <w:hideMark/>
          </w:tcPr>
          <w:p w14:paraId="0776025D" w14:textId="39B65174" w:rsidR="00303303" w:rsidRPr="00E44F3E" w:rsidRDefault="00303303">
            <w:pPr>
              <w:pStyle w:val="TableBullet"/>
            </w:pPr>
            <w:r w:rsidRPr="00E44F3E">
              <w:t xml:space="preserve">Funding </w:t>
            </w:r>
            <w:r w:rsidR="00666190">
              <w:t>a</w:t>
            </w:r>
            <w:r w:rsidRPr="00E44F3E">
              <w:t>pplication received for this indication</w:t>
            </w:r>
            <w:r w:rsidR="00920F27">
              <w:t xml:space="preserve"> (</w:t>
            </w:r>
            <w:r w:rsidR="00594F18">
              <w:t xml:space="preserve">see </w:t>
            </w:r>
            <w:hyperlink r:id="rId95" w:history="1">
              <w:r w:rsidRPr="00E44F3E">
                <w:rPr>
                  <w:rStyle w:val="Hyperlink"/>
                </w:rPr>
                <w:t>connect.pharmac.govt.nz/apptracker/s/application-public/a102P00000BQ7JF/p001762</w:t>
              </w:r>
            </w:hyperlink>
            <w:r w:rsidR="00920F27" w:rsidRPr="00135084">
              <w:t>)</w:t>
            </w:r>
            <w:r w:rsidR="008571B2">
              <w:t>.</w:t>
            </w:r>
          </w:p>
          <w:p w14:paraId="65FB7C52" w14:textId="77777777" w:rsidR="00CB3638" w:rsidRDefault="00303303" w:rsidP="002950CD">
            <w:pPr>
              <w:pStyle w:val="TableBullet"/>
            </w:pPr>
            <w:r w:rsidRPr="00E44F3E">
              <w:t>Application received</w:t>
            </w:r>
            <w:r w:rsidRPr="00E44F3E">
              <w:rPr>
                <w:b/>
                <w:bCs/>
              </w:rPr>
              <w:t xml:space="preserve"> </w:t>
            </w:r>
            <w:r w:rsidRPr="00E44F3E">
              <w:t>June 2021</w:t>
            </w:r>
            <w:r w:rsidR="00CB3638">
              <w:t>.</w:t>
            </w:r>
          </w:p>
          <w:p w14:paraId="55455099" w14:textId="38271DF1" w:rsidR="00303303" w:rsidRPr="00E44F3E" w:rsidRDefault="00303303" w:rsidP="00135084">
            <w:pPr>
              <w:pStyle w:val="TableDash"/>
            </w:pPr>
            <w:r w:rsidRPr="00E44F3E">
              <w:t xml:space="preserve">Proposes 3 </w:t>
            </w:r>
            <w:r w:rsidR="00920F27">
              <w:t>×</w:t>
            </w:r>
            <w:r w:rsidRPr="00E44F3E">
              <w:t xml:space="preserve"> cycles as a bridge to HSCT</w:t>
            </w:r>
            <w:r w:rsidR="00920F27">
              <w:t>.</w:t>
            </w:r>
          </w:p>
          <w:p w14:paraId="5F31DADE" w14:textId="1B3F1885" w:rsidR="00303303" w:rsidRPr="00E44F3E" w:rsidRDefault="00303303" w:rsidP="002950CD">
            <w:pPr>
              <w:pStyle w:val="TableBullet"/>
            </w:pPr>
            <w:r w:rsidRPr="00E44F3E">
              <w:t>Options compared</w:t>
            </w:r>
            <w:r w:rsidRPr="00E44F3E">
              <w:rPr>
                <w:b/>
                <w:bCs/>
              </w:rPr>
              <w:t xml:space="preserve"> </w:t>
            </w:r>
            <w:r w:rsidRPr="00E44F3E">
              <w:t>March 2023</w:t>
            </w:r>
            <w:r w:rsidR="00920F27">
              <w:t>.</w:t>
            </w:r>
            <w:r w:rsidRPr="00E44F3E">
              <w:t xml:space="preserve"> </w:t>
            </w:r>
          </w:p>
          <w:p w14:paraId="16A655F6" w14:textId="77777777" w:rsidR="00303303" w:rsidRPr="00E44F3E" w:rsidRDefault="00303303" w:rsidP="002950CD">
            <w:pPr>
              <w:pStyle w:val="TableDash"/>
            </w:pPr>
            <w:r w:rsidRPr="00E44F3E">
              <w:t>The relative ranking of the pharmaceutical application has been completed.</w:t>
            </w:r>
          </w:p>
          <w:p w14:paraId="063C73A5" w14:textId="3AA9A280" w:rsidR="00303303" w:rsidRPr="00E44F3E" w:rsidRDefault="00303303" w:rsidP="002950CD">
            <w:pPr>
              <w:pStyle w:val="TableBullet"/>
            </w:pPr>
            <w:bookmarkStart w:id="260" w:name="_Hlk177464469"/>
            <w:r w:rsidRPr="00E44F3E">
              <w:t>Named Patient Pharmaceutical Assessment (NPPA)</w:t>
            </w:r>
            <w:bookmarkEnd w:id="260"/>
            <w:r w:rsidRPr="00E44F3E">
              <w:t xml:space="preserve"> applications received and approved</w:t>
            </w:r>
            <w:r w:rsidR="00920F27">
              <w:t>.</w:t>
            </w:r>
            <w:r w:rsidRPr="00E44F3E">
              <w:t xml:space="preserve"> </w:t>
            </w:r>
          </w:p>
        </w:tc>
      </w:tr>
      <w:tr w:rsidR="00F12620" w:rsidRPr="00E44F3E" w14:paraId="6236789E" w14:textId="77777777" w:rsidTr="00ED42AB">
        <w:trPr>
          <w:cantSplit/>
        </w:trPr>
        <w:tc>
          <w:tcPr>
            <w:tcW w:w="0" w:type="auto"/>
            <w:tcBorders>
              <w:top w:val="single" w:sz="4" w:space="0" w:color="C2D9BA"/>
              <w:left w:val="nil"/>
              <w:bottom w:val="single" w:sz="4" w:space="0" w:color="C2D9BA"/>
              <w:right w:val="nil"/>
            </w:tcBorders>
            <w:hideMark/>
          </w:tcPr>
          <w:p w14:paraId="5A1854D8" w14:textId="59A8B9C4"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727BB9AF" w14:textId="77777777" w:rsidR="00303303" w:rsidRPr="00E44F3E" w:rsidRDefault="00303303">
            <w:pPr>
              <w:pStyle w:val="TableText"/>
            </w:pPr>
            <w:r w:rsidRPr="00E44F3E">
              <w:t>4</w:t>
            </w:r>
          </w:p>
        </w:tc>
        <w:tc>
          <w:tcPr>
            <w:tcW w:w="0" w:type="auto"/>
            <w:tcBorders>
              <w:top w:val="single" w:sz="4" w:space="0" w:color="C2D9BA"/>
              <w:left w:val="nil"/>
              <w:bottom w:val="single" w:sz="4" w:space="0" w:color="C2D9BA"/>
              <w:right w:val="nil"/>
            </w:tcBorders>
          </w:tcPr>
          <w:p w14:paraId="0F8F58E7" w14:textId="77777777" w:rsidR="00303303" w:rsidRPr="00E44F3E" w:rsidRDefault="00303303">
            <w:pPr>
              <w:pStyle w:val="TableText"/>
            </w:pPr>
            <w:r w:rsidRPr="00E44F3E">
              <w:t>Compared with standard-of-care chemotherapy:</w:t>
            </w:r>
          </w:p>
          <w:p w14:paraId="09523FCE" w14:textId="77777777" w:rsidR="00303303" w:rsidRPr="00E44F3E" w:rsidRDefault="00303303" w:rsidP="00135084">
            <w:pPr>
              <w:pStyle w:val="TableBullet"/>
            </w:pPr>
            <w:r w:rsidRPr="00E44F3E">
              <w:t xml:space="preserve">2-year overall survival rate was 23% (95% CI, 16%–30%) vs 10% (5%–16%). </w:t>
            </w:r>
          </w:p>
          <w:p w14:paraId="336689EB" w14:textId="77777777" w:rsidR="00303303" w:rsidRPr="00E44F3E" w:rsidRDefault="00303303" w:rsidP="00135084">
            <w:pPr>
              <w:pStyle w:val="TableBullet"/>
            </w:pPr>
            <w:r w:rsidRPr="00E44F3E">
              <w:t>Toxicity results did not contribute to the score.</w:t>
            </w:r>
          </w:p>
          <w:p w14:paraId="7FC5CC2B" w14:textId="128493C7" w:rsidR="00303303" w:rsidRPr="00E44F3E" w:rsidRDefault="00303303" w:rsidP="00135084">
            <w:pPr>
              <w:pStyle w:val="TableBullet"/>
            </w:pPr>
            <w:r w:rsidRPr="00E44F3E">
              <w:t>No upgrade for quality of life</w:t>
            </w:r>
            <w:r w:rsidR="0052443B">
              <w:t>.</w:t>
            </w:r>
            <w:r w:rsidR="00B1682D" w:rsidRPr="00E44F3E">
              <w:t xml:space="preserve"> </w:t>
            </w:r>
          </w:p>
        </w:tc>
      </w:tr>
      <w:tr w:rsidR="00303303" w:rsidRPr="00E44F3E" w14:paraId="59FFE788" w14:textId="77777777" w:rsidTr="00ED42AB">
        <w:trPr>
          <w:cantSplit/>
        </w:trPr>
        <w:tc>
          <w:tcPr>
            <w:tcW w:w="0" w:type="auto"/>
            <w:tcBorders>
              <w:top w:val="single" w:sz="4" w:space="0" w:color="C2D9BA"/>
              <w:left w:val="nil"/>
              <w:bottom w:val="single" w:sz="4" w:space="0" w:color="C2D9BA"/>
              <w:right w:val="nil"/>
            </w:tcBorders>
            <w:hideMark/>
          </w:tcPr>
          <w:p w14:paraId="5EBE2DEC" w14:textId="38EB8B57"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40F49F7C" w14:textId="15ACCDC3" w:rsidR="00303303" w:rsidRPr="00E44F3E" w:rsidRDefault="00303303">
            <w:pPr>
              <w:pStyle w:val="TableText"/>
              <w:rPr>
                <w:color w:val="222222"/>
                <w:shd w:val="clear" w:color="auto" w:fill="FFFFFF"/>
              </w:rPr>
            </w:pPr>
            <w:r w:rsidRPr="00E44F3E">
              <w:rPr>
                <w:color w:val="222222"/>
                <w:shd w:val="clear" w:color="auto" w:fill="FFFFFF"/>
              </w:rPr>
              <w:t>Current standard first-line salvage treatment for relapsed or refractory B</w:t>
            </w:r>
            <w:r w:rsidR="008571B2">
              <w:rPr>
                <w:color w:val="222222"/>
                <w:shd w:val="clear" w:color="auto" w:fill="FFFFFF"/>
              </w:rPr>
              <w:noBreakHyphen/>
            </w:r>
            <w:r w:rsidRPr="00E44F3E">
              <w:rPr>
                <w:color w:val="222222"/>
                <w:shd w:val="clear" w:color="auto" w:fill="FFFFFF"/>
              </w:rPr>
              <w:t>cell ALL is reintroduction of intensive chemotherapy treatment as part of an overall plan for long-term disease control to allow for an allografting procedure if eligible. Intensive chemotherapy regimens require extended hospital stays for patients</w:t>
            </w:r>
            <w:r w:rsidR="008571B2">
              <w:rPr>
                <w:color w:val="222222"/>
                <w:shd w:val="clear" w:color="auto" w:fill="FFFFFF"/>
              </w:rPr>
              <w:t>,</w:t>
            </w:r>
            <w:r w:rsidRPr="00E44F3E">
              <w:rPr>
                <w:color w:val="222222"/>
                <w:shd w:val="clear" w:color="auto" w:fill="FFFFFF"/>
              </w:rPr>
              <w:t xml:space="preserve"> which are associated with adverse events</w:t>
            </w:r>
            <w:r w:rsidR="008571B2">
              <w:rPr>
                <w:color w:val="222222"/>
                <w:shd w:val="clear" w:color="auto" w:fill="FFFFFF"/>
              </w:rPr>
              <w:t>,</w:t>
            </w:r>
            <w:r w:rsidRPr="00E44F3E">
              <w:rPr>
                <w:color w:val="222222"/>
                <w:shd w:val="clear" w:color="auto" w:fill="FFFFFF"/>
              </w:rPr>
              <w:t xml:space="preserve"> including </w:t>
            </w:r>
            <w:proofErr w:type="spellStart"/>
            <w:r w:rsidRPr="00E44F3E">
              <w:rPr>
                <w:color w:val="222222"/>
                <w:shd w:val="clear" w:color="auto" w:fill="FFFFFF"/>
              </w:rPr>
              <w:t>haematotoxicity</w:t>
            </w:r>
            <w:proofErr w:type="spellEnd"/>
            <w:r w:rsidRPr="00E44F3E">
              <w:rPr>
                <w:color w:val="222222"/>
                <w:shd w:val="clear" w:color="auto" w:fill="FFFFFF"/>
              </w:rPr>
              <w:t xml:space="preserve">, infection, hepatotoxicity, nephrotoxicity, </w:t>
            </w:r>
            <w:proofErr w:type="gramStart"/>
            <w:r w:rsidRPr="00E44F3E">
              <w:rPr>
                <w:color w:val="222222"/>
                <w:shd w:val="clear" w:color="auto" w:fill="FFFFFF"/>
              </w:rPr>
              <w:t>mucositis</w:t>
            </w:r>
            <w:proofErr w:type="gramEnd"/>
            <w:r w:rsidRPr="00E44F3E">
              <w:rPr>
                <w:color w:val="222222"/>
                <w:shd w:val="clear" w:color="auto" w:fill="FFFFFF"/>
              </w:rPr>
              <w:t xml:space="preserve"> and neurotoxicity, which can limit further treatment and dose intensity, which may compromise patient outcomes.</w:t>
            </w:r>
          </w:p>
          <w:p w14:paraId="03972F58" w14:textId="1ECB199C" w:rsidR="00303303" w:rsidRPr="00E44F3E" w:rsidRDefault="00303303">
            <w:pPr>
              <w:pStyle w:val="TableText"/>
              <w:rPr>
                <w:color w:val="222222"/>
                <w:shd w:val="clear" w:color="auto" w:fill="FFFFFF"/>
              </w:rPr>
            </w:pPr>
            <w:proofErr w:type="spellStart"/>
            <w:r w:rsidRPr="00E44F3E">
              <w:rPr>
                <w:color w:val="222222"/>
                <w:shd w:val="clear" w:color="auto" w:fill="FFFFFF"/>
              </w:rPr>
              <w:t>Inotuzumab</w:t>
            </w:r>
            <w:proofErr w:type="spellEnd"/>
            <w:r w:rsidRPr="00E44F3E">
              <w:rPr>
                <w:color w:val="222222"/>
                <w:shd w:val="clear" w:color="auto" w:fill="FFFFFF"/>
              </w:rPr>
              <w:t xml:space="preserve"> </w:t>
            </w:r>
            <w:proofErr w:type="spellStart"/>
            <w:r w:rsidRPr="00E44F3E">
              <w:rPr>
                <w:color w:val="222222"/>
                <w:shd w:val="clear" w:color="auto" w:fill="FFFFFF"/>
              </w:rPr>
              <w:t>ozogamicin</w:t>
            </w:r>
            <w:proofErr w:type="spellEnd"/>
            <w:r w:rsidRPr="00E44F3E">
              <w:rPr>
                <w:color w:val="222222"/>
                <w:shd w:val="clear" w:color="auto" w:fill="FFFFFF"/>
              </w:rPr>
              <w:t xml:space="preserve"> would be an alternative second</w:t>
            </w:r>
            <w:r w:rsidR="008E29C7">
              <w:rPr>
                <w:color w:val="222222"/>
                <w:shd w:val="clear" w:color="auto" w:fill="FFFFFF"/>
              </w:rPr>
              <w:t>-</w:t>
            </w:r>
            <w:r w:rsidRPr="00E44F3E">
              <w:rPr>
                <w:color w:val="222222"/>
                <w:shd w:val="clear" w:color="auto" w:fill="FFFFFF"/>
              </w:rPr>
              <w:t>line treatment for relapse after intensive combination chemotherapy for initial treatment of ALL or as third line after one prior line of salvage treatment. The goal would be to improve overall survival and</w:t>
            </w:r>
            <w:r w:rsidR="008E29C7">
              <w:rPr>
                <w:color w:val="222222"/>
                <w:shd w:val="clear" w:color="auto" w:fill="FFFFFF"/>
              </w:rPr>
              <w:t>,</w:t>
            </w:r>
            <w:r w:rsidRPr="00E44F3E">
              <w:rPr>
                <w:color w:val="222222"/>
                <w:shd w:val="clear" w:color="auto" w:fill="FFFFFF"/>
              </w:rPr>
              <w:t xml:space="preserve"> for some patients, </w:t>
            </w:r>
            <w:r w:rsidR="008E29C7">
              <w:rPr>
                <w:color w:val="222222"/>
                <w:shd w:val="clear" w:color="auto" w:fill="FFFFFF"/>
              </w:rPr>
              <w:t xml:space="preserve">provide </w:t>
            </w:r>
            <w:r w:rsidRPr="00E44F3E">
              <w:rPr>
                <w:color w:val="222222"/>
                <w:shd w:val="clear" w:color="auto" w:fill="FFFFFF"/>
              </w:rPr>
              <w:t xml:space="preserve">a bridge to allogeneic </w:t>
            </w:r>
            <w:r w:rsidR="00DF7D62">
              <w:rPr>
                <w:color w:val="222222"/>
                <w:shd w:val="clear" w:color="auto" w:fill="FFFFFF"/>
              </w:rPr>
              <w:t>HSCT</w:t>
            </w:r>
            <w:r w:rsidRPr="00E44F3E">
              <w:rPr>
                <w:color w:val="222222"/>
                <w:shd w:val="clear" w:color="auto" w:fill="FFFFFF"/>
              </w:rPr>
              <w:t>.</w:t>
            </w:r>
          </w:p>
        </w:tc>
      </w:tr>
      <w:tr w:rsidR="00303303" w:rsidRPr="00E44F3E" w14:paraId="08F767BD" w14:textId="77777777" w:rsidTr="00ED42AB">
        <w:trPr>
          <w:cantSplit/>
        </w:trPr>
        <w:tc>
          <w:tcPr>
            <w:tcW w:w="0" w:type="auto"/>
            <w:tcBorders>
              <w:top w:val="single" w:sz="4" w:space="0" w:color="C2D9BA"/>
              <w:left w:val="nil"/>
              <w:bottom w:val="single" w:sz="4" w:space="0" w:color="C2D9BA"/>
              <w:right w:val="nil"/>
            </w:tcBorders>
            <w:hideMark/>
          </w:tcPr>
          <w:p w14:paraId="49623ED2"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tcPr>
          <w:p w14:paraId="5910E623" w14:textId="77777777" w:rsidR="00303303" w:rsidRPr="00E44F3E" w:rsidRDefault="00303303" w:rsidP="00135084">
            <w:pPr>
              <w:pStyle w:val="TableBullet"/>
            </w:pPr>
            <w:r w:rsidRPr="00E44F3E">
              <w:t>Central venous access device (CVAD) is required to administer this treatment.</w:t>
            </w:r>
          </w:p>
          <w:p w14:paraId="7859C379" w14:textId="77777777" w:rsidR="00303303" w:rsidRPr="00E44F3E" w:rsidRDefault="00303303" w:rsidP="00135084">
            <w:pPr>
              <w:pStyle w:val="TableBullet"/>
            </w:pPr>
            <w:r w:rsidRPr="00E44F3E">
              <w:t>This medicine is given by intravenous infusion.</w:t>
            </w:r>
          </w:p>
          <w:p w14:paraId="26ACF557" w14:textId="70A233B6" w:rsidR="00303303" w:rsidRPr="00E44F3E" w:rsidRDefault="00303303" w:rsidP="00135084">
            <w:pPr>
              <w:pStyle w:val="TableBullet"/>
            </w:pPr>
            <w:r w:rsidRPr="00E44F3E">
              <w:t>Cycle 1 is administered days 1, 8, and 15 for 28</w:t>
            </w:r>
            <w:r w:rsidR="007F5515">
              <w:t>-</w:t>
            </w:r>
            <w:r w:rsidRPr="00E44F3E">
              <w:t>day cycle.</w:t>
            </w:r>
          </w:p>
          <w:p w14:paraId="544CD229" w14:textId="6E561B0E" w:rsidR="00303303" w:rsidRPr="00E44F3E" w:rsidRDefault="00303303" w:rsidP="00135084">
            <w:pPr>
              <w:pStyle w:val="TableBullet"/>
            </w:pPr>
            <w:r w:rsidRPr="00E44F3E">
              <w:t>Cycle</w:t>
            </w:r>
            <w:r w:rsidR="00CB3638">
              <w:t>s</w:t>
            </w:r>
            <w:r w:rsidRPr="00E44F3E">
              <w:t xml:space="preserve"> 2 to 6 administered days 1, 8, and 15 every 21 days</w:t>
            </w:r>
            <w:r w:rsidR="007F5515">
              <w:t>.</w:t>
            </w:r>
          </w:p>
          <w:p w14:paraId="22275AA5" w14:textId="0840CDC8" w:rsidR="00303303" w:rsidRPr="00E44F3E" w:rsidRDefault="00303303" w:rsidP="00135084">
            <w:pPr>
              <w:pStyle w:val="TableBullet"/>
            </w:pPr>
            <w:r w:rsidRPr="00E44F3E">
              <w:t>INO-VATE ALL trial patients received a median of 3 cycles = 9 administrations</w:t>
            </w:r>
            <w:r w:rsidR="007F5515">
              <w:t>.</w:t>
            </w:r>
          </w:p>
          <w:p w14:paraId="5ACD270F" w14:textId="19A6B63F" w:rsidR="00303303" w:rsidRPr="00E44F3E" w:rsidRDefault="00303303" w:rsidP="00135084">
            <w:pPr>
              <w:pStyle w:val="TableBullet"/>
            </w:pPr>
            <w:r w:rsidRPr="00E44F3E">
              <w:t>Pre</w:t>
            </w:r>
            <w:r w:rsidR="00E25D63">
              <w:t>-</w:t>
            </w:r>
            <w:r w:rsidRPr="00E44F3E">
              <w:t>medications required to prevent infusion</w:t>
            </w:r>
            <w:r w:rsidR="007F5515">
              <w:t>-</w:t>
            </w:r>
            <w:r w:rsidRPr="00E44F3E">
              <w:t xml:space="preserve">related reactions. </w:t>
            </w:r>
          </w:p>
          <w:p w14:paraId="0B60505B" w14:textId="2BAA3C5F" w:rsidR="00303303" w:rsidRPr="00E44F3E" w:rsidRDefault="00303303" w:rsidP="00135084">
            <w:pPr>
              <w:pStyle w:val="TableBullet"/>
            </w:pPr>
            <w:r w:rsidRPr="00E44F3E">
              <w:t xml:space="preserve">Observe patient for </w:t>
            </w:r>
            <w:proofErr w:type="gramStart"/>
            <w:r w:rsidRPr="00E44F3E">
              <w:t>1 hour</w:t>
            </w:r>
            <w:proofErr w:type="gramEnd"/>
            <w:r w:rsidRPr="00E44F3E">
              <w:t xml:space="preserve"> post</w:t>
            </w:r>
            <w:r w:rsidR="007F5515">
              <w:t>-</w:t>
            </w:r>
            <w:r w:rsidRPr="00E44F3E">
              <w:t>infusion.</w:t>
            </w:r>
          </w:p>
        </w:tc>
      </w:tr>
      <w:tr w:rsidR="00303303" w:rsidRPr="00E44F3E" w14:paraId="31C73DF8" w14:textId="77777777" w:rsidTr="00ED42AB">
        <w:trPr>
          <w:cantSplit/>
        </w:trPr>
        <w:tc>
          <w:tcPr>
            <w:tcW w:w="0" w:type="auto"/>
            <w:tcBorders>
              <w:top w:val="single" w:sz="4" w:space="0" w:color="C2D9BA"/>
              <w:left w:val="nil"/>
              <w:bottom w:val="single" w:sz="4" w:space="0" w:color="C2D9BA"/>
              <w:right w:val="nil"/>
            </w:tcBorders>
            <w:hideMark/>
          </w:tcPr>
          <w:p w14:paraId="16536560" w14:textId="77777777" w:rsidR="00303303" w:rsidRPr="00E44F3E" w:rsidRDefault="00303303">
            <w:pPr>
              <w:pStyle w:val="TableText"/>
              <w:ind w:right="113"/>
              <w:rPr>
                <w:b/>
              </w:rPr>
            </w:pPr>
            <w:r w:rsidRPr="00E44F3E">
              <w:rPr>
                <w:b/>
              </w:rPr>
              <w:lastRenderedPageBreak/>
              <w:t>Patient and whānau considerations</w:t>
            </w:r>
          </w:p>
        </w:tc>
        <w:tc>
          <w:tcPr>
            <w:tcW w:w="0" w:type="auto"/>
            <w:gridSpan w:val="2"/>
            <w:tcBorders>
              <w:top w:val="single" w:sz="4" w:space="0" w:color="C2D9BA"/>
              <w:left w:val="nil"/>
              <w:bottom w:val="single" w:sz="4" w:space="0" w:color="C2D9BA"/>
              <w:right w:val="nil"/>
            </w:tcBorders>
          </w:tcPr>
          <w:p w14:paraId="1864D1B2" w14:textId="77777777" w:rsidR="00303303" w:rsidRPr="00E44F3E" w:rsidRDefault="00303303" w:rsidP="00135084">
            <w:pPr>
              <w:pStyle w:val="TableBullet"/>
            </w:pPr>
            <w:r w:rsidRPr="00E44F3E">
              <w:t>Weekly administration with pre-medication.</w:t>
            </w:r>
          </w:p>
          <w:p w14:paraId="6ECD4785" w14:textId="2FE339A4" w:rsidR="00303303" w:rsidRPr="00E44F3E" w:rsidRDefault="00303303" w:rsidP="00135084">
            <w:pPr>
              <w:pStyle w:val="TableBullet"/>
            </w:pPr>
            <w:r w:rsidRPr="00E44F3E">
              <w:t>CVAD is required to administer this treatment.</w:t>
            </w:r>
          </w:p>
          <w:p w14:paraId="543D9973" w14:textId="77777777" w:rsidR="00303303" w:rsidRPr="00E44F3E" w:rsidRDefault="00303303" w:rsidP="00135084">
            <w:pPr>
              <w:pStyle w:val="TableBullet"/>
            </w:pPr>
            <w:r w:rsidRPr="00E44F3E">
              <w:t>Patients may be required to stay in a hospital for some administrations.</w:t>
            </w:r>
          </w:p>
          <w:p w14:paraId="5A34AC6A" w14:textId="66E49A1A" w:rsidR="00303303" w:rsidRPr="00E44F3E" w:rsidRDefault="00303303" w:rsidP="00135084">
            <w:pPr>
              <w:pStyle w:val="TableBullet"/>
            </w:pPr>
            <w:r w:rsidRPr="00E44F3E">
              <w:t xml:space="preserve">Patients who are treated with </w:t>
            </w:r>
            <w:proofErr w:type="spellStart"/>
            <w:r w:rsidRPr="00E44F3E">
              <w:t>inotuzumab</w:t>
            </w:r>
            <w:proofErr w:type="spellEnd"/>
            <w:r w:rsidRPr="00E44F3E">
              <w:t xml:space="preserve"> </w:t>
            </w:r>
            <w:proofErr w:type="spellStart"/>
            <w:r w:rsidRPr="00E44F3E">
              <w:t>ozogamicin</w:t>
            </w:r>
            <w:proofErr w:type="spellEnd"/>
            <w:r w:rsidRPr="00E44F3E">
              <w:t xml:space="preserve"> may proceed to allogeneic </w:t>
            </w:r>
            <w:r w:rsidR="00DF7D62">
              <w:t>HSCT</w:t>
            </w:r>
            <w:r w:rsidRPr="00E44F3E">
              <w:t xml:space="preserve">. </w:t>
            </w:r>
          </w:p>
        </w:tc>
      </w:tr>
      <w:tr w:rsidR="00303303" w:rsidRPr="00E44F3E" w14:paraId="0F2E713D" w14:textId="77777777" w:rsidTr="00ED42AB">
        <w:trPr>
          <w:cantSplit/>
        </w:trPr>
        <w:tc>
          <w:tcPr>
            <w:tcW w:w="0" w:type="auto"/>
            <w:tcBorders>
              <w:top w:val="single" w:sz="4" w:space="0" w:color="C2D9BA"/>
              <w:left w:val="nil"/>
              <w:bottom w:val="single" w:sz="4" w:space="0" w:color="C2D9BA"/>
              <w:right w:val="nil"/>
            </w:tcBorders>
            <w:hideMark/>
          </w:tcPr>
          <w:p w14:paraId="43A1164E" w14:textId="77777777" w:rsidR="00303303" w:rsidRPr="00E44F3E" w:rsidRDefault="00303303">
            <w:pPr>
              <w:pStyle w:val="TableText"/>
              <w:ind w:right="113"/>
              <w:rPr>
                <w:b/>
              </w:rPr>
            </w:pPr>
            <w:r w:rsidRPr="00E44F3E">
              <w:rPr>
                <w:b/>
              </w:rPr>
              <w:t>Health system resource considerations</w:t>
            </w:r>
          </w:p>
        </w:tc>
        <w:tc>
          <w:tcPr>
            <w:tcW w:w="0" w:type="auto"/>
            <w:gridSpan w:val="2"/>
            <w:tcBorders>
              <w:top w:val="single" w:sz="4" w:space="0" w:color="C2D9BA"/>
              <w:left w:val="nil"/>
              <w:bottom w:val="single" w:sz="4" w:space="0" w:color="C2D9BA"/>
              <w:right w:val="nil"/>
            </w:tcBorders>
          </w:tcPr>
          <w:p w14:paraId="15E1858E" w14:textId="6AF8C896" w:rsidR="00303303" w:rsidRPr="00E44F3E" w:rsidRDefault="00303303" w:rsidP="00135084">
            <w:pPr>
              <w:pStyle w:val="TableBullet"/>
            </w:pPr>
            <w:r w:rsidRPr="00E44F3E">
              <w:t>Stability</w:t>
            </w:r>
            <w:r w:rsidR="00321BB1" w:rsidRPr="00E44F3E">
              <w:t xml:space="preserve"> – </w:t>
            </w:r>
            <w:r w:rsidRPr="00E44F3E">
              <w:t>8 hours after compounding</w:t>
            </w:r>
            <w:r w:rsidR="00E25D63">
              <w:t>.</w:t>
            </w:r>
          </w:p>
          <w:p w14:paraId="07CD5C8D" w14:textId="7A4D6517" w:rsidR="00303303" w:rsidRPr="00E44F3E" w:rsidRDefault="00303303" w:rsidP="00135084">
            <w:pPr>
              <w:pStyle w:val="TableBullet"/>
            </w:pPr>
            <w:r w:rsidRPr="00E44F3E">
              <w:t>Mostly given Q1W for up to 18 administrations (equivalent to 6 cycles). INO-VATE ALL trial patients received a median of 3 cycles = 9 administrations</w:t>
            </w:r>
            <w:r w:rsidR="00E25D63">
              <w:t>.</w:t>
            </w:r>
          </w:p>
          <w:p w14:paraId="6C643708" w14:textId="653406F8" w:rsidR="00303303" w:rsidRPr="00E44F3E" w:rsidRDefault="00303303" w:rsidP="00135084">
            <w:pPr>
              <w:pStyle w:val="TableBullet"/>
            </w:pPr>
            <w:r w:rsidRPr="00E44F3E">
              <w:t>Risk of hypersensitivity reactions, especially in cycle 1. Pre-medication required and post</w:t>
            </w:r>
            <w:r w:rsidR="00E25D63">
              <w:t>-</w:t>
            </w:r>
            <w:r w:rsidRPr="00E44F3E">
              <w:t>infusion monitoring.</w:t>
            </w:r>
          </w:p>
          <w:p w14:paraId="5BA01562" w14:textId="5E659D82" w:rsidR="00303303" w:rsidRPr="00E44F3E" w:rsidRDefault="00303303" w:rsidP="00135084">
            <w:pPr>
              <w:pStyle w:val="TableBullet"/>
            </w:pPr>
            <w:r w:rsidRPr="00E44F3E">
              <w:t>Patients may need some inpatient care</w:t>
            </w:r>
            <w:r w:rsidR="00E25D63">
              <w:t>,</w:t>
            </w:r>
            <w:r w:rsidRPr="00E44F3E">
              <w:t xml:space="preserve"> but it is less than </w:t>
            </w:r>
            <w:r w:rsidR="00110E90">
              <w:t xml:space="preserve">for </w:t>
            </w:r>
            <w:r w:rsidRPr="00E44F3E">
              <w:t>standard salvage chemotherapy.</w:t>
            </w:r>
          </w:p>
          <w:p w14:paraId="27612499" w14:textId="77777777" w:rsidR="00303303" w:rsidRPr="00E44F3E" w:rsidRDefault="00303303" w:rsidP="00135084">
            <w:pPr>
              <w:pStyle w:val="TableBullet"/>
            </w:pPr>
            <w:r w:rsidRPr="00E44F3E">
              <w:t xml:space="preserve">Increased demand for laboratory services to monitor for treatment-related toxicities. </w:t>
            </w:r>
          </w:p>
          <w:p w14:paraId="54C5CCCF" w14:textId="451553C1" w:rsidR="00303303" w:rsidRPr="00E44F3E" w:rsidRDefault="00303303" w:rsidP="00135084">
            <w:pPr>
              <w:pStyle w:val="TableBullet"/>
            </w:pPr>
            <w:r w:rsidRPr="00E44F3E">
              <w:t>Potential for increased demand for supportive care and toxicity management (including health care professionals’ time and adjustment of pharmaceuticals)</w:t>
            </w:r>
            <w:r w:rsidR="00110E90">
              <w:t>.</w:t>
            </w:r>
          </w:p>
          <w:p w14:paraId="434F0920" w14:textId="77777777" w:rsidR="00303303" w:rsidRPr="00E44F3E" w:rsidRDefault="00303303" w:rsidP="00135084">
            <w:pPr>
              <w:pStyle w:val="TableBullet"/>
            </w:pPr>
            <w:r w:rsidRPr="00E44F3E">
              <w:t>Additional follow-up appointments required.</w:t>
            </w:r>
          </w:p>
          <w:p w14:paraId="4A1DE7FE" w14:textId="446D08F5" w:rsidR="00303303" w:rsidRPr="00E44F3E" w:rsidRDefault="00303303" w:rsidP="00135084">
            <w:pPr>
              <w:pStyle w:val="TableBullet"/>
            </w:pPr>
            <w:r w:rsidRPr="00E44F3E">
              <w:t xml:space="preserve">Allogeneic </w:t>
            </w:r>
            <w:r w:rsidR="00DF7D62">
              <w:t>HSCT</w:t>
            </w:r>
            <w:r w:rsidRPr="00E44F3E">
              <w:t xml:space="preserve"> for suitable patients. </w:t>
            </w:r>
          </w:p>
          <w:p w14:paraId="7859CD2B" w14:textId="25FD77F2" w:rsidR="00303303" w:rsidRPr="00E44F3E" w:rsidRDefault="00303303" w:rsidP="00135084">
            <w:pPr>
              <w:pStyle w:val="TableBullet"/>
            </w:pPr>
            <w:r w:rsidRPr="00E44F3E">
              <w:t xml:space="preserve">Risk of sinusoidal obstruction syndrome increased in allogeneic </w:t>
            </w:r>
            <w:r w:rsidR="00DF7D62">
              <w:t>HSCT</w:t>
            </w:r>
            <w:r w:rsidRPr="00E44F3E">
              <w:t xml:space="preserve"> patients.</w:t>
            </w:r>
          </w:p>
          <w:p w14:paraId="2820D8EB" w14:textId="77777777" w:rsidR="00303303" w:rsidRPr="00E44F3E" w:rsidRDefault="00303303" w:rsidP="00135084">
            <w:pPr>
              <w:pStyle w:val="TableBullet"/>
            </w:pPr>
            <w:r w:rsidRPr="00E44F3E">
              <w:t>Increased demand for laboratory services to monitor for disease response.</w:t>
            </w:r>
          </w:p>
        </w:tc>
      </w:tr>
    </w:tbl>
    <w:p w14:paraId="03BAD7AD" w14:textId="77777777" w:rsidR="00303303" w:rsidRPr="00E44F3E" w:rsidRDefault="00303303" w:rsidP="00303303"/>
    <w:p w14:paraId="31F0C943" w14:textId="4B3C82C2" w:rsidR="00303303" w:rsidRPr="00E44F3E" w:rsidRDefault="00303303" w:rsidP="00FB3898">
      <w:pPr>
        <w:pStyle w:val="Table"/>
        <w:pageBreakBefore/>
      </w:pPr>
      <w:bookmarkStart w:id="261" w:name="_Ref177735607"/>
      <w:bookmarkStart w:id="262" w:name="_Toc180142308"/>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22</w:t>
      </w:r>
      <w:r w:rsidR="00D97615">
        <w:rPr>
          <w:noProof/>
        </w:rPr>
        <w:fldChar w:fldCharType="end"/>
      </w:r>
      <w:bookmarkEnd w:id="261"/>
      <w:r w:rsidR="00245D5E" w:rsidRPr="00E44F3E">
        <w:t>:</w:t>
      </w:r>
      <w:r w:rsidRPr="00E44F3E">
        <w:t xml:space="preserve"> </w:t>
      </w:r>
      <w:proofErr w:type="spellStart"/>
      <w:r w:rsidRPr="00E44F3E">
        <w:t>Midostaurin</w:t>
      </w:r>
      <w:proofErr w:type="spellEnd"/>
      <w:r w:rsidRPr="00E44F3E">
        <w:t xml:space="preserve"> for FLT3</w:t>
      </w:r>
      <w:r w:rsidR="00CD2118">
        <w:t>-positive</w:t>
      </w:r>
      <w:r w:rsidRPr="00E44F3E">
        <w:t xml:space="preserve"> acute myeloid leukaemia</w:t>
      </w:r>
      <w:bookmarkEnd w:id="262"/>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2232"/>
        <w:gridCol w:w="363"/>
        <w:gridCol w:w="5484"/>
      </w:tblGrid>
      <w:tr w:rsidR="00ED42AB" w:rsidRPr="00E44F3E" w14:paraId="11150204" w14:textId="77777777" w:rsidTr="00ED42AB">
        <w:trPr>
          <w:cantSplit/>
        </w:trPr>
        <w:tc>
          <w:tcPr>
            <w:tcW w:w="0" w:type="auto"/>
            <w:tcBorders>
              <w:top w:val="nil"/>
              <w:left w:val="nil"/>
              <w:bottom w:val="nil"/>
              <w:right w:val="nil"/>
            </w:tcBorders>
            <w:shd w:val="clear" w:color="auto" w:fill="C2D9BA"/>
            <w:hideMark/>
          </w:tcPr>
          <w:p w14:paraId="7D65D8C4" w14:textId="77777777" w:rsidR="00303303" w:rsidRPr="00E44F3E" w:rsidRDefault="00303303">
            <w:pPr>
              <w:pStyle w:val="TableText"/>
              <w:ind w:right="113"/>
              <w:rPr>
                <w:b/>
              </w:rPr>
            </w:pPr>
            <w:r w:rsidRPr="00E44F3E">
              <w:rPr>
                <w:b/>
              </w:rPr>
              <w:t>Indication description</w:t>
            </w:r>
          </w:p>
        </w:tc>
        <w:tc>
          <w:tcPr>
            <w:tcW w:w="0" w:type="auto"/>
            <w:gridSpan w:val="2"/>
            <w:tcBorders>
              <w:top w:val="nil"/>
              <w:left w:val="nil"/>
              <w:bottom w:val="nil"/>
              <w:right w:val="nil"/>
            </w:tcBorders>
            <w:shd w:val="clear" w:color="auto" w:fill="C2D9BA"/>
            <w:hideMark/>
          </w:tcPr>
          <w:p w14:paraId="4739D7B4" w14:textId="5984813F" w:rsidR="00303303" w:rsidRPr="00E44F3E" w:rsidRDefault="00303303">
            <w:pPr>
              <w:pStyle w:val="TableText"/>
            </w:pPr>
            <w:r w:rsidRPr="00E44F3E">
              <w:t xml:space="preserve">Acute myeloid leukaemia </w:t>
            </w:r>
            <w:r w:rsidR="00B8201A">
              <w:t xml:space="preserve">(AML) </w:t>
            </w:r>
            <w:r w:rsidRPr="00E44F3E">
              <w:t xml:space="preserve">with FMS-like tyrosine kinase 3 gene (FLT3) newly diagnosed induction, </w:t>
            </w:r>
            <w:proofErr w:type="gramStart"/>
            <w:r w:rsidRPr="00E44F3E">
              <w:t>consolidation</w:t>
            </w:r>
            <w:proofErr w:type="gramEnd"/>
            <w:r w:rsidRPr="00E44F3E">
              <w:t xml:space="preserve"> and maintenance</w:t>
            </w:r>
          </w:p>
        </w:tc>
      </w:tr>
      <w:tr w:rsidR="00ED42AB" w:rsidRPr="00E44F3E" w14:paraId="0B07B05C" w14:textId="77777777" w:rsidTr="00ED42AB">
        <w:trPr>
          <w:cantSplit/>
        </w:trPr>
        <w:tc>
          <w:tcPr>
            <w:tcW w:w="0" w:type="auto"/>
            <w:tcBorders>
              <w:top w:val="single" w:sz="4" w:space="0" w:color="C2D9BA"/>
              <w:left w:val="nil"/>
              <w:bottom w:val="single" w:sz="4" w:space="0" w:color="C2D9BA"/>
              <w:right w:val="nil"/>
            </w:tcBorders>
            <w:shd w:val="clear" w:color="auto" w:fill="E7F0E3"/>
            <w:hideMark/>
          </w:tcPr>
          <w:p w14:paraId="6DFAFCF6" w14:textId="77777777" w:rsidR="00303303" w:rsidRPr="00E44F3E" w:rsidRDefault="00303303">
            <w:pPr>
              <w:pStyle w:val="TableT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50C75B55" w14:textId="77777777" w:rsidR="00303303" w:rsidRPr="00E44F3E" w:rsidRDefault="00303303">
            <w:pPr>
              <w:pStyle w:val="TableText"/>
            </w:pPr>
            <w:proofErr w:type="spellStart"/>
            <w:r w:rsidRPr="00E44F3E">
              <w:t>Midostaurin</w:t>
            </w:r>
            <w:proofErr w:type="spellEnd"/>
          </w:p>
        </w:tc>
      </w:tr>
      <w:tr w:rsidR="00ED42AB" w:rsidRPr="00E44F3E" w14:paraId="11C7B4FD" w14:textId="77777777" w:rsidTr="00ED42AB">
        <w:trPr>
          <w:cantSplit/>
        </w:trPr>
        <w:tc>
          <w:tcPr>
            <w:tcW w:w="0" w:type="auto"/>
            <w:tcBorders>
              <w:top w:val="single" w:sz="4" w:space="0" w:color="C2D9BA"/>
              <w:left w:val="nil"/>
              <w:bottom w:val="single" w:sz="4" w:space="0" w:color="C2D9BA"/>
              <w:right w:val="nil"/>
            </w:tcBorders>
            <w:hideMark/>
          </w:tcPr>
          <w:p w14:paraId="41058327"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0B853ED2" w14:textId="4844E851" w:rsidR="00303303" w:rsidRPr="00E44F3E" w:rsidRDefault="00303303">
            <w:pPr>
              <w:pStyle w:val="TableText"/>
            </w:pPr>
            <w:proofErr w:type="spellStart"/>
            <w:r w:rsidRPr="00E44F3E">
              <w:t>Midostaurin</w:t>
            </w:r>
            <w:proofErr w:type="spellEnd"/>
            <w:r w:rsidRPr="00E44F3E">
              <w:t xml:space="preserve"> inhibits multiple receptor tyrosine kinases</w:t>
            </w:r>
            <w:r w:rsidR="003E712B">
              <w:t>,</w:t>
            </w:r>
            <w:r w:rsidRPr="00E44F3E">
              <w:t xml:space="preserve"> including FMS-like tyrosine kinase-3 (FLT-3) and stem cell factor receptor (c-Kit).</w:t>
            </w:r>
          </w:p>
        </w:tc>
      </w:tr>
      <w:tr w:rsidR="00ED42AB" w:rsidRPr="00E44F3E" w14:paraId="74524D25" w14:textId="77777777" w:rsidTr="00ED42AB">
        <w:trPr>
          <w:cantSplit/>
        </w:trPr>
        <w:tc>
          <w:tcPr>
            <w:tcW w:w="0" w:type="auto"/>
            <w:tcBorders>
              <w:top w:val="single" w:sz="4" w:space="0" w:color="C2D9BA"/>
              <w:left w:val="nil"/>
              <w:bottom w:val="single" w:sz="4" w:space="0" w:color="C2D9BA"/>
              <w:right w:val="nil"/>
            </w:tcBorders>
            <w:hideMark/>
          </w:tcPr>
          <w:p w14:paraId="35771851"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34EC9D10" w14:textId="5FED8200" w:rsidR="00303303" w:rsidRPr="00E44F3E" w:rsidRDefault="00303303">
            <w:pPr>
              <w:pStyle w:val="TableText"/>
            </w:pPr>
            <w:r w:rsidRPr="00E44F3E">
              <w:t>Curative</w:t>
            </w:r>
            <w:r w:rsidR="00DB6A8F">
              <w:t>.</w:t>
            </w:r>
          </w:p>
        </w:tc>
      </w:tr>
      <w:tr w:rsidR="00ED42AB" w:rsidRPr="00E44F3E" w14:paraId="0414B94F" w14:textId="77777777" w:rsidTr="00ED42AB">
        <w:trPr>
          <w:cantSplit/>
        </w:trPr>
        <w:tc>
          <w:tcPr>
            <w:tcW w:w="0" w:type="auto"/>
            <w:tcBorders>
              <w:top w:val="single" w:sz="4" w:space="0" w:color="C2D9BA"/>
              <w:left w:val="nil"/>
              <w:bottom w:val="single" w:sz="4" w:space="0" w:color="C2D9BA"/>
              <w:right w:val="nil"/>
            </w:tcBorders>
            <w:hideMark/>
          </w:tcPr>
          <w:p w14:paraId="14667895" w14:textId="733C304F" w:rsidR="00303303" w:rsidRPr="00E44F3E" w:rsidRDefault="00303303">
            <w:pPr>
              <w:pStyle w:val="TableText"/>
              <w:ind w:right="113"/>
              <w:rPr>
                <w:b/>
              </w:rPr>
            </w:pPr>
            <w:r w:rsidRPr="00E44F3E">
              <w:rPr>
                <w:b/>
              </w:rPr>
              <w:t xml:space="preserve">Pharmac status </w:t>
            </w:r>
            <w:r w:rsidR="00B067E1">
              <w:rPr>
                <w:b/>
              </w:rPr>
              <w:t>(October 2024)</w:t>
            </w:r>
          </w:p>
        </w:tc>
        <w:tc>
          <w:tcPr>
            <w:tcW w:w="0" w:type="auto"/>
            <w:gridSpan w:val="2"/>
            <w:tcBorders>
              <w:top w:val="single" w:sz="4" w:space="0" w:color="C2D9BA"/>
              <w:left w:val="nil"/>
              <w:bottom w:val="single" w:sz="4" w:space="0" w:color="C2D9BA"/>
              <w:right w:val="nil"/>
            </w:tcBorders>
            <w:hideMark/>
          </w:tcPr>
          <w:p w14:paraId="6018AAC4" w14:textId="654AC8E1" w:rsidR="00303303" w:rsidRPr="00E44F3E" w:rsidRDefault="00303303" w:rsidP="002950CD">
            <w:pPr>
              <w:pStyle w:val="TableBullet"/>
            </w:pPr>
            <w:r w:rsidRPr="00E44F3E">
              <w:t>Application received April 2019</w:t>
            </w:r>
            <w:r w:rsidR="003E712B">
              <w:t>.</w:t>
            </w:r>
          </w:p>
          <w:p w14:paraId="3F90E214" w14:textId="55CB4796" w:rsidR="00B86B45" w:rsidRDefault="000458D9">
            <w:pPr>
              <w:pStyle w:val="TableBullet"/>
            </w:pPr>
            <w:r>
              <w:t>Funded</w:t>
            </w:r>
            <w:r w:rsidR="00B86B45" w:rsidRPr="00E44F3E">
              <w:t xml:space="preserve"> from 1</w:t>
            </w:r>
            <w:r w:rsidR="00B86B45">
              <w:t> </w:t>
            </w:r>
            <w:r w:rsidR="00B86B45" w:rsidRPr="00E44F3E">
              <w:t>July 2024</w:t>
            </w:r>
          </w:p>
          <w:p w14:paraId="1BC58890" w14:textId="712815CD" w:rsidR="00303303" w:rsidRPr="00E44F3E" w:rsidRDefault="00000000" w:rsidP="00B86B45">
            <w:pPr>
              <w:pStyle w:val="TableBullet"/>
            </w:pPr>
            <w:hyperlink r:id="rId96" w:history="1">
              <w:r w:rsidR="00303303" w:rsidRPr="00E44F3E">
                <w:rPr>
                  <w:rStyle w:val="Hyperlink"/>
                </w:rPr>
                <w:t>connect.pharmac.govt.nz/apptracker/s/application-public/a102P000008ptwH/p000276</w:t>
              </w:r>
            </w:hyperlink>
            <w:r w:rsidR="003E712B" w:rsidRPr="00135084">
              <w:t>).</w:t>
            </w:r>
          </w:p>
        </w:tc>
      </w:tr>
      <w:tr w:rsidR="00ED42AB" w:rsidRPr="00E44F3E" w14:paraId="0DA8B837" w14:textId="77777777" w:rsidTr="00ED42AB">
        <w:trPr>
          <w:cantSplit/>
        </w:trPr>
        <w:tc>
          <w:tcPr>
            <w:tcW w:w="0" w:type="auto"/>
            <w:tcBorders>
              <w:top w:val="single" w:sz="4" w:space="0" w:color="C2D9BA"/>
              <w:left w:val="nil"/>
              <w:bottom w:val="single" w:sz="4" w:space="0" w:color="C2D9BA"/>
              <w:right w:val="nil"/>
            </w:tcBorders>
            <w:hideMark/>
          </w:tcPr>
          <w:p w14:paraId="2A15B9A2" w14:textId="0EDB457C"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1E7F3C98" w14:textId="60BB3365" w:rsidR="00303303" w:rsidRPr="00E44F3E" w:rsidRDefault="00303303">
            <w:pPr>
              <w:pStyle w:val="TableText"/>
              <w:rPr>
                <w:vertAlign w:val="superscript"/>
              </w:rPr>
            </w:pPr>
            <w:r w:rsidRPr="00E44F3E">
              <w:t>A</w:t>
            </w:r>
            <w:r w:rsidRPr="00E44F3E">
              <w:rPr>
                <w:vertAlign w:val="superscript"/>
              </w:rPr>
              <w:t>PT</w:t>
            </w:r>
          </w:p>
        </w:tc>
        <w:tc>
          <w:tcPr>
            <w:tcW w:w="0" w:type="auto"/>
            <w:tcBorders>
              <w:top w:val="single" w:sz="4" w:space="0" w:color="C2D9BA"/>
              <w:left w:val="nil"/>
              <w:bottom w:val="single" w:sz="4" w:space="0" w:color="C2D9BA"/>
              <w:right w:val="nil"/>
            </w:tcBorders>
          </w:tcPr>
          <w:p w14:paraId="1244444D" w14:textId="77777777" w:rsidR="00303303" w:rsidRPr="00E44F3E" w:rsidRDefault="00303303">
            <w:pPr>
              <w:pStyle w:val="TableText"/>
            </w:pPr>
            <w:r w:rsidRPr="00E44F3E">
              <w:t>Compared with placebo:</w:t>
            </w:r>
          </w:p>
          <w:p w14:paraId="5FFCF079" w14:textId="77777777" w:rsidR="00303303" w:rsidRPr="00E44F3E" w:rsidRDefault="00303303" w:rsidP="00135084">
            <w:pPr>
              <w:pStyle w:val="TableBullet"/>
            </w:pPr>
            <w:r w:rsidRPr="00E44F3E">
              <w:t xml:space="preserve">Gain in median overall survival of 49.1 months. </w:t>
            </w:r>
          </w:p>
          <w:p w14:paraId="05A23C22" w14:textId="77777777" w:rsidR="00303303" w:rsidRPr="00E44F3E" w:rsidRDefault="00303303" w:rsidP="00135084">
            <w:pPr>
              <w:pStyle w:val="TableBullet"/>
            </w:pPr>
            <w:r w:rsidRPr="00E44F3E">
              <w:t>Toxicity results did not contribute to the score.</w:t>
            </w:r>
          </w:p>
          <w:p w14:paraId="3BE9A697" w14:textId="1FB00DB8" w:rsidR="00303303" w:rsidRPr="00E44F3E" w:rsidRDefault="00303303" w:rsidP="00135084">
            <w:pPr>
              <w:pStyle w:val="TableBullet"/>
            </w:pPr>
            <w:r w:rsidRPr="00E44F3E">
              <w:t xml:space="preserve">Persistent toxicity </w:t>
            </w:r>
            <w:r w:rsidR="00B8201A">
              <w:t xml:space="preserve">(PT) </w:t>
            </w:r>
            <w:r w:rsidRPr="00E44F3E">
              <w:t xml:space="preserve">is applicable in the patients who received an allogeneic </w:t>
            </w:r>
            <w:r w:rsidR="0011385C" w:rsidRPr="0011385C">
              <w:t>haematopoietic</w:t>
            </w:r>
            <w:r w:rsidRPr="00E44F3E">
              <w:t xml:space="preserve"> stem cell transplant (HSCT)</w:t>
            </w:r>
            <w:r w:rsidR="00365F4B">
              <w:t>.</w:t>
            </w:r>
          </w:p>
        </w:tc>
      </w:tr>
      <w:tr w:rsidR="00ED42AB" w:rsidRPr="00E44F3E" w14:paraId="591AFA60" w14:textId="77777777" w:rsidTr="00ED42AB">
        <w:trPr>
          <w:cantSplit/>
        </w:trPr>
        <w:tc>
          <w:tcPr>
            <w:tcW w:w="0" w:type="auto"/>
            <w:tcBorders>
              <w:top w:val="single" w:sz="4" w:space="0" w:color="C2D9BA"/>
              <w:left w:val="nil"/>
              <w:bottom w:val="single" w:sz="4" w:space="0" w:color="C2D9BA"/>
              <w:right w:val="nil"/>
            </w:tcBorders>
            <w:hideMark/>
          </w:tcPr>
          <w:p w14:paraId="1CAFC2CA" w14:textId="400B089C"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1DD08AB0" w14:textId="77777777" w:rsidR="00303303" w:rsidRPr="00E44F3E" w:rsidRDefault="00303303" w:rsidP="002950CD">
            <w:pPr>
              <w:pStyle w:val="TableBullet"/>
            </w:pPr>
            <w:proofErr w:type="spellStart"/>
            <w:r w:rsidRPr="00E44F3E">
              <w:t>Gemtuzumab</w:t>
            </w:r>
            <w:proofErr w:type="spellEnd"/>
            <w:r w:rsidRPr="00E44F3E">
              <w:t xml:space="preserve"> </w:t>
            </w:r>
            <w:proofErr w:type="spellStart"/>
            <w:r w:rsidRPr="00E44F3E">
              <w:t>ozogamicin</w:t>
            </w:r>
            <w:proofErr w:type="spellEnd"/>
            <w:r w:rsidRPr="00E44F3E">
              <w:t xml:space="preserve"> is currently used with intensive chemotherapy induction and consolidation for de novo AML with favourable or intermediate cytogenetic risk. </w:t>
            </w:r>
          </w:p>
          <w:p w14:paraId="64654A77" w14:textId="02562E6E" w:rsidR="00303303" w:rsidRPr="00E44F3E" w:rsidRDefault="00303303" w:rsidP="002950CD">
            <w:pPr>
              <w:pStyle w:val="TableBullet"/>
            </w:pPr>
            <w:r w:rsidRPr="00E44F3E">
              <w:t xml:space="preserve">There is greater survival benefit for </w:t>
            </w:r>
            <w:proofErr w:type="spellStart"/>
            <w:r w:rsidRPr="00E44F3E">
              <w:t>midostaurin</w:t>
            </w:r>
            <w:proofErr w:type="spellEnd"/>
            <w:r w:rsidRPr="00E44F3E">
              <w:t xml:space="preserve"> than that of </w:t>
            </w:r>
            <w:proofErr w:type="spellStart"/>
            <w:r w:rsidRPr="00E44F3E">
              <w:t>gemtuzumab</w:t>
            </w:r>
            <w:proofErr w:type="spellEnd"/>
            <w:r w:rsidR="004D159E">
              <w:t xml:space="preserve"> </w:t>
            </w:r>
            <w:proofErr w:type="spellStart"/>
            <w:r w:rsidRPr="00E44F3E">
              <w:t>ozogamicin</w:t>
            </w:r>
            <w:proofErr w:type="spellEnd"/>
            <w:r w:rsidRPr="00E44F3E">
              <w:t>.</w:t>
            </w:r>
          </w:p>
          <w:p w14:paraId="1CE6B0D7" w14:textId="77777777" w:rsidR="00303303" w:rsidRPr="00E44F3E" w:rsidRDefault="00303303" w:rsidP="002950CD">
            <w:pPr>
              <w:pStyle w:val="TableBullet"/>
            </w:pPr>
            <w:proofErr w:type="spellStart"/>
            <w:r w:rsidRPr="00E44F3E">
              <w:t>Midostaurin</w:t>
            </w:r>
            <w:proofErr w:type="spellEnd"/>
            <w:r w:rsidRPr="00E44F3E">
              <w:t xml:space="preserve"> would provide a treatment benefit for the group of patients with AML with favourable or intermediate cytogenetic risk who have FLT3 mutation positive disease. </w:t>
            </w:r>
          </w:p>
        </w:tc>
      </w:tr>
      <w:tr w:rsidR="00ED42AB" w:rsidRPr="00E44F3E" w14:paraId="1C950948" w14:textId="77777777" w:rsidTr="00ED42AB">
        <w:trPr>
          <w:cantSplit/>
        </w:trPr>
        <w:tc>
          <w:tcPr>
            <w:tcW w:w="0" w:type="auto"/>
            <w:tcBorders>
              <w:top w:val="single" w:sz="4" w:space="0" w:color="C2D9BA"/>
              <w:left w:val="nil"/>
              <w:bottom w:val="single" w:sz="4" w:space="0" w:color="C2D9BA"/>
              <w:right w:val="nil"/>
            </w:tcBorders>
            <w:hideMark/>
          </w:tcPr>
          <w:p w14:paraId="7B041FA5"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hideMark/>
          </w:tcPr>
          <w:p w14:paraId="683EF6EC" w14:textId="058CF95F" w:rsidR="00303303" w:rsidRPr="00E44F3E" w:rsidRDefault="00303303" w:rsidP="002950CD">
            <w:pPr>
              <w:pStyle w:val="TableBullet"/>
            </w:pPr>
            <w:proofErr w:type="spellStart"/>
            <w:r w:rsidRPr="00E44F3E">
              <w:t>Midostaurin</w:t>
            </w:r>
            <w:proofErr w:type="spellEnd"/>
            <w:r w:rsidRPr="00E44F3E">
              <w:t xml:space="preserve"> dose is 50 mg orally twice daily</w:t>
            </w:r>
            <w:r w:rsidR="002F15E6">
              <w:t>.</w:t>
            </w:r>
            <w:r w:rsidRPr="00E44F3E">
              <w:t xml:space="preserve"> </w:t>
            </w:r>
          </w:p>
          <w:p w14:paraId="5293B0D9" w14:textId="2A03D1D6" w:rsidR="00303303" w:rsidRPr="00E44F3E" w:rsidRDefault="00303303" w:rsidP="002950CD">
            <w:pPr>
              <w:pStyle w:val="TableDash"/>
            </w:pPr>
            <w:r w:rsidRPr="00E44F3E">
              <w:t>Induction on days 8 to 21 Q3W for 1 or 2 cycles</w:t>
            </w:r>
            <w:r w:rsidR="009D08AB">
              <w:t>.</w:t>
            </w:r>
          </w:p>
          <w:p w14:paraId="06F44B01" w14:textId="3653C584" w:rsidR="00303303" w:rsidRPr="00E44F3E" w:rsidRDefault="00303303" w:rsidP="002950CD">
            <w:pPr>
              <w:pStyle w:val="TableDash"/>
            </w:pPr>
            <w:r w:rsidRPr="00E44F3E">
              <w:t>Consolidation on days 8 to 21 Q4W for up to 4 cycles</w:t>
            </w:r>
            <w:r w:rsidR="009D08AB">
              <w:t>.</w:t>
            </w:r>
          </w:p>
          <w:p w14:paraId="64EE147E" w14:textId="5F0A6EEF" w:rsidR="00303303" w:rsidRPr="00E44F3E" w:rsidRDefault="00303303" w:rsidP="002950CD">
            <w:pPr>
              <w:pStyle w:val="TableDash"/>
            </w:pPr>
            <w:r w:rsidRPr="00E44F3E">
              <w:t>Maintenance on days 1 to 28 Q4W for maintenance for 12 cycles in patients not undergoing or have not undergone an allogeneic HSCT</w:t>
            </w:r>
            <w:r w:rsidR="009D08AB">
              <w:t>.</w:t>
            </w:r>
          </w:p>
        </w:tc>
      </w:tr>
      <w:tr w:rsidR="00ED42AB" w:rsidRPr="00E44F3E" w14:paraId="182A6E22" w14:textId="77777777" w:rsidTr="00ED42AB">
        <w:trPr>
          <w:cantSplit/>
        </w:trPr>
        <w:tc>
          <w:tcPr>
            <w:tcW w:w="0" w:type="auto"/>
            <w:tcBorders>
              <w:top w:val="single" w:sz="4" w:space="0" w:color="C2D9BA"/>
              <w:left w:val="nil"/>
              <w:bottom w:val="single" w:sz="4" w:space="0" w:color="C2D9BA"/>
              <w:right w:val="nil"/>
            </w:tcBorders>
            <w:hideMark/>
          </w:tcPr>
          <w:p w14:paraId="1C91CB07"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tcPr>
          <w:p w14:paraId="2026840B" w14:textId="77777777" w:rsidR="00303303" w:rsidRPr="00E44F3E" w:rsidRDefault="00303303" w:rsidP="002950CD">
            <w:pPr>
              <w:pStyle w:val="TableBullet"/>
            </w:pPr>
            <w:r w:rsidRPr="00E44F3E">
              <w:t xml:space="preserve">A bone marrow sample is needed to screen for the FLT3 mutations. </w:t>
            </w:r>
          </w:p>
          <w:p w14:paraId="00A44BD4" w14:textId="3F3FD8B3" w:rsidR="00303303" w:rsidRPr="00E44F3E" w:rsidRDefault="00303303" w:rsidP="002950CD">
            <w:pPr>
              <w:pStyle w:val="TableBullet"/>
            </w:pPr>
            <w:r w:rsidRPr="00E44F3E">
              <w:t xml:space="preserve">Induction and consolidation: </w:t>
            </w:r>
            <w:proofErr w:type="spellStart"/>
            <w:r w:rsidRPr="00E44F3E">
              <w:t>Midostaurin</w:t>
            </w:r>
            <w:proofErr w:type="spellEnd"/>
            <w:r w:rsidRPr="00E44F3E">
              <w:t xml:space="preserve"> needs to be taken orally </w:t>
            </w:r>
            <w:r w:rsidR="00F53E61">
              <w:t>twice</w:t>
            </w:r>
            <w:r w:rsidRPr="00E44F3E">
              <w:t xml:space="preserve"> daily days 8 to 21 Q3W or Q4W combined with intensive chemotherapy as an inpatient.</w:t>
            </w:r>
          </w:p>
          <w:p w14:paraId="39FDAF7A" w14:textId="0F69215A" w:rsidR="00303303" w:rsidRPr="00E44F3E" w:rsidRDefault="00303303" w:rsidP="002950CD">
            <w:pPr>
              <w:pStyle w:val="TableBullet"/>
            </w:pPr>
            <w:r w:rsidRPr="00E44F3E">
              <w:t xml:space="preserve">Maintenance: </w:t>
            </w:r>
            <w:proofErr w:type="spellStart"/>
            <w:r w:rsidRPr="00E44F3E">
              <w:t>Midostaurin</w:t>
            </w:r>
            <w:proofErr w:type="spellEnd"/>
            <w:r w:rsidRPr="00E44F3E">
              <w:t xml:space="preserve"> needs to be taken orally </w:t>
            </w:r>
            <w:r w:rsidR="00F53E61">
              <w:t>twice</w:t>
            </w:r>
            <w:r w:rsidRPr="00E44F3E">
              <w:t xml:space="preserve"> daily continuously, allowing treatment at home.</w:t>
            </w:r>
          </w:p>
          <w:p w14:paraId="54419C49" w14:textId="77777777" w:rsidR="00303303" w:rsidRPr="00E44F3E" w:rsidRDefault="00303303" w:rsidP="002950CD">
            <w:pPr>
              <w:pStyle w:val="TableBullet"/>
            </w:pPr>
            <w:r w:rsidRPr="00E44F3E">
              <w:t>Regular blood tests and other monitoring are required to monitor for toxicity and response to treatment.</w:t>
            </w:r>
          </w:p>
          <w:p w14:paraId="74156DF7" w14:textId="4F312767" w:rsidR="00303303" w:rsidRPr="00E44F3E" w:rsidRDefault="00303303" w:rsidP="002950CD">
            <w:pPr>
              <w:pStyle w:val="TableBullet"/>
            </w:pPr>
            <w:r w:rsidRPr="00E44F3E">
              <w:t xml:space="preserve">Dose modifications or delays may be needed if patient is </w:t>
            </w:r>
            <w:r w:rsidR="0073642C" w:rsidRPr="0073642C">
              <w:t>intolerant to treatment</w:t>
            </w:r>
            <w:r w:rsidRPr="00E44F3E">
              <w:t>.</w:t>
            </w:r>
          </w:p>
          <w:p w14:paraId="75288793" w14:textId="77777777" w:rsidR="00303303" w:rsidRPr="00E44F3E" w:rsidRDefault="00303303" w:rsidP="002950CD">
            <w:pPr>
              <w:pStyle w:val="TableBullet"/>
            </w:pPr>
            <w:r w:rsidRPr="00E44F3E">
              <w:t>Other medications may be needed to control side effects and to prevent infection.</w:t>
            </w:r>
          </w:p>
          <w:p w14:paraId="4B871481" w14:textId="2BC16C9E" w:rsidR="00303303" w:rsidRPr="00E44F3E" w:rsidRDefault="00303303" w:rsidP="002950CD">
            <w:pPr>
              <w:pStyle w:val="TableBullet"/>
            </w:pPr>
            <w:r w:rsidRPr="00E44F3E">
              <w:t xml:space="preserve">Patients who are treated with </w:t>
            </w:r>
            <w:proofErr w:type="spellStart"/>
            <w:r w:rsidRPr="00E44F3E">
              <w:t>midostaurin</w:t>
            </w:r>
            <w:proofErr w:type="spellEnd"/>
            <w:r w:rsidRPr="00E44F3E">
              <w:t xml:space="preserve"> may proceed to allogeneic </w:t>
            </w:r>
            <w:r w:rsidR="000A4AD6" w:rsidRPr="000A4AD6">
              <w:t>HSCT</w:t>
            </w:r>
            <w:r w:rsidRPr="00E44F3E">
              <w:t xml:space="preserve">. </w:t>
            </w:r>
          </w:p>
        </w:tc>
      </w:tr>
      <w:tr w:rsidR="00ED42AB" w:rsidRPr="00E44F3E" w14:paraId="3323B11C" w14:textId="77777777" w:rsidTr="00ED42AB">
        <w:trPr>
          <w:cantSplit/>
        </w:trPr>
        <w:tc>
          <w:tcPr>
            <w:tcW w:w="0" w:type="auto"/>
            <w:tcBorders>
              <w:top w:val="single" w:sz="4" w:space="0" w:color="C2D9BA"/>
              <w:left w:val="nil"/>
              <w:bottom w:val="single" w:sz="4" w:space="0" w:color="C2D9BA"/>
              <w:right w:val="nil"/>
            </w:tcBorders>
            <w:hideMark/>
          </w:tcPr>
          <w:p w14:paraId="2ECFDCF4" w14:textId="77777777" w:rsidR="00303303" w:rsidRPr="00E44F3E" w:rsidRDefault="00303303">
            <w:pPr>
              <w:pStyle w:val="TableText"/>
              <w:ind w:right="113"/>
              <w:rPr>
                <w:b/>
              </w:rPr>
            </w:pPr>
            <w:r w:rsidRPr="00E44F3E">
              <w:rPr>
                <w:b/>
              </w:rPr>
              <w:lastRenderedPageBreak/>
              <w:t>Health system resource considerations</w:t>
            </w:r>
          </w:p>
        </w:tc>
        <w:tc>
          <w:tcPr>
            <w:tcW w:w="0" w:type="auto"/>
            <w:gridSpan w:val="2"/>
            <w:tcBorders>
              <w:top w:val="single" w:sz="4" w:space="0" w:color="C2D9BA"/>
              <w:left w:val="nil"/>
              <w:bottom w:val="single" w:sz="4" w:space="0" w:color="C2D9BA"/>
              <w:right w:val="nil"/>
            </w:tcBorders>
            <w:hideMark/>
          </w:tcPr>
          <w:p w14:paraId="775C44DE" w14:textId="3670A6D7" w:rsidR="00303303" w:rsidRPr="00E44F3E" w:rsidRDefault="00303303" w:rsidP="002950CD">
            <w:pPr>
              <w:pStyle w:val="TableBullet"/>
            </w:pPr>
            <w:r w:rsidRPr="00E44F3E">
              <w:t>Increased demand for laboratory services to screen for FLT3</w:t>
            </w:r>
            <w:r w:rsidR="00CD2118">
              <w:t>-positive</w:t>
            </w:r>
            <w:r w:rsidRPr="00E44F3E">
              <w:t xml:space="preserve"> mutation in de novo AML.</w:t>
            </w:r>
          </w:p>
          <w:p w14:paraId="29CAFCC0" w14:textId="77777777" w:rsidR="00303303" w:rsidRPr="00E44F3E" w:rsidRDefault="00303303" w:rsidP="002950CD">
            <w:pPr>
              <w:pStyle w:val="TableBullet"/>
            </w:pPr>
            <w:r w:rsidRPr="00E44F3E">
              <w:t>Increased demand for laboratory services to monitor for treatment-related toxicities.</w:t>
            </w:r>
          </w:p>
          <w:p w14:paraId="6B4F0E37" w14:textId="77777777" w:rsidR="00303303" w:rsidRPr="00E44F3E" w:rsidRDefault="00303303" w:rsidP="002950CD">
            <w:pPr>
              <w:pStyle w:val="TableBullet"/>
            </w:pPr>
            <w:r w:rsidRPr="00E44F3E">
              <w:t>Potential for increased demand for supportive care and toxicity management (including health care professionals’ time and adjustment of pharmaceuticals).</w:t>
            </w:r>
          </w:p>
          <w:p w14:paraId="52E14439" w14:textId="77777777" w:rsidR="00303303" w:rsidRPr="00E44F3E" w:rsidRDefault="00303303" w:rsidP="002950CD">
            <w:pPr>
              <w:pStyle w:val="TableBullet"/>
            </w:pPr>
            <w:r w:rsidRPr="00E44F3E">
              <w:t>Additional follow-up appointments required.</w:t>
            </w:r>
          </w:p>
          <w:p w14:paraId="27031C72" w14:textId="1ABD5DD9" w:rsidR="00303303" w:rsidRPr="00E44F3E" w:rsidRDefault="00303303" w:rsidP="002950CD">
            <w:pPr>
              <w:pStyle w:val="TableBullet"/>
            </w:pPr>
            <w:r w:rsidRPr="00E44F3E">
              <w:t xml:space="preserve">Allogeneic </w:t>
            </w:r>
            <w:r w:rsidR="000A4AD6" w:rsidRPr="000A4AD6">
              <w:t>HSCT</w:t>
            </w:r>
            <w:r w:rsidR="000A4AD6" w:rsidRPr="000A4AD6" w:rsidDel="000A4AD6">
              <w:t xml:space="preserve"> </w:t>
            </w:r>
            <w:r w:rsidRPr="00E44F3E">
              <w:t>for suitable patients.</w:t>
            </w:r>
          </w:p>
          <w:p w14:paraId="3D66FDCF" w14:textId="77777777" w:rsidR="00303303" w:rsidRPr="00E44F3E" w:rsidRDefault="00303303" w:rsidP="002950CD">
            <w:pPr>
              <w:pStyle w:val="TableBullet"/>
            </w:pPr>
            <w:r w:rsidRPr="00E44F3E">
              <w:t>Increased demand for laboratory services to monitor for disease response.</w:t>
            </w:r>
          </w:p>
        </w:tc>
      </w:tr>
    </w:tbl>
    <w:p w14:paraId="30C76CCB" w14:textId="77777777" w:rsidR="00BD3222" w:rsidRDefault="00BD3222" w:rsidP="00BD3222"/>
    <w:p w14:paraId="46D11363" w14:textId="65101944" w:rsidR="00BD3222" w:rsidRPr="00E44F3E" w:rsidRDefault="00BD3222" w:rsidP="00BD3222">
      <w:pPr>
        <w:pStyle w:val="Table"/>
        <w:pageBreakBefore/>
      </w:pPr>
      <w:bookmarkStart w:id="263" w:name="_Ref177735655"/>
      <w:bookmarkStart w:id="264" w:name="_Toc180142309"/>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23</w:t>
      </w:r>
      <w:r w:rsidR="00D97615">
        <w:rPr>
          <w:noProof/>
        </w:rPr>
        <w:fldChar w:fldCharType="end"/>
      </w:r>
      <w:bookmarkEnd w:id="263"/>
      <w:r w:rsidRPr="00E44F3E">
        <w:t xml:space="preserve">: Azacitidine with </w:t>
      </w:r>
      <w:proofErr w:type="spellStart"/>
      <w:r w:rsidRPr="00E44F3E">
        <w:t>venetoclax</w:t>
      </w:r>
      <w:proofErr w:type="spellEnd"/>
      <w:r w:rsidRPr="00E44F3E">
        <w:t xml:space="preserve"> for acute myeloid leukaemia</w:t>
      </w:r>
      <w:bookmarkEnd w:id="264"/>
    </w:p>
    <w:tbl>
      <w:tblPr>
        <w:tblW w:w="8414"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31"/>
        <w:gridCol w:w="192"/>
        <w:gridCol w:w="6691"/>
      </w:tblGrid>
      <w:tr w:rsidR="00BD3222" w:rsidRPr="00E44F3E" w14:paraId="7ABB1644" w14:textId="77777777">
        <w:trPr>
          <w:cantSplit/>
        </w:trPr>
        <w:tc>
          <w:tcPr>
            <w:tcW w:w="1531" w:type="dxa"/>
            <w:tcBorders>
              <w:top w:val="nil"/>
              <w:left w:val="nil"/>
              <w:bottom w:val="nil"/>
              <w:right w:val="nil"/>
            </w:tcBorders>
            <w:shd w:val="clear" w:color="auto" w:fill="C2D9BA"/>
            <w:hideMark/>
          </w:tcPr>
          <w:p w14:paraId="5DE1918F" w14:textId="77777777" w:rsidR="00BD3222" w:rsidRPr="00E44F3E" w:rsidRDefault="00BD3222">
            <w:pPr>
              <w:pStyle w:val="TableText"/>
              <w:keepNext/>
              <w:ind w:right="113"/>
              <w:rPr>
                <w:b/>
              </w:rPr>
            </w:pPr>
            <w:r w:rsidRPr="00E44F3E">
              <w:rPr>
                <w:b/>
              </w:rPr>
              <w:t>Indication description</w:t>
            </w:r>
          </w:p>
        </w:tc>
        <w:tc>
          <w:tcPr>
            <w:tcW w:w="6883" w:type="dxa"/>
            <w:gridSpan w:val="2"/>
            <w:tcBorders>
              <w:top w:val="nil"/>
              <w:left w:val="nil"/>
              <w:bottom w:val="nil"/>
              <w:right w:val="nil"/>
            </w:tcBorders>
            <w:shd w:val="clear" w:color="auto" w:fill="C2D9BA"/>
            <w:hideMark/>
          </w:tcPr>
          <w:p w14:paraId="3199F790" w14:textId="41989145" w:rsidR="00BD3222" w:rsidRPr="00E44F3E" w:rsidRDefault="00BD3222">
            <w:pPr>
              <w:pStyle w:val="TableText"/>
              <w:keepNext/>
            </w:pPr>
            <w:r w:rsidRPr="00E44F3E">
              <w:t>Acute myeloid leukaemia (AML) – untreated patients who are ineligible for intensive chemotherapy</w:t>
            </w:r>
          </w:p>
        </w:tc>
      </w:tr>
      <w:tr w:rsidR="00BD3222" w:rsidRPr="00E44F3E" w14:paraId="74074E14" w14:textId="77777777">
        <w:trPr>
          <w:cantSplit/>
        </w:trPr>
        <w:tc>
          <w:tcPr>
            <w:tcW w:w="1531" w:type="dxa"/>
            <w:tcBorders>
              <w:top w:val="single" w:sz="4" w:space="0" w:color="C2D9BA"/>
              <w:left w:val="nil"/>
              <w:bottom w:val="single" w:sz="4" w:space="0" w:color="C2D9BA"/>
              <w:right w:val="nil"/>
            </w:tcBorders>
            <w:shd w:val="clear" w:color="auto" w:fill="E7F0E3"/>
            <w:hideMark/>
          </w:tcPr>
          <w:p w14:paraId="76522F6D" w14:textId="77777777" w:rsidR="00BD3222" w:rsidRPr="00E44F3E" w:rsidRDefault="00BD3222">
            <w:pPr>
              <w:pStyle w:val="TableText"/>
              <w:keepNext/>
              <w:ind w:right="113"/>
              <w:rPr>
                <w:b/>
              </w:rPr>
            </w:pPr>
            <w:r w:rsidRPr="00E44F3E">
              <w:rPr>
                <w:b/>
              </w:rPr>
              <w:t>Medicine</w:t>
            </w:r>
          </w:p>
        </w:tc>
        <w:tc>
          <w:tcPr>
            <w:tcW w:w="6883" w:type="dxa"/>
            <w:gridSpan w:val="2"/>
            <w:tcBorders>
              <w:top w:val="single" w:sz="4" w:space="0" w:color="C2D9BA"/>
              <w:left w:val="nil"/>
              <w:bottom w:val="single" w:sz="4" w:space="0" w:color="C2D9BA"/>
              <w:right w:val="nil"/>
            </w:tcBorders>
            <w:shd w:val="clear" w:color="auto" w:fill="E7F0E3"/>
            <w:hideMark/>
          </w:tcPr>
          <w:p w14:paraId="49F26B33" w14:textId="77777777" w:rsidR="00BD3222" w:rsidRPr="00E44F3E" w:rsidRDefault="00BD3222">
            <w:pPr>
              <w:pStyle w:val="TableText"/>
              <w:keepNext/>
            </w:pPr>
            <w:r w:rsidRPr="00E44F3E">
              <w:t xml:space="preserve">Azacitidine and </w:t>
            </w:r>
            <w:proofErr w:type="spellStart"/>
            <w:r w:rsidRPr="00E44F3E">
              <w:t>venetoclax</w:t>
            </w:r>
            <w:proofErr w:type="spellEnd"/>
          </w:p>
        </w:tc>
      </w:tr>
      <w:tr w:rsidR="00BD3222" w:rsidRPr="00E44F3E" w14:paraId="10098F19" w14:textId="77777777">
        <w:trPr>
          <w:cantSplit/>
        </w:trPr>
        <w:tc>
          <w:tcPr>
            <w:tcW w:w="1531" w:type="dxa"/>
            <w:tcBorders>
              <w:top w:val="single" w:sz="4" w:space="0" w:color="C2D9BA"/>
              <w:left w:val="nil"/>
              <w:bottom w:val="single" w:sz="4" w:space="0" w:color="C2D9BA"/>
              <w:right w:val="nil"/>
            </w:tcBorders>
            <w:hideMark/>
          </w:tcPr>
          <w:p w14:paraId="574B4B34" w14:textId="77777777" w:rsidR="00BD3222" w:rsidRPr="00E44F3E" w:rsidRDefault="00BD3222">
            <w:pPr>
              <w:pStyle w:val="TableText"/>
              <w:ind w:right="113"/>
              <w:rPr>
                <w:b/>
              </w:rPr>
            </w:pPr>
            <w:r w:rsidRPr="00E44F3E">
              <w:rPr>
                <w:b/>
              </w:rPr>
              <w:t>Description of medicine class</w:t>
            </w:r>
          </w:p>
        </w:tc>
        <w:tc>
          <w:tcPr>
            <w:tcW w:w="6883" w:type="dxa"/>
            <w:gridSpan w:val="2"/>
            <w:tcBorders>
              <w:top w:val="single" w:sz="4" w:space="0" w:color="C2D9BA"/>
              <w:left w:val="nil"/>
              <w:bottom w:val="single" w:sz="4" w:space="0" w:color="C2D9BA"/>
              <w:right w:val="nil"/>
            </w:tcBorders>
            <w:hideMark/>
          </w:tcPr>
          <w:p w14:paraId="7E90E021" w14:textId="77777777" w:rsidR="00BD3222" w:rsidRPr="00E44F3E" w:rsidRDefault="00BD3222">
            <w:pPr>
              <w:pStyle w:val="TableText"/>
            </w:pPr>
            <w:r w:rsidRPr="00E44F3E">
              <w:t>Azacitidine is a histone deacetylase inhibitor</w:t>
            </w:r>
            <w:r>
              <w:t>.</w:t>
            </w:r>
          </w:p>
          <w:p w14:paraId="16F354D1" w14:textId="1509D524" w:rsidR="00BD3222" w:rsidRPr="00E44F3E" w:rsidRDefault="00BD3222">
            <w:pPr>
              <w:pStyle w:val="TableText"/>
            </w:pPr>
            <w:proofErr w:type="spellStart"/>
            <w:r w:rsidRPr="00E44F3E">
              <w:t>Venetoclax</w:t>
            </w:r>
            <w:proofErr w:type="spellEnd"/>
            <w:r>
              <w:t xml:space="preserve"> is</w:t>
            </w:r>
            <w:r w:rsidRPr="00E44F3E">
              <w:t xml:space="preserve"> a selective small-molecule BCL2 inhibitor</w:t>
            </w:r>
            <w:r>
              <w:t>.</w:t>
            </w:r>
          </w:p>
        </w:tc>
      </w:tr>
      <w:tr w:rsidR="00BD3222" w:rsidRPr="00E44F3E" w14:paraId="28423206" w14:textId="77777777">
        <w:trPr>
          <w:cantSplit/>
        </w:trPr>
        <w:tc>
          <w:tcPr>
            <w:tcW w:w="1531" w:type="dxa"/>
            <w:tcBorders>
              <w:top w:val="single" w:sz="4" w:space="0" w:color="C2D9BA"/>
              <w:left w:val="nil"/>
              <w:bottom w:val="single" w:sz="4" w:space="0" w:color="C2D9BA"/>
              <w:right w:val="nil"/>
            </w:tcBorders>
            <w:hideMark/>
          </w:tcPr>
          <w:p w14:paraId="59C37C43" w14:textId="77777777" w:rsidR="00BD3222" w:rsidRPr="00E44F3E" w:rsidRDefault="00BD3222">
            <w:pPr>
              <w:pStyle w:val="TableText"/>
              <w:ind w:right="113"/>
              <w:rPr>
                <w:b/>
              </w:rPr>
            </w:pPr>
            <w:r w:rsidRPr="00E44F3E">
              <w:rPr>
                <w:b/>
              </w:rPr>
              <w:t>Intent of treatment</w:t>
            </w:r>
          </w:p>
        </w:tc>
        <w:tc>
          <w:tcPr>
            <w:tcW w:w="6883" w:type="dxa"/>
            <w:gridSpan w:val="2"/>
            <w:tcBorders>
              <w:top w:val="single" w:sz="4" w:space="0" w:color="C2D9BA"/>
              <w:left w:val="nil"/>
              <w:bottom w:val="single" w:sz="4" w:space="0" w:color="C2D9BA"/>
              <w:right w:val="nil"/>
            </w:tcBorders>
            <w:hideMark/>
          </w:tcPr>
          <w:p w14:paraId="3B82E970" w14:textId="77777777" w:rsidR="00BD3222" w:rsidRPr="00E44F3E" w:rsidRDefault="00BD3222">
            <w:pPr>
              <w:pStyle w:val="TableText"/>
            </w:pPr>
            <w:r w:rsidRPr="00E44F3E">
              <w:t>Non-curative</w:t>
            </w:r>
            <w:r>
              <w:t>.</w:t>
            </w:r>
          </w:p>
        </w:tc>
      </w:tr>
      <w:tr w:rsidR="00BD3222" w:rsidRPr="00E44F3E" w14:paraId="2614CDA3" w14:textId="77777777">
        <w:trPr>
          <w:cantSplit/>
        </w:trPr>
        <w:tc>
          <w:tcPr>
            <w:tcW w:w="1531" w:type="dxa"/>
            <w:tcBorders>
              <w:top w:val="single" w:sz="4" w:space="0" w:color="C2D9BA"/>
              <w:left w:val="nil"/>
              <w:bottom w:val="single" w:sz="4" w:space="0" w:color="C2D9BA"/>
              <w:right w:val="nil"/>
            </w:tcBorders>
            <w:hideMark/>
          </w:tcPr>
          <w:p w14:paraId="0E85DCD6" w14:textId="7A96CC48" w:rsidR="00BD3222" w:rsidRPr="00E44F3E" w:rsidRDefault="00BD3222">
            <w:pPr>
              <w:pStyle w:val="TableText"/>
              <w:spacing w:line="22" w:lineRule="atLeast"/>
              <w:ind w:right="113"/>
              <w:rPr>
                <w:b/>
              </w:rPr>
            </w:pPr>
            <w:r w:rsidRPr="00E44F3E">
              <w:rPr>
                <w:b/>
              </w:rPr>
              <w:t xml:space="preserve">Pharmac status </w:t>
            </w:r>
            <w:r w:rsidR="00B067E1">
              <w:rPr>
                <w:b/>
              </w:rPr>
              <w:t>(October 2024)</w:t>
            </w:r>
          </w:p>
        </w:tc>
        <w:tc>
          <w:tcPr>
            <w:tcW w:w="6883" w:type="dxa"/>
            <w:gridSpan w:val="2"/>
            <w:tcBorders>
              <w:top w:val="single" w:sz="4" w:space="0" w:color="C2D9BA"/>
              <w:left w:val="nil"/>
              <w:bottom w:val="single" w:sz="4" w:space="0" w:color="C2D9BA"/>
              <w:right w:val="nil"/>
            </w:tcBorders>
          </w:tcPr>
          <w:p w14:paraId="4075AA40" w14:textId="39132969" w:rsidR="00BD3222" w:rsidRPr="00E44F3E" w:rsidRDefault="00BD3222">
            <w:pPr>
              <w:pStyle w:val="TableText"/>
              <w:spacing w:line="22" w:lineRule="atLeast"/>
            </w:pPr>
            <w:r w:rsidRPr="00E44F3E">
              <w:t>Azacitidine</w:t>
            </w:r>
            <w:r>
              <w:t>,</w:t>
            </w:r>
            <w:r w:rsidRPr="00E44F3E">
              <w:t xml:space="preserve"> as of </w:t>
            </w:r>
            <w:r>
              <w:t xml:space="preserve">1 </w:t>
            </w:r>
            <w:r w:rsidRPr="00E44F3E">
              <w:t>January 2024, is funded as follows:</w:t>
            </w:r>
          </w:p>
          <w:p w14:paraId="7D112F0A" w14:textId="6D0FF16E" w:rsidR="00BD3222" w:rsidRPr="00E44F3E" w:rsidRDefault="00BD3222">
            <w:pPr>
              <w:pStyle w:val="TableBullet"/>
            </w:pPr>
            <w:r w:rsidRPr="00E44F3E">
              <w:t xml:space="preserve">The patient has </w:t>
            </w:r>
            <w:r>
              <w:t xml:space="preserve">AML </w:t>
            </w:r>
            <w:r w:rsidRPr="00E44F3E">
              <w:t>with 20</w:t>
            </w:r>
            <w:r>
              <w:t>%–</w:t>
            </w:r>
            <w:r w:rsidRPr="00E44F3E">
              <w:t>30% blasts and multi-lineage dysplasia, according to World Health Organi</w:t>
            </w:r>
            <w:r>
              <w:t>z</w:t>
            </w:r>
            <w:r w:rsidRPr="00E44F3E">
              <w:t>ation</w:t>
            </w:r>
            <w:r>
              <w:t xml:space="preserve"> (WHO)</w:t>
            </w:r>
            <w:r w:rsidRPr="00E44F3E">
              <w:t xml:space="preserve"> </w:t>
            </w:r>
            <w:r>
              <w:t>c</w:t>
            </w:r>
            <w:r w:rsidRPr="00E44F3E">
              <w:t>lassification</w:t>
            </w:r>
            <w:r>
              <w:t>.</w:t>
            </w:r>
          </w:p>
          <w:p w14:paraId="17469204" w14:textId="77777777" w:rsidR="00BD3222" w:rsidRPr="00E44F3E" w:rsidRDefault="00BD3222">
            <w:pPr>
              <w:pStyle w:val="TableBullet"/>
            </w:pPr>
            <w:r w:rsidRPr="00E44F3E">
              <w:t>The patient has performance status (WHO/</w:t>
            </w:r>
            <w:r w:rsidRPr="009D3B01">
              <w:t xml:space="preserve">Eastern Cooperative Oncology Group </w:t>
            </w:r>
            <w:r>
              <w:t>(</w:t>
            </w:r>
            <w:r w:rsidRPr="00E44F3E">
              <w:t>ECOG</w:t>
            </w:r>
            <w:r>
              <w:t>)</w:t>
            </w:r>
            <w:r w:rsidRPr="00E44F3E">
              <w:t>) grade 0</w:t>
            </w:r>
            <w:r>
              <w:t>–</w:t>
            </w:r>
            <w:r w:rsidRPr="00E44F3E">
              <w:t>2</w:t>
            </w:r>
            <w:r>
              <w:t>.</w:t>
            </w:r>
            <w:r w:rsidRPr="00E44F3E">
              <w:t xml:space="preserve"> </w:t>
            </w:r>
          </w:p>
          <w:p w14:paraId="095C4ED7" w14:textId="77777777" w:rsidR="00BD3222" w:rsidRPr="00E44F3E" w:rsidRDefault="00BD3222">
            <w:pPr>
              <w:pStyle w:val="TableBullet"/>
            </w:pPr>
            <w:r w:rsidRPr="00E44F3E">
              <w:t>The patient has an estimated life expectancy of at least 3 months</w:t>
            </w:r>
            <w:r>
              <w:t>.</w:t>
            </w:r>
          </w:p>
          <w:p w14:paraId="3549481A" w14:textId="77777777" w:rsidR="00BD3222" w:rsidRPr="00E44F3E" w:rsidRDefault="00BD3222">
            <w:pPr>
              <w:pStyle w:val="TableText"/>
              <w:spacing w:line="22" w:lineRule="atLeast"/>
            </w:pPr>
            <w:r w:rsidRPr="00E44F3E">
              <w:t>Azacitidine is not funded for blasts &gt;30%. Application to Pharmac as follows:</w:t>
            </w:r>
          </w:p>
          <w:p w14:paraId="575FD78C" w14:textId="77777777" w:rsidR="00BD3222" w:rsidRPr="00E44F3E" w:rsidRDefault="00BD3222">
            <w:pPr>
              <w:pStyle w:val="TableBullet"/>
            </w:pPr>
            <w:r w:rsidRPr="00E44F3E">
              <w:t>Application received February 2021</w:t>
            </w:r>
            <w:r>
              <w:t>.</w:t>
            </w:r>
          </w:p>
          <w:p w14:paraId="12DD085A" w14:textId="77777777" w:rsidR="00BD3222" w:rsidRPr="00E44F3E" w:rsidRDefault="00BD3222">
            <w:pPr>
              <w:pStyle w:val="TableBullet"/>
            </w:pPr>
            <w:r w:rsidRPr="00E44F3E">
              <w:t>Options compared June 2021</w:t>
            </w:r>
            <w:r>
              <w:t>.</w:t>
            </w:r>
          </w:p>
          <w:p w14:paraId="504EFD72" w14:textId="76624BDA" w:rsidR="00BD3222" w:rsidRPr="00E44F3E" w:rsidRDefault="00BD3222" w:rsidP="00135084">
            <w:pPr>
              <w:pStyle w:val="TableDash"/>
            </w:pPr>
            <w:r w:rsidRPr="00E44F3E">
              <w:t xml:space="preserve">The relative ranking of the pharmaceutical application </w:t>
            </w:r>
            <w:r>
              <w:t>was</w:t>
            </w:r>
            <w:r w:rsidRPr="00E44F3E">
              <w:t xml:space="preserve"> completed April 2022 </w:t>
            </w:r>
            <w:r>
              <w:t xml:space="preserve">(see </w:t>
            </w:r>
            <w:hyperlink r:id="rId97" w:history="1">
              <w:r w:rsidRPr="00E44F3E">
                <w:rPr>
                  <w:rStyle w:val="Hyperlink"/>
                </w:rPr>
                <w:t>connect.pharmac.govt.nz/apptracker/s/application-public/a102P00000B0gUX/p001654</w:t>
              </w:r>
            </w:hyperlink>
            <w:r>
              <w:t>).</w:t>
            </w:r>
          </w:p>
          <w:p w14:paraId="015DD4CF" w14:textId="77777777" w:rsidR="00BD3222" w:rsidRPr="00E44F3E" w:rsidRDefault="00BD3222">
            <w:pPr>
              <w:pStyle w:val="TableText"/>
              <w:spacing w:line="22" w:lineRule="atLeast"/>
            </w:pPr>
            <w:proofErr w:type="spellStart"/>
            <w:r w:rsidRPr="00E44F3E">
              <w:t>Venetoclax</w:t>
            </w:r>
            <w:proofErr w:type="spellEnd"/>
            <w:r w:rsidRPr="00E44F3E">
              <w:t xml:space="preserve"> is not funded for treatment of AML. Application to Pharmac as follows:</w:t>
            </w:r>
          </w:p>
          <w:p w14:paraId="07B9CD3D" w14:textId="77777777" w:rsidR="00BD3222" w:rsidRPr="00E44F3E" w:rsidRDefault="00BD3222">
            <w:pPr>
              <w:pStyle w:val="TableBullet"/>
            </w:pPr>
            <w:r w:rsidRPr="00E44F3E">
              <w:t>Application received November 2020</w:t>
            </w:r>
            <w:r>
              <w:t>.</w:t>
            </w:r>
          </w:p>
          <w:p w14:paraId="7E034DF0" w14:textId="77777777" w:rsidR="00BD3222" w:rsidRPr="00E44F3E" w:rsidRDefault="00BD3222">
            <w:pPr>
              <w:pStyle w:val="TableBullet"/>
            </w:pPr>
            <w:r w:rsidRPr="00E44F3E">
              <w:t>Options compared October 2021</w:t>
            </w:r>
            <w:r>
              <w:t>.</w:t>
            </w:r>
          </w:p>
          <w:p w14:paraId="11668BFB" w14:textId="5482D1F9" w:rsidR="00BD3222" w:rsidRPr="00E44F3E" w:rsidRDefault="00BD3222" w:rsidP="00135084">
            <w:pPr>
              <w:pStyle w:val="TableDash"/>
            </w:pPr>
            <w:r w:rsidRPr="00E44F3E">
              <w:t xml:space="preserve">The relative ranking of the pharmaceutical application </w:t>
            </w:r>
            <w:r>
              <w:t>was</w:t>
            </w:r>
            <w:r w:rsidRPr="00E44F3E">
              <w:t xml:space="preserve"> completed April 2022</w:t>
            </w:r>
            <w:r>
              <w:t xml:space="preserve"> (</w:t>
            </w:r>
            <w:r w:rsidR="00F46B83">
              <w:t xml:space="preserve">see </w:t>
            </w:r>
            <w:r w:rsidR="00F46B83" w:rsidRPr="00F46B83">
              <w:rPr>
                <w:rStyle w:val="Hyperlink"/>
              </w:rPr>
              <w:t>connect.pharmac.govt.nz/apptracker/s/application-public/a102P00000AmyhI/p001627</w:t>
            </w:r>
            <w:r w:rsidRPr="00F46B83">
              <w:rPr>
                <w:rStyle w:val="Hyperlink"/>
              </w:rPr>
              <w:t>).</w:t>
            </w:r>
          </w:p>
        </w:tc>
      </w:tr>
      <w:tr w:rsidR="00BD3222" w:rsidRPr="00E44F3E" w14:paraId="60932058" w14:textId="77777777">
        <w:trPr>
          <w:cantSplit/>
        </w:trPr>
        <w:tc>
          <w:tcPr>
            <w:tcW w:w="1531" w:type="dxa"/>
            <w:tcBorders>
              <w:top w:val="single" w:sz="4" w:space="0" w:color="C2D9BA"/>
              <w:left w:val="nil"/>
              <w:bottom w:val="single" w:sz="4" w:space="0" w:color="C2D9BA"/>
              <w:right w:val="nil"/>
            </w:tcBorders>
            <w:hideMark/>
          </w:tcPr>
          <w:p w14:paraId="0721BB90" w14:textId="5643D59D" w:rsidR="00BD3222" w:rsidRPr="00E44F3E" w:rsidRDefault="00BD3222">
            <w:pPr>
              <w:pStyle w:val="TableText"/>
              <w:ind w:right="113"/>
              <w:rPr>
                <w:b/>
              </w:rPr>
            </w:pPr>
            <w:r w:rsidRPr="00E44F3E">
              <w:rPr>
                <w:b/>
              </w:rPr>
              <w:t>ESMO-MCBS</w:t>
            </w:r>
            <w:r>
              <w:rPr>
                <w:b/>
              </w:rPr>
              <w:t>:H</w:t>
            </w:r>
            <w:r w:rsidRPr="00E44F3E">
              <w:rPr>
                <w:b/>
              </w:rPr>
              <w:t xml:space="preserve"> score and summary of data informing the score</w:t>
            </w:r>
          </w:p>
        </w:tc>
        <w:tc>
          <w:tcPr>
            <w:tcW w:w="192" w:type="dxa"/>
            <w:tcBorders>
              <w:top w:val="single" w:sz="4" w:space="0" w:color="C2D9BA"/>
              <w:left w:val="nil"/>
              <w:bottom w:val="single" w:sz="4" w:space="0" w:color="C2D9BA"/>
              <w:right w:val="nil"/>
            </w:tcBorders>
            <w:hideMark/>
          </w:tcPr>
          <w:p w14:paraId="34253285" w14:textId="77777777" w:rsidR="00BD3222" w:rsidRPr="00E44F3E" w:rsidRDefault="00BD3222">
            <w:pPr>
              <w:pStyle w:val="TableText"/>
            </w:pPr>
            <w:r w:rsidRPr="00E44F3E">
              <w:t>4</w:t>
            </w:r>
          </w:p>
        </w:tc>
        <w:tc>
          <w:tcPr>
            <w:tcW w:w="6691" w:type="dxa"/>
            <w:tcBorders>
              <w:top w:val="single" w:sz="4" w:space="0" w:color="C2D9BA"/>
              <w:left w:val="nil"/>
              <w:bottom w:val="single" w:sz="4" w:space="0" w:color="C2D9BA"/>
              <w:right w:val="nil"/>
            </w:tcBorders>
            <w:hideMark/>
          </w:tcPr>
          <w:p w14:paraId="120FDC6E" w14:textId="46C289E2" w:rsidR="00BD3222" w:rsidRPr="00E44F3E" w:rsidRDefault="00BD3222">
            <w:pPr>
              <w:pStyle w:val="TableText"/>
            </w:pPr>
            <w:r w:rsidRPr="00E44F3E">
              <w:t>Compared with azacitidine</w:t>
            </w:r>
            <w:r w:rsidR="00610983">
              <w:t xml:space="preserve"> with </w:t>
            </w:r>
            <w:r w:rsidRPr="00E44F3E">
              <w:t>placebo:</w:t>
            </w:r>
          </w:p>
          <w:p w14:paraId="05881FB6" w14:textId="77777777" w:rsidR="00BD3222" w:rsidRPr="00E44F3E" w:rsidRDefault="00BD3222" w:rsidP="00135084">
            <w:pPr>
              <w:pStyle w:val="TableBullet"/>
            </w:pPr>
            <w:r w:rsidRPr="00E44F3E">
              <w:t xml:space="preserve">Gain in median overall survival was 5.1 months. </w:t>
            </w:r>
          </w:p>
          <w:p w14:paraId="523541FD" w14:textId="77777777" w:rsidR="00BD3222" w:rsidRPr="00E44F3E" w:rsidRDefault="00BD3222" w:rsidP="00135084">
            <w:pPr>
              <w:pStyle w:val="TableBullet"/>
            </w:pPr>
            <w:r w:rsidRPr="00E44F3E">
              <w:t>Toxicity results did not contribute to the score.</w:t>
            </w:r>
          </w:p>
          <w:p w14:paraId="60315B94" w14:textId="77777777" w:rsidR="00BD3222" w:rsidRPr="00E44F3E" w:rsidRDefault="00BD3222" w:rsidP="00135084">
            <w:pPr>
              <w:pStyle w:val="TableBullet"/>
            </w:pPr>
            <w:r w:rsidRPr="00E44F3E">
              <w:t>No differences were observed between the two treatment groups with respect to quality-of-life measures.</w:t>
            </w:r>
          </w:p>
        </w:tc>
      </w:tr>
      <w:tr w:rsidR="00BD3222" w:rsidRPr="00E44F3E" w14:paraId="2D0F7E36" w14:textId="77777777">
        <w:trPr>
          <w:cantSplit/>
        </w:trPr>
        <w:tc>
          <w:tcPr>
            <w:tcW w:w="1531" w:type="dxa"/>
            <w:tcBorders>
              <w:top w:val="single" w:sz="4" w:space="0" w:color="C2D9BA"/>
              <w:left w:val="nil"/>
              <w:bottom w:val="single" w:sz="4" w:space="0" w:color="C2D9BA"/>
              <w:right w:val="nil"/>
            </w:tcBorders>
            <w:hideMark/>
          </w:tcPr>
          <w:p w14:paraId="074CB92C" w14:textId="0366CCBE" w:rsidR="00BD3222" w:rsidRPr="00E44F3E" w:rsidRDefault="00BD3222">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6883" w:type="dxa"/>
            <w:gridSpan w:val="2"/>
            <w:tcBorders>
              <w:top w:val="single" w:sz="4" w:space="0" w:color="C2D9BA"/>
              <w:left w:val="nil"/>
              <w:bottom w:val="single" w:sz="4" w:space="0" w:color="C2D9BA"/>
              <w:right w:val="nil"/>
            </w:tcBorders>
            <w:hideMark/>
          </w:tcPr>
          <w:p w14:paraId="2568815C" w14:textId="77777777" w:rsidR="00BD3222" w:rsidRPr="00E44F3E" w:rsidRDefault="00BD3222">
            <w:pPr>
              <w:pStyle w:val="TableBullet"/>
            </w:pPr>
            <w:r w:rsidRPr="00E44F3E">
              <w:t xml:space="preserve">Azacitidine is administered as monotherapy to patients who cannot tolerate intensive chemotherapy. </w:t>
            </w:r>
          </w:p>
          <w:p w14:paraId="35377EFD" w14:textId="77777777" w:rsidR="00BD3222" w:rsidRPr="00E44F3E" w:rsidRDefault="00BD3222">
            <w:pPr>
              <w:pStyle w:val="TableBullet"/>
            </w:pPr>
            <w:r w:rsidRPr="00E44F3E">
              <w:t xml:space="preserve">Azacitidine in combination with </w:t>
            </w:r>
            <w:proofErr w:type="spellStart"/>
            <w:r w:rsidRPr="00E44F3E">
              <w:t>venetoclax</w:t>
            </w:r>
            <w:proofErr w:type="spellEnd"/>
            <w:r w:rsidRPr="00E44F3E">
              <w:t xml:space="preserve"> (unfunded) is administered to patients who cannot tolerate intensive chemotherapy. </w:t>
            </w:r>
          </w:p>
        </w:tc>
      </w:tr>
      <w:tr w:rsidR="00BD3222" w:rsidRPr="00E44F3E" w14:paraId="50E33C29" w14:textId="77777777">
        <w:trPr>
          <w:cantSplit/>
        </w:trPr>
        <w:tc>
          <w:tcPr>
            <w:tcW w:w="1531" w:type="dxa"/>
            <w:tcBorders>
              <w:top w:val="single" w:sz="4" w:space="0" w:color="C2D9BA"/>
              <w:left w:val="nil"/>
              <w:bottom w:val="single" w:sz="4" w:space="0" w:color="C2D9BA"/>
              <w:right w:val="nil"/>
            </w:tcBorders>
            <w:hideMark/>
          </w:tcPr>
          <w:p w14:paraId="4669B057" w14:textId="77777777" w:rsidR="00BD3222" w:rsidRPr="00E44F3E" w:rsidRDefault="00BD3222">
            <w:pPr>
              <w:pStyle w:val="TableText"/>
              <w:ind w:right="113"/>
              <w:rPr>
                <w:b/>
              </w:rPr>
            </w:pPr>
            <w:r w:rsidRPr="00E44F3E">
              <w:rPr>
                <w:b/>
              </w:rPr>
              <w:t>How this medicine would be given</w:t>
            </w:r>
          </w:p>
        </w:tc>
        <w:tc>
          <w:tcPr>
            <w:tcW w:w="6883" w:type="dxa"/>
            <w:gridSpan w:val="2"/>
            <w:tcBorders>
              <w:top w:val="single" w:sz="4" w:space="0" w:color="C2D9BA"/>
              <w:left w:val="nil"/>
              <w:bottom w:val="single" w:sz="4" w:space="0" w:color="C2D9BA"/>
              <w:right w:val="nil"/>
            </w:tcBorders>
          </w:tcPr>
          <w:p w14:paraId="5F9EC176" w14:textId="19C958C3" w:rsidR="00BD3222" w:rsidRPr="00E44F3E" w:rsidRDefault="00BD3222">
            <w:pPr>
              <w:pStyle w:val="TableBullet"/>
            </w:pPr>
            <w:r w:rsidRPr="00E44F3E">
              <w:t>Azacitidine is administered by subcutaneous injection(s)</w:t>
            </w:r>
            <w:r>
              <w:t>,</w:t>
            </w:r>
            <w:r w:rsidRPr="00E44F3E">
              <w:t xml:space="preserve"> </w:t>
            </w:r>
            <w:r>
              <w:t>m</w:t>
            </w:r>
            <w:r w:rsidRPr="00E44F3E">
              <w:t>aximum 100 mg per injection site.</w:t>
            </w:r>
          </w:p>
          <w:p w14:paraId="6870AD1F" w14:textId="77777777" w:rsidR="00BD3222" w:rsidRPr="00E44F3E" w:rsidRDefault="00BD3222">
            <w:pPr>
              <w:pStyle w:val="TableBullet"/>
            </w:pPr>
            <w:r w:rsidRPr="00E44F3E">
              <w:t xml:space="preserve">Azacitidine is given by subcutaneous injection once daily days 1 to 7 Q4W. </w:t>
            </w:r>
            <w:proofErr w:type="spellStart"/>
            <w:r w:rsidRPr="00E44F3E">
              <w:t>Venetoclax</w:t>
            </w:r>
            <w:proofErr w:type="spellEnd"/>
            <w:r w:rsidRPr="00E44F3E">
              <w:t xml:space="preserve"> is taken once daily orally continuously. </w:t>
            </w:r>
          </w:p>
          <w:p w14:paraId="45AE759F" w14:textId="77777777" w:rsidR="00BD3222" w:rsidRPr="00E44F3E" w:rsidRDefault="00BD3222">
            <w:pPr>
              <w:pStyle w:val="TableBullet"/>
            </w:pPr>
            <w:r w:rsidRPr="00E44F3E">
              <w:t xml:space="preserve">Initially, </w:t>
            </w:r>
            <w:proofErr w:type="spellStart"/>
            <w:r w:rsidRPr="00E44F3E">
              <w:t>venetoclax</w:t>
            </w:r>
            <w:proofErr w:type="spellEnd"/>
            <w:r w:rsidRPr="00E44F3E">
              <w:t xml:space="preserve"> dose is </w:t>
            </w:r>
            <w:proofErr w:type="gramStart"/>
            <w:r w:rsidRPr="00E44F3E">
              <w:t>up-titrated</w:t>
            </w:r>
            <w:proofErr w:type="gramEnd"/>
            <w:r w:rsidRPr="00E44F3E">
              <w:t xml:space="preserve"> over 28 days monitoring carefully for development of tumour lysis syndrome. Inpatient admission may be required for dose titration.</w:t>
            </w:r>
          </w:p>
        </w:tc>
      </w:tr>
      <w:tr w:rsidR="00BD3222" w:rsidRPr="00E44F3E" w14:paraId="45981C09" w14:textId="77777777">
        <w:trPr>
          <w:cantSplit/>
        </w:trPr>
        <w:tc>
          <w:tcPr>
            <w:tcW w:w="1531" w:type="dxa"/>
            <w:tcBorders>
              <w:top w:val="single" w:sz="4" w:space="0" w:color="C2D9BA"/>
              <w:left w:val="nil"/>
              <w:bottom w:val="single" w:sz="4" w:space="0" w:color="C2D9BA"/>
              <w:right w:val="nil"/>
            </w:tcBorders>
            <w:hideMark/>
          </w:tcPr>
          <w:p w14:paraId="3887E436" w14:textId="77777777" w:rsidR="00BD3222" w:rsidRPr="00E44F3E" w:rsidRDefault="00BD3222">
            <w:pPr>
              <w:pStyle w:val="TableText"/>
              <w:ind w:right="113"/>
              <w:rPr>
                <w:b/>
              </w:rPr>
            </w:pPr>
            <w:r w:rsidRPr="00E44F3E">
              <w:rPr>
                <w:b/>
              </w:rPr>
              <w:lastRenderedPageBreak/>
              <w:t>Patient and whānau considerations</w:t>
            </w:r>
          </w:p>
        </w:tc>
        <w:tc>
          <w:tcPr>
            <w:tcW w:w="6883" w:type="dxa"/>
            <w:gridSpan w:val="2"/>
            <w:tcBorders>
              <w:top w:val="single" w:sz="4" w:space="0" w:color="C2D9BA"/>
              <w:left w:val="nil"/>
              <w:bottom w:val="single" w:sz="4" w:space="0" w:color="C2D9BA"/>
              <w:right w:val="nil"/>
            </w:tcBorders>
          </w:tcPr>
          <w:p w14:paraId="504AB3FF" w14:textId="77777777" w:rsidR="00BD3222" w:rsidRPr="00E44F3E" w:rsidRDefault="00BD3222">
            <w:pPr>
              <w:pStyle w:val="TableBullet"/>
            </w:pPr>
            <w:r w:rsidRPr="00E44F3E">
              <w:t xml:space="preserve">Inpatient stay may be required for </w:t>
            </w:r>
            <w:proofErr w:type="spellStart"/>
            <w:r w:rsidRPr="00E44F3E">
              <w:t>venetoclax</w:t>
            </w:r>
            <w:proofErr w:type="spellEnd"/>
            <w:r w:rsidRPr="00E44F3E">
              <w:t xml:space="preserve"> dose titration.</w:t>
            </w:r>
          </w:p>
          <w:p w14:paraId="5CE8294F" w14:textId="77777777" w:rsidR="00BD3222" w:rsidRPr="00E44F3E" w:rsidRDefault="00BD3222">
            <w:pPr>
              <w:pStyle w:val="TableBullet"/>
            </w:pPr>
            <w:r w:rsidRPr="00E44F3E">
              <w:t>Close laboratory monitoring for development of tumour lysis syndrome during dose titration phase.</w:t>
            </w:r>
          </w:p>
          <w:p w14:paraId="51859636" w14:textId="5C5EEC1B" w:rsidR="00BD3222" w:rsidRPr="00E44F3E" w:rsidRDefault="00BD3222">
            <w:pPr>
              <w:pStyle w:val="TableBullet"/>
            </w:pPr>
            <w:r>
              <w:t>Seven</w:t>
            </w:r>
            <w:r w:rsidRPr="00E44F3E">
              <w:t xml:space="preserve"> days of azacitidine administration Q4W may require daily visits to chemotherapy clinic for administration. </w:t>
            </w:r>
          </w:p>
          <w:p w14:paraId="0CE07FA5" w14:textId="4094BBA6" w:rsidR="00BD3222" w:rsidRPr="00E44F3E" w:rsidRDefault="00BD3222">
            <w:pPr>
              <w:pStyle w:val="TableBullet"/>
            </w:pPr>
            <w:r w:rsidRPr="00E44F3E">
              <w:t>Some patients may be trained to self-administer azacitidine daily for 7 days Q4W at home. They can only collect a 2</w:t>
            </w:r>
            <w:r>
              <w:t>-</w:t>
            </w:r>
            <w:r w:rsidRPr="00E44F3E">
              <w:t>day supply at a time.</w:t>
            </w:r>
          </w:p>
          <w:p w14:paraId="1B8D913E" w14:textId="77777777" w:rsidR="00BD3222" w:rsidRPr="00E44F3E" w:rsidRDefault="00BD3222">
            <w:pPr>
              <w:pStyle w:val="TableBullet"/>
            </w:pPr>
            <w:r w:rsidRPr="00E44F3E">
              <w:t>Self-administering patients must have a refrigerator to store azacitidine syringes at 2</w:t>
            </w:r>
            <w:r>
              <w:t>–</w:t>
            </w:r>
            <w:r w:rsidRPr="00E44F3E">
              <w:t>8°C.</w:t>
            </w:r>
          </w:p>
          <w:p w14:paraId="2109C91F" w14:textId="77777777" w:rsidR="00BD3222" w:rsidRPr="00E44F3E" w:rsidRDefault="00BD3222">
            <w:pPr>
              <w:pStyle w:val="TableBullet"/>
            </w:pPr>
            <w:r w:rsidRPr="00E44F3E">
              <w:t>Individual doses of azacitidine &gt;100 mg will be administered as two subcutaneous injections at two sites.</w:t>
            </w:r>
          </w:p>
          <w:p w14:paraId="0F757CB0" w14:textId="77777777" w:rsidR="00BD3222" w:rsidRPr="00E44F3E" w:rsidRDefault="00BD3222">
            <w:pPr>
              <w:pStyle w:val="TableBullet"/>
            </w:pPr>
            <w:r w:rsidRPr="00E44F3E">
              <w:t>Regular blood tests are required to monitor for toxicity and response to treatment.</w:t>
            </w:r>
          </w:p>
          <w:p w14:paraId="293D17EC" w14:textId="77777777" w:rsidR="00BD3222" w:rsidRPr="00E44F3E" w:rsidRDefault="00BD3222">
            <w:pPr>
              <w:pStyle w:val="TableBullet"/>
            </w:pPr>
            <w:r w:rsidRPr="00E44F3E">
              <w:t>Dose modifications or delays may be needed if patient is intolerant to treatment.</w:t>
            </w:r>
          </w:p>
          <w:p w14:paraId="27CB841D" w14:textId="77777777" w:rsidR="00BD3222" w:rsidRPr="00E44F3E" w:rsidRDefault="00BD3222">
            <w:pPr>
              <w:pStyle w:val="TableBullet"/>
            </w:pPr>
            <w:r w:rsidRPr="00E44F3E">
              <w:t>Other medications may be needed to control side effects, prevent tumour syndrome and to prevent infections.</w:t>
            </w:r>
          </w:p>
        </w:tc>
      </w:tr>
      <w:tr w:rsidR="00BD3222" w:rsidRPr="00E44F3E" w14:paraId="3A8D8681" w14:textId="77777777">
        <w:trPr>
          <w:cantSplit/>
        </w:trPr>
        <w:tc>
          <w:tcPr>
            <w:tcW w:w="1531" w:type="dxa"/>
            <w:tcBorders>
              <w:top w:val="single" w:sz="4" w:space="0" w:color="C2D9BA"/>
              <w:left w:val="nil"/>
              <w:bottom w:val="single" w:sz="4" w:space="0" w:color="C2D9BA"/>
              <w:right w:val="nil"/>
            </w:tcBorders>
            <w:hideMark/>
          </w:tcPr>
          <w:p w14:paraId="77785464" w14:textId="77777777" w:rsidR="00BD3222" w:rsidRPr="00E44F3E" w:rsidRDefault="00BD3222">
            <w:pPr>
              <w:pStyle w:val="TableText"/>
              <w:ind w:right="113"/>
              <w:rPr>
                <w:b/>
              </w:rPr>
            </w:pPr>
            <w:r w:rsidRPr="00E44F3E">
              <w:rPr>
                <w:b/>
              </w:rPr>
              <w:t>Health system resource considerations</w:t>
            </w:r>
          </w:p>
        </w:tc>
        <w:tc>
          <w:tcPr>
            <w:tcW w:w="6883" w:type="dxa"/>
            <w:gridSpan w:val="2"/>
            <w:tcBorders>
              <w:top w:val="single" w:sz="4" w:space="0" w:color="C2D9BA"/>
              <w:left w:val="nil"/>
              <w:bottom w:val="single" w:sz="4" w:space="0" w:color="C2D9BA"/>
              <w:right w:val="nil"/>
            </w:tcBorders>
          </w:tcPr>
          <w:p w14:paraId="5E4A7956" w14:textId="77777777" w:rsidR="00BD3222" w:rsidRPr="00E44F3E" w:rsidRDefault="00BD3222">
            <w:pPr>
              <w:pStyle w:val="TableBullet"/>
            </w:pPr>
            <w:r w:rsidRPr="00E44F3E">
              <w:t xml:space="preserve">Complete blood counts should be performed as needed to monitor response and toxicity, but at a minimum, prior to each dosing cycle. </w:t>
            </w:r>
          </w:p>
          <w:p w14:paraId="6A1DBF91" w14:textId="77777777" w:rsidR="00BD3222" w:rsidRPr="00E44F3E" w:rsidRDefault="00BD3222">
            <w:pPr>
              <w:pStyle w:val="TableBullet"/>
            </w:pPr>
            <w:r w:rsidRPr="00E44F3E">
              <w:t xml:space="preserve">Inpatient stay may be required for </w:t>
            </w:r>
            <w:proofErr w:type="spellStart"/>
            <w:r w:rsidRPr="00E44F3E">
              <w:t>venetoclax</w:t>
            </w:r>
            <w:proofErr w:type="spellEnd"/>
            <w:r w:rsidRPr="00E44F3E">
              <w:t xml:space="preserve"> dose titration.</w:t>
            </w:r>
          </w:p>
          <w:p w14:paraId="124B0A06" w14:textId="77777777" w:rsidR="00BD3222" w:rsidRPr="00E44F3E" w:rsidRDefault="00BD3222">
            <w:pPr>
              <w:pStyle w:val="TableBullet"/>
            </w:pPr>
            <w:r w:rsidRPr="00E44F3E">
              <w:t>Close laboratory monitoring for development of tumour lysis syndrome during dose titration phase.</w:t>
            </w:r>
          </w:p>
          <w:p w14:paraId="63CC54AE" w14:textId="24EFA21A" w:rsidR="00BD3222" w:rsidRPr="00E44F3E" w:rsidRDefault="00BD3222">
            <w:pPr>
              <w:pStyle w:val="TableBullet"/>
            </w:pPr>
            <w:r>
              <w:t>Seven</w:t>
            </w:r>
            <w:r w:rsidRPr="00E44F3E">
              <w:t xml:space="preserve"> days of azacitidine administration Q4W</w:t>
            </w:r>
            <w:r>
              <w:t>.</w:t>
            </w:r>
          </w:p>
          <w:p w14:paraId="30D98282" w14:textId="77777777" w:rsidR="00BD3222" w:rsidRPr="00E44F3E" w:rsidRDefault="00BD3222">
            <w:pPr>
              <w:pStyle w:val="TableBullet"/>
            </w:pPr>
            <w:r w:rsidRPr="00E44F3E">
              <w:t>Training of patients who self-administer.</w:t>
            </w:r>
          </w:p>
          <w:p w14:paraId="23709343" w14:textId="182A8E46" w:rsidR="00BD3222" w:rsidRPr="00E44F3E" w:rsidRDefault="00BD3222">
            <w:pPr>
              <w:pStyle w:val="TableBullet"/>
            </w:pPr>
            <w:r w:rsidRPr="00E44F3E">
              <w:t>Azacitidine subcutaneous syringes have a 48</w:t>
            </w:r>
            <w:r>
              <w:t>-</w:t>
            </w:r>
            <w:r w:rsidRPr="00E44F3E">
              <w:t>hour expiry and need storage at 2</w:t>
            </w:r>
            <w:r>
              <w:t>–</w:t>
            </w:r>
            <w:r w:rsidRPr="00E44F3E">
              <w:t>8°C creating complex logistics with supply.</w:t>
            </w:r>
          </w:p>
          <w:p w14:paraId="30CE499B" w14:textId="77777777" w:rsidR="00BD3222" w:rsidRPr="00E44F3E" w:rsidRDefault="00BD3222">
            <w:pPr>
              <w:pStyle w:val="TableBullet"/>
            </w:pPr>
            <w:r w:rsidRPr="00E44F3E">
              <w:t xml:space="preserve">Increased demand for other laboratory services to monitor for treatment-related toxicities. </w:t>
            </w:r>
          </w:p>
          <w:p w14:paraId="74EA9819" w14:textId="77777777" w:rsidR="00BD3222" w:rsidRPr="00E44F3E" w:rsidRDefault="00BD3222">
            <w:pPr>
              <w:pStyle w:val="TableBullet"/>
            </w:pPr>
            <w:r w:rsidRPr="00E44F3E">
              <w:t>Potential for increased demand for supportive care and toxicity management (including health care professionals’ time and adjustment of pharmaceuticals).</w:t>
            </w:r>
          </w:p>
          <w:p w14:paraId="66D9DA49" w14:textId="77777777" w:rsidR="00BD3222" w:rsidRPr="00E44F3E" w:rsidRDefault="00BD3222">
            <w:pPr>
              <w:pStyle w:val="TableBullet"/>
            </w:pPr>
            <w:r w:rsidRPr="00E44F3E">
              <w:t>Additional follow-up appointments required.</w:t>
            </w:r>
          </w:p>
          <w:p w14:paraId="4E980F3D" w14:textId="77777777" w:rsidR="00BD3222" w:rsidRPr="00E44F3E" w:rsidRDefault="00BD3222">
            <w:pPr>
              <w:pStyle w:val="TableBullet"/>
            </w:pPr>
            <w:r w:rsidRPr="00E44F3E">
              <w:t>Increased demand for laboratory services to monitor for disease response.</w:t>
            </w:r>
          </w:p>
        </w:tc>
      </w:tr>
    </w:tbl>
    <w:p w14:paraId="626DD98E" w14:textId="77777777" w:rsidR="00BD3222" w:rsidRDefault="00BD3222" w:rsidP="00BD3222"/>
    <w:p w14:paraId="66CD8736" w14:textId="69E92899" w:rsidR="007F1191" w:rsidRDefault="007F1191" w:rsidP="007F1191">
      <w:r>
        <w:br w:type="page"/>
      </w:r>
    </w:p>
    <w:p w14:paraId="6139EEC8" w14:textId="1E4F6474" w:rsidR="00303303" w:rsidRPr="00E44F3E" w:rsidRDefault="00303303" w:rsidP="007F1191">
      <w:pPr>
        <w:pStyle w:val="Heading3"/>
      </w:pPr>
      <w:bookmarkStart w:id="265" w:name="_Ref177736691"/>
      <w:r w:rsidRPr="00E44F3E">
        <w:lastRenderedPageBreak/>
        <w:t>Lymphoma</w:t>
      </w:r>
      <w:bookmarkEnd w:id="265"/>
      <w:r w:rsidRPr="00E44F3E">
        <w:t xml:space="preserve"> </w:t>
      </w:r>
    </w:p>
    <w:p w14:paraId="068A522A" w14:textId="0F141263" w:rsidR="00303303" w:rsidRPr="00E44F3E" w:rsidRDefault="00245D5E" w:rsidP="00245D5E">
      <w:pPr>
        <w:pStyle w:val="Table"/>
      </w:pPr>
      <w:bookmarkStart w:id="266" w:name="_Ref177735685"/>
      <w:bookmarkStart w:id="267" w:name="_Toc175241609"/>
      <w:bookmarkStart w:id="268" w:name="_Toc180142310"/>
      <w:r w:rsidRPr="00E44F3E">
        <w:t xml:space="preserve">Table </w:t>
      </w:r>
      <w:r w:rsidR="00D97615">
        <w:fldChar w:fldCharType="begin"/>
      </w:r>
      <w:r w:rsidR="00D97615">
        <w:instrText xml:space="preserve"> SEQ Table \* ARABIC </w:instrText>
      </w:r>
      <w:r w:rsidR="00D97615">
        <w:fldChar w:fldCharType="separate"/>
      </w:r>
      <w:r w:rsidR="004A6DF6">
        <w:rPr>
          <w:noProof/>
        </w:rPr>
        <w:t>24</w:t>
      </w:r>
      <w:r w:rsidR="00D97615">
        <w:rPr>
          <w:noProof/>
        </w:rPr>
        <w:fldChar w:fldCharType="end"/>
      </w:r>
      <w:bookmarkEnd w:id="266"/>
      <w:r w:rsidR="00303303" w:rsidRPr="00E44F3E">
        <w:t xml:space="preserve">: </w:t>
      </w:r>
      <w:r w:rsidR="00016DA6" w:rsidRPr="00135084">
        <w:t>Acalabrutinib</w:t>
      </w:r>
      <w:r w:rsidR="00084959">
        <w:t xml:space="preserve">, </w:t>
      </w:r>
      <w:r w:rsidR="00303303" w:rsidRPr="00E44F3E">
        <w:t>Ibrutinib</w:t>
      </w:r>
      <w:r w:rsidR="00084959">
        <w:t xml:space="preserve"> and </w:t>
      </w:r>
      <w:proofErr w:type="spellStart"/>
      <w:r w:rsidR="00084959">
        <w:t>zanubrutinib</w:t>
      </w:r>
      <w:proofErr w:type="spellEnd"/>
      <w:r w:rsidR="00303303" w:rsidRPr="00E44F3E">
        <w:t xml:space="preserve"> for mantle cell lymphoma – relapsed refractory</w:t>
      </w:r>
      <w:bookmarkEnd w:id="267"/>
      <w:bookmarkEnd w:id="268"/>
    </w:p>
    <w:tbl>
      <w:tblPr>
        <w:tblW w:w="5000" w:type="pct"/>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815"/>
        <w:gridCol w:w="211"/>
        <w:gridCol w:w="6053"/>
      </w:tblGrid>
      <w:tr w:rsidR="00303303" w:rsidRPr="00E44F3E" w14:paraId="5DA5483C" w14:textId="77777777" w:rsidTr="004B1627">
        <w:trPr>
          <w:cantSplit/>
        </w:trPr>
        <w:tc>
          <w:tcPr>
            <w:tcW w:w="1125" w:type="pct"/>
            <w:tcBorders>
              <w:top w:val="nil"/>
              <w:left w:val="nil"/>
              <w:bottom w:val="nil"/>
              <w:right w:val="nil"/>
            </w:tcBorders>
            <w:shd w:val="clear" w:color="auto" w:fill="C2D9BA"/>
            <w:hideMark/>
          </w:tcPr>
          <w:p w14:paraId="037ED121" w14:textId="77777777" w:rsidR="00303303" w:rsidRPr="00E44F3E" w:rsidRDefault="00303303">
            <w:pPr>
              <w:pStyle w:val="TableText"/>
              <w:ind w:right="113"/>
              <w:rPr>
                <w:b/>
              </w:rPr>
            </w:pPr>
            <w:r w:rsidRPr="00E44F3E">
              <w:rPr>
                <w:b/>
              </w:rPr>
              <w:t>Indication description</w:t>
            </w:r>
          </w:p>
        </w:tc>
        <w:tc>
          <w:tcPr>
            <w:tcW w:w="3875" w:type="pct"/>
            <w:gridSpan w:val="2"/>
            <w:tcBorders>
              <w:top w:val="nil"/>
              <w:left w:val="nil"/>
              <w:bottom w:val="nil"/>
              <w:right w:val="nil"/>
            </w:tcBorders>
            <w:shd w:val="clear" w:color="auto" w:fill="C2D9BA"/>
            <w:hideMark/>
          </w:tcPr>
          <w:p w14:paraId="3329977C" w14:textId="0C90880C" w:rsidR="00303303" w:rsidRPr="00E44F3E" w:rsidRDefault="00303303">
            <w:pPr>
              <w:pStyle w:val="TableText"/>
            </w:pPr>
            <w:r w:rsidRPr="00E44F3E">
              <w:t xml:space="preserve">Mantle cell lymphoma </w:t>
            </w:r>
            <w:r w:rsidR="007F23FC">
              <w:t xml:space="preserve">(MCL) </w:t>
            </w:r>
            <w:r w:rsidRPr="00E44F3E">
              <w:t>relapsed refractory – second line plus</w:t>
            </w:r>
          </w:p>
        </w:tc>
      </w:tr>
      <w:tr w:rsidR="00303303" w:rsidRPr="00E44F3E" w14:paraId="0DAB2094" w14:textId="77777777" w:rsidTr="004B1627">
        <w:trPr>
          <w:cantSplit/>
        </w:trPr>
        <w:tc>
          <w:tcPr>
            <w:tcW w:w="1125" w:type="pct"/>
            <w:tcBorders>
              <w:top w:val="single" w:sz="4" w:space="0" w:color="C2D9BA"/>
              <w:left w:val="nil"/>
              <w:bottom w:val="single" w:sz="4" w:space="0" w:color="C2D9BA"/>
              <w:right w:val="nil"/>
            </w:tcBorders>
            <w:shd w:val="clear" w:color="auto" w:fill="E7F0E3"/>
            <w:hideMark/>
          </w:tcPr>
          <w:p w14:paraId="28D11DFC" w14:textId="77777777" w:rsidR="00303303" w:rsidRPr="00E44F3E" w:rsidRDefault="00303303">
            <w:pPr>
              <w:pStyle w:val="TableText"/>
              <w:ind w:right="113"/>
              <w:rPr>
                <w:b/>
              </w:rPr>
            </w:pPr>
            <w:r w:rsidRPr="00E44F3E">
              <w:rPr>
                <w:b/>
              </w:rPr>
              <w:t>Medicine</w:t>
            </w:r>
          </w:p>
        </w:tc>
        <w:tc>
          <w:tcPr>
            <w:tcW w:w="3875" w:type="pct"/>
            <w:gridSpan w:val="2"/>
            <w:tcBorders>
              <w:top w:val="single" w:sz="4" w:space="0" w:color="C2D9BA"/>
              <w:left w:val="nil"/>
              <w:bottom w:val="single" w:sz="4" w:space="0" w:color="C2D9BA"/>
              <w:right w:val="nil"/>
            </w:tcBorders>
            <w:shd w:val="clear" w:color="auto" w:fill="E7F0E3"/>
            <w:hideMark/>
          </w:tcPr>
          <w:p w14:paraId="79780D82" w14:textId="56414A9E" w:rsidR="00303303" w:rsidRPr="00E44F3E" w:rsidRDefault="00544CD4">
            <w:pPr>
              <w:pStyle w:val="TableText"/>
            </w:pPr>
            <w:r w:rsidRPr="00135084">
              <w:t>Acalabrutinib</w:t>
            </w:r>
            <w:r w:rsidR="00084959">
              <w:t xml:space="preserve">, </w:t>
            </w:r>
            <w:r w:rsidR="00084959" w:rsidRPr="00E44F3E">
              <w:t>Ibrutinib</w:t>
            </w:r>
            <w:r w:rsidR="00084959">
              <w:t xml:space="preserve"> and </w:t>
            </w:r>
            <w:proofErr w:type="spellStart"/>
            <w:r w:rsidR="00084959">
              <w:t>zanubrutinib</w:t>
            </w:r>
            <w:proofErr w:type="spellEnd"/>
          </w:p>
        </w:tc>
      </w:tr>
      <w:tr w:rsidR="00303303" w:rsidRPr="00E44F3E" w14:paraId="2CB2FFF3" w14:textId="77777777" w:rsidTr="004B1627">
        <w:trPr>
          <w:cantSplit/>
        </w:trPr>
        <w:tc>
          <w:tcPr>
            <w:tcW w:w="1125" w:type="pct"/>
            <w:tcBorders>
              <w:top w:val="single" w:sz="4" w:space="0" w:color="C2D9BA"/>
              <w:left w:val="nil"/>
              <w:bottom w:val="single" w:sz="4" w:space="0" w:color="C2D9BA"/>
              <w:right w:val="nil"/>
            </w:tcBorders>
            <w:hideMark/>
          </w:tcPr>
          <w:p w14:paraId="790D740D" w14:textId="77777777" w:rsidR="00303303" w:rsidRPr="00E44F3E" w:rsidRDefault="00303303">
            <w:pPr>
              <w:pStyle w:val="TableText"/>
              <w:ind w:right="113"/>
              <w:rPr>
                <w:b/>
              </w:rPr>
            </w:pPr>
            <w:r w:rsidRPr="00E44F3E">
              <w:rPr>
                <w:b/>
              </w:rPr>
              <w:t>Description of medicine class</w:t>
            </w:r>
          </w:p>
        </w:tc>
        <w:tc>
          <w:tcPr>
            <w:tcW w:w="3875" w:type="pct"/>
            <w:gridSpan w:val="2"/>
            <w:tcBorders>
              <w:top w:val="single" w:sz="4" w:space="0" w:color="C2D9BA"/>
              <w:left w:val="nil"/>
              <w:bottom w:val="single" w:sz="4" w:space="0" w:color="C2D9BA"/>
              <w:right w:val="nil"/>
            </w:tcBorders>
            <w:hideMark/>
          </w:tcPr>
          <w:p w14:paraId="142A0FF6" w14:textId="6CE81285" w:rsidR="00303303" w:rsidRPr="00E44F3E" w:rsidRDefault="00303303">
            <w:pPr>
              <w:pStyle w:val="TableText"/>
            </w:pPr>
            <w:r w:rsidRPr="00E44F3E">
              <w:t>Bruton</w:t>
            </w:r>
            <w:r w:rsidR="004650A2" w:rsidRPr="00E44F3E">
              <w:t>’</w:t>
            </w:r>
            <w:r w:rsidRPr="00E44F3E">
              <w:t>s tyrosine kinase inhibitor</w:t>
            </w:r>
            <w:r w:rsidR="00DB6A8F">
              <w:t>.</w:t>
            </w:r>
            <w:r w:rsidRPr="00E44F3E">
              <w:t xml:space="preserve"> </w:t>
            </w:r>
          </w:p>
        </w:tc>
      </w:tr>
      <w:tr w:rsidR="00303303" w:rsidRPr="00E44F3E" w14:paraId="3034C447" w14:textId="77777777" w:rsidTr="004B1627">
        <w:trPr>
          <w:cantSplit/>
        </w:trPr>
        <w:tc>
          <w:tcPr>
            <w:tcW w:w="1125" w:type="pct"/>
            <w:tcBorders>
              <w:top w:val="single" w:sz="4" w:space="0" w:color="C2D9BA"/>
              <w:left w:val="nil"/>
              <w:bottom w:val="single" w:sz="4" w:space="0" w:color="C2D9BA"/>
              <w:right w:val="nil"/>
            </w:tcBorders>
            <w:hideMark/>
          </w:tcPr>
          <w:p w14:paraId="6A11CDDD" w14:textId="77777777" w:rsidR="00303303" w:rsidRPr="00E44F3E" w:rsidRDefault="00303303">
            <w:pPr>
              <w:pStyle w:val="TableText"/>
              <w:ind w:right="113"/>
              <w:rPr>
                <w:b/>
              </w:rPr>
            </w:pPr>
            <w:r w:rsidRPr="00E44F3E">
              <w:rPr>
                <w:b/>
              </w:rPr>
              <w:t>Intent of treatment</w:t>
            </w:r>
          </w:p>
        </w:tc>
        <w:tc>
          <w:tcPr>
            <w:tcW w:w="3875" w:type="pct"/>
            <w:gridSpan w:val="2"/>
            <w:tcBorders>
              <w:top w:val="single" w:sz="4" w:space="0" w:color="C2D9BA"/>
              <w:left w:val="nil"/>
              <w:bottom w:val="single" w:sz="4" w:space="0" w:color="C2D9BA"/>
              <w:right w:val="nil"/>
            </w:tcBorders>
            <w:hideMark/>
          </w:tcPr>
          <w:p w14:paraId="48138727" w14:textId="2077F052" w:rsidR="00303303" w:rsidRPr="00E44F3E" w:rsidRDefault="00303303">
            <w:pPr>
              <w:pStyle w:val="TableText"/>
            </w:pPr>
            <w:r w:rsidRPr="00E44F3E">
              <w:t>Non-curative</w:t>
            </w:r>
            <w:r w:rsidR="00DB6A8F">
              <w:t>.</w:t>
            </w:r>
          </w:p>
        </w:tc>
      </w:tr>
      <w:tr w:rsidR="00303303" w:rsidRPr="00E44F3E" w14:paraId="0504A221" w14:textId="77777777" w:rsidTr="004B1627">
        <w:trPr>
          <w:cantSplit/>
        </w:trPr>
        <w:tc>
          <w:tcPr>
            <w:tcW w:w="1125" w:type="pct"/>
            <w:tcBorders>
              <w:top w:val="single" w:sz="4" w:space="0" w:color="C2D9BA"/>
              <w:left w:val="nil"/>
              <w:bottom w:val="single" w:sz="4" w:space="0" w:color="C2D9BA"/>
              <w:right w:val="nil"/>
            </w:tcBorders>
            <w:hideMark/>
          </w:tcPr>
          <w:p w14:paraId="735A9ADA" w14:textId="3D4029E8" w:rsidR="00303303" w:rsidRPr="00E44F3E" w:rsidRDefault="00303303">
            <w:pPr>
              <w:pStyle w:val="TableText"/>
              <w:ind w:right="113"/>
              <w:rPr>
                <w:b/>
              </w:rPr>
            </w:pPr>
            <w:r w:rsidRPr="00E44F3E">
              <w:rPr>
                <w:b/>
              </w:rPr>
              <w:t xml:space="preserve">Pharmac status </w:t>
            </w:r>
            <w:r w:rsidR="00B067E1">
              <w:rPr>
                <w:b/>
              </w:rPr>
              <w:t>(October 2024)</w:t>
            </w:r>
          </w:p>
        </w:tc>
        <w:tc>
          <w:tcPr>
            <w:tcW w:w="3875" w:type="pct"/>
            <w:gridSpan w:val="2"/>
            <w:tcBorders>
              <w:top w:val="single" w:sz="4" w:space="0" w:color="C2D9BA"/>
              <w:left w:val="nil"/>
              <w:bottom w:val="single" w:sz="4" w:space="0" w:color="C2D9BA"/>
              <w:right w:val="nil"/>
            </w:tcBorders>
            <w:hideMark/>
          </w:tcPr>
          <w:p w14:paraId="578D62E3" w14:textId="77777777" w:rsidR="00016DA6" w:rsidRDefault="00016DA6" w:rsidP="00016DA6">
            <w:pPr>
              <w:pStyle w:val="TableBullet"/>
              <w:numPr>
                <w:ilvl w:val="0"/>
                <w:numId w:val="0"/>
              </w:numPr>
              <w:ind w:left="284" w:hanging="284"/>
            </w:pPr>
            <w:r w:rsidRPr="00016DA6">
              <w:t xml:space="preserve">Acalabrutinib </w:t>
            </w:r>
          </w:p>
          <w:p w14:paraId="00825F03" w14:textId="73F6A10D" w:rsidR="00441B8C" w:rsidRDefault="00441B8C" w:rsidP="00441B8C">
            <w:pPr>
              <w:pStyle w:val="TableBullet"/>
            </w:pPr>
            <w:r>
              <w:t xml:space="preserve">No application </w:t>
            </w:r>
          </w:p>
          <w:p w14:paraId="380EE3C2" w14:textId="77777777" w:rsidR="00441B8C" w:rsidRDefault="00441B8C" w:rsidP="00441B8C">
            <w:pPr>
              <w:pStyle w:val="TableBullet"/>
              <w:numPr>
                <w:ilvl w:val="0"/>
                <w:numId w:val="0"/>
              </w:numPr>
              <w:ind w:left="284"/>
            </w:pPr>
          </w:p>
          <w:p w14:paraId="2CBE0AEE" w14:textId="67248EAD" w:rsidR="00183395" w:rsidRDefault="00183395" w:rsidP="00441B8C">
            <w:pPr>
              <w:pStyle w:val="TableBullet"/>
              <w:numPr>
                <w:ilvl w:val="0"/>
                <w:numId w:val="0"/>
              </w:numPr>
              <w:ind w:left="284" w:hanging="284"/>
            </w:pPr>
            <w:r>
              <w:t xml:space="preserve">Ibrutinib </w:t>
            </w:r>
          </w:p>
          <w:p w14:paraId="75F38CD6" w14:textId="6CA5B92E" w:rsidR="00303303" w:rsidRPr="00E44F3E" w:rsidRDefault="00303303" w:rsidP="002950CD">
            <w:pPr>
              <w:pStyle w:val="TableBullet"/>
            </w:pPr>
            <w:r w:rsidRPr="00E44F3E">
              <w:t>Application received August 2015</w:t>
            </w:r>
            <w:r w:rsidR="00DB6A8F">
              <w:t>.</w:t>
            </w:r>
          </w:p>
          <w:p w14:paraId="6570F4AB" w14:textId="77777777" w:rsidR="00441B8C" w:rsidRDefault="00303303" w:rsidP="00441B8C">
            <w:pPr>
              <w:pStyle w:val="TableBullet"/>
            </w:pPr>
            <w:r w:rsidRPr="00E44F3E">
              <w:t>Options compared June 2021</w:t>
            </w:r>
            <w:r w:rsidR="00DB6A8F">
              <w:t>.</w:t>
            </w:r>
          </w:p>
          <w:p w14:paraId="24A37884" w14:textId="46849A8D" w:rsidR="00303303" w:rsidRPr="00F65321" w:rsidRDefault="00441B8C" w:rsidP="00441B8C">
            <w:pPr>
              <w:pStyle w:val="TableBullet"/>
            </w:pPr>
            <w:r>
              <w:t>S</w:t>
            </w:r>
            <w:r w:rsidR="00594F18">
              <w:t xml:space="preserve">ee </w:t>
            </w:r>
            <w:hyperlink r:id="rId98" w:history="1">
              <w:r w:rsidR="00F815D3" w:rsidRPr="00441B8C">
                <w:rPr>
                  <w:rStyle w:val="Hyperlink"/>
                  <w:rFonts w:eastAsiaTheme="minorHAnsi"/>
                </w:rPr>
                <w:t>connect.pharmac.govt.nz/apptracker/s/application-public/a102P000008puXu/p001189</w:t>
              </w:r>
            </w:hyperlink>
            <w:r w:rsidR="00796410" w:rsidRPr="00441B8C">
              <w:rPr>
                <w:rFonts w:eastAsiaTheme="minorHAnsi"/>
              </w:rPr>
              <w:t>).</w:t>
            </w:r>
            <w:r w:rsidR="00F815D3" w:rsidRPr="00441B8C">
              <w:rPr>
                <w:rFonts w:eastAsiaTheme="minorHAnsi"/>
              </w:rPr>
              <w:t xml:space="preserve"> </w:t>
            </w:r>
          </w:p>
          <w:p w14:paraId="47E0294F" w14:textId="77777777" w:rsidR="00F65321" w:rsidRDefault="00F65321" w:rsidP="00F65321">
            <w:pPr>
              <w:pStyle w:val="TableDash"/>
              <w:numPr>
                <w:ilvl w:val="0"/>
                <w:numId w:val="0"/>
              </w:numPr>
              <w:ind w:left="567" w:hanging="283"/>
              <w:rPr>
                <w:rFonts w:eastAsiaTheme="minorHAnsi"/>
              </w:rPr>
            </w:pPr>
          </w:p>
          <w:p w14:paraId="4D3F6F18" w14:textId="77777777" w:rsidR="00F65321" w:rsidRDefault="00F65321" w:rsidP="00F65321">
            <w:pPr>
              <w:pStyle w:val="TableDash"/>
              <w:numPr>
                <w:ilvl w:val="0"/>
                <w:numId w:val="0"/>
              </w:numPr>
            </w:pPr>
            <w:proofErr w:type="spellStart"/>
            <w:r>
              <w:t>Zanubruitnib</w:t>
            </w:r>
            <w:proofErr w:type="spellEnd"/>
            <w:r>
              <w:t xml:space="preserve"> </w:t>
            </w:r>
          </w:p>
          <w:p w14:paraId="1A13060A" w14:textId="77777777" w:rsidR="00183395" w:rsidRDefault="00183395" w:rsidP="00183395">
            <w:pPr>
              <w:pStyle w:val="TableBullet"/>
            </w:pPr>
            <w:r>
              <w:t>Application received May 2023</w:t>
            </w:r>
          </w:p>
          <w:p w14:paraId="7490BA0F" w14:textId="4E9912C7" w:rsidR="00B16AF2" w:rsidRDefault="00B16AF2" w:rsidP="00B16AF2">
            <w:pPr>
              <w:pStyle w:val="TableBullet"/>
            </w:pPr>
            <w:r w:rsidRPr="00E44F3E">
              <w:t xml:space="preserve">Options compared June </w:t>
            </w:r>
            <w:r>
              <w:t>2024.</w:t>
            </w:r>
          </w:p>
          <w:p w14:paraId="6915D120" w14:textId="385B06AC" w:rsidR="00183395" w:rsidRPr="00E44F3E" w:rsidRDefault="00183395" w:rsidP="00183395">
            <w:pPr>
              <w:pStyle w:val="TableBullet"/>
            </w:pPr>
            <w:r w:rsidRPr="00183395">
              <w:t>See</w:t>
            </w:r>
            <w:r w:rsidRPr="00183395">
              <w:rPr>
                <w:b/>
              </w:rPr>
              <w:t xml:space="preserve"> </w:t>
            </w:r>
            <w:r w:rsidRPr="00B16AF2">
              <w:rPr>
                <w:rStyle w:val="Hyperlink"/>
                <w:rFonts w:eastAsiaTheme="minorHAnsi"/>
                <w:bCs/>
                <w:szCs w:val="22"/>
              </w:rPr>
              <w:t>connect.pharmac.govt.nz/apptracker/s/application-public/a102P00000BaaQE/p001913</w:t>
            </w:r>
          </w:p>
        </w:tc>
      </w:tr>
      <w:tr w:rsidR="00303303" w:rsidRPr="00E44F3E" w14:paraId="29B5E503" w14:textId="77777777" w:rsidTr="004B1627">
        <w:trPr>
          <w:cantSplit/>
        </w:trPr>
        <w:tc>
          <w:tcPr>
            <w:tcW w:w="1125" w:type="pct"/>
            <w:tcBorders>
              <w:top w:val="single" w:sz="4" w:space="0" w:color="C2D9BA"/>
              <w:left w:val="nil"/>
              <w:bottom w:val="single" w:sz="4" w:space="0" w:color="C2D9BA"/>
              <w:right w:val="nil"/>
            </w:tcBorders>
            <w:hideMark/>
          </w:tcPr>
          <w:p w14:paraId="1DCC75E0" w14:textId="5CB4BB88"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127" w:type="pct"/>
            <w:tcBorders>
              <w:top w:val="single" w:sz="4" w:space="0" w:color="C2D9BA"/>
              <w:left w:val="nil"/>
              <w:bottom w:val="single" w:sz="4" w:space="0" w:color="C2D9BA"/>
              <w:right w:val="nil"/>
            </w:tcBorders>
            <w:hideMark/>
          </w:tcPr>
          <w:p w14:paraId="47D2DA75" w14:textId="77777777" w:rsidR="00303303" w:rsidRPr="00E44F3E" w:rsidRDefault="00303303">
            <w:pPr>
              <w:pStyle w:val="TableText"/>
            </w:pPr>
            <w:r w:rsidRPr="00E44F3E">
              <w:t>4</w:t>
            </w:r>
          </w:p>
        </w:tc>
        <w:tc>
          <w:tcPr>
            <w:tcW w:w="3748" w:type="pct"/>
            <w:tcBorders>
              <w:top w:val="single" w:sz="4" w:space="0" w:color="C2D9BA"/>
              <w:left w:val="nil"/>
              <w:bottom w:val="single" w:sz="4" w:space="0" w:color="C2D9BA"/>
              <w:right w:val="nil"/>
            </w:tcBorders>
            <w:hideMark/>
          </w:tcPr>
          <w:p w14:paraId="06901526" w14:textId="77777777" w:rsidR="006623FD" w:rsidRDefault="006623FD" w:rsidP="006623FD">
            <w:pPr>
              <w:pStyle w:val="TableText"/>
              <w:keepLines/>
              <w:tabs>
                <w:tab w:val="left" w:pos="2275"/>
              </w:tabs>
            </w:pPr>
            <w:r w:rsidRPr="00E44F3E">
              <w:t>Ibrutinib</w:t>
            </w:r>
            <w:r>
              <w:t xml:space="preserve"> (RAY trial) </w:t>
            </w:r>
          </w:p>
          <w:p w14:paraId="7F138A4D" w14:textId="0348451D" w:rsidR="00303303" w:rsidRPr="00E44F3E" w:rsidRDefault="00303303" w:rsidP="006623FD">
            <w:pPr>
              <w:pStyle w:val="TableText"/>
              <w:keepLines/>
              <w:tabs>
                <w:tab w:val="left" w:pos="2275"/>
              </w:tabs>
            </w:pPr>
            <w:r w:rsidRPr="00E44F3E">
              <w:t xml:space="preserve">Compared to </w:t>
            </w:r>
            <w:proofErr w:type="spellStart"/>
            <w:r w:rsidRPr="00E44F3E">
              <w:t>temsirolimus</w:t>
            </w:r>
            <w:proofErr w:type="spellEnd"/>
            <w:r w:rsidRPr="00E44F3E">
              <w:t>:*</w:t>
            </w:r>
          </w:p>
          <w:p w14:paraId="2BAD96F9" w14:textId="1C8B3BC8" w:rsidR="00303303" w:rsidRPr="00E44F3E" w:rsidRDefault="00303303" w:rsidP="00135084">
            <w:pPr>
              <w:pStyle w:val="TableBullet"/>
            </w:pPr>
            <w:r w:rsidRPr="00E44F3E">
              <w:t>Gain of 8.4 months median progression</w:t>
            </w:r>
            <w:r w:rsidR="00933F09">
              <w:t>-</w:t>
            </w:r>
            <w:r w:rsidRPr="00E44F3E">
              <w:t>free survival</w:t>
            </w:r>
            <w:r w:rsidR="00F16D32">
              <w:t>.</w:t>
            </w:r>
          </w:p>
          <w:p w14:paraId="3D85909F" w14:textId="27D05392" w:rsidR="00303303" w:rsidRPr="00E44F3E" w:rsidRDefault="00303303" w:rsidP="00135084">
            <w:pPr>
              <w:pStyle w:val="TableBullet"/>
            </w:pPr>
            <w:r w:rsidRPr="00E44F3E">
              <w:t>Toxicity results did not contribute to the score</w:t>
            </w:r>
            <w:r w:rsidR="00F16D32">
              <w:t>.</w:t>
            </w:r>
          </w:p>
          <w:p w14:paraId="3ECF1719" w14:textId="1E2BA6FD" w:rsidR="00303303" w:rsidRPr="00E44F3E" w:rsidRDefault="00303303" w:rsidP="00135084">
            <w:pPr>
              <w:pStyle w:val="TableBullet"/>
            </w:pPr>
            <w:r w:rsidRPr="00E44F3E">
              <w:t xml:space="preserve">Improved global </w:t>
            </w:r>
            <w:r w:rsidR="00F16D32" w:rsidRPr="00E44F3E">
              <w:t>health</w:t>
            </w:r>
            <w:r w:rsidRPr="00E44F3E">
              <w:t>-related quality of life</w:t>
            </w:r>
            <w:r w:rsidR="00F16D32">
              <w:t>.</w:t>
            </w:r>
          </w:p>
        </w:tc>
      </w:tr>
      <w:tr w:rsidR="00303303" w:rsidRPr="00E44F3E" w14:paraId="587D06DC" w14:textId="77777777" w:rsidTr="004B1627">
        <w:trPr>
          <w:cantSplit/>
        </w:trPr>
        <w:tc>
          <w:tcPr>
            <w:tcW w:w="1125" w:type="pct"/>
            <w:tcBorders>
              <w:top w:val="single" w:sz="4" w:space="0" w:color="C2D9BA"/>
              <w:left w:val="nil"/>
              <w:bottom w:val="single" w:sz="4" w:space="0" w:color="C2D9BA"/>
              <w:right w:val="nil"/>
            </w:tcBorders>
            <w:hideMark/>
          </w:tcPr>
          <w:p w14:paraId="421F7024" w14:textId="0BB1E997"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3875" w:type="pct"/>
            <w:gridSpan w:val="2"/>
            <w:tcBorders>
              <w:top w:val="single" w:sz="4" w:space="0" w:color="C2D9BA"/>
              <w:left w:val="nil"/>
              <w:bottom w:val="single" w:sz="4" w:space="0" w:color="C2D9BA"/>
              <w:right w:val="nil"/>
            </w:tcBorders>
            <w:hideMark/>
          </w:tcPr>
          <w:p w14:paraId="4B1DFCEE" w14:textId="09161EAB" w:rsidR="00303303" w:rsidRPr="00E44F3E" w:rsidRDefault="00303303">
            <w:pPr>
              <w:pStyle w:val="TableText"/>
              <w:rPr>
                <w:color w:val="FF0000"/>
                <w:highlight w:val="yellow"/>
              </w:rPr>
            </w:pPr>
            <w:r w:rsidRPr="00E44F3E">
              <w:t>MCL generally has rapid progression, a high rate of relapse after initial treatment, and a median survival time of approximately 3</w:t>
            </w:r>
            <w:r w:rsidR="00B2479F">
              <w:t> </w:t>
            </w:r>
            <w:r w:rsidRPr="00E44F3E">
              <w:t>years. There is limited evidence about the efficacy of treatment for MCL</w:t>
            </w:r>
            <w:r w:rsidR="00B2479F">
              <w:t>,</w:t>
            </w:r>
            <w:r w:rsidRPr="00E44F3E">
              <w:t xml:space="preserve"> and MCL patients who relapse or are refractory following treatment have limited effective treatment options in the current </w:t>
            </w:r>
            <w:r w:rsidR="00E6006E">
              <w:t>Aotearoa New </w:t>
            </w:r>
            <w:r w:rsidR="007C6B5B">
              <w:t>Zealand</w:t>
            </w:r>
            <w:r w:rsidRPr="00E44F3E">
              <w:t xml:space="preserve"> setting.</w:t>
            </w:r>
          </w:p>
        </w:tc>
      </w:tr>
      <w:tr w:rsidR="00303303" w:rsidRPr="00E44F3E" w14:paraId="31423B8F" w14:textId="77777777" w:rsidTr="004B1627">
        <w:trPr>
          <w:cantSplit/>
        </w:trPr>
        <w:tc>
          <w:tcPr>
            <w:tcW w:w="1125" w:type="pct"/>
            <w:tcBorders>
              <w:top w:val="single" w:sz="4" w:space="0" w:color="C2D9BA"/>
              <w:left w:val="nil"/>
              <w:bottom w:val="single" w:sz="4" w:space="0" w:color="C2D9BA"/>
              <w:right w:val="nil"/>
            </w:tcBorders>
            <w:hideMark/>
          </w:tcPr>
          <w:p w14:paraId="4F7CFBF0" w14:textId="77777777" w:rsidR="00303303" w:rsidRPr="00E44F3E" w:rsidRDefault="00303303">
            <w:pPr>
              <w:pStyle w:val="TableText"/>
              <w:ind w:right="113"/>
              <w:rPr>
                <w:b/>
              </w:rPr>
            </w:pPr>
            <w:r w:rsidRPr="00E44F3E">
              <w:rPr>
                <w:b/>
              </w:rPr>
              <w:t>How this medicine would be given</w:t>
            </w:r>
          </w:p>
        </w:tc>
        <w:tc>
          <w:tcPr>
            <w:tcW w:w="3875" w:type="pct"/>
            <w:gridSpan w:val="2"/>
            <w:tcBorders>
              <w:top w:val="single" w:sz="4" w:space="0" w:color="C2D9BA"/>
              <w:left w:val="nil"/>
              <w:bottom w:val="single" w:sz="4" w:space="0" w:color="C2D9BA"/>
              <w:right w:val="nil"/>
            </w:tcBorders>
            <w:hideMark/>
          </w:tcPr>
          <w:p w14:paraId="08DA141C" w14:textId="3B943545" w:rsidR="00303303" w:rsidRPr="00E44F3E" w:rsidRDefault="00084959">
            <w:pPr>
              <w:pStyle w:val="TableText"/>
            </w:pPr>
            <w:r>
              <w:t>O</w:t>
            </w:r>
            <w:r w:rsidR="00303303" w:rsidRPr="00E44F3E">
              <w:t>rally once daily continuously</w:t>
            </w:r>
            <w:r w:rsidR="00036EEF">
              <w:t>.</w:t>
            </w:r>
          </w:p>
        </w:tc>
      </w:tr>
      <w:tr w:rsidR="00303303" w:rsidRPr="00E44F3E" w14:paraId="10BD5E60" w14:textId="77777777" w:rsidTr="004B1627">
        <w:trPr>
          <w:cantSplit/>
        </w:trPr>
        <w:tc>
          <w:tcPr>
            <w:tcW w:w="1125" w:type="pct"/>
            <w:tcBorders>
              <w:top w:val="single" w:sz="4" w:space="0" w:color="C2D9BA"/>
              <w:left w:val="nil"/>
              <w:bottom w:val="single" w:sz="4" w:space="0" w:color="C2D9BA"/>
              <w:right w:val="nil"/>
            </w:tcBorders>
            <w:hideMark/>
          </w:tcPr>
          <w:p w14:paraId="54F39811" w14:textId="77777777" w:rsidR="00303303" w:rsidRPr="00E44F3E" w:rsidRDefault="00303303">
            <w:pPr>
              <w:pStyle w:val="TableText"/>
              <w:ind w:right="113"/>
              <w:rPr>
                <w:b/>
              </w:rPr>
            </w:pPr>
            <w:r w:rsidRPr="00E44F3E">
              <w:rPr>
                <w:b/>
              </w:rPr>
              <w:t>Patient and whānau considerations</w:t>
            </w:r>
          </w:p>
        </w:tc>
        <w:tc>
          <w:tcPr>
            <w:tcW w:w="3875" w:type="pct"/>
            <w:gridSpan w:val="2"/>
            <w:tcBorders>
              <w:top w:val="single" w:sz="4" w:space="0" w:color="C2D9BA"/>
              <w:left w:val="nil"/>
              <w:bottom w:val="single" w:sz="4" w:space="0" w:color="C2D9BA"/>
              <w:right w:val="nil"/>
            </w:tcBorders>
          </w:tcPr>
          <w:p w14:paraId="201DAA15" w14:textId="44465BA7" w:rsidR="00303303" w:rsidRPr="00E44F3E" w:rsidRDefault="006623FD" w:rsidP="002950CD">
            <w:pPr>
              <w:pStyle w:val="TableBullet"/>
            </w:pPr>
            <w:r>
              <w:t>T</w:t>
            </w:r>
            <w:r w:rsidR="00303303" w:rsidRPr="00E44F3E">
              <w:t>ablets allow treatment at home.</w:t>
            </w:r>
          </w:p>
          <w:p w14:paraId="2D129C4E" w14:textId="77777777" w:rsidR="00303303" w:rsidRPr="00E44F3E" w:rsidRDefault="00303303" w:rsidP="002950CD">
            <w:pPr>
              <w:pStyle w:val="TableBullet"/>
            </w:pPr>
            <w:r w:rsidRPr="00E44F3E">
              <w:t>Regular blood tests and other monitoring are required to monitor for toxicity and response to treatment.</w:t>
            </w:r>
          </w:p>
          <w:p w14:paraId="3E032A69" w14:textId="77777777" w:rsidR="00303303" w:rsidRPr="00E44F3E" w:rsidRDefault="00303303" w:rsidP="002950CD">
            <w:pPr>
              <w:pStyle w:val="TableBullet"/>
            </w:pPr>
            <w:r w:rsidRPr="00E44F3E">
              <w:t>Dose modifications or delays may be needed if patient is intolerant to treatment.</w:t>
            </w:r>
          </w:p>
          <w:p w14:paraId="1A7EE254" w14:textId="77777777" w:rsidR="00303303" w:rsidRPr="00E44F3E" w:rsidRDefault="00303303" w:rsidP="002950CD">
            <w:pPr>
              <w:pStyle w:val="TableBullet"/>
            </w:pPr>
            <w:r w:rsidRPr="00E44F3E">
              <w:t>Other medications may be needed to control side effects, and to prevent infections.</w:t>
            </w:r>
          </w:p>
        </w:tc>
      </w:tr>
      <w:tr w:rsidR="00303303" w:rsidRPr="00E44F3E" w14:paraId="7B71E076" w14:textId="77777777" w:rsidTr="004B1627">
        <w:trPr>
          <w:cantSplit/>
        </w:trPr>
        <w:tc>
          <w:tcPr>
            <w:tcW w:w="1125" w:type="pct"/>
            <w:tcBorders>
              <w:top w:val="single" w:sz="4" w:space="0" w:color="C2D9BA"/>
              <w:left w:val="nil"/>
              <w:bottom w:val="single" w:sz="4" w:space="0" w:color="C2D9BA"/>
              <w:right w:val="nil"/>
            </w:tcBorders>
            <w:hideMark/>
          </w:tcPr>
          <w:p w14:paraId="4BDA42A5" w14:textId="77777777" w:rsidR="00303303" w:rsidRPr="00E44F3E" w:rsidRDefault="00303303" w:rsidP="004B1627">
            <w:pPr>
              <w:pStyle w:val="TableText"/>
              <w:keepNext/>
              <w:ind w:right="113"/>
              <w:rPr>
                <w:b/>
              </w:rPr>
            </w:pPr>
            <w:r w:rsidRPr="00E44F3E">
              <w:rPr>
                <w:b/>
              </w:rPr>
              <w:lastRenderedPageBreak/>
              <w:t>Health system resource considerations</w:t>
            </w:r>
          </w:p>
        </w:tc>
        <w:tc>
          <w:tcPr>
            <w:tcW w:w="3875" w:type="pct"/>
            <w:gridSpan w:val="2"/>
            <w:tcBorders>
              <w:top w:val="single" w:sz="4" w:space="0" w:color="C2D9BA"/>
              <w:left w:val="nil"/>
              <w:bottom w:val="single" w:sz="4" w:space="0" w:color="C2D9BA"/>
              <w:right w:val="nil"/>
            </w:tcBorders>
          </w:tcPr>
          <w:p w14:paraId="0F3B8F82" w14:textId="77777777" w:rsidR="00303303" w:rsidRPr="00E44F3E" w:rsidRDefault="00303303" w:rsidP="004B1627">
            <w:pPr>
              <w:pStyle w:val="TableBullet"/>
              <w:keepNext/>
            </w:pPr>
            <w:r w:rsidRPr="00E44F3E">
              <w:t xml:space="preserve">Increased demand for laboratory services to monitor for treatment-related toxicities. </w:t>
            </w:r>
          </w:p>
          <w:p w14:paraId="7AFD205A" w14:textId="5C2857A2" w:rsidR="00303303" w:rsidRPr="00E44F3E" w:rsidRDefault="00303303" w:rsidP="004B1627">
            <w:pPr>
              <w:pStyle w:val="TableBullet"/>
              <w:keepNext/>
            </w:pPr>
            <w:r w:rsidRPr="00E44F3E">
              <w:t>Potential for increased demand for supportive care and toxicity management (including health care professionals’ time and adjustment of pharmaceuticals)</w:t>
            </w:r>
            <w:r w:rsidR="00BE536D">
              <w:t>.</w:t>
            </w:r>
          </w:p>
          <w:p w14:paraId="5BCF0A64" w14:textId="77777777" w:rsidR="00303303" w:rsidRPr="00E44F3E" w:rsidRDefault="00303303" w:rsidP="004B1627">
            <w:pPr>
              <w:pStyle w:val="TableBullet"/>
              <w:keepNext/>
            </w:pPr>
            <w:r w:rsidRPr="00E44F3E">
              <w:t>Additional follow-up appointments required.</w:t>
            </w:r>
          </w:p>
          <w:p w14:paraId="30CE752C" w14:textId="30A34DE7" w:rsidR="00303303" w:rsidRPr="00E44F3E" w:rsidRDefault="00303303" w:rsidP="004B1627">
            <w:pPr>
              <w:pStyle w:val="TableBullet"/>
              <w:keepNext/>
            </w:pPr>
            <w:r w:rsidRPr="00E44F3E">
              <w:t>Increased demand for laboratory services and imaging (</w:t>
            </w:r>
            <w:proofErr w:type="spellStart"/>
            <w:r w:rsidR="0083352C">
              <w:t>eg</w:t>
            </w:r>
            <w:proofErr w:type="spellEnd"/>
            <w:r w:rsidR="0083352C">
              <w:t>,</w:t>
            </w:r>
            <w:r w:rsidRPr="00E44F3E">
              <w:t xml:space="preserve"> PET scan) to monitor for disease response.</w:t>
            </w:r>
          </w:p>
        </w:tc>
      </w:tr>
    </w:tbl>
    <w:p w14:paraId="5ABD1A02" w14:textId="1E7C3542" w:rsidR="00303303" w:rsidRPr="00E44F3E" w:rsidRDefault="00F16D32" w:rsidP="00135084">
      <w:pPr>
        <w:pStyle w:val="Note"/>
      </w:pPr>
      <w:r w:rsidRPr="00E44F3E">
        <w:t>*</w:t>
      </w:r>
      <w:r>
        <w:tab/>
      </w:r>
      <w:proofErr w:type="spellStart"/>
      <w:r>
        <w:t>T</w:t>
      </w:r>
      <w:r w:rsidRPr="00E44F3E">
        <w:t>emsirolimus</w:t>
      </w:r>
      <w:proofErr w:type="spellEnd"/>
      <w:r w:rsidRPr="00E44F3E">
        <w:t xml:space="preserve"> </w:t>
      </w:r>
      <w:r w:rsidR="00527D48">
        <w:t xml:space="preserve">is </w:t>
      </w:r>
      <w:r w:rsidRPr="00E44F3E">
        <w:t xml:space="preserve">not available in </w:t>
      </w:r>
      <w:r w:rsidR="00E6006E">
        <w:t>Aotearoa New </w:t>
      </w:r>
      <w:r w:rsidR="007C6B5B">
        <w:t>Zealand</w:t>
      </w:r>
      <w:r w:rsidRPr="00E44F3E">
        <w:t xml:space="preserve">. </w:t>
      </w:r>
      <w:proofErr w:type="spellStart"/>
      <w:r w:rsidRPr="00E44F3E">
        <w:t>Temsirolimus</w:t>
      </w:r>
      <w:proofErr w:type="spellEnd"/>
      <w:r w:rsidRPr="00E44F3E">
        <w:t xml:space="preserve"> is probably not significantly clinically superior to investigator’s choice chemotherapy with </w:t>
      </w:r>
      <w:r w:rsidR="00B2479F">
        <w:t xml:space="preserve">a </w:t>
      </w:r>
      <w:r w:rsidRPr="00E44F3E">
        <w:rPr>
          <w:lang w:eastAsia="en-NZ"/>
        </w:rPr>
        <w:t xml:space="preserve">progression-free survival </w:t>
      </w:r>
      <w:r w:rsidRPr="00E44F3E">
        <w:t>gain</w:t>
      </w:r>
      <w:r w:rsidR="00B2479F">
        <w:t xml:space="preserve"> of</w:t>
      </w:r>
      <w:r w:rsidR="00B2479F" w:rsidRPr="00B2479F">
        <w:t xml:space="preserve"> only 1.9</w:t>
      </w:r>
      <w:r w:rsidR="00B2479F">
        <w:t> </w:t>
      </w:r>
      <w:r w:rsidR="00B2479F" w:rsidRPr="00B2479F">
        <w:t>months</w:t>
      </w:r>
      <w:r w:rsidRPr="00E44F3E">
        <w:t>. Quality of life not measured and no fewer toxicities (Hess 2009)</w:t>
      </w:r>
      <w:r>
        <w:t>.</w:t>
      </w:r>
    </w:p>
    <w:p w14:paraId="694E9307" w14:textId="77777777" w:rsidR="00F33FA6" w:rsidRPr="00F33FA6" w:rsidRDefault="00F33FA6" w:rsidP="00F33FA6"/>
    <w:p w14:paraId="7D5E619D" w14:textId="0E5C21E8" w:rsidR="00303303" w:rsidRPr="00E44F3E" w:rsidRDefault="00303303" w:rsidP="00135084">
      <w:pPr>
        <w:pStyle w:val="Heading3"/>
        <w:pageBreakBefore/>
      </w:pPr>
      <w:r w:rsidRPr="00E44F3E">
        <w:lastRenderedPageBreak/>
        <w:t xml:space="preserve">Multiple myeloma </w:t>
      </w:r>
    </w:p>
    <w:p w14:paraId="28D3B15B" w14:textId="0ABA85E1" w:rsidR="00303303" w:rsidRPr="00E44F3E" w:rsidRDefault="00245D5E" w:rsidP="00245D5E">
      <w:pPr>
        <w:pStyle w:val="Table"/>
      </w:pPr>
      <w:bookmarkStart w:id="269" w:name="_Ref177735836"/>
      <w:bookmarkStart w:id="270" w:name="_Toc175241610"/>
      <w:bookmarkStart w:id="271" w:name="_Toc180142311"/>
      <w:r w:rsidRPr="00E44F3E">
        <w:t xml:space="preserve">Table </w:t>
      </w:r>
      <w:r w:rsidR="00D97615">
        <w:fldChar w:fldCharType="begin"/>
      </w:r>
      <w:r w:rsidR="00D97615">
        <w:instrText xml:space="preserve"> SEQ Table \* ARABIC </w:instrText>
      </w:r>
      <w:r w:rsidR="00D97615">
        <w:fldChar w:fldCharType="separate"/>
      </w:r>
      <w:r w:rsidR="004A6DF6">
        <w:rPr>
          <w:noProof/>
        </w:rPr>
        <w:t>25</w:t>
      </w:r>
      <w:r w:rsidR="00D97615">
        <w:rPr>
          <w:noProof/>
        </w:rPr>
        <w:fldChar w:fldCharType="end"/>
      </w:r>
      <w:bookmarkEnd w:id="269"/>
      <w:r w:rsidR="00303303" w:rsidRPr="00E44F3E">
        <w:t>: Lenalidomide with bortezomib and dexamethasone for multiple myeloma</w:t>
      </w:r>
      <w:bookmarkEnd w:id="270"/>
      <w:bookmarkEnd w:id="271"/>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837"/>
        <w:gridCol w:w="396"/>
        <w:gridCol w:w="5846"/>
      </w:tblGrid>
      <w:tr w:rsidR="00303303" w:rsidRPr="00E44F3E" w14:paraId="5D0E2F95" w14:textId="77777777" w:rsidTr="00377402">
        <w:trPr>
          <w:cantSplit/>
        </w:trPr>
        <w:tc>
          <w:tcPr>
            <w:tcW w:w="0" w:type="auto"/>
            <w:tcBorders>
              <w:top w:val="nil"/>
              <w:left w:val="nil"/>
              <w:bottom w:val="nil"/>
              <w:right w:val="nil"/>
            </w:tcBorders>
            <w:shd w:val="clear" w:color="auto" w:fill="C2D9BA"/>
            <w:hideMark/>
          </w:tcPr>
          <w:p w14:paraId="5C47CA7F" w14:textId="77777777" w:rsidR="00303303" w:rsidRPr="00E44F3E" w:rsidRDefault="00303303" w:rsidP="00377402">
            <w:pPr>
              <w:pStyle w:val="TableText"/>
              <w:keepNext/>
              <w:ind w:right="113"/>
              <w:rPr>
                <w:b/>
              </w:rPr>
            </w:pPr>
            <w:r w:rsidRPr="00E44F3E">
              <w:rPr>
                <w:b/>
              </w:rPr>
              <w:t>Indication description</w:t>
            </w:r>
          </w:p>
        </w:tc>
        <w:tc>
          <w:tcPr>
            <w:tcW w:w="0" w:type="auto"/>
            <w:gridSpan w:val="2"/>
            <w:tcBorders>
              <w:top w:val="nil"/>
              <w:left w:val="nil"/>
              <w:bottom w:val="nil"/>
              <w:right w:val="nil"/>
            </w:tcBorders>
            <w:shd w:val="clear" w:color="auto" w:fill="C2D9BA"/>
            <w:hideMark/>
          </w:tcPr>
          <w:p w14:paraId="49304D31" w14:textId="42154180" w:rsidR="00303303" w:rsidRPr="00E44F3E" w:rsidRDefault="00303303" w:rsidP="00377402">
            <w:pPr>
              <w:pStyle w:val="TableText"/>
              <w:keepNext/>
            </w:pPr>
            <w:r w:rsidRPr="00E44F3E">
              <w:t xml:space="preserve">Lenalidomide with bortezomib and dexamethasone for untreated multiple myeloma (not intended for immediate autologous </w:t>
            </w:r>
            <w:r w:rsidR="0011385C" w:rsidRPr="0011385C">
              <w:t>haematopoietic</w:t>
            </w:r>
            <w:r w:rsidRPr="00E44F3E">
              <w:t xml:space="preserve"> stem cell transplant) induction followed by maintenance</w:t>
            </w:r>
          </w:p>
        </w:tc>
      </w:tr>
      <w:tr w:rsidR="00303303" w:rsidRPr="00E44F3E" w14:paraId="679CDE2F" w14:textId="77777777" w:rsidTr="00377402">
        <w:trPr>
          <w:cantSplit/>
        </w:trPr>
        <w:tc>
          <w:tcPr>
            <w:tcW w:w="0" w:type="auto"/>
            <w:tcBorders>
              <w:top w:val="single" w:sz="4" w:space="0" w:color="C2D9BA"/>
              <w:left w:val="nil"/>
              <w:bottom w:val="single" w:sz="4" w:space="0" w:color="C2D9BA"/>
              <w:right w:val="nil"/>
            </w:tcBorders>
            <w:shd w:val="clear" w:color="auto" w:fill="E7F0E3"/>
            <w:hideMark/>
          </w:tcPr>
          <w:p w14:paraId="04445EB8" w14:textId="77777777" w:rsidR="00303303" w:rsidRPr="00E44F3E" w:rsidRDefault="00303303" w:rsidP="00377402">
            <w:pPr>
              <w:pStyle w:val="TableText"/>
              <w:keepN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4DF2686C" w14:textId="77777777" w:rsidR="00303303" w:rsidRPr="00E44F3E" w:rsidRDefault="00303303" w:rsidP="00377402">
            <w:pPr>
              <w:pStyle w:val="TableText"/>
              <w:keepNext/>
            </w:pPr>
            <w:r w:rsidRPr="00E44F3E">
              <w:t>Lenalidomide</w:t>
            </w:r>
          </w:p>
        </w:tc>
      </w:tr>
      <w:tr w:rsidR="00303303" w:rsidRPr="00E44F3E" w14:paraId="5767FC74" w14:textId="77777777" w:rsidTr="00377402">
        <w:trPr>
          <w:cantSplit/>
        </w:trPr>
        <w:tc>
          <w:tcPr>
            <w:tcW w:w="0" w:type="auto"/>
            <w:tcBorders>
              <w:top w:val="single" w:sz="4" w:space="0" w:color="C2D9BA"/>
              <w:left w:val="nil"/>
              <w:bottom w:val="single" w:sz="4" w:space="0" w:color="C2D9BA"/>
              <w:right w:val="nil"/>
            </w:tcBorders>
            <w:hideMark/>
          </w:tcPr>
          <w:p w14:paraId="0804A0F2"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349F1EA9" w14:textId="447E94C8" w:rsidR="00303303" w:rsidRPr="00E44F3E" w:rsidRDefault="00303303">
            <w:pPr>
              <w:pStyle w:val="TableText"/>
            </w:pPr>
            <w:r w:rsidRPr="00E44F3E">
              <w:t xml:space="preserve">Lenalidomide is an immunomodulatory agent </w:t>
            </w:r>
            <w:r w:rsidR="00596856">
              <w:t>that</w:t>
            </w:r>
            <w:r w:rsidR="00596856" w:rsidRPr="00E44F3E">
              <w:t xml:space="preserve"> </w:t>
            </w:r>
            <w:r w:rsidRPr="00E44F3E">
              <w:t>exhibits multifaceted, anti-myeloma activity by enhancing immune function, disrupting aberrant stromal cell support as well as having direct anti-myeloma cell effects</w:t>
            </w:r>
            <w:r w:rsidR="0065077C">
              <w:t>.</w:t>
            </w:r>
          </w:p>
        </w:tc>
      </w:tr>
      <w:tr w:rsidR="00303303" w:rsidRPr="00E44F3E" w14:paraId="1A113E22" w14:textId="77777777" w:rsidTr="00377402">
        <w:trPr>
          <w:cantSplit/>
        </w:trPr>
        <w:tc>
          <w:tcPr>
            <w:tcW w:w="0" w:type="auto"/>
            <w:tcBorders>
              <w:top w:val="single" w:sz="4" w:space="0" w:color="C2D9BA"/>
              <w:left w:val="nil"/>
              <w:bottom w:val="single" w:sz="4" w:space="0" w:color="C2D9BA"/>
              <w:right w:val="nil"/>
            </w:tcBorders>
            <w:hideMark/>
          </w:tcPr>
          <w:p w14:paraId="4B4CDDC9"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5EE53438" w14:textId="6E40AA20" w:rsidR="00303303" w:rsidRPr="00E44F3E" w:rsidRDefault="00303303">
            <w:pPr>
              <w:pStyle w:val="TableText"/>
            </w:pPr>
            <w:r w:rsidRPr="00E44F3E">
              <w:t>Non-curative</w:t>
            </w:r>
            <w:r w:rsidR="0065077C">
              <w:t>.</w:t>
            </w:r>
          </w:p>
        </w:tc>
      </w:tr>
      <w:tr w:rsidR="00303303" w:rsidRPr="00E44F3E" w14:paraId="664DDAF3" w14:textId="77777777" w:rsidTr="00377402">
        <w:trPr>
          <w:cantSplit/>
        </w:trPr>
        <w:tc>
          <w:tcPr>
            <w:tcW w:w="0" w:type="auto"/>
            <w:tcBorders>
              <w:top w:val="single" w:sz="4" w:space="0" w:color="C2D9BA"/>
              <w:left w:val="nil"/>
              <w:bottom w:val="single" w:sz="4" w:space="0" w:color="C2D9BA"/>
              <w:right w:val="nil"/>
            </w:tcBorders>
            <w:hideMark/>
          </w:tcPr>
          <w:p w14:paraId="22896682" w14:textId="5A111D2A" w:rsidR="00303303" w:rsidRPr="00E44F3E" w:rsidRDefault="00303303">
            <w:pPr>
              <w:pStyle w:val="TableText"/>
              <w:ind w:right="113"/>
              <w:rPr>
                <w:b/>
              </w:rPr>
            </w:pPr>
            <w:r w:rsidRPr="00E44F3E">
              <w:rPr>
                <w:b/>
              </w:rPr>
              <w:t xml:space="preserve">Pharmac status </w:t>
            </w:r>
            <w:r w:rsidR="00A4133B">
              <w:rPr>
                <w:b/>
              </w:rPr>
              <w:t>(October 2024)</w:t>
            </w:r>
          </w:p>
        </w:tc>
        <w:tc>
          <w:tcPr>
            <w:tcW w:w="0" w:type="auto"/>
            <w:gridSpan w:val="2"/>
            <w:tcBorders>
              <w:top w:val="single" w:sz="4" w:space="0" w:color="C2D9BA"/>
              <w:left w:val="nil"/>
              <w:bottom w:val="single" w:sz="4" w:space="0" w:color="C2D9BA"/>
              <w:right w:val="nil"/>
            </w:tcBorders>
            <w:hideMark/>
          </w:tcPr>
          <w:p w14:paraId="0C2E5FFF" w14:textId="471E88DC" w:rsidR="00303303" w:rsidRPr="00E44F3E" w:rsidRDefault="00303303" w:rsidP="00596856">
            <w:pPr>
              <w:pStyle w:val="TableText"/>
            </w:pPr>
            <w:r w:rsidRPr="00E44F3E">
              <w:t xml:space="preserve">Multiple myeloma, autologous </w:t>
            </w:r>
            <w:r w:rsidR="0011385C" w:rsidRPr="0011385C">
              <w:t>haematopoietic</w:t>
            </w:r>
            <w:r w:rsidRPr="00E44F3E">
              <w:t xml:space="preserve"> stem cell transplant ineligible, first line</w:t>
            </w:r>
            <w:r w:rsidR="0065077C">
              <w:t>.</w:t>
            </w:r>
          </w:p>
          <w:p w14:paraId="251B2063" w14:textId="77777777" w:rsidR="003C13E5" w:rsidRDefault="00303303" w:rsidP="003C13E5">
            <w:pPr>
              <w:pStyle w:val="TableBullet"/>
            </w:pPr>
            <w:r w:rsidRPr="00E44F3E">
              <w:t>Application received May 2016</w:t>
            </w:r>
            <w:r w:rsidR="0065077C">
              <w:t>.</w:t>
            </w:r>
          </w:p>
          <w:p w14:paraId="14DC14A8" w14:textId="349D83F3" w:rsidR="003C13E5" w:rsidRDefault="00E56C72" w:rsidP="003C13E5">
            <w:pPr>
              <w:pStyle w:val="TableBullet"/>
            </w:pPr>
            <w:r>
              <w:t>Funded</w:t>
            </w:r>
            <w:r w:rsidR="003C13E5" w:rsidRPr="00E44F3E">
              <w:t xml:space="preserve"> from 1</w:t>
            </w:r>
            <w:r w:rsidR="003C13E5">
              <w:t> </w:t>
            </w:r>
            <w:r w:rsidR="003C13E5" w:rsidRPr="00E44F3E">
              <w:t>August 2024</w:t>
            </w:r>
            <w:r>
              <w:t xml:space="preserve">. </w:t>
            </w:r>
          </w:p>
          <w:p w14:paraId="5A5ABE92" w14:textId="1CB63355" w:rsidR="00303303" w:rsidRPr="003C13E5" w:rsidRDefault="00000000" w:rsidP="003C13E5">
            <w:pPr>
              <w:pStyle w:val="TableBullet"/>
            </w:pPr>
            <w:hyperlink r:id="rId99" w:history="1">
              <w:r w:rsidR="00EC07C4" w:rsidRPr="00C86837">
                <w:rPr>
                  <w:rStyle w:val="Hyperlink"/>
                </w:rPr>
                <w:t>connect.pharmac.govt.nz/apptracker/s/application-public/a102P000008pua9/p001248</w:t>
              </w:r>
            </w:hyperlink>
            <w:r w:rsidR="00EC07C4">
              <w:t>).</w:t>
            </w:r>
          </w:p>
        </w:tc>
      </w:tr>
      <w:tr w:rsidR="00303303" w:rsidRPr="00E44F3E" w14:paraId="3FA5801A" w14:textId="77777777" w:rsidTr="00377402">
        <w:trPr>
          <w:cantSplit/>
        </w:trPr>
        <w:tc>
          <w:tcPr>
            <w:tcW w:w="0" w:type="auto"/>
            <w:tcBorders>
              <w:top w:val="single" w:sz="4" w:space="0" w:color="C2D9BA"/>
              <w:left w:val="nil"/>
              <w:bottom w:val="single" w:sz="4" w:space="0" w:color="C2D9BA"/>
              <w:right w:val="nil"/>
            </w:tcBorders>
            <w:hideMark/>
          </w:tcPr>
          <w:p w14:paraId="53D59C67" w14:textId="20C47600"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44DE0C7C" w14:textId="77777777" w:rsidR="00303303" w:rsidRPr="00E44F3E" w:rsidRDefault="00303303">
            <w:pPr>
              <w:pStyle w:val="TableText"/>
            </w:pPr>
            <w:r w:rsidRPr="00E44F3E">
              <w:t>4</w:t>
            </w:r>
          </w:p>
        </w:tc>
        <w:tc>
          <w:tcPr>
            <w:tcW w:w="0" w:type="auto"/>
            <w:tcBorders>
              <w:top w:val="single" w:sz="4" w:space="0" w:color="C2D9BA"/>
              <w:left w:val="nil"/>
              <w:bottom w:val="single" w:sz="4" w:space="0" w:color="C2D9BA"/>
              <w:right w:val="nil"/>
            </w:tcBorders>
            <w:hideMark/>
          </w:tcPr>
          <w:p w14:paraId="1591CE8F" w14:textId="77777777" w:rsidR="00303303" w:rsidRPr="00E44F3E" w:rsidRDefault="00303303" w:rsidP="00135084">
            <w:pPr>
              <w:pStyle w:val="TableBullet"/>
            </w:pPr>
            <w:r w:rsidRPr="00E44F3E">
              <w:t>Gain in median overall survival of &gt;15 months.</w:t>
            </w:r>
          </w:p>
          <w:p w14:paraId="15AE11CD" w14:textId="77777777" w:rsidR="00303303" w:rsidRPr="00E44F3E" w:rsidRDefault="00303303" w:rsidP="00135084">
            <w:pPr>
              <w:pStyle w:val="TableBullet"/>
            </w:pPr>
            <w:r w:rsidRPr="00E44F3E">
              <w:t>Toxicity results did not contribute to the score.</w:t>
            </w:r>
          </w:p>
          <w:p w14:paraId="51EDB4BF" w14:textId="2BEF9A52" w:rsidR="00303303" w:rsidRPr="00E44F3E" w:rsidRDefault="008C5229" w:rsidP="00135084">
            <w:pPr>
              <w:pStyle w:val="TableBullet"/>
            </w:pPr>
            <w:r w:rsidRPr="008C5229">
              <w:t>Health-related quality of life</w:t>
            </w:r>
            <w:r w:rsidRPr="008C5229" w:rsidDel="008C5229">
              <w:t xml:space="preserve"> </w:t>
            </w:r>
            <w:r w:rsidR="00303303" w:rsidRPr="00E44F3E">
              <w:t>was not different and did not contribute to the score.</w:t>
            </w:r>
          </w:p>
          <w:p w14:paraId="273BE3F9" w14:textId="77777777" w:rsidR="00303303" w:rsidRPr="00E44F3E" w:rsidRDefault="00303303">
            <w:pPr>
              <w:pStyle w:val="TableText"/>
            </w:pPr>
            <w:r w:rsidRPr="00E44F3E">
              <w:t>NB: In the SWOG S0777 trial 69% of patients were earmarked as having an intent to have a transplant.</w:t>
            </w:r>
          </w:p>
        </w:tc>
      </w:tr>
      <w:tr w:rsidR="00303303" w:rsidRPr="00E44F3E" w14:paraId="4701F842" w14:textId="77777777" w:rsidTr="00377402">
        <w:trPr>
          <w:cantSplit/>
        </w:trPr>
        <w:tc>
          <w:tcPr>
            <w:tcW w:w="0" w:type="auto"/>
            <w:tcBorders>
              <w:top w:val="single" w:sz="4" w:space="0" w:color="C2D9BA"/>
              <w:left w:val="nil"/>
              <w:bottom w:val="single" w:sz="4" w:space="0" w:color="C2D9BA"/>
              <w:right w:val="nil"/>
            </w:tcBorders>
            <w:hideMark/>
          </w:tcPr>
          <w:p w14:paraId="4B304B92" w14:textId="21FFF7BC"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16D00FFC" w14:textId="330FD1A7" w:rsidR="00303303" w:rsidRPr="00E44F3E" w:rsidRDefault="00303303" w:rsidP="00712148">
            <w:pPr>
              <w:pStyle w:val="TableText"/>
            </w:pPr>
            <w:r w:rsidRPr="00E44F3E">
              <w:t>Transplant</w:t>
            </w:r>
            <w:r w:rsidR="007061B4">
              <w:t>-</w:t>
            </w:r>
            <w:r w:rsidRPr="00E44F3E">
              <w:t>ineligible patients are treated with up to 9 cycles of a bortezomib</w:t>
            </w:r>
            <w:r w:rsidR="007061B4">
              <w:t>-</w:t>
            </w:r>
            <w:r w:rsidRPr="00E44F3E">
              <w:t>based regimen (</w:t>
            </w:r>
            <w:r w:rsidR="00974A2D" w:rsidRPr="00974A2D">
              <w:t xml:space="preserve">cyclophosphamide, bortezomib and dexamethasone </w:t>
            </w:r>
            <w:r w:rsidR="00974A2D">
              <w:t>(</w:t>
            </w:r>
            <w:proofErr w:type="spellStart"/>
            <w:r w:rsidRPr="00E44F3E">
              <w:t>CyBorD</w:t>
            </w:r>
            <w:proofErr w:type="spellEnd"/>
            <w:r w:rsidR="00974A2D">
              <w:t>)</w:t>
            </w:r>
            <w:r w:rsidR="00B742DE">
              <w:t>;</w:t>
            </w:r>
            <w:r w:rsidRPr="00E44F3E">
              <w:t xml:space="preserve"> </w:t>
            </w:r>
            <w:r w:rsidR="00B742DE" w:rsidRPr="00B742DE">
              <w:t xml:space="preserve">bortezomib, thalidomide and dexamethasone </w:t>
            </w:r>
            <w:r w:rsidR="004224AD">
              <w:t>(</w:t>
            </w:r>
            <w:r w:rsidRPr="00E44F3E">
              <w:t>BTD</w:t>
            </w:r>
            <w:r w:rsidR="004224AD">
              <w:t>);</w:t>
            </w:r>
            <w:r w:rsidRPr="00E44F3E">
              <w:t xml:space="preserve"> or </w:t>
            </w:r>
            <w:r w:rsidR="004224AD">
              <w:t>bortezomib, melphalan and prednisone</w:t>
            </w:r>
            <w:r w:rsidR="004224AD" w:rsidRPr="00E44F3E">
              <w:t xml:space="preserve"> </w:t>
            </w:r>
            <w:r w:rsidR="001B3178">
              <w:t>(</w:t>
            </w:r>
            <w:r w:rsidRPr="00E44F3E">
              <w:t>BMP)</w:t>
            </w:r>
            <w:r w:rsidR="001B3178">
              <w:t>)</w:t>
            </w:r>
            <w:r w:rsidRPr="00E44F3E">
              <w:t xml:space="preserve"> or thalidomide-based regimens (</w:t>
            </w:r>
            <w:bookmarkStart w:id="272" w:name="_Hlk177464565"/>
            <w:r w:rsidR="004224AD" w:rsidRPr="004224AD">
              <w:t xml:space="preserve">cyclophosphamide, </w:t>
            </w:r>
            <w:proofErr w:type="gramStart"/>
            <w:r w:rsidR="004224AD" w:rsidRPr="004224AD">
              <w:t>thalidomide</w:t>
            </w:r>
            <w:proofErr w:type="gramEnd"/>
            <w:r w:rsidR="004224AD" w:rsidRPr="004224AD">
              <w:t xml:space="preserve"> and dexamethasone </w:t>
            </w:r>
            <w:r w:rsidR="004224AD">
              <w:t>(</w:t>
            </w:r>
            <w:r w:rsidRPr="00E44F3E">
              <w:t>CTD</w:t>
            </w:r>
            <w:r w:rsidR="004224AD">
              <w:t>)</w:t>
            </w:r>
            <w:r w:rsidRPr="00E44F3E">
              <w:t xml:space="preserve"> or </w:t>
            </w:r>
            <w:r w:rsidR="00712148">
              <w:t>melphalan, prednisone and thalidomide</w:t>
            </w:r>
            <w:r w:rsidR="00712148" w:rsidRPr="00E44F3E">
              <w:t xml:space="preserve"> </w:t>
            </w:r>
            <w:r w:rsidR="00712148">
              <w:t>(</w:t>
            </w:r>
            <w:r w:rsidRPr="00E44F3E">
              <w:t>MPT</w:t>
            </w:r>
            <w:bookmarkEnd w:id="272"/>
            <w:r w:rsidR="00712148">
              <w:t>)</w:t>
            </w:r>
            <w:r w:rsidRPr="00E44F3E">
              <w:t xml:space="preserve">). Most patients would be treated with </w:t>
            </w:r>
            <w:proofErr w:type="spellStart"/>
            <w:r w:rsidRPr="00E44F3E">
              <w:t>CyBorD</w:t>
            </w:r>
            <w:proofErr w:type="spellEnd"/>
            <w:r w:rsidR="007061B4">
              <w:t>;</w:t>
            </w:r>
            <w:r w:rsidRPr="00E44F3E">
              <w:t xml:space="preserve"> however</w:t>
            </w:r>
            <w:r w:rsidR="007061B4">
              <w:t>,</w:t>
            </w:r>
            <w:r w:rsidRPr="00E44F3E">
              <w:t xml:space="preserve"> there may be a group of patients who are treated with one of the thalidomide-based regimens.</w:t>
            </w:r>
          </w:p>
        </w:tc>
      </w:tr>
      <w:tr w:rsidR="00303303" w:rsidRPr="00E44F3E" w14:paraId="53F7ACC8" w14:textId="77777777" w:rsidTr="00377402">
        <w:trPr>
          <w:cantSplit/>
        </w:trPr>
        <w:tc>
          <w:tcPr>
            <w:tcW w:w="0" w:type="auto"/>
            <w:tcBorders>
              <w:top w:val="single" w:sz="4" w:space="0" w:color="C2D9BA"/>
              <w:left w:val="nil"/>
              <w:bottom w:val="single" w:sz="4" w:space="0" w:color="C2D9BA"/>
              <w:right w:val="nil"/>
            </w:tcBorders>
            <w:hideMark/>
          </w:tcPr>
          <w:p w14:paraId="319DE148"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hideMark/>
          </w:tcPr>
          <w:p w14:paraId="10D850D0" w14:textId="3E9CC95B" w:rsidR="00303303" w:rsidRPr="00E44F3E" w:rsidRDefault="00303303" w:rsidP="00F8695E">
            <w:pPr>
              <w:pStyle w:val="TableBullet"/>
            </w:pPr>
            <w:r w:rsidRPr="00E44F3E">
              <w:t xml:space="preserve">Induction consists of 8 cycles: lenalidomide 25 mg orally </w:t>
            </w:r>
            <w:r w:rsidR="00F53E61">
              <w:t>once</w:t>
            </w:r>
            <w:r w:rsidRPr="00E44F3E">
              <w:t xml:space="preserve"> daily days 1 to 14 with bortezomib </w:t>
            </w:r>
            <w:r w:rsidR="005360C6" w:rsidRPr="005360C6">
              <w:t xml:space="preserve">subcutaneous </w:t>
            </w:r>
            <w:r w:rsidRPr="00E44F3E">
              <w:t>days 1,</w:t>
            </w:r>
            <w:r w:rsidR="005360C6">
              <w:t xml:space="preserve"> </w:t>
            </w:r>
            <w:r w:rsidRPr="00E44F3E">
              <w:t>4,</w:t>
            </w:r>
            <w:r w:rsidR="005360C6">
              <w:t xml:space="preserve"> </w:t>
            </w:r>
            <w:r w:rsidRPr="00E44F3E">
              <w:t>8</w:t>
            </w:r>
            <w:r w:rsidR="00AF63B4">
              <w:t xml:space="preserve"> and</w:t>
            </w:r>
            <w:r w:rsidR="005360C6">
              <w:t xml:space="preserve"> </w:t>
            </w:r>
            <w:r w:rsidRPr="00E44F3E">
              <w:t>11* and dexamethasone orally days 1</w:t>
            </w:r>
            <w:r w:rsidR="00AF63B4">
              <w:t xml:space="preserve"> and</w:t>
            </w:r>
            <w:r w:rsidR="005360C6">
              <w:t xml:space="preserve"> </w:t>
            </w:r>
            <w:r w:rsidRPr="00E44F3E">
              <w:t>2</w:t>
            </w:r>
            <w:r w:rsidR="00AF63B4">
              <w:t>;</w:t>
            </w:r>
            <w:r w:rsidR="005360C6">
              <w:t xml:space="preserve"> </w:t>
            </w:r>
            <w:r w:rsidRPr="00E44F3E">
              <w:t>8</w:t>
            </w:r>
            <w:r w:rsidR="00AF63B4">
              <w:t xml:space="preserve"> and</w:t>
            </w:r>
            <w:r w:rsidR="005360C6">
              <w:t xml:space="preserve"> </w:t>
            </w:r>
            <w:r w:rsidRPr="00E44F3E">
              <w:t>9</w:t>
            </w:r>
            <w:r w:rsidR="00AF63B4">
              <w:t>;</w:t>
            </w:r>
            <w:r w:rsidR="005360C6">
              <w:t xml:space="preserve"> </w:t>
            </w:r>
            <w:r w:rsidRPr="00E44F3E">
              <w:t>15</w:t>
            </w:r>
            <w:r w:rsidR="00AF63B4">
              <w:t xml:space="preserve"> and</w:t>
            </w:r>
            <w:r w:rsidR="005B0420">
              <w:t xml:space="preserve"> </w:t>
            </w:r>
            <w:r w:rsidRPr="00E44F3E">
              <w:t>16</w:t>
            </w:r>
            <w:r w:rsidR="00AF63B4">
              <w:t>;</w:t>
            </w:r>
            <w:r w:rsidRPr="00E44F3E">
              <w:t xml:space="preserve"> and 22</w:t>
            </w:r>
            <w:r w:rsidR="00AF63B4">
              <w:t xml:space="preserve"> and</w:t>
            </w:r>
            <w:r w:rsidR="005B0420">
              <w:t xml:space="preserve"> </w:t>
            </w:r>
            <w:r w:rsidRPr="00E44F3E">
              <w:t>23 Q4W</w:t>
            </w:r>
            <w:r w:rsidR="005B0420">
              <w:t>.</w:t>
            </w:r>
          </w:p>
          <w:p w14:paraId="1D2C9FB5" w14:textId="12219ED2" w:rsidR="00303303" w:rsidRPr="00E44F3E" w:rsidRDefault="00303303" w:rsidP="00F8695E">
            <w:pPr>
              <w:pStyle w:val="TableBullet"/>
            </w:pPr>
            <w:r w:rsidRPr="00E44F3E">
              <w:t xml:space="preserve">Maintenance: lenalidomide 25 mg orally </w:t>
            </w:r>
            <w:r w:rsidR="00F53E61">
              <w:t>once</w:t>
            </w:r>
            <w:r w:rsidRPr="00E44F3E">
              <w:t xml:space="preserve"> daily days 1 to 21 with weekly dexamethasone Q4W continuously</w:t>
            </w:r>
            <w:r w:rsidR="005B0420">
              <w:t>.</w:t>
            </w:r>
          </w:p>
        </w:tc>
      </w:tr>
      <w:tr w:rsidR="00303303" w:rsidRPr="00E44F3E" w14:paraId="79D66E4D" w14:textId="77777777" w:rsidTr="00377402">
        <w:trPr>
          <w:cantSplit/>
        </w:trPr>
        <w:tc>
          <w:tcPr>
            <w:tcW w:w="0" w:type="auto"/>
            <w:tcBorders>
              <w:top w:val="single" w:sz="4" w:space="0" w:color="C2D9BA"/>
              <w:left w:val="nil"/>
              <w:bottom w:val="single" w:sz="4" w:space="0" w:color="C2D9BA"/>
              <w:right w:val="nil"/>
            </w:tcBorders>
            <w:hideMark/>
          </w:tcPr>
          <w:p w14:paraId="5FAC602D"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tcPr>
          <w:p w14:paraId="72F29149" w14:textId="2ED69E81" w:rsidR="00303303" w:rsidRPr="00E44F3E" w:rsidRDefault="00303303" w:rsidP="00F8695E">
            <w:pPr>
              <w:pStyle w:val="TableBullet"/>
            </w:pPr>
            <w:r w:rsidRPr="00E44F3E">
              <w:t>Lenalidomide is taken orally on days 1 to 14 or 21 of a 28</w:t>
            </w:r>
            <w:r w:rsidR="005B0420">
              <w:t>-</w:t>
            </w:r>
            <w:r w:rsidRPr="00E44F3E">
              <w:t>day cycle allowing for treatment at home.</w:t>
            </w:r>
          </w:p>
          <w:p w14:paraId="5EBC8FC9" w14:textId="77777777" w:rsidR="00303303" w:rsidRPr="00E44F3E" w:rsidRDefault="00303303" w:rsidP="00F8695E">
            <w:pPr>
              <w:pStyle w:val="TableBullet"/>
            </w:pPr>
            <w:r w:rsidRPr="00E44F3E">
              <w:t>All patients must fulfil the requirements of the pregnancy prevention risk management programme to ensure pregnant women are not exposed to lenalidomide.</w:t>
            </w:r>
          </w:p>
          <w:p w14:paraId="02E4EC03" w14:textId="77777777" w:rsidR="00303303" w:rsidRPr="00E44F3E" w:rsidRDefault="00303303" w:rsidP="00F8695E">
            <w:pPr>
              <w:pStyle w:val="TableBullet"/>
            </w:pPr>
            <w:r w:rsidRPr="00E44F3E">
              <w:t>Regular blood tests and other monitoring are required to monitor for toxicity and response to treatment.</w:t>
            </w:r>
          </w:p>
          <w:p w14:paraId="233EE856" w14:textId="77777777" w:rsidR="00303303" w:rsidRPr="00E44F3E" w:rsidRDefault="00303303" w:rsidP="00F8695E">
            <w:pPr>
              <w:pStyle w:val="TableBullet"/>
            </w:pPr>
            <w:r w:rsidRPr="00E44F3E">
              <w:t>Dose modifications or delays may be needed if patient is intolerant to treatment.</w:t>
            </w:r>
          </w:p>
          <w:p w14:paraId="3F63FC64" w14:textId="77777777" w:rsidR="00303303" w:rsidRPr="00E44F3E" w:rsidRDefault="00303303" w:rsidP="00F8695E">
            <w:pPr>
              <w:pStyle w:val="TableBullet"/>
            </w:pPr>
            <w:r w:rsidRPr="00E44F3E">
              <w:t>Other medications may be needed to control side effects and to prevent infection.</w:t>
            </w:r>
          </w:p>
        </w:tc>
      </w:tr>
      <w:tr w:rsidR="00303303" w:rsidRPr="00E44F3E" w14:paraId="793CED79" w14:textId="77777777" w:rsidTr="00377402">
        <w:trPr>
          <w:cantSplit/>
        </w:trPr>
        <w:tc>
          <w:tcPr>
            <w:tcW w:w="0" w:type="auto"/>
            <w:tcBorders>
              <w:top w:val="single" w:sz="4" w:space="0" w:color="C2D9BA"/>
              <w:left w:val="nil"/>
              <w:bottom w:val="single" w:sz="4" w:space="0" w:color="C2D9BA"/>
              <w:right w:val="nil"/>
            </w:tcBorders>
            <w:hideMark/>
          </w:tcPr>
          <w:p w14:paraId="32528858" w14:textId="77777777" w:rsidR="00303303" w:rsidRPr="00E44F3E" w:rsidRDefault="00303303">
            <w:pPr>
              <w:pStyle w:val="TableText"/>
              <w:ind w:right="113"/>
              <w:rPr>
                <w:b/>
              </w:rPr>
            </w:pPr>
            <w:r w:rsidRPr="00E44F3E">
              <w:rPr>
                <w:b/>
              </w:rPr>
              <w:lastRenderedPageBreak/>
              <w:t>Health system resource considerations</w:t>
            </w:r>
          </w:p>
        </w:tc>
        <w:tc>
          <w:tcPr>
            <w:tcW w:w="0" w:type="auto"/>
            <w:gridSpan w:val="2"/>
            <w:tcBorders>
              <w:top w:val="single" w:sz="4" w:space="0" w:color="C2D9BA"/>
              <w:left w:val="nil"/>
              <w:bottom w:val="single" w:sz="4" w:space="0" w:color="C2D9BA"/>
              <w:right w:val="nil"/>
            </w:tcBorders>
          </w:tcPr>
          <w:p w14:paraId="234561ED" w14:textId="77777777" w:rsidR="00303303" w:rsidRPr="00E44F3E" w:rsidRDefault="00303303" w:rsidP="00F8695E">
            <w:pPr>
              <w:pStyle w:val="TableBullet"/>
            </w:pPr>
            <w:r w:rsidRPr="00E44F3E">
              <w:t xml:space="preserve">An access programme application is required by clinicians for approval to prescribe lenalidomide for individual patients for every prescription. </w:t>
            </w:r>
          </w:p>
          <w:p w14:paraId="37CA7F4A" w14:textId="77777777" w:rsidR="00303303" w:rsidRPr="00E44F3E" w:rsidRDefault="00303303" w:rsidP="00F8695E">
            <w:pPr>
              <w:pStyle w:val="TableBullet"/>
            </w:pPr>
            <w:r w:rsidRPr="00E44F3E">
              <w:t xml:space="preserve">Increased demand for laboratory services to monitor for treatment-related toxicities. </w:t>
            </w:r>
          </w:p>
          <w:p w14:paraId="6E820A94" w14:textId="1BB45E65" w:rsidR="00303303" w:rsidRPr="00E44F3E" w:rsidRDefault="00303303" w:rsidP="00F8695E">
            <w:pPr>
              <w:pStyle w:val="TableBullet"/>
            </w:pPr>
            <w:r w:rsidRPr="00E44F3E">
              <w:t>Potential for increased demand for supportive care and toxicity management (including health care professionals’ time and adjustment of pharmaceuticals)</w:t>
            </w:r>
            <w:r w:rsidR="00D448D6">
              <w:t>.</w:t>
            </w:r>
          </w:p>
          <w:p w14:paraId="0DDCC1A9" w14:textId="77777777" w:rsidR="00303303" w:rsidRPr="00E44F3E" w:rsidRDefault="00303303" w:rsidP="00F8695E">
            <w:pPr>
              <w:pStyle w:val="TableBullet"/>
            </w:pPr>
            <w:r w:rsidRPr="00E44F3E">
              <w:t>Additional follow-up appointments required.</w:t>
            </w:r>
          </w:p>
          <w:p w14:paraId="68FE2777" w14:textId="77777777" w:rsidR="00303303" w:rsidRPr="00E44F3E" w:rsidRDefault="00303303" w:rsidP="00F8695E">
            <w:pPr>
              <w:pStyle w:val="TableBullet"/>
            </w:pPr>
            <w:r w:rsidRPr="00E44F3E">
              <w:t>Increased demand for laboratory services to monitor for disease response.</w:t>
            </w:r>
          </w:p>
        </w:tc>
      </w:tr>
    </w:tbl>
    <w:p w14:paraId="2F935759" w14:textId="2502576E" w:rsidR="007061B4" w:rsidRPr="00E44F3E" w:rsidRDefault="007061B4" w:rsidP="007061B4">
      <w:pPr>
        <w:pStyle w:val="TableText"/>
      </w:pPr>
      <w:r w:rsidRPr="00E44F3E">
        <w:t>*</w:t>
      </w:r>
      <w:r w:rsidR="005360C6">
        <w:t> </w:t>
      </w:r>
      <w:r w:rsidR="00E6006E">
        <w:t>Aotearoa New </w:t>
      </w:r>
      <w:r w:rsidR="007C6B5B">
        <w:t>Zealand</w:t>
      </w:r>
      <w:r w:rsidRPr="00E44F3E">
        <w:t xml:space="preserve"> practice is to administer bortezomib 1.3 mg/m</w:t>
      </w:r>
      <w:r w:rsidRPr="00E44F3E">
        <w:rPr>
          <w:vertAlign w:val="superscript"/>
        </w:rPr>
        <w:t>2</w:t>
      </w:r>
      <w:r w:rsidRPr="00E44F3E">
        <w:t xml:space="preserve"> </w:t>
      </w:r>
      <w:r w:rsidR="005360C6" w:rsidRPr="005360C6">
        <w:t>subcutaneous</w:t>
      </w:r>
      <w:r w:rsidRPr="00E44F3E">
        <w:t xml:space="preserve"> </w:t>
      </w:r>
      <w:r w:rsidR="00F53E61">
        <w:t>once</w:t>
      </w:r>
      <w:r w:rsidRPr="00E44F3E">
        <w:t xml:space="preserve"> a week</w:t>
      </w:r>
      <w:r w:rsidR="005360C6">
        <w:t>.</w:t>
      </w:r>
    </w:p>
    <w:p w14:paraId="316F34B7" w14:textId="77777777" w:rsidR="00303303" w:rsidRPr="00E44F3E" w:rsidRDefault="00303303" w:rsidP="00135084">
      <w:pPr>
        <w:pStyle w:val="Note"/>
      </w:pPr>
    </w:p>
    <w:p w14:paraId="34FFE3DB" w14:textId="2A575B27" w:rsidR="00303303" w:rsidRPr="00E44F3E" w:rsidRDefault="00303303" w:rsidP="00FB3898">
      <w:pPr>
        <w:pStyle w:val="Table"/>
        <w:pageBreakBefore/>
      </w:pPr>
      <w:bookmarkStart w:id="273" w:name="_Ref177735846"/>
      <w:bookmarkStart w:id="274" w:name="_Toc180142312"/>
      <w:r w:rsidRPr="00E44F3E">
        <w:lastRenderedPageBreak/>
        <w:t xml:space="preserve">Table </w:t>
      </w:r>
      <w:r w:rsidR="00D97615">
        <w:fldChar w:fldCharType="begin"/>
      </w:r>
      <w:r w:rsidR="00D97615">
        <w:instrText xml:space="preserve"> SEQ Table \* ARABIC </w:instrText>
      </w:r>
      <w:r w:rsidR="00D97615">
        <w:fldChar w:fldCharType="separate"/>
      </w:r>
      <w:r w:rsidR="004A6DF6">
        <w:rPr>
          <w:noProof/>
        </w:rPr>
        <w:t>26</w:t>
      </w:r>
      <w:r w:rsidR="00D97615">
        <w:rPr>
          <w:noProof/>
        </w:rPr>
        <w:fldChar w:fldCharType="end"/>
      </w:r>
      <w:bookmarkEnd w:id="273"/>
      <w:r w:rsidR="00245D5E" w:rsidRPr="00E44F3E">
        <w:t>:</w:t>
      </w:r>
      <w:r w:rsidRPr="00E44F3E">
        <w:t xml:space="preserve"> Pomalidomide and dexamethasone for relapsed or refractory multiple myeloma</w:t>
      </w:r>
      <w:bookmarkEnd w:id="274"/>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891"/>
        <w:gridCol w:w="210"/>
        <w:gridCol w:w="5978"/>
      </w:tblGrid>
      <w:tr w:rsidR="00303303" w:rsidRPr="00E44F3E" w14:paraId="377BD4E0" w14:textId="77777777" w:rsidTr="00377402">
        <w:trPr>
          <w:cantSplit/>
        </w:trPr>
        <w:tc>
          <w:tcPr>
            <w:tcW w:w="0" w:type="auto"/>
            <w:tcBorders>
              <w:top w:val="nil"/>
              <w:left w:val="nil"/>
              <w:bottom w:val="nil"/>
              <w:right w:val="nil"/>
            </w:tcBorders>
            <w:shd w:val="clear" w:color="auto" w:fill="C2D9BA"/>
            <w:hideMark/>
          </w:tcPr>
          <w:p w14:paraId="57D510A3" w14:textId="77777777" w:rsidR="00303303" w:rsidRPr="00E44F3E" w:rsidRDefault="00303303">
            <w:pPr>
              <w:pStyle w:val="TableText"/>
              <w:ind w:right="113"/>
              <w:rPr>
                <w:b/>
              </w:rPr>
            </w:pPr>
            <w:r w:rsidRPr="00E44F3E">
              <w:rPr>
                <w:b/>
              </w:rPr>
              <w:t>Indication description</w:t>
            </w:r>
          </w:p>
        </w:tc>
        <w:tc>
          <w:tcPr>
            <w:tcW w:w="0" w:type="auto"/>
            <w:gridSpan w:val="2"/>
            <w:tcBorders>
              <w:top w:val="nil"/>
              <w:left w:val="nil"/>
              <w:bottom w:val="nil"/>
              <w:right w:val="nil"/>
            </w:tcBorders>
            <w:shd w:val="clear" w:color="auto" w:fill="C2D9BA"/>
            <w:hideMark/>
          </w:tcPr>
          <w:p w14:paraId="23EC3361" w14:textId="14DDD363" w:rsidR="00303303" w:rsidRPr="00E44F3E" w:rsidRDefault="00303303">
            <w:pPr>
              <w:pStyle w:val="TableText"/>
            </w:pPr>
            <w:r w:rsidRPr="00E44F3E">
              <w:t>Pomalidomide and low</w:t>
            </w:r>
            <w:r w:rsidR="00C15176">
              <w:t>-</w:t>
            </w:r>
            <w:r w:rsidRPr="00E44F3E">
              <w:t xml:space="preserve">dose dexamethasone third line plus for relapsed or refractory multiple myeloma </w:t>
            </w:r>
          </w:p>
        </w:tc>
      </w:tr>
      <w:tr w:rsidR="00303303" w:rsidRPr="00E44F3E" w14:paraId="7397C49B" w14:textId="77777777" w:rsidTr="00377402">
        <w:trPr>
          <w:cantSplit/>
        </w:trPr>
        <w:tc>
          <w:tcPr>
            <w:tcW w:w="0" w:type="auto"/>
            <w:tcBorders>
              <w:top w:val="single" w:sz="4" w:space="0" w:color="C2D9BA"/>
              <w:left w:val="nil"/>
              <w:bottom w:val="single" w:sz="4" w:space="0" w:color="C2D9BA"/>
              <w:right w:val="nil"/>
            </w:tcBorders>
            <w:shd w:val="clear" w:color="auto" w:fill="E7F0E3"/>
            <w:hideMark/>
          </w:tcPr>
          <w:p w14:paraId="24A2578A" w14:textId="77777777" w:rsidR="00303303" w:rsidRPr="00E44F3E" w:rsidRDefault="00303303">
            <w:pPr>
              <w:pStyle w:val="TableText"/>
              <w:ind w:right="113"/>
              <w:rPr>
                <w:b/>
              </w:rPr>
            </w:pPr>
            <w:r w:rsidRPr="00E44F3E">
              <w:rPr>
                <w:b/>
              </w:rPr>
              <w:t>Medicine</w:t>
            </w:r>
          </w:p>
        </w:tc>
        <w:tc>
          <w:tcPr>
            <w:tcW w:w="0" w:type="auto"/>
            <w:gridSpan w:val="2"/>
            <w:tcBorders>
              <w:top w:val="single" w:sz="4" w:space="0" w:color="C2D9BA"/>
              <w:left w:val="nil"/>
              <w:bottom w:val="single" w:sz="4" w:space="0" w:color="C2D9BA"/>
              <w:right w:val="nil"/>
            </w:tcBorders>
            <w:shd w:val="clear" w:color="auto" w:fill="E7F0E3"/>
            <w:hideMark/>
          </w:tcPr>
          <w:p w14:paraId="03050B86" w14:textId="77777777" w:rsidR="00303303" w:rsidRPr="00E44F3E" w:rsidRDefault="00303303">
            <w:pPr>
              <w:pStyle w:val="TableText"/>
            </w:pPr>
            <w:r w:rsidRPr="00E44F3E">
              <w:t>Pomalidomide</w:t>
            </w:r>
          </w:p>
        </w:tc>
      </w:tr>
      <w:tr w:rsidR="00303303" w:rsidRPr="00E44F3E" w14:paraId="450610A8" w14:textId="77777777" w:rsidTr="00377402">
        <w:trPr>
          <w:cantSplit/>
        </w:trPr>
        <w:tc>
          <w:tcPr>
            <w:tcW w:w="0" w:type="auto"/>
            <w:tcBorders>
              <w:top w:val="single" w:sz="4" w:space="0" w:color="C2D9BA"/>
              <w:left w:val="nil"/>
              <w:bottom w:val="single" w:sz="4" w:space="0" w:color="C2D9BA"/>
              <w:right w:val="nil"/>
            </w:tcBorders>
            <w:hideMark/>
          </w:tcPr>
          <w:p w14:paraId="205E5F9B" w14:textId="77777777" w:rsidR="00303303" w:rsidRPr="00E44F3E" w:rsidRDefault="00303303">
            <w:pPr>
              <w:pStyle w:val="TableText"/>
              <w:ind w:right="113"/>
              <w:rPr>
                <w:b/>
              </w:rPr>
            </w:pPr>
            <w:r w:rsidRPr="00E44F3E">
              <w:rPr>
                <w:b/>
              </w:rPr>
              <w:t>Description of medicine class</w:t>
            </w:r>
          </w:p>
        </w:tc>
        <w:tc>
          <w:tcPr>
            <w:tcW w:w="0" w:type="auto"/>
            <w:gridSpan w:val="2"/>
            <w:tcBorders>
              <w:top w:val="single" w:sz="4" w:space="0" w:color="C2D9BA"/>
              <w:left w:val="nil"/>
              <w:bottom w:val="single" w:sz="4" w:space="0" w:color="C2D9BA"/>
              <w:right w:val="nil"/>
            </w:tcBorders>
            <w:hideMark/>
          </w:tcPr>
          <w:p w14:paraId="5F867A13" w14:textId="2EE72642" w:rsidR="00303303" w:rsidRPr="00E44F3E" w:rsidRDefault="00303303">
            <w:pPr>
              <w:pStyle w:val="TableText"/>
            </w:pPr>
            <w:r w:rsidRPr="00E44F3E">
              <w:t xml:space="preserve">Pomalidomide is an immunomodulatory agent </w:t>
            </w:r>
            <w:r w:rsidR="0082666E">
              <w:t>that</w:t>
            </w:r>
            <w:r w:rsidR="0082666E" w:rsidRPr="00E44F3E">
              <w:t xml:space="preserve"> </w:t>
            </w:r>
            <w:r w:rsidRPr="00E44F3E">
              <w:t>exhibits multifaceted, anti-myeloma activity by enhancing immune function, disrupting aberrant stromal cell support as well as having direct anti-myeloma cell effects</w:t>
            </w:r>
            <w:r w:rsidR="0065077C">
              <w:t>.</w:t>
            </w:r>
          </w:p>
        </w:tc>
      </w:tr>
      <w:tr w:rsidR="00303303" w:rsidRPr="00E44F3E" w14:paraId="3FFF938D" w14:textId="77777777" w:rsidTr="00377402">
        <w:trPr>
          <w:cantSplit/>
        </w:trPr>
        <w:tc>
          <w:tcPr>
            <w:tcW w:w="0" w:type="auto"/>
            <w:tcBorders>
              <w:top w:val="single" w:sz="4" w:space="0" w:color="C2D9BA"/>
              <w:left w:val="nil"/>
              <w:bottom w:val="single" w:sz="4" w:space="0" w:color="C2D9BA"/>
              <w:right w:val="nil"/>
            </w:tcBorders>
            <w:hideMark/>
          </w:tcPr>
          <w:p w14:paraId="14B9CA23" w14:textId="77777777" w:rsidR="00303303" w:rsidRPr="00E44F3E" w:rsidRDefault="00303303">
            <w:pPr>
              <w:pStyle w:val="TableText"/>
              <w:ind w:right="113"/>
              <w:rPr>
                <w:b/>
              </w:rPr>
            </w:pPr>
            <w:r w:rsidRPr="00E44F3E">
              <w:rPr>
                <w:b/>
              </w:rPr>
              <w:t>Intent of treatment</w:t>
            </w:r>
          </w:p>
        </w:tc>
        <w:tc>
          <w:tcPr>
            <w:tcW w:w="0" w:type="auto"/>
            <w:gridSpan w:val="2"/>
            <w:tcBorders>
              <w:top w:val="single" w:sz="4" w:space="0" w:color="C2D9BA"/>
              <w:left w:val="nil"/>
              <w:bottom w:val="single" w:sz="4" w:space="0" w:color="C2D9BA"/>
              <w:right w:val="nil"/>
            </w:tcBorders>
            <w:hideMark/>
          </w:tcPr>
          <w:p w14:paraId="368C50AB" w14:textId="49FDAD1F" w:rsidR="00303303" w:rsidRPr="00E44F3E" w:rsidRDefault="00303303">
            <w:pPr>
              <w:pStyle w:val="TableText"/>
            </w:pPr>
            <w:r w:rsidRPr="00E44F3E">
              <w:t>Non-curative</w:t>
            </w:r>
            <w:r w:rsidR="0065077C">
              <w:t>.</w:t>
            </w:r>
          </w:p>
        </w:tc>
      </w:tr>
      <w:tr w:rsidR="00303303" w:rsidRPr="00E44F3E" w14:paraId="41C6FEA5" w14:textId="77777777" w:rsidTr="00377402">
        <w:trPr>
          <w:cantSplit/>
        </w:trPr>
        <w:tc>
          <w:tcPr>
            <w:tcW w:w="0" w:type="auto"/>
            <w:tcBorders>
              <w:top w:val="single" w:sz="4" w:space="0" w:color="C2D9BA"/>
              <w:left w:val="nil"/>
              <w:bottom w:val="single" w:sz="4" w:space="0" w:color="C2D9BA"/>
              <w:right w:val="nil"/>
            </w:tcBorders>
            <w:hideMark/>
          </w:tcPr>
          <w:p w14:paraId="4ACC637C" w14:textId="6482DD4D" w:rsidR="00303303" w:rsidRPr="00E44F3E" w:rsidRDefault="00303303">
            <w:pPr>
              <w:pStyle w:val="TableText"/>
              <w:ind w:right="113"/>
              <w:rPr>
                <w:b/>
              </w:rPr>
            </w:pPr>
            <w:r w:rsidRPr="00E44F3E">
              <w:rPr>
                <w:b/>
              </w:rPr>
              <w:t xml:space="preserve">Pharmac status </w:t>
            </w:r>
            <w:r w:rsidR="003C13E5">
              <w:rPr>
                <w:b/>
              </w:rPr>
              <w:t>(October 2024)</w:t>
            </w:r>
          </w:p>
        </w:tc>
        <w:tc>
          <w:tcPr>
            <w:tcW w:w="0" w:type="auto"/>
            <w:gridSpan w:val="2"/>
            <w:tcBorders>
              <w:top w:val="single" w:sz="4" w:space="0" w:color="C2D9BA"/>
              <w:left w:val="nil"/>
              <w:bottom w:val="single" w:sz="4" w:space="0" w:color="C2D9BA"/>
              <w:right w:val="nil"/>
            </w:tcBorders>
          </w:tcPr>
          <w:p w14:paraId="1E116F08" w14:textId="5354FD34" w:rsidR="00303303" w:rsidRPr="00E44F3E" w:rsidRDefault="00303303" w:rsidP="00B42CB3">
            <w:pPr>
              <w:pStyle w:val="TableText"/>
            </w:pPr>
            <w:proofErr w:type="gramStart"/>
            <w:r w:rsidRPr="00E44F3E">
              <w:t>Multiple myeloma,</w:t>
            </w:r>
            <w:proofErr w:type="gramEnd"/>
            <w:r w:rsidRPr="00E44F3E">
              <w:t xml:space="preserve"> relapsed or refractory, </w:t>
            </w:r>
            <w:r w:rsidR="0082666E">
              <w:t>third</w:t>
            </w:r>
            <w:r w:rsidR="0082666E" w:rsidRPr="00E44F3E">
              <w:t xml:space="preserve"> </w:t>
            </w:r>
            <w:r w:rsidRPr="00E44F3E">
              <w:t>line with dexamethasone</w:t>
            </w:r>
            <w:r w:rsidR="0065077C">
              <w:t>.</w:t>
            </w:r>
          </w:p>
          <w:p w14:paraId="3FC7D558" w14:textId="77777777" w:rsidR="008B506F" w:rsidRDefault="00303303" w:rsidP="008B506F">
            <w:pPr>
              <w:pStyle w:val="TableBullet"/>
            </w:pPr>
            <w:r w:rsidRPr="00E44F3E">
              <w:t>Application received November 2015</w:t>
            </w:r>
            <w:r w:rsidR="0065077C">
              <w:t>.</w:t>
            </w:r>
          </w:p>
          <w:p w14:paraId="58A292EC" w14:textId="5BD3B1A9" w:rsidR="008B506F" w:rsidRDefault="00E56C72" w:rsidP="008B506F">
            <w:pPr>
              <w:pStyle w:val="TableBullet"/>
            </w:pPr>
            <w:r>
              <w:t>Funded</w:t>
            </w:r>
            <w:r w:rsidR="008B506F" w:rsidRPr="00E44F3E">
              <w:t xml:space="preserve"> from 1</w:t>
            </w:r>
            <w:r w:rsidR="008B506F">
              <w:t> </w:t>
            </w:r>
            <w:r w:rsidR="008B506F" w:rsidRPr="00E44F3E">
              <w:t>August 2024</w:t>
            </w:r>
            <w:r w:rsidR="00DB532B">
              <w:t xml:space="preserve">. </w:t>
            </w:r>
          </w:p>
          <w:p w14:paraId="3920FE42" w14:textId="70506E40" w:rsidR="00303303" w:rsidRPr="008B506F" w:rsidRDefault="00000000" w:rsidP="008B506F">
            <w:pPr>
              <w:pStyle w:val="TableBullet"/>
            </w:pPr>
            <w:hyperlink r:id="rId100" w:history="1">
              <w:r w:rsidR="00207897" w:rsidRPr="00E44F3E">
                <w:rPr>
                  <w:rStyle w:val="Hyperlink"/>
                </w:rPr>
                <w:t>connect.pharmac.govt.nz/apptracker/s/application-public/a102P00000BIsCh/p001701</w:t>
              </w:r>
            </w:hyperlink>
            <w:r w:rsidR="00EC07C4">
              <w:t>).</w:t>
            </w:r>
          </w:p>
        </w:tc>
      </w:tr>
      <w:tr w:rsidR="00303303" w:rsidRPr="00E44F3E" w14:paraId="490B92D1" w14:textId="77777777" w:rsidTr="00377402">
        <w:trPr>
          <w:cantSplit/>
        </w:trPr>
        <w:tc>
          <w:tcPr>
            <w:tcW w:w="0" w:type="auto"/>
            <w:tcBorders>
              <w:top w:val="single" w:sz="4" w:space="0" w:color="C2D9BA"/>
              <w:left w:val="nil"/>
              <w:bottom w:val="single" w:sz="4" w:space="0" w:color="C2D9BA"/>
              <w:right w:val="nil"/>
            </w:tcBorders>
            <w:hideMark/>
          </w:tcPr>
          <w:p w14:paraId="0A23E386" w14:textId="317CBE19" w:rsidR="00303303" w:rsidRPr="00E44F3E" w:rsidRDefault="00303303">
            <w:pPr>
              <w:pStyle w:val="TableText"/>
              <w:ind w:right="113"/>
              <w:rPr>
                <w:b/>
              </w:rPr>
            </w:pPr>
            <w:r w:rsidRPr="00E44F3E">
              <w:rPr>
                <w:b/>
              </w:rPr>
              <w:t>ESMO-MCBS</w:t>
            </w:r>
            <w:r w:rsidR="00051ABD">
              <w:rPr>
                <w:b/>
              </w:rPr>
              <w:t>:H</w:t>
            </w:r>
            <w:r w:rsidRPr="00E44F3E">
              <w:rPr>
                <w:b/>
              </w:rPr>
              <w:t xml:space="preserve"> score and summary of data informing the score</w:t>
            </w:r>
          </w:p>
        </w:tc>
        <w:tc>
          <w:tcPr>
            <w:tcW w:w="0" w:type="auto"/>
            <w:tcBorders>
              <w:top w:val="single" w:sz="4" w:space="0" w:color="C2D9BA"/>
              <w:left w:val="nil"/>
              <w:bottom w:val="single" w:sz="4" w:space="0" w:color="C2D9BA"/>
              <w:right w:val="nil"/>
            </w:tcBorders>
            <w:hideMark/>
          </w:tcPr>
          <w:p w14:paraId="1DDC4E85" w14:textId="77777777" w:rsidR="00303303" w:rsidRPr="00E44F3E" w:rsidRDefault="00303303">
            <w:pPr>
              <w:pStyle w:val="TableText"/>
            </w:pPr>
            <w:r w:rsidRPr="00E44F3E">
              <w:t>4</w:t>
            </w:r>
          </w:p>
        </w:tc>
        <w:tc>
          <w:tcPr>
            <w:tcW w:w="0" w:type="auto"/>
            <w:tcBorders>
              <w:top w:val="single" w:sz="4" w:space="0" w:color="C2D9BA"/>
              <w:left w:val="nil"/>
              <w:bottom w:val="single" w:sz="4" w:space="0" w:color="C2D9BA"/>
              <w:right w:val="nil"/>
            </w:tcBorders>
            <w:hideMark/>
          </w:tcPr>
          <w:p w14:paraId="27BCF8B1" w14:textId="77777777" w:rsidR="00303303" w:rsidRPr="00E44F3E" w:rsidRDefault="00303303">
            <w:pPr>
              <w:pStyle w:val="TableText"/>
            </w:pPr>
            <w:r w:rsidRPr="00E44F3E">
              <w:t>Compared to high-dose dexamethasone:</w:t>
            </w:r>
          </w:p>
          <w:p w14:paraId="179D76DE" w14:textId="4B3C8A3E" w:rsidR="00303303" w:rsidRPr="00E44F3E" w:rsidRDefault="00303303" w:rsidP="00135084">
            <w:pPr>
              <w:pStyle w:val="TableBullet"/>
            </w:pPr>
            <w:r w:rsidRPr="00E44F3E">
              <w:t>Gain in median overall survival of 4.6 months</w:t>
            </w:r>
            <w:r w:rsidR="00B42CB3">
              <w:t>.</w:t>
            </w:r>
          </w:p>
          <w:p w14:paraId="0EE5F0F4" w14:textId="6867A36C" w:rsidR="00303303" w:rsidRPr="00E44F3E" w:rsidRDefault="00303303" w:rsidP="00135084">
            <w:pPr>
              <w:pStyle w:val="TableBullet"/>
            </w:pPr>
            <w:r w:rsidRPr="00E44F3E">
              <w:t>Toxicity results did not contribute to the score</w:t>
            </w:r>
            <w:r w:rsidR="00B42CB3">
              <w:t>.</w:t>
            </w:r>
          </w:p>
          <w:p w14:paraId="26596D00" w14:textId="1995A465" w:rsidR="00303303" w:rsidRPr="00E44F3E" w:rsidRDefault="008C5229" w:rsidP="00135084">
            <w:pPr>
              <w:pStyle w:val="TableBullet"/>
            </w:pPr>
            <w:r w:rsidRPr="008C5229">
              <w:t>Health-related quality of life</w:t>
            </w:r>
            <w:r w:rsidRPr="008C5229" w:rsidDel="008C5229">
              <w:t xml:space="preserve"> </w:t>
            </w:r>
            <w:r w:rsidR="00303303" w:rsidRPr="00E44F3E">
              <w:t>did not contribute to the score</w:t>
            </w:r>
            <w:r w:rsidR="0072502F">
              <w:t>.</w:t>
            </w:r>
            <w:r w:rsidR="00303303" w:rsidRPr="00E44F3E">
              <w:t xml:space="preserve"> </w:t>
            </w:r>
          </w:p>
          <w:p w14:paraId="4FB760DB" w14:textId="37889503" w:rsidR="00303303" w:rsidRPr="00E44F3E" w:rsidRDefault="00303303">
            <w:pPr>
              <w:pStyle w:val="TableText"/>
            </w:pPr>
            <w:r w:rsidRPr="00E44F3E">
              <w:t>MM-003 (NIMBUS) study patients were a heavily pre-treated and disease-refractory population with about 95% of participants having received more than two prior lines of treatment (median 5 previous treatments)</w:t>
            </w:r>
            <w:r w:rsidR="00ED351E">
              <w:t>.</w:t>
            </w:r>
            <w:r w:rsidRPr="00E44F3E">
              <w:t xml:space="preserve"> </w:t>
            </w:r>
            <w:r w:rsidR="00ED351E">
              <w:t>M</w:t>
            </w:r>
            <w:r w:rsidRPr="00E44F3E">
              <w:t>ore than 90% of patients were refractory to lenalidomide</w:t>
            </w:r>
            <w:r w:rsidR="00916098">
              <w:t>,</w:t>
            </w:r>
            <w:r w:rsidRPr="00E44F3E">
              <w:t xml:space="preserve"> and about 80% of patients were refractory to bortezomib.</w:t>
            </w:r>
          </w:p>
        </w:tc>
      </w:tr>
      <w:tr w:rsidR="00303303" w:rsidRPr="00E44F3E" w14:paraId="27CA7081" w14:textId="77777777" w:rsidTr="00377402">
        <w:trPr>
          <w:cantSplit/>
        </w:trPr>
        <w:tc>
          <w:tcPr>
            <w:tcW w:w="0" w:type="auto"/>
            <w:tcBorders>
              <w:top w:val="single" w:sz="4" w:space="0" w:color="C2D9BA"/>
              <w:left w:val="nil"/>
              <w:bottom w:val="single" w:sz="4" w:space="0" w:color="C2D9BA"/>
              <w:right w:val="nil"/>
            </w:tcBorders>
            <w:hideMark/>
          </w:tcPr>
          <w:p w14:paraId="5C0C2CEC" w14:textId="0DC96B50" w:rsidR="00303303" w:rsidRPr="00E44F3E" w:rsidRDefault="00303303">
            <w:pPr>
              <w:pStyle w:val="TableText"/>
              <w:ind w:right="113"/>
              <w:rPr>
                <w:b/>
              </w:rPr>
            </w:pPr>
            <w:r w:rsidRPr="00E44F3E">
              <w:rPr>
                <w:b/>
              </w:rPr>
              <w:t xml:space="preserve">Current clinical practice in </w:t>
            </w:r>
            <w:r w:rsidR="00E6006E">
              <w:rPr>
                <w:b/>
              </w:rPr>
              <w:t>Aotearoa New </w:t>
            </w:r>
            <w:r w:rsidR="007C6B5B">
              <w:rPr>
                <w:b/>
              </w:rPr>
              <w:t>Zealand</w:t>
            </w:r>
            <w:r w:rsidRPr="00E44F3E">
              <w:rPr>
                <w:b/>
              </w:rPr>
              <w:t xml:space="preserve"> and how this would change if the gap were filled</w:t>
            </w:r>
          </w:p>
        </w:tc>
        <w:tc>
          <w:tcPr>
            <w:tcW w:w="0" w:type="auto"/>
            <w:gridSpan w:val="2"/>
            <w:tcBorders>
              <w:top w:val="single" w:sz="4" w:space="0" w:color="C2D9BA"/>
              <w:left w:val="nil"/>
              <w:bottom w:val="single" w:sz="4" w:space="0" w:color="C2D9BA"/>
              <w:right w:val="nil"/>
            </w:tcBorders>
            <w:hideMark/>
          </w:tcPr>
          <w:p w14:paraId="5A244122" w14:textId="784DB72B" w:rsidR="00303303" w:rsidRPr="00E44F3E" w:rsidRDefault="00303303">
            <w:pPr>
              <w:pStyle w:val="TableText"/>
              <w:rPr>
                <w:color w:val="000000" w:themeColor="text1"/>
              </w:rPr>
            </w:pPr>
            <w:r w:rsidRPr="00E44F3E">
              <w:rPr>
                <w:color w:val="000000" w:themeColor="text1"/>
              </w:rPr>
              <w:t>Pomalidomide represents an additional line of treatment that may be reserved for use as a third or later line</w:t>
            </w:r>
            <w:r w:rsidR="004B25AF">
              <w:rPr>
                <w:color w:val="000000" w:themeColor="text1"/>
              </w:rPr>
              <w:t>. T</w:t>
            </w:r>
            <w:r w:rsidRPr="00E44F3E">
              <w:rPr>
                <w:color w:val="000000" w:themeColor="text1"/>
              </w:rPr>
              <w:t xml:space="preserve">hese patients would </w:t>
            </w:r>
            <w:r w:rsidR="004B25AF">
              <w:rPr>
                <w:color w:val="000000" w:themeColor="text1"/>
              </w:rPr>
              <w:t xml:space="preserve">likely </w:t>
            </w:r>
            <w:r w:rsidRPr="00E44F3E">
              <w:rPr>
                <w:color w:val="000000" w:themeColor="text1"/>
              </w:rPr>
              <w:t>benefit most as they have few other options available.</w:t>
            </w:r>
          </w:p>
          <w:p w14:paraId="3BE3A8AB" w14:textId="3F373155" w:rsidR="00303303" w:rsidRPr="00E44F3E" w:rsidRDefault="00303303">
            <w:pPr>
              <w:pStyle w:val="TableText"/>
              <w:rPr>
                <w:color w:val="FF0000"/>
              </w:rPr>
            </w:pPr>
            <w:r w:rsidRPr="00E44F3E">
              <w:rPr>
                <w:color w:val="000000" w:themeColor="text1"/>
              </w:rPr>
              <w:t>Pomalidomide appears to be effective regardless of prior therapy</w:t>
            </w:r>
            <w:r w:rsidR="00473A61">
              <w:rPr>
                <w:color w:val="000000" w:themeColor="text1"/>
              </w:rPr>
              <w:t>. U</w:t>
            </w:r>
            <w:r w:rsidRPr="00E44F3E">
              <w:rPr>
                <w:color w:val="000000" w:themeColor="text1"/>
              </w:rPr>
              <w:t>se of this agent would be preferred for patients with multiply relapsed disease (who have progressed on other lines of treatment).</w:t>
            </w:r>
          </w:p>
        </w:tc>
      </w:tr>
      <w:tr w:rsidR="00303303" w:rsidRPr="00E44F3E" w14:paraId="584E5DA2" w14:textId="77777777" w:rsidTr="00377402">
        <w:trPr>
          <w:cantSplit/>
        </w:trPr>
        <w:tc>
          <w:tcPr>
            <w:tcW w:w="0" w:type="auto"/>
            <w:tcBorders>
              <w:top w:val="single" w:sz="4" w:space="0" w:color="C2D9BA"/>
              <w:left w:val="nil"/>
              <w:bottom w:val="single" w:sz="4" w:space="0" w:color="C2D9BA"/>
              <w:right w:val="nil"/>
            </w:tcBorders>
            <w:hideMark/>
          </w:tcPr>
          <w:p w14:paraId="1C4ACA2D" w14:textId="77777777" w:rsidR="00303303" w:rsidRPr="00E44F3E" w:rsidRDefault="00303303">
            <w:pPr>
              <w:pStyle w:val="TableText"/>
              <w:ind w:right="113"/>
              <w:rPr>
                <w:b/>
              </w:rPr>
            </w:pPr>
            <w:r w:rsidRPr="00E44F3E">
              <w:rPr>
                <w:b/>
              </w:rPr>
              <w:t>How this medicine would be given</w:t>
            </w:r>
          </w:p>
        </w:tc>
        <w:tc>
          <w:tcPr>
            <w:tcW w:w="0" w:type="auto"/>
            <w:gridSpan w:val="2"/>
            <w:tcBorders>
              <w:top w:val="single" w:sz="4" w:space="0" w:color="C2D9BA"/>
              <w:left w:val="nil"/>
              <w:bottom w:val="single" w:sz="4" w:space="0" w:color="C2D9BA"/>
              <w:right w:val="nil"/>
            </w:tcBorders>
          </w:tcPr>
          <w:p w14:paraId="77F6F628" w14:textId="2B9C8447" w:rsidR="00303303" w:rsidRPr="00E44F3E" w:rsidRDefault="00303303" w:rsidP="00207897">
            <w:pPr>
              <w:pStyle w:val="TableText"/>
              <w:rPr>
                <w:color w:val="FF0000"/>
              </w:rPr>
            </w:pPr>
            <w:r w:rsidRPr="00E44F3E">
              <w:rPr>
                <w:color w:val="000000" w:themeColor="text1"/>
              </w:rPr>
              <w:t>Pomalidomide 4 mg orally once a day on days 1 to 21 with low-dose dexamethasone 40 mg orally once a week on days 1, 8, 15 and 22 Q4W</w:t>
            </w:r>
            <w:r w:rsidR="00B42CB3">
              <w:rPr>
                <w:color w:val="000000" w:themeColor="text1"/>
              </w:rPr>
              <w:t>.</w:t>
            </w:r>
            <w:r w:rsidRPr="00E44F3E">
              <w:rPr>
                <w:color w:val="000000" w:themeColor="text1"/>
              </w:rPr>
              <w:t xml:space="preserve"> </w:t>
            </w:r>
          </w:p>
        </w:tc>
      </w:tr>
      <w:tr w:rsidR="00303303" w:rsidRPr="00E44F3E" w14:paraId="40CCA80F" w14:textId="77777777" w:rsidTr="00377402">
        <w:trPr>
          <w:cantSplit/>
        </w:trPr>
        <w:tc>
          <w:tcPr>
            <w:tcW w:w="0" w:type="auto"/>
            <w:tcBorders>
              <w:top w:val="single" w:sz="4" w:space="0" w:color="C2D9BA"/>
              <w:left w:val="nil"/>
              <w:bottom w:val="single" w:sz="4" w:space="0" w:color="C2D9BA"/>
              <w:right w:val="nil"/>
            </w:tcBorders>
            <w:hideMark/>
          </w:tcPr>
          <w:p w14:paraId="516AE87E" w14:textId="77777777" w:rsidR="00303303" w:rsidRPr="00E44F3E" w:rsidRDefault="00303303">
            <w:pPr>
              <w:pStyle w:val="TableText"/>
              <w:ind w:right="113"/>
              <w:rPr>
                <w:b/>
              </w:rPr>
            </w:pPr>
            <w:r w:rsidRPr="00E44F3E">
              <w:rPr>
                <w:b/>
              </w:rPr>
              <w:t>Patient and whānau considerations</w:t>
            </w:r>
          </w:p>
        </w:tc>
        <w:tc>
          <w:tcPr>
            <w:tcW w:w="0" w:type="auto"/>
            <w:gridSpan w:val="2"/>
            <w:tcBorders>
              <w:top w:val="single" w:sz="4" w:space="0" w:color="C2D9BA"/>
              <w:left w:val="nil"/>
              <w:bottom w:val="single" w:sz="4" w:space="0" w:color="C2D9BA"/>
              <w:right w:val="nil"/>
            </w:tcBorders>
          </w:tcPr>
          <w:p w14:paraId="0D65FF0C" w14:textId="77777777" w:rsidR="00303303" w:rsidRPr="00E44F3E" w:rsidRDefault="00303303" w:rsidP="00207897">
            <w:pPr>
              <w:pStyle w:val="TableBullet"/>
            </w:pPr>
            <w:r w:rsidRPr="00E44F3E">
              <w:t>Pomalidomide capsules and tablets allow treatment at home.</w:t>
            </w:r>
          </w:p>
          <w:p w14:paraId="1CF61799" w14:textId="77777777" w:rsidR="00303303" w:rsidRPr="00E44F3E" w:rsidRDefault="00303303" w:rsidP="00207897">
            <w:pPr>
              <w:pStyle w:val="TableBullet"/>
            </w:pPr>
            <w:r w:rsidRPr="00E44F3E">
              <w:t>All patients must fulfil the requirements of the pregnancy prevention risk management programme to ensure pregnant women are not exposed to pomalidomide.</w:t>
            </w:r>
          </w:p>
          <w:p w14:paraId="27F410D1" w14:textId="77777777" w:rsidR="00303303" w:rsidRPr="00E44F3E" w:rsidRDefault="00303303" w:rsidP="00207897">
            <w:pPr>
              <w:pStyle w:val="TableBullet"/>
            </w:pPr>
            <w:r w:rsidRPr="00E44F3E">
              <w:t>Regular blood tests and other monitoring are required to monitor for toxicity and response to treatment.</w:t>
            </w:r>
          </w:p>
          <w:p w14:paraId="5935D94C" w14:textId="77777777" w:rsidR="00303303" w:rsidRPr="00E44F3E" w:rsidRDefault="00303303" w:rsidP="00207897">
            <w:pPr>
              <w:pStyle w:val="TableBullet"/>
            </w:pPr>
            <w:r w:rsidRPr="00E44F3E">
              <w:t>Dose modifications or delays may be needed if patient is intolerant to treatment.</w:t>
            </w:r>
          </w:p>
          <w:p w14:paraId="01DE1B5E" w14:textId="77777777" w:rsidR="00303303" w:rsidRPr="00E44F3E" w:rsidRDefault="00303303" w:rsidP="00207897">
            <w:pPr>
              <w:pStyle w:val="TableBullet"/>
            </w:pPr>
            <w:r w:rsidRPr="00E44F3E">
              <w:t>Other medications may be needed to control side effects and to prevent infection.</w:t>
            </w:r>
          </w:p>
        </w:tc>
      </w:tr>
      <w:tr w:rsidR="00303303" w:rsidRPr="00E44F3E" w14:paraId="7A5DC52B" w14:textId="77777777" w:rsidTr="00377402">
        <w:trPr>
          <w:cantSplit/>
        </w:trPr>
        <w:tc>
          <w:tcPr>
            <w:tcW w:w="0" w:type="auto"/>
            <w:tcBorders>
              <w:top w:val="single" w:sz="4" w:space="0" w:color="C2D9BA"/>
              <w:left w:val="nil"/>
              <w:bottom w:val="single" w:sz="4" w:space="0" w:color="C2D9BA"/>
              <w:right w:val="nil"/>
            </w:tcBorders>
            <w:hideMark/>
          </w:tcPr>
          <w:p w14:paraId="06582929" w14:textId="77777777" w:rsidR="00303303" w:rsidRPr="00E44F3E" w:rsidRDefault="00303303">
            <w:pPr>
              <w:pStyle w:val="TableText"/>
              <w:ind w:right="113"/>
              <w:rPr>
                <w:b/>
              </w:rPr>
            </w:pPr>
            <w:r w:rsidRPr="00E44F3E">
              <w:rPr>
                <w:b/>
              </w:rPr>
              <w:lastRenderedPageBreak/>
              <w:t>Health system resource considerations</w:t>
            </w:r>
          </w:p>
        </w:tc>
        <w:tc>
          <w:tcPr>
            <w:tcW w:w="0" w:type="auto"/>
            <w:gridSpan w:val="2"/>
            <w:tcBorders>
              <w:top w:val="single" w:sz="4" w:space="0" w:color="C2D9BA"/>
              <w:left w:val="nil"/>
              <w:bottom w:val="single" w:sz="4" w:space="0" w:color="C2D9BA"/>
              <w:right w:val="nil"/>
            </w:tcBorders>
          </w:tcPr>
          <w:p w14:paraId="7F2FCEFA" w14:textId="77777777" w:rsidR="00303303" w:rsidRPr="00E44F3E" w:rsidRDefault="00303303" w:rsidP="00207897">
            <w:pPr>
              <w:pStyle w:val="TableBullet"/>
            </w:pPr>
            <w:r w:rsidRPr="00E44F3E">
              <w:t xml:space="preserve">An access programme application is required by clinicians for approval to prescribe pomalidomide for individual patients for every prescription. </w:t>
            </w:r>
          </w:p>
          <w:p w14:paraId="682438CA" w14:textId="77777777" w:rsidR="00303303" w:rsidRPr="00E44F3E" w:rsidRDefault="00303303" w:rsidP="00207897">
            <w:pPr>
              <w:pStyle w:val="TableBullet"/>
            </w:pPr>
            <w:r w:rsidRPr="00E44F3E">
              <w:t xml:space="preserve">Increased demand for laboratory services to monitor for treatment-related toxicities. </w:t>
            </w:r>
          </w:p>
          <w:p w14:paraId="50A393D8" w14:textId="36A30EAB" w:rsidR="00303303" w:rsidRPr="00E44F3E" w:rsidRDefault="00303303" w:rsidP="00207897">
            <w:pPr>
              <w:pStyle w:val="TableBullet"/>
            </w:pPr>
            <w:r w:rsidRPr="00E44F3E">
              <w:t>Potential for increased demand for supportive care and toxicity management (including health care professionals’ time and adjustment of pharmaceuticals)</w:t>
            </w:r>
            <w:r w:rsidR="00CB0054">
              <w:t>.</w:t>
            </w:r>
          </w:p>
          <w:p w14:paraId="2E6BA5FA" w14:textId="77777777" w:rsidR="00303303" w:rsidRPr="00E44F3E" w:rsidRDefault="00303303" w:rsidP="00207897">
            <w:pPr>
              <w:pStyle w:val="TableBullet"/>
            </w:pPr>
            <w:r w:rsidRPr="00E44F3E">
              <w:t>Additional follow-up appointments required.</w:t>
            </w:r>
          </w:p>
          <w:p w14:paraId="72CB3FDC" w14:textId="77777777" w:rsidR="00303303" w:rsidRPr="00E44F3E" w:rsidRDefault="00303303" w:rsidP="00207897">
            <w:pPr>
              <w:pStyle w:val="TableBullet"/>
            </w:pPr>
            <w:r w:rsidRPr="00E44F3E">
              <w:t>Increased demand for laboratory services to monitor for disease response.</w:t>
            </w:r>
          </w:p>
        </w:tc>
      </w:tr>
    </w:tbl>
    <w:p w14:paraId="7A61F256" w14:textId="77777777" w:rsidR="00303303" w:rsidRPr="00E44F3E" w:rsidRDefault="00303303" w:rsidP="00303303"/>
    <w:p w14:paraId="3E50E3E7" w14:textId="05992815" w:rsidR="00303303" w:rsidRPr="00E44F3E" w:rsidRDefault="00303303" w:rsidP="00303303">
      <w:pPr>
        <w:pStyle w:val="Heading1"/>
        <w:rPr>
          <w:color w:val="0AB58F"/>
        </w:rPr>
      </w:pPr>
      <w:bookmarkStart w:id="275" w:name="_Toc180062134"/>
      <w:r w:rsidRPr="00E44F3E">
        <w:lastRenderedPageBreak/>
        <w:t xml:space="preserve">NGĀ TOHUTORO </w:t>
      </w:r>
      <w:r w:rsidRPr="00E44F3E">
        <w:rPr>
          <w:color w:val="FFFFFF" w:themeColor="background1"/>
        </w:rPr>
        <w:t>|</w:t>
      </w:r>
      <w:r w:rsidRPr="00E44F3E">
        <w:br/>
      </w:r>
      <w:r w:rsidRPr="00E44F3E">
        <w:rPr>
          <w:color w:val="0AB58F"/>
        </w:rPr>
        <w:t>REFERENCES</w:t>
      </w:r>
      <w:bookmarkEnd w:id="275"/>
    </w:p>
    <w:p w14:paraId="093FC716" w14:textId="79976B9E" w:rsidR="00303303" w:rsidRPr="00E44F3E" w:rsidRDefault="00303303" w:rsidP="00303303">
      <w:pPr>
        <w:pStyle w:val="References"/>
      </w:pPr>
      <w:proofErr w:type="spellStart"/>
      <w:r w:rsidRPr="00E44F3E">
        <w:t>Akhade</w:t>
      </w:r>
      <w:proofErr w:type="spellEnd"/>
      <w:r w:rsidRPr="00E44F3E">
        <w:t xml:space="preserve"> A, </w:t>
      </w:r>
      <w:proofErr w:type="spellStart"/>
      <w:r w:rsidRPr="00E44F3E">
        <w:t>Sirohi</w:t>
      </w:r>
      <w:proofErr w:type="spellEnd"/>
      <w:r w:rsidRPr="00E44F3E">
        <w:t xml:space="preserve"> B, </w:t>
      </w:r>
      <w:proofErr w:type="spellStart"/>
      <w:r w:rsidRPr="00E44F3E">
        <w:t>Gyawali</w:t>
      </w:r>
      <w:proofErr w:type="spellEnd"/>
      <w:r w:rsidRPr="00E44F3E">
        <w:t xml:space="preserve"> B. 2022. Global consequences of the US FDA</w:t>
      </w:r>
      <w:r w:rsidR="004650A2" w:rsidRPr="00E44F3E">
        <w:t>’</w:t>
      </w:r>
      <w:r w:rsidRPr="00E44F3E">
        <w:t xml:space="preserve">s accelerated approval of cancer drugs. </w:t>
      </w:r>
      <w:r w:rsidR="00BB4336" w:rsidRPr="00423568">
        <w:rPr>
          <w:i/>
          <w:iCs/>
        </w:rPr>
        <w:t>Lancet Oncology</w:t>
      </w:r>
      <w:r w:rsidRPr="00423568">
        <w:rPr>
          <w:iCs/>
        </w:rPr>
        <w:t xml:space="preserve"> 23</w:t>
      </w:r>
      <w:r w:rsidRPr="00E44F3E">
        <w:t>(2)</w:t>
      </w:r>
      <w:r w:rsidR="00BB4336">
        <w:t>:</w:t>
      </w:r>
      <w:r w:rsidRPr="00E44F3E">
        <w:t xml:space="preserve"> 201</w:t>
      </w:r>
      <w:r w:rsidR="00BB4336">
        <w:t>–</w:t>
      </w:r>
      <w:r w:rsidRPr="00E44F3E">
        <w:t xml:space="preserve">3. </w:t>
      </w:r>
      <w:r w:rsidR="00F415EB">
        <w:t xml:space="preserve">URL: </w:t>
      </w:r>
      <w:hyperlink r:id="rId101" w:history="1">
        <w:r w:rsidR="00F415EB" w:rsidRPr="00F415EB">
          <w:rPr>
            <w:rStyle w:val="Hyperlink"/>
          </w:rPr>
          <w:t>https://doi.org/10.1016/s1470-2045(21)00709-9</w:t>
        </w:r>
      </w:hyperlink>
      <w:r w:rsidR="00F415EB">
        <w:rPr>
          <w:b/>
        </w:rPr>
        <w:t xml:space="preserve"> </w:t>
      </w:r>
      <w:r w:rsidR="00F415EB" w:rsidRPr="00423568">
        <w:t>(</w:t>
      </w:r>
      <w:r w:rsidR="00F415EB">
        <w:t>accessed 11 September 2024).</w:t>
      </w:r>
    </w:p>
    <w:p w14:paraId="6EC5406D" w14:textId="2FB5BC25" w:rsidR="00303303" w:rsidRPr="00E44F3E" w:rsidRDefault="00303303" w:rsidP="00303303">
      <w:pPr>
        <w:pStyle w:val="References"/>
      </w:pPr>
      <w:r w:rsidRPr="00E44F3E">
        <w:t>Al-</w:t>
      </w:r>
      <w:proofErr w:type="spellStart"/>
      <w:r w:rsidRPr="00E44F3E">
        <w:t>Sawaf</w:t>
      </w:r>
      <w:proofErr w:type="spellEnd"/>
      <w:r w:rsidRPr="00E44F3E">
        <w:t xml:space="preserve"> O, Zhang C, Tandon M, </w:t>
      </w:r>
      <w:r w:rsidR="007B19A3">
        <w:t>et al.</w:t>
      </w:r>
      <w:r w:rsidRPr="00E44F3E">
        <w:t xml:space="preserve"> 2020. </w:t>
      </w:r>
      <w:proofErr w:type="spellStart"/>
      <w:r w:rsidRPr="00E44F3E">
        <w:t>Venetoclax</w:t>
      </w:r>
      <w:proofErr w:type="spellEnd"/>
      <w:r w:rsidRPr="00E44F3E">
        <w:t xml:space="preserve"> plus </w:t>
      </w:r>
      <w:proofErr w:type="spellStart"/>
      <w:r w:rsidRPr="00E44F3E">
        <w:t>obinutuzumab</w:t>
      </w:r>
      <w:proofErr w:type="spellEnd"/>
      <w:r w:rsidRPr="00E44F3E">
        <w:t xml:space="preserve"> versus chlorambucil plus </w:t>
      </w:r>
      <w:proofErr w:type="spellStart"/>
      <w:r w:rsidRPr="00E44F3E">
        <w:t>obinutuzumab</w:t>
      </w:r>
      <w:proofErr w:type="spellEnd"/>
      <w:r w:rsidRPr="00E44F3E">
        <w:t xml:space="preserve"> for previously untreated chronic lymphocytic leukaemia (CLL14): follow-up results from a multicentre, </w:t>
      </w:r>
      <w:proofErr w:type="gramStart"/>
      <w:r w:rsidRPr="00E44F3E">
        <w:t>open-label</w:t>
      </w:r>
      <w:proofErr w:type="gramEnd"/>
      <w:r w:rsidRPr="00E44F3E">
        <w:t xml:space="preserve">, randomised, phase 3 trial. </w:t>
      </w:r>
      <w:r w:rsidR="00FE7220" w:rsidRPr="00FE7220">
        <w:rPr>
          <w:i/>
        </w:rPr>
        <w:t>Lancet Oncology</w:t>
      </w:r>
      <w:r w:rsidRPr="00E44F3E">
        <w:rPr>
          <w:i/>
        </w:rPr>
        <w:t xml:space="preserve"> </w:t>
      </w:r>
      <w:r w:rsidRPr="00FE7220">
        <w:rPr>
          <w:iCs/>
        </w:rPr>
        <w:t>21(</w:t>
      </w:r>
      <w:r w:rsidRPr="00E44F3E">
        <w:t>9)</w:t>
      </w:r>
      <w:r w:rsidR="00FE7220">
        <w:t>:</w:t>
      </w:r>
      <w:r w:rsidRPr="00E44F3E">
        <w:t xml:space="preserve"> 1188</w:t>
      </w:r>
      <w:r w:rsidR="00FE7220">
        <w:t>–</w:t>
      </w:r>
      <w:r w:rsidRPr="00E44F3E">
        <w:t xml:space="preserve">1200. </w:t>
      </w:r>
      <w:r w:rsidR="00760DD5">
        <w:t xml:space="preserve">URL: </w:t>
      </w:r>
      <w:hyperlink r:id="rId102" w:history="1">
        <w:r w:rsidR="006D19D7" w:rsidRPr="00E44F3E">
          <w:rPr>
            <w:rStyle w:val="Hyperlink"/>
          </w:rPr>
          <w:t>https://doi.org/10.1016/s1470-2045(20)30443-5</w:t>
        </w:r>
      </w:hyperlink>
      <w:r w:rsidR="006D19D7" w:rsidRPr="00E44F3E">
        <w:t xml:space="preserve"> </w:t>
      </w:r>
      <w:r w:rsidR="00760DD5" w:rsidRPr="00760DD5">
        <w:t>(accessed 11 September 2024)</w:t>
      </w:r>
      <w:r w:rsidR="00760DD5">
        <w:t>.</w:t>
      </w:r>
    </w:p>
    <w:p w14:paraId="20458099" w14:textId="3F62418F" w:rsidR="00303303" w:rsidRPr="00E44F3E" w:rsidRDefault="00303303" w:rsidP="00303303">
      <w:pPr>
        <w:pStyle w:val="References"/>
      </w:pPr>
      <w:r w:rsidRPr="00E44F3E">
        <w:t xml:space="preserve">Armand P, </w:t>
      </w:r>
      <w:proofErr w:type="spellStart"/>
      <w:r w:rsidRPr="00E44F3E">
        <w:t>Rodig</w:t>
      </w:r>
      <w:proofErr w:type="spellEnd"/>
      <w:r w:rsidRPr="00E44F3E">
        <w:t xml:space="preserve"> S, Melnichenko V, </w:t>
      </w:r>
      <w:proofErr w:type="spellStart"/>
      <w:r w:rsidRPr="00E44F3E">
        <w:t>Thieblemont</w:t>
      </w:r>
      <w:proofErr w:type="spellEnd"/>
      <w:r w:rsidRPr="00E44F3E">
        <w:t xml:space="preserve"> C</w:t>
      </w:r>
      <w:r w:rsidR="00522299">
        <w:t>,</w:t>
      </w:r>
      <w:r w:rsidR="00B27D4E">
        <w:t xml:space="preserve"> et al</w:t>
      </w:r>
      <w:r w:rsidRPr="00E44F3E">
        <w:t xml:space="preserve">. 2019. Pembrolizumab in </w:t>
      </w:r>
      <w:r w:rsidR="005123A6" w:rsidRPr="00E44F3E">
        <w:t xml:space="preserve">relapsed or refractory primary mediastinal large </w:t>
      </w:r>
      <w:r w:rsidRPr="00E44F3E">
        <w:t>B-</w:t>
      </w:r>
      <w:r w:rsidR="005123A6" w:rsidRPr="00E44F3E">
        <w:t>cell lymphoma</w:t>
      </w:r>
      <w:r w:rsidRPr="00E44F3E">
        <w:t xml:space="preserve">. </w:t>
      </w:r>
      <w:r w:rsidR="00E96828" w:rsidRPr="00E96828">
        <w:rPr>
          <w:i/>
        </w:rPr>
        <w:t xml:space="preserve">Journal of Clinical Oncology </w:t>
      </w:r>
      <w:r w:rsidRPr="003436CC">
        <w:rPr>
          <w:iCs/>
        </w:rPr>
        <w:t>37</w:t>
      </w:r>
      <w:r w:rsidRPr="00E44F3E">
        <w:t>(34)</w:t>
      </w:r>
      <w:r w:rsidR="00594132">
        <w:t>:</w:t>
      </w:r>
      <w:r w:rsidRPr="00E44F3E">
        <w:t xml:space="preserve"> 3291</w:t>
      </w:r>
      <w:r w:rsidR="00FE7220">
        <w:t>–</w:t>
      </w:r>
      <w:r w:rsidRPr="00E44F3E">
        <w:t xml:space="preserve">9. </w:t>
      </w:r>
      <w:r w:rsidR="00713D7C">
        <w:t xml:space="preserve">URL: </w:t>
      </w:r>
      <w:hyperlink r:id="rId103" w:history="1">
        <w:r w:rsidR="006D19D7" w:rsidRPr="00E44F3E">
          <w:rPr>
            <w:rStyle w:val="Hyperlink"/>
          </w:rPr>
          <w:t>https://doi.org/10.1200/jco.19.01389</w:t>
        </w:r>
      </w:hyperlink>
      <w:r w:rsidR="006D19D7" w:rsidRPr="00E44F3E">
        <w:t xml:space="preserve"> </w:t>
      </w:r>
      <w:r w:rsidR="00713D7C" w:rsidRPr="00713D7C">
        <w:t>(accessed 11 September 2024).</w:t>
      </w:r>
    </w:p>
    <w:p w14:paraId="25632FBF" w14:textId="6B53DDE8" w:rsidR="00303303" w:rsidRPr="00000BA2" w:rsidRDefault="00303303" w:rsidP="00303303">
      <w:pPr>
        <w:pStyle w:val="References"/>
        <w:rPr>
          <w:bCs/>
        </w:rPr>
      </w:pPr>
      <w:r w:rsidRPr="00E44F3E">
        <w:t xml:space="preserve">Australian Government Department of Health and Aged Care. 2023. </w:t>
      </w:r>
      <w:r w:rsidRPr="00E44F3E">
        <w:rPr>
          <w:i/>
        </w:rPr>
        <w:t>Pharmaceutical Benefits Scheme (PBS) Expenditure &amp; Prescriptions Report 1 July 2022 to 30 June 2023</w:t>
      </w:r>
      <w:r w:rsidRPr="00E44F3E">
        <w:t xml:space="preserve">. </w:t>
      </w:r>
      <w:r w:rsidR="00713D7C">
        <w:t xml:space="preserve">URL: </w:t>
      </w:r>
      <w:hyperlink r:id="rId104" w:history="1">
        <w:r w:rsidR="006D19D7" w:rsidRPr="00E44F3E">
          <w:rPr>
            <w:rStyle w:val="Hyperlink"/>
          </w:rPr>
          <w:t>https://www.pbs.gov.au/statistics/expenditure-prescriptions/2022-2023/PBS-Expenditure-prescriptions-report-2022-23.pdf</w:t>
        </w:r>
      </w:hyperlink>
      <w:r w:rsidR="006D19D7" w:rsidRPr="004C0504">
        <w:rPr>
          <w:bCs/>
        </w:rPr>
        <w:t xml:space="preserve"> </w:t>
      </w:r>
      <w:r w:rsidR="004C0504" w:rsidRPr="004C0504">
        <w:rPr>
          <w:bCs/>
        </w:rPr>
        <w:t>(accessed 11 September 2024).</w:t>
      </w:r>
    </w:p>
    <w:p w14:paraId="4F9834F4" w14:textId="77777777" w:rsidR="00AF6B4D" w:rsidRPr="00C3265C" w:rsidRDefault="00AF6B4D" w:rsidP="00AF6B4D">
      <w:pPr>
        <w:pStyle w:val="References"/>
      </w:pPr>
      <w:bookmarkStart w:id="276" w:name="_Hlk177540953"/>
      <w:r w:rsidRPr="00C3265C">
        <w:t xml:space="preserve">Babar Z-U-D, Gammie T, </w:t>
      </w:r>
      <w:proofErr w:type="spellStart"/>
      <w:r w:rsidRPr="00C3265C">
        <w:t>Seyfoddin</w:t>
      </w:r>
      <w:proofErr w:type="spellEnd"/>
      <w:r w:rsidRPr="00C3265C">
        <w:t xml:space="preserve"> A, et al. 2019. Patient access to medicines in two countries with similar health systems and differing medicines policies: Implications from a comprehensive literature review. </w:t>
      </w:r>
      <w:r w:rsidRPr="00C90736">
        <w:rPr>
          <w:i/>
          <w:iCs/>
        </w:rPr>
        <w:t xml:space="preserve">Research in Social and Administrative Pharmacy </w:t>
      </w:r>
      <w:r w:rsidRPr="00C3265C">
        <w:t xml:space="preserve">15(3): 231–43. </w:t>
      </w:r>
      <w:r>
        <w:t>URL:</w:t>
      </w:r>
      <w:r w:rsidRPr="00C3265C">
        <w:t xml:space="preserve"> </w:t>
      </w:r>
      <w:hyperlink r:id="rId105" w:history="1">
        <w:r w:rsidRPr="00B57EA0">
          <w:rPr>
            <w:rStyle w:val="Hyperlink"/>
          </w:rPr>
          <w:t>https://doi.org/10.1016/j.sapharm.2018.04.006</w:t>
        </w:r>
      </w:hyperlink>
      <w:r>
        <w:t xml:space="preserve"> </w:t>
      </w:r>
      <w:r w:rsidRPr="00C3265C">
        <w:t xml:space="preserve">(accessed </w:t>
      </w:r>
      <w:r>
        <w:t xml:space="preserve">12 September </w:t>
      </w:r>
      <w:r w:rsidRPr="00C3265C">
        <w:t>202</w:t>
      </w:r>
      <w:r>
        <w:t>4</w:t>
      </w:r>
      <w:r w:rsidRPr="00C3265C">
        <w:t xml:space="preserve">). </w:t>
      </w:r>
    </w:p>
    <w:p w14:paraId="1D344677" w14:textId="77777777" w:rsidR="00AF6B4D" w:rsidRPr="00C3265C" w:rsidRDefault="00AF6B4D" w:rsidP="00AF6B4D">
      <w:pPr>
        <w:pStyle w:val="References"/>
      </w:pPr>
      <w:r w:rsidRPr="00C3265C">
        <w:t xml:space="preserve">Babar Z-U-D, Vitry A. 2014. Differences in Australian and New Zealand medicines funding policies. </w:t>
      </w:r>
      <w:r w:rsidRPr="00C90736">
        <w:rPr>
          <w:i/>
          <w:iCs/>
        </w:rPr>
        <w:t>Australian Prescriber</w:t>
      </w:r>
      <w:r w:rsidRPr="00C3265C">
        <w:t xml:space="preserve"> 37(5): 150–1.</w:t>
      </w:r>
      <w:r>
        <w:t xml:space="preserve"> </w:t>
      </w:r>
      <w:r w:rsidRPr="007704B0">
        <w:t>URL:</w:t>
      </w:r>
      <w:r>
        <w:t xml:space="preserve"> </w:t>
      </w:r>
      <w:hyperlink r:id="rId106" w:history="1">
        <w:r w:rsidRPr="00B57EA0">
          <w:rPr>
            <w:rStyle w:val="Hyperlink"/>
          </w:rPr>
          <w:t>https://doi.org/10.18773/austprescr.2014.059</w:t>
        </w:r>
      </w:hyperlink>
      <w:r>
        <w:t xml:space="preserve"> </w:t>
      </w:r>
      <w:r w:rsidRPr="00C3265C">
        <w:t xml:space="preserve">(accessed </w:t>
      </w:r>
      <w:r>
        <w:t xml:space="preserve">12 September </w:t>
      </w:r>
      <w:r w:rsidRPr="00C3265C">
        <w:t>202</w:t>
      </w:r>
      <w:r>
        <w:t>4</w:t>
      </w:r>
      <w:r w:rsidRPr="00C3265C">
        <w:t>).</w:t>
      </w:r>
    </w:p>
    <w:bookmarkEnd w:id="276"/>
    <w:p w14:paraId="692B74C5" w14:textId="081014F9" w:rsidR="00303303" w:rsidRPr="00E44F3E" w:rsidRDefault="00303303" w:rsidP="00303303">
      <w:pPr>
        <w:pStyle w:val="References"/>
      </w:pPr>
      <w:r w:rsidRPr="00E44F3E">
        <w:t>Bach PB. 2009. Limits on Medicare</w:t>
      </w:r>
      <w:r w:rsidR="004650A2" w:rsidRPr="00E44F3E">
        <w:t>’</w:t>
      </w:r>
      <w:r w:rsidRPr="00E44F3E">
        <w:t xml:space="preserve">s ability to control rising spending on cancer drugs. </w:t>
      </w:r>
      <w:r w:rsidR="004566C4">
        <w:rPr>
          <w:i/>
        </w:rPr>
        <w:t>New England Journal of Medicine</w:t>
      </w:r>
      <w:r w:rsidRPr="003436CC">
        <w:t xml:space="preserve"> 360</w:t>
      </w:r>
      <w:r w:rsidRPr="00E44F3E">
        <w:t>(6)</w:t>
      </w:r>
      <w:r w:rsidR="00594132">
        <w:t>:</w:t>
      </w:r>
      <w:r w:rsidRPr="00E44F3E">
        <w:t xml:space="preserve"> 626</w:t>
      </w:r>
      <w:r w:rsidR="00FE7220">
        <w:t>–</w:t>
      </w:r>
      <w:r w:rsidRPr="00E44F3E">
        <w:t xml:space="preserve">33. </w:t>
      </w:r>
      <w:r w:rsidR="00076682">
        <w:t xml:space="preserve">URL: </w:t>
      </w:r>
      <w:hyperlink r:id="rId107" w:history="1">
        <w:r w:rsidR="006D19D7" w:rsidRPr="00E44F3E">
          <w:rPr>
            <w:rStyle w:val="Hyperlink"/>
          </w:rPr>
          <w:t>https://doi.org/10.1056/NEJMhpr0807774</w:t>
        </w:r>
      </w:hyperlink>
      <w:r w:rsidR="006D19D7" w:rsidRPr="004C0504">
        <w:t xml:space="preserve"> </w:t>
      </w:r>
      <w:r w:rsidR="004C0504" w:rsidRPr="004C0504">
        <w:t>(accessed 11 September 2024).</w:t>
      </w:r>
    </w:p>
    <w:p w14:paraId="432BA739" w14:textId="5C351BE4" w:rsidR="00303303" w:rsidRPr="00E44F3E" w:rsidRDefault="00303303" w:rsidP="00303303">
      <w:pPr>
        <w:pStyle w:val="References"/>
      </w:pPr>
      <w:proofErr w:type="spellStart"/>
      <w:r w:rsidRPr="00E44F3E">
        <w:t>Bargou</w:t>
      </w:r>
      <w:proofErr w:type="spellEnd"/>
      <w:r w:rsidRPr="00E44F3E">
        <w:t xml:space="preserve"> RC, </w:t>
      </w:r>
      <w:proofErr w:type="spellStart"/>
      <w:r w:rsidRPr="00E44F3E">
        <w:t>Zugmaier</w:t>
      </w:r>
      <w:proofErr w:type="spellEnd"/>
      <w:r w:rsidRPr="00E44F3E">
        <w:t xml:space="preserve"> G, Bonifacio M, </w:t>
      </w:r>
      <w:r w:rsidR="00522299">
        <w:t>et al</w:t>
      </w:r>
      <w:r w:rsidRPr="00E44F3E">
        <w:t>. 2018. Health-</w:t>
      </w:r>
      <w:r w:rsidR="005123A6" w:rsidRPr="00E44F3E">
        <w:t xml:space="preserve">related quality of life in adults </w:t>
      </w:r>
      <w:r w:rsidRPr="00E44F3E">
        <w:t>with B-</w:t>
      </w:r>
      <w:r w:rsidR="005123A6" w:rsidRPr="00E44F3E">
        <w:t xml:space="preserve">cell precursor acute lymphoblastic </w:t>
      </w:r>
      <w:proofErr w:type="spellStart"/>
      <w:r w:rsidR="005123A6" w:rsidRPr="00E44F3E">
        <w:t>leukemia</w:t>
      </w:r>
      <w:proofErr w:type="spellEnd"/>
      <w:r w:rsidR="005123A6" w:rsidRPr="00E44F3E">
        <w:t xml:space="preserve"> and minimal residual disease treated with blinatumomab. </w:t>
      </w:r>
      <w:r w:rsidRPr="00E44F3E">
        <w:rPr>
          <w:i/>
        </w:rPr>
        <w:t>Blood</w:t>
      </w:r>
      <w:r w:rsidRPr="003436CC">
        <w:t xml:space="preserve"> 132</w:t>
      </w:r>
      <w:r w:rsidR="00594132">
        <w:t>:</w:t>
      </w:r>
      <w:r w:rsidRPr="00E44F3E">
        <w:t xml:space="preserve"> 1377. </w:t>
      </w:r>
      <w:r w:rsidR="001A63E5">
        <w:t xml:space="preserve">URL: </w:t>
      </w:r>
      <w:hyperlink r:id="rId108" w:history="1">
        <w:r w:rsidR="005A6ADD" w:rsidRPr="00335874">
          <w:rPr>
            <w:rStyle w:val="Hyperlink"/>
          </w:rPr>
          <w:t>https://doi.org/10.1182/blood-2018-99-112259</w:t>
        </w:r>
      </w:hyperlink>
      <w:r w:rsidR="001A63E5">
        <w:t xml:space="preserve"> </w:t>
      </w:r>
      <w:r w:rsidR="001A63E5" w:rsidRPr="001A63E5">
        <w:t>(accessed 11 September 2024).</w:t>
      </w:r>
      <w:r w:rsidR="005A6ADD">
        <w:t xml:space="preserve"> </w:t>
      </w:r>
    </w:p>
    <w:p w14:paraId="2D143945" w14:textId="35A9E94C" w:rsidR="00303303" w:rsidRPr="00E44F3E" w:rsidRDefault="00303303" w:rsidP="00303303">
      <w:pPr>
        <w:pStyle w:val="References"/>
      </w:pPr>
      <w:r w:rsidRPr="00E44F3E">
        <w:t xml:space="preserve">Brown JR, Eichhorst B, Hillmen P, </w:t>
      </w:r>
      <w:r w:rsidR="00C45FC2">
        <w:t>et al</w:t>
      </w:r>
      <w:r w:rsidRPr="00E44F3E">
        <w:t xml:space="preserve">. 2023. Zanubrutinib or </w:t>
      </w:r>
      <w:r w:rsidR="005123A6" w:rsidRPr="00E44F3E">
        <w:t xml:space="preserve">ibrutinib in relapsed or refractory chronic lymphocytic </w:t>
      </w:r>
      <w:proofErr w:type="spellStart"/>
      <w:r w:rsidR="005123A6" w:rsidRPr="00E44F3E">
        <w:t>leukemia</w:t>
      </w:r>
      <w:proofErr w:type="spellEnd"/>
      <w:r w:rsidR="005123A6" w:rsidRPr="00E44F3E">
        <w:t xml:space="preserve">. </w:t>
      </w:r>
      <w:r w:rsidR="0066516C" w:rsidRPr="0066516C">
        <w:rPr>
          <w:i/>
        </w:rPr>
        <w:t xml:space="preserve">New England Journal of Medicine </w:t>
      </w:r>
      <w:r w:rsidRPr="003436CC">
        <w:t>388</w:t>
      </w:r>
      <w:r w:rsidRPr="00E44F3E">
        <w:t>(4)</w:t>
      </w:r>
      <w:r w:rsidR="00594132">
        <w:t>:</w:t>
      </w:r>
      <w:r w:rsidRPr="00E44F3E">
        <w:t xml:space="preserve"> 319</w:t>
      </w:r>
      <w:r w:rsidR="00FE7220">
        <w:t>–</w:t>
      </w:r>
      <w:r w:rsidRPr="00E44F3E">
        <w:t xml:space="preserve">32. </w:t>
      </w:r>
      <w:r w:rsidR="0007224F">
        <w:t xml:space="preserve">URL: </w:t>
      </w:r>
      <w:hyperlink r:id="rId109" w:history="1">
        <w:r w:rsidR="006D19D7" w:rsidRPr="00E44F3E">
          <w:rPr>
            <w:rStyle w:val="Hyperlink"/>
          </w:rPr>
          <w:t>https://doi.org/10.1056/NEJMoa2211582</w:t>
        </w:r>
      </w:hyperlink>
      <w:r w:rsidR="00B1682D" w:rsidRPr="004C0504">
        <w:t xml:space="preserve"> </w:t>
      </w:r>
      <w:r w:rsidR="004C0504" w:rsidRPr="004C0504">
        <w:t>(accessed 11 September 2024).</w:t>
      </w:r>
    </w:p>
    <w:p w14:paraId="7BE5CDA0" w14:textId="49CA32A9" w:rsidR="00303303" w:rsidRPr="00E44F3E" w:rsidRDefault="00303303" w:rsidP="00303303">
      <w:pPr>
        <w:pStyle w:val="References"/>
      </w:pPr>
      <w:r w:rsidRPr="00E44F3E">
        <w:t>Byrd JC, Brown JR, O</w:t>
      </w:r>
      <w:r w:rsidR="004650A2" w:rsidRPr="00E44F3E">
        <w:t>’</w:t>
      </w:r>
      <w:r w:rsidRPr="00E44F3E">
        <w:t xml:space="preserve">Brien S, </w:t>
      </w:r>
      <w:r w:rsidR="00C45FC2">
        <w:t>et al</w:t>
      </w:r>
      <w:r w:rsidRPr="00E44F3E">
        <w:t xml:space="preserve">. 2014. Ibrutinib </w:t>
      </w:r>
      <w:r w:rsidR="00542E2E" w:rsidRPr="00E44F3E">
        <w:t xml:space="preserve">versus ofatumumab in previously treated chronic lymphoid </w:t>
      </w:r>
      <w:proofErr w:type="spellStart"/>
      <w:r w:rsidR="00542E2E" w:rsidRPr="00E44F3E">
        <w:t>leukemia</w:t>
      </w:r>
      <w:proofErr w:type="spellEnd"/>
      <w:r w:rsidR="00542E2E" w:rsidRPr="00E44F3E">
        <w:t xml:space="preserve">. </w:t>
      </w:r>
      <w:r w:rsidRPr="00E44F3E">
        <w:rPr>
          <w:i/>
        </w:rPr>
        <w:t>New England Journal of Medicine</w:t>
      </w:r>
      <w:r w:rsidRPr="003436CC">
        <w:t xml:space="preserve"> 371</w:t>
      </w:r>
      <w:r w:rsidRPr="00E44F3E">
        <w:t>(3)</w:t>
      </w:r>
      <w:r w:rsidR="00594132">
        <w:t>:</w:t>
      </w:r>
      <w:r w:rsidRPr="00E44F3E">
        <w:t xml:space="preserve"> 213</w:t>
      </w:r>
      <w:r w:rsidR="00BF7923">
        <w:t>–</w:t>
      </w:r>
      <w:r w:rsidRPr="00E44F3E">
        <w:t xml:space="preserve">23. </w:t>
      </w:r>
      <w:r w:rsidR="0007224F">
        <w:t xml:space="preserve">URL: </w:t>
      </w:r>
      <w:hyperlink r:id="rId110" w:history="1">
        <w:r w:rsidR="00690B63">
          <w:rPr>
            <w:rStyle w:val="Hyperlink"/>
          </w:rPr>
          <w:t>https://doi.org/10.1056/NEJMoa1400376</w:t>
        </w:r>
      </w:hyperlink>
      <w:r w:rsidR="00B1682D" w:rsidRPr="004C0504">
        <w:t xml:space="preserve"> </w:t>
      </w:r>
      <w:r w:rsidR="004C0504" w:rsidRPr="004C0504">
        <w:t>(accessed 11 September 2024).</w:t>
      </w:r>
    </w:p>
    <w:p w14:paraId="3A0E70DB" w14:textId="3CE67929" w:rsidR="00303303" w:rsidRPr="00E44F3E" w:rsidRDefault="00303303" w:rsidP="00D118FC">
      <w:pPr>
        <w:pStyle w:val="References"/>
      </w:pPr>
      <w:r w:rsidRPr="00E44F3E">
        <w:lastRenderedPageBreak/>
        <w:t xml:space="preserve">Cancer Australia. 2022. 5-year relative survival from diagnosis. Australian Government. </w:t>
      </w:r>
      <w:r w:rsidR="0007224F">
        <w:t xml:space="preserve">URL: </w:t>
      </w:r>
      <w:hyperlink r:id="rId111" w:history="1">
        <w:r w:rsidR="006D19D7" w:rsidRPr="00E44F3E">
          <w:rPr>
            <w:rStyle w:val="Hyperlink"/>
          </w:rPr>
          <w:t>https://ncci.canceraustralia.gov.au/outcomes/relative-survival-rate/5-year-relative-survival-diagnosis</w:t>
        </w:r>
      </w:hyperlink>
      <w:r w:rsidR="006D19D7" w:rsidRPr="004C0504">
        <w:t xml:space="preserve"> </w:t>
      </w:r>
      <w:r w:rsidR="004C0504" w:rsidRPr="004C0504">
        <w:t>(accessed 11 September 2024).</w:t>
      </w:r>
    </w:p>
    <w:p w14:paraId="570C539B" w14:textId="03AE1238" w:rsidR="00303303" w:rsidRPr="00E44F3E" w:rsidRDefault="00303303" w:rsidP="00303303">
      <w:pPr>
        <w:pStyle w:val="References"/>
      </w:pPr>
      <w:r w:rsidRPr="00E44F3E">
        <w:t xml:space="preserve">Cancer Research UK. 2023. </w:t>
      </w:r>
      <w:r w:rsidRPr="00E44F3E">
        <w:rPr>
          <w:i/>
        </w:rPr>
        <w:t>Cancer Statistics Data Hub</w:t>
      </w:r>
      <w:r w:rsidR="006F4989">
        <w:rPr>
          <w:i/>
        </w:rPr>
        <w:t>.</w:t>
      </w:r>
      <w:r w:rsidRPr="00E44F3E">
        <w:rPr>
          <w:i/>
        </w:rPr>
        <w:t xml:space="preserve"> </w:t>
      </w:r>
      <w:r w:rsidR="0007224F">
        <w:t xml:space="preserve">URL: </w:t>
      </w:r>
      <w:hyperlink r:id="rId112" w:history="1">
        <w:r w:rsidR="006D19D7" w:rsidRPr="00E44F3E">
          <w:rPr>
            <w:rStyle w:val="Hyperlink"/>
          </w:rPr>
          <w:t>https://crukcancerintelligence.shinyapps.io/CancerStatsDataHub/</w:t>
        </w:r>
      </w:hyperlink>
      <w:r w:rsidR="006D19D7" w:rsidRPr="004C0504">
        <w:t xml:space="preserve"> </w:t>
      </w:r>
      <w:r w:rsidR="004C0504" w:rsidRPr="004C0504">
        <w:t>(accessed 11 September 2024).</w:t>
      </w:r>
    </w:p>
    <w:p w14:paraId="0EF0372E" w14:textId="6A972B8B" w:rsidR="00303303" w:rsidRPr="00E44F3E" w:rsidRDefault="00303303" w:rsidP="00303303">
      <w:pPr>
        <w:pStyle w:val="References"/>
      </w:pPr>
      <w:r w:rsidRPr="00E44F3E">
        <w:t xml:space="preserve">Cancer Research UK. 2024. </w:t>
      </w:r>
      <w:r w:rsidR="00E445A6" w:rsidRPr="00E445A6">
        <w:rPr>
          <w:i/>
        </w:rPr>
        <w:t>Statistics by cancer type</w:t>
      </w:r>
      <w:r w:rsidRPr="00E44F3E">
        <w:t xml:space="preserve">. </w:t>
      </w:r>
      <w:r w:rsidR="0007224F">
        <w:t xml:space="preserve">URL: </w:t>
      </w:r>
      <w:hyperlink r:id="rId113" w:history="1">
        <w:r w:rsidR="006D19D7" w:rsidRPr="00E44F3E">
          <w:rPr>
            <w:rStyle w:val="Hyperlink"/>
          </w:rPr>
          <w:t>https://www.cancerresearchuk.org/health-professional/cancer-statistics/statistics-by-cancer-type</w:t>
        </w:r>
      </w:hyperlink>
      <w:r w:rsidR="006D19D7" w:rsidRPr="007E73C3">
        <w:t xml:space="preserve"> </w:t>
      </w:r>
      <w:r w:rsidR="007E73C3" w:rsidRPr="007E73C3">
        <w:t>(accessed 11 September 2024).</w:t>
      </w:r>
    </w:p>
    <w:p w14:paraId="30819955" w14:textId="5E69E3C9" w:rsidR="00303303" w:rsidRPr="00E44F3E" w:rsidRDefault="00303303" w:rsidP="00303303">
      <w:pPr>
        <w:pStyle w:val="References"/>
      </w:pPr>
      <w:r w:rsidRPr="00E44F3E">
        <w:t>Cortes JE, Kim DW, Pinilla-</w:t>
      </w:r>
      <w:proofErr w:type="spellStart"/>
      <w:r w:rsidRPr="00E44F3E">
        <w:t>Ibarz</w:t>
      </w:r>
      <w:proofErr w:type="spellEnd"/>
      <w:r w:rsidRPr="00E44F3E">
        <w:t xml:space="preserve"> J, </w:t>
      </w:r>
      <w:r w:rsidR="00C45FC2">
        <w:t>et al</w:t>
      </w:r>
      <w:r w:rsidRPr="00E44F3E">
        <w:t xml:space="preserve">. 2013. A phase 2 trial of ponatinib in Philadelphia chromosome-positive </w:t>
      </w:r>
      <w:proofErr w:type="spellStart"/>
      <w:r w:rsidRPr="00E44F3E">
        <w:t>leukemias</w:t>
      </w:r>
      <w:proofErr w:type="spellEnd"/>
      <w:r w:rsidRPr="00E44F3E">
        <w:t xml:space="preserve">. </w:t>
      </w:r>
      <w:r w:rsidR="004C0ACB">
        <w:rPr>
          <w:i/>
        </w:rPr>
        <w:t>New England Journal of Medicine</w:t>
      </w:r>
      <w:r w:rsidRPr="003436CC">
        <w:t xml:space="preserve"> 369</w:t>
      </w:r>
      <w:r w:rsidRPr="00E44F3E">
        <w:t>(19)</w:t>
      </w:r>
      <w:r w:rsidR="00594132">
        <w:t>:</w:t>
      </w:r>
      <w:r w:rsidRPr="00E44F3E">
        <w:t xml:space="preserve"> 1783</w:t>
      </w:r>
      <w:r w:rsidR="00BF7923">
        <w:t>–</w:t>
      </w:r>
      <w:r w:rsidRPr="00E44F3E">
        <w:t xml:space="preserve">96. </w:t>
      </w:r>
      <w:r w:rsidR="0007224F">
        <w:t xml:space="preserve">URL: </w:t>
      </w:r>
      <w:hyperlink r:id="rId114" w:history="1">
        <w:r w:rsidR="00275E3E" w:rsidRPr="00E44F3E">
          <w:rPr>
            <w:rStyle w:val="Hyperlink"/>
          </w:rPr>
          <w:t>https://doi.org/10.1056/NEJMoa1306494</w:t>
        </w:r>
      </w:hyperlink>
      <w:r w:rsidR="00B1682D" w:rsidRPr="007E73C3">
        <w:t xml:space="preserve"> </w:t>
      </w:r>
      <w:r w:rsidR="007E73C3" w:rsidRPr="007E73C3">
        <w:t>(accessed 11 September 2024).</w:t>
      </w:r>
    </w:p>
    <w:p w14:paraId="76E41F80" w14:textId="04CD6499" w:rsidR="00303303" w:rsidRPr="00E44F3E" w:rsidRDefault="00303303" w:rsidP="00303303">
      <w:pPr>
        <w:pStyle w:val="References"/>
      </w:pPr>
      <w:r w:rsidRPr="00E44F3E">
        <w:t>Cortes JE, Kim DW, Pinilla-</w:t>
      </w:r>
      <w:proofErr w:type="spellStart"/>
      <w:r w:rsidRPr="00E44F3E">
        <w:t>Ibarz</w:t>
      </w:r>
      <w:proofErr w:type="spellEnd"/>
      <w:r w:rsidRPr="00E44F3E">
        <w:t xml:space="preserve"> J, </w:t>
      </w:r>
      <w:r w:rsidR="00291E92" w:rsidRPr="00291E92">
        <w:t>et al</w:t>
      </w:r>
      <w:r w:rsidRPr="00E44F3E">
        <w:t xml:space="preserve">. 2018. Ponatinib efficacy and safety in Philadelphia chromosome-positive </w:t>
      </w:r>
      <w:proofErr w:type="spellStart"/>
      <w:r w:rsidRPr="00E44F3E">
        <w:t>leukemia</w:t>
      </w:r>
      <w:proofErr w:type="spellEnd"/>
      <w:r w:rsidRPr="00E44F3E">
        <w:t xml:space="preserve">: final 5-year results of the phase 2 PACE trial. </w:t>
      </w:r>
      <w:r w:rsidRPr="00E44F3E">
        <w:rPr>
          <w:i/>
        </w:rPr>
        <w:t>Blood</w:t>
      </w:r>
      <w:r w:rsidRPr="003436CC">
        <w:t xml:space="preserve"> 132</w:t>
      </w:r>
      <w:r w:rsidRPr="00E44F3E">
        <w:t>(4)</w:t>
      </w:r>
      <w:r w:rsidR="00594132">
        <w:t>:</w:t>
      </w:r>
      <w:r w:rsidRPr="00E44F3E">
        <w:t xml:space="preserve"> 393</w:t>
      </w:r>
      <w:r w:rsidR="00BF7923">
        <w:t>–</w:t>
      </w:r>
      <w:r w:rsidRPr="00E44F3E">
        <w:t xml:space="preserve">404. </w:t>
      </w:r>
      <w:r w:rsidR="0007224F">
        <w:t xml:space="preserve">URL: </w:t>
      </w:r>
      <w:hyperlink r:id="rId115" w:history="1">
        <w:r w:rsidR="00275E3E" w:rsidRPr="00E44F3E">
          <w:rPr>
            <w:rStyle w:val="Hyperlink"/>
          </w:rPr>
          <w:t>https://doi.org/10.1182/blood-2016-09-739086</w:t>
        </w:r>
      </w:hyperlink>
      <w:r w:rsidR="00275E3E" w:rsidRPr="007E73C3">
        <w:t xml:space="preserve"> </w:t>
      </w:r>
      <w:r w:rsidR="007E73C3" w:rsidRPr="007E73C3">
        <w:t>(accessed 11 September 2024).</w:t>
      </w:r>
    </w:p>
    <w:p w14:paraId="7D621A28" w14:textId="62788351" w:rsidR="00D368C0" w:rsidRDefault="00D368C0" w:rsidP="00D368C0">
      <w:pPr>
        <w:pStyle w:val="References"/>
      </w:pPr>
      <w:bookmarkStart w:id="277" w:name="_Hlk177540966"/>
      <w:r w:rsidRPr="00C3265C">
        <w:t xml:space="preserve">Cunningham R, Sarfati D, Stanley J, et al. 2015. Cancer survival in the context of mental illness: a national cohort study. </w:t>
      </w:r>
      <w:r w:rsidRPr="00B85553">
        <w:rPr>
          <w:i/>
          <w:iCs/>
        </w:rPr>
        <w:t>General Hospital Psychiatry</w:t>
      </w:r>
      <w:r w:rsidRPr="00C3265C">
        <w:t xml:space="preserve"> 37(6): 501–6. </w:t>
      </w:r>
      <w:r>
        <w:t>URL</w:t>
      </w:r>
      <w:r w:rsidRPr="00C3265C">
        <w:t xml:space="preserve">: </w:t>
      </w:r>
      <w:hyperlink r:id="rId116" w:history="1">
        <w:r w:rsidRPr="00B57EA0">
          <w:rPr>
            <w:rStyle w:val="Hyperlink"/>
          </w:rPr>
          <w:t>https://doi.org/10.1016/j.genhosppsych.2015.06.003</w:t>
        </w:r>
      </w:hyperlink>
      <w:r>
        <w:t xml:space="preserve"> </w:t>
      </w:r>
      <w:r w:rsidRPr="00C90736">
        <w:t>(accessed 12 September 2024).</w:t>
      </w:r>
    </w:p>
    <w:p w14:paraId="50EAABAB" w14:textId="77777777" w:rsidR="00976030" w:rsidRDefault="00976030" w:rsidP="00976030">
      <w:pPr>
        <w:pStyle w:val="References"/>
      </w:pPr>
      <w:r w:rsidRPr="00C3265C">
        <w:t xml:space="preserve">Davis LE, Bogner E, Coburn NG, et al. 2020. Stage at diagnosis and survival in patients with cancer and a pre-existing mental illness: a meta-analysis. </w:t>
      </w:r>
      <w:r w:rsidRPr="00454AC1">
        <w:rPr>
          <w:i/>
          <w:iCs/>
        </w:rPr>
        <w:t>Journal of Epidemiology and Community Health</w:t>
      </w:r>
      <w:r w:rsidRPr="00C3265C">
        <w:t xml:space="preserve"> 74(1): 84. </w:t>
      </w:r>
      <w:r>
        <w:t xml:space="preserve">URL: </w:t>
      </w:r>
      <w:hyperlink r:id="rId117" w:history="1">
        <w:r w:rsidRPr="00B57EA0">
          <w:rPr>
            <w:rStyle w:val="Hyperlink"/>
          </w:rPr>
          <w:t>https://doi.org/10.1136/jech-2019-212311</w:t>
        </w:r>
      </w:hyperlink>
      <w:r>
        <w:t xml:space="preserve"> </w:t>
      </w:r>
      <w:r w:rsidRPr="00C90736">
        <w:t>(accessed 12 September 2024).</w:t>
      </w:r>
    </w:p>
    <w:bookmarkEnd w:id="277"/>
    <w:p w14:paraId="22B44C3E" w14:textId="39779A87" w:rsidR="00303303" w:rsidRPr="00E44F3E" w:rsidRDefault="00303303" w:rsidP="00303303">
      <w:pPr>
        <w:pStyle w:val="References"/>
      </w:pPr>
      <w:proofErr w:type="spellStart"/>
      <w:r w:rsidRPr="00E44F3E">
        <w:t>Dimopoulos</w:t>
      </w:r>
      <w:proofErr w:type="spellEnd"/>
      <w:r w:rsidRPr="00E44F3E">
        <w:t xml:space="preserve"> M, </w:t>
      </w:r>
      <w:proofErr w:type="spellStart"/>
      <w:r w:rsidRPr="00E44F3E">
        <w:t>Weisel</w:t>
      </w:r>
      <w:proofErr w:type="spellEnd"/>
      <w:r w:rsidRPr="00E44F3E">
        <w:t xml:space="preserve"> K, Moreau P, </w:t>
      </w:r>
      <w:r w:rsidR="00291E92" w:rsidRPr="00291E92">
        <w:t>et al</w:t>
      </w:r>
      <w:r w:rsidRPr="00E44F3E">
        <w:t xml:space="preserve">. 2021. Pomalidomide, bortezomib, and dexamethasone for multiple myeloma previously treated with lenalidomide (OPTIMISMM): outcomes by prior treatment at first relapse. </w:t>
      </w:r>
      <w:proofErr w:type="spellStart"/>
      <w:r w:rsidRPr="00E44F3E">
        <w:rPr>
          <w:i/>
        </w:rPr>
        <w:t>Leukemia</w:t>
      </w:r>
      <w:proofErr w:type="spellEnd"/>
      <w:r w:rsidRPr="003436CC">
        <w:t xml:space="preserve"> 35</w:t>
      </w:r>
      <w:r w:rsidRPr="00E44F3E">
        <w:t>(6)</w:t>
      </w:r>
      <w:r w:rsidR="00594132">
        <w:t>:</w:t>
      </w:r>
      <w:r w:rsidRPr="00E44F3E">
        <w:t xml:space="preserve"> 1722</w:t>
      </w:r>
      <w:r w:rsidR="00BF7923">
        <w:t>–</w:t>
      </w:r>
      <w:r w:rsidRPr="00E44F3E">
        <w:t xml:space="preserve">31. </w:t>
      </w:r>
      <w:r w:rsidR="0007224F">
        <w:t xml:space="preserve">URL: </w:t>
      </w:r>
      <w:hyperlink r:id="rId118" w:history="1">
        <w:r w:rsidR="00275E3E" w:rsidRPr="00E44F3E">
          <w:rPr>
            <w:rStyle w:val="Hyperlink"/>
          </w:rPr>
          <w:t>https://doi.org/10.1038/s41375-020-01021-3</w:t>
        </w:r>
      </w:hyperlink>
      <w:r w:rsidR="00275E3E" w:rsidRPr="007E73C3">
        <w:t xml:space="preserve"> </w:t>
      </w:r>
      <w:r w:rsidR="007E73C3" w:rsidRPr="007E73C3">
        <w:t>(accessed 11 September 2024).</w:t>
      </w:r>
    </w:p>
    <w:p w14:paraId="79DDA503" w14:textId="4ED54D1B" w:rsidR="00303303" w:rsidRPr="00E44F3E" w:rsidRDefault="00303303" w:rsidP="00303303">
      <w:pPr>
        <w:pStyle w:val="References"/>
      </w:pPr>
      <w:proofErr w:type="spellStart"/>
      <w:r w:rsidRPr="00E44F3E">
        <w:t>Dimopoulos</w:t>
      </w:r>
      <w:proofErr w:type="spellEnd"/>
      <w:r w:rsidRPr="00E44F3E">
        <w:t xml:space="preserve"> MA, Goldschmidt H, </w:t>
      </w:r>
      <w:proofErr w:type="spellStart"/>
      <w:r w:rsidRPr="00E44F3E">
        <w:t>Niesvizky</w:t>
      </w:r>
      <w:proofErr w:type="spellEnd"/>
      <w:r w:rsidRPr="00E44F3E">
        <w:t xml:space="preserve"> R, </w:t>
      </w:r>
      <w:r w:rsidR="00291E92" w:rsidRPr="00291E92">
        <w:t>et al</w:t>
      </w:r>
      <w:r w:rsidRPr="00E44F3E">
        <w:t xml:space="preserve">. 2017. Carfilzomib or bortezomib in relapsed or refractory multiple myeloma (ENDEAVOR): an interim overall survival analysis of an </w:t>
      </w:r>
      <w:proofErr w:type="gramStart"/>
      <w:r w:rsidRPr="00E44F3E">
        <w:t>open-label</w:t>
      </w:r>
      <w:proofErr w:type="gramEnd"/>
      <w:r w:rsidRPr="00E44F3E">
        <w:t xml:space="preserve">, randomised, phase 3 trial. </w:t>
      </w:r>
      <w:r w:rsidRPr="00E44F3E">
        <w:rPr>
          <w:i/>
        </w:rPr>
        <w:t>Lancet Oncol</w:t>
      </w:r>
      <w:r w:rsidR="002B4DB4">
        <w:rPr>
          <w:i/>
        </w:rPr>
        <w:t>ogy</w:t>
      </w:r>
      <w:r w:rsidRPr="003436CC">
        <w:t xml:space="preserve"> 18</w:t>
      </w:r>
      <w:r w:rsidRPr="00E44F3E">
        <w:t>(10)</w:t>
      </w:r>
      <w:r w:rsidR="00594132">
        <w:t>:</w:t>
      </w:r>
      <w:r w:rsidRPr="00E44F3E">
        <w:t xml:space="preserve"> 1327</w:t>
      </w:r>
      <w:r w:rsidR="00BF7923">
        <w:t>–</w:t>
      </w:r>
      <w:r w:rsidRPr="00E44F3E">
        <w:t xml:space="preserve">37. </w:t>
      </w:r>
      <w:r w:rsidR="0007224F">
        <w:t xml:space="preserve">URL: </w:t>
      </w:r>
      <w:hyperlink r:id="rId119" w:history="1">
        <w:r w:rsidR="00275E3E" w:rsidRPr="00E44F3E">
          <w:rPr>
            <w:rStyle w:val="Hyperlink"/>
          </w:rPr>
          <w:t>https://doi.org/10.1016/s1470-2045(17)30578-8</w:t>
        </w:r>
      </w:hyperlink>
      <w:r w:rsidR="00275E3E" w:rsidRPr="007E73C3">
        <w:rPr>
          <w:b/>
        </w:rPr>
        <w:t xml:space="preserve"> </w:t>
      </w:r>
      <w:r w:rsidR="0066516C" w:rsidRPr="0066516C">
        <w:t>(accessed 11 September 2024).</w:t>
      </w:r>
    </w:p>
    <w:p w14:paraId="471050A9" w14:textId="3FCF83CC" w:rsidR="00303303" w:rsidRPr="00E44F3E" w:rsidRDefault="00303303" w:rsidP="00303303">
      <w:pPr>
        <w:pStyle w:val="References"/>
      </w:pPr>
      <w:proofErr w:type="spellStart"/>
      <w:r w:rsidRPr="00E44F3E">
        <w:t>Dimopoulos</w:t>
      </w:r>
      <w:proofErr w:type="spellEnd"/>
      <w:r w:rsidRPr="00E44F3E">
        <w:t xml:space="preserve"> MA, </w:t>
      </w:r>
      <w:proofErr w:type="spellStart"/>
      <w:r w:rsidRPr="00E44F3E">
        <w:t>Lonial</w:t>
      </w:r>
      <w:proofErr w:type="spellEnd"/>
      <w:r w:rsidRPr="00E44F3E">
        <w:t xml:space="preserve"> S, White D, </w:t>
      </w:r>
      <w:r w:rsidR="00A67554" w:rsidRPr="00A67554">
        <w:t>et al</w:t>
      </w:r>
      <w:r w:rsidRPr="00E44F3E">
        <w:t xml:space="preserve">. 2020. </w:t>
      </w:r>
      <w:proofErr w:type="spellStart"/>
      <w:r w:rsidRPr="00E44F3E">
        <w:t>Elotuzumab</w:t>
      </w:r>
      <w:proofErr w:type="spellEnd"/>
      <w:r w:rsidRPr="00E44F3E">
        <w:t xml:space="preserve">, lenalidomide, and dexamethasone in RRMM: final overall survival results from the phase 3 randomized ELOQUENT-2 study. </w:t>
      </w:r>
      <w:r w:rsidRPr="00E44F3E">
        <w:rPr>
          <w:i/>
        </w:rPr>
        <w:t>Blood Cancer J</w:t>
      </w:r>
      <w:r w:rsidR="002B4DB4">
        <w:rPr>
          <w:i/>
        </w:rPr>
        <w:t>ournal</w:t>
      </w:r>
      <w:r w:rsidRPr="003436CC">
        <w:t xml:space="preserve"> 10</w:t>
      </w:r>
      <w:r w:rsidRPr="00E44F3E">
        <w:t>(9)</w:t>
      </w:r>
      <w:r w:rsidR="00594132">
        <w:t>:</w:t>
      </w:r>
      <w:r w:rsidRPr="00E44F3E">
        <w:t xml:space="preserve"> 91. </w:t>
      </w:r>
      <w:r w:rsidR="0007224F">
        <w:t xml:space="preserve">URL: </w:t>
      </w:r>
      <w:hyperlink r:id="rId120" w:history="1">
        <w:r w:rsidR="00275E3E" w:rsidRPr="00E44F3E">
          <w:rPr>
            <w:rStyle w:val="Hyperlink"/>
          </w:rPr>
          <w:t>https://doi.org/10.1038/s41408-020-00357-4</w:t>
        </w:r>
      </w:hyperlink>
      <w:r w:rsidR="00275E3E" w:rsidRPr="007E73C3">
        <w:t xml:space="preserve"> </w:t>
      </w:r>
      <w:r w:rsidR="007E73C3" w:rsidRPr="007E73C3">
        <w:t>(accessed 11 September 2024).</w:t>
      </w:r>
    </w:p>
    <w:p w14:paraId="57F344E0" w14:textId="5FC4BF49" w:rsidR="00303303" w:rsidRPr="00E44F3E" w:rsidRDefault="00303303" w:rsidP="00303303">
      <w:pPr>
        <w:pStyle w:val="References"/>
      </w:pPr>
      <w:proofErr w:type="spellStart"/>
      <w:r w:rsidRPr="00E44F3E">
        <w:t>Dimopoulos</w:t>
      </w:r>
      <w:proofErr w:type="spellEnd"/>
      <w:r w:rsidRPr="00E44F3E">
        <w:t xml:space="preserve"> MA, Moreau P, Palumbo A, </w:t>
      </w:r>
      <w:r w:rsidR="00A67554" w:rsidRPr="00A67554">
        <w:t>et al</w:t>
      </w:r>
      <w:r w:rsidRPr="00E44F3E">
        <w:t xml:space="preserve">. 2016. Carfilzomib and dexamethasone versus bortezomib and dexamethasone for patients with relapsed or refractory multiple myeloma (ENDEAVOR): a randomised, phase 3, open-label, multicentre study. </w:t>
      </w:r>
      <w:r w:rsidRPr="00E44F3E">
        <w:rPr>
          <w:i/>
        </w:rPr>
        <w:t>Lancet Oncol</w:t>
      </w:r>
      <w:r w:rsidR="002B4DB4">
        <w:rPr>
          <w:i/>
        </w:rPr>
        <w:t>ogy</w:t>
      </w:r>
      <w:r w:rsidRPr="003436CC">
        <w:t xml:space="preserve"> 17</w:t>
      </w:r>
      <w:r w:rsidRPr="00E44F3E">
        <w:t>(1)</w:t>
      </w:r>
      <w:r w:rsidR="00132717">
        <w:t>:</w:t>
      </w:r>
      <w:r w:rsidRPr="00E44F3E">
        <w:t xml:space="preserve"> 27</w:t>
      </w:r>
      <w:r w:rsidR="00BF7923">
        <w:t>–</w:t>
      </w:r>
      <w:r w:rsidRPr="00E44F3E">
        <w:t xml:space="preserve">38. </w:t>
      </w:r>
      <w:r w:rsidR="0007224F">
        <w:t xml:space="preserve">URL: </w:t>
      </w:r>
      <w:hyperlink r:id="rId121" w:history="1">
        <w:r w:rsidR="00275E3E" w:rsidRPr="00E44F3E">
          <w:rPr>
            <w:rStyle w:val="Hyperlink"/>
          </w:rPr>
          <w:t>https://doi.org/10.1016/s1470-2045(15)00464-7</w:t>
        </w:r>
      </w:hyperlink>
      <w:r w:rsidR="00275E3E" w:rsidRPr="007E73C3">
        <w:t xml:space="preserve"> </w:t>
      </w:r>
      <w:r w:rsidR="007E73C3" w:rsidRPr="007E73C3">
        <w:t>(accessed 11 September 2024).</w:t>
      </w:r>
    </w:p>
    <w:p w14:paraId="2AA62B47" w14:textId="25A513E9" w:rsidR="00303303" w:rsidRPr="00E44F3E" w:rsidRDefault="00303303" w:rsidP="00303303">
      <w:pPr>
        <w:pStyle w:val="References"/>
      </w:pPr>
      <w:proofErr w:type="spellStart"/>
      <w:r w:rsidRPr="00E44F3E">
        <w:t>Dimopoulos</w:t>
      </w:r>
      <w:proofErr w:type="spellEnd"/>
      <w:r w:rsidRPr="00E44F3E">
        <w:t xml:space="preserve"> MA, </w:t>
      </w:r>
      <w:proofErr w:type="spellStart"/>
      <w:r w:rsidRPr="00E44F3E">
        <w:t>Opat</w:t>
      </w:r>
      <w:proofErr w:type="spellEnd"/>
      <w:r w:rsidRPr="00E44F3E">
        <w:t xml:space="preserve"> S, D</w:t>
      </w:r>
      <w:r w:rsidR="004650A2" w:rsidRPr="00E44F3E">
        <w:t>’</w:t>
      </w:r>
      <w:r w:rsidRPr="00E44F3E">
        <w:t xml:space="preserve">Sa S, </w:t>
      </w:r>
      <w:r w:rsidR="00A67554" w:rsidRPr="00A67554">
        <w:t>et al</w:t>
      </w:r>
      <w:r w:rsidRPr="00E44F3E">
        <w:t xml:space="preserve">. 2023. Zanubrutinib </w:t>
      </w:r>
      <w:r w:rsidR="00542E2E" w:rsidRPr="00E44F3E">
        <w:t>versus ibrutinib in symptomatic Waldenström macroglobulinemia</w:t>
      </w:r>
      <w:r w:rsidRPr="00E44F3E">
        <w:t xml:space="preserve">: Final </w:t>
      </w:r>
      <w:r w:rsidR="00542E2E" w:rsidRPr="00E44F3E">
        <w:t xml:space="preserve">analysis from the randomized phase </w:t>
      </w:r>
      <w:r w:rsidRPr="00E44F3E">
        <w:t xml:space="preserve">III ASPEN </w:t>
      </w:r>
      <w:r w:rsidR="00542E2E" w:rsidRPr="00E44F3E">
        <w:t>study</w:t>
      </w:r>
      <w:r w:rsidRPr="00E44F3E">
        <w:t xml:space="preserve">. </w:t>
      </w:r>
      <w:r w:rsidR="002B4DB4">
        <w:rPr>
          <w:i/>
        </w:rPr>
        <w:t>Journal of Clinical Oncology</w:t>
      </w:r>
      <w:r w:rsidRPr="003436CC">
        <w:t xml:space="preserve"> 41</w:t>
      </w:r>
      <w:r w:rsidRPr="00E44F3E">
        <w:t>(33)</w:t>
      </w:r>
      <w:r w:rsidR="00132717">
        <w:t>:</w:t>
      </w:r>
      <w:r w:rsidRPr="00E44F3E">
        <w:t xml:space="preserve"> 5099</w:t>
      </w:r>
      <w:r w:rsidR="00BF7923">
        <w:t>–</w:t>
      </w:r>
      <w:r w:rsidRPr="00E44F3E">
        <w:t xml:space="preserve">5106. </w:t>
      </w:r>
      <w:r w:rsidR="0007224F">
        <w:t xml:space="preserve">URL: </w:t>
      </w:r>
      <w:hyperlink r:id="rId122" w:history="1">
        <w:r w:rsidR="00275E3E" w:rsidRPr="00E44F3E">
          <w:rPr>
            <w:rStyle w:val="Hyperlink"/>
          </w:rPr>
          <w:t>https://doi.org/10.1200/jco.22.02830</w:t>
        </w:r>
      </w:hyperlink>
      <w:r w:rsidR="00275E3E" w:rsidRPr="007E73C3">
        <w:t xml:space="preserve"> </w:t>
      </w:r>
      <w:r w:rsidR="007E73C3" w:rsidRPr="007E73C3">
        <w:t>(accessed 11 September 2024).</w:t>
      </w:r>
    </w:p>
    <w:p w14:paraId="43D71DD5" w14:textId="6D024A2F" w:rsidR="00303303" w:rsidRPr="00E44F3E" w:rsidRDefault="00303303" w:rsidP="00303303">
      <w:pPr>
        <w:pStyle w:val="References"/>
      </w:pPr>
      <w:r w:rsidRPr="00E44F3E">
        <w:lastRenderedPageBreak/>
        <w:t xml:space="preserve">DiNardo CD, Jonas BA, </w:t>
      </w:r>
      <w:proofErr w:type="spellStart"/>
      <w:r w:rsidRPr="00E44F3E">
        <w:t>Pullarkat</w:t>
      </w:r>
      <w:proofErr w:type="spellEnd"/>
      <w:r w:rsidRPr="00E44F3E">
        <w:t xml:space="preserve"> V, </w:t>
      </w:r>
      <w:r w:rsidR="00A67554" w:rsidRPr="00A67554">
        <w:t>et al</w:t>
      </w:r>
      <w:r w:rsidRPr="00E44F3E">
        <w:t>. 2020. Azacitidine and</w:t>
      </w:r>
      <w:r w:rsidR="00542E2E" w:rsidRPr="00E44F3E">
        <w:t xml:space="preserve"> </w:t>
      </w:r>
      <w:proofErr w:type="spellStart"/>
      <w:r w:rsidR="00542E2E" w:rsidRPr="00E44F3E">
        <w:t>venetoclax</w:t>
      </w:r>
      <w:proofErr w:type="spellEnd"/>
      <w:r w:rsidR="00542E2E" w:rsidRPr="00E44F3E">
        <w:t xml:space="preserve"> in previously untreated acute myeloid </w:t>
      </w:r>
      <w:proofErr w:type="spellStart"/>
      <w:r w:rsidR="00542E2E" w:rsidRPr="00E44F3E">
        <w:t>leukemia</w:t>
      </w:r>
      <w:proofErr w:type="spellEnd"/>
      <w:r w:rsidRPr="00E44F3E">
        <w:t xml:space="preserve">. </w:t>
      </w:r>
      <w:r w:rsidRPr="00E44F3E">
        <w:rPr>
          <w:i/>
        </w:rPr>
        <w:t>New England Journal of Medicine</w:t>
      </w:r>
      <w:r w:rsidRPr="003436CC">
        <w:t xml:space="preserve"> 383</w:t>
      </w:r>
      <w:r w:rsidRPr="00E44F3E">
        <w:t>(7)</w:t>
      </w:r>
      <w:r w:rsidR="00132717">
        <w:t>:</w:t>
      </w:r>
      <w:r w:rsidRPr="00E44F3E">
        <w:t xml:space="preserve"> 617</w:t>
      </w:r>
      <w:r w:rsidR="00BF7923">
        <w:t>–</w:t>
      </w:r>
      <w:r w:rsidRPr="00E44F3E">
        <w:t xml:space="preserve">29. </w:t>
      </w:r>
      <w:r w:rsidR="0007224F">
        <w:t xml:space="preserve">URL: </w:t>
      </w:r>
      <w:hyperlink r:id="rId123" w:history="1">
        <w:r w:rsidR="00690B63" w:rsidRPr="00335874">
          <w:rPr>
            <w:rStyle w:val="Hyperlink"/>
          </w:rPr>
          <w:t>https://doi.org/10.1056/NEJMoa2012971</w:t>
        </w:r>
      </w:hyperlink>
      <w:r w:rsidR="00B1682D" w:rsidRPr="007E73C3">
        <w:t xml:space="preserve"> </w:t>
      </w:r>
      <w:r w:rsidR="007E73C3" w:rsidRPr="007E73C3">
        <w:t>(accessed 11 September 2024).</w:t>
      </w:r>
    </w:p>
    <w:p w14:paraId="2EA04275" w14:textId="2D3590E1" w:rsidR="00303303" w:rsidRPr="00E44F3E" w:rsidRDefault="00303303" w:rsidP="00303303">
      <w:pPr>
        <w:pStyle w:val="References"/>
      </w:pPr>
      <w:proofErr w:type="spellStart"/>
      <w:r w:rsidRPr="00E44F3E">
        <w:t>Dreyling</w:t>
      </w:r>
      <w:proofErr w:type="spellEnd"/>
      <w:r w:rsidRPr="00E44F3E">
        <w:t xml:space="preserve"> M, </w:t>
      </w:r>
      <w:proofErr w:type="spellStart"/>
      <w:r w:rsidRPr="00E44F3E">
        <w:t>Jurczak</w:t>
      </w:r>
      <w:proofErr w:type="spellEnd"/>
      <w:r w:rsidRPr="00E44F3E">
        <w:t xml:space="preserve"> W, </w:t>
      </w:r>
      <w:proofErr w:type="spellStart"/>
      <w:r w:rsidRPr="00E44F3E">
        <w:t>Jerkeman</w:t>
      </w:r>
      <w:proofErr w:type="spellEnd"/>
      <w:r w:rsidRPr="00E44F3E">
        <w:t xml:space="preserve"> M, </w:t>
      </w:r>
      <w:r w:rsidR="00A67554" w:rsidRPr="00A67554">
        <w:t>et al</w:t>
      </w:r>
      <w:r w:rsidRPr="00E44F3E">
        <w:t xml:space="preserve">. 2016. Ibrutinib versus </w:t>
      </w:r>
      <w:proofErr w:type="spellStart"/>
      <w:r w:rsidRPr="00E44F3E">
        <w:t>temsirolimus</w:t>
      </w:r>
      <w:proofErr w:type="spellEnd"/>
      <w:r w:rsidRPr="00E44F3E">
        <w:t xml:space="preserve"> in patients with relapsed or refractory mantle-cell lymphoma: an international, randomised, open-label, phase 3 study. </w:t>
      </w:r>
      <w:r w:rsidRPr="00E44F3E">
        <w:rPr>
          <w:i/>
        </w:rPr>
        <w:t>Lancet</w:t>
      </w:r>
      <w:r w:rsidRPr="003436CC">
        <w:t xml:space="preserve"> 387</w:t>
      </w:r>
      <w:r w:rsidRPr="00E44F3E">
        <w:t>(10020)</w:t>
      </w:r>
      <w:r w:rsidR="00132717">
        <w:t>:</w:t>
      </w:r>
      <w:r w:rsidRPr="00E44F3E">
        <w:t xml:space="preserve"> 770</w:t>
      </w:r>
      <w:r w:rsidR="00BF7923">
        <w:t>–</w:t>
      </w:r>
      <w:r w:rsidRPr="00E44F3E">
        <w:t xml:space="preserve">78. </w:t>
      </w:r>
      <w:r w:rsidR="0007224F">
        <w:t xml:space="preserve">URL: </w:t>
      </w:r>
      <w:hyperlink r:id="rId124" w:history="1">
        <w:r w:rsidR="00275E3E" w:rsidRPr="00E44F3E">
          <w:rPr>
            <w:rStyle w:val="Hyperlink"/>
          </w:rPr>
          <w:t>https://doi.org/10.1016/s0140-6736(15)00667-4</w:t>
        </w:r>
      </w:hyperlink>
      <w:r w:rsidR="00B1682D" w:rsidRPr="007E73C3">
        <w:t xml:space="preserve"> </w:t>
      </w:r>
      <w:r w:rsidR="007E73C3" w:rsidRPr="007E73C3">
        <w:t>(accessed 11 September 2024).</w:t>
      </w:r>
    </w:p>
    <w:p w14:paraId="55224052" w14:textId="4795649E" w:rsidR="00303303" w:rsidRPr="00E44F3E" w:rsidRDefault="00303303" w:rsidP="00303303">
      <w:pPr>
        <w:pStyle w:val="References"/>
      </w:pPr>
      <w:r w:rsidRPr="00E44F3E">
        <w:t xml:space="preserve">Dummer R, Prince HM, Whittaker S, </w:t>
      </w:r>
      <w:r w:rsidR="00A67554">
        <w:t>et al</w:t>
      </w:r>
      <w:r w:rsidRPr="00E44F3E">
        <w:t xml:space="preserve">. 2020. Patient-reported quality of life in patients with relapsed/refractory cutaneous T-cell lymphoma: Results from the randomised phase III ALCANZA study. </w:t>
      </w:r>
      <w:r w:rsidR="00651384" w:rsidRPr="00651384">
        <w:rPr>
          <w:i/>
        </w:rPr>
        <w:t>European Journal of Cancer</w:t>
      </w:r>
      <w:r w:rsidRPr="003436CC">
        <w:t xml:space="preserve"> 133</w:t>
      </w:r>
      <w:r w:rsidR="00132717">
        <w:t>:</w:t>
      </w:r>
      <w:r w:rsidRPr="00E44F3E">
        <w:t xml:space="preserve"> 120</w:t>
      </w:r>
      <w:r w:rsidR="00BF7923">
        <w:t>–</w:t>
      </w:r>
      <w:r w:rsidRPr="00E44F3E">
        <w:t xml:space="preserve">30. </w:t>
      </w:r>
      <w:r w:rsidR="0007224F">
        <w:t xml:space="preserve">URL: </w:t>
      </w:r>
      <w:hyperlink r:id="rId125" w:history="1">
        <w:r w:rsidR="00275E3E" w:rsidRPr="00E44F3E">
          <w:rPr>
            <w:rStyle w:val="Hyperlink"/>
          </w:rPr>
          <w:t>https://doi.org/10.1016/j.ejca.2020.04.010</w:t>
        </w:r>
      </w:hyperlink>
      <w:r w:rsidR="00B1682D" w:rsidRPr="007E73C3">
        <w:t xml:space="preserve"> </w:t>
      </w:r>
      <w:r w:rsidR="007E73C3" w:rsidRPr="007E73C3">
        <w:t>(accessed 11 September 2024).</w:t>
      </w:r>
    </w:p>
    <w:p w14:paraId="1E0A5E03" w14:textId="5A4C1E7C" w:rsidR="00303303" w:rsidRPr="00E44F3E" w:rsidRDefault="00303303" w:rsidP="00303303">
      <w:pPr>
        <w:pStyle w:val="References"/>
      </w:pPr>
      <w:r w:rsidRPr="00E44F3E">
        <w:t xml:space="preserve">Durie BGM, </w:t>
      </w:r>
      <w:proofErr w:type="spellStart"/>
      <w:r w:rsidRPr="00E44F3E">
        <w:t>Hoering</w:t>
      </w:r>
      <w:proofErr w:type="spellEnd"/>
      <w:r w:rsidRPr="00E44F3E">
        <w:t xml:space="preserve"> A, Abidi MH, </w:t>
      </w:r>
      <w:r w:rsidR="006B518B" w:rsidRPr="006B518B">
        <w:t>et al</w:t>
      </w:r>
      <w:r w:rsidRPr="00E44F3E">
        <w:t xml:space="preserve">. 2017. Bortezomib with lenalidomide and dexamethasone versus lenalidomide and dexamethasone alone in patients with newly diagnosed myeloma without intent for immediate autologous stem-cell transplant (SWOG S0777): a randomised, open-label, phase 3 trial. </w:t>
      </w:r>
      <w:r w:rsidRPr="00E44F3E">
        <w:rPr>
          <w:i/>
        </w:rPr>
        <w:t>Lancet</w:t>
      </w:r>
      <w:r w:rsidRPr="003436CC">
        <w:t xml:space="preserve"> 389</w:t>
      </w:r>
      <w:r w:rsidRPr="00E44F3E">
        <w:t>(10068)</w:t>
      </w:r>
      <w:r w:rsidR="00132717">
        <w:t>:</w:t>
      </w:r>
      <w:r w:rsidRPr="00E44F3E">
        <w:t xml:space="preserve"> 519</w:t>
      </w:r>
      <w:r w:rsidR="00BF7923">
        <w:t>–</w:t>
      </w:r>
      <w:r w:rsidRPr="00E44F3E">
        <w:t xml:space="preserve">27. </w:t>
      </w:r>
      <w:r w:rsidR="0007224F">
        <w:t xml:space="preserve">URL: </w:t>
      </w:r>
      <w:hyperlink r:id="rId126" w:history="1">
        <w:r w:rsidR="00275E3E" w:rsidRPr="00E44F3E">
          <w:rPr>
            <w:rStyle w:val="Hyperlink"/>
          </w:rPr>
          <w:t>https://doi.org/10.1016/s0140-6736(16)31594-x</w:t>
        </w:r>
      </w:hyperlink>
      <w:r w:rsidR="00B1682D" w:rsidRPr="007E73C3">
        <w:t xml:space="preserve"> </w:t>
      </w:r>
      <w:r w:rsidR="007E73C3" w:rsidRPr="007E73C3">
        <w:t>(accessed 11 September 2024).</w:t>
      </w:r>
    </w:p>
    <w:p w14:paraId="0EC552DD" w14:textId="0565EDD8" w:rsidR="00303303" w:rsidRPr="00E44F3E" w:rsidRDefault="00303303" w:rsidP="00303303">
      <w:pPr>
        <w:pStyle w:val="References"/>
      </w:pPr>
      <w:r w:rsidRPr="00E44F3E">
        <w:t xml:space="preserve">Durie BGM, </w:t>
      </w:r>
      <w:proofErr w:type="spellStart"/>
      <w:r w:rsidRPr="00E44F3E">
        <w:t>Hoering</w:t>
      </w:r>
      <w:proofErr w:type="spellEnd"/>
      <w:r w:rsidRPr="00E44F3E">
        <w:t xml:space="preserve"> A, Sexton R, </w:t>
      </w:r>
      <w:r w:rsidR="006B518B" w:rsidRPr="006B518B">
        <w:t>et al</w:t>
      </w:r>
      <w:r w:rsidRPr="00E44F3E">
        <w:t xml:space="preserve">. 2020. Longer term follow-up of the randomized phase III trial SWOG S0777: bortezomib, lenalidomide and dexamethasone vs. lenalidomide and dexamethasone in patients (Pts) with previously untreated multiple myeloma without an intent for immediate autologous stem cell transplant (ASCT). </w:t>
      </w:r>
      <w:r w:rsidRPr="00E44F3E">
        <w:rPr>
          <w:i/>
        </w:rPr>
        <w:t>Blood Cancer J</w:t>
      </w:r>
      <w:r w:rsidR="00651384">
        <w:rPr>
          <w:i/>
        </w:rPr>
        <w:t>ournal</w:t>
      </w:r>
      <w:r w:rsidRPr="003436CC">
        <w:t xml:space="preserve"> 10</w:t>
      </w:r>
      <w:r w:rsidRPr="00E44F3E">
        <w:t>(5)</w:t>
      </w:r>
      <w:r w:rsidR="00132717">
        <w:t>:</w:t>
      </w:r>
      <w:r w:rsidRPr="00E44F3E">
        <w:t xml:space="preserve"> 53. </w:t>
      </w:r>
      <w:r w:rsidR="0007224F">
        <w:t xml:space="preserve">URL: </w:t>
      </w:r>
      <w:hyperlink r:id="rId127" w:history="1">
        <w:r w:rsidR="00275E3E" w:rsidRPr="00E44F3E">
          <w:rPr>
            <w:rStyle w:val="Hyperlink"/>
          </w:rPr>
          <w:t>https://doi.org/10.1038/s41408-020-0311-8</w:t>
        </w:r>
      </w:hyperlink>
      <w:r w:rsidR="00B1682D" w:rsidRPr="007E73C3">
        <w:t xml:space="preserve"> </w:t>
      </w:r>
      <w:r w:rsidR="007E73C3" w:rsidRPr="007E73C3">
        <w:t>(accessed 11 September 2024).</w:t>
      </w:r>
    </w:p>
    <w:p w14:paraId="43089D7C" w14:textId="426FE2A0" w:rsidR="00303303" w:rsidRPr="00E44F3E" w:rsidRDefault="00303303" w:rsidP="00303303">
      <w:pPr>
        <w:pStyle w:val="References"/>
      </w:pPr>
      <w:r w:rsidRPr="00E44F3E">
        <w:t xml:space="preserve">Duvic M, </w:t>
      </w:r>
      <w:proofErr w:type="spellStart"/>
      <w:r w:rsidRPr="00E44F3E">
        <w:t>Talpur</w:t>
      </w:r>
      <w:proofErr w:type="spellEnd"/>
      <w:r w:rsidRPr="00E44F3E">
        <w:t xml:space="preserve"> R, Ni X, </w:t>
      </w:r>
      <w:r w:rsidR="006B518B" w:rsidRPr="006B518B">
        <w:t>et al</w:t>
      </w:r>
      <w:r w:rsidRPr="00E44F3E">
        <w:t xml:space="preserve">. 2007. Phase 2 trial of oral </w:t>
      </w:r>
      <w:proofErr w:type="spellStart"/>
      <w:r w:rsidRPr="00E44F3E">
        <w:t>vorinostat</w:t>
      </w:r>
      <w:proofErr w:type="spellEnd"/>
      <w:r w:rsidRPr="00E44F3E">
        <w:t xml:space="preserve"> (</w:t>
      </w:r>
      <w:proofErr w:type="spellStart"/>
      <w:r w:rsidRPr="00E44F3E">
        <w:t>suberoylanilide</w:t>
      </w:r>
      <w:proofErr w:type="spellEnd"/>
      <w:r w:rsidRPr="00E44F3E">
        <w:t xml:space="preserve"> hydroxamic acid, SAHA) for refractory cutaneous T-cell lymphoma (CTCL). </w:t>
      </w:r>
      <w:r w:rsidRPr="00E44F3E">
        <w:rPr>
          <w:i/>
        </w:rPr>
        <w:t>Blood</w:t>
      </w:r>
      <w:r w:rsidRPr="003436CC">
        <w:t xml:space="preserve"> 109</w:t>
      </w:r>
      <w:r w:rsidRPr="00E44F3E">
        <w:t>(1)</w:t>
      </w:r>
      <w:r w:rsidR="00132717">
        <w:t>:</w:t>
      </w:r>
      <w:r w:rsidRPr="00E44F3E">
        <w:t xml:space="preserve"> 31</w:t>
      </w:r>
      <w:r w:rsidR="00BF7923">
        <w:t>–</w:t>
      </w:r>
      <w:r w:rsidRPr="00E44F3E">
        <w:t xml:space="preserve">9. </w:t>
      </w:r>
      <w:r w:rsidR="0007224F">
        <w:t xml:space="preserve">URL: </w:t>
      </w:r>
      <w:hyperlink r:id="rId128" w:history="1">
        <w:r w:rsidR="00275E3E" w:rsidRPr="00E44F3E">
          <w:rPr>
            <w:rStyle w:val="Hyperlink"/>
          </w:rPr>
          <w:t>https://doi.org/10.1182/blood-2006-06-025999</w:t>
        </w:r>
      </w:hyperlink>
      <w:r w:rsidRPr="007E73C3">
        <w:rPr>
          <w:b/>
        </w:rPr>
        <w:t xml:space="preserve"> </w:t>
      </w:r>
      <w:r w:rsidR="0066516C" w:rsidRPr="0066516C">
        <w:t>(accessed 11 September 2024).</w:t>
      </w:r>
    </w:p>
    <w:p w14:paraId="3C8E768A" w14:textId="13999578" w:rsidR="00303303" w:rsidRPr="00E44F3E" w:rsidRDefault="00303303" w:rsidP="00303303">
      <w:pPr>
        <w:pStyle w:val="References"/>
      </w:pPr>
      <w:r w:rsidRPr="00E44F3E">
        <w:t xml:space="preserve">Ellington TD, Henley SJ, Wilson RJ, </w:t>
      </w:r>
      <w:r w:rsidR="006B518B" w:rsidRPr="006B518B">
        <w:t>et al</w:t>
      </w:r>
      <w:r w:rsidR="006B518B">
        <w:t xml:space="preserve">. </w:t>
      </w:r>
      <w:r w:rsidRPr="00E44F3E">
        <w:t>2023. Cancer survival in the United States 2007</w:t>
      </w:r>
      <w:r w:rsidR="00BF7923">
        <w:t>–</w:t>
      </w:r>
      <w:r w:rsidRPr="00E44F3E">
        <w:t xml:space="preserve">2016: Results from the National Program of Cancer Registries. </w:t>
      </w:r>
      <w:proofErr w:type="spellStart"/>
      <w:r w:rsidRPr="00E44F3E">
        <w:rPr>
          <w:i/>
        </w:rPr>
        <w:t>PLoS</w:t>
      </w:r>
      <w:proofErr w:type="spellEnd"/>
      <w:r w:rsidRPr="00E44F3E">
        <w:rPr>
          <w:i/>
        </w:rPr>
        <w:t xml:space="preserve"> One</w:t>
      </w:r>
      <w:r w:rsidRPr="003436CC">
        <w:t xml:space="preserve"> 18</w:t>
      </w:r>
      <w:r w:rsidRPr="00E44F3E">
        <w:t>(5)</w:t>
      </w:r>
      <w:r w:rsidR="00132717">
        <w:t>:</w:t>
      </w:r>
      <w:r w:rsidRPr="00E44F3E">
        <w:t xml:space="preserve"> e0284051. </w:t>
      </w:r>
      <w:r w:rsidR="0007224F">
        <w:t xml:space="preserve">URL: </w:t>
      </w:r>
      <w:hyperlink r:id="rId129" w:history="1">
        <w:r w:rsidR="00275E3E" w:rsidRPr="00E44F3E">
          <w:rPr>
            <w:rStyle w:val="Hyperlink"/>
          </w:rPr>
          <w:t>https://doi.org/10.1371/journal.pone.0284051</w:t>
        </w:r>
      </w:hyperlink>
      <w:r w:rsidR="00B1682D" w:rsidRPr="007E73C3">
        <w:t xml:space="preserve"> </w:t>
      </w:r>
      <w:r w:rsidR="007E73C3" w:rsidRPr="007E73C3">
        <w:t>(accessed 11 September 2024).</w:t>
      </w:r>
    </w:p>
    <w:p w14:paraId="309CD313" w14:textId="1C7A5621" w:rsidR="00303303" w:rsidRPr="00E44F3E" w:rsidRDefault="00303303" w:rsidP="00303303">
      <w:pPr>
        <w:pStyle w:val="References"/>
      </w:pPr>
      <w:proofErr w:type="spellStart"/>
      <w:r w:rsidRPr="00E44F3E">
        <w:t>Fenaux</w:t>
      </w:r>
      <w:proofErr w:type="spellEnd"/>
      <w:r w:rsidRPr="00E44F3E">
        <w:t xml:space="preserve"> P, </w:t>
      </w:r>
      <w:proofErr w:type="spellStart"/>
      <w:r w:rsidRPr="00E44F3E">
        <w:t>Giagounidis</w:t>
      </w:r>
      <w:proofErr w:type="spellEnd"/>
      <w:r w:rsidRPr="00E44F3E">
        <w:t xml:space="preserve"> A, </w:t>
      </w:r>
      <w:proofErr w:type="spellStart"/>
      <w:r w:rsidRPr="00E44F3E">
        <w:t>Selleslag</w:t>
      </w:r>
      <w:proofErr w:type="spellEnd"/>
      <w:r w:rsidRPr="00E44F3E">
        <w:t xml:space="preserve"> D, </w:t>
      </w:r>
      <w:r w:rsidR="00091F37" w:rsidRPr="00091F37">
        <w:t>et al</w:t>
      </w:r>
      <w:r w:rsidRPr="00E44F3E">
        <w:t xml:space="preserve">. 2011. A randomized phase 3 study of lenalidomide versus placebo in RBC transfusion-dependent patients with Low-/Intermediate-1-risk myelodysplastic syndromes with del5q. </w:t>
      </w:r>
      <w:r w:rsidRPr="00E44F3E">
        <w:rPr>
          <w:i/>
        </w:rPr>
        <w:t>Blood</w:t>
      </w:r>
      <w:r w:rsidRPr="003436CC">
        <w:t xml:space="preserve"> 118</w:t>
      </w:r>
      <w:r w:rsidRPr="00E44F3E">
        <w:t>(14)</w:t>
      </w:r>
      <w:r w:rsidR="00132717">
        <w:t>:</w:t>
      </w:r>
      <w:r w:rsidRPr="00E44F3E">
        <w:t xml:space="preserve"> 3765</w:t>
      </w:r>
      <w:r w:rsidR="00BF7923">
        <w:t>–</w:t>
      </w:r>
      <w:r w:rsidRPr="00E44F3E">
        <w:t xml:space="preserve">76. </w:t>
      </w:r>
      <w:r w:rsidR="0007224F">
        <w:t xml:space="preserve">URL: </w:t>
      </w:r>
      <w:hyperlink r:id="rId130" w:history="1">
        <w:r w:rsidR="00275E3E" w:rsidRPr="00E44F3E">
          <w:rPr>
            <w:rStyle w:val="Hyperlink"/>
          </w:rPr>
          <w:t>https://doi.org/10.1182/blood-2011-01-330126</w:t>
        </w:r>
      </w:hyperlink>
      <w:r w:rsidR="00B1682D" w:rsidRPr="007E73C3">
        <w:t xml:space="preserve"> </w:t>
      </w:r>
      <w:r w:rsidR="007E73C3" w:rsidRPr="007E73C3">
        <w:t>(accessed 11 September 2024).</w:t>
      </w:r>
    </w:p>
    <w:p w14:paraId="0B5A4763" w14:textId="348F25F6" w:rsidR="00303303" w:rsidRPr="00E44F3E" w:rsidRDefault="00303303" w:rsidP="00303303">
      <w:pPr>
        <w:pStyle w:val="References"/>
      </w:pPr>
      <w:r w:rsidRPr="00E44F3E">
        <w:t>Fischer K, Al-</w:t>
      </w:r>
      <w:proofErr w:type="spellStart"/>
      <w:r w:rsidRPr="00E44F3E">
        <w:t>Sawaf</w:t>
      </w:r>
      <w:proofErr w:type="spellEnd"/>
      <w:r w:rsidRPr="00E44F3E">
        <w:t xml:space="preserve"> O, </w:t>
      </w:r>
      <w:proofErr w:type="spellStart"/>
      <w:r w:rsidRPr="00E44F3E">
        <w:t>Bahlo</w:t>
      </w:r>
      <w:proofErr w:type="spellEnd"/>
      <w:r w:rsidRPr="00E44F3E">
        <w:t xml:space="preserve"> J, </w:t>
      </w:r>
      <w:r w:rsidR="00091F37" w:rsidRPr="00091F37">
        <w:t>et al</w:t>
      </w:r>
      <w:r w:rsidRPr="00E44F3E">
        <w:t xml:space="preserve">. 2019. </w:t>
      </w:r>
      <w:proofErr w:type="spellStart"/>
      <w:r w:rsidRPr="00E44F3E">
        <w:t>Venetoclax</w:t>
      </w:r>
      <w:proofErr w:type="spellEnd"/>
      <w:r w:rsidRPr="00E44F3E">
        <w:t xml:space="preserve"> and </w:t>
      </w:r>
      <w:proofErr w:type="spellStart"/>
      <w:r w:rsidR="00A53010" w:rsidRPr="00E44F3E">
        <w:t>obinutuzumab</w:t>
      </w:r>
      <w:proofErr w:type="spellEnd"/>
      <w:r w:rsidR="00A53010" w:rsidRPr="00E44F3E">
        <w:t xml:space="preserve"> in patients </w:t>
      </w:r>
      <w:r w:rsidRPr="00E44F3E">
        <w:t xml:space="preserve">with CLL and </w:t>
      </w:r>
      <w:r w:rsidR="00A53010" w:rsidRPr="00E44F3E">
        <w:t>coexisting conditions</w:t>
      </w:r>
      <w:r w:rsidRPr="00E44F3E">
        <w:t xml:space="preserve">. </w:t>
      </w:r>
      <w:r w:rsidRPr="00E44F3E">
        <w:rPr>
          <w:i/>
        </w:rPr>
        <w:t>New England Journal of Medicine</w:t>
      </w:r>
      <w:r w:rsidRPr="003436CC">
        <w:t xml:space="preserve"> 380</w:t>
      </w:r>
      <w:r w:rsidRPr="00E44F3E">
        <w:t>(23)</w:t>
      </w:r>
      <w:r w:rsidR="00132717">
        <w:t>:</w:t>
      </w:r>
      <w:r w:rsidRPr="00E44F3E">
        <w:t xml:space="preserve"> 2225</w:t>
      </w:r>
      <w:r w:rsidR="00BF7923">
        <w:t>–</w:t>
      </w:r>
      <w:r w:rsidRPr="00E44F3E">
        <w:t xml:space="preserve">36. </w:t>
      </w:r>
      <w:r w:rsidR="0007224F">
        <w:t xml:space="preserve">URL: </w:t>
      </w:r>
      <w:hyperlink r:id="rId131" w:history="1">
        <w:r w:rsidR="00690B63" w:rsidRPr="00335874">
          <w:rPr>
            <w:rStyle w:val="Hyperlink"/>
          </w:rPr>
          <w:t>https://doi.org/10.1056/NEJMoa1815281</w:t>
        </w:r>
      </w:hyperlink>
      <w:r w:rsidR="00AD4974" w:rsidRPr="007E73C3">
        <w:t xml:space="preserve"> </w:t>
      </w:r>
      <w:r w:rsidR="007E73C3" w:rsidRPr="007E73C3">
        <w:t>(accessed 11 September 2024).</w:t>
      </w:r>
    </w:p>
    <w:p w14:paraId="21715F62" w14:textId="74EA1BDB" w:rsidR="00303303" w:rsidRPr="00E44F3E" w:rsidRDefault="00303303" w:rsidP="00303303">
      <w:pPr>
        <w:pStyle w:val="References"/>
      </w:pPr>
      <w:r w:rsidRPr="00E44F3E">
        <w:t xml:space="preserve">Furman RR, Sharman JP, </w:t>
      </w:r>
      <w:proofErr w:type="spellStart"/>
      <w:r w:rsidRPr="00E44F3E">
        <w:t>Coutre</w:t>
      </w:r>
      <w:proofErr w:type="spellEnd"/>
      <w:r w:rsidRPr="00E44F3E">
        <w:t xml:space="preserve"> SE, </w:t>
      </w:r>
      <w:r w:rsidR="00306518" w:rsidRPr="00306518">
        <w:t>et al</w:t>
      </w:r>
      <w:r w:rsidRPr="00E44F3E">
        <w:t xml:space="preserve">. 2014. </w:t>
      </w:r>
      <w:proofErr w:type="spellStart"/>
      <w:r w:rsidRPr="00E44F3E">
        <w:t>Idelalisib</w:t>
      </w:r>
      <w:proofErr w:type="spellEnd"/>
      <w:r w:rsidRPr="00E44F3E">
        <w:t xml:space="preserve"> and rituximab in relapsed chronic lymphocytic </w:t>
      </w:r>
      <w:proofErr w:type="spellStart"/>
      <w:r w:rsidRPr="00E44F3E">
        <w:t>leukemia</w:t>
      </w:r>
      <w:proofErr w:type="spellEnd"/>
      <w:r w:rsidRPr="00E44F3E">
        <w:t xml:space="preserve">. </w:t>
      </w:r>
      <w:r w:rsidR="004C0ACB">
        <w:rPr>
          <w:i/>
        </w:rPr>
        <w:t>New England Journal of Medicine</w:t>
      </w:r>
      <w:r w:rsidRPr="003436CC">
        <w:t xml:space="preserve"> 370</w:t>
      </w:r>
      <w:r w:rsidRPr="00E44F3E">
        <w:t>(11)</w:t>
      </w:r>
      <w:r w:rsidR="00132717">
        <w:t>:</w:t>
      </w:r>
      <w:r w:rsidRPr="00E44F3E">
        <w:t xml:space="preserve"> 997</w:t>
      </w:r>
      <w:r w:rsidR="00BF7923">
        <w:t>–</w:t>
      </w:r>
      <w:r w:rsidRPr="00E44F3E">
        <w:t xml:space="preserve">1007. </w:t>
      </w:r>
      <w:r w:rsidR="0007224F">
        <w:t xml:space="preserve">URL: </w:t>
      </w:r>
      <w:hyperlink r:id="rId132" w:history="1">
        <w:r w:rsidR="00377C94" w:rsidRPr="00E44F3E">
          <w:rPr>
            <w:rStyle w:val="Hyperlink"/>
          </w:rPr>
          <w:t>https://doi.org/10.1056/NEJMoa1315226</w:t>
        </w:r>
      </w:hyperlink>
      <w:r w:rsidR="00377C94" w:rsidRPr="007E73C3">
        <w:rPr>
          <w:b/>
        </w:rPr>
        <w:t xml:space="preserve"> </w:t>
      </w:r>
      <w:r w:rsidR="0066516C" w:rsidRPr="0066516C">
        <w:t>(accessed 11 September 2024).</w:t>
      </w:r>
    </w:p>
    <w:p w14:paraId="1564F1D8" w14:textId="0B657580" w:rsidR="00303303" w:rsidRPr="00E44F3E" w:rsidRDefault="00303303" w:rsidP="00303303">
      <w:pPr>
        <w:pStyle w:val="References"/>
      </w:pPr>
      <w:r w:rsidRPr="00E44F3E">
        <w:t>Garcia-</w:t>
      </w:r>
      <w:proofErr w:type="spellStart"/>
      <w:r w:rsidRPr="00E44F3E">
        <w:t>Manero</w:t>
      </w:r>
      <w:proofErr w:type="spellEnd"/>
      <w:r w:rsidRPr="00E44F3E">
        <w:t xml:space="preserve"> G, McCloskey J, Griffiths EA, </w:t>
      </w:r>
      <w:r w:rsidR="00306518" w:rsidRPr="00306518">
        <w:t>et al</w:t>
      </w:r>
      <w:r w:rsidRPr="00E44F3E">
        <w:t xml:space="preserve">. 2024. </w:t>
      </w:r>
      <w:r w:rsidR="009A7BB9" w:rsidRPr="009A7BB9">
        <w:t>Oral decitabine–</w:t>
      </w:r>
      <w:proofErr w:type="spellStart"/>
      <w:r w:rsidR="009A7BB9" w:rsidRPr="009A7BB9">
        <w:t>cedazuridine</w:t>
      </w:r>
      <w:proofErr w:type="spellEnd"/>
      <w:r w:rsidR="009A7BB9" w:rsidRPr="009A7BB9">
        <w:t xml:space="preserve"> versus intravenous decitabine for myelodysplastic syndromes and chronic myelomonocytic leukaemia (ASCERTAIN): a registrational, randomised, crossover, pharmacokinetics, phase 3 study</w:t>
      </w:r>
      <w:r w:rsidRPr="00E44F3E">
        <w:t xml:space="preserve">. </w:t>
      </w:r>
      <w:r w:rsidRPr="00E44F3E">
        <w:rPr>
          <w:i/>
        </w:rPr>
        <w:t>The Lancet Haematology</w:t>
      </w:r>
      <w:r w:rsidRPr="003436CC">
        <w:t xml:space="preserve"> 11</w:t>
      </w:r>
      <w:r w:rsidRPr="00E44F3E">
        <w:t>(1)</w:t>
      </w:r>
      <w:r w:rsidR="0095261B">
        <w:t>:</w:t>
      </w:r>
      <w:r w:rsidRPr="00E44F3E">
        <w:t xml:space="preserve"> e15</w:t>
      </w:r>
      <w:r w:rsidR="0095261B">
        <w:t>–</w:t>
      </w:r>
      <w:r w:rsidRPr="00E44F3E">
        <w:t xml:space="preserve">26. </w:t>
      </w:r>
      <w:r w:rsidR="0007224F">
        <w:t xml:space="preserve">URL: </w:t>
      </w:r>
      <w:hyperlink r:id="rId133" w:history="1">
        <w:r w:rsidR="00377C94" w:rsidRPr="00E44F3E">
          <w:rPr>
            <w:rStyle w:val="Hyperlink"/>
          </w:rPr>
          <w:t>https://doi.org/10.1016/S2352-3026(23)00338-1</w:t>
        </w:r>
      </w:hyperlink>
      <w:r w:rsidR="00B1682D" w:rsidRPr="007E73C3">
        <w:t xml:space="preserve"> </w:t>
      </w:r>
      <w:r w:rsidR="007E73C3" w:rsidRPr="007E73C3">
        <w:t>(accessed 11 September 2024).</w:t>
      </w:r>
    </w:p>
    <w:p w14:paraId="5C9EAAA2" w14:textId="0BB63E3D" w:rsidR="00303303" w:rsidRPr="00E44F3E" w:rsidRDefault="00303303" w:rsidP="00303303">
      <w:pPr>
        <w:pStyle w:val="References"/>
      </w:pPr>
      <w:r w:rsidRPr="00E44F3E">
        <w:lastRenderedPageBreak/>
        <w:t xml:space="preserve">Ghia P, Barnes G, Yang K, </w:t>
      </w:r>
      <w:r w:rsidR="00306518" w:rsidRPr="00306518">
        <w:t>et al</w:t>
      </w:r>
      <w:r w:rsidRPr="00E44F3E">
        <w:t xml:space="preserve">. 2023. Health-related quality-of-life in treatment-naive CLL/SLL patients treated with </w:t>
      </w:r>
      <w:proofErr w:type="spellStart"/>
      <w:r w:rsidRPr="00E44F3E">
        <w:t>zanubrutinib</w:t>
      </w:r>
      <w:proofErr w:type="spellEnd"/>
      <w:r w:rsidRPr="00E44F3E">
        <w:t xml:space="preserve"> versus </w:t>
      </w:r>
      <w:proofErr w:type="spellStart"/>
      <w:r w:rsidRPr="00E44F3E">
        <w:t>bendamustine</w:t>
      </w:r>
      <w:proofErr w:type="spellEnd"/>
      <w:r w:rsidRPr="00E44F3E">
        <w:t xml:space="preserve"> plus rituximab. </w:t>
      </w:r>
      <w:r w:rsidR="0095261B" w:rsidRPr="0095261B">
        <w:rPr>
          <w:i/>
        </w:rPr>
        <w:t>Current Medical Research and Opinion</w:t>
      </w:r>
      <w:r w:rsidRPr="003436CC">
        <w:t xml:space="preserve"> 39</w:t>
      </w:r>
      <w:r w:rsidRPr="00E44F3E">
        <w:t>(11)</w:t>
      </w:r>
      <w:r w:rsidR="00132717">
        <w:t>:</w:t>
      </w:r>
      <w:r w:rsidRPr="00E44F3E">
        <w:t xml:space="preserve"> 1505</w:t>
      </w:r>
      <w:r w:rsidR="00BF7923">
        <w:t>–</w:t>
      </w:r>
      <w:r w:rsidRPr="00E44F3E">
        <w:t xml:space="preserve">11. </w:t>
      </w:r>
      <w:r w:rsidR="0007224F">
        <w:t xml:space="preserve">URL: </w:t>
      </w:r>
      <w:hyperlink r:id="rId134" w:history="1">
        <w:r w:rsidR="00377C94" w:rsidRPr="00E44F3E">
          <w:rPr>
            <w:rStyle w:val="Hyperlink"/>
          </w:rPr>
          <w:t>https://doi.org/10.1080/03007995.2023.2262381</w:t>
        </w:r>
      </w:hyperlink>
      <w:r w:rsidR="00B1682D" w:rsidRPr="007E73C3">
        <w:t xml:space="preserve"> </w:t>
      </w:r>
      <w:r w:rsidR="007E73C3" w:rsidRPr="007E73C3">
        <w:t>(accessed 11 September 2024).</w:t>
      </w:r>
    </w:p>
    <w:p w14:paraId="4E04E769" w14:textId="52DB882F" w:rsidR="00303303" w:rsidRPr="00E44F3E" w:rsidRDefault="00303303" w:rsidP="00303303">
      <w:pPr>
        <w:pStyle w:val="References"/>
      </w:pPr>
      <w:r w:rsidRPr="00E44F3E">
        <w:t xml:space="preserve">Ghia P, </w:t>
      </w:r>
      <w:proofErr w:type="spellStart"/>
      <w:r w:rsidRPr="00E44F3E">
        <w:t>Coutre</w:t>
      </w:r>
      <w:proofErr w:type="spellEnd"/>
      <w:r w:rsidRPr="00E44F3E">
        <w:t xml:space="preserve"> SE, </w:t>
      </w:r>
      <w:proofErr w:type="spellStart"/>
      <w:r w:rsidRPr="00E44F3E">
        <w:t>Cheson</w:t>
      </w:r>
      <w:proofErr w:type="spellEnd"/>
      <w:r w:rsidRPr="00E44F3E">
        <w:t xml:space="preserve"> BD, </w:t>
      </w:r>
      <w:r w:rsidR="008278EF" w:rsidRPr="008278EF">
        <w:t>et al</w:t>
      </w:r>
      <w:r w:rsidRPr="00E44F3E">
        <w:t xml:space="preserve">. 2020. Impact of </w:t>
      </w:r>
      <w:proofErr w:type="spellStart"/>
      <w:r w:rsidRPr="00E44F3E">
        <w:t>idelalisib</w:t>
      </w:r>
      <w:proofErr w:type="spellEnd"/>
      <w:r w:rsidRPr="00E44F3E">
        <w:t xml:space="preserve"> on health-related quality of life in patients with relapsed chronic lymphocytic </w:t>
      </w:r>
      <w:proofErr w:type="spellStart"/>
      <w:r w:rsidRPr="00E44F3E">
        <w:t>leukemia</w:t>
      </w:r>
      <w:proofErr w:type="spellEnd"/>
      <w:r w:rsidRPr="00E44F3E">
        <w:t xml:space="preserve"> in a phase III randomized trial. </w:t>
      </w:r>
      <w:proofErr w:type="spellStart"/>
      <w:r w:rsidRPr="00E44F3E">
        <w:rPr>
          <w:i/>
        </w:rPr>
        <w:t>Haematologica</w:t>
      </w:r>
      <w:proofErr w:type="spellEnd"/>
      <w:r w:rsidRPr="003436CC">
        <w:t xml:space="preserve"> 105</w:t>
      </w:r>
      <w:r w:rsidRPr="00E44F3E">
        <w:t xml:space="preserve">(10), e519. </w:t>
      </w:r>
      <w:r w:rsidR="0007224F">
        <w:t xml:space="preserve">URL: </w:t>
      </w:r>
      <w:hyperlink r:id="rId135" w:history="1">
        <w:r w:rsidR="00377C94" w:rsidRPr="00E44F3E">
          <w:rPr>
            <w:rStyle w:val="Hyperlink"/>
          </w:rPr>
          <w:t>https://doi.org/10.3324/haematol.2019.238808</w:t>
        </w:r>
      </w:hyperlink>
      <w:r w:rsidR="00377C94" w:rsidRPr="007E73C3">
        <w:rPr>
          <w:b/>
        </w:rPr>
        <w:t xml:space="preserve"> </w:t>
      </w:r>
      <w:r w:rsidR="0066516C" w:rsidRPr="0066516C">
        <w:t>(accessed 11 September 2024).</w:t>
      </w:r>
    </w:p>
    <w:p w14:paraId="2D2E89D4" w14:textId="1E4701AD" w:rsidR="00303303" w:rsidRPr="00E44F3E" w:rsidRDefault="00303303" w:rsidP="00303303">
      <w:pPr>
        <w:pStyle w:val="References"/>
      </w:pPr>
      <w:r w:rsidRPr="00E44F3E">
        <w:t xml:space="preserve">Ghia P, </w:t>
      </w:r>
      <w:proofErr w:type="spellStart"/>
      <w:r w:rsidRPr="00E44F3E">
        <w:t>Pluta</w:t>
      </w:r>
      <w:proofErr w:type="spellEnd"/>
      <w:r w:rsidRPr="00E44F3E">
        <w:t xml:space="preserve"> A, </w:t>
      </w:r>
      <w:proofErr w:type="spellStart"/>
      <w:r w:rsidRPr="00E44F3E">
        <w:t>Wach</w:t>
      </w:r>
      <w:proofErr w:type="spellEnd"/>
      <w:r w:rsidRPr="00E44F3E">
        <w:t xml:space="preserve"> M, </w:t>
      </w:r>
      <w:r w:rsidR="008278EF" w:rsidRPr="008278EF">
        <w:t>et al</w:t>
      </w:r>
      <w:r w:rsidRPr="00E44F3E">
        <w:t xml:space="preserve">. 2020. ASCEND: Phase III, </w:t>
      </w:r>
      <w:r w:rsidR="003B002D" w:rsidRPr="00E44F3E">
        <w:t xml:space="preserve">randomized trial of acalabrutinib versus </w:t>
      </w:r>
      <w:proofErr w:type="spellStart"/>
      <w:r w:rsidR="003B002D" w:rsidRPr="00E44F3E">
        <w:t>idelalisib</w:t>
      </w:r>
      <w:proofErr w:type="spellEnd"/>
      <w:r w:rsidR="003B002D" w:rsidRPr="00E44F3E">
        <w:t xml:space="preserve"> plus rituximab or </w:t>
      </w:r>
      <w:proofErr w:type="spellStart"/>
      <w:r w:rsidR="003B002D" w:rsidRPr="00E44F3E">
        <w:t>bendamustine</w:t>
      </w:r>
      <w:proofErr w:type="spellEnd"/>
      <w:r w:rsidR="003B002D" w:rsidRPr="00E44F3E">
        <w:t xml:space="preserve"> plus rituximab in relapsed or refractory chronic lymphocytic </w:t>
      </w:r>
      <w:proofErr w:type="spellStart"/>
      <w:r w:rsidR="003B002D" w:rsidRPr="00E44F3E">
        <w:t>leukemia</w:t>
      </w:r>
      <w:proofErr w:type="spellEnd"/>
      <w:r w:rsidRPr="00E44F3E">
        <w:t xml:space="preserve">. </w:t>
      </w:r>
      <w:r w:rsidRPr="00E44F3E">
        <w:rPr>
          <w:i/>
        </w:rPr>
        <w:t>Journal of Clinical Oncology</w:t>
      </w:r>
      <w:r w:rsidRPr="003436CC">
        <w:t xml:space="preserve"> 38</w:t>
      </w:r>
      <w:r w:rsidRPr="00E44F3E">
        <w:t>(25)</w:t>
      </w:r>
      <w:r w:rsidR="00132717">
        <w:t>:</w:t>
      </w:r>
      <w:r w:rsidRPr="00E44F3E">
        <w:t xml:space="preserve"> 2849</w:t>
      </w:r>
      <w:r w:rsidR="00BF7923">
        <w:t>–</w:t>
      </w:r>
      <w:r w:rsidRPr="00E44F3E">
        <w:t xml:space="preserve">61. </w:t>
      </w:r>
      <w:r w:rsidR="0007224F">
        <w:t xml:space="preserve">URL: </w:t>
      </w:r>
      <w:hyperlink r:id="rId136" w:history="1">
        <w:r w:rsidR="00377C94" w:rsidRPr="00E44F3E">
          <w:rPr>
            <w:rStyle w:val="Hyperlink"/>
          </w:rPr>
          <w:t>https://doi.org/10.1200/jco.19.03355</w:t>
        </w:r>
      </w:hyperlink>
      <w:r w:rsidR="00B1682D" w:rsidRPr="007E73C3">
        <w:t xml:space="preserve"> </w:t>
      </w:r>
      <w:r w:rsidR="007E73C3" w:rsidRPr="007E73C3">
        <w:t>(accessed 11 September 2024).</w:t>
      </w:r>
    </w:p>
    <w:p w14:paraId="6D6A45F5" w14:textId="3C58B939" w:rsidR="00303303" w:rsidRPr="00E44F3E" w:rsidRDefault="00303303" w:rsidP="00303303">
      <w:pPr>
        <w:pStyle w:val="References"/>
      </w:pPr>
      <w:r w:rsidRPr="00E44F3E">
        <w:t xml:space="preserve">Ghia P, </w:t>
      </w:r>
      <w:proofErr w:type="spellStart"/>
      <w:r w:rsidRPr="00E44F3E">
        <w:t>Pluta</w:t>
      </w:r>
      <w:proofErr w:type="spellEnd"/>
      <w:r w:rsidRPr="00E44F3E">
        <w:t xml:space="preserve"> A, </w:t>
      </w:r>
      <w:proofErr w:type="spellStart"/>
      <w:r w:rsidRPr="00E44F3E">
        <w:t>Wach</w:t>
      </w:r>
      <w:proofErr w:type="spellEnd"/>
      <w:r w:rsidRPr="00E44F3E">
        <w:t xml:space="preserve"> M, </w:t>
      </w:r>
      <w:r w:rsidR="008278EF" w:rsidRPr="008278EF">
        <w:t>et al</w:t>
      </w:r>
      <w:r w:rsidRPr="00E44F3E">
        <w:t xml:space="preserve">. 2022. Acalabrutinib </w:t>
      </w:r>
      <w:r w:rsidR="003B002D" w:rsidRPr="00E44F3E">
        <w:t xml:space="preserve">versus investigator’s choice in relapsed/refractory chronic lymphocytic </w:t>
      </w:r>
      <w:proofErr w:type="spellStart"/>
      <w:r w:rsidR="003B002D" w:rsidRPr="00E44F3E">
        <w:t>leukemia</w:t>
      </w:r>
      <w:proofErr w:type="spellEnd"/>
      <w:r w:rsidRPr="00E44F3E">
        <w:t xml:space="preserve">: Final ASCEND </w:t>
      </w:r>
      <w:r w:rsidR="003B002D" w:rsidRPr="00E44F3E">
        <w:t>trial results</w:t>
      </w:r>
      <w:r w:rsidRPr="00E44F3E">
        <w:t xml:space="preserve">. </w:t>
      </w:r>
      <w:proofErr w:type="spellStart"/>
      <w:r w:rsidRPr="00E44F3E">
        <w:rPr>
          <w:i/>
        </w:rPr>
        <w:t>Hemasphere</w:t>
      </w:r>
      <w:proofErr w:type="spellEnd"/>
      <w:r w:rsidRPr="003436CC">
        <w:t xml:space="preserve"> 6</w:t>
      </w:r>
      <w:r w:rsidRPr="00E44F3E">
        <w:t xml:space="preserve">(12), e801. </w:t>
      </w:r>
      <w:r w:rsidR="0007224F">
        <w:t xml:space="preserve">URL: </w:t>
      </w:r>
      <w:hyperlink r:id="rId137" w:history="1">
        <w:r w:rsidR="00377C94" w:rsidRPr="00E44F3E">
          <w:rPr>
            <w:rStyle w:val="Hyperlink"/>
          </w:rPr>
          <w:t>https://doi.org/10.1097/hs9.0000000000000801</w:t>
        </w:r>
      </w:hyperlink>
      <w:r w:rsidR="00B1682D" w:rsidRPr="007E73C3">
        <w:t xml:space="preserve"> </w:t>
      </w:r>
      <w:r w:rsidR="007E73C3" w:rsidRPr="007E73C3">
        <w:t>(accessed 11 September 2024).</w:t>
      </w:r>
    </w:p>
    <w:p w14:paraId="210AADD5" w14:textId="3C7015EB" w:rsidR="00303303" w:rsidRPr="00E44F3E" w:rsidRDefault="00303303" w:rsidP="00303303">
      <w:pPr>
        <w:pStyle w:val="References"/>
      </w:pPr>
      <w:proofErr w:type="spellStart"/>
      <w:r w:rsidRPr="00E44F3E">
        <w:t>Gökbuget</w:t>
      </w:r>
      <w:proofErr w:type="spellEnd"/>
      <w:r w:rsidRPr="00E44F3E">
        <w:t xml:space="preserve"> N, </w:t>
      </w:r>
      <w:proofErr w:type="spellStart"/>
      <w:r w:rsidRPr="00E44F3E">
        <w:t>Dombret</w:t>
      </w:r>
      <w:proofErr w:type="spellEnd"/>
      <w:r w:rsidRPr="00E44F3E">
        <w:t xml:space="preserve"> H, Bonifacio M, </w:t>
      </w:r>
      <w:r w:rsidR="008278EF" w:rsidRPr="008278EF">
        <w:t>et al</w:t>
      </w:r>
      <w:r w:rsidRPr="00E44F3E">
        <w:t xml:space="preserve">. 2018. Blinatumomab for minimal residual disease in adults with B-cell precursor acute lymphoblastic </w:t>
      </w:r>
      <w:proofErr w:type="spellStart"/>
      <w:r w:rsidRPr="00E44F3E">
        <w:t>leukemia</w:t>
      </w:r>
      <w:proofErr w:type="spellEnd"/>
      <w:r w:rsidRPr="00E44F3E">
        <w:t xml:space="preserve">. </w:t>
      </w:r>
      <w:r w:rsidRPr="00E44F3E">
        <w:rPr>
          <w:i/>
        </w:rPr>
        <w:t>Blood</w:t>
      </w:r>
      <w:r w:rsidRPr="003436CC">
        <w:t xml:space="preserve"> 131</w:t>
      </w:r>
      <w:r w:rsidRPr="00E44F3E">
        <w:t>(14)</w:t>
      </w:r>
      <w:r w:rsidR="00132717">
        <w:t>:</w:t>
      </w:r>
      <w:r w:rsidRPr="00E44F3E">
        <w:t xml:space="preserve"> 1522</w:t>
      </w:r>
      <w:r w:rsidR="00BF7923">
        <w:t>–</w:t>
      </w:r>
      <w:r w:rsidRPr="00E44F3E">
        <w:t xml:space="preserve">31. </w:t>
      </w:r>
      <w:r w:rsidR="0007224F">
        <w:t xml:space="preserve">URL: </w:t>
      </w:r>
      <w:hyperlink r:id="rId138" w:history="1">
        <w:r w:rsidR="00377C94" w:rsidRPr="00E44F3E">
          <w:rPr>
            <w:rStyle w:val="Hyperlink"/>
          </w:rPr>
          <w:t>https://doi.org/10.1182/blood-2017-08-798322</w:t>
        </w:r>
      </w:hyperlink>
      <w:r w:rsidR="00B1682D" w:rsidRPr="007E73C3">
        <w:t xml:space="preserve"> </w:t>
      </w:r>
      <w:r w:rsidR="007E73C3" w:rsidRPr="007E73C3">
        <w:t>(accessed 11 September 2024).</w:t>
      </w:r>
    </w:p>
    <w:p w14:paraId="31BB9886" w14:textId="7995F5B0" w:rsidR="00303303" w:rsidRPr="00E44F3E" w:rsidRDefault="00303303" w:rsidP="00303303">
      <w:pPr>
        <w:pStyle w:val="References"/>
      </w:pPr>
      <w:r w:rsidRPr="00E44F3E">
        <w:t xml:space="preserve">Gopal AK, Kahl BS, de Vos S, </w:t>
      </w:r>
      <w:r w:rsidR="008278EF" w:rsidRPr="008278EF">
        <w:t>et al</w:t>
      </w:r>
      <w:r w:rsidRPr="00E44F3E">
        <w:t xml:space="preserve">. 2014. PI3Kδ inhibition by </w:t>
      </w:r>
      <w:proofErr w:type="spellStart"/>
      <w:r w:rsidRPr="00E44F3E">
        <w:t>idelalisib</w:t>
      </w:r>
      <w:proofErr w:type="spellEnd"/>
      <w:r w:rsidRPr="00E44F3E">
        <w:t xml:space="preserve"> in patients with relapsed indolent lymphoma. </w:t>
      </w:r>
      <w:r w:rsidR="004C0ACB">
        <w:rPr>
          <w:i/>
        </w:rPr>
        <w:t>New England Journal of Medicine</w:t>
      </w:r>
      <w:r w:rsidRPr="003436CC">
        <w:t xml:space="preserve"> 370</w:t>
      </w:r>
      <w:r w:rsidRPr="00E44F3E">
        <w:t>(11)</w:t>
      </w:r>
      <w:r w:rsidR="00132717">
        <w:t>:</w:t>
      </w:r>
      <w:r w:rsidRPr="00E44F3E">
        <w:t xml:space="preserve"> 1008</w:t>
      </w:r>
      <w:r w:rsidR="00BF7923">
        <w:t>–</w:t>
      </w:r>
      <w:r w:rsidRPr="00E44F3E">
        <w:t xml:space="preserve">18. </w:t>
      </w:r>
      <w:r w:rsidR="0007224F">
        <w:t xml:space="preserve">URL: </w:t>
      </w:r>
      <w:hyperlink r:id="rId139" w:history="1">
        <w:r w:rsidR="00377C94" w:rsidRPr="00E44F3E">
          <w:rPr>
            <w:rStyle w:val="Hyperlink"/>
          </w:rPr>
          <w:t>https://doi.org/10.1056/NEJMoa1314583</w:t>
        </w:r>
      </w:hyperlink>
      <w:r w:rsidR="0066516C">
        <w:rPr>
          <w:b/>
        </w:rPr>
        <w:t xml:space="preserve"> </w:t>
      </w:r>
      <w:r w:rsidR="0066516C" w:rsidRPr="0066516C">
        <w:t>(accessed 11 September 2024).</w:t>
      </w:r>
    </w:p>
    <w:p w14:paraId="04D725D9" w14:textId="45BA90CB" w:rsidR="00303303" w:rsidRPr="00E44F3E" w:rsidRDefault="00303303" w:rsidP="00303303">
      <w:pPr>
        <w:pStyle w:val="References"/>
      </w:pPr>
      <w:proofErr w:type="spellStart"/>
      <w:r w:rsidRPr="00E44F3E">
        <w:t>Grosicki</w:t>
      </w:r>
      <w:proofErr w:type="spellEnd"/>
      <w:r w:rsidRPr="00E44F3E">
        <w:t xml:space="preserve"> S, Simonova M, </w:t>
      </w:r>
      <w:proofErr w:type="spellStart"/>
      <w:r w:rsidRPr="00E44F3E">
        <w:t>Spicka</w:t>
      </w:r>
      <w:proofErr w:type="spellEnd"/>
      <w:r w:rsidRPr="00E44F3E">
        <w:t xml:space="preserve"> I, </w:t>
      </w:r>
      <w:r w:rsidR="008278EF" w:rsidRPr="008278EF">
        <w:t>et al</w:t>
      </w:r>
      <w:r w:rsidRPr="00E44F3E">
        <w:t xml:space="preserve">. 2020. Once-per-week </w:t>
      </w:r>
      <w:proofErr w:type="spellStart"/>
      <w:r w:rsidRPr="00E44F3E">
        <w:t>selinexor</w:t>
      </w:r>
      <w:proofErr w:type="spellEnd"/>
      <w:r w:rsidRPr="00E44F3E">
        <w:t xml:space="preserve">, bortezomib, and dexamethasone versus twice-per-week bortezomib and dexamethasone in patients with multiple myeloma (BOSTON): a randomised, open-label, phase 3 trial. </w:t>
      </w:r>
      <w:r w:rsidRPr="00E44F3E">
        <w:rPr>
          <w:i/>
        </w:rPr>
        <w:t>Lancet</w:t>
      </w:r>
      <w:r w:rsidRPr="003436CC">
        <w:t xml:space="preserve"> 396</w:t>
      </w:r>
      <w:r w:rsidRPr="00E44F3E">
        <w:t>(10262)</w:t>
      </w:r>
      <w:r w:rsidR="00132717">
        <w:t>:</w:t>
      </w:r>
      <w:r w:rsidRPr="00E44F3E">
        <w:t xml:space="preserve"> 1563</w:t>
      </w:r>
      <w:r w:rsidR="00BF7923">
        <w:t>–</w:t>
      </w:r>
      <w:r w:rsidRPr="00E44F3E">
        <w:t xml:space="preserve">73. </w:t>
      </w:r>
      <w:r w:rsidR="0007224F">
        <w:t xml:space="preserve">URL: </w:t>
      </w:r>
      <w:hyperlink r:id="rId140" w:history="1">
        <w:r w:rsidR="00377C94" w:rsidRPr="00E44F3E">
          <w:rPr>
            <w:rStyle w:val="Hyperlink"/>
          </w:rPr>
          <w:t>https://doi.org/10.1016/s0140-6736(20)32292-3</w:t>
        </w:r>
      </w:hyperlink>
      <w:r w:rsidR="00B1682D" w:rsidRPr="007E73C3">
        <w:t xml:space="preserve"> </w:t>
      </w:r>
      <w:r w:rsidR="007E73C3" w:rsidRPr="007E73C3">
        <w:t>(accessed 11 September 2024).</w:t>
      </w:r>
    </w:p>
    <w:p w14:paraId="7DCCB1E2" w14:textId="533A7DC6" w:rsidR="00162E0C" w:rsidRPr="00E44F3E" w:rsidRDefault="00162E0C" w:rsidP="00162E0C">
      <w:pPr>
        <w:pStyle w:val="References"/>
      </w:pPr>
      <w:r w:rsidRPr="00E44F3E">
        <w:t xml:space="preserve">Gurney JK, Robson B, Koea J, </w:t>
      </w:r>
      <w:r w:rsidRPr="00162E0C">
        <w:t>et al</w:t>
      </w:r>
      <w:r w:rsidRPr="00E44F3E">
        <w:t xml:space="preserve">. 2020. The </w:t>
      </w:r>
      <w:proofErr w:type="gramStart"/>
      <w:r w:rsidRPr="00E44F3E">
        <w:t>most commonly diagnosed</w:t>
      </w:r>
      <w:proofErr w:type="gramEnd"/>
      <w:r w:rsidRPr="00E44F3E">
        <w:t xml:space="preserve"> and most common causes of cancer death for Māori New Zealanders. </w:t>
      </w:r>
      <w:r w:rsidR="00D03785" w:rsidRPr="00D03785">
        <w:rPr>
          <w:i/>
        </w:rPr>
        <w:t>New Zealand Medical Journal</w:t>
      </w:r>
      <w:r w:rsidRPr="003436CC">
        <w:t xml:space="preserve"> 133</w:t>
      </w:r>
      <w:r w:rsidRPr="00E44F3E">
        <w:t>(1521)</w:t>
      </w:r>
      <w:r w:rsidR="00132717">
        <w:t>:</w:t>
      </w:r>
      <w:r w:rsidRPr="00E44F3E">
        <w:t xml:space="preserve"> 77</w:t>
      </w:r>
      <w:r w:rsidR="00BF7923">
        <w:t>–</w:t>
      </w:r>
      <w:r w:rsidRPr="00E44F3E">
        <w:t xml:space="preserve">96. </w:t>
      </w:r>
      <w:r w:rsidR="0007224F">
        <w:t xml:space="preserve">URL: </w:t>
      </w:r>
      <w:hyperlink r:id="rId141" w:history="1">
        <w:r w:rsidRPr="00335874">
          <w:rPr>
            <w:rStyle w:val="Hyperlink"/>
          </w:rPr>
          <w:t>https://nzmj.org.nz/media/pages/journal/vol-133-no-1521/the-most-commonly-diagnosed-and-most-common-causes-of-cancer-death-for-maori-new-zealanders/efe636a9be-1696476145/the-most-commonly-diagnosed-and-most-common-causes-of-cancer-death-for-maori-new-zealanders-open-access.pdf</w:t>
        </w:r>
      </w:hyperlink>
      <w:r w:rsidRPr="007E73C3">
        <w:rPr>
          <w:b/>
        </w:rPr>
        <w:t xml:space="preserve"> </w:t>
      </w:r>
      <w:r w:rsidR="0066516C" w:rsidRPr="0066516C">
        <w:t>(accessed 11 September 2024).</w:t>
      </w:r>
    </w:p>
    <w:p w14:paraId="4CD3AF27" w14:textId="056491EF" w:rsidR="00303303" w:rsidRPr="00E44F3E" w:rsidRDefault="00303303" w:rsidP="00303303">
      <w:pPr>
        <w:pStyle w:val="References"/>
      </w:pPr>
      <w:r w:rsidRPr="00E44F3E">
        <w:t xml:space="preserve">Gurney J, Stanley J, McLeod M, </w:t>
      </w:r>
      <w:r w:rsidR="008278EF" w:rsidRPr="008278EF">
        <w:t>et al</w:t>
      </w:r>
      <w:r w:rsidRPr="00E44F3E">
        <w:t xml:space="preserve">. 2020. Disparities in </w:t>
      </w:r>
      <w:r w:rsidR="003B002D" w:rsidRPr="00E44F3E">
        <w:t xml:space="preserve">cancer-specific survival between </w:t>
      </w:r>
      <w:r w:rsidRPr="00E44F3E">
        <w:t xml:space="preserve">Māori and </w:t>
      </w:r>
      <w:r w:rsidR="003B002D" w:rsidRPr="00E44F3E">
        <w:t>non</w:t>
      </w:r>
      <w:r w:rsidRPr="00E44F3E">
        <w:t>-Māori New Zealanders, 2007</w:t>
      </w:r>
      <w:r w:rsidR="00BF7923">
        <w:t>–</w:t>
      </w:r>
      <w:r w:rsidRPr="00E44F3E">
        <w:t xml:space="preserve">2016. </w:t>
      </w:r>
      <w:r w:rsidR="00D03785" w:rsidRPr="00D03785">
        <w:rPr>
          <w:i/>
        </w:rPr>
        <w:t>JCO Global Oncology</w:t>
      </w:r>
      <w:r w:rsidRPr="003436CC">
        <w:t xml:space="preserve"> 6</w:t>
      </w:r>
      <w:r w:rsidR="00132717">
        <w:t>:</w:t>
      </w:r>
      <w:r w:rsidRPr="00E44F3E">
        <w:t xml:space="preserve"> 766</w:t>
      </w:r>
      <w:r w:rsidR="00BF7923">
        <w:t>–</w:t>
      </w:r>
      <w:r w:rsidRPr="00E44F3E">
        <w:t xml:space="preserve">74. </w:t>
      </w:r>
      <w:r w:rsidR="0007224F">
        <w:t xml:space="preserve">URL: </w:t>
      </w:r>
      <w:hyperlink r:id="rId142" w:history="1">
        <w:r w:rsidR="00377C94" w:rsidRPr="00E44F3E">
          <w:rPr>
            <w:rStyle w:val="Hyperlink"/>
          </w:rPr>
          <w:t>https://doi.org/10.1200/go.20.00028</w:t>
        </w:r>
      </w:hyperlink>
      <w:r w:rsidR="00B1682D" w:rsidRPr="007E73C3">
        <w:t xml:space="preserve"> </w:t>
      </w:r>
      <w:r w:rsidR="007E73C3" w:rsidRPr="007E73C3">
        <w:t>(accessed 11 September 2024).</w:t>
      </w:r>
    </w:p>
    <w:p w14:paraId="63E43BC2" w14:textId="384D1720" w:rsidR="00DB4C9B" w:rsidRPr="00BB061F" w:rsidRDefault="00435BD1" w:rsidP="00303303">
      <w:pPr>
        <w:pStyle w:val="References"/>
        <w:rPr>
          <w:rStyle w:val="Hyperlink"/>
        </w:rPr>
      </w:pPr>
      <w:r>
        <w:t xml:space="preserve">Hess G, </w:t>
      </w:r>
      <w:proofErr w:type="spellStart"/>
      <w:r>
        <w:t>Herb</w:t>
      </w:r>
      <w:r w:rsidR="00DB4C9B">
        <w:t>echt</w:t>
      </w:r>
      <w:proofErr w:type="spellEnd"/>
      <w:r w:rsidR="00DB4C9B">
        <w:t xml:space="preserve"> R, </w:t>
      </w:r>
      <w:proofErr w:type="spellStart"/>
      <w:r w:rsidR="00DB4C9B">
        <w:t>Romaguera</w:t>
      </w:r>
      <w:proofErr w:type="spellEnd"/>
      <w:r w:rsidR="00DB4C9B">
        <w:t xml:space="preserve"> J, et al. 2009. </w:t>
      </w:r>
      <w:r w:rsidR="00DB4C9B" w:rsidRPr="00DB4C9B">
        <w:t xml:space="preserve">Phase III study to evaluate </w:t>
      </w:r>
      <w:proofErr w:type="spellStart"/>
      <w:r w:rsidR="00DB4C9B" w:rsidRPr="00DB4C9B">
        <w:t>temsirolimus</w:t>
      </w:r>
      <w:proofErr w:type="spellEnd"/>
      <w:r w:rsidR="00DB4C9B" w:rsidRPr="00DB4C9B">
        <w:t xml:space="preserve"> compared with investigator's choice therapy for the treatment of relapsed or refractory mantle cell lymphoma</w:t>
      </w:r>
      <w:r w:rsidR="00DB4C9B">
        <w:t xml:space="preserve">. </w:t>
      </w:r>
      <w:r w:rsidR="00D91F55" w:rsidRPr="00D91F55">
        <w:rPr>
          <w:i/>
          <w:iCs/>
        </w:rPr>
        <w:t>Journal of Clinical Oncology</w:t>
      </w:r>
      <w:r w:rsidR="00D91F55">
        <w:t xml:space="preserve"> 10</w:t>
      </w:r>
      <w:r w:rsidR="0088654E">
        <w:t xml:space="preserve">;27(23) 3822-9. URL: </w:t>
      </w:r>
      <w:r w:rsidR="0088654E" w:rsidRPr="00BB061F">
        <w:rPr>
          <w:rStyle w:val="Hyperlink"/>
        </w:rPr>
        <w:t>Http://</w:t>
      </w:r>
      <w:r w:rsidR="00BB061F" w:rsidRPr="00BB061F">
        <w:rPr>
          <w:rStyle w:val="Hyperlink"/>
        </w:rPr>
        <w:t xml:space="preserve"> </w:t>
      </w:r>
      <w:proofErr w:type="spellStart"/>
      <w:r w:rsidR="00BB061F" w:rsidRPr="00BB061F">
        <w:rPr>
          <w:rStyle w:val="Hyperlink"/>
        </w:rPr>
        <w:t>doi</w:t>
      </w:r>
      <w:proofErr w:type="spellEnd"/>
      <w:r w:rsidR="00BB061F" w:rsidRPr="00BB061F">
        <w:rPr>
          <w:rStyle w:val="Hyperlink"/>
        </w:rPr>
        <w:t>: 10.1200/JCO.2008.20.797y</w:t>
      </w:r>
    </w:p>
    <w:p w14:paraId="6269125F" w14:textId="31F37535" w:rsidR="00303303" w:rsidRPr="00E44F3E" w:rsidRDefault="00303303" w:rsidP="00303303">
      <w:pPr>
        <w:pStyle w:val="References"/>
      </w:pPr>
      <w:proofErr w:type="spellStart"/>
      <w:r w:rsidRPr="00E44F3E">
        <w:lastRenderedPageBreak/>
        <w:t>Hochhaus</w:t>
      </w:r>
      <w:proofErr w:type="spellEnd"/>
      <w:r w:rsidRPr="00E44F3E">
        <w:t xml:space="preserve"> A, </w:t>
      </w:r>
      <w:proofErr w:type="spellStart"/>
      <w:r w:rsidRPr="00E44F3E">
        <w:t>Réa</w:t>
      </w:r>
      <w:proofErr w:type="spellEnd"/>
      <w:r w:rsidRPr="00E44F3E">
        <w:t xml:space="preserve"> D, </w:t>
      </w:r>
      <w:proofErr w:type="spellStart"/>
      <w:r w:rsidRPr="00E44F3E">
        <w:t>Boquimpani</w:t>
      </w:r>
      <w:proofErr w:type="spellEnd"/>
      <w:r w:rsidRPr="00E44F3E">
        <w:t xml:space="preserve"> C, </w:t>
      </w:r>
      <w:r w:rsidR="00162E0C">
        <w:t>et al</w:t>
      </w:r>
      <w:r w:rsidRPr="00E44F3E">
        <w:t xml:space="preserve">. 2023. </w:t>
      </w:r>
      <w:proofErr w:type="spellStart"/>
      <w:r w:rsidRPr="00E44F3E">
        <w:t>Asciminib</w:t>
      </w:r>
      <w:proofErr w:type="spellEnd"/>
      <w:r w:rsidRPr="00E44F3E">
        <w:t xml:space="preserve"> vs bosutinib in chronic-phase chronic myeloid </w:t>
      </w:r>
      <w:proofErr w:type="spellStart"/>
      <w:r w:rsidRPr="00E44F3E">
        <w:t>leukemia</w:t>
      </w:r>
      <w:proofErr w:type="spellEnd"/>
      <w:r w:rsidRPr="00E44F3E">
        <w:t xml:space="preserve"> previously treated with at least two tyrosine kinase inhibitors: longer-term follow-up of ASCEMBL. </w:t>
      </w:r>
      <w:proofErr w:type="spellStart"/>
      <w:r w:rsidRPr="00E44F3E">
        <w:rPr>
          <w:i/>
        </w:rPr>
        <w:t>Leukemia</w:t>
      </w:r>
      <w:proofErr w:type="spellEnd"/>
      <w:r w:rsidRPr="003436CC">
        <w:t xml:space="preserve"> 37</w:t>
      </w:r>
      <w:r w:rsidRPr="00E44F3E">
        <w:t>(3)</w:t>
      </w:r>
      <w:r w:rsidR="00132717">
        <w:t>:</w:t>
      </w:r>
      <w:r w:rsidRPr="00E44F3E">
        <w:t xml:space="preserve"> 617</w:t>
      </w:r>
      <w:r w:rsidR="00BF7923">
        <w:t>–</w:t>
      </w:r>
      <w:r w:rsidRPr="00E44F3E">
        <w:t xml:space="preserve">26. </w:t>
      </w:r>
      <w:r w:rsidR="0007224F">
        <w:t xml:space="preserve">URL: </w:t>
      </w:r>
      <w:hyperlink r:id="rId143" w:history="1">
        <w:r w:rsidR="00377C94" w:rsidRPr="00E44F3E">
          <w:rPr>
            <w:rStyle w:val="Hyperlink"/>
          </w:rPr>
          <w:t>https://doi.org/10.1038/s41375-023-01829-9</w:t>
        </w:r>
      </w:hyperlink>
      <w:r w:rsidR="00B1682D" w:rsidRPr="007E73C3">
        <w:t xml:space="preserve"> </w:t>
      </w:r>
      <w:r w:rsidR="007E73C3" w:rsidRPr="007E73C3">
        <w:t>(accessed 11 September 2024).</w:t>
      </w:r>
    </w:p>
    <w:p w14:paraId="73F2B208" w14:textId="78141E8F" w:rsidR="00303303" w:rsidRPr="00E44F3E" w:rsidRDefault="00303303" w:rsidP="00303303">
      <w:pPr>
        <w:pStyle w:val="References"/>
      </w:pPr>
      <w:r w:rsidRPr="00E44F3E">
        <w:t>Horwitz S, O</w:t>
      </w:r>
      <w:r w:rsidR="004650A2" w:rsidRPr="00E44F3E">
        <w:t>’</w:t>
      </w:r>
      <w:r w:rsidRPr="00E44F3E">
        <w:t xml:space="preserve">Connor OA, Pro B, </w:t>
      </w:r>
      <w:r w:rsidR="00162E0C" w:rsidRPr="00162E0C">
        <w:t>et al</w:t>
      </w:r>
      <w:r w:rsidRPr="00E44F3E">
        <w:t xml:space="preserve">. 2019. Brentuximab </w:t>
      </w:r>
      <w:proofErr w:type="spellStart"/>
      <w:r w:rsidRPr="00E44F3E">
        <w:t>vedotin</w:t>
      </w:r>
      <w:proofErr w:type="spellEnd"/>
      <w:r w:rsidRPr="00E44F3E">
        <w:t xml:space="preserve"> with chemotherapy for CD30-positive peripheral T-cell lymphoma (ECHELON-2): a global, double-blind, randomised, phase 3 trial. </w:t>
      </w:r>
      <w:r w:rsidRPr="00E44F3E">
        <w:rPr>
          <w:i/>
        </w:rPr>
        <w:t>Lancet</w:t>
      </w:r>
      <w:r w:rsidRPr="003436CC">
        <w:t xml:space="preserve"> 393</w:t>
      </w:r>
      <w:r w:rsidRPr="00E44F3E">
        <w:t>(10168)</w:t>
      </w:r>
      <w:r w:rsidR="00132717">
        <w:t>:</w:t>
      </w:r>
      <w:r w:rsidRPr="00E44F3E">
        <w:t xml:space="preserve"> 229</w:t>
      </w:r>
      <w:r w:rsidR="00BF7923">
        <w:t>–</w:t>
      </w:r>
      <w:r w:rsidRPr="00E44F3E">
        <w:t xml:space="preserve">40. </w:t>
      </w:r>
      <w:r w:rsidR="0007224F">
        <w:t xml:space="preserve">URL: </w:t>
      </w:r>
      <w:hyperlink r:id="rId144" w:history="1">
        <w:r w:rsidR="00377C94" w:rsidRPr="00E44F3E">
          <w:rPr>
            <w:rStyle w:val="Hyperlink"/>
          </w:rPr>
          <w:t>https://doi.org/10.1016/s0140-6736(18)32984-2</w:t>
        </w:r>
      </w:hyperlink>
      <w:r w:rsidR="00B1682D" w:rsidRPr="007E73C3">
        <w:t xml:space="preserve"> </w:t>
      </w:r>
      <w:r w:rsidR="007E73C3" w:rsidRPr="007E73C3">
        <w:t>(accessed 11 September 2024).</w:t>
      </w:r>
    </w:p>
    <w:p w14:paraId="40A4CFD9" w14:textId="12E37BA5" w:rsidR="00303303" w:rsidRPr="00E44F3E" w:rsidRDefault="00303303" w:rsidP="00303303">
      <w:pPr>
        <w:pStyle w:val="References"/>
      </w:pPr>
      <w:r w:rsidRPr="00E44F3E">
        <w:t>Horwitz S, O</w:t>
      </w:r>
      <w:r w:rsidR="004650A2" w:rsidRPr="00E44F3E">
        <w:t>’</w:t>
      </w:r>
      <w:r w:rsidRPr="00E44F3E">
        <w:t xml:space="preserve">Connor OA, Pro B, </w:t>
      </w:r>
      <w:r w:rsidR="004F0615" w:rsidRPr="004F0615">
        <w:t>et al</w:t>
      </w:r>
      <w:r w:rsidRPr="00E44F3E">
        <w:t xml:space="preserve">. 2022. The ECHELON-2 Trial: 5-year results of a randomized, phase III study of brentuximab </w:t>
      </w:r>
      <w:proofErr w:type="spellStart"/>
      <w:r w:rsidRPr="00E44F3E">
        <w:t>vedotin</w:t>
      </w:r>
      <w:proofErr w:type="spellEnd"/>
      <w:r w:rsidRPr="00E44F3E">
        <w:t xml:space="preserve"> with chemotherapy for CD30-positive peripheral T-cell lymphoma. </w:t>
      </w:r>
      <w:r w:rsidR="00D03785" w:rsidRPr="00D03785">
        <w:rPr>
          <w:i/>
        </w:rPr>
        <w:t>Annals of Oncology</w:t>
      </w:r>
      <w:r w:rsidRPr="003436CC">
        <w:t xml:space="preserve"> 33</w:t>
      </w:r>
      <w:r w:rsidRPr="00E44F3E">
        <w:t>(3)</w:t>
      </w:r>
      <w:r w:rsidR="00132717">
        <w:t>:</w:t>
      </w:r>
      <w:r w:rsidRPr="00E44F3E">
        <w:t xml:space="preserve"> 288</w:t>
      </w:r>
      <w:r w:rsidR="00BF7923">
        <w:t>–</w:t>
      </w:r>
      <w:r w:rsidRPr="00E44F3E">
        <w:t xml:space="preserve">98. </w:t>
      </w:r>
      <w:r w:rsidR="0007224F">
        <w:t xml:space="preserve">URL: </w:t>
      </w:r>
      <w:hyperlink r:id="rId145" w:history="1">
        <w:r w:rsidR="00377C94" w:rsidRPr="00E44F3E">
          <w:rPr>
            <w:rStyle w:val="Hyperlink"/>
          </w:rPr>
          <w:t>https://doi.org/10.1016/j.annonc.2021.12.002</w:t>
        </w:r>
      </w:hyperlink>
      <w:r w:rsidR="00B1682D" w:rsidRPr="007E73C3">
        <w:t xml:space="preserve"> </w:t>
      </w:r>
      <w:r w:rsidR="007E73C3" w:rsidRPr="007E73C3">
        <w:t>(accessed 11 September 2024).</w:t>
      </w:r>
    </w:p>
    <w:p w14:paraId="0DC683E3" w14:textId="12DD9492" w:rsidR="00303303" w:rsidRPr="00E44F3E" w:rsidRDefault="00303303" w:rsidP="00303303">
      <w:pPr>
        <w:pStyle w:val="References"/>
      </w:pPr>
      <w:r w:rsidRPr="00E44F3E">
        <w:t xml:space="preserve">Horwitz SM, Scarisbrick JJ, Dummer R, </w:t>
      </w:r>
      <w:r w:rsidR="004F0615" w:rsidRPr="004F0615">
        <w:t>et al</w:t>
      </w:r>
      <w:r w:rsidRPr="00E44F3E">
        <w:t xml:space="preserve">. 2021. Randomized phase 3 ALCANZA study of brentuximab </w:t>
      </w:r>
      <w:proofErr w:type="spellStart"/>
      <w:r w:rsidRPr="00E44F3E">
        <w:t>vedotin</w:t>
      </w:r>
      <w:proofErr w:type="spellEnd"/>
      <w:r w:rsidRPr="00E44F3E">
        <w:t xml:space="preserve"> vs physician</w:t>
      </w:r>
      <w:r w:rsidR="004650A2" w:rsidRPr="00E44F3E">
        <w:t>’</w:t>
      </w:r>
      <w:r w:rsidRPr="00E44F3E">
        <w:t xml:space="preserve">s choice in cutaneous T-cell lymphoma: final data. </w:t>
      </w:r>
      <w:r w:rsidRPr="00E44F3E">
        <w:rPr>
          <w:i/>
        </w:rPr>
        <w:t>Blood Adv</w:t>
      </w:r>
      <w:r w:rsidR="00035A68">
        <w:rPr>
          <w:i/>
        </w:rPr>
        <w:t>ances</w:t>
      </w:r>
      <w:r w:rsidRPr="003436CC">
        <w:t xml:space="preserve"> 5</w:t>
      </w:r>
      <w:r w:rsidRPr="00E44F3E">
        <w:t>(23)</w:t>
      </w:r>
      <w:r w:rsidR="00132717">
        <w:t>:</w:t>
      </w:r>
      <w:r w:rsidRPr="00E44F3E">
        <w:t xml:space="preserve"> 5098</w:t>
      </w:r>
      <w:r w:rsidR="00BF7923">
        <w:t>–</w:t>
      </w:r>
      <w:r w:rsidRPr="00E44F3E">
        <w:t xml:space="preserve">5106. </w:t>
      </w:r>
      <w:r w:rsidR="0007224F">
        <w:t xml:space="preserve">URL: </w:t>
      </w:r>
      <w:hyperlink r:id="rId146" w:history="1">
        <w:r w:rsidR="00377C94" w:rsidRPr="00E44F3E">
          <w:rPr>
            <w:rStyle w:val="Hyperlink"/>
          </w:rPr>
          <w:t>https://doi.org/10.1182/bloodadvances.2021004710</w:t>
        </w:r>
      </w:hyperlink>
      <w:r w:rsidR="00B1682D" w:rsidRPr="007E73C3">
        <w:t xml:space="preserve"> </w:t>
      </w:r>
      <w:r w:rsidR="007E73C3" w:rsidRPr="007E73C3">
        <w:t>(accessed 11 September 2024).</w:t>
      </w:r>
    </w:p>
    <w:p w14:paraId="13BE5CF5" w14:textId="517E69D9" w:rsidR="00303303" w:rsidRPr="00E44F3E" w:rsidRDefault="00303303" w:rsidP="00303303">
      <w:pPr>
        <w:pStyle w:val="References"/>
      </w:pPr>
      <w:proofErr w:type="spellStart"/>
      <w:r w:rsidRPr="00E44F3E">
        <w:t>Hungria</w:t>
      </w:r>
      <w:proofErr w:type="spellEnd"/>
      <w:r w:rsidRPr="00E44F3E">
        <w:t xml:space="preserve"> V, </w:t>
      </w:r>
      <w:proofErr w:type="spellStart"/>
      <w:r w:rsidRPr="00E44F3E">
        <w:t>Beksac</w:t>
      </w:r>
      <w:proofErr w:type="spellEnd"/>
      <w:r w:rsidRPr="00E44F3E">
        <w:t xml:space="preserve"> M, </w:t>
      </w:r>
      <w:proofErr w:type="spellStart"/>
      <w:r w:rsidRPr="00E44F3E">
        <w:t>Weisel</w:t>
      </w:r>
      <w:proofErr w:type="spellEnd"/>
      <w:r w:rsidRPr="00E44F3E">
        <w:t xml:space="preserve"> KC, </w:t>
      </w:r>
      <w:r w:rsidR="004F0615" w:rsidRPr="004F0615">
        <w:t>et al</w:t>
      </w:r>
      <w:r w:rsidRPr="00E44F3E">
        <w:t xml:space="preserve">. 2021. Health-related quality of life maintained over time in patients with relapsed or refractory multiple myeloma treated with daratumumab in combination with bortezomib and dexamethasone: results from the phase III CASTOR trial. </w:t>
      </w:r>
      <w:r w:rsidR="00035A68" w:rsidRPr="00035A68">
        <w:rPr>
          <w:i/>
        </w:rPr>
        <w:t>British Journal of Haematology</w:t>
      </w:r>
      <w:r w:rsidRPr="003436CC">
        <w:t xml:space="preserve"> 193</w:t>
      </w:r>
      <w:r w:rsidRPr="00E44F3E">
        <w:t>(3)</w:t>
      </w:r>
      <w:r w:rsidR="00132717">
        <w:t>:</w:t>
      </w:r>
      <w:r w:rsidRPr="00E44F3E">
        <w:t xml:space="preserve"> 561</w:t>
      </w:r>
      <w:r w:rsidR="00BF7923">
        <w:t>–</w:t>
      </w:r>
      <w:r w:rsidRPr="00E44F3E">
        <w:t xml:space="preserve">9. </w:t>
      </w:r>
      <w:r w:rsidR="0007224F">
        <w:t xml:space="preserve">URL: </w:t>
      </w:r>
      <w:hyperlink r:id="rId147" w:history="1">
        <w:r w:rsidR="00377C94" w:rsidRPr="00E44F3E">
          <w:rPr>
            <w:rStyle w:val="Hyperlink"/>
          </w:rPr>
          <w:t>https://doi.org/10.1111/bjh.17321</w:t>
        </w:r>
      </w:hyperlink>
      <w:r w:rsidR="00B1682D" w:rsidRPr="007E73C3">
        <w:t xml:space="preserve"> </w:t>
      </w:r>
      <w:r w:rsidR="007E73C3" w:rsidRPr="007E73C3">
        <w:t>(accessed 11 September 2024).</w:t>
      </w:r>
    </w:p>
    <w:p w14:paraId="0900CD0B" w14:textId="64B5220A" w:rsidR="00303303" w:rsidRPr="00E44F3E" w:rsidRDefault="00303303" w:rsidP="00303303">
      <w:pPr>
        <w:pStyle w:val="References"/>
      </w:pPr>
      <w:r w:rsidRPr="00E44F3E">
        <w:t xml:space="preserve">Hwang TJ, Kesselheim AS, </w:t>
      </w:r>
      <w:proofErr w:type="spellStart"/>
      <w:r w:rsidRPr="00E44F3E">
        <w:t>Tibau</w:t>
      </w:r>
      <w:proofErr w:type="spellEnd"/>
      <w:r w:rsidRPr="00E44F3E">
        <w:t xml:space="preserve"> A, </w:t>
      </w:r>
      <w:r w:rsidR="004F0615" w:rsidRPr="004F0615">
        <w:t>et al</w:t>
      </w:r>
      <w:r w:rsidRPr="00E44F3E">
        <w:t xml:space="preserve">. 2022. Clinical </w:t>
      </w:r>
      <w:r w:rsidR="00735782" w:rsidRPr="00E44F3E">
        <w:t xml:space="preserve">benefit and expedited approval of cancer drugs in </w:t>
      </w:r>
      <w:r w:rsidRPr="00E44F3E">
        <w:t xml:space="preserve">the United States, European Union, Switzerland, Japan, Canada, and Australia. </w:t>
      </w:r>
      <w:r w:rsidR="00035A68" w:rsidRPr="00035A68">
        <w:rPr>
          <w:i/>
        </w:rPr>
        <w:t>JCO Oncology Practice</w:t>
      </w:r>
      <w:r w:rsidRPr="003436CC">
        <w:t xml:space="preserve"> 18</w:t>
      </w:r>
      <w:r w:rsidRPr="00E44F3E">
        <w:t>(9)</w:t>
      </w:r>
      <w:r w:rsidR="00035A68">
        <w:t>:</w:t>
      </w:r>
      <w:r w:rsidRPr="00E44F3E">
        <w:t xml:space="preserve"> e1522</w:t>
      </w:r>
      <w:r w:rsidR="00035A68">
        <w:t>–</w:t>
      </w:r>
      <w:r w:rsidRPr="00E44F3E">
        <w:t xml:space="preserve">32. </w:t>
      </w:r>
      <w:r w:rsidR="0007224F">
        <w:t xml:space="preserve">URL: </w:t>
      </w:r>
      <w:hyperlink r:id="rId148" w:history="1">
        <w:r w:rsidR="00377C94" w:rsidRPr="00E44F3E">
          <w:rPr>
            <w:rStyle w:val="Hyperlink"/>
          </w:rPr>
          <w:t>https://doi.org/10.1200/op.21.00909</w:t>
        </w:r>
      </w:hyperlink>
      <w:r w:rsidR="00B1682D" w:rsidRPr="007E73C3">
        <w:t xml:space="preserve"> </w:t>
      </w:r>
      <w:r w:rsidR="007E73C3" w:rsidRPr="007E73C3">
        <w:t>(accessed 11 September 2024).</w:t>
      </w:r>
    </w:p>
    <w:p w14:paraId="6DBCB5B3" w14:textId="77777777" w:rsidR="00976030" w:rsidRDefault="00976030" w:rsidP="00976030">
      <w:pPr>
        <w:pStyle w:val="References"/>
      </w:pPr>
      <w:bookmarkStart w:id="278" w:name="_Hlk177540992"/>
      <w:proofErr w:type="spellStart"/>
      <w:r w:rsidRPr="00C3265C">
        <w:t>Hynd</w:t>
      </w:r>
      <w:proofErr w:type="spellEnd"/>
      <w:r w:rsidRPr="00C3265C">
        <w:t xml:space="preserve"> A, Roughead EE, Preen DB, et al. 2008. The impact of co-payment increases on </w:t>
      </w:r>
      <w:proofErr w:type="spellStart"/>
      <w:r w:rsidRPr="00C3265C">
        <w:t>dispensings</w:t>
      </w:r>
      <w:proofErr w:type="spellEnd"/>
      <w:r w:rsidRPr="00C3265C">
        <w:t xml:space="preserve"> of government-subsidised medicines in Australia. Pharmacoepidemiology and Drug Safety 17(11): 1091–99. </w:t>
      </w:r>
      <w:r>
        <w:t>URL</w:t>
      </w:r>
      <w:r w:rsidRPr="00C3265C">
        <w:t>:</w:t>
      </w:r>
      <w:r>
        <w:t xml:space="preserve"> </w:t>
      </w:r>
      <w:hyperlink r:id="rId149" w:history="1">
        <w:r w:rsidRPr="00B57EA0">
          <w:rPr>
            <w:rStyle w:val="Hyperlink"/>
          </w:rPr>
          <w:t>https://doi.org/10.1002/pds.1670</w:t>
        </w:r>
      </w:hyperlink>
      <w:r w:rsidRPr="00C3265C">
        <w:t xml:space="preserve"> </w:t>
      </w:r>
      <w:r w:rsidRPr="00C90736">
        <w:t>(accessed 12 September 2024).</w:t>
      </w:r>
    </w:p>
    <w:bookmarkEnd w:id="278"/>
    <w:p w14:paraId="16930A88" w14:textId="4579AC5A" w:rsidR="00303303" w:rsidRPr="00E44F3E" w:rsidRDefault="00303303" w:rsidP="00303303">
      <w:pPr>
        <w:pStyle w:val="References"/>
      </w:pPr>
      <w:proofErr w:type="spellStart"/>
      <w:r w:rsidRPr="00E44F3E">
        <w:t>Kantarjian</w:t>
      </w:r>
      <w:proofErr w:type="spellEnd"/>
      <w:r w:rsidRPr="00E44F3E">
        <w:t xml:space="preserve"> H, Stein A, </w:t>
      </w:r>
      <w:proofErr w:type="spellStart"/>
      <w:r w:rsidRPr="00E44F3E">
        <w:t>Gökbuget</w:t>
      </w:r>
      <w:proofErr w:type="spellEnd"/>
      <w:r w:rsidRPr="00E44F3E">
        <w:t xml:space="preserve"> N, </w:t>
      </w:r>
      <w:r w:rsidR="00710358" w:rsidRPr="00710358">
        <w:t>et al</w:t>
      </w:r>
      <w:r w:rsidRPr="00E44F3E">
        <w:t xml:space="preserve">. 2017. Blinatumomab versus </w:t>
      </w:r>
      <w:r w:rsidR="00735782" w:rsidRPr="00E44F3E">
        <w:t xml:space="preserve">chemotherapy for advanced acute lymphoblastic </w:t>
      </w:r>
      <w:proofErr w:type="spellStart"/>
      <w:r w:rsidR="00735782" w:rsidRPr="00E44F3E">
        <w:t>leukemia</w:t>
      </w:r>
      <w:proofErr w:type="spellEnd"/>
      <w:r w:rsidRPr="00E44F3E">
        <w:t xml:space="preserve">. </w:t>
      </w:r>
      <w:r w:rsidR="004C0ACB">
        <w:rPr>
          <w:i/>
        </w:rPr>
        <w:t>New England Journal of Medicine</w:t>
      </w:r>
      <w:r w:rsidRPr="003436CC">
        <w:t xml:space="preserve"> 376</w:t>
      </w:r>
      <w:r w:rsidRPr="00E44F3E">
        <w:t>(9)</w:t>
      </w:r>
      <w:r w:rsidR="00132717">
        <w:t>:</w:t>
      </w:r>
      <w:r w:rsidRPr="00E44F3E">
        <w:t xml:space="preserve"> 836</w:t>
      </w:r>
      <w:r w:rsidR="00BF7923">
        <w:t>–</w:t>
      </w:r>
      <w:r w:rsidRPr="00E44F3E">
        <w:t xml:space="preserve">47. </w:t>
      </w:r>
      <w:r w:rsidR="0007224F">
        <w:t xml:space="preserve">URL: </w:t>
      </w:r>
      <w:hyperlink r:id="rId150" w:history="1">
        <w:r w:rsidR="00377C94" w:rsidRPr="00E44F3E">
          <w:rPr>
            <w:rStyle w:val="Hyperlink"/>
          </w:rPr>
          <w:t>https://doi.org/10.1056/NEJMoa1609783</w:t>
        </w:r>
      </w:hyperlink>
      <w:r w:rsidR="00B1682D" w:rsidRPr="007E73C3">
        <w:t xml:space="preserve"> </w:t>
      </w:r>
      <w:r w:rsidR="007E73C3" w:rsidRPr="007E73C3">
        <w:t>(accessed 11 September 2024).</w:t>
      </w:r>
    </w:p>
    <w:p w14:paraId="2207C57F" w14:textId="6E1F29F9" w:rsidR="00303303" w:rsidRPr="00E44F3E" w:rsidRDefault="00303303" w:rsidP="00303303">
      <w:pPr>
        <w:pStyle w:val="References"/>
      </w:pPr>
      <w:proofErr w:type="spellStart"/>
      <w:r w:rsidRPr="00E44F3E">
        <w:t>Kantarjian</w:t>
      </w:r>
      <w:proofErr w:type="spellEnd"/>
      <w:r w:rsidRPr="00E44F3E">
        <w:t xml:space="preserve"> HM, DeAngelo DJ, </w:t>
      </w:r>
      <w:proofErr w:type="spellStart"/>
      <w:r w:rsidRPr="00E44F3E">
        <w:t>Stelljes</w:t>
      </w:r>
      <w:proofErr w:type="spellEnd"/>
      <w:r w:rsidRPr="00E44F3E">
        <w:t xml:space="preserve"> M, </w:t>
      </w:r>
      <w:r w:rsidR="00710358" w:rsidRPr="00710358">
        <w:t>et al</w:t>
      </w:r>
      <w:r w:rsidRPr="00E44F3E">
        <w:t xml:space="preserve">. 2019. </w:t>
      </w:r>
      <w:proofErr w:type="spellStart"/>
      <w:r w:rsidRPr="00E44F3E">
        <w:t>Inotuzumab</w:t>
      </w:r>
      <w:proofErr w:type="spellEnd"/>
      <w:r w:rsidRPr="00E44F3E">
        <w:t xml:space="preserve"> </w:t>
      </w:r>
      <w:proofErr w:type="spellStart"/>
      <w:r w:rsidRPr="00E44F3E">
        <w:t>ozogamicin</w:t>
      </w:r>
      <w:proofErr w:type="spellEnd"/>
      <w:r w:rsidRPr="00E44F3E">
        <w:t xml:space="preserve"> versus standard of care in relapsed or refractory acute lymphoblastic </w:t>
      </w:r>
      <w:proofErr w:type="spellStart"/>
      <w:r w:rsidRPr="00E44F3E">
        <w:t>leukemia</w:t>
      </w:r>
      <w:proofErr w:type="spellEnd"/>
      <w:r w:rsidRPr="00E44F3E">
        <w:t xml:space="preserve">: Final report and long-term survival follow-up from the randomized, phase 3 INO-VATE study. </w:t>
      </w:r>
      <w:r w:rsidRPr="00E44F3E">
        <w:rPr>
          <w:i/>
        </w:rPr>
        <w:t>Cancer</w:t>
      </w:r>
      <w:r w:rsidRPr="003436CC">
        <w:t xml:space="preserve"> 125</w:t>
      </w:r>
      <w:r w:rsidRPr="00E44F3E">
        <w:t>(14)</w:t>
      </w:r>
      <w:r w:rsidR="00132717">
        <w:t>:</w:t>
      </w:r>
      <w:r w:rsidRPr="00E44F3E">
        <w:t xml:space="preserve"> 2474</w:t>
      </w:r>
      <w:r w:rsidR="00EB29B8">
        <w:t>–</w:t>
      </w:r>
      <w:r w:rsidRPr="00E44F3E">
        <w:t xml:space="preserve">87. </w:t>
      </w:r>
      <w:r w:rsidR="0007224F">
        <w:t xml:space="preserve">URL: </w:t>
      </w:r>
      <w:hyperlink r:id="rId151" w:history="1">
        <w:r w:rsidR="005727CA" w:rsidRPr="00E44F3E">
          <w:rPr>
            <w:rStyle w:val="Hyperlink"/>
          </w:rPr>
          <w:t>https://doi.org/10.1002/cncr.32116</w:t>
        </w:r>
      </w:hyperlink>
      <w:r w:rsidR="00B1682D" w:rsidRPr="007E73C3">
        <w:t xml:space="preserve"> </w:t>
      </w:r>
      <w:r w:rsidR="007E73C3" w:rsidRPr="007E73C3">
        <w:t>(accessed 11 September 2024).</w:t>
      </w:r>
    </w:p>
    <w:p w14:paraId="1F30548F" w14:textId="65CB7416" w:rsidR="00303303" w:rsidRPr="00E44F3E" w:rsidRDefault="00303303" w:rsidP="00303303">
      <w:pPr>
        <w:pStyle w:val="References"/>
      </w:pPr>
      <w:proofErr w:type="spellStart"/>
      <w:r w:rsidRPr="00E44F3E">
        <w:t>Kantarjian</w:t>
      </w:r>
      <w:proofErr w:type="spellEnd"/>
      <w:r w:rsidRPr="00E44F3E">
        <w:t xml:space="preserve"> HM, DeAngelo DJ, </w:t>
      </w:r>
      <w:proofErr w:type="spellStart"/>
      <w:r w:rsidRPr="00E44F3E">
        <w:t>Stelljes</w:t>
      </w:r>
      <w:proofErr w:type="spellEnd"/>
      <w:r w:rsidRPr="00E44F3E">
        <w:t xml:space="preserve"> M, </w:t>
      </w:r>
      <w:r w:rsidR="00710358" w:rsidRPr="00710358">
        <w:t>et al</w:t>
      </w:r>
      <w:r w:rsidRPr="00E44F3E">
        <w:t xml:space="preserve">. 2016. </w:t>
      </w:r>
      <w:proofErr w:type="spellStart"/>
      <w:r w:rsidRPr="00E44F3E">
        <w:t>Inotuzumab</w:t>
      </w:r>
      <w:proofErr w:type="spellEnd"/>
      <w:r w:rsidRPr="00E44F3E">
        <w:t xml:space="preserve"> </w:t>
      </w:r>
      <w:proofErr w:type="spellStart"/>
      <w:r w:rsidR="00735782" w:rsidRPr="00E44F3E">
        <w:t>ozogamicin</w:t>
      </w:r>
      <w:proofErr w:type="spellEnd"/>
      <w:r w:rsidR="00735782" w:rsidRPr="00E44F3E">
        <w:t xml:space="preserve"> versus standard therapy for acute lymphoblastic </w:t>
      </w:r>
      <w:proofErr w:type="spellStart"/>
      <w:r w:rsidR="00735782" w:rsidRPr="00E44F3E">
        <w:t>leukemia</w:t>
      </w:r>
      <w:proofErr w:type="spellEnd"/>
      <w:r w:rsidRPr="00E44F3E">
        <w:t xml:space="preserve">. </w:t>
      </w:r>
      <w:r w:rsidRPr="00E44F3E">
        <w:rPr>
          <w:i/>
        </w:rPr>
        <w:t>New England Journal of Medicine</w:t>
      </w:r>
      <w:r w:rsidRPr="003436CC">
        <w:t xml:space="preserve"> 375</w:t>
      </w:r>
      <w:r w:rsidRPr="00E44F3E">
        <w:t>(8)</w:t>
      </w:r>
      <w:r w:rsidR="00132717">
        <w:t>:</w:t>
      </w:r>
      <w:r w:rsidRPr="00E44F3E">
        <w:t xml:space="preserve"> 740</w:t>
      </w:r>
      <w:r w:rsidR="00EB29B8">
        <w:t>–</w:t>
      </w:r>
      <w:r w:rsidRPr="00E44F3E">
        <w:t xml:space="preserve">53. </w:t>
      </w:r>
      <w:r w:rsidR="0007224F">
        <w:t xml:space="preserve">URL: </w:t>
      </w:r>
      <w:hyperlink r:id="rId152" w:history="1">
        <w:r w:rsidR="00690B63" w:rsidRPr="00335874">
          <w:rPr>
            <w:rStyle w:val="Hyperlink"/>
          </w:rPr>
          <w:t>https://doi.org/10.1056/NEJMoa1509277</w:t>
        </w:r>
      </w:hyperlink>
      <w:r w:rsidR="00B1682D" w:rsidRPr="007E73C3">
        <w:t xml:space="preserve"> </w:t>
      </w:r>
      <w:r w:rsidR="007E73C3" w:rsidRPr="007E73C3">
        <w:t>(accessed 11 September 2024).</w:t>
      </w:r>
    </w:p>
    <w:p w14:paraId="1C28A700" w14:textId="6BECD457" w:rsidR="00303303" w:rsidRPr="00E44F3E" w:rsidRDefault="00303303" w:rsidP="00303303">
      <w:pPr>
        <w:pStyle w:val="References"/>
      </w:pPr>
      <w:proofErr w:type="spellStart"/>
      <w:r w:rsidRPr="00E44F3E">
        <w:t>Kantarjian</w:t>
      </w:r>
      <w:proofErr w:type="spellEnd"/>
      <w:r w:rsidRPr="00E44F3E">
        <w:t xml:space="preserve"> HM, Su Y, </w:t>
      </w:r>
      <w:proofErr w:type="spellStart"/>
      <w:r w:rsidRPr="00E44F3E">
        <w:t>Jabbour</w:t>
      </w:r>
      <w:proofErr w:type="spellEnd"/>
      <w:r w:rsidRPr="00E44F3E">
        <w:t xml:space="preserve"> EJ, </w:t>
      </w:r>
      <w:r w:rsidR="00710358" w:rsidRPr="00710358">
        <w:t>et al</w:t>
      </w:r>
      <w:r w:rsidRPr="00E44F3E">
        <w:t>. 2016. Patient-</w:t>
      </w:r>
      <w:r w:rsidR="00E76ED4" w:rsidRPr="00E44F3E">
        <w:t xml:space="preserve">reported outcomes from a global phase </w:t>
      </w:r>
      <w:r w:rsidRPr="00E44F3E">
        <w:t xml:space="preserve">3 </w:t>
      </w:r>
      <w:r w:rsidR="00E76ED4" w:rsidRPr="00E44F3E">
        <w:t xml:space="preserve">randomized controlled trial of </w:t>
      </w:r>
      <w:proofErr w:type="spellStart"/>
      <w:r w:rsidR="00E76ED4" w:rsidRPr="00E44F3E">
        <w:t>inotuzumab</w:t>
      </w:r>
      <w:proofErr w:type="spellEnd"/>
      <w:r w:rsidR="00E76ED4" w:rsidRPr="00E44F3E">
        <w:t xml:space="preserve"> </w:t>
      </w:r>
      <w:proofErr w:type="spellStart"/>
      <w:r w:rsidR="00E76ED4" w:rsidRPr="00E44F3E">
        <w:t>ozogamicin</w:t>
      </w:r>
      <w:proofErr w:type="spellEnd"/>
      <w:r w:rsidR="00E76ED4" w:rsidRPr="00E44F3E">
        <w:t xml:space="preserve"> versus standard of care chemotherapy for relapsed/refractory acute lymphoblastic </w:t>
      </w:r>
      <w:proofErr w:type="spellStart"/>
      <w:r w:rsidR="00E76ED4" w:rsidRPr="00E44F3E">
        <w:t>leukemia</w:t>
      </w:r>
      <w:proofErr w:type="spellEnd"/>
      <w:r w:rsidRPr="00E44F3E">
        <w:t xml:space="preserve">. </w:t>
      </w:r>
      <w:r w:rsidRPr="00E44F3E">
        <w:rPr>
          <w:i/>
        </w:rPr>
        <w:t>Blood</w:t>
      </w:r>
      <w:r w:rsidRPr="003436CC">
        <w:t xml:space="preserve"> 128</w:t>
      </w:r>
      <w:r w:rsidRPr="00E44F3E">
        <w:t>(22)</w:t>
      </w:r>
      <w:r w:rsidR="00132717">
        <w:t>:</w:t>
      </w:r>
      <w:r w:rsidRPr="00E44F3E">
        <w:t xml:space="preserve"> 1599. </w:t>
      </w:r>
      <w:r w:rsidR="0007224F">
        <w:t xml:space="preserve">URL: </w:t>
      </w:r>
      <w:hyperlink r:id="rId153" w:history="1">
        <w:r w:rsidR="005727CA" w:rsidRPr="00E44F3E">
          <w:rPr>
            <w:rStyle w:val="Hyperlink"/>
          </w:rPr>
          <w:t>https://doi.org/10.1182/blood.V128.22.1599.1599</w:t>
        </w:r>
      </w:hyperlink>
      <w:r w:rsidR="00B1682D" w:rsidRPr="007E73C3">
        <w:t xml:space="preserve"> </w:t>
      </w:r>
      <w:r w:rsidR="007E73C3" w:rsidRPr="007E73C3">
        <w:t>(accessed 11 September 2024).</w:t>
      </w:r>
    </w:p>
    <w:p w14:paraId="5E9B758D" w14:textId="3C65363B" w:rsidR="00303303" w:rsidRPr="00E44F3E" w:rsidRDefault="00303303" w:rsidP="00303303">
      <w:pPr>
        <w:pStyle w:val="References"/>
      </w:pPr>
      <w:proofErr w:type="spellStart"/>
      <w:r w:rsidRPr="00E44F3E">
        <w:lastRenderedPageBreak/>
        <w:t>Kastritis</w:t>
      </w:r>
      <w:proofErr w:type="spellEnd"/>
      <w:r w:rsidRPr="00E44F3E">
        <w:t xml:space="preserve"> E, </w:t>
      </w:r>
      <w:proofErr w:type="spellStart"/>
      <w:r w:rsidRPr="00E44F3E">
        <w:t>Palladini</w:t>
      </w:r>
      <w:proofErr w:type="spellEnd"/>
      <w:r w:rsidRPr="00E44F3E">
        <w:t xml:space="preserve"> G, </w:t>
      </w:r>
      <w:proofErr w:type="spellStart"/>
      <w:r w:rsidRPr="00E44F3E">
        <w:t>Minnema</w:t>
      </w:r>
      <w:proofErr w:type="spellEnd"/>
      <w:r w:rsidRPr="00E44F3E">
        <w:t xml:space="preserve"> MC, </w:t>
      </w:r>
      <w:r w:rsidR="00710358" w:rsidRPr="00710358">
        <w:t>et al</w:t>
      </w:r>
      <w:r w:rsidRPr="00E44F3E">
        <w:t>. 2021. Daratumumab-</w:t>
      </w:r>
      <w:r w:rsidR="00E76ED4" w:rsidRPr="00E44F3E">
        <w:t>based treatment for immunoglobulin light-chain amyloidosis</w:t>
      </w:r>
      <w:r w:rsidRPr="00E44F3E">
        <w:t xml:space="preserve">. </w:t>
      </w:r>
      <w:r w:rsidR="004C0ACB">
        <w:rPr>
          <w:i/>
        </w:rPr>
        <w:t>New England Journal of Medicine</w:t>
      </w:r>
      <w:r w:rsidRPr="003436CC">
        <w:t xml:space="preserve"> 385</w:t>
      </w:r>
      <w:r w:rsidRPr="00E44F3E">
        <w:t>(1)</w:t>
      </w:r>
      <w:r w:rsidR="00132717">
        <w:t>:</w:t>
      </w:r>
      <w:r w:rsidRPr="00E44F3E">
        <w:t xml:space="preserve"> 46</w:t>
      </w:r>
      <w:r w:rsidR="00EB29B8">
        <w:t>–</w:t>
      </w:r>
      <w:r w:rsidRPr="00E44F3E">
        <w:t xml:space="preserve">58. </w:t>
      </w:r>
      <w:r w:rsidR="00D2019C">
        <w:t xml:space="preserve">URL: </w:t>
      </w:r>
      <w:hyperlink r:id="rId154" w:history="1">
        <w:r w:rsidR="005727CA" w:rsidRPr="00E44F3E">
          <w:rPr>
            <w:rStyle w:val="Hyperlink"/>
          </w:rPr>
          <w:t>https://doi.org/10.1056/NEJMoa2028631</w:t>
        </w:r>
      </w:hyperlink>
      <w:r w:rsidR="00B1682D" w:rsidRPr="007E73C3">
        <w:t xml:space="preserve"> </w:t>
      </w:r>
      <w:r w:rsidR="007E73C3" w:rsidRPr="007E73C3">
        <w:t>(accessed 11 September 2024).</w:t>
      </w:r>
    </w:p>
    <w:p w14:paraId="58219DFF" w14:textId="676E5DF3" w:rsidR="001715DD" w:rsidRPr="00D12F66" w:rsidRDefault="002153A3" w:rsidP="006A5AFB">
      <w:pPr>
        <w:pStyle w:val="References"/>
      </w:pPr>
      <w:proofErr w:type="spellStart"/>
      <w:r>
        <w:t>Kiesewetter</w:t>
      </w:r>
      <w:proofErr w:type="spellEnd"/>
      <w:r>
        <w:t xml:space="preserve"> B, </w:t>
      </w:r>
      <w:proofErr w:type="spellStart"/>
      <w:r w:rsidR="006E6928">
        <w:t>Cherny</w:t>
      </w:r>
      <w:proofErr w:type="spellEnd"/>
      <w:r w:rsidR="006E6928">
        <w:t xml:space="preserve"> N, </w:t>
      </w:r>
      <w:proofErr w:type="spellStart"/>
      <w:r w:rsidR="006E6928">
        <w:t>Boissel</w:t>
      </w:r>
      <w:proofErr w:type="spellEnd"/>
      <w:r w:rsidR="006E6928">
        <w:t>, et al. 20</w:t>
      </w:r>
      <w:r w:rsidR="009A3827">
        <w:t>20</w:t>
      </w:r>
      <w:r w:rsidR="006E6928">
        <w:t xml:space="preserve">. </w:t>
      </w:r>
      <w:r w:rsidR="006A5AFB">
        <w:t xml:space="preserve">EHA evaluation of the ESMO—Magnitude of Clinical Benefit Scale version 1.1 (ESMO-MCBS v1.1) for haematological malignancies. </w:t>
      </w:r>
      <w:r w:rsidR="00D12F66">
        <w:rPr>
          <w:i/>
          <w:iCs/>
        </w:rPr>
        <w:t xml:space="preserve">ESMO open </w:t>
      </w:r>
      <w:r w:rsidR="00D12F66">
        <w:t>2020</w:t>
      </w:r>
      <w:r w:rsidR="00B00700">
        <w:t>;(5). URL</w:t>
      </w:r>
      <w:r w:rsidR="001715DD">
        <w:t xml:space="preserve">: </w:t>
      </w:r>
      <w:r w:rsidR="001715DD" w:rsidRPr="001715DD">
        <w:rPr>
          <w:rStyle w:val="Hyperlink"/>
        </w:rPr>
        <w:t>https//doi:10.1136/esmoopen-2019-000611</w:t>
      </w:r>
      <w:r w:rsidR="001715DD">
        <w:rPr>
          <w:rStyle w:val="Hyperlink"/>
        </w:rPr>
        <w:t xml:space="preserve"> </w:t>
      </w:r>
      <w:r w:rsidR="001715DD" w:rsidRPr="007E73C3">
        <w:t>(accessed 11 September 2024).</w:t>
      </w:r>
    </w:p>
    <w:p w14:paraId="0CF9982A" w14:textId="10CB4694" w:rsidR="00303303" w:rsidRPr="00E44F3E" w:rsidRDefault="00303303" w:rsidP="00303303">
      <w:pPr>
        <w:pStyle w:val="References"/>
      </w:pPr>
      <w:r w:rsidRPr="00E44F3E">
        <w:t xml:space="preserve">Kuruvilla J, </w:t>
      </w:r>
      <w:proofErr w:type="spellStart"/>
      <w:r w:rsidRPr="00E44F3E">
        <w:t>Ramchandren</w:t>
      </w:r>
      <w:proofErr w:type="spellEnd"/>
      <w:r w:rsidRPr="00E44F3E">
        <w:t xml:space="preserve"> R, Santoro A, </w:t>
      </w:r>
      <w:r w:rsidR="002E0313" w:rsidRPr="002E0313">
        <w:t>et al</w:t>
      </w:r>
      <w:r w:rsidRPr="00E44F3E">
        <w:t xml:space="preserve">. 2021. Pembrolizumab versus brentuximab </w:t>
      </w:r>
      <w:proofErr w:type="spellStart"/>
      <w:r w:rsidRPr="00E44F3E">
        <w:t>vedotin</w:t>
      </w:r>
      <w:proofErr w:type="spellEnd"/>
      <w:r w:rsidRPr="00E44F3E">
        <w:t xml:space="preserve"> in relapsed or refractory classical Hodgkin lymphoma (KEYNOTE-204): an interim analysis of a multicentre, randomised, open-label, phase 3 study. </w:t>
      </w:r>
      <w:r w:rsidRPr="00E44F3E">
        <w:rPr>
          <w:i/>
        </w:rPr>
        <w:t>Lancet Oncol</w:t>
      </w:r>
      <w:r w:rsidR="00035A68">
        <w:rPr>
          <w:i/>
        </w:rPr>
        <w:t>ogy</w:t>
      </w:r>
      <w:r w:rsidRPr="003436CC">
        <w:t xml:space="preserve"> 22</w:t>
      </w:r>
      <w:r w:rsidRPr="00E44F3E">
        <w:t>(4)</w:t>
      </w:r>
      <w:r w:rsidR="00132717">
        <w:t>:</w:t>
      </w:r>
      <w:r w:rsidRPr="00E44F3E">
        <w:t xml:space="preserve"> 512</w:t>
      </w:r>
      <w:r w:rsidR="00EB29B8">
        <w:t>–</w:t>
      </w:r>
      <w:r w:rsidRPr="00E44F3E">
        <w:t xml:space="preserve">24. </w:t>
      </w:r>
      <w:r w:rsidR="00D2019C">
        <w:t xml:space="preserve">URL: </w:t>
      </w:r>
      <w:hyperlink r:id="rId155" w:history="1">
        <w:r w:rsidR="005727CA" w:rsidRPr="00E44F3E">
          <w:rPr>
            <w:rStyle w:val="Hyperlink"/>
          </w:rPr>
          <w:t>https://doi.org/10.1016/s1470-2045(21)00005-x</w:t>
        </w:r>
      </w:hyperlink>
      <w:r w:rsidR="00B1682D" w:rsidRPr="007E73C3">
        <w:t xml:space="preserve"> </w:t>
      </w:r>
      <w:r w:rsidR="007E73C3" w:rsidRPr="007E73C3">
        <w:t>(accessed 11 September 2024).</w:t>
      </w:r>
    </w:p>
    <w:p w14:paraId="5E4F32FC" w14:textId="229846B4" w:rsidR="00303303" w:rsidRPr="00E44F3E" w:rsidRDefault="00303303" w:rsidP="00303303">
      <w:pPr>
        <w:pStyle w:val="References"/>
      </w:pPr>
      <w:proofErr w:type="spellStart"/>
      <w:r w:rsidRPr="00E44F3E">
        <w:t>Lonial</w:t>
      </w:r>
      <w:proofErr w:type="spellEnd"/>
      <w:r w:rsidRPr="00E44F3E">
        <w:t xml:space="preserve"> S, </w:t>
      </w:r>
      <w:proofErr w:type="spellStart"/>
      <w:r w:rsidRPr="00E44F3E">
        <w:t>Dimopoulos</w:t>
      </w:r>
      <w:proofErr w:type="spellEnd"/>
      <w:r w:rsidRPr="00E44F3E">
        <w:t xml:space="preserve"> M, Palumbo A, </w:t>
      </w:r>
      <w:r w:rsidR="002E0313" w:rsidRPr="002E0313">
        <w:t>et al</w:t>
      </w:r>
      <w:r w:rsidRPr="00E44F3E">
        <w:t xml:space="preserve">. 2015. </w:t>
      </w:r>
      <w:proofErr w:type="spellStart"/>
      <w:r w:rsidRPr="00E44F3E">
        <w:t>Elotuzumab</w:t>
      </w:r>
      <w:proofErr w:type="spellEnd"/>
      <w:r w:rsidRPr="00E44F3E">
        <w:t xml:space="preserve"> </w:t>
      </w:r>
      <w:r w:rsidR="00E76ED4" w:rsidRPr="00E44F3E">
        <w:t>therapy for relapsed or refractory multiple myeloma</w:t>
      </w:r>
      <w:r w:rsidRPr="00E44F3E">
        <w:t xml:space="preserve">. </w:t>
      </w:r>
      <w:r w:rsidR="004C0ACB">
        <w:rPr>
          <w:i/>
        </w:rPr>
        <w:t>New England Journal of Medicine</w:t>
      </w:r>
      <w:r w:rsidRPr="003436CC">
        <w:t xml:space="preserve"> 373</w:t>
      </w:r>
      <w:r w:rsidRPr="00E44F3E">
        <w:t>(7)</w:t>
      </w:r>
      <w:r w:rsidR="00132717">
        <w:t>:</w:t>
      </w:r>
      <w:r w:rsidRPr="00E44F3E">
        <w:t xml:space="preserve"> 621</w:t>
      </w:r>
      <w:r w:rsidR="00EB29B8">
        <w:t>–</w:t>
      </w:r>
      <w:r w:rsidRPr="00E44F3E">
        <w:t xml:space="preserve">31. </w:t>
      </w:r>
      <w:r w:rsidR="00D2019C">
        <w:t xml:space="preserve">URL: </w:t>
      </w:r>
      <w:hyperlink r:id="rId156" w:history="1">
        <w:r w:rsidR="005727CA" w:rsidRPr="00E44F3E">
          <w:rPr>
            <w:rStyle w:val="Hyperlink"/>
          </w:rPr>
          <w:t>https://doi.org/10.1056/NEJMoa1505654</w:t>
        </w:r>
      </w:hyperlink>
      <w:r w:rsidR="00B1682D" w:rsidRPr="007E73C3">
        <w:t xml:space="preserve"> </w:t>
      </w:r>
      <w:r w:rsidR="007E73C3" w:rsidRPr="007E73C3">
        <w:t>(accessed 11 September 2024).</w:t>
      </w:r>
    </w:p>
    <w:p w14:paraId="1F63E270" w14:textId="1210AF36" w:rsidR="00303303" w:rsidRPr="00E44F3E" w:rsidRDefault="00303303" w:rsidP="00303303">
      <w:pPr>
        <w:pStyle w:val="References"/>
      </w:pPr>
      <w:r w:rsidRPr="00E44F3E">
        <w:t xml:space="preserve">Ludwig H, Moreau P, </w:t>
      </w:r>
      <w:proofErr w:type="spellStart"/>
      <w:r w:rsidRPr="00E44F3E">
        <w:t>Dimopoulos</w:t>
      </w:r>
      <w:proofErr w:type="spellEnd"/>
      <w:r w:rsidRPr="00E44F3E">
        <w:t xml:space="preserve"> MA, </w:t>
      </w:r>
      <w:r w:rsidR="002E0313" w:rsidRPr="002E0313">
        <w:t>et al</w:t>
      </w:r>
      <w:r w:rsidRPr="00E44F3E">
        <w:t xml:space="preserve">. 2019. Health-related quality of life in the ENDEAVOR study: carfilzomib-dexamethasone vs bortezomib-dexamethasone in relapsed/refractory multiple myeloma. </w:t>
      </w:r>
      <w:r w:rsidRPr="00E44F3E">
        <w:rPr>
          <w:i/>
        </w:rPr>
        <w:t>Blood Cancer J</w:t>
      </w:r>
      <w:r w:rsidR="00035A68">
        <w:rPr>
          <w:i/>
        </w:rPr>
        <w:t>ournal</w:t>
      </w:r>
      <w:r w:rsidRPr="003436CC">
        <w:t xml:space="preserve"> 9</w:t>
      </w:r>
      <w:r w:rsidRPr="00E44F3E">
        <w:t>(3)</w:t>
      </w:r>
      <w:r w:rsidR="00132717">
        <w:t>:</w:t>
      </w:r>
      <w:r w:rsidRPr="00E44F3E">
        <w:t xml:space="preserve"> 23. </w:t>
      </w:r>
      <w:r w:rsidR="00D2019C">
        <w:t xml:space="preserve">URL: </w:t>
      </w:r>
      <w:hyperlink r:id="rId157" w:history="1">
        <w:r w:rsidR="005727CA" w:rsidRPr="00E44F3E">
          <w:rPr>
            <w:rStyle w:val="Hyperlink"/>
          </w:rPr>
          <w:t>https://doi.org/10.1038/s41408-019-0181-0</w:t>
        </w:r>
      </w:hyperlink>
      <w:r w:rsidR="00B1682D" w:rsidRPr="007E73C3">
        <w:t xml:space="preserve"> </w:t>
      </w:r>
      <w:r w:rsidR="007E73C3" w:rsidRPr="007E73C3">
        <w:t>(accessed 11 September 2024).</w:t>
      </w:r>
    </w:p>
    <w:p w14:paraId="55F2A3F3" w14:textId="0D51227D" w:rsidR="00303303" w:rsidRPr="00E44F3E" w:rsidRDefault="00303303" w:rsidP="00303303">
      <w:pPr>
        <w:pStyle w:val="References"/>
      </w:pPr>
      <w:r w:rsidRPr="00E44F3E">
        <w:t xml:space="preserve">Marcus R, Davies A, Ando K, </w:t>
      </w:r>
      <w:r w:rsidR="002E0313" w:rsidRPr="002E0313">
        <w:t>et al</w:t>
      </w:r>
      <w:r w:rsidRPr="00E44F3E">
        <w:t xml:space="preserve">. 2017. Obinutuzumab for the </w:t>
      </w:r>
      <w:r w:rsidR="00E76ED4" w:rsidRPr="00E44F3E">
        <w:t>first-line treatment of follicular lymphoma</w:t>
      </w:r>
      <w:r w:rsidRPr="00E44F3E">
        <w:t xml:space="preserve">. </w:t>
      </w:r>
      <w:r w:rsidRPr="00E44F3E">
        <w:rPr>
          <w:i/>
        </w:rPr>
        <w:t>New England Journal of Medicine</w:t>
      </w:r>
      <w:r w:rsidRPr="003436CC">
        <w:t xml:space="preserve"> 377</w:t>
      </w:r>
      <w:r w:rsidRPr="00E44F3E">
        <w:t>(14)</w:t>
      </w:r>
      <w:r w:rsidR="00132717">
        <w:t>:</w:t>
      </w:r>
      <w:r w:rsidRPr="00E44F3E">
        <w:t xml:space="preserve"> 1331</w:t>
      </w:r>
      <w:r w:rsidR="00EB29B8">
        <w:t>–</w:t>
      </w:r>
      <w:r w:rsidRPr="00E44F3E">
        <w:t xml:space="preserve">44. </w:t>
      </w:r>
      <w:r w:rsidR="00D2019C">
        <w:t xml:space="preserve">URL: </w:t>
      </w:r>
      <w:hyperlink r:id="rId158" w:history="1">
        <w:r w:rsidR="00690B63" w:rsidRPr="00335874">
          <w:rPr>
            <w:rStyle w:val="Hyperlink"/>
          </w:rPr>
          <w:t>https://doi.org/10.1056/NEJMoa1614598</w:t>
        </w:r>
      </w:hyperlink>
      <w:r w:rsidR="00B1682D" w:rsidRPr="007E73C3">
        <w:t xml:space="preserve"> </w:t>
      </w:r>
      <w:r w:rsidR="007E73C3" w:rsidRPr="007E73C3">
        <w:t>(accessed 11 September 2024).</w:t>
      </w:r>
    </w:p>
    <w:p w14:paraId="58888322" w14:textId="3341EC0A" w:rsidR="00303303" w:rsidRPr="00E44F3E" w:rsidRDefault="00303303" w:rsidP="00303303">
      <w:pPr>
        <w:pStyle w:val="References"/>
      </w:pPr>
      <w:proofErr w:type="spellStart"/>
      <w:r w:rsidRPr="00E44F3E">
        <w:t>Mateos</w:t>
      </w:r>
      <w:proofErr w:type="spellEnd"/>
      <w:r w:rsidRPr="00E44F3E">
        <w:t xml:space="preserve"> M-V, Hernández MT, </w:t>
      </w:r>
      <w:proofErr w:type="spellStart"/>
      <w:r w:rsidRPr="00E44F3E">
        <w:t>Giraldo</w:t>
      </w:r>
      <w:proofErr w:type="spellEnd"/>
      <w:r w:rsidRPr="00E44F3E">
        <w:t xml:space="preserve"> P, </w:t>
      </w:r>
      <w:r w:rsidR="000E58CE" w:rsidRPr="000E58CE">
        <w:t>et al</w:t>
      </w:r>
      <w:r w:rsidRPr="00E44F3E">
        <w:t xml:space="preserve">. 2013. Lenalidomide plus </w:t>
      </w:r>
      <w:r w:rsidR="00E76ED4" w:rsidRPr="00E44F3E">
        <w:t xml:space="preserve">dexamethasone for high-risk </w:t>
      </w:r>
      <w:proofErr w:type="spellStart"/>
      <w:r w:rsidR="00E76ED4" w:rsidRPr="00E44F3E">
        <w:t>smoldering</w:t>
      </w:r>
      <w:proofErr w:type="spellEnd"/>
      <w:r w:rsidR="00E76ED4" w:rsidRPr="00E44F3E">
        <w:t xml:space="preserve"> multiple myeloma</w:t>
      </w:r>
      <w:r w:rsidRPr="00E44F3E">
        <w:t xml:space="preserve">. </w:t>
      </w:r>
      <w:r w:rsidRPr="00E44F3E">
        <w:rPr>
          <w:i/>
        </w:rPr>
        <w:t>New England Journal of Medicine</w:t>
      </w:r>
      <w:r w:rsidRPr="003436CC">
        <w:t xml:space="preserve"> 369</w:t>
      </w:r>
      <w:r w:rsidRPr="00E44F3E">
        <w:t>(5)</w:t>
      </w:r>
      <w:r w:rsidR="00132717">
        <w:t>:</w:t>
      </w:r>
      <w:r w:rsidRPr="00E44F3E">
        <w:t xml:space="preserve"> 438</w:t>
      </w:r>
      <w:r w:rsidR="00EB29B8">
        <w:t>–</w:t>
      </w:r>
      <w:r w:rsidRPr="00E44F3E">
        <w:t xml:space="preserve">47. </w:t>
      </w:r>
      <w:r w:rsidR="00D2019C">
        <w:t xml:space="preserve">URL: </w:t>
      </w:r>
      <w:hyperlink r:id="rId159" w:history="1">
        <w:r w:rsidR="00690B63" w:rsidRPr="00335874">
          <w:rPr>
            <w:rStyle w:val="Hyperlink"/>
          </w:rPr>
          <w:t>https://doi.org/10.1056/NEJMoa1300439</w:t>
        </w:r>
      </w:hyperlink>
      <w:r w:rsidR="00B1682D" w:rsidRPr="007E73C3">
        <w:t xml:space="preserve"> </w:t>
      </w:r>
      <w:r w:rsidR="007E73C3" w:rsidRPr="007E73C3">
        <w:t>(accessed 11 September 2024).</w:t>
      </w:r>
    </w:p>
    <w:p w14:paraId="081B91BC" w14:textId="2927801B" w:rsidR="00303303" w:rsidRPr="00E44F3E" w:rsidRDefault="00303303" w:rsidP="00303303">
      <w:pPr>
        <w:pStyle w:val="References"/>
      </w:pPr>
      <w:r w:rsidRPr="00E44F3E">
        <w:t xml:space="preserve">Miguel JS, </w:t>
      </w:r>
      <w:proofErr w:type="spellStart"/>
      <w:r w:rsidRPr="00E44F3E">
        <w:t>Weisel</w:t>
      </w:r>
      <w:proofErr w:type="spellEnd"/>
      <w:r w:rsidRPr="00E44F3E">
        <w:t xml:space="preserve"> K, Moreau P, </w:t>
      </w:r>
      <w:r w:rsidR="000E58CE" w:rsidRPr="000E58CE">
        <w:t>et al</w:t>
      </w:r>
      <w:r w:rsidRPr="00E44F3E">
        <w:t xml:space="preserve">. 2013. Pomalidomide plus low-dose dexamethasone versus high-dose dexamethasone alone for patients with relapsed and refractory multiple myeloma (MM-003): a randomised, open-label, phase 3 trial. </w:t>
      </w:r>
      <w:r w:rsidRPr="00E44F3E">
        <w:rPr>
          <w:i/>
        </w:rPr>
        <w:t>Lancet Oncol</w:t>
      </w:r>
      <w:r w:rsidR="00035A68">
        <w:rPr>
          <w:i/>
        </w:rPr>
        <w:t>ogy</w:t>
      </w:r>
      <w:r w:rsidRPr="003436CC">
        <w:t xml:space="preserve"> 14</w:t>
      </w:r>
      <w:r w:rsidRPr="00E44F3E">
        <w:t>(11)</w:t>
      </w:r>
      <w:r w:rsidR="00132717">
        <w:t>:</w:t>
      </w:r>
      <w:r w:rsidRPr="00E44F3E">
        <w:t xml:space="preserve"> 1055</w:t>
      </w:r>
      <w:r w:rsidR="00EB29B8">
        <w:t>–</w:t>
      </w:r>
      <w:r w:rsidRPr="00E44F3E">
        <w:t xml:space="preserve">66. </w:t>
      </w:r>
      <w:r w:rsidR="00D2019C">
        <w:t xml:space="preserve">URL: </w:t>
      </w:r>
      <w:hyperlink r:id="rId160" w:history="1">
        <w:r w:rsidR="005727CA" w:rsidRPr="00E44F3E">
          <w:rPr>
            <w:rStyle w:val="Hyperlink"/>
          </w:rPr>
          <w:t>https://doi.org/10.1016/s1470-2045(13)70380-2</w:t>
        </w:r>
      </w:hyperlink>
      <w:r w:rsidR="00B1682D" w:rsidRPr="007E73C3">
        <w:t xml:space="preserve"> </w:t>
      </w:r>
      <w:r w:rsidR="007E73C3" w:rsidRPr="007E73C3">
        <w:t>(accessed 11 September 2024).</w:t>
      </w:r>
    </w:p>
    <w:p w14:paraId="3875F8B8" w14:textId="77777777" w:rsidR="00D368C0" w:rsidRPr="00C3265C" w:rsidRDefault="00D368C0" w:rsidP="00D368C0">
      <w:pPr>
        <w:pStyle w:val="References"/>
      </w:pPr>
      <w:r w:rsidRPr="00C3265C">
        <w:t xml:space="preserve">Ministry of Health. 2019b. </w:t>
      </w:r>
      <w:r w:rsidRPr="00333A2E">
        <w:rPr>
          <w:i/>
          <w:iCs/>
        </w:rPr>
        <w:t xml:space="preserve">New Zealand Cancer Action Plan 2019–2029 </w:t>
      </w:r>
      <w:r>
        <w:rPr>
          <w:i/>
          <w:iCs/>
        </w:rPr>
        <w:t>|</w:t>
      </w:r>
      <w:r w:rsidRPr="00333A2E">
        <w:rPr>
          <w:i/>
          <w:iCs/>
        </w:rPr>
        <w:t xml:space="preserve"> Te Mahere mō </w:t>
      </w:r>
      <w:proofErr w:type="spellStart"/>
      <w:r w:rsidRPr="00333A2E">
        <w:rPr>
          <w:i/>
          <w:iCs/>
        </w:rPr>
        <w:t>te</w:t>
      </w:r>
      <w:proofErr w:type="spellEnd"/>
      <w:r w:rsidRPr="00333A2E">
        <w:rPr>
          <w:i/>
          <w:iCs/>
        </w:rPr>
        <w:t xml:space="preserve"> Mate </w:t>
      </w:r>
      <w:proofErr w:type="spellStart"/>
      <w:r w:rsidRPr="00333A2E">
        <w:rPr>
          <w:i/>
          <w:iCs/>
        </w:rPr>
        <w:t>Pukupuku</w:t>
      </w:r>
      <w:proofErr w:type="spellEnd"/>
      <w:r w:rsidRPr="00333A2E">
        <w:rPr>
          <w:i/>
          <w:iCs/>
        </w:rPr>
        <w:t xml:space="preserve"> o Aotearoa 2019–2029.</w:t>
      </w:r>
      <w:r w:rsidRPr="00C3265C">
        <w:t xml:space="preserve"> Wellington: Ministry of Health.</w:t>
      </w:r>
    </w:p>
    <w:p w14:paraId="24B29FBB" w14:textId="6BB36402" w:rsidR="00303303" w:rsidRPr="00E44F3E" w:rsidRDefault="00303303" w:rsidP="00303303">
      <w:pPr>
        <w:pStyle w:val="References"/>
      </w:pPr>
      <w:r w:rsidRPr="00E44F3E">
        <w:t>Munir T, Brown JR, O</w:t>
      </w:r>
      <w:r w:rsidR="004650A2" w:rsidRPr="00E44F3E">
        <w:t>’</w:t>
      </w:r>
      <w:r w:rsidRPr="00E44F3E">
        <w:t xml:space="preserve">Brien S, </w:t>
      </w:r>
      <w:r w:rsidR="000E58CE" w:rsidRPr="000E58CE">
        <w:t>et al</w:t>
      </w:r>
      <w:r w:rsidRPr="00E44F3E">
        <w:t xml:space="preserve">. 2019. Final analysis from RESONATE: Up to six years of follow-up on ibrutinib in patients with previously treated chronic lymphocytic </w:t>
      </w:r>
      <w:proofErr w:type="spellStart"/>
      <w:r w:rsidRPr="00E44F3E">
        <w:t>leukemia</w:t>
      </w:r>
      <w:proofErr w:type="spellEnd"/>
      <w:r w:rsidRPr="00E44F3E">
        <w:t xml:space="preserve"> or small lymphocytic lymphoma. </w:t>
      </w:r>
      <w:r w:rsidR="004C6888" w:rsidRPr="004C6888">
        <w:rPr>
          <w:i/>
        </w:rPr>
        <w:t xml:space="preserve">American Journal of </w:t>
      </w:r>
      <w:proofErr w:type="spellStart"/>
      <w:r w:rsidR="004C6888" w:rsidRPr="004C6888">
        <w:rPr>
          <w:i/>
        </w:rPr>
        <w:t>Hematology</w:t>
      </w:r>
      <w:proofErr w:type="spellEnd"/>
      <w:r w:rsidRPr="003436CC">
        <w:t xml:space="preserve"> 94</w:t>
      </w:r>
      <w:r w:rsidRPr="00E44F3E">
        <w:t>(12)</w:t>
      </w:r>
      <w:r w:rsidR="00132717">
        <w:t>:</w:t>
      </w:r>
      <w:r w:rsidRPr="00E44F3E">
        <w:t xml:space="preserve"> 1353</w:t>
      </w:r>
      <w:r w:rsidR="00EB29B8">
        <w:t>–</w:t>
      </w:r>
      <w:r w:rsidRPr="00E44F3E">
        <w:t xml:space="preserve">63. </w:t>
      </w:r>
      <w:r w:rsidR="00D2019C">
        <w:t xml:space="preserve">URL: </w:t>
      </w:r>
      <w:hyperlink r:id="rId161" w:history="1">
        <w:r w:rsidR="005727CA" w:rsidRPr="00E44F3E">
          <w:rPr>
            <w:rStyle w:val="Hyperlink"/>
          </w:rPr>
          <w:t>https://doi.org/10.1002/ajh.25638</w:t>
        </w:r>
      </w:hyperlink>
      <w:r w:rsidR="00B1682D" w:rsidRPr="00D1611C">
        <w:t xml:space="preserve"> </w:t>
      </w:r>
      <w:r w:rsidR="00D1611C" w:rsidRPr="00D1611C">
        <w:t>(accessed 11 September 2024).</w:t>
      </w:r>
    </w:p>
    <w:p w14:paraId="73A698E1" w14:textId="0420260A" w:rsidR="00303303" w:rsidRPr="00E44F3E" w:rsidRDefault="00303303" w:rsidP="00303303">
      <w:pPr>
        <w:pStyle w:val="References"/>
      </w:pPr>
      <w:r w:rsidRPr="00E44F3E">
        <w:t xml:space="preserve">National Cancer Institute. 2012. </w:t>
      </w:r>
      <w:r w:rsidRPr="00E44F3E">
        <w:rPr>
          <w:i/>
        </w:rPr>
        <w:t>Cancer Stat Facts: Myeloma. National Cancer Institute Surveillance Epidemiology and Results (SEER) Program</w:t>
      </w:r>
      <w:r w:rsidRPr="00E44F3E">
        <w:t xml:space="preserve">. </w:t>
      </w:r>
      <w:r w:rsidR="00F66491">
        <w:t xml:space="preserve">URL: </w:t>
      </w:r>
      <w:hyperlink r:id="rId162" w:history="1">
        <w:r w:rsidR="005727CA" w:rsidRPr="00E44F3E">
          <w:rPr>
            <w:rStyle w:val="Hyperlink"/>
          </w:rPr>
          <w:t>https://seer.cancer.gov/statfacts/html/mulmy.html</w:t>
        </w:r>
      </w:hyperlink>
      <w:r w:rsidR="005727CA" w:rsidRPr="00D1611C">
        <w:t xml:space="preserve"> </w:t>
      </w:r>
      <w:r w:rsidR="00D1611C" w:rsidRPr="00D1611C">
        <w:t>(accessed 11 September 2024).</w:t>
      </w:r>
    </w:p>
    <w:p w14:paraId="5943E8AC" w14:textId="45DC3D3C" w:rsidR="00303303" w:rsidRPr="00E44F3E" w:rsidRDefault="00303303" w:rsidP="00303303">
      <w:pPr>
        <w:pStyle w:val="References"/>
      </w:pPr>
      <w:r w:rsidRPr="00E44F3E">
        <w:t>O</w:t>
      </w:r>
      <w:r w:rsidR="004650A2" w:rsidRPr="00E44F3E">
        <w:t>’</w:t>
      </w:r>
      <w:r w:rsidRPr="00E44F3E">
        <w:t xml:space="preserve">Connor OA, Pro B, Pinter-Brown L, </w:t>
      </w:r>
      <w:r w:rsidR="000E58CE" w:rsidRPr="000E58CE">
        <w:t>et al</w:t>
      </w:r>
      <w:r w:rsidRPr="00E44F3E">
        <w:t xml:space="preserve">. 2011. Pralatrexate in patients with relapsed or refractory peripheral T-cell lymphoma: results from the pivotal PROPEL study. </w:t>
      </w:r>
      <w:r w:rsidR="002B4DB4">
        <w:rPr>
          <w:i/>
        </w:rPr>
        <w:t>Journal of Clinical Oncology</w:t>
      </w:r>
      <w:r w:rsidRPr="003436CC">
        <w:t xml:space="preserve"> 29</w:t>
      </w:r>
      <w:r w:rsidRPr="00E44F3E">
        <w:t>(9)</w:t>
      </w:r>
      <w:r w:rsidR="00132717">
        <w:t>:</w:t>
      </w:r>
      <w:r w:rsidRPr="00E44F3E">
        <w:t xml:space="preserve"> 1182</w:t>
      </w:r>
      <w:r w:rsidR="00EB29B8">
        <w:t>–</w:t>
      </w:r>
      <w:r w:rsidRPr="00E44F3E">
        <w:t xml:space="preserve">9. </w:t>
      </w:r>
      <w:r w:rsidR="00F66491">
        <w:t xml:space="preserve">URL: </w:t>
      </w:r>
      <w:hyperlink r:id="rId163" w:history="1">
        <w:r w:rsidR="005727CA" w:rsidRPr="00E44F3E">
          <w:rPr>
            <w:rStyle w:val="Hyperlink"/>
          </w:rPr>
          <w:t>https://doi.org/10.1200/jco.2010.29.9024</w:t>
        </w:r>
      </w:hyperlink>
      <w:r w:rsidR="0066516C">
        <w:rPr>
          <w:b/>
        </w:rPr>
        <w:t xml:space="preserve"> </w:t>
      </w:r>
      <w:r w:rsidR="0066516C" w:rsidRPr="0066516C">
        <w:t>(accessed 11 September 2024).</w:t>
      </w:r>
    </w:p>
    <w:p w14:paraId="1D41EEEB" w14:textId="26F8B3D2" w:rsidR="00303303" w:rsidRPr="00E44F3E" w:rsidRDefault="00303303" w:rsidP="00303303">
      <w:pPr>
        <w:pStyle w:val="References"/>
      </w:pPr>
      <w:r w:rsidRPr="00E44F3E">
        <w:lastRenderedPageBreak/>
        <w:t xml:space="preserve">Olsen EA, Kim YH, </w:t>
      </w:r>
      <w:proofErr w:type="spellStart"/>
      <w:r w:rsidRPr="00E44F3E">
        <w:t>Kuzel</w:t>
      </w:r>
      <w:proofErr w:type="spellEnd"/>
      <w:r w:rsidRPr="00E44F3E">
        <w:t xml:space="preserve"> TM, </w:t>
      </w:r>
      <w:r w:rsidR="000E58CE" w:rsidRPr="000E58CE">
        <w:t>et al</w:t>
      </w:r>
      <w:r w:rsidRPr="00E44F3E">
        <w:t xml:space="preserve">. 2007. Phase IIb </w:t>
      </w:r>
      <w:proofErr w:type="spellStart"/>
      <w:r w:rsidRPr="00E44F3E">
        <w:t>multicenter</w:t>
      </w:r>
      <w:proofErr w:type="spellEnd"/>
      <w:r w:rsidRPr="00E44F3E">
        <w:t xml:space="preserve"> trial of </w:t>
      </w:r>
      <w:proofErr w:type="spellStart"/>
      <w:r w:rsidRPr="00E44F3E">
        <w:t>vorinostat</w:t>
      </w:r>
      <w:proofErr w:type="spellEnd"/>
      <w:r w:rsidRPr="00E44F3E">
        <w:t xml:space="preserve"> in patients with persistent, progressive, or treatment refractory cutaneous T-cell lymphoma. </w:t>
      </w:r>
      <w:r w:rsidR="002B4DB4">
        <w:rPr>
          <w:i/>
        </w:rPr>
        <w:t>Journal of Clinical Oncology</w:t>
      </w:r>
      <w:r w:rsidRPr="003436CC">
        <w:t xml:space="preserve"> 25</w:t>
      </w:r>
      <w:r w:rsidRPr="00E44F3E">
        <w:t>(21)</w:t>
      </w:r>
      <w:r w:rsidR="00132717">
        <w:t>:</w:t>
      </w:r>
      <w:r w:rsidRPr="00E44F3E">
        <w:t xml:space="preserve"> 3109</w:t>
      </w:r>
      <w:r w:rsidR="00EB29B8">
        <w:t>–</w:t>
      </w:r>
      <w:r w:rsidRPr="00E44F3E">
        <w:t xml:space="preserve">15. </w:t>
      </w:r>
      <w:r w:rsidR="00F66491">
        <w:t xml:space="preserve">URL: </w:t>
      </w:r>
      <w:hyperlink r:id="rId164" w:history="1">
        <w:r w:rsidR="005727CA" w:rsidRPr="00E44F3E">
          <w:rPr>
            <w:rStyle w:val="Hyperlink"/>
          </w:rPr>
          <w:t>https://doi.org/10.1200/jco.2006.10.2434</w:t>
        </w:r>
      </w:hyperlink>
      <w:r w:rsidR="00B1682D" w:rsidRPr="00D1611C">
        <w:t xml:space="preserve"> </w:t>
      </w:r>
      <w:r w:rsidR="00D1611C" w:rsidRPr="00D1611C">
        <w:t>(accessed 11 September 2024).</w:t>
      </w:r>
    </w:p>
    <w:p w14:paraId="05777E73" w14:textId="50671CCC" w:rsidR="00303303" w:rsidRPr="00E44F3E" w:rsidRDefault="00303303" w:rsidP="00303303">
      <w:pPr>
        <w:pStyle w:val="References"/>
      </w:pPr>
      <w:proofErr w:type="spellStart"/>
      <w:r w:rsidRPr="00E44F3E">
        <w:t>Palladini</w:t>
      </w:r>
      <w:proofErr w:type="spellEnd"/>
      <w:r w:rsidRPr="00E44F3E">
        <w:t xml:space="preserve"> G, </w:t>
      </w:r>
      <w:proofErr w:type="spellStart"/>
      <w:r w:rsidRPr="00E44F3E">
        <w:t>Kastritis</w:t>
      </w:r>
      <w:proofErr w:type="spellEnd"/>
      <w:r w:rsidRPr="00E44F3E">
        <w:t xml:space="preserve"> E, Maurer MS, </w:t>
      </w:r>
      <w:r w:rsidR="000E58CE" w:rsidRPr="000E58CE">
        <w:t>et al</w:t>
      </w:r>
      <w:r w:rsidRPr="00E44F3E">
        <w:t xml:space="preserve">. 2020. Daratumumab plus </w:t>
      </w:r>
      <w:proofErr w:type="spellStart"/>
      <w:r w:rsidRPr="00E44F3E">
        <w:t>CyBorD</w:t>
      </w:r>
      <w:proofErr w:type="spellEnd"/>
      <w:r w:rsidRPr="00E44F3E">
        <w:t xml:space="preserve"> for patients with newly diagnosed AL amyloidosis: safety run-in results of ANDROMEDA. </w:t>
      </w:r>
      <w:r w:rsidRPr="00E44F3E">
        <w:rPr>
          <w:i/>
        </w:rPr>
        <w:t>Blood</w:t>
      </w:r>
      <w:r w:rsidRPr="003436CC">
        <w:t xml:space="preserve"> 136</w:t>
      </w:r>
      <w:r w:rsidRPr="00E44F3E">
        <w:t>(1)</w:t>
      </w:r>
      <w:r w:rsidR="00132717">
        <w:t>:</w:t>
      </w:r>
      <w:r w:rsidRPr="00E44F3E">
        <w:t xml:space="preserve"> 71</w:t>
      </w:r>
      <w:r w:rsidR="00EB29B8">
        <w:t>–</w:t>
      </w:r>
      <w:r w:rsidRPr="00E44F3E">
        <w:t xml:space="preserve">80. </w:t>
      </w:r>
      <w:r w:rsidR="00F66491">
        <w:t xml:space="preserve">URL: </w:t>
      </w:r>
      <w:hyperlink r:id="rId165" w:history="1">
        <w:r w:rsidR="005727CA" w:rsidRPr="00E44F3E">
          <w:rPr>
            <w:rStyle w:val="Hyperlink"/>
          </w:rPr>
          <w:t>https://doi.org/10.1182/blood.2019004460</w:t>
        </w:r>
      </w:hyperlink>
      <w:r w:rsidR="00B1682D" w:rsidRPr="00D1611C">
        <w:t xml:space="preserve"> </w:t>
      </w:r>
      <w:r w:rsidR="00D1611C" w:rsidRPr="00D1611C">
        <w:t>(accessed 11 September 2024).</w:t>
      </w:r>
    </w:p>
    <w:p w14:paraId="543AA36B" w14:textId="1A422C5E" w:rsidR="00303303" w:rsidRPr="00E44F3E" w:rsidRDefault="00303303" w:rsidP="00303303">
      <w:pPr>
        <w:pStyle w:val="References"/>
      </w:pPr>
      <w:r w:rsidRPr="00E44F3E">
        <w:t xml:space="preserve">Palumbo A, Chanan-Khan A, </w:t>
      </w:r>
      <w:proofErr w:type="spellStart"/>
      <w:r w:rsidRPr="00E44F3E">
        <w:t>Weisel</w:t>
      </w:r>
      <w:proofErr w:type="spellEnd"/>
      <w:r w:rsidRPr="00E44F3E">
        <w:t xml:space="preserve"> K, </w:t>
      </w:r>
      <w:r w:rsidR="000E58CE" w:rsidRPr="000E58CE">
        <w:t>et al</w:t>
      </w:r>
      <w:r w:rsidRPr="00E44F3E">
        <w:t xml:space="preserve">. 2016. Daratumumab, </w:t>
      </w:r>
      <w:r w:rsidR="006444D1" w:rsidRPr="00E44F3E">
        <w:t>bortezomib, and dexamethasone for multiple myeloma</w:t>
      </w:r>
      <w:r w:rsidRPr="00E44F3E">
        <w:t xml:space="preserve">. </w:t>
      </w:r>
      <w:r w:rsidRPr="00E44F3E">
        <w:rPr>
          <w:i/>
        </w:rPr>
        <w:t>New England Journal of Medicine</w:t>
      </w:r>
      <w:r w:rsidRPr="003436CC">
        <w:t xml:space="preserve"> 375</w:t>
      </w:r>
      <w:r w:rsidRPr="00E44F3E">
        <w:t>(8)</w:t>
      </w:r>
      <w:r w:rsidR="00132717">
        <w:t>:</w:t>
      </w:r>
      <w:r w:rsidRPr="00E44F3E">
        <w:t xml:space="preserve"> 754</w:t>
      </w:r>
      <w:r w:rsidR="00EB29B8">
        <w:t>–</w:t>
      </w:r>
      <w:r w:rsidRPr="00E44F3E">
        <w:t xml:space="preserve">66. </w:t>
      </w:r>
      <w:r w:rsidR="00F66491">
        <w:t xml:space="preserve">URL: </w:t>
      </w:r>
      <w:hyperlink r:id="rId166" w:history="1">
        <w:r w:rsidR="00690B63" w:rsidRPr="00335874">
          <w:rPr>
            <w:rStyle w:val="Hyperlink"/>
          </w:rPr>
          <w:t>https://doi.org/10.1056/NEJMoa1606038</w:t>
        </w:r>
      </w:hyperlink>
      <w:r w:rsidR="00B1682D" w:rsidRPr="00D1611C">
        <w:t xml:space="preserve"> </w:t>
      </w:r>
      <w:r w:rsidR="00D1611C" w:rsidRPr="00D1611C">
        <w:t>(accessed 11 September 2024).</w:t>
      </w:r>
    </w:p>
    <w:p w14:paraId="689C2F10" w14:textId="1713578D" w:rsidR="00303303" w:rsidRPr="00E44F3E" w:rsidRDefault="00303303" w:rsidP="00303303">
      <w:pPr>
        <w:pStyle w:val="References"/>
      </w:pPr>
      <w:r w:rsidRPr="00E44F3E">
        <w:t xml:space="preserve">Parliament of Australia. 2022. </w:t>
      </w:r>
      <w:r w:rsidRPr="00E44F3E">
        <w:rPr>
          <w:i/>
        </w:rPr>
        <w:t>The Pharmaceutical Benefits Scheme: a quick guide</w:t>
      </w:r>
      <w:r w:rsidRPr="00E44F3E">
        <w:t xml:space="preserve">. </w:t>
      </w:r>
      <w:r w:rsidR="00F66491">
        <w:t xml:space="preserve">URL: </w:t>
      </w:r>
      <w:hyperlink r:id="rId167" w:anchor=":~:text=A%20new%20medicine%20cannot%20be,treatments%20for%20the%20same%20condition" w:history="1">
        <w:r w:rsidR="005727CA" w:rsidRPr="00E44F3E">
          <w:rPr>
            <w:rStyle w:val="Hyperlink"/>
          </w:rPr>
          <w:t>https://www.aph.gov.au/About_Parliament/Parliamentary_departments/Parliamentary_Library/pubs/rp/rp2122/Quick_Guides/ThePharmaceuticalBenefitsScheme#:~:text=A%20new%20medicine%20cannot%20be,treatments%20for%20the%20same%20condition</w:t>
        </w:r>
      </w:hyperlink>
      <w:r w:rsidR="005727CA" w:rsidRPr="00D1611C">
        <w:t xml:space="preserve"> </w:t>
      </w:r>
      <w:r w:rsidR="00D1611C" w:rsidRPr="00D1611C">
        <w:t>(accessed 11 September 2024).</w:t>
      </w:r>
    </w:p>
    <w:p w14:paraId="4AC667EE" w14:textId="4DE60E93" w:rsidR="00303303" w:rsidRPr="00E44F3E" w:rsidRDefault="00303303" w:rsidP="00303303">
      <w:pPr>
        <w:pStyle w:val="References"/>
      </w:pPr>
      <w:r w:rsidRPr="00E44F3E">
        <w:t xml:space="preserve">Perl AE, Larson RA, </w:t>
      </w:r>
      <w:proofErr w:type="spellStart"/>
      <w:r w:rsidRPr="00E44F3E">
        <w:t>Podoltsev</w:t>
      </w:r>
      <w:proofErr w:type="spellEnd"/>
      <w:r w:rsidRPr="00E44F3E">
        <w:t xml:space="preserve"> NA, </w:t>
      </w:r>
      <w:r w:rsidR="0076702D" w:rsidRPr="0076702D">
        <w:t>et al</w:t>
      </w:r>
      <w:r w:rsidRPr="00E44F3E">
        <w:t xml:space="preserve">. 2022. Follow-up of patients with R/R FLT3-mutation-positive AML treated with </w:t>
      </w:r>
      <w:proofErr w:type="spellStart"/>
      <w:r w:rsidRPr="00E44F3E">
        <w:t>gilteritinib</w:t>
      </w:r>
      <w:proofErr w:type="spellEnd"/>
      <w:r w:rsidRPr="00E44F3E">
        <w:t xml:space="preserve"> in the phase 3 ADMIRAL trial. </w:t>
      </w:r>
      <w:r w:rsidRPr="00E44F3E">
        <w:rPr>
          <w:i/>
        </w:rPr>
        <w:t>Blood</w:t>
      </w:r>
      <w:r w:rsidRPr="003436CC">
        <w:t xml:space="preserve"> 139</w:t>
      </w:r>
      <w:r w:rsidRPr="00E44F3E">
        <w:t>(23)</w:t>
      </w:r>
      <w:r w:rsidR="00132717">
        <w:t>:</w:t>
      </w:r>
      <w:r w:rsidRPr="00E44F3E">
        <w:t xml:space="preserve"> 3366</w:t>
      </w:r>
      <w:r w:rsidR="00EB29B8">
        <w:t>–</w:t>
      </w:r>
      <w:r w:rsidRPr="00E44F3E">
        <w:t xml:space="preserve">75. </w:t>
      </w:r>
      <w:r w:rsidR="00F66491">
        <w:t xml:space="preserve">URL: </w:t>
      </w:r>
      <w:hyperlink r:id="rId168" w:history="1">
        <w:r w:rsidR="005727CA" w:rsidRPr="00E44F3E">
          <w:rPr>
            <w:rStyle w:val="Hyperlink"/>
          </w:rPr>
          <w:t>https://doi.org/10.1182/blood.2021011583</w:t>
        </w:r>
      </w:hyperlink>
      <w:r w:rsidR="00B1682D" w:rsidRPr="00D1611C">
        <w:t xml:space="preserve"> </w:t>
      </w:r>
      <w:r w:rsidR="00D1611C" w:rsidRPr="00D1611C">
        <w:t>(accessed 11 September 2024).</w:t>
      </w:r>
    </w:p>
    <w:p w14:paraId="388DFD9D" w14:textId="73A88DA2" w:rsidR="00303303" w:rsidRPr="00E44F3E" w:rsidRDefault="00303303" w:rsidP="00303303">
      <w:pPr>
        <w:pStyle w:val="References"/>
      </w:pPr>
      <w:r w:rsidRPr="00E44F3E">
        <w:t xml:space="preserve">Perl AE, Larson RA, </w:t>
      </w:r>
      <w:proofErr w:type="spellStart"/>
      <w:r w:rsidRPr="00E44F3E">
        <w:t>Podoltsev</w:t>
      </w:r>
      <w:proofErr w:type="spellEnd"/>
      <w:r w:rsidRPr="00E44F3E">
        <w:t xml:space="preserve"> NA, </w:t>
      </w:r>
      <w:r w:rsidR="0076702D" w:rsidRPr="0076702D">
        <w:t>et al</w:t>
      </w:r>
      <w:r w:rsidRPr="00E44F3E">
        <w:t xml:space="preserve">. 2023. Outcomes in </w:t>
      </w:r>
      <w:r w:rsidR="006444D1" w:rsidRPr="00E44F3E">
        <w:t xml:space="preserve">patients </w:t>
      </w:r>
      <w:r w:rsidRPr="00E44F3E">
        <w:t>with FLT3-</w:t>
      </w:r>
      <w:r w:rsidR="006444D1" w:rsidRPr="00E44F3E">
        <w:t xml:space="preserve">mutated relapsed/refractory acute myelogenous </w:t>
      </w:r>
      <w:proofErr w:type="spellStart"/>
      <w:r w:rsidR="006444D1" w:rsidRPr="00E44F3E">
        <w:t>leukemia</w:t>
      </w:r>
      <w:proofErr w:type="spellEnd"/>
      <w:r w:rsidR="006444D1" w:rsidRPr="00E44F3E">
        <w:t xml:space="preserve"> who underwent transplantation in the phase </w:t>
      </w:r>
      <w:r w:rsidRPr="00E44F3E">
        <w:t xml:space="preserve">3 ADMIRAL </w:t>
      </w:r>
      <w:r w:rsidR="006444D1" w:rsidRPr="00E44F3E">
        <w:t xml:space="preserve">trial of </w:t>
      </w:r>
      <w:proofErr w:type="spellStart"/>
      <w:r w:rsidR="006444D1" w:rsidRPr="00E44F3E">
        <w:t>gilteritinib</w:t>
      </w:r>
      <w:proofErr w:type="spellEnd"/>
      <w:r w:rsidR="006444D1" w:rsidRPr="00E44F3E">
        <w:t xml:space="preserve"> versus salvage chemotherapy</w:t>
      </w:r>
      <w:r w:rsidRPr="00E44F3E">
        <w:t xml:space="preserve">. </w:t>
      </w:r>
      <w:r w:rsidR="004C6888" w:rsidRPr="004C6888">
        <w:rPr>
          <w:i/>
        </w:rPr>
        <w:t>Transplantation and Cellular Therapy</w:t>
      </w:r>
      <w:r w:rsidRPr="003436CC">
        <w:t xml:space="preserve"> 29</w:t>
      </w:r>
      <w:r w:rsidRPr="00E44F3E">
        <w:t>(4)</w:t>
      </w:r>
      <w:r w:rsidR="00132717">
        <w:t>:</w:t>
      </w:r>
      <w:r w:rsidRPr="00E44F3E">
        <w:t xml:space="preserve"> 265.e</w:t>
      </w:r>
      <w:r w:rsidR="00086DDC">
        <w:t>1</w:t>
      </w:r>
      <w:r w:rsidR="00EB29B8">
        <w:t>–</w:t>
      </w:r>
      <w:r w:rsidRPr="00E44F3E">
        <w:t xml:space="preserve">10. </w:t>
      </w:r>
      <w:r w:rsidR="00F66491">
        <w:t xml:space="preserve">URL: </w:t>
      </w:r>
      <w:hyperlink r:id="rId169" w:history="1">
        <w:r w:rsidR="005727CA" w:rsidRPr="00E44F3E">
          <w:rPr>
            <w:rStyle w:val="Hyperlink"/>
          </w:rPr>
          <w:t>https://doi.org/10.1016/j.jtct.2022.12.006</w:t>
        </w:r>
      </w:hyperlink>
      <w:r w:rsidR="00B1682D" w:rsidRPr="00D1611C">
        <w:t xml:space="preserve"> </w:t>
      </w:r>
      <w:r w:rsidR="00D1611C" w:rsidRPr="00D1611C">
        <w:t>(accessed 11 September 2024).</w:t>
      </w:r>
    </w:p>
    <w:p w14:paraId="3A4735F2" w14:textId="7225EDF7" w:rsidR="00303303" w:rsidRPr="00E44F3E" w:rsidRDefault="00303303" w:rsidP="00303303">
      <w:pPr>
        <w:pStyle w:val="References"/>
      </w:pPr>
      <w:r w:rsidRPr="00E44F3E">
        <w:t xml:space="preserve">Perl AE, Martinelli G, Cortes JE, </w:t>
      </w:r>
      <w:r w:rsidR="0076702D" w:rsidRPr="0076702D">
        <w:t>et al</w:t>
      </w:r>
      <w:r w:rsidRPr="00E44F3E">
        <w:t xml:space="preserve">. 2019. </w:t>
      </w:r>
      <w:proofErr w:type="spellStart"/>
      <w:r w:rsidRPr="00E44F3E">
        <w:t>Gilteritinib</w:t>
      </w:r>
      <w:proofErr w:type="spellEnd"/>
      <w:r w:rsidRPr="00E44F3E">
        <w:t xml:space="preserve"> or Chemotherapy for Relapsed or Refractory FLT3-Mutated AML. </w:t>
      </w:r>
      <w:r w:rsidR="004C0ACB">
        <w:rPr>
          <w:i/>
        </w:rPr>
        <w:t>New England Journal of Medicine</w:t>
      </w:r>
      <w:r w:rsidRPr="003436CC">
        <w:t xml:space="preserve"> 381</w:t>
      </w:r>
      <w:r w:rsidRPr="00E44F3E">
        <w:t>(18)</w:t>
      </w:r>
      <w:r w:rsidR="00132717">
        <w:t>:</w:t>
      </w:r>
      <w:r w:rsidRPr="00E44F3E">
        <w:t xml:space="preserve"> 1728</w:t>
      </w:r>
      <w:r w:rsidR="00EB29B8">
        <w:t>–</w:t>
      </w:r>
      <w:r w:rsidRPr="00E44F3E">
        <w:t xml:space="preserve">40. </w:t>
      </w:r>
      <w:r w:rsidR="00F66491">
        <w:t xml:space="preserve">URL: </w:t>
      </w:r>
      <w:hyperlink r:id="rId170" w:history="1">
        <w:r w:rsidR="005727CA" w:rsidRPr="00E44F3E">
          <w:rPr>
            <w:rStyle w:val="Hyperlink"/>
          </w:rPr>
          <w:t>https://doi.org/10.1056/NEJMoa1902688</w:t>
        </w:r>
      </w:hyperlink>
      <w:r w:rsidR="00B1682D" w:rsidRPr="00D1611C">
        <w:t xml:space="preserve"> </w:t>
      </w:r>
      <w:r w:rsidR="00D1611C" w:rsidRPr="00D1611C">
        <w:t>(accessed 11 September 2024).</w:t>
      </w:r>
    </w:p>
    <w:p w14:paraId="58ED4A72" w14:textId="7CB09025" w:rsidR="00303303" w:rsidRPr="00E44F3E" w:rsidRDefault="00303303" w:rsidP="00303303">
      <w:pPr>
        <w:pStyle w:val="References"/>
      </w:pPr>
      <w:r w:rsidRPr="00E44F3E">
        <w:t xml:space="preserve">Pharmac. 2023. </w:t>
      </w:r>
      <w:r w:rsidR="0038265F" w:rsidRPr="00E44F3E">
        <w:rPr>
          <w:i/>
        </w:rPr>
        <w:t>Pharmaceutical</w:t>
      </w:r>
      <w:r w:rsidRPr="00E44F3E">
        <w:rPr>
          <w:i/>
        </w:rPr>
        <w:t xml:space="preserve"> Management </w:t>
      </w:r>
      <w:r w:rsidR="0038265F" w:rsidRPr="00E44F3E">
        <w:rPr>
          <w:i/>
        </w:rPr>
        <w:t>Agency</w:t>
      </w:r>
      <w:r w:rsidRPr="00E44F3E">
        <w:rPr>
          <w:i/>
        </w:rPr>
        <w:t xml:space="preserve"> Annual Report for the year ending 30 June 2023</w:t>
      </w:r>
      <w:r w:rsidR="00F66491">
        <w:rPr>
          <w:iCs/>
        </w:rPr>
        <w:t>.</w:t>
      </w:r>
      <w:r w:rsidRPr="00E44F3E">
        <w:rPr>
          <w:i/>
        </w:rPr>
        <w:t xml:space="preserve"> </w:t>
      </w:r>
      <w:r w:rsidR="00F66491" w:rsidRPr="00F66491">
        <w:rPr>
          <w:iCs/>
        </w:rPr>
        <w:t xml:space="preserve">URL: </w:t>
      </w:r>
      <w:hyperlink r:id="rId171" w:history="1">
        <w:r w:rsidR="005727CA" w:rsidRPr="00E44F3E">
          <w:rPr>
            <w:rStyle w:val="Hyperlink"/>
          </w:rPr>
          <w:t>https://pharmac.govt.nz/assets/Annual-Report-2022-2023.pdf</w:t>
        </w:r>
      </w:hyperlink>
      <w:r w:rsidR="005727CA" w:rsidRPr="00D1611C">
        <w:t xml:space="preserve"> </w:t>
      </w:r>
      <w:r w:rsidR="00D1611C" w:rsidRPr="00D1611C">
        <w:t>(accessed 11 September 2024).</w:t>
      </w:r>
    </w:p>
    <w:p w14:paraId="224DE6D6" w14:textId="63C56B7B" w:rsidR="00303303" w:rsidRPr="00E44F3E" w:rsidRDefault="00303303" w:rsidP="00303303">
      <w:pPr>
        <w:pStyle w:val="References"/>
      </w:pPr>
      <w:proofErr w:type="spellStart"/>
      <w:r w:rsidRPr="00E44F3E">
        <w:t>Pratz</w:t>
      </w:r>
      <w:proofErr w:type="spellEnd"/>
      <w:r w:rsidRPr="00E44F3E">
        <w:t xml:space="preserve"> KW, Jonas BA, </w:t>
      </w:r>
      <w:proofErr w:type="spellStart"/>
      <w:r w:rsidRPr="00E44F3E">
        <w:t>Pullarkat</w:t>
      </w:r>
      <w:proofErr w:type="spellEnd"/>
      <w:r w:rsidRPr="00E44F3E">
        <w:t xml:space="preserve"> V,</w:t>
      </w:r>
      <w:r w:rsidR="0076702D" w:rsidRPr="0076702D">
        <w:t xml:space="preserve"> et al</w:t>
      </w:r>
      <w:r w:rsidRPr="00E44F3E">
        <w:t xml:space="preserve">. 2024. Long-term follow-up of VIALE-A: </w:t>
      </w:r>
      <w:proofErr w:type="spellStart"/>
      <w:r w:rsidRPr="00E44F3E">
        <w:t>Venetoclax</w:t>
      </w:r>
      <w:proofErr w:type="spellEnd"/>
      <w:r w:rsidRPr="00E44F3E">
        <w:t xml:space="preserve"> and azacitidine in chemotherapy-ineligible untreated acute myeloid </w:t>
      </w:r>
      <w:proofErr w:type="spellStart"/>
      <w:r w:rsidRPr="00E44F3E">
        <w:t>leukemia</w:t>
      </w:r>
      <w:proofErr w:type="spellEnd"/>
      <w:r w:rsidRPr="00E44F3E">
        <w:t xml:space="preserve">. </w:t>
      </w:r>
      <w:r w:rsidR="00F9223E" w:rsidRPr="00F9223E">
        <w:rPr>
          <w:i/>
        </w:rPr>
        <w:t xml:space="preserve">American Journal of </w:t>
      </w:r>
      <w:proofErr w:type="spellStart"/>
      <w:r w:rsidR="00F9223E" w:rsidRPr="00F9223E">
        <w:rPr>
          <w:i/>
        </w:rPr>
        <w:t>Hematology</w:t>
      </w:r>
      <w:proofErr w:type="spellEnd"/>
      <w:r w:rsidRPr="003436CC">
        <w:t xml:space="preserve"> 99</w:t>
      </w:r>
      <w:r w:rsidRPr="00E44F3E">
        <w:t>(4)</w:t>
      </w:r>
      <w:r w:rsidR="00132717">
        <w:t>:</w:t>
      </w:r>
      <w:r w:rsidRPr="00E44F3E">
        <w:t xml:space="preserve"> 615</w:t>
      </w:r>
      <w:r w:rsidR="001E3547">
        <w:t>–</w:t>
      </w:r>
      <w:r w:rsidRPr="00E44F3E">
        <w:t xml:space="preserve">24. </w:t>
      </w:r>
      <w:r w:rsidR="00F66491">
        <w:t xml:space="preserve">URL: </w:t>
      </w:r>
      <w:hyperlink r:id="rId172" w:history="1">
        <w:r w:rsidR="005727CA" w:rsidRPr="00E44F3E">
          <w:rPr>
            <w:rStyle w:val="Hyperlink"/>
          </w:rPr>
          <w:t>https://doi.org/10.1002/ajh.27246</w:t>
        </w:r>
      </w:hyperlink>
      <w:r w:rsidR="00B1682D" w:rsidRPr="00D1611C">
        <w:t xml:space="preserve"> </w:t>
      </w:r>
      <w:r w:rsidR="00D1611C" w:rsidRPr="00D1611C">
        <w:t>(accessed 11 September 2024).</w:t>
      </w:r>
    </w:p>
    <w:p w14:paraId="219D570B" w14:textId="0798158D" w:rsidR="00303303" w:rsidRPr="00E44F3E" w:rsidRDefault="00303303" w:rsidP="00303303">
      <w:pPr>
        <w:pStyle w:val="References"/>
      </w:pPr>
      <w:r w:rsidRPr="00E44F3E">
        <w:t xml:space="preserve">Prince HM, Kim YH, Horwitz SM, </w:t>
      </w:r>
      <w:r w:rsidR="0076702D" w:rsidRPr="0076702D">
        <w:t>et al</w:t>
      </w:r>
      <w:r w:rsidRPr="00E44F3E">
        <w:t xml:space="preserve">. 2017. Brentuximab </w:t>
      </w:r>
      <w:proofErr w:type="spellStart"/>
      <w:r w:rsidRPr="00E44F3E">
        <w:t>vedotin</w:t>
      </w:r>
      <w:proofErr w:type="spellEnd"/>
      <w:r w:rsidRPr="00E44F3E">
        <w:t xml:space="preserve"> or physician</w:t>
      </w:r>
      <w:r w:rsidR="004650A2" w:rsidRPr="00E44F3E">
        <w:t>’</w:t>
      </w:r>
      <w:r w:rsidRPr="00E44F3E">
        <w:t xml:space="preserve">s choice in CD30-positive cutaneous T-cell lymphoma (ALCANZA): an international, open-label, randomised, phase 3, multicentre trial. </w:t>
      </w:r>
      <w:r w:rsidRPr="00E44F3E">
        <w:rPr>
          <w:i/>
        </w:rPr>
        <w:t>Lancet</w:t>
      </w:r>
      <w:r w:rsidRPr="003436CC">
        <w:t xml:space="preserve"> 390</w:t>
      </w:r>
      <w:r w:rsidRPr="00E44F3E">
        <w:t>(10094)</w:t>
      </w:r>
      <w:r w:rsidR="00132717">
        <w:t>:</w:t>
      </w:r>
      <w:r w:rsidRPr="00E44F3E">
        <w:t xml:space="preserve"> 555</w:t>
      </w:r>
      <w:r w:rsidR="001E3547">
        <w:t>–</w:t>
      </w:r>
      <w:r w:rsidRPr="00E44F3E">
        <w:t xml:space="preserve">66. </w:t>
      </w:r>
      <w:r w:rsidR="00F66491">
        <w:t xml:space="preserve">URL: </w:t>
      </w:r>
      <w:hyperlink r:id="rId173" w:history="1">
        <w:r w:rsidR="005727CA" w:rsidRPr="00E44F3E">
          <w:rPr>
            <w:rStyle w:val="Hyperlink"/>
          </w:rPr>
          <w:t>https://doi.org/10.1016/s0140-6736(17)31266-7</w:t>
        </w:r>
      </w:hyperlink>
      <w:r w:rsidR="00B1682D" w:rsidRPr="00D1611C">
        <w:t xml:space="preserve"> </w:t>
      </w:r>
      <w:r w:rsidR="00D1611C" w:rsidRPr="00D1611C">
        <w:t>(accessed 11 September 2024).</w:t>
      </w:r>
    </w:p>
    <w:p w14:paraId="2C20F66C" w14:textId="64350CCF" w:rsidR="00303303" w:rsidRPr="00E44F3E" w:rsidRDefault="00303303" w:rsidP="00303303">
      <w:pPr>
        <w:pStyle w:val="References"/>
      </w:pPr>
      <w:proofErr w:type="spellStart"/>
      <w:r w:rsidRPr="00E44F3E">
        <w:t>Réa</w:t>
      </w:r>
      <w:proofErr w:type="spellEnd"/>
      <w:r w:rsidRPr="00E44F3E">
        <w:t xml:space="preserve"> D, </w:t>
      </w:r>
      <w:proofErr w:type="spellStart"/>
      <w:r w:rsidRPr="00E44F3E">
        <w:t>Boquimpani</w:t>
      </w:r>
      <w:proofErr w:type="spellEnd"/>
      <w:r w:rsidRPr="00E44F3E">
        <w:t xml:space="preserve"> C, Mauro MJ, </w:t>
      </w:r>
      <w:r w:rsidR="0076702D" w:rsidRPr="0076702D">
        <w:t>et al</w:t>
      </w:r>
      <w:r w:rsidRPr="00E44F3E">
        <w:t xml:space="preserve">. 2023. Health-related quality of life of patients with resistant/intolerant chronic phase chronic myeloid </w:t>
      </w:r>
      <w:proofErr w:type="spellStart"/>
      <w:r w:rsidRPr="00E44F3E">
        <w:t>leukemia</w:t>
      </w:r>
      <w:proofErr w:type="spellEnd"/>
      <w:r w:rsidRPr="00E44F3E">
        <w:t xml:space="preserve"> treated with </w:t>
      </w:r>
      <w:proofErr w:type="spellStart"/>
      <w:r w:rsidRPr="00E44F3E">
        <w:t>asciminib</w:t>
      </w:r>
      <w:proofErr w:type="spellEnd"/>
      <w:r w:rsidRPr="00E44F3E">
        <w:t xml:space="preserve"> or bosutinib in the phase 3 ASCEMBL trial. </w:t>
      </w:r>
      <w:proofErr w:type="spellStart"/>
      <w:r w:rsidRPr="00E44F3E">
        <w:rPr>
          <w:i/>
        </w:rPr>
        <w:t>Leukemia</w:t>
      </w:r>
      <w:proofErr w:type="spellEnd"/>
      <w:r w:rsidRPr="003436CC">
        <w:t xml:space="preserve"> 37</w:t>
      </w:r>
      <w:r w:rsidRPr="00E44F3E">
        <w:t>(5)</w:t>
      </w:r>
      <w:r w:rsidR="00132717">
        <w:t>:</w:t>
      </w:r>
      <w:r w:rsidRPr="00E44F3E">
        <w:t xml:space="preserve"> 1060</w:t>
      </w:r>
      <w:r w:rsidR="001E3547">
        <w:t>–</w:t>
      </w:r>
      <w:r w:rsidRPr="00E44F3E">
        <w:t xml:space="preserve">7. </w:t>
      </w:r>
      <w:r w:rsidR="00F66491">
        <w:t xml:space="preserve">URL: </w:t>
      </w:r>
      <w:hyperlink r:id="rId174" w:history="1">
        <w:r w:rsidR="005727CA" w:rsidRPr="00E44F3E">
          <w:rPr>
            <w:rStyle w:val="Hyperlink"/>
          </w:rPr>
          <w:t>https://doi.org/10.1038/s41375-023-01888-y</w:t>
        </w:r>
      </w:hyperlink>
      <w:r w:rsidR="00B1682D" w:rsidRPr="00D1611C">
        <w:t xml:space="preserve"> </w:t>
      </w:r>
      <w:r w:rsidR="00D1611C" w:rsidRPr="00D1611C">
        <w:t>(accessed 11 September 2024).</w:t>
      </w:r>
    </w:p>
    <w:p w14:paraId="079A5445" w14:textId="21C10E5B" w:rsidR="00303303" w:rsidRPr="00E44F3E" w:rsidRDefault="00303303" w:rsidP="00303303">
      <w:pPr>
        <w:pStyle w:val="References"/>
      </w:pPr>
      <w:r w:rsidRPr="00E44F3E">
        <w:lastRenderedPageBreak/>
        <w:t xml:space="preserve">Richardson PG, Oriol A, </w:t>
      </w:r>
      <w:proofErr w:type="spellStart"/>
      <w:r w:rsidRPr="00E44F3E">
        <w:t>Beksac</w:t>
      </w:r>
      <w:proofErr w:type="spellEnd"/>
      <w:r w:rsidRPr="00E44F3E">
        <w:t xml:space="preserve"> M, </w:t>
      </w:r>
      <w:r w:rsidR="0076702D" w:rsidRPr="0076702D">
        <w:t>et al</w:t>
      </w:r>
      <w:r w:rsidRPr="00E44F3E">
        <w:t xml:space="preserve">. 2019. Pomalidomide, bortezomib, and dexamethasone for patients with relapsed or refractory multiple myeloma previously treated with lenalidomide (OPTIMISMM): a randomised, open-label, phase 3 trial. </w:t>
      </w:r>
      <w:r w:rsidRPr="00E44F3E">
        <w:rPr>
          <w:i/>
        </w:rPr>
        <w:t>Lancet Oncol</w:t>
      </w:r>
      <w:r w:rsidR="00F9223E">
        <w:rPr>
          <w:i/>
        </w:rPr>
        <w:t>ogy</w:t>
      </w:r>
      <w:r w:rsidRPr="003436CC">
        <w:t xml:space="preserve"> 20</w:t>
      </w:r>
      <w:r w:rsidRPr="00E44F3E">
        <w:t>(6)</w:t>
      </w:r>
      <w:r w:rsidR="00132717">
        <w:t>:</w:t>
      </w:r>
      <w:r w:rsidRPr="00E44F3E">
        <w:t xml:space="preserve"> 781</w:t>
      </w:r>
      <w:r w:rsidR="001E3547">
        <w:t>–</w:t>
      </w:r>
      <w:r w:rsidRPr="00E44F3E">
        <w:t xml:space="preserve">94. </w:t>
      </w:r>
      <w:r w:rsidR="00F66491">
        <w:t xml:space="preserve">URL: </w:t>
      </w:r>
      <w:hyperlink r:id="rId175" w:history="1">
        <w:r w:rsidR="005727CA" w:rsidRPr="00E44F3E">
          <w:rPr>
            <w:rStyle w:val="Hyperlink"/>
          </w:rPr>
          <w:t>https://doi.org/10.1016/s1470-2045(19)30152-4</w:t>
        </w:r>
      </w:hyperlink>
      <w:r w:rsidR="00B1682D" w:rsidRPr="00D1611C">
        <w:t xml:space="preserve"> </w:t>
      </w:r>
      <w:r w:rsidR="00D1611C" w:rsidRPr="00D1611C">
        <w:t>(accessed 11 September 2024).</w:t>
      </w:r>
    </w:p>
    <w:p w14:paraId="469F9609" w14:textId="05C95012" w:rsidR="00303303" w:rsidRPr="00E44F3E" w:rsidRDefault="00303303" w:rsidP="00303303">
      <w:pPr>
        <w:pStyle w:val="References"/>
      </w:pPr>
      <w:r w:rsidRPr="00E44F3E">
        <w:t xml:space="preserve">Richardson PG, </w:t>
      </w:r>
      <w:proofErr w:type="spellStart"/>
      <w:r w:rsidRPr="00E44F3E">
        <w:t>Schjesvold</w:t>
      </w:r>
      <w:proofErr w:type="spellEnd"/>
      <w:r w:rsidRPr="00E44F3E">
        <w:t xml:space="preserve"> F, </w:t>
      </w:r>
      <w:proofErr w:type="spellStart"/>
      <w:r w:rsidRPr="00E44F3E">
        <w:t>Weisel</w:t>
      </w:r>
      <w:proofErr w:type="spellEnd"/>
      <w:r w:rsidRPr="00E44F3E">
        <w:t xml:space="preserve"> K, </w:t>
      </w:r>
      <w:r w:rsidR="0076702D" w:rsidRPr="0076702D">
        <w:t>et al</w:t>
      </w:r>
      <w:r w:rsidRPr="00E44F3E">
        <w:t xml:space="preserve">. 2022. Pomalidomide, bortezomib, and dexamethasone at first relapse in lenalidomide-pretreated myeloma: A </w:t>
      </w:r>
      <w:proofErr w:type="spellStart"/>
      <w:r w:rsidRPr="00E44F3E">
        <w:t>subanalysis</w:t>
      </w:r>
      <w:proofErr w:type="spellEnd"/>
      <w:r w:rsidRPr="00E44F3E">
        <w:t xml:space="preserve"> of OPTIMISMM by clinical characteristics. </w:t>
      </w:r>
      <w:r w:rsidR="00F9223E" w:rsidRPr="00F9223E">
        <w:rPr>
          <w:i/>
        </w:rPr>
        <w:t>European Journal of Haematology</w:t>
      </w:r>
      <w:r w:rsidRPr="003436CC">
        <w:t xml:space="preserve"> 108</w:t>
      </w:r>
      <w:r w:rsidRPr="00E44F3E">
        <w:t>(1)</w:t>
      </w:r>
      <w:r w:rsidR="00132717">
        <w:t>:</w:t>
      </w:r>
      <w:r w:rsidRPr="00E44F3E">
        <w:t xml:space="preserve"> 73</w:t>
      </w:r>
      <w:r w:rsidR="001E3547">
        <w:t>–</w:t>
      </w:r>
      <w:r w:rsidRPr="00E44F3E">
        <w:t xml:space="preserve">83. </w:t>
      </w:r>
      <w:r w:rsidR="00F66491">
        <w:t xml:space="preserve">URL: </w:t>
      </w:r>
      <w:hyperlink r:id="rId176" w:history="1">
        <w:r w:rsidR="005727CA" w:rsidRPr="00E44F3E">
          <w:rPr>
            <w:rStyle w:val="Hyperlink"/>
          </w:rPr>
          <w:t>https://doi.org/10.1111/ejh.13706</w:t>
        </w:r>
      </w:hyperlink>
      <w:r w:rsidR="00B1682D" w:rsidRPr="00D1611C">
        <w:t xml:space="preserve"> </w:t>
      </w:r>
      <w:r w:rsidR="00D1611C" w:rsidRPr="00D1611C">
        <w:t>(accessed 11 September 2024).</w:t>
      </w:r>
    </w:p>
    <w:p w14:paraId="734BAF3C" w14:textId="163F2E3A" w:rsidR="00303303" w:rsidRPr="00E44F3E" w:rsidRDefault="00303303" w:rsidP="00303303">
      <w:pPr>
        <w:pStyle w:val="References"/>
      </w:pPr>
      <w:r w:rsidRPr="00E44F3E">
        <w:t xml:space="preserve">Rule S, </w:t>
      </w:r>
      <w:proofErr w:type="spellStart"/>
      <w:r w:rsidRPr="00E44F3E">
        <w:t>Jurczak</w:t>
      </w:r>
      <w:proofErr w:type="spellEnd"/>
      <w:r w:rsidRPr="00E44F3E">
        <w:t xml:space="preserve"> W, </w:t>
      </w:r>
      <w:proofErr w:type="spellStart"/>
      <w:r w:rsidRPr="00E44F3E">
        <w:t>Jerkeman</w:t>
      </w:r>
      <w:proofErr w:type="spellEnd"/>
      <w:r w:rsidRPr="00E44F3E">
        <w:t xml:space="preserve"> M, </w:t>
      </w:r>
      <w:r w:rsidR="0076702D" w:rsidRPr="0076702D">
        <w:t>et al</w:t>
      </w:r>
      <w:r w:rsidRPr="00E44F3E">
        <w:t xml:space="preserve">. 2018. Ibrutinib versus </w:t>
      </w:r>
      <w:proofErr w:type="spellStart"/>
      <w:r w:rsidRPr="00E44F3E">
        <w:t>temsirolimus</w:t>
      </w:r>
      <w:proofErr w:type="spellEnd"/>
      <w:r w:rsidRPr="00E44F3E">
        <w:t xml:space="preserve">: 3-year follow-up of patients with previously treated mantle cell lymphoma from the phase 3, international, randomized, open-label RAY study. </w:t>
      </w:r>
      <w:proofErr w:type="spellStart"/>
      <w:r w:rsidRPr="00E44F3E">
        <w:rPr>
          <w:i/>
        </w:rPr>
        <w:t>Leukemia</w:t>
      </w:r>
      <w:proofErr w:type="spellEnd"/>
      <w:r w:rsidRPr="003436CC">
        <w:t xml:space="preserve"> 32</w:t>
      </w:r>
      <w:r w:rsidRPr="00E44F3E">
        <w:t>(8)</w:t>
      </w:r>
      <w:r w:rsidR="00132717">
        <w:t>:</w:t>
      </w:r>
      <w:r w:rsidRPr="00E44F3E">
        <w:t xml:space="preserve"> 1799</w:t>
      </w:r>
      <w:r w:rsidR="001E3547">
        <w:t>–</w:t>
      </w:r>
      <w:r w:rsidRPr="00E44F3E">
        <w:t xml:space="preserve">1803. </w:t>
      </w:r>
      <w:r w:rsidR="00F66491">
        <w:t xml:space="preserve">URL: </w:t>
      </w:r>
      <w:hyperlink r:id="rId177" w:history="1">
        <w:r w:rsidR="005727CA" w:rsidRPr="00E44F3E">
          <w:rPr>
            <w:rStyle w:val="Hyperlink"/>
          </w:rPr>
          <w:t>https://doi.org/10.1038/s41375-018-0023-2</w:t>
        </w:r>
      </w:hyperlink>
      <w:r w:rsidR="00B1682D" w:rsidRPr="00D1611C">
        <w:t xml:space="preserve"> </w:t>
      </w:r>
      <w:r w:rsidR="00D1611C" w:rsidRPr="00D1611C">
        <w:t>(accessed 11 September 2024).</w:t>
      </w:r>
    </w:p>
    <w:p w14:paraId="398E7414" w14:textId="1104D3DB" w:rsidR="00303303" w:rsidRPr="00E44F3E" w:rsidRDefault="00303303" w:rsidP="00303303">
      <w:pPr>
        <w:pStyle w:val="References"/>
      </w:pPr>
      <w:proofErr w:type="spellStart"/>
      <w:r w:rsidRPr="00E44F3E">
        <w:t>Sanchorawala</w:t>
      </w:r>
      <w:proofErr w:type="spellEnd"/>
      <w:r w:rsidRPr="00E44F3E">
        <w:t xml:space="preserve"> V, </w:t>
      </w:r>
      <w:proofErr w:type="spellStart"/>
      <w:r w:rsidRPr="00E44F3E">
        <w:t>Palladini</w:t>
      </w:r>
      <w:proofErr w:type="spellEnd"/>
      <w:r w:rsidRPr="00E44F3E">
        <w:t xml:space="preserve"> G, </w:t>
      </w:r>
      <w:proofErr w:type="spellStart"/>
      <w:r w:rsidRPr="00E44F3E">
        <w:t>Minnema</w:t>
      </w:r>
      <w:proofErr w:type="spellEnd"/>
      <w:r w:rsidRPr="00E44F3E">
        <w:t xml:space="preserve"> MC, </w:t>
      </w:r>
      <w:r w:rsidR="0076702D" w:rsidRPr="0076702D">
        <w:t>et al</w:t>
      </w:r>
      <w:r w:rsidRPr="00E44F3E">
        <w:t>. 2022. Health-related quality of life in patients with light chain amyloidosis treated with bortezomib, cyclophosphamide, and dexamethasone</w:t>
      </w:r>
      <w:r w:rsidRPr="00E44F3E">
        <w:rPr>
          <w:rFonts w:ascii="Arial" w:hAnsi="Arial" w:cs="Arial"/>
        </w:rPr>
        <w:t> </w:t>
      </w:r>
      <w:r w:rsidRPr="00E44F3E">
        <w:rPr>
          <w:rFonts w:cs="Fira Sans"/>
        </w:rPr>
        <w:t>±</w:t>
      </w:r>
      <w:r w:rsidRPr="00E44F3E">
        <w:rPr>
          <w:rFonts w:ascii="Arial" w:hAnsi="Arial" w:cs="Arial"/>
        </w:rPr>
        <w:t> </w:t>
      </w:r>
      <w:r w:rsidRPr="00E44F3E">
        <w:t xml:space="preserve">daratumumab: Results from the ANDROMEDA study. </w:t>
      </w:r>
      <w:r w:rsidR="00F9223E" w:rsidRPr="00F9223E">
        <w:rPr>
          <w:i/>
        </w:rPr>
        <w:t xml:space="preserve">American Journal of </w:t>
      </w:r>
      <w:proofErr w:type="spellStart"/>
      <w:r w:rsidR="00F9223E" w:rsidRPr="00F9223E">
        <w:rPr>
          <w:i/>
        </w:rPr>
        <w:t>Hematology</w:t>
      </w:r>
      <w:proofErr w:type="spellEnd"/>
      <w:r w:rsidRPr="003436CC">
        <w:t xml:space="preserve"> 97</w:t>
      </w:r>
      <w:r w:rsidRPr="00E44F3E">
        <w:t>(6)</w:t>
      </w:r>
      <w:r w:rsidR="00132717">
        <w:t>:</w:t>
      </w:r>
      <w:r w:rsidRPr="00E44F3E">
        <w:t xml:space="preserve"> 719</w:t>
      </w:r>
      <w:r w:rsidR="001E3547">
        <w:t>–</w:t>
      </w:r>
      <w:r w:rsidRPr="00E44F3E">
        <w:t xml:space="preserve">30. </w:t>
      </w:r>
      <w:r w:rsidR="00F66491">
        <w:t xml:space="preserve">URL: </w:t>
      </w:r>
      <w:hyperlink r:id="rId178" w:history="1">
        <w:r w:rsidR="005727CA" w:rsidRPr="00E44F3E">
          <w:rPr>
            <w:rStyle w:val="Hyperlink"/>
          </w:rPr>
          <w:t>https://doi.org/10.1002/ajh.26536</w:t>
        </w:r>
      </w:hyperlink>
      <w:r w:rsidR="00B1682D" w:rsidRPr="00D1611C">
        <w:t xml:space="preserve"> </w:t>
      </w:r>
      <w:r w:rsidR="00D1611C" w:rsidRPr="00D1611C">
        <w:t>(accessed 11 September 2024).</w:t>
      </w:r>
    </w:p>
    <w:p w14:paraId="2907F0AB" w14:textId="18FF8340" w:rsidR="00303303" w:rsidRPr="00E44F3E" w:rsidRDefault="00303303" w:rsidP="00303303">
      <w:pPr>
        <w:pStyle w:val="References"/>
      </w:pPr>
      <w:r w:rsidRPr="00E44F3E">
        <w:t xml:space="preserve">Sarfati D, Blakely T, Pearce N. 2010. Measuring cancer survival in populations: relative survival vs cancer-specific survival. </w:t>
      </w:r>
      <w:r w:rsidR="00F9223E" w:rsidRPr="00F9223E">
        <w:rPr>
          <w:i/>
        </w:rPr>
        <w:t xml:space="preserve">International Journal of Epidemiology </w:t>
      </w:r>
      <w:r w:rsidRPr="003436CC">
        <w:t>39</w:t>
      </w:r>
      <w:r w:rsidRPr="00E44F3E">
        <w:t>(2)</w:t>
      </w:r>
      <w:r w:rsidR="00132717">
        <w:t>:</w:t>
      </w:r>
      <w:r w:rsidRPr="00E44F3E">
        <w:t xml:space="preserve"> 598</w:t>
      </w:r>
      <w:r w:rsidR="001E3547">
        <w:t>–</w:t>
      </w:r>
      <w:r w:rsidRPr="00E44F3E">
        <w:t xml:space="preserve">610. </w:t>
      </w:r>
      <w:r w:rsidR="00F66491">
        <w:t xml:space="preserve">URL: </w:t>
      </w:r>
      <w:hyperlink r:id="rId179" w:history="1">
        <w:r w:rsidR="005727CA" w:rsidRPr="00E44F3E">
          <w:rPr>
            <w:rStyle w:val="Hyperlink"/>
          </w:rPr>
          <w:t>https://doi.org/10.1093/ije/dyp392</w:t>
        </w:r>
      </w:hyperlink>
      <w:r w:rsidR="00B1682D" w:rsidRPr="00D1611C">
        <w:t xml:space="preserve"> </w:t>
      </w:r>
      <w:r w:rsidR="00D1611C" w:rsidRPr="00D1611C">
        <w:t>(accessed 11 September 2024).</w:t>
      </w:r>
    </w:p>
    <w:p w14:paraId="30A89BF3" w14:textId="4486A33E" w:rsidR="00303303" w:rsidRPr="00E44F3E" w:rsidRDefault="00303303" w:rsidP="00303303">
      <w:pPr>
        <w:pStyle w:val="References"/>
      </w:pPr>
      <w:r w:rsidRPr="00E44F3E">
        <w:t xml:space="preserve">Savage P, Mahmoud S, Patel Y, </w:t>
      </w:r>
      <w:r w:rsidR="008471D0" w:rsidRPr="008471D0">
        <w:t>et al</w:t>
      </w:r>
      <w:r w:rsidRPr="00E44F3E">
        <w:t xml:space="preserve">. 2017. Cancer Drugs: An International Comparison of </w:t>
      </w:r>
      <w:proofErr w:type="spellStart"/>
      <w:r w:rsidRPr="00E44F3E">
        <w:t>Postlicensing</w:t>
      </w:r>
      <w:proofErr w:type="spellEnd"/>
      <w:r w:rsidRPr="00E44F3E">
        <w:t xml:space="preserve"> Price Inflation. </w:t>
      </w:r>
      <w:r w:rsidR="007E3B97" w:rsidRPr="007E3B97">
        <w:rPr>
          <w:i/>
        </w:rPr>
        <w:t xml:space="preserve">Journal of Oncology Practice </w:t>
      </w:r>
      <w:r w:rsidRPr="003436CC">
        <w:t>13</w:t>
      </w:r>
      <w:r w:rsidRPr="00E44F3E">
        <w:t>(6)</w:t>
      </w:r>
      <w:r w:rsidR="00F9223E">
        <w:t>:</w:t>
      </w:r>
      <w:r w:rsidRPr="00E44F3E">
        <w:t xml:space="preserve"> e538</w:t>
      </w:r>
      <w:r w:rsidR="00F9223E">
        <w:t>–</w:t>
      </w:r>
      <w:r w:rsidRPr="00E44F3E">
        <w:t xml:space="preserve">42. </w:t>
      </w:r>
      <w:r w:rsidR="00F66491">
        <w:t xml:space="preserve">URL: </w:t>
      </w:r>
      <w:hyperlink r:id="rId180" w:history="1">
        <w:r w:rsidR="005727CA" w:rsidRPr="00E44F3E">
          <w:rPr>
            <w:rStyle w:val="Hyperlink"/>
          </w:rPr>
          <w:t>https://doi.org/10.1200/jop.2016.014431</w:t>
        </w:r>
      </w:hyperlink>
      <w:r w:rsidR="00B1682D" w:rsidRPr="00D1611C">
        <w:t xml:space="preserve"> </w:t>
      </w:r>
      <w:r w:rsidR="00D1611C" w:rsidRPr="00D1611C">
        <w:t>(accessed 11 September 2024).</w:t>
      </w:r>
    </w:p>
    <w:p w14:paraId="4F738C39" w14:textId="0AB1F5C6" w:rsidR="00303303" w:rsidRPr="00E44F3E" w:rsidRDefault="00303303" w:rsidP="00303303">
      <w:pPr>
        <w:pStyle w:val="References"/>
      </w:pPr>
      <w:r w:rsidRPr="00E44F3E">
        <w:t xml:space="preserve">Sharman JP, </w:t>
      </w:r>
      <w:proofErr w:type="spellStart"/>
      <w:r w:rsidRPr="00E44F3E">
        <w:t>Egyed</w:t>
      </w:r>
      <w:proofErr w:type="spellEnd"/>
      <w:r w:rsidRPr="00E44F3E">
        <w:t xml:space="preserve"> M, </w:t>
      </w:r>
      <w:proofErr w:type="spellStart"/>
      <w:r w:rsidRPr="00E44F3E">
        <w:t>Jurczak</w:t>
      </w:r>
      <w:proofErr w:type="spellEnd"/>
      <w:r w:rsidRPr="00E44F3E">
        <w:t xml:space="preserve"> W, </w:t>
      </w:r>
      <w:r w:rsidR="008471D0" w:rsidRPr="008471D0">
        <w:t>et al</w:t>
      </w:r>
      <w:r w:rsidRPr="00E44F3E">
        <w:t xml:space="preserve">. 2020. Acalabrutinib with or without </w:t>
      </w:r>
      <w:proofErr w:type="spellStart"/>
      <w:r w:rsidRPr="00E44F3E">
        <w:t>obinutuzumab</w:t>
      </w:r>
      <w:proofErr w:type="spellEnd"/>
      <w:r w:rsidRPr="00E44F3E">
        <w:t xml:space="preserve"> versus chlorambucil and </w:t>
      </w:r>
      <w:proofErr w:type="spellStart"/>
      <w:r w:rsidRPr="00E44F3E">
        <w:t>obinutuzmab</w:t>
      </w:r>
      <w:proofErr w:type="spellEnd"/>
      <w:r w:rsidRPr="00E44F3E">
        <w:t xml:space="preserve"> for treatment-naive chronic lymphocytic leukaemia (ELEVATE TN): a randomised, controlled, phase 3 trial. </w:t>
      </w:r>
      <w:r w:rsidRPr="00E44F3E">
        <w:rPr>
          <w:i/>
        </w:rPr>
        <w:t>Lancet</w:t>
      </w:r>
      <w:r w:rsidRPr="003436CC">
        <w:t xml:space="preserve"> 395</w:t>
      </w:r>
      <w:r w:rsidRPr="00E44F3E">
        <w:t>(10232)</w:t>
      </w:r>
      <w:r w:rsidR="00132717">
        <w:t>:</w:t>
      </w:r>
      <w:r w:rsidRPr="00E44F3E">
        <w:t xml:space="preserve"> 1278</w:t>
      </w:r>
      <w:r w:rsidR="001E3547">
        <w:t>–</w:t>
      </w:r>
      <w:r w:rsidRPr="00E44F3E">
        <w:t xml:space="preserve">91. </w:t>
      </w:r>
      <w:r w:rsidR="00F66491">
        <w:t xml:space="preserve">URL: </w:t>
      </w:r>
      <w:hyperlink r:id="rId181" w:history="1">
        <w:r w:rsidR="005727CA" w:rsidRPr="00E44F3E">
          <w:rPr>
            <w:rStyle w:val="Hyperlink"/>
          </w:rPr>
          <w:t>https://doi.org/10.1016/s0140-6736(20)30262-2</w:t>
        </w:r>
      </w:hyperlink>
      <w:r w:rsidR="00B1682D" w:rsidRPr="00D1611C">
        <w:t xml:space="preserve"> </w:t>
      </w:r>
      <w:r w:rsidR="00D1611C" w:rsidRPr="00D1611C">
        <w:t>(accessed 11 September 2024).</w:t>
      </w:r>
    </w:p>
    <w:p w14:paraId="1ED74378" w14:textId="54C55801" w:rsidR="00303303" w:rsidRPr="00E44F3E" w:rsidRDefault="00303303" w:rsidP="00303303">
      <w:pPr>
        <w:pStyle w:val="References"/>
      </w:pPr>
      <w:r w:rsidRPr="00E44F3E">
        <w:t xml:space="preserve">Sharman JP, Miranda P, </w:t>
      </w:r>
      <w:proofErr w:type="spellStart"/>
      <w:r w:rsidRPr="00E44F3E">
        <w:t>Roos</w:t>
      </w:r>
      <w:proofErr w:type="spellEnd"/>
      <w:r w:rsidRPr="00E44F3E">
        <w:t xml:space="preserve"> J, </w:t>
      </w:r>
      <w:r w:rsidR="008471D0" w:rsidRPr="008471D0">
        <w:t>et al</w:t>
      </w:r>
      <w:r w:rsidRPr="00E44F3E">
        <w:t xml:space="preserve">. 2023. Quality-adjusted survival time without symptoms or toxicity of acalabrutinib with or without </w:t>
      </w:r>
      <w:proofErr w:type="spellStart"/>
      <w:r w:rsidRPr="00E44F3E">
        <w:t>obinutuzumab</w:t>
      </w:r>
      <w:proofErr w:type="spellEnd"/>
      <w:r w:rsidRPr="00E44F3E">
        <w:t xml:space="preserve"> in patients with treatment-naive chronic lymphocytic </w:t>
      </w:r>
      <w:proofErr w:type="spellStart"/>
      <w:r w:rsidRPr="00E44F3E">
        <w:t>leukemia</w:t>
      </w:r>
      <w:proofErr w:type="spellEnd"/>
      <w:r w:rsidRPr="00E44F3E">
        <w:t xml:space="preserve">. </w:t>
      </w:r>
      <w:proofErr w:type="spellStart"/>
      <w:r w:rsidR="007E3B97" w:rsidRPr="007E3B97">
        <w:rPr>
          <w:i/>
        </w:rPr>
        <w:t>Leukemia</w:t>
      </w:r>
      <w:proofErr w:type="spellEnd"/>
      <w:r w:rsidR="007E3B97" w:rsidRPr="007E3B97">
        <w:rPr>
          <w:i/>
        </w:rPr>
        <w:t xml:space="preserve"> &amp; Lymphoma</w:t>
      </w:r>
      <w:r w:rsidRPr="003436CC">
        <w:t xml:space="preserve"> 64</w:t>
      </w:r>
      <w:r w:rsidRPr="00E44F3E">
        <w:t>(7)</w:t>
      </w:r>
      <w:r w:rsidR="00132717">
        <w:t>:</w:t>
      </w:r>
      <w:r w:rsidRPr="00E44F3E">
        <w:t xml:space="preserve"> 1243</w:t>
      </w:r>
      <w:r w:rsidR="001E3547">
        <w:t>–</w:t>
      </w:r>
      <w:r w:rsidRPr="00E44F3E">
        <w:t xml:space="preserve">52. </w:t>
      </w:r>
      <w:r w:rsidR="00F66491">
        <w:t xml:space="preserve">URL: </w:t>
      </w:r>
      <w:hyperlink r:id="rId182" w:history="1">
        <w:r w:rsidR="005727CA" w:rsidRPr="00E44F3E">
          <w:rPr>
            <w:rStyle w:val="Hyperlink"/>
          </w:rPr>
          <w:t>https://doi.org/10.1080/10428194.2023.2212433</w:t>
        </w:r>
      </w:hyperlink>
      <w:r w:rsidR="00B1682D" w:rsidRPr="00D1611C">
        <w:t xml:space="preserve"> </w:t>
      </w:r>
      <w:r w:rsidR="00D1611C" w:rsidRPr="00D1611C">
        <w:t>(accessed 11 September 2024).</w:t>
      </w:r>
    </w:p>
    <w:p w14:paraId="4344277D" w14:textId="704C04BC" w:rsidR="00303303" w:rsidRPr="00E44F3E" w:rsidRDefault="00303303" w:rsidP="00303303">
      <w:pPr>
        <w:pStyle w:val="References"/>
      </w:pPr>
      <w:r w:rsidRPr="00E44F3E">
        <w:t xml:space="preserve">Siegel DS, </w:t>
      </w:r>
      <w:proofErr w:type="spellStart"/>
      <w:r w:rsidRPr="00E44F3E">
        <w:t>Dimopoulos</w:t>
      </w:r>
      <w:proofErr w:type="spellEnd"/>
      <w:r w:rsidRPr="00E44F3E">
        <w:t xml:space="preserve"> MA, Ludwig H, </w:t>
      </w:r>
      <w:r w:rsidR="008471D0" w:rsidRPr="008471D0">
        <w:t>et al</w:t>
      </w:r>
      <w:r w:rsidRPr="00E44F3E">
        <w:t xml:space="preserve">. 2018. Improvement in </w:t>
      </w:r>
      <w:r w:rsidR="001660C2" w:rsidRPr="00E44F3E">
        <w:t>overall survival with carfilzomib, lenalidomide, and dexamethasone in patients with relapsed or refractory multiple myeloma</w:t>
      </w:r>
      <w:r w:rsidRPr="00E44F3E">
        <w:t xml:space="preserve">. </w:t>
      </w:r>
      <w:r w:rsidR="002B4DB4">
        <w:rPr>
          <w:i/>
        </w:rPr>
        <w:t>Journal of Clinical Oncology</w:t>
      </w:r>
      <w:r w:rsidRPr="003436CC">
        <w:t xml:space="preserve"> 36</w:t>
      </w:r>
      <w:r w:rsidRPr="00E44F3E">
        <w:t>(8)</w:t>
      </w:r>
      <w:r w:rsidR="00132717">
        <w:t>:</w:t>
      </w:r>
      <w:r w:rsidRPr="00E44F3E">
        <w:t xml:space="preserve"> 728</w:t>
      </w:r>
      <w:r w:rsidR="001E3547">
        <w:t>–</w:t>
      </w:r>
      <w:r w:rsidRPr="00E44F3E">
        <w:t xml:space="preserve">34. </w:t>
      </w:r>
      <w:r w:rsidR="00F66491">
        <w:t xml:space="preserve">URL: </w:t>
      </w:r>
      <w:hyperlink r:id="rId183" w:history="1">
        <w:r w:rsidR="005727CA" w:rsidRPr="00E44F3E">
          <w:rPr>
            <w:rStyle w:val="Hyperlink"/>
          </w:rPr>
          <w:t>https://doi.org/10.1200/jco.2017.76.5032</w:t>
        </w:r>
      </w:hyperlink>
      <w:r w:rsidR="00B1682D" w:rsidRPr="00D1611C">
        <w:t xml:space="preserve"> </w:t>
      </w:r>
      <w:r w:rsidR="00D1611C" w:rsidRPr="00D1611C">
        <w:t>(accessed 11 September 2024).</w:t>
      </w:r>
    </w:p>
    <w:p w14:paraId="28ABB889" w14:textId="1AA62144" w:rsidR="00303303" w:rsidRPr="00E44F3E" w:rsidRDefault="00303303" w:rsidP="00303303">
      <w:pPr>
        <w:pStyle w:val="References"/>
      </w:pPr>
      <w:proofErr w:type="spellStart"/>
      <w:r w:rsidRPr="00E44F3E">
        <w:t>Soeberg</w:t>
      </w:r>
      <w:proofErr w:type="spellEnd"/>
      <w:r w:rsidRPr="00E44F3E">
        <w:t xml:space="preserve"> M, Blakely T, Sarfati D. 2015. Trends in ethnic and socioeconomic inequalities in cancer survival, New Zealand</w:t>
      </w:r>
      <w:r w:rsidR="00132717">
        <w:t>:</w:t>
      </w:r>
      <w:r w:rsidRPr="00E44F3E">
        <w:t xml:space="preserve"> 1991</w:t>
      </w:r>
      <w:r w:rsidR="001E3547">
        <w:t>–</w:t>
      </w:r>
      <w:r w:rsidRPr="00E44F3E">
        <w:t xml:space="preserve">2004. </w:t>
      </w:r>
      <w:r w:rsidR="00323569" w:rsidRPr="00323569">
        <w:rPr>
          <w:i/>
        </w:rPr>
        <w:t>Cancer Epidemiology</w:t>
      </w:r>
      <w:r w:rsidRPr="003436CC">
        <w:t xml:space="preserve"> 39</w:t>
      </w:r>
      <w:r w:rsidRPr="00E44F3E">
        <w:t>(6)</w:t>
      </w:r>
      <w:r w:rsidR="00132717">
        <w:t>:</w:t>
      </w:r>
      <w:r w:rsidRPr="00E44F3E">
        <w:t xml:space="preserve"> 860</w:t>
      </w:r>
      <w:r w:rsidR="001E3547">
        <w:t>–</w:t>
      </w:r>
      <w:r w:rsidRPr="00E44F3E">
        <w:t xml:space="preserve">2. </w:t>
      </w:r>
      <w:r w:rsidR="00F66491">
        <w:t xml:space="preserve">URL: </w:t>
      </w:r>
      <w:hyperlink r:id="rId184" w:history="1">
        <w:r w:rsidR="005727CA" w:rsidRPr="00E44F3E">
          <w:rPr>
            <w:rStyle w:val="Hyperlink"/>
          </w:rPr>
          <w:t>https://doi.org/10.1016/j.canep.2015.10.018</w:t>
        </w:r>
      </w:hyperlink>
      <w:r w:rsidR="00B1682D" w:rsidRPr="00D1611C">
        <w:t xml:space="preserve"> </w:t>
      </w:r>
      <w:r w:rsidR="00D1611C" w:rsidRPr="00D1611C">
        <w:t>(accessed 11 September 2024).</w:t>
      </w:r>
    </w:p>
    <w:p w14:paraId="5ED3163E" w14:textId="51EA9C7C" w:rsidR="00303303" w:rsidRPr="00E44F3E" w:rsidRDefault="00303303" w:rsidP="00303303">
      <w:pPr>
        <w:pStyle w:val="References"/>
      </w:pPr>
      <w:r w:rsidRPr="00E44F3E">
        <w:t xml:space="preserve">Song Y, Zhou K, Zou D, </w:t>
      </w:r>
      <w:r w:rsidR="008471D0" w:rsidRPr="008471D0">
        <w:t>et al</w:t>
      </w:r>
      <w:r w:rsidRPr="00E44F3E">
        <w:t xml:space="preserve">. 2020. Treatment of </w:t>
      </w:r>
      <w:r w:rsidR="001660C2" w:rsidRPr="00E44F3E">
        <w:t xml:space="preserve">patients with relapsed or refractory mantle-cell lymphoma with </w:t>
      </w:r>
      <w:proofErr w:type="spellStart"/>
      <w:r w:rsidR="001660C2" w:rsidRPr="00E44F3E">
        <w:t>zanubrutinib</w:t>
      </w:r>
      <w:proofErr w:type="spellEnd"/>
      <w:r w:rsidR="001660C2" w:rsidRPr="00E44F3E">
        <w:t xml:space="preserve">, a selective inhibitor </w:t>
      </w:r>
      <w:r w:rsidRPr="00E44F3E">
        <w:t>of Bruton</w:t>
      </w:r>
      <w:r w:rsidR="004650A2" w:rsidRPr="00E44F3E">
        <w:t>’</w:t>
      </w:r>
      <w:r w:rsidRPr="00E44F3E">
        <w:t xml:space="preserve">s </w:t>
      </w:r>
      <w:r w:rsidR="001660C2" w:rsidRPr="00E44F3E">
        <w:t>tyrosine kinase</w:t>
      </w:r>
      <w:r w:rsidRPr="00E44F3E">
        <w:t xml:space="preserve">. </w:t>
      </w:r>
      <w:r w:rsidR="00323569" w:rsidRPr="00323569">
        <w:rPr>
          <w:i/>
        </w:rPr>
        <w:t>Clinical Cancer Research</w:t>
      </w:r>
      <w:r w:rsidRPr="003436CC">
        <w:t xml:space="preserve"> 26</w:t>
      </w:r>
      <w:r w:rsidRPr="00E44F3E">
        <w:t>(16)</w:t>
      </w:r>
      <w:r w:rsidR="00132717">
        <w:t>:</w:t>
      </w:r>
      <w:r w:rsidRPr="00E44F3E">
        <w:t xml:space="preserve"> 4216</w:t>
      </w:r>
      <w:r w:rsidR="001E3547">
        <w:t>–</w:t>
      </w:r>
      <w:r w:rsidRPr="00E44F3E">
        <w:t xml:space="preserve">24. </w:t>
      </w:r>
      <w:r w:rsidR="00F66491">
        <w:t xml:space="preserve">URL: </w:t>
      </w:r>
      <w:hyperlink r:id="rId185" w:history="1">
        <w:r w:rsidR="005727CA" w:rsidRPr="00E44F3E">
          <w:rPr>
            <w:rStyle w:val="Hyperlink"/>
          </w:rPr>
          <w:t>https://doi.org/10.1158/1078-0432.Ccr-19-3703</w:t>
        </w:r>
      </w:hyperlink>
      <w:r w:rsidR="00B1682D" w:rsidRPr="00D1611C">
        <w:t xml:space="preserve"> </w:t>
      </w:r>
      <w:r w:rsidR="00D1611C" w:rsidRPr="00D1611C">
        <w:t>(accessed 11 September 2024).</w:t>
      </w:r>
    </w:p>
    <w:p w14:paraId="63092462" w14:textId="4292EA9B" w:rsidR="00303303" w:rsidRPr="00E44F3E" w:rsidRDefault="00303303" w:rsidP="00303303">
      <w:pPr>
        <w:pStyle w:val="References"/>
      </w:pPr>
      <w:r w:rsidRPr="00E44F3E">
        <w:lastRenderedPageBreak/>
        <w:t xml:space="preserve">Song Y, Zhou K, Zou D, </w:t>
      </w:r>
      <w:r w:rsidR="008471D0" w:rsidRPr="008471D0">
        <w:t>et al</w:t>
      </w:r>
      <w:r w:rsidRPr="00E44F3E">
        <w:t xml:space="preserve">. 2022. Zanubrutinib in relapsed/refractory mantle cell lymphoma: long-term efficacy and safety results from a phase 2 study. </w:t>
      </w:r>
      <w:r w:rsidRPr="00E44F3E">
        <w:rPr>
          <w:i/>
        </w:rPr>
        <w:t>Blood</w:t>
      </w:r>
      <w:r w:rsidRPr="003436CC">
        <w:t xml:space="preserve"> 139</w:t>
      </w:r>
      <w:r w:rsidRPr="00E44F3E">
        <w:t>(21)</w:t>
      </w:r>
      <w:r w:rsidR="00132717">
        <w:t>:</w:t>
      </w:r>
      <w:r w:rsidRPr="00E44F3E">
        <w:t xml:space="preserve"> 3148</w:t>
      </w:r>
      <w:r w:rsidR="001E3547">
        <w:t>–</w:t>
      </w:r>
      <w:r w:rsidRPr="00E44F3E">
        <w:t xml:space="preserve">58. </w:t>
      </w:r>
      <w:r w:rsidR="00F66491">
        <w:t xml:space="preserve">URL: </w:t>
      </w:r>
      <w:hyperlink r:id="rId186" w:history="1">
        <w:r w:rsidR="005727CA" w:rsidRPr="00E44F3E">
          <w:rPr>
            <w:rStyle w:val="Hyperlink"/>
          </w:rPr>
          <w:t>https://doi.org/10.1182/blood.2021014162</w:t>
        </w:r>
      </w:hyperlink>
      <w:r w:rsidR="00B1682D" w:rsidRPr="00D1611C">
        <w:t xml:space="preserve"> </w:t>
      </w:r>
      <w:r w:rsidR="00D1611C" w:rsidRPr="00D1611C">
        <w:t>(accessed 11 September 2024).</w:t>
      </w:r>
    </w:p>
    <w:p w14:paraId="70C5B7F6" w14:textId="0A90F047" w:rsidR="00303303" w:rsidRPr="00E44F3E" w:rsidRDefault="00303303" w:rsidP="00303303">
      <w:pPr>
        <w:pStyle w:val="References"/>
      </w:pPr>
      <w:r w:rsidRPr="00E44F3E">
        <w:t xml:space="preserve">Stewart AK, </w:t>
      </w:r>
      <w:proofErr w:type="spellStart"/>
      <w:r w:rsidRPr="00E44F3E">
        <w:t>Dimopoulos</w:t>
      </w:r>
      <w:proofErr w:type="spellEnd"/>
      <w:r w:rsidRPr="00E44F3E">
        <w:t xml:space="preserve"> MA, </w:t>
      </w:r>
      <w:proofErr w:type="spellStart"/>
      <w:r w:rsidRPr="00E44F3E">
        <w:t>Masszi</w:t>
      </w:r>
      <w:proofErr w:type="spellEnd"/>
      <w:r w:rsidRPr="00E44F3E">
        <w:t xml:space="preserve"> T, </w:t>
      </w:r>
      <w:r w:rsidR="008471D0" w:rsidRPr="008471D0">
        <w:t>et al</w:t>
      </w:r>
      <w:r w:rsidRPr="00E44F3E">
        <w:t>. 2016. Health-</w:t>
      </w:r>
      <w:r w:rsidR="001660C2" w:rsidRPr="00E44F3E">
        <w:t xml:space="preserve">related quality-of-life results from the open-label, randomized, phase </w:t>
      </w:r>
      <w:r w:rsidRPr="00E44F3E">
        <w:t xml:space="preserve">III ASPIRE </w:t>
      </w:r>
      <w:r w:rsidR="001660C2" w:rsidRPr="00E44F3E">
        <w:t>trial evaluating carfilzomib, lenalidomide, and dexamethasone versus lenalidomide and dexamethasone in patients with relapsed multiple myeloma</w:t>
      </w:r>
      <w:r w:rsidRPr="00E44F3E">
        <w:t xml:space="preserve">. </w:t>
      </w:r>
      <w:r w:rsidR="002B4DB4">
        <w:rPr>
          <w:i/>
        </w:rPr>
        <w:t>Journal of Clinical Oncology</w:t>
      </w:r>
      <w:r w:rsidRPr="003436CC">
        <w:t xml:space="preserve"> 34</w:t>
      </w:r>
      <w:r w:rsidRPr="00E44F3E">
        <w:t>(32)</w:t>
      </w:r>
      <w:r w:rsidR="00132717">
        <w:t>:</w:t>
      </w:r>
      <w:r w:rsidRPr="00E44F3E">
        <w:t xml:space="preserve"> 3921</w:t>
      </w:r>
      <w:r w:rsidR="001E3547">
        <w:t>–</w:t>
      </w:r>
      <w:r w:rsidRPr="00E44F3E">
        <w:t xml:space="preserve">30. </w:t>
      </w:r>
      <w:r w:rsidR="00F66491">
        <w:t xml:space="preserve">URL: </w:t>
      </w:r>
      <w:hyperlink r:id="rId187" w:history="1">
        <w:r w:rsidR="005727CA" w:rsidRPr="00E44F3E">
          <w:rPr>
            <w:rStyle w:val="Hyperlink"/>
          </w:rPr>
          <w:t>https://doi.org/10.1200/jco.2016.66.9648</w:t>
        </w:r>
      </w:hyperlink>
      <w:r w:rsidR="00B1682D" w:rsidRPr="00D1611C">
        <w:t xml:space="preserve"> </w:t>
      </w:r>
      <w:r w:rsidR="00D1611C" w:rsidRPr="00D1611C">
        <w:t>(accessed 11 September 2024).</w:t>
      </w:r>
    </w:p>
    <w:p w14:paraId="6C2F5BF0" w14:textId="774DEE58" w:rsidR="00303303" w:rsidRPr="00E44F3E" w:rsidRDefault="00303303" w:rsidP="00303303">
      <w:pPr>
        <w:pStyle w:val="References"/>
      </w:pPr>
      <w:r w:rsidRPr="00E44F3E">
        <w:t xml:space="preserve">Stewart AK, Rajkumar SV, </w:t>
      </w:r>
      <w:proofErr w:type="spellStart"/>
      <w:r w:rsidRPr="00E44F3E">
        <w:t>Dimopoulos</w:t>
      </w:r>
      <w:proofErr w:type="spellEnd"/>
      <w:r w:rsidRPr="00E44F3E">
        <w:t xml:space="preserve"> MA, </w:t>
      </w:r>
      <w:r w:rsidR="00B11EE6" w:rsidRPr="00B11EE6">
        <w:t>et al</w:t>
      </w:r>
      <w:r w:rsidRPr="00E44F3E">
        <w:t xml:space="preserve">. 2015. Carfilzomib, </w:t>
      </w:r>
      <w:r w:rsidR="001660C2" w:rsidRPr="00E44F3E">
        <w:t xml:space="preserve">lenalidomide, and dexamethasone for relapsed multiple myeloma. </w:t>
      </w:r>
      <w:r w:rsidRPr="00E44F3E">
        <w:rPr>
          <w:i/>
        </w:rPr>
        <w:t>New England Journal of Medicine</w:t>
      </w:r>
      <w:r w:rsidRPr="003436CC">
        <w:t xml:space="preserve"> 372</w:t>
      </w:r>
      <w:r w:rsidRPr="00E44F3E">
        <w:t>(2)</w:t>
      </w:r>
      <w:r w:rsidR="00132717">
        <w:t>:</w:t>
      </w:r>
      <w:r w:rsidRPr="00E44F3E">
        <w:t xml:space="preserve"> 142</w:t>
      </w:r>
      <w:r w:rsidR="001E3547">
        <w:t>–</w:t>
      </w:r>
      <w:r w:rsidRPr="00E44F3E">
        <w:t xml:space="preserve">52. </w:t>
      </w:r>
      <w:r w:rsidR="00F66491">
        <w:t xml:space="preserve">URL: </w:t>
      </w:r>
      <w:hyperlink r:id="rId188" w:history="1">
        <w:r w:rsidR="00690B63" w:rsidRPr="00335874">
          <w:rPr>
            <w:rStyle w:val="Hyperlink"/>
          </w:rPr>
          <w:t>https://doi.org/10.1056/NEJMoa1411321</w:t>
        </w:r>
      </w:hyperlink>
      <w:r w:rsidR="00B1682D" w:rsidRPr="00D1611C">
        <w:t xml:space="preserve"> </w:t>
      </w:r>
      <w:r w:rsidR="00D1611C" w:rsidRPr="00D1611C">
        <w:t>(accessed 11 September 2024).</w:t>
      </w:r>
    </w:p>
    <w:p w14:paraId="6FE704E3" w14:textId="14805D7F" w:rsidR="00303303" w:rsidRPr="00E44F3E" w:rsidRDefault="00303303" w:rsidP="00303303">
      <w:pPr>
        <w:pStyle w:val="References"/>
      </w:pPr>
      <w:r w:rsidRPr="00E44F3E">
        <w:t xml:space="preserve">Stone RM, </w:t>
      </w:r>
      <w:proofErr w:type="spellStart"/>
      <w:r w:rsidRPr="00E44F3E">
        <w:t>Mandrekar</w:t>
      </w:r>
      <w:proofErr w:type="spellEnd"/>
      <w:r w:rsidRPr="00E44F3E">
        <w:t xml:space="preserve"> SJ, Sanford BL,</w:t>
      </w:r>
      <w:r w:rsidR="00B11EE6" w:rsidRPr="00B11EE6">
        <w:t xml:space="preserve"> et al</w:t>
      </w:r>
      <w:r w:rsidRPr="00E44F3E">
        <w:t xml:space="preserve">. 2017. </w:t>
      </w:r>
      <w:proofErr w:type="spellStart"/>
      <w:r w:rsidRPr="00E44F3E">
        <w:t>Midostaurin</w:t>
      </w:r>
      <w:proofErr w:type="spellEnd"/>
      <w:r w:rsidRPr="00E44F3E">
        <w:t xml:space="preserve"> plus </w:t>
      </w:r>
      <w:r w:rsidR="001660C2" w:rsidRPr="00E44F3E">
        <w:t xml:space="preserve">chemotherapy for acute myeloid </w:t>
      </w:r>
      <w:proofErr w:type="spellStart"/>
      <w:r w:rsidR="001660C2" w:rsidRPr="00E44F3E">
        <w:t>leukemia</w:t>
      </w:r>
      <w:proofErr w:type="spellEnd"/>
      <w:r w:rsidR="001660C2" w:rsidRPr="00E44F3E">
        <w:t xml:space="preserve"> </w:t>
      </w:r>
      <w:r w:rsidRPr="00E44F3E">
        <w:t xml:space="preserve">with a FLT3 </w:t>
      </w:r>
      <w:r w:rsidR="001660C2" w:rsidRPr="00E44F3E">
        <w:t>mutation</w:t>
      </w:r>
      <w:r w:rsidRPr="00E44F3E">
        <w:t xml:space="preserve">. </w:t>
      </w:r>
      <w:r w:rsidRPr="00E44F3E">
        <w:rPr>
          <w:i/>
        </w:rPr>
        <w:t>New England Journal of Medicine</w:t>
      </w:r>
      <w:r w:rsidRPr="003436CC">
        <w:t xml:space="preserve"> 377</w:t>
      </w:r>
      <w:r w:rsidRPr="00E44F3E">
        <w:t>(5)</w:t>
      </w:r>
      <w:r w:rsidR="00132717">
        <w:t>:</w:t>
      </w:r>
      <w:r w:rsidRPr="00E44F3E">
        <w:t xml:space="preserve"> 454</w:t>
      </w:r>
      <w:r w:rsidR="001E3547">
        <w:t>–</w:t>
      </w:r>
      <w:r w:rsidRPr="00E44F3E">
        <w:t xml:space="preserve">64. </w:t>
      </w:r>
      <w:r w:rsidR="00F66491">
        <w:t xml:space="preserve">URL: </w:t>
      </w:r>
      <w:hyperlink r:id="rId189" w:history="1">
        <w:r w:rsidR="00690B63" w:rsidRPr="00335874">
          <w:rPr>
            <w:rStyle w:val="Hyperlink"/>
          </w:rPr>
          <w:t>https://doi.org/10.1056/NEJMoa1614359</w:t>
        </w:r>
      </w:hyperlink>
      <w:r w:rsidR="00B1682D" w:rsidRPr="00D1611C">
        <w:t xml:space="preserve"> </w:t>
      </w:r>
      <w:r w:rsidR="00D1611C" w:rsidRPr="00D1611C">
        <w:t>(accessed 11 September 2024).</w:t>
      </w:r>
    </w:p>
    <w:p w14:paraId="0CB37EAA" w14:textId="351E0BA2" w:rsidR="00303303" w:rsidRPr="00E44F3E" w:rsidRDefault="00303303" w:rsidP="00303303">
      <w:pPr>
        <w:pStyle w:val="References"/>
      </w:pPr>
      <w:r w:rsidRPr="00E44F3E">
        <w:t xml:space="preserve">Tam CS, Brown JR, Kahl BS, </w:t>
      </w:r>
      <w:r w:rsidR="00B11EE6" w:rsidRPr="00B11EE6">
        <w:t>et al</w:t>
      </w:r>
      <w:r w:rsidRPr="00E44F3E">
        <w:t xml:space="preserve">. 2022. Zanubrutinib versus </w:t>
      </w:r>
      <w:proofErr w:type="spellStart"/>
      <w:r w:rsidRPr="00E44F3E">
        <w:t>bendamustine</w:t>
      </w:r>
      <w:proofErr w:type="spellEnd"/>
      <w:r w:rsidRPr="00E44F3E">
        <w:t xml:space="preserve"> and rituximab in untreated chronic lymphocytic leukaemia and small lymphocytic lymphoma (SEQUOIA): a randomised, controlled, phase 3 trial. </w:t>
      </w:r>
      <w:r w:rsidRPr="00E44F3E">
        <w:rPr>
          <w:i/>
        </w:rPr>
        <w:t>Lancet Oncol</w:t>
      </w:r>
      <w:r w:rsidR="00323569">
        <w:rPr>
          <w:i/>
        </w:rPr>
        <w:t>ogy</w:t>
      </w:r>
      <w:r w:rsidRPr="003436CC">
        <w:t xml:space="preserve"> 23</w:t>
      </w:r>
      <w:r w:rsidRPr="00E44F3E">
        <w:t>(8)</w:t>
      </w:r>
      <w:r w:rsidR="00132717">
        <w:t>:</w:t>
      </w:r>
      <w:r w:rsidRPr="00E44F3E">
        <w:t xml:space="preserve"> 1031</w:t>
      </w:r>
      <w:r w:rsidR="001E3547">
        <w:t>–</w:t>
      </w:r>
      <w:r w:rsidRPr="00E44F3E">
        <w:t xml:space="preserve">43. </w:t>
      </w:r>
      <w:r w:rsidR="00F66491">
        <w:t xml:space="preserve">URL: </w:t>
      </w:r>
      <w:hyperlink r:id="rId190" w:history="1">
        <w:r w:rsidR="005727CA" w:rsidRPr="00E44F3E">
          <w:rPr>
            <w:rStyle w:val="Hyperlink"/>
          </w:rPr>
          <w:t>https://doi.org/10.1016/s1470-2045(22)00293-5</w:t>
        </w:r>
      </w:hyperlink>
      <w:r w:rsidR="00B1682D" w:rsidRPr="00D1611C">
        <w:t xml:space="preserve"> </w:t>
      </w:r>
      <w:r w:rsidR="00D1611C" w:rsidRPr="00D1611C">
        <w:t>(accessed 11 September 2024).</w:t>
      </w:r>
    </w:p>
    <w:p w14:paraId="5D0EFF85" w14:textId="0E708523" w:rsidR="00303303" w:rsidRPr="00E44F3E" w:rsidRDefault="00303303" w:rsidP="00323569">
      <w:pPr>
        <w:pStyle w:val="References"/>
      </w:pPr>
      <w:r w:rsidRPr="00E44F3E">
        <w:t xml:space="preserve">Tam CS, </w:t>
      </w:r>
      <w:proofErr w:type="spellStart"/>
      <w:r w:rsidRPr="00E44F3E">
        <w:t>Lamanna</w:t>
      </w:r>
      <w:proofErr w:type="spellEnd"/>
      <w:r w:rsidRPr="00E44F3E">
        <w:t xml:space="preserve"> N, O</w:t>
      </w:r>
      <w:r w:rsidR="004650A2" w:rsidRPr="00E44F3E">
        <w:t>’</w:t>
      </w:r>
      <w:r w:rsidRPr="00E44F3E">
        <w:t xml:space="preserve">Brien SM, </w:t>
      </w:r>
      <w:r w:rsidR="00B11EE6" w:rsidRPr="00B11EE6">
        <w:t>et al</w:t>
      </w:r>
      <w:r w:rsidRPr="00E44F3E">
        <w:t xml:space="preserve">. 2023. Health-related quality of life outcomes associated with </w:t>
      </w:r>
      <w:proofErr w:type="spellStart"/>
      <w:r w:rsidRPr="00E44F3E">
        <w:t>zanubrutinib</w:t>
      </w:r>
      <w:proofErr w:type="spellEnd"/>
      <w:r w:rsidRPr="00E44F3E">
        <w:t xml:space="preserve"> versus ibrutinib monotherapy in patients with relapsed/refractory chronic lymphocytic </w:t>
      </w:r>
      <w:proofErr w:type="spellStart"/>
      <w:r w:rsidRPr="00E44F3E">
        <w:t>leukemia</w:t>
      </w:r>
      <w:proofErr w:type="spellEnd"/>
      <w:r w:rsidRPr="00E44F3E">
        <w:t xml:space="preserve"> and small lymphocytic lymphoma: results from the ALPINE Trial. </w:t>
      </w:r>
      <w:r w:rsidR="00323569" w:rsidRPr="00323569">
        <w:rPr>
          <w:i/>
        </w:rPr>
        <w:t>Current Medical Research and Opinion</w:t>
      </w:r>
      <w:r w:rsidRPr="003436CC">
        <w:t xml:space="preserve"> 39</w:t>
      </w:r>
      <w:r w:rsidRPr="00E44F3E">
        <w:t>(11)</w:t>
      </w:r>
      <w:r w:rsidR="00132717">
        <w:t>:</w:t>
      </w:r>
      <w:r w:rsidRPr="00E44F3E">
        <w:t xml:space="preserve"> 1497</w:t>
      </w:r>
      <w:r w:rsidR="001E3547">
        <w:t>–</w:t>
      </w:r>
      <w:r w:rsidRPr="00E44F3E">
        <w:t xml:space="preserve">1503. </w:t>
      </w:r>
      <w:r w:rsidR="00F66491">
        <w:t xml:space="preserve">URL: </w:t>
      </w:r>
      <w:hyperlink r:id="rId191" w:history="1">
        <w:r w:rsidR="005727CA" w:rsidRPr="00E44F3E">
          <w:rPr>
            <w:rStyle w:val="Hyperlink"/>
          </w:rPr>
          <w:t>https://doi.org/10.1080/03007995.2023.2262378</w:t>
        </w:r>
      </w:hyperlink>
      <w:r w:rsidR="00B1682D" w:rsidRPr="00D1611C">
        <w:t xml:space="preserve"> </w:t>
      </w:r>
      <w:r w:rsidR="00D1611C" w:rsidRPr="00D1611C">
        <w:t>(accessed 11 September 2024).</w:t>
      </w:r>
    </w:p>
    <w:p w14:paraId="236D8143" w14:textId="3E19FFF5" w:rsidR="00303303" w:rsidRPr="00E44F3E" w:rsidRDefault="00303303" w:rsidP="00303303">
      <w:pPr>
        <w:pStyle w:val="References"/>
      </w:pPr>
      <w:r w:rsidRPr="00E44F3E">
        <w:t xml:space="preserve">Tam CS, </w:t>
      </w:r>
      <w:proofErr w:type="spellStart"/>
      <w:r w:rsidRPr="00E44F3E">
        <w:t>Opat</w:t>
      </w:r>
      <w:proofErr w:type="spellEnd"/>
      <w:r w:rsidRPr="00E44F3E">
        <w:t xml:space="preserve"> S, D</w:t>
      </w:r>
      <w:r w:rsidR="004650A2" w:rsidRPr="00E44F3E">
        <w:t>’</w:t>
      </w:r>
      <w:r w:rsidRPr="00E44F3E">
        <w:t xml:space="preserve">Sa S, </w:t>
      </w:r>
      <w:r w:rsidR="00AA674C" w:rsidRPr="00AA674C">
        <w:t>et al</w:t>
      </w:r>
      <w:r w:rsidRPr="00E44F3E">
        <w:t xml:space="preserve">. 2020. A randomized phase 3 trial of </w:t>
      </w:r>
      <w:proofErr w:type="spellStart"/>
      <w:r w:rsidRPr="00E44F3E">
        <w:t>zanubrutinib</w:t>
      </w:r>
      <w:proofErr w:type="spellEnd"/>
      <w:r w:rsidRPr="00E44F3E">
        <w:t xml:space="preserve"> vs ibrutinib in symptomatic Waldenström macroglobulinemia: the ASPEN study. </w:t>
      </w:r>
      <w:r w:rsidRPr="00E44F3E">
        <w:rPr>
          <w:i/>
        </w:rPr>
        <w:t>Blood</w:t>
      </w:r>
      <w:r w:rsidRPr="003436CC">
        <w:t xml:space="preserve"> 136</w:t>
      </w:r>
      <w:r w:rsidRPr="00E44F3E">
        <w:t>(18)</w:t>
      </w:r>
      <w:r w:rsidR="00132717">
        <w:t>:</w:t>
      </w:r>
      <w:r w:rsidRPr="00E44F3E">
        <w:t xml:space="preserve"> 2038</w:t>
      </w:r>
      <w:r w:rsidR="001E3547">
        <w:t>–</w:t>
      </w:r>
      <w:r w:rsidRPr="00E44F3E">
        <w:t xml:space="preserve">50. </w:t>
      </w:r>
      <w:r w:rsidR="00F66491">
        <w:t xml:space="preserve">URL: </w:t>
      </w:r>
      <w:hyperlink r:id="rId192" w:history="1">
        <w:r w:rsidR="005727CA" w:rsidRPr="00E44F3E">
          <w:rPr>
            <w:rStyle w:val="Hyperlink"/>
          </w:rPr>
          <w:t>https://doi.org/10.1182/blood.2020006844</w:t>
        </w:r>
      </w:hyperlink>
      <w:r w:rsidR="00B1682D" w:rsidRPr="00D1611C">
        <w:t xml:space="preserve"> </w:t>
      </w:r>
      <w:r w:rsidR="00D1611C" w:rsidRPr="00D1611C">
        <w:t>(accessed 11 September 2024).</w:t>
      </w:r>
    </w:p>
    <w:p w14:paraId="3B04A90D" w14:textId="09B1145F" w:rsidR="00303303" w:rsidRPr="00E44F3E" w:rsidRDefault="00303303" w:rsidP="00303303">
      <w:pPr>
        <w:pStyle w:val="References"/>
      </w:pPr>
      <w:r w:rsidRPr="00E44F3E">
        <w:t xml:space="preserve">Tam CS, </w:t>
      </w:r>
      <w:proofErr w:type="spellStart"/>
      <w:r w:rsidRPr="00E44F3E">
        <w:t>Opat</w:t>
      </w:r>
      <w:proofErr w:type="spellEnd"/>
      <w:r w:rsidRPr="00E44F3E">
        <w:t xml:space="preserve"> S, Simpson D, </w:t>
      </w:r>
      <w:r w:rsidR="00AA674C" w:rsidRPr="00AA674C">
        <w:t>et al</w:t>
      </w:r>
      <w:r w:rsidRPr="00E44F3E">
        <w:t xml:space="preserve">. 2021. Zanubrutinib for the treatment of relapsed or refractory mantle cell lymphoma. </w:t>
      </w:r>
      <w:r w:rsidRPr="00E44F3E">
        <w:rPr>
          <w:i/>
        </w:rPr>
        <w:t>Blood Adv</w:t>
      </w:r>
      <w:r w:rsidR="00323569">
        <w:rPr>
          <w:i/>
        </w:rPr>
        <w:t>ances</w:t>
      </w:r>
      <w:r w:rsidRPr="003436CC">
        <w:t xml:space="preserve"> 5</w:t>
      </w:r>
      <w:r w:rsidRPr="00E44F3E">
        <w:t>(12)</w:t>
      </w:r>
      <w:r w:rsidR="00132717">
        <w:t>:</w:t>
      </w:r>
      <w:r w:rsidRPr="00E44F3E">
        <w:t xml:space="preserve"> 2577</w:t>
      </w:r>
      <w:r w:rsidR="001E3547">
        <w:t>–</w:t>
      </w:r>
      <w:r w:rsidRPr="00E44F3E">
        <w:t xml:space="preserve">85. </w:t>
      </w:r>
      <w:r w:rsidR="00F66491">
        <w:t xml:space="preserve">URL: </w:t>
      </w:r>
      <w:hyperlink r:id="rId193" w:history="1">
        <w:r w:rsidR="005727CA" w:rsidRPr="00E44F3E">
          <w:rPr>
            <w:rStyle w:val="Hyperlink"/>
          </w:rPr>
          <w:t>https://doi.org/10.1182/bloodadvances.2020004074</w:t>
        </w:r>
      </w:hyperlink>
      <w:r w:rsidR="00B1682D" w:rsidRPr="00D1611C">
        <w:t xml:space="preserve"> </w:t>
      </w:r>
      <w:r w:rsidR="00D1611C" w:rsidRPr="00D1611C">
        <w:t>(accessed 11 September 2024).</w:t>
      </w:r>
    </w:p>
    <w:p w14:paraId="3CD63D07" w14:textId="38C930FF" w:rsidR="00303303" w:rsidRPr="00E44F3E" w:rsidRDefault="00303303" w:rsidP="00303303">
      <w:pPr>
        <w:pStyle w:val="References"/>
      </w:pPr>
      <w:r w:rsidRPr="00E44F3E">
        <w:t xml:space="preserve">Te Aho o Te Kahu. 2021. </w:t>
      </w:r>
      <w:r w:rsidRPr="00E44F3E">
        <w:rPr>
          <w:i/>
        </w:rPr>
        <w:t xml:space="preserve">He Pūrongo Mate </w:t>
      </w:r>
      <w:proofErr w:type="spellStart"/>
      <w:r w:rsidRPr="00E44F3E">
        <w:rPr>
          <w:i/>
        </w:rPr>
        <w:t>Pukupuku</w:t>
      </w:r>
      <w:proofErr w:type="spellEnd"/>
      <w:r w:rsidRPr="00E44F3E">
        <w:rPr>
          <w:i/>
        </w:rPr>
        <w:t xml:space="preserve"> o Aotearoa 2020</w:t>
      </w:r>
      <w:r w:rsidR="003B2582">
        <w:rPr>
          <w:i/>
        </w:rPr>
        <w:t xml:space="preserve"> |</w:t>
      </w:r>
      <w:r w:rsidRPr="00E44F3E">
        <w:rPr>
          <w:i/>
        </w:rPr>
        <w:t xml:space="preserve"> The State of Cancer in New Zealand 2020</w:t>
      </w:r>
      <w:r w:rsidRPr="00E44F3E">
        <w:t>.</w:t>
      </w:r>
      <w:r w:rsidR="00B1682D" w:rsidRPr="00E44F3E">
        <w:t xml:space="preserve"> </w:t>
      </w:r>
      <w:r w:rsidR="003B2582" w:rsidRPr="003B2582">
        <w:t>Wellington: Te Aho o Te Kahu</w:t>
      </w:r>
      <w:r w:rsidR="003B2582">
        <w:t xml:space="preserve"> |</w:t>
      </w:r>
      <w:r w:rsidR="003B2582" w:rsidRPr="003B2582">
        <w:t xml:space="preserve"> Cancer Control Agency</w:t>
      </w:r>
      <w:r w:rsidR="003B2582">
        <w:t>.</w:t>
      </w:r>
    </w:p>
    <w:p w14:paraId="15D51984" w14:textId="54EE5DA7" w:rsidR="00D368C0" w:rsidRDefault="00D368C0" w:rsidP="00D368C0">
      <w:pPr>
        <w:pStyle w:val="References"/>
      </w:pPr>
      <w:bookmarkStart w:id="279" w:name="_Hlk177541021"/>
      <w:r>
        <w:t xml:space="preserve">Te Aho o Te Kahu. 2022. </w:t>
      </w:r>
      <w:r w:rsidRPr="00AC7CFF">
        <w:rPr>
          <w:i/>
          <w:iCs/>
        </w:rPr>
        <w:t xml:space="preserve">Mārama ana ki </w:t>
      </w:r>
      <w:proofErr w:type="spellStart"/>
      <w:r w:rsidRPr="00AC7CFF">
        <w:rPr>
          <w:i/>
          <w:iCs/>
        </w:rPr>
        <w:t>te</w:t>
      </w:r>
      <w:proofErr w:type="spellEnd"/>
      <w:r w:rsidRPr="00AC7CFF">
        <w:rPr>
          <w:i/>
          <w:iCs/>
        </w:rPr>
        <w:t xml:space="preserve"> Āputa: he tātari </w:t>
      </w:r>
      <w:proofErr w:type="spellStart"/>
      <w:r w:rsidRPr="00AC7CFF">
        <w:rPr>
          <w:i/>
          <w:iCs/>
        </w:rPr>
        <w:t>i</w:t>
      </w:r>
      <w:proofErr w:type="spellEnd"/>
      <w:r w:rsidRPr="00AC7CFF">
        <w:rPr>
          <w:i/>
          <w:iCs/>
        </w:rPr>
        <w:t xml:space="preserve"> </w:t>
      </w:r>
      <w:proofErr w:type="spellStart"/>
      <w:r w:rsidRPr="00AC7CFF">
        <w:rPr>
          <w:i/>
          <w:iCs/>
        </w:rPr>
        <w:t>te</w:t>
      </w:r>
      <w:proofErr w:type="spellEnd"/>
      <w:r w:rsidRPr="00AC7CFF">
        <w:rPr>
          <w:i/>
          <w:iCs/>
        </w:rPr>
        <w:t xml:space="preserve"> wāteatanga o </w:t>
      </w:r>
      <w:proofErr w:type="spellStart"/>
      <w:r w:rsidRPr="00AC7CFF">
        <w:rPr>
          <w:i/>
          <w:iCs/>
        </w:rPr>
        <w:t>ngā</w:t>
      </w:r>
      <w:proofErr w:type="spellEnd"/>
      <w:r w:rsidRPr="00AC7CFF">
        <w:rPr>
          <w:i/>
          <w:iCs/>
        </w:rPr>
        <w:t xml:space="preserve"> rongoā mate </w:t>
      </w:r>
      <w:proofErr w:type="spellStart"/>
      <w:r w:rsidRPr="00AC7CFF">
        <w:rPr>
          <w:i/>
          <w:iCs/>
        </w:rPr>
        <w:t>pukupuku</w:t>
      </w:r>
      <w:proofErr w:type="spellEnd"/>
      <w:r w:rsidRPr="00AC7CFF">
        <w:rPr>
          <w:i/>
          <w:iCs/>
        </w:rPr>
        <w:t xml:space="preserve"> </w:t>
      </w:r>
      <w:proofErr w:type="spellStart"/>
      <w:r w:rsidRPr="00AC7CFF">
        <w:rPr>
          <w:i/>
          <w:iCs/>
        </w:rPr>
        <w:t>i</w:t>
      </w:r>
      <w:proofErr w:type="spellEnd"/>
      <w:r w:rsidRPr="00AC7CFF">
        <w:rPr>
          <w:i/>
          <w:iCs/>
        </w:rPr>
        <w:t xml:space="preserve"> Aotearoa | Understanding the Gap: an analysis of the availability of cancer medicines in Aotearoa</w:t>
      </w:r>
      <w:r>
        <w:t>. Wellington: Te Aho o Te Kahu</w:t>
      </w:r>
      <w:r w:rsidR="00192FFA">
        <w:t>|</w:t>
      </w:r>
      <w:r w:rsidR="00192FFA" w:rsidRPr="003B2582">
        <w:t xml:space="preserve"> Cancer Control Agency</w:t>
      </w:r>
      <w:r>
        <w:t>.</w:t>
      </w:r>
    </w:p>
    <w:bookmarkEnd w:id="279"/>
    <w:p w14:paraId="01EFFF34" w14:textId="3FEEA596" w:rsidR="00303303" w:rsidRPr="00E44F3E" w:rsidRDefault="00303303" w:rsidP="00303303">
      <w:pPr>
        <w:pStyle w:val="References"/>
      </w:pPr>
      <w:r w:rsidRPr="00E44F3E">
        <w:t xml:space="preserve">Te Whatu Ora | Health New Zealand. 2023. </w:t>
      </w:r>
      <w:r w:rsidRPr="00E44F3E">
        <w:rPr>
          <w:i/>
        </w:rPr>
        <w:t>Rates and numbers of cancer registrations by cancer type.</w:t>
      </w:r>
      <w:r w:rsidRPr="00E44F3E">
        <w:t xml:space="preserve"> </w:t>
      </w:r>
      <w:r w:rsidR="00F66491">
        <w:t xml:space="preserve">URL: </w:t>
      </w:r>
      <w:hyperlink r:id="rId194" w:history="1">
        <w:r w:rsidR="005727CA" w:rsidRPr="00E44F3E">
          <w:rPr>
            <w:rStyle w:val="Hyperlink"/>
          </w:rPr>
          <w:t>https://tewhatuora.shinyapps.io/cancer-web-tool/</w:t>
        </w:r>
      </w:hyperlink>
      <w:r w:rsidR="005727CA" w:rsidRPr="00D1611C">
        <w:t xml:space="preserve"> </w:t>
      </w:r>
      <w:r w:rsidR="00D1611C" w:rsidRPr="00D1611C">
        <w:t>(accessed 11 September 2024).</w:t>
      </w:r>
    </w:p>
    <w:p w14:paraId="317A8911" w14:textId="77777777" w:rsidR="00D368C0" w:rsidRPr="00C3265C" w:rsidRDefault="00D368C0" w:rsidP="00D368C0">
      <w:pPr>
        <w:pStyle w:val="References"/>
      </w:pPr>
      <w:bookmarkStart w:id="280" w:name="_Hlk177541033"/>
      <w:r w:rsidRPr="00C3265C">
        <w:t xml:space="preserve">Tin </w:t>
      </w:r>
      <w:proofErr w:type="spellStart"/>
      <w:r w:rsidRPr="00C3265C">
        <w:t>Tin</w:t>
      </w:r>
      <w:proofErr w:type="spellEnd"/>
      <w:r w:rsidRPr="00C3265C">
        <w:t xml:space="preserve"> S, Elwood JM, Brown C, et al. 2018. Ethnic disparities in breast cancer survival in New Zealand: which factors contribute? </w:t>
      </w:r>
      <w:r w:rsidRPr="00333A2E">
        <w:rPr>
          <w:i/>
          <w:iCs/>
        </w:rPr>
        <w:t>BMC Cancer</w:t>
      </w:r>
      <w:r w:rsidRPr="00C3265C">
        <w:t xml:space="preserve"> 18(1): 58. </w:t>
      </w:r>
      <w:r>
        <w:t>URL:</w:t>
      </w:r>
      <w:r w:rsidRPr="001470AB">
        <w:t xml:space="preserve"> </w:t>
      </w:r>
      <w:hyperlink r:id="rId195" w:history="1">
        <w:r w:rsidRPr="00B57EA0">
          <w:rPr>
            <w:rStyle w:val="Hyperlink"/>
          </w:rPr>
          <w:t>https://doi.org/10.1186/s12885-017-3797-0</w:t>
        </w:r>
      </w:hyperlink>
      <w:r>
        <w:t xml:space="preserve"> </w:t>
      </w:r>
      <w:r w:rsidRPr="00C3265C">
        <w:t xml:space="preserve">(accessed </w:t>
      </w:r>
      <w:r>
        <w:t xml:space="preserve">12 September </w:t>
      </w:r>
      <w:r w:rsidRPr="00C3265C">
        <w:t>202</w:t>
      </w:r>
      <w:r>
        <w:t>4</w:t>
      </w:r>
      <w:r w:rsidRPr="00C3265C">
        <w:t>).</w:t>
      </w:r>
    </w:p>
    <w:bookmarkEnd w:id="280"/>
    <w:p w14:paraId="6F1E1035" w14:textId="455E6D94" w:rsidR="00303303" w:rsidRPr="00E44F3E" w:rsidRDefault="00303303" w:rsidP="00303303">
      <w:pPr>
        <w:pStyle w:val="References"/>
      </w:pPr>
      <w:proofErr w:type="spellStart"/>
      <w:r w:rsidRPr="00E44F3E">
        <w:lastRenderedPageBreak/>
        <w:t>Topp</w:t>
      </w:r>
      <w:proofErr w:type="spellEnd"/>
      <w:r w:rsidRPr="00E44F3E">
        <w:t xml:space="preserve"> MS, Zimmerman Z, </w:t>
      </w:r>
      <w:proofErr w:type="spellStart"/>
      <w:r w:rsidRPr="00E44F3E">
        <w:t>Cannell</w:t>
      </w:r>
      <w:proofErr w:type="spellEnd"/>
      <w:r w:rsidRPr="00E44F3E">
        <w:t xml:space="preserve"> P, </w:t>
      </w:r>
      <w:r w:rsidR="003B2582">
        <w:t>et al</w:t>
      </w:r>
      <w:r w:rsidRPr="00E44F3E">
        <w:t xml:space="preserve">. 2018. Health-related quality of life in adults with relapsed/refractory acute lymphoblastic </w:t>
      </w:r>
      <w:proofErr w:type="spellStart"/>
      <w:r w:rsidRPr="00E44F3E">
        <w:t>leukemia</w:t>
      </w:r>
      <w:proofErr w:type="spellEnd"/>
      <w:r w:rsidRPr="00E44F3E">
        <w:t xml:space="preserve"> treated with blinatumomab. </w:t>
      </w:r>
      <w:r w:rsidRPr="00E44F3E">
        <w:rPr>
          <w:i/>
        </w:rPr>
        <w:t>Blood</w:t>
      </w:r>
      <w:r w:rsidRPr="003436CC">
        <w:t xml:space="preserve"> 131</w:t>
      </w:r>
      <w:r w:rsidRPr="00E44F3E">
        <w:t>(26)</w:t>
      </w:r>
      <w:r w:rsidR="00132717">
        <w:t>:</w:t>
      </w:r>
      <w:r w:rsidRPr="00E44F3E">
        <w:t xml:space="preserve"> 2906</w:t>
      </w:r>
      <w:r w:rsidR="001E3547">
        <w:t>–</w:t>
      </w:r>
      <w:r w:rsidRPr="00E44F3E">
        <w:t xml:space="preserve">14. </w:t>
      </w:r>
      <w:r w:rsidR="00F66491">
        <w:t xml:space="preserve">URL: </w:t>
      </w:r>
      <w:hyperlink r:id="rId196" w:history="1">
        <w:r w:rsidR="005727CA" w:rsidRPr="00E44F3E">
          <w:rPr>
            <w:rStyle w:val="Hyperlink"/>
          </w:rPr>
          <w:t>https://doi.org/10.1182/blood-2017-09-804658</w:t>
        </w:r>
      </w:hyperlink>
      <w:r w:rsidR="0066516C">
        <w:rPr>
          <w:b/>
        </w:rPr>
        <w:t xml:space="preserve"> </w:t>
      </w:r>
      <w:r w:rsidR="0066516C" w:rsidRPr="0066516C">
        <w:t>(accessed 11 September 2024).</w:t>
      </w:r>
    </w:p>
    <w:p w14:paraId="6F60A270" w14:textId="4665091B" w:rsidR="00303303" w:rsidRPr="00E44F3E" w:rsidRDefault="00303303" w:rsidP="00303303">
      <w:pPr>
        <w:pStyle w:val="References"/>
      </w:pPr>
      <w:r w:rsidRPr="00E44F3E">
        <w:t xml:space="preserve">Townsend W, </w:t>
      </w:r>
      <w:proofErr w:type="spellStart"/>
      <w:r w:rsidRPr="00E44F3E">
        <w:t>Hiddemann</w:t>
      </w:r>
      <w:proofErr w:type="spellEnd"/>
      <w:r w:rsidRPr="00E44F3E">
        <w:t xml:space="preserve"> W, </w:t>
      </w:r>
      <w:proofErr w:type="spellStart"/>
      <w:r w:rsidRPr="00E44F3E">
        <w:t>Buske</w:t>
      </w:r>
      <w:proofErr w:type="spellEnd"/>
      <w:r w:rsidRPr="00E44F3E">
        <w:t xml:space="preserve"> C,</w:t>
      </w:r>
      <w:r w:rsidR="003B2582" w:rsidRPr="003B2582">
        <w:t xml:space="preserve"> et al</w:t>
      </w:r>
      <w:r w:rsidRPr="00E44F3E">
        <w:t xml:space="preserve">. 2023. Obinutuzumab </w:t>
      </w:r>
      <w:r w:rsidR="00192FFA" w:rsidRPr="00E44F3E">
        <w:t xml:space="preserve">versus rituximab immunochemotherapy in previously untreated </w:t>
      </w:r>
      <w:proofErr w:type="spellStart"/>
      <w:r w:rsidRPr="00E44F3E">
        <w:t>iNHL</w:t>
      </w:r>
      <w:proofErr w:type="spellEnd"/>
      <w:r w:rsidRPr="00E44F3E">
        <w:t xml:space="preserve">: </w:t>
      </w:r>
      <w:proofErr w:type="gramStart"/>
      <w:r w:rsidRPr="00E44F3E">
        <w:t xml:space="preserve">Final </w:t>
      </w:r>
      <w:r w:rsidR="00192FFA" w:rsidRPr="00E44F3E">
        <w:t>results</w:t>
      </w:r>
      <w:proofErr w:type="gramEnd"/>
      <w:r w:rsidR="00192FFA" w:rsidRPr="00E44F3E">
        <w:t xml:space="preserve"> from </w:t>
      </w:r>
      <w:r w:rsidRPr="00E44F3E">
        <w:t xml:space="preserve">the GALLIUM </w:t>
      </w:r>
      <w:r w:rsidR="00192FFA" w:rsidRPr="00E44F3E">
        <w:t>study</w:t>
      </w:r>
      <w:r w:rsidRPr="00E44F3E">
        <w:t xml:space="preserve">. </w:t>
      </w:r>
      <w:proofErr w:type="spellStart"/>
      <w:r w:rsidRPr="00E44F3E">
        <w:rPr>
          <w:i/>
        </w:rPr>
        <w:t>Hemasphere</w:t>
      </w:r>
      <w:proofErr w:type="spellEnd"/>
      <w:r w:rsidRPr="003436CC">
        <w:t xml:space="preserve"> 7</w:t>
      </w:r>
      <w:r w:rsidRPr="00E44F3E">
        <w:t xml:space="preserve">(7), e919. </w:t>
      </w:r>
      <w:r w:rsidR="00F66491">
        <w:t xml:space="preserve">URL: </w:t>
      </w:r>
      <w:hyperlink r:id="rId197" w:history="1">
        <w:r w:rsidR="005727CA" w:rsidRPr="00E44F3E">
          <w:rPr>
            <w:rStyle w:val="Hyperlink"/>
          </w:rPr>
          <w:t>https://doi.org/10.1097/hs9.0000000000000919</w:t>
        </w:r>
      </w:hyperlink>
      <w:r w:rsidR="00B1682D" w:rsidRPr="00D1611C">
        <w:t xml:space="preserve"> </w:t>
      </w:r>
      <w:r w:rsidR="00D1611C" w:rsidRPr="00D1611C">
        <w:t>(accessed 11 September 2024).</w:t>
      </w:r>
    </w:p>
    <w:p w14:paraId="395646D9" w14:textId="05565E6A" w:rsidR="002E6215" w:rsidRDefault="002E6215" w:rsidP="00303303">
      <w:pPr>
        <w:pStyle w:val="References"/>
      </w:pPr>
      <w:proofErr w:type="spellStart"/>
      <w:r w:rsidRPr="002E6215">
        <w:t>Vaccarella</w:t>
      </w:r>
      <w:proofErr w:type="spellEnd"/>
      <w:r w:rsidRPr="002E6215">
        <w:t xml:space="preserve"> S, </w:t>
      </w:r>
      <w:proofErr w:type="spellStart"/>
      <w:r w:rsidRPr="002E6215">
        <w:t>Lortet-Tieulent</w:t>
      </w:r>
      <w:proofErr w:type="spellEnd"/>
      <w:r w:rsidRPr="002E6215">
        <w:t xml:space="preserve"> J, </w:t>
      </w:r>
      <w:proofErr w:type="spellStart"/>
      <w:r w:rsidRPr="002E6215">
        <w:t>Saracci</w:t>
      </w:r>
      <w:proofErr w:type="spellEnd"/>
      <w:r w:rsidRPr="002E6215">
        <w:t xml:space="preserve"> R, </w:t>
      </w:r>
      <w:r w:rsidR="0081501E" w:rsidRPr="0081501E">
        <w:t xml:space="preserve">et al </w:t>
      </w:r>
      <w:r w:rsidRPr="002E6215">
        <w:t xml:space="preserve">(eds). 2019. </w:t>
      </w:r>
      <w:r w:rsidRPr="00423568">
        <w:rPr>
          <w:i/>
          <w:iCs/>
        </w:rPr>
        <w:t>Reducing social inequalities in cancer: Evidence and priorities for research</w:t>
      </w:r>
      <w:r w:rsidR="00FF5A1B" w:rsidRPr="00FF5A1B">
        <w:t xml:space="preserve"> (IARC Scientific Publication No. 168)</w:t>
      </w:r>
      <w:r w:rsidRPr="002E6215">
        <w:t xml:space="preserve">. </w:t>
      </w:r>
      <w:r w:rsidR="008B4BA7" w:rsidRPr="008B4BA7">
        <w:t>Lyon, France</w:t>
      </w:r>
      <w:r w:rsidR="008B4BA7">
        <w:t xml:space="preserve">: </w:t>
      </w:r>
      <w:r w:rsidRPr="002E6215">
        <w:t>International Agency for Research on Cancer.</w:t>
      </w:r>
      <w:r w:rsidR="00813891">
        <w:t xml:space="preserve"> </w:t>
      </w:r>
      <w:r w:rsidR="00F66491">
        <w:t xml:space="preserve">URL: </w:t>
      </w:r>
      <w:hyperlink r:id="rId198" w:history="1">
        <w:r w:rsidR="00813891" w:rsidRPr="00335874">
          <w:rPr>
            <w:rStyle w:val="Hyperlink"/>
          </w:rPr>
          <w:t>https://publications.iarc.fr/580</w:t>
        </w:r>
      </w:hyperlink>
      <w:r w:rsidR="00813891" w:rsidRPr="00D1611C">
        <w:rPr>
          <w:b/>
        </w:rPr>
        <w:t xml:space="preserve"> </w:t>
      </w:r>
      <w:r w:rsidR="0066516C" w:rsidRPr="0066516C">
        <w:t>(accessed 11 September 2024).</w:t>
      </w:r>
    </w:p>
    <w:p w14:paraId="694483B8" w14:textId="11B1B771" w:rsidR="00303303" w:rsidRPr="00E44F3E" w:rsidRDefault="00303303" w:rsidP="00303303">
      <w:pPr>
        <w:pStyle w:val="References"/>
      </w:pPr>
      <w:proofErr w:type="spellStart"/>
      <w:r w:rsidRPr="00E44F3E">
        <w:t>Vivot</w:t>
      </w:r>
      <w:proofErr w:type="spellEnd"/>
      <w:r w:rsidRPr="00E44F3E">
        <w:t xml:space="preserve"> A, </w:t>
      </w:r>
      <w:proofErr w:type="spellStart"/>
      <w:r w:rsidRPr="00E44F3E">
        <w:t>Jacot</w:t>
      </w:r>
      <w:proofErr w:type="spellEnd"/>
      <w:r w:rsidRPr="00E44F3E">
        <w:t xml:space="preserve"> J, Zeitoun JD, </w:t>
      </w:r>
      <w:r w:rsidR="0081501E" w:rsidRPr="0081501E">
        <w:t>et al</w:t>
      </w:r>
      <w:r w:rsidRPr="00E44F3E">
        <w:t xml:space="preserve">. 2017. Clinical benefit, </w:t>
      </w:r>
      <w:proofErr w:type="gramStart"/>
      <w:r w:rsidRPr="00E44F3E">
        <w:t>price</w:t>
      </w:r>
      <w:proofErr w:type="gramEnd"/>
      <w:r w:rsidRPr="00E44F3E">
        <w:t xml:space="preserve"> and approval characteristics of FDA-approved new drugs for treating advanced solid cancer, 2000</w:t>
      </w:r>
      <w:r w:rsidR="001E3547">
        <w:t>–</w:t>
      </w:r>
      <w:r w:rsidRPr="00E44F3E">
        <w:t xml:space="preserve">2015. </w:t>
      </w:r>
      <w:r w:rsidR="002362CB" w:rsidRPr="002362CB">
        <w:rPr>
          <w:i/>
        </w:rPr>
        <w:t>Annals of Oncology</w:t>
      </w:r>
      <w:r w:rsidRPr="003436CC">
        <w:t xml:space="preserve"> 28</w:t>
      </w:r>
      <w:r w:rsidRPr="00E44F3E">
        <w:t>(5)</w:t>
      </w:r>
      <w:r w:rsidR="00132717">
        <w:t>:</w:t>
      </w:r>
      <w:r w:rsidRPr="00E44F3E">
        <w:t xml:space="preserve"> 1111</w:t>
      </w:r>
      <w:r w:rsidR="001E3547">
        <w:t>–</w:t>
      </w:r>
      <w:r w:rsidRPr="00E44F3E">
        <w:t xml:space="preserve">6. </w:t>
      </w:r>
      <w:r w:rsidR="00F66491">
        <w:t xml:space="preserve">URL: </w:t>
      </w:r>
      <w:hyperlink r:id="rId199" w:history="1">
        <w:r w:rsidR="005727CA" w:rsidRPr="00E44F3E">
          <w:rPr>
            <w:rStyle w:val="Hyperlink"/>
          </w:rPr>
          <w:t>https://doi.org/10.1093/annonc/mdx053</w:t>
        </w:r>
      </w:hyperlink>
      <w:r w:rsidR="00B1682D" w:rsidRPr="00D1611C">
        <w:t xml:space="preserve"> </w:t>
      </w:r>
      <w:r w:rsidR="00D1611C" w:rsidRPr="00D1611C">
        <w:t>(accessed 11 September 2024).</w:t>
      </w:r>
    </w:p>
    <w:p w14:paraId="047E0C61" w14:textId="7E1B841F" w:rsidR="00303303" w:rsidRPr="00E44F3E" w:rsidRDefault="00303303" w:rsidP="00303303">
      <w:pPr>
        <w:pStyle w:val="References"/>
      </w:pPr>
      <w:proofErr w:type="spellStart"/>
      <w:r w:rsidRPr="00E44F3E">
        <w:t>Vokinger</w:t>
      </w:r>
      <w:proofErr w:type="spellEnd"/>
      <w:r w:rsidRPr="00E44F3E">
        <w:t xml:space="preserve"> KN, Hwang TJ, </w:t>
      </w:r>
      <w:proofErr w:type="spellStart"/>
      <w:r w:rsidRPr="00E44F3E">
        <w:t>Grischott</w:t>
      </w:r>
      <w:proofErr w:type="spellEnd"/>
      <w:r w:rsidRPr="00E44F3E">
        <w:t xml:space="preserve"> T, </w:t>
      </w:r>
      <w:r w:rsidR="0081501E" w:rsidRPr="0081501E">
        <w:t>et al</w:t>
      </w:r>
      <w:r w:rsidRPr="00E44F3E">
        <w:t xml:space="preserve">. 2020. Prices and clinical benefit of cancer drugs in the USA and Europe: a cost-benefit analysis. </w:t>
      </w:r>
      <w:r w:rsidRPr="00E44F3E">
        <w:rPr>
          <w:i/>
        </w:rPr>
        <w:t>Lancet Oncol</w:t>
      </w:r>
      <w:r w:rsidR="002362CB">
        <w:rPr>
          <w:i/>
        </w:rPr>
        <w:t>ogy</w:t>
      </w:r>
      <w:r w:rsidRPr="003436CC">
        <w:t xml:space="preserve"> 21</w:t>
      </w:r>
      <w:r w:rsidRPr="00E44F3E">
        <w:t>(5)</w:t>
      </w:r>
      <w:r w:rsidR="00132717">
        <w:t>:</w:t>
      </w:r>
      <w:r w:rsidRPr="00E44F3E">
        <w:t xml:space="preserve"> 664</w:t>
      </w:r>
      <w:r w:rsidR="001E3547">
        <w:t>–</w:t>
      </w:r>
      <w:r w:rsidRPr="00E44F3E">
        <w:t xml:space="preserve">70. </w:t>
      </w:r>
      <w:r w:rsidR="00F66491">
        <w:t xml:space="preserve">URL: </w:t>
      </w:r>
      <w:hyperlink r:id="rId200" w:history="1">
        <w:r w:rsidR="005727CA" w:rsidRPr="00E44F3E">
          <w:rPr>
            <w:rStyle w:val="Hyperlink"/>
          </w:rPr>
          <w:t>https://doi.org/10.1016/s1470-2045(20)30139-x</w:t>
        </w:r>
      </w:hyperlink>
      <w:r w:rsidR="00B1682D" w:rsidRPr="00D1611C">
        <w:t xml:space="preserve"> </w:t>
      </w:r>
      <w:r w:rsidR="00D1611C" w:rsidRPr="00D1611C">
        <w:t>(accessed 11 September 2024).</w:t>
      </w:r>
    </w:p>
    <w:p w14:paraId="1D7D7080" w14:textId="47972CDD" w:rsidR="00D368C0" w:rsidRPr="00C3265C" w:rsidRDefault="00D368C0" w:rsidP="00D368C0">
      <w:pPr>
        <w:pStyle w:val="References"/>
      </w:pPr>
      <w:bookmarkStart w:id="281" w:name="_Hlk177541041"/>
      <w:r w:rsidRPr="00C3265C">
        <w:t>Walsh M, Grey C. 2019. The contribution of avoidable mortality to the life expectancy gap in Māori and Pacific populations in New Zealand</w:t>
      </w:r>
      <w:r w:rsidR="008B4102">
        <w:t xml:space="preserve"> – </w:t>
      </w:r>
      <w:r w:rsidRPr="00C3265C">
        <w:t xml:space="preserve">a decomposition analysis. </w:t>
      </w:r>
      <w:r w:rsidRPr="001470AB">
        <w:rPr>
          <w:i/>
          <w:iCs/>
        </w:rPr>
        <w:t>New Zealand Medical Journal</w:t>
      </w:r>
      <w:r w:rsidRPr="00C3265C">
        <w:t xml:space="preserve"> 132(1492): 46–60.</w:t>
      </w:r>
    </w:p>
    <w:bookmarkEnd w:id="281"/>
    <w:p w14:paraId="72AD933E" w14:textId="6141E2E3" w:rsidR="00303303" w:rsidRPr="00E44F3E" w:rsidRDefault="00303303" w:rsidP="00303303">
      <w:pPr>
        <w:pStyle w:val="References"/>
      </w:pPr>
      <w:r w:rsidRPr="00E44F3E">
        <w:t xml:space="preserve">Wang M, Rule S, </w:t>
      </w:r>
      <w:proofErr w:type="spellStart"/>
      <w:r w:rsidRPr="00E44F3E">
        <w:t>Zinzani</w:t>
      </w:r>
      <w:proofErr w:type="spellEnd"/>
      <w:r w:rsidRPr="00E44F3E">
        <w:t xml:space="preserve"> PL,</w:t>
      </w:r>
      <w:r w:rsidR="0081501E" w:rsidRPr="0081501E">
        <w:t xml:space="preserve"> et al</w:t>
      </w:r>
      <w:r w:rsidRPr="00E44F3E">
        <w:t xml:space="preserve">. 2018. Acalabrutinib in relapsed or refractory mantle cell lymphoma (ACE-LY-004): a single-arm, multicentre, phase 2 trial. </w:t>
      </w:r>
      <w:r w:rsidRPr="00E44F3E">
        <w:rPr>
          <w:i/>
        </w:rPr>
        <w:t>Lancet</w:t>
      </w:r>
      <w:r w:rsidRPr="003436CC">
        <w:t xml:space="preserve"> 391</w:t>
      </w:r>
      <w:r w:rsidRPr="00E44F3E">
        <w:t>(10121)</w:t>
      </w:r>
      <w:r w:rsidR="00132717">
        <w:t>:</w:t>
      </w:r>
      <w:r w:rsidRPr="00E44F3E">
        <w:t xml:space="preserve"> 659</w:t>
      </w:r>
      <w:r w:rsidR="001E3547">
        <w:t>–</w:t>
      </w:r>
      <w:r w:rsidRPr="00E44F3E">
        <w:t xml:space="preserve">67. </w:t>
      </w:r>
      <w:r w:rsidR="00F66491">
        <w:t xml:space="preserve">URL: </w:t>
      </w:r>
      <w:hyperlink r:id="rId201" w:history="1">
        <w:r w:rsidR="005727CA" w:rsidRPr="00E44F3E">
          <w:rPr>
            <w:rStyle w:val="Hyperlink"/>
          </w:rPr>
          <w:t>https://doi.org/10.1016/s0140-6736(17)33108-2</w:t>
        </w:r>
      </w:hyperlink>
      <w:r w:rsidR="00B1682D" w:rsidRPr="00D1611C">
        <w:t xml:space="preserve"> </w:t>
      </w:r>
      <w:r w:rsidR="00D1611C" w:rsidRPr="00D1611C">
        <w:t>(accessed 11 September 2024).</w:t>
      </w:r>
    </w:p>
    <w:p w14:paraId="07F69F99" w14:textId="108D6F9E" w:rsidR="00303303" w:rsidRPr="00E44F3E" w:rsidRDefault="00303303" w:rsidP="00303303">
      <w:pPr>
        <w:pStyle w:val="References"/>
      </w:pPr>
      <w:r w:rsidRPr="00E44F3E">
        <w:t xml:space="preserve">Wang M, Rule S, </w:t>
      </w:r>
      <w:proofErr w:type="spellStart"/>
      <w:r w:rsidRPr="00E44F3E">
        <w:t>Zinzani</w:t>
      </w:r>
      <w:proofErr w:type="spellEnd"/>
      <w:r w:rsidRPr="00E44F3E">
        <w:t xml:space="preserve"> PL,</w:t>
      </w:r>
      <w:r w:rsidR="0081501E" w:rsidRPr="0081501E">
        <w:t xml:space="preserve"> et al</w:t>
      </w:r>
      <w:r w:rsidRPr="00E44F3E">
        <w:t xml:space="preserve">. 2019. Durable response with </w:t>
      </w:r>
      <w:proofErr w:type="gramStart"/>
      <w:r w:rsidRPr="00E44F3E">
        <w:t>single-agent</w:t>
      </w:r>
      <w:proofErr w:type="gramEnd"/>
      <w:r w:rsidRPr="00E44F3E">
        <w:t xml:space="preserve"> acalabrutinib in patients with relapsed or refractory mantle cell lymphoma. </w:t>
      </w:r>
      <w:proofErr w:type="spellStart"/>
      <w:r w:rsidRPr="00E44F3E">
        <w:rPr>
          <w:i/>
        </w:rPr>
        <w:t>Leukemia</w:t>
      </w:r>
      <w:proofErr w:type="spellEnd"/>
      <w:r w:rsidRPr="003436CC">
        <w:t xml:space="preserve"> 33</w:t>
      </w:r>
      <w:r w:rsidRPr="00E44F3E">
        <w:t>(11)</w:t>
      </w:r>
      <w:r w:rsidR="00132717">
        <w:t>:</w:t>
      </w:r>
      <w:r w:rsidRPr="00E44F3E">
        <w:t xml:space="preserve"> 2762</w:t>
      </w:r>
      <w:r w:rsidR="001E3547">
        <w:t>–</w:t>
      </w:r>
      <w:r w:rsidRPr="00E44F3E">
        <w:t xml:space="preserve">6. </w:t>
      </w:r>
      <w:r w:rsidR="00F66491">
        <w:t xml:space="preserve">URL: </w:t>
      </w:r>
      <w:hyperlink r:id="rId202" w:history="1">
        <w:r w:rsidR="005727CA" w:rsidRPr="00E44F3E">
          <w:rPr>
            <w:rStyle w:val="Hyperlink"/>
          </w:rPr>
          <w:t>https://doi.org/10.1038/s41375-019-0575-9</w:t>
        </w:r>
      </w:hyperlink>
      <w:r w:rsidR="00B1682D" w:rsidRPr="00D1611C">
        <w:t xml:space="preserve"> </w:t>
      </w:r>
      <w:r w:rsidR="00D1611C" w:rsidRPr="00D1611C">
        <w:t>(accessed 11 September 2024).</w:t>
      </w:r>
    </w:p>
    <w:p w14:paraId="1B555D9E" w14:textId="48A6EBA2" w:rsidR="00303303" w:rsidRPr="00E44F3E" w:rsidRDefault="00303303" w:rsidP="00303303">
      <w:pPr>
        <w:pStyle w:val="References"/>
      </w:pPr>
      <w:r w:rsidRPr="00E44F3E">
        <w:t xml:space="preserve">Wei AH, </w:t>
      </w:r>
      <w:proofErr w:type="spellStart"/>
      <w:r w:rsidRPr="00E44F3E">
        <w:t>Döhner</w:t>
      </w:r>
      <w:proofErr w:type="spellEnd"/>
      <w:r w:rsidRPr="00E44F3E">
        <w:t xml:space="preserve"> H, Pocock C, </w:t>
      </w:r>
      <w:r w:rsidR="0081501E" w:rsidRPr="0081501E">
        <w:t>et al</w:t>
      </w:r>
      <w:r w:rsidRPr="00E44F3E">
        <w:t xml:space="preserve">. 2020. Oral </w:t>
      </w:r>
      <w:r w:rsidR="00525A3F" w:rsidRPr="00E44F3E">
        <w:t xml:space="preserve">azacitidine maintenance therapy for acute myeloid </w:t>
      </w:r>
      <w:proofErr w:type="spellStart"/>
      <w:r w:rsidR="00525A3F" w:rsidRPr="00E44F3E">
        <w:t>leukemia</w:t>
      </w:r>
      <w:proofErr w:type="spellEnd"/>
      <w:r w:rsidR="00525A3F" w:rsidRPr="00E44F3E">
        <w:t xml:space="preserve"> in first remission</w:t>
      </w:r>
      <w:r w:rsidRPr="00E44F3E">
        <w:t xml:space="preserve">. </w:t>
      </w:r>
      <w:r w:rsidRPr="00E44F3E">
        <w:rPr>
          <w:i/>
        </w:rPr>
        <w:t>New England Journal of Medicine</w:t>
      </w:r>
      <w:r w:rsidRPr="003436CC">
        <w:t xml:space="preserve"> 383</w:t>
      </w:r>
      <w:r w:rsidRPr="00E44F3E">
        <w:t>(26)</w:t>
      </w:r>
      <w:r w:rsidR="00132717">
        <w:t>:</w:t>
      </w:r>
      <w:r w:rsidRPr="00E44F3E">
        <w:t xml:space="preserve"> 2526</w:t>
      </w:r>
      <w:r w:rsidR="001E3547">
        <w:t>–</w:t>
      </w:r>
      <w:r w:rsidRPr="00E44F3E">
        <w:t xml:space="preserve">37. </w:t>
      </w:r>
      <w:r w:rsidR="00F66491">
        <w:t xml:space="preserve">URL: </w:t>
      </w:r>
      <w:hyperlink r:id="rId203" w:history="1">
        <w:r w:rsidR="00690B63" w:rsidRPr="00335874">
          <w:rPr>
            <w:rStyle w:val="Hyperlink"/>
          </w:rPr>
          <w:t>https://doi.org/10.1056/NEJMoa2004444</w:t>
        </w:r>
      </w:hyperlink>
      <w:r w:rsidR="00B1682D" w:rsidRPr="00D1611C">
        <w:t xml:space="preserve"> </w:t>
      </w:r>
      <w:r w:rsidR="00D1611C" w:rsidRPr="00D1611C">
        <w:t>(accessed 11 September 2024).</w:t>
      </w:r>
    </w:p>
    <w:p w14:paraId="34F5303E" w14:textId="0CB6FFDD" w:rsidR="00303303" w:rsidRPr="00E44F3E" w:rsidRDefault="00303303" w:rsidP="00303303">
      <w:pPr>
        <w:pStyle w:val="References"/>
      </w:pPr>
      <w:r w:rsidRPr="00E44F3E">
        <w:t xml:space="preserve">World Health Organization. 2018. </w:t>
      </w:r>
      <w:r w:rsidRPr="00E44F3E">
        <w:rPr>
          <w:i/>
        </w:rPr>
        <w:t>Pricing of cancer medicines and its impacts</w:t>
      </w:r>
      <w:r w:rsidRPr="00E44F3E">
        <w:t xml:space="preserve">. </w:t>
      </w:r>
      <w:r w:rsidR="00CC1914">
        <w:t>Geneva:</w:t>
      </w:r>
      <w:r w:rsidR="00CC1914" w:rsidRPr="00CC1914">
        <w:t xml:space="preserve"> World Health Organization</w:t>
      </w:r>
      <w:r w:rsidR="00CC1914">
        <w:t>.</w:t>
      </w:r>
    </w:p>
    <w:p w14:paraId="639C5474" w14:textId="76A46BEC" w:rsidR="00C3265C" w:rsidRPr="00E44F3E" w:rsidRDefault="00303303" w:rsidP="00976030">
      <w:pPr>
        <w:pStyle w:val="References"/>
      </w:pPr>
      <w:proofErr w:type="spellStart"/>
      <w:r w:rsidRPr="00E44F3E">
        <w:t>Zinzani</w:t>
      </w:r>
      <w:proofErr w:type="spellEnd"/>
      <w:r w:rsidRPr="00E44F3E">
        <w:t xml:space="preserve"> PL, </w:t>
      </w:r>
      <w:proofErr w:type="spellStart"/>
      <w:r w:rsidRPr="00E44F3E">
        <w:t>Thieblemont</w:t>
      </w:r>
      <w:proofErr w:type="spellEnd"/>
      <w:r w:rsidRPr="00E44F3E">
        <w:t xml:space="preserve"> C, Melnichenko V, </w:t>
      </w:r>
      <w:r w:rsidR="00CC1914">
        <w:t>et al</w:t>
      </w:r>
      <w:r w:rsidRPr="00E44F3E">
        <w:t xml:space="preserve">. 2023. Pembrolizumab in relapsed or refractory primary mediastinal large B-cell lymphoma: final analysis of KEYNOTE-170. </w:t>
      </w:r>
      <w:r w:rsidRPr="00E44F3E">
        <w:rPr>
          <w:i/>
        </w:rPr>
        <w:t>Blood</w:t>
      </w:r>
      <w:r w:rsidRPr="003436CC">
        <w:t xml:space="preserve"> 142</w:t>
      </w:r>
      <w:r w:rsidRPr="00E44F3E">
        <w:t>(2)</w:t>
      </w:r>
      <w:r w:rsidR="00132717">
        <w:t>:</w:t>
      </w:r>
      <w:r w:rsidRPr="00E44F3E">
        <w:t xml:space="preserve"> 141</w:t>
      </w:r>
      <w:r w:rsidR="001E3547">
        <w:t>–</w:t>
      </w:r>
      <w:r w:rsidRPr="00E44F3E">
        <w:t xml:space="preserve">5. </w:t>
      </w:r>
      <w:r w:rsidR="00F66491">
        <w:t xml:space="preserve">URL: </w:t>
      </w:r>
      <w:hyperlink r:id="rId204" w:history="1">
        <w:r w:rsidR="005727CA" w:rsidRPr="00E44F3E">
          <w:rPr>
            <w:rStyle w:val="Hyperlink"/>
          </w:rPr>
          <w:t>https://doi.org/10.1182/blood.2022019340</w:t>
        </w:r>
      </w:hyperlink>
      <w:r w:rsidR="00B1682D" w:rsidRPr="00D1611C">
        <w:t xml:space="preserve"> </w:t>
      </w:r>
      <w:r w:rsidR="00D1611C" w:rsidRPr="00D1611C">
        <w:t>(accessed 11 September 2024).</w:t>
      </w:r>
    </w:p>
    <w:sectPr w:rsidR="00C3265C" w:rsidRPr="00E44F3E" w:rsidSect="002950CD">
      <w:headerReference w:type="even" r:id="rId205"/>
      <w:headerReference w:type="default" r:id="rId206"/>
      <w:footerReference w:type="even" r:id="rId207"/>
      <w:footerReference w:type="default" r:id="rId208"/>
      <w:headerReference w:type="first" r:id="rId209"/>
      <w:pgSz w:w="11907" w:h="16834" w:code="9"/>
      <w:pgMar w:top="1418" w:right="1701" w:bottom="1418" w:left="1843"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0AEF" w14:textId="77777777" w:rsidR="004B4717" w:rsidRDefault="004B4717">
      <w:r>
        <w:separator/>
      </w:r>
    </w:p>
    <w:p w14:paraId="05A4319E" w14:textId="77777777" w:rsidR="004B4717" w:rsidRDefault="004B4717"/>
  </w:endnote>
  <w:endnote w:type="continuationSeparator" w:id="0">
    <w:p w14:paraId="13F8EDD3" w14:textId="77777777" w:rsidR="004B4717" w:rsidRDefault="004B4717">
      <w:r>
        <w:continuationSeparator/>
      </w:r>
    </w:p>
    <w:p w14:paraId="4FC871B9" w14:textId="77777777" w:rsidR="004B4717" w:rsidRDefault="004B4717"/>
  </w:endnote>
  <w:endnote w:type="continuationNotice" w:id="1">
    <w:p w14:paraId="6C1B6D29" w14:textId="77777777" w:rsidR="004B4717" w:rsidRDefault="004B47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20002A87" w:usb1="80000000" w:usb2="00000008" w:usb3="00000000" w:csb0="000001FF" w:csb1="00000000"/>
  </w:font>
  <w:font w:name="Fira Sans">
    <w:altName w:val="Calibri"/>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CellMar>
        <w:left w:w="0" w:type="dxa"/>
        <w:right w:w="0" w:type="dxa"/>
      </w:tblCellMar>
      <w:tblLook w:val="04A0" w:firstRow="1" w:lastRow="0" w:firstColumn="1" w:lastColumn="0" w:noHBand="0" w:noVBand="1"/>
    </w:tblPr>
    <w:tblGrid>
      <w:gridCol w:w="610"/>
      <w:gridCol w:w="7411"/>
      <w:gridCol w:w="768"/>
    </w:tblGrid>
    <w:tr w:rsidR="00825838" w14:paraId="6CB2529C" w14:textId="77777777" w:rsidTr="004E50DF">
      <w:trPr>
        <w:cantSplit/>
      </w:trPr>
      <w:tc>
        <w:tcPr>
          <w:tcW w:w="675" w:type="dxa"/>
          <w:vAlign w:val="center"/>
        </w:tcPr>
        <w:p w14:paraId="38A6D3CB" w14:textId="77777777" w:rsidR="00825838" w:rsidRPr="00931466" w:rsidRDefault="00825838" w:rsidP="00825838">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w:t>
          </w:r>
          <w:r w:rsidRPr="00931466">
            <w:rPr>
              <w:rStyle w:val="PageNumber"/>
            </w:rPr>
            <w:fldChar w:fldCharType="end"/>
          </w:r>
        </w:p>
      </w:tc>
      <w:tc>
        <w:tcPr>
          <w:tcW w:w="8222" w:type="dxa"/>
          <w:vAlign w:val="center"/>
        </w:tcPr>
        <w:p w14:paraId="7317EE15" w14:textId="37F35243" w:rsidR="00825838" w:rsidRDefault="00825838" w:rsidP="00825838">
          <w:pPr>
            <w:pStyle w:val="RectoFooter"/>
            <w:spacing w:before="120"/>
            <w:ind w:left="-108"/>
          </w:pPr>
          <w:r w:rsidRPr="00825838">
            <w:t>TE RERE O TE TOTO</w:t>
          </w:r>
          <w:r w:rsidR="00D657D9">
            <w:t xml:space="preserve"> –</w:t>
          </w:r>
          <w:r w:rsidRPr="00825838">
            <w:t xml:space="preserve"> UNDERSTANDING BLOOD CANCER MEDICINE AVAILABILITY IN AOTEAROA </w:t>
          </w:r>
          <w:r w:rsidR="008C16F2" w:rsidRPr="008C16F2">
            <w:t>NEW</w:t>
          </w:r>
          <w:r w:rsidR="0034534A">
            <w:t> </w:t>
          </w:r>
          <w:r w:rsidR="008C16F2" w:rsidRPr="008C16F2">
            <w:t>ZEALAND</w:t>
          </w:r>
          <w:r w:rsidR="00D657D9">
            <w:t>:</w:t>
          </w:r>
          <w:r w:rsidR="00A20EEE">
            <w:t xml:space="preserve"> </w:t>
          </w:r>
          <w:r w:rsidRPr="00825838">
            <w:t>FULL REPORT</w:t>
          </w:r>
        </w:p>
      </w:tc>
      <w:tc>
        <w:tcPr>
          <w:tcW w:w="850" w:type="dxa"/>
          <w:vAlign w:val="center"/>
        </w:tcPr>
        <w:p w14:paraId="78158593" w14:textId="77777777" w:rsidR="00825838" w:rsidRDefault="00825838" w:rsidP="00825838">
          <w:pPr>
            <w:pStyle w:val="RectoFooter"/>
            <w:spacing w:before="120"/>
            <w:ind w:left="-108"/>
          </w:pPr>
          <w:r>
            <w:rPr>
              <w:noProof/>
              <w:lang w:eastAsia="en-NZ"/>
            </w:rPr>
            <w:drawing>
              <wp:inline distT="0" distB="0" distL="0" distR="0" wp14:anchorId="05ED5645" wp14:editId="7D13482A">
                <wp:extent cx="373711" cy="414082"/>
                <wp:effectExtent l="0" t="0" r="7620" b="5080"/>
                <wp:docPr id="747137773" name="Picture 74713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180E68" w14:textId="77777777" w:rsidR="00825838" w:rsidRPr="00571223" w:rsidRDefault="00825838" w:rsidP="00825838">
    <w:pPr>
      <w:pStyle w:val="VersoFooter"/>
      <w:rPr>
        <w:sz w:val="2"/>
        <w:szCs w:val="2"/>
      </w:rPr>
    </w:pPr>
  </w:p>
  <w:p w14:paraId="4BA97D99" w14:textId="77777777" w:rsidR="004C2CF4" w:rsidRPr="00825838" w:rsidRDefault="004C2CF4" w:rsidP="003D7956">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6D28C9" w14:paraId="354B6992" w14:textId="77777777" w:rsidTr="007A49B9">
      <w:trPr>
        <w:cantSplit/>
      </w:trPr>
      <w:tc>
        <w:tcPr>
          <w:tcW w:w="675" w:type="dxa"/>
          <w:vAlign w:val="center"/>
        </w:tcPr>
        <w:p w14:paraId="12C260DE" w14:textId="77777777" w:rsidR="006D28C9" w:rsidRPr="00931466" w:rsidRDefault="006D28C9"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460AEB9B" w14:textId="6E8C45F8" w:rsidR="006D28C9" w:rsidRDefault="006D28C9"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850" w:type="dxa"/>
          <w:vAlign w:val="center"/>
        </w:tcPr>
        <w:p w14:paraId="2BFD73AC" w14:textId="77777777" w:rsidR="006D28C9" w:rsidRDefault="006D28C9" w:rsidP="00120C4C">
          <w:pPr>
            <w:pStyle w:val="RectoFooter"/>
            <w:spacing w:before="120"/>
            <w:ind w:left="-108"/>
          </w:pPr>
          <w:r>
            <w:rPr>
              <w:noProof/>
              <w:lang w:eastAsia="en-NZ"/>
            </w:rPr>
            <w:drawing>
              <wp:inline distT="0" distB="0" distL="0" distR="0" wp14:anchorId="1CE836C0" wp14:editId="13891C8C">
                <wp:extent cx="373711" cy="414082"/>
                <wp:effectExtent l="0" t="0" r="7620" b="5080"/>
                <wp:docPr id="150010388" name="Picture 15001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1DE8F2" w14:textId="77777777" w:rsidR="006D28C9" w:rsidRPr="00571223" w:rsidRDefault="006D28C9" w:rsidP="00571223">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6D28C9" w14:paraId="3F3DE7C4" w14:textId="77777777">
      <w:trPr>
        <w:cantSplit/>
      </w:trPr>
      <w:tc>
        <w:tcPr>
          <w:tcW w:w="709" w:type="dxa"/>
          <w:vAlign w:val="center"/>
        </w:tcPr>
        <w:p w14:paraId="39B97E4E" w14:textId="77777777" w:rsidR="006D28C9" w:rsidRDefault="006D28C9" w:rsidP="00584749">
          <w:pPr>
            <w:pStyle w:val="RectoFooter"/>
            <w:spacing w:before="120"/>
            <w:jc w:val="left"/>
          </w:pPr>
          <w:r>
            <w:rPr>
              <w:noProof/>
              <w:lang w:eastAsia="en-NZ"/>
            </w:rPr>
            <w:drawing>
              <wp:inline distT="0" distB="0" distL="0" distR="0" wp14:anchorId="0E18F490" wp14:editId="6E6AF9A6">
                <wp:extent cx="373711" cy="414082"/>
                <wp:effectExtent l="0" t="0" r="7620" b="5080"/>
                <wp:docPr id="1816873817" name="Picture 181687381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C2F4BAF" w14:textId="77777777" w:rsidR="006D28C9" w:rsidRDefault="006D28C9" w:rsidP="00584749">
          <w:pPr>
            <w:pStyle w:val="RectoFooter"/>
            <w:spacing w:before="120"/>
            <w:jc w:val="left"/>
          </w:pPr>
          <w:r w:rsidRPr="00757919">
            <w:t>TE RERE O TE TOTO: UNDERSTANDING BLOOD CANCER MEDICINE AVAILABILITY IN AOTEAROA – FULL REPORT</w:t>
          </w:r>
        </w:p>
      </w:tc>
      <w:tc>
        <w:tcPr>
          <w:tcW w:w="709" w:type="dxa"/>
          <w:vAlign w:val="center"/>
        </w:tcPr>
        <w:p w14:paraId="5D7727C7" w14:textId="77777777" w:rsidR="006D28C9" w:rsidRPr="00931466" w:rsidRDefault="006D28C9"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44F12850" w14:textId="77777777" w:rsidR="006D28C9" w:rsidRPr="00581EB8" w:rsidRDefault="006D28C9" w:rsidP="00584749">
    <w:pPr>
      <w:pStyle w:val="Footer"/>
      <w:rPr>
        <w:sz w:val="2"/>
        <w:szCs w:val="2"/>
      </w:rPr>
    </w:pPr>
  </w:p>
  <w:p w14:paraId="72A4644B" w14:textId="77777777" w:rsidR="006D28C9" w:rsidRPr="00584749" w:rsidRDefault="006D28C9" w:rsidP="00584749">
    <w:pPr>
      <w:pStyle w:val="Footer"/>
      <w:rPr>
        <w:sz w:val="4"/>
        <w:szCs w:val="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99" w:type="dxa"/>
      <w:tblCellMar>
        <w:left w:w="0" w:type="dxa"/>
        <w:right w:w="0" w:type="dxa"/>
      </w:tblCellMar>
      <w:tblLook w:val="04A0" w:firstRow="1" w:lastRow="0" w:firstColumn="1" w:lastColumn="0" w:noHBand="0" w:noVBand="1"/>
    </w:tblPr>
    <w:tblGrid>
      <w:gridCol w:w="966"/>
      <w:gridCol w:w="11804"/>
      <w:gridCol w:w="1229"/>
    </w:tblGrid>
    <w:tr w:rsidR="006D28C9" w14:paraId="4096E69B" w14:textId="77777777" w:rsidTr="00BA139C">
      <w:trPr>
        <w:cantSplit/>
      </w:trPr>
      <w:tc>
        <w:tcPr>
          <w:tcW w:w="345" w:type="pct"/>
          <w:vAlign w:val="center"/>
        </w:tcPr>
        <w:p w14:paraId="081A6387" w14:textId="18E1D608" w:rsidR="006D28C9" w:rsidRPr="00931466" w:rsidRDefault="006D28C9"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4216" w:type="pct"/>
          <w:vAlign w:val="center"/>
        </w:tcPr>
        <w:p w14:paraId="7768DC73" w14:textId="145A0EC1" w:rsidR="006D28C9" w:rsidRDefault="006D28C9" w:rsidP="00120C4C">
          <w:pPr>
            <w:pStyle w:val="RectoFooter"/>
            <w:spacing w:before="120"/>
            <w:ind w:left="-108"/>
          </w:pPr>
          <w:r w:rsidRPr="00D916E7">
            <w:t>TE RERE O TE TOTO</w:t>
          </w:r>
          <w:r w:rsidR="00D657D9">
            <w:t xml:space="preserve"> –</w:t>
          </w:r>
          <w:r w:rsidRPr="00D916E7">
            <w:t xml:space="preserve"> UNDERSTANDING BLOOD CANCER MEDICINE AVAILABILITY IN AOTEAROA</w:t>
          </w:r>
          <w:r w:rsidR="008C16F2">
            <w:t xml:space="preserve"> </w:t>
          </w:r>
          <w:r w:rsidR="008C16F2" w:rsidRPr="008C16F2">
            <w:t>NEW</w:t>
          </w:r>
          <w:r w:rsidR="0034534A">
            <w:t> </w:t>
          </w:r>
          <w:r w:rsidR="008C16F2" w:rsidRPr="008C16F2">
            <w:t>ZEALAND</w:t>
          </w:r>
          <w:r w:rsidR="00D657D9">
            <w:t>:</w:t>
          </w:r>
          <w:r w:rsidRPr="00D916E7">
            <w:t xml:space="preserve"> FULL REPORT</w:t>
          </w:r>
        </w:p>
      </w:tc>
      <w:tc>
        <w:tcPr>
          <w:tcW w:w="439" w:type="pct"/>
          <w:vAlign w:val="center"/>
        </w:tcPr>
        <w:p w14:paraId="0CDE20A4" w14:textId="77777777" w:rsidR="006D28C9" w:rsidRDefault="006D28C9" w:rsidP="00120C4C">
          <w:pPr>
            <w:pStyle w:val="RectoFooter"/>
            <w:spacing w:before="120"/>
            <w:ind w:left="-108"/>
          </w:pPr>
          <w:r>
            <w:rPr>
              <w:noProof/>
              <w:lang w:eastAsia="en-NZ"/>
            </w:rPr>
            <w:drawing>
              <wp:inline distT="0" distB="0" distL="0" distR="0" wp14:anchorId="18F83E22" wp14:editId="06745654">
                <wp:extent cx="373711" cy="414082"/>
                <wp:effectExtent l="0" t="0" r="7620" b="5080"/>
                <wp:docPr id="55200128" name="Picture 5520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199688" w14:textId="77777777" w:rsidR="006D28C9" w:rsidRPr="00571223" w:rsidRDefault="006D28C9" w:rsidP="00571223">
    <w:pPr>
      <w:pStyle w:val="Verso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709"/>
      <w:gridCol w:w="12161"/>
      <w:gridCol w:w="1128"/>
    </w:tblGrid>
    <w:tr w:rsidR="006D28C9" w14:paraId="6960DEE4" w14:textId="77777777" w:rsidTr="00D0264D">
      <w:trPr>
        <w:cantSplit/>
      </w:trPr>
      <w:tc>
        <w:tcPr>
          <w:tcW w:w="253" w:type="pct"/>
          <w:vAlign w:val="center"/>
        </w:tcPr>
        <w:p w14:paraId="0262CDBC" w14:textId="77777777" w:rsidR="006D28C9" w:rsidRDefault="006D28C9" w:rsidP="00584749">
          <w:pPr>
            <w:pStyle w:val="RectoFooter"/>
            <w:spacing w:before="120"/>
            <w:jc w:val="left"/>
          </w:pPr>
          <w:r>
            <w:rPr>
              <w:noProof/>
              <w:lang w:eastAsia="en-NZ"/>
            </w:rPr>
            <w:drawing>
              <wp:inline distT="0" distB="0" distL="0" distR="0" wp14:anchorId="38207BEE" wp14:editId="513F21C4">
                <wp:extent cx="373711" cy="414082"/>
                <wp:effectExtent l="0" t="0" r="7620" b="5080"/>
                <wp:docPr id="1663137827" name="Picture 166313782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344" w:type="pct"/>
          <w:vAlign w:val="center"/>
        </w:tcPr>
        <w:p w14:paraId="237B66C9" w14:textId="0482C55F" w:rsidR="006D28C9" w:rsidRDefault="006D28C9" w:rsidP="00584749">
          <w:pPr>
            <w:pStyle w:val="RectoFooter"/>
            <w:spacing w:before="120"/>
            <w:jc w:val="left"/>
          </w:pPr>
          <w:r w:rsidRPr="00757919">
            <w:t>TE RERE O TE TOTO</w:t>
          </w:r>
          <w:r w:rsidR="00D657D9">
            <w:t xml:space="preserve"> –</w:t>
          </w:r>
          <w:r w:rsidRPr="00757919">
            <w:t xml:space="preserve"> UNDERSTANDING BLOOD CANCER MEDICINE AVAILABILITY IN AOTEAROA </w:t>
          </w:r>
          <w:r w:rsidR="008C16F2" w:rsidRPr="008C16F2">
            <w:t>NEW</w:t>
          </w:r>
          <w:r w:rsidR="0034534A">
            <w:t> </w:t>
          </w:r>
          <w:r w:rsidR="008C16F2" w:rsidRPr="008C16F2">
            <w:t>ZEALAND</w:t>
          </w:r>
          <w:r w:rsidR="00D657D9">
            <w:t>:</w:t>
          </w:r>
          <w:r w:rsidRPr="00757919">
            <w:t xml:space="preserve"> FULL REPORT</w:t>
          </w:r>
        </w:p>
      </w:tc>
      <w:tc>
        <w:tcPr>
          <w:tcW w:w="403" w:type="pct"/>
          <w:vAlign w:val="center"/>
        </w:tcPr>
        <w:p w14:paraId="5022FD6B" w14:textId="77777777" w:rsidR="006D28C9" w:rsidRPr="00931466" w:rsidRDefault="006D28C9"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4453B5AF" w14:textId="77777777" w:rsidR="006D28C9" w:rsidRPr="00581EB8" w:rsidRDefault="006D28C9" w:rsidP="00584749">
    <w:pPr>
      <w:pStyle w:val="Footer"/>
      <w:rPr>
        <w:sz w:val="2"/>
        <w:szCs w:val="2"/>
      </w:rPr>
    </w:pPr>
  </w:p>
  <w:p w14:paraId="5A6DC0C8" w14:textId="77777777" w:rsidR="006D28C9" w:rsidRPr="00584749" w:rsidRDefault="006D28C9" w:rsidP="00584749">
    <w:pPr>
      <w:pStyle w:val="Footer"/>
      <w:rPr>
        <w:sz w:val="4"/>
        <w:szCs w:val="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CellMar>
        <w:left w:w="0" w:type="dxa"/>
        <w:right w:w="0" w:type="dxa"/>
      </w:tblCellMar>
      <w:tblLook w:val="04A0" w:firstRow="1" w:lastRow="0" w:firstColumn="1" w:lastColumn="0" w:noHBand="0" w:noVBand="1"/>
    </w:tblPr>
    <w:tblGrid>
      <w:gridCol w:w="610"/>
      <w:gridCol w:w="7411"/>
      <w:gridCol w:w="768"/>
    </w:tblGrid>
    <w:tr w:rsidR="00F962E4" w14:paraId="0E6F35EF" w14:textId="77777777" w:rsidTr="00BA139C">
      <w:trPr>
        <w:cantSplit/>
      </w:trPr>
      <w:tc>
        <w:tcPr>
          <w:tcW w:w="675" w:type="dxa"/>
          <w:vAlign w:val="center"/>
        </w:tcPr>
        <w:p w14:paraId="56210AB7" w14:textId="59F57913" w:rsidR="00F962E4" w:rsidRPr="00931466" w:rsidRDefault="00F962E4"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4CA4ED57" w14:textId="5C4094E4" w:rsidR="00F962E4" w:rsidRDefault="00F962E4"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850" w:type="dxa"/>
          <w:vAlign w:val="center"/>
        </w:tcPr>
        <w:p w14:paraId="6E31FACB" w14:textId="77777777" w:rsidR="00F962E4" w:rsidRDefault="00F962E4" w:rsidP="00120C4C">
          <w:pPr>
            <w:pStyle w:val="RectoFooter"/>
            <w:spacing w:before="120"/>
            <w:ind w:left="-108"/>
          </w:pPr>
          <w:r>
            <w:rPr>
              <w:noProof/>
              <w:lang w:eastAsia="en-NZ"/>
            </w:rPr>
            <w:drawing>
              <wp:inline distT="0" distB="0" distL="0" distR="0" wp14:anchorId="2BC7555E" wp14:editId="1922C3A7">
                <wp:extent cx="373711" cy="414082"/>
                <wp:effectExtent l="0" t="0" r="7620" b="5080"/>
                <wp:docPr id="97811727" name="Picture 978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74D2C9" w14:textId="77777777" w:rsidR="00F962E4" w:rsidRPr="00571223" w:rsidRDefault="00F962E4" w:rsidP="00571223">
    <w:pPr>
      <w:pStyle w:val="VersoFooter"/>
      <w:rPr>
        <w:sz w:val="2"/>
        <w:szCs w:val="2"/>
      </w:rPr>
    </w:pPr>
  </w:p>
  <w:p w14:paraId="52B9F4D0" w14:textId="77777777" w:rsidR="002D5803" w:rsidRDefault="002D580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6D28C9" w14:paraId="7B448D55" w14:textId="77777777">
      <w:trPr>
        <w:cantSplit/>
      </w:trPr>
      <w:tc>
        <w:tcPr>
          <w:tcW w:w="709" w:type="dxa"/>
          <w:vAlign w:val="center"/>
        </w:tcPr>
        <w:p w14:paraId="32DD03C8" w14:textId="77777777" w:rsidR="006D28C9" w:rsidRDefault="006D28C9" w:rsidP="006D28C9">
          <w:pPr>
            <w:pStyle w:val="RectoFooter"/>
            <w:spacing w:before="120"/>
            <w:jc w:val="left"/>
          </w:pPr>
          <w:r>
            <w:rPr>
              <w:noProof/>
              <w:lang w:eastAsia="en-NZ"/>
            </w:rPr>
            <w:drawing>
              <wp:inline distT="0" distB="0" distL="0" distR="0" wp14:anchorId="40F87B10" wp14:editId="1795F94B">
                <wp:extent cx="373711" cy="414082"/>
                <wp:effectExtent l="0" t="0" r="7620" b="5080"/>
                <wp:docPr id="1026045008" name="Picture 10260450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3E6E380" w14:textId="3F958BB1" w:rsidR="006D28C9" w:rsidRDefault="006D28C9" w:rsidP="006D28C9">
          <w:pPr>
            <w:pStyle w:val="RectoFooter"/>
            <w:spacing w:before="120"/>
            <w:jc w:val="left"/>
          </w:pPr>
          <w:r w:rsidRPr="00757919">
            <w:t>TE RERE O TE TOTO</w:t>
          </w:r>
          <w:r w:rsidR="00D657D9">
            <w:t xml:space="preserve"> –</w:t>
          </w:r>
          <w:r w:rsidRPr="00757919">
            <w:t xml:space="preserve"> UNDERSTANDING BLOOD CANCER MEDICINE AVAILABILITY IN AOTEAROA </w:t>
          </w:r>
          <w:r w:rsidR="008C16F2" w:rsidRPr="008C16F2">
            <w:t>NEW</w:t>
          </w:r>
          <w:r w:rsidR="0034534A">
            <w:t> </w:t>
          </w:r>
          <w:r w:rsidR="008C16F2" w:rsidRPr="008C16F2">
            <w:t>ZEALAND</w:t>
          </w:r>
          <w:r w:rsidR="00D657D9">
            <w:t>:</w:t>
          </w:r>
          <w:r w:rsidRPr="00757919">
            <w:t xml:space="preserve"> FULL REPORT</w:t>
          </w:r>
        </w:p>
      </w:tc>
      <w:tc>
        <w:tcPr>
          <w:tcW w:w="709" w:type="dxa"/>
          <w:vAlign w:val="center"/>
        </w:tcPr>
        <w:p w14:paraId="2BB28928" w14:textId="77777777" w:rsidR="006D28C9" w:rsidRPr="00931466" w:rsidRDefault="006D28C9" w:rsidP="006D28C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47</w:t>
          </w:r>
          <w:r w:rsidRPr="00931466">
            <w:rPr>
              <w:rStyle w:val="PageNumber"/>
            </w:rPr>
            <w:fldChar w:fldCharType="end"/>
          </w:r>
        </w:p>
      </w:tc>
    </w:tr>
  </w:tbl>
  <w:p w14:paraId="0FEEF2DD" w14:textId="77777777" w:rsidR="006D28C9" w:rsidRPr="00581EB8" w:rsidRDefault="006D28C9" w:rsidP="006D28C9">
    <w:pPr>
      <w:pStyle w:val="Footer"/>
      <w:rPr>
        <w:sz w:val="2"/>
        <w:szCs w:val="2"/>
      </w:rPr>
    </w:pPr>
  </w:p>
  <w:p w14:paraId="7C0AD7E3" w14:textId="77777777" w:rsidR="006D28C9" w:rsidRPr="00581EB8" w:rsidRDefault="006D28C9" w:rsidP="00584749">
    <w:pPr>
      <w:pStyle w:val="Footer"/>
      <w:rPr>
        <w:sz w:val="2"/>
        <w:szCs w:val="2"/>
      </w:rPr>
    </w:pPr>
  </w:p>
  <w:p w14:paraId="47090D4F" w14:textId="77777777" w:rsidR="006D28C9" w:rsidRPr="00584749" w:rsidRDefault="006D28C9" w:rsidP="00584749">
    <w:pPr>
      <w:pStyle w:val="Footer"/>
      <w:rPr>
        <w:sz w:val="4"/>
        <w:szCs w:val="4"/>
      </w:rPr>
    </w:pPr>
  </w:p>
  <w:p w14:paraId="62BFFB8C" w14:textId="77777777" w:rsidR="002D5803" w:rsidRDefault="002D58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CellMar>
        <w:left w:w="0" w:type="dxa"/>
        <w:right w:w="0" w:type="dxa"/>
      </w:tblCellMar>
      <w:tblLook w:val="04A0" w:firstRow="1" w:lastRow="0" w:firstColumn="1" w:lastColumn="0" w:noHBand="0" w:noVBand="1"/>
    </w:tblPr>
    <w:tblGrid>
      <w:gridCol w:w="854"/>
      <w:gridCol w:w="7366"/>
      <w:gridCol w:w="569"/>
    </w:tblGrid>
    <w:tr w:rsidR="00367850" w14:paraId="7065A31F" w14:textId="77777777" w:rsidTr="00E82F59">
      <w:trPr>
        <w:cantSplit/>
      </w:trPr>
      <w:tc>
        <w:tcPr>
          <w:tcW w:w="850" w:type="dxa"/>
          <w:vAlign w:val="center"/>
        </w:tcPr>
        <w:p w14:paraId="1AACE464" w14:textId="77777777" w:rsidR="00367850" w:rsidRDefault="00367850" w:rsidP="00120C4C">
          <w:pPr>
            <w:pStyle w:val="RectoFooter"/>
            <w:spacing w:before="120"/>
            <w:jc w:val="left"/>
          </w:pPr>
          <w:r>
            <w:rPr>
              <w:noProof/>
              <w:lang w:eastAsia="en-NZ"/>
            </w:rPr>
            <w:drawing>
              <wp:inline distT="0" distB="0" distL="0" distR="0" wp14:anchorId="70DCA46E" wp14:editId="5B9D152F">
                <wp:extent cx="373711" cy="414082"/>
                <wp:effectExtent l="0" t="0" r="7620" b="5080"/>
                <wp:docPr id="186997966" name="Picture 18699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36" w:type="dxa"/>
          <w:vAlign w:val="center"/>
        </w:tcPr>
        <w:p w14:paraId="75C29602" w14:textId="1A0C9862" w:rsidR="00367850" w:rsidRDefault="00367850" w:rsidP="00120C4C">
          <w:pPr>
            <w:pStyle w:val="RectoFooter"/>
            <w:spacing w:before="120"/>
            <w:jc w:val="left"/>
          </w:pPr>
          <w:r w:rsidRPr="00D61AFB">
            <w:t>Te rere o te toto</w:t>
          </w:r>
          <w:r w:rsidR="00D657D9">
            <w:t xml:space="preserve"> –</w:t>
          </w:r>
          <w:r w:rsidRPr="00D61AFB">
            <w:t xml:space="preserve"> Understanding blood cancer medicine availability in Aotearoa</w:t>
          </w:r>
          <w:r w:rsidR="005316C4">
            <w:t xml:space="preserve"> New</w:t>
          </w:r>
          <w:r w:rsidR="0034534A">
            <w:t> </w:t>
          </w:r>
          <w:r w:rsidR="005316C4">
            <w:t>Zealand</w:t>
          </w:r>
          <w:r w:rsidR="00D657D9">
            <w:t>:</w:t>
          </w:r>
          <w:r>
            <w:t xml:space="preserve"> FULL REPORT</w:t>
          </w:r>
        </w:p>
      </w:tc>
      <w:tc>
        <w:tcPr>
          <w:tcW w:w="567" w:type="dxa"/>
          <w:vAlign w:val="center"/>
        </w:tcPr>
        <w:p w14:paraId="4501C815" w14:textId="77777777" w:rsidR="00367850" w:rsidRPr="00931466" w:rsidRDefault="0036785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14:paraId="062FBFC5" w14:textId="77777777" w:rsidR="00367850" w:rsidRPr="00581EB8" w:rsidRDefault="00367850" w:rsidP="00581EB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CellMar>
        <w:left w:w="0" w:type="dxa"/>
        <w:right w:w="0" w:type="dxa"/>
      </w:tblCellMar>
      <w:tblLook w:val="04A0" w:firstRow="1" w:lastRow="0" w:firstColumn="1" w:lastColumn="0" w:noHBand="0" w:noVBand="1"/>
    </w:tblPr>
    <w:tblGrid>
      <w:gridCol w:w="610"/>
      <w:gridCol w:w="7411"/>
      <w:gridCol w:w="768"/>
    </w:tblGrid>
    <w:tr w:rsidR="00552B1F" w14:paraId="3D9E0031" w14:textId="77777777" w:rsidTr="00BA139C">
      <w:trPr>
        <w:cantSplit/>
      </w:trPr>
      <w:tc>
        <w:tcPr>
          <w:tcW w:w="675" w:type="dxa"/>
          <w:vAlign w:val="center"/>
        </w:tcPr>
        <w:p w14:paraId="31C21290" w14:textId="77777777" w:rsidR="00552B1F" w:rsidRPr="00931466" w:rsidRDefault="00552B1F"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2</w:t>
          </w:r>
          <w:r w:rsidRPr="00931466">
            <w:rPr>
              <w:rStyle w:val="PageNumber"/>
            </w:rPr>
            <w:fldChar w:fldCharType="end"/>
          </w:r>
        </w:p>
      </w:tc>
      <w:tc>
        <w:tcPr>
          <w:tcW w:w="8222" w:type="dxa"/>
          <w:vAlign w:val="center"/>
        </w:tcPr>
        <w:p w14:paraId="7D4EDBAD" w14:textId="731BBADE" w:rsidR="00552B1F" w:rsidRDefault="00D916E7"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850" w:type="dxa"/>
          <w:vAlign w:val="center"/>
        </w:tcPr>
        <w:p w14:paraId="554E72FC" w14:textId="77777777" w:rsidR="00552B1F" w:rsidRDefault="00552B1F" w:rsidP="00120C4C">
          <w:pPr>
            <w:pStyle w:val="RectoFooter"/>
            <w:spacing w:before="120"/>
            <w:ind w:left="-108"/>
          </w:pPr>
          <w:r>
            <w:rPr>
              <w:noProof/>
              <w:lang w:eastAsia="en-NZ"/>
            </w:rPr>
            <w:drawing>
              <wp:inline distT="0" distB="0" distL="0" distR="0" wp14:anchorId="249AE0E0" wp14:editId="64B1BEC6">
                <wp:extent cx="373711" cy="414082"/>
                <wp:effectExtent l="0" t="0" r="7620" b="5080"/>
                <wp:docPr id="1549758893" name="Picture 154975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7A3F0D" w14:textId="77777777" w:rsidR="00105770" w:rsidRPr="00571223" w:rsidRDefault="00105770" w:rsidP="00571223">
    <w:pPr>
      <w:pStyle w:val="Verso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99" w:type="dxa"/>
      <w:tblCellMar>
        <w:left w:w="0" w:type="dxa"/>
        <w:right w:w="0" w:type="dxa"/>
      </w:tblCellMar>
      <w:tblLook w:val="04A0" w:firstRow="1" w:lastRow="0" w:firstColumn="1" w:lastColumn="0" w:noHBand="0" w:noVBand="1"/>
    </w:tblPr>
    <w:tblGrid>
      <w:gridCol w:w="968"/>
      <w:gridCol w:w="12216"/>
      <w:gridCol w:w="815"/>
    </w:tblGrid>
    <w:tr w:rsidR="001A3F3B" w14:paraId="72AAC849" w14:textId="77777777" w:rsidTr="00BA139C">
      <w:trPr>
        <w:cantSplit/>
      </w:trPr>
      <w:tc>
        <w:tcPr>
          <w:tcW w:w="346" w:type="pct"/>
          <w:vAlign w:val="center"/>
        </w:tcPr>
        <w:p w14:paraId="007DD5E2" w14:textId="77777777" w:rsidR="001A3F3B" w:rsidRPr="00931466" w:rsidRDefault="001A3F3B"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4363" w:type="pct"/>
          <w:vAlign w:val="center"/>
        </w:tcPr>
        <w:p w14:paraId="7682DCEC" w14:textId="1D1E41C6" w:rsidR="001A3F3B" w:rsidRDefault="00D916E7"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291" w:type="pct"/>
          <w:vAlign w:val="center"/>
        </w:tcPr>
        <w:p w14:paraId="15622ED1" w14:textId="77777777" w:rsidR="001A3F3B" w:rsidRDefault="001A3F3B" w:rsidP="00120C4C">
          <w:pPr>
            <w:pStyle w:val="RectoFooter"/>
            <w:spacing w:before="120"/>
            <w:ind w:left="-108"/>
          </w:pPr>
          <w:r>
            <w:rPr>
              <w:noProof/>
              <w:lang w:eastAsia="en-NZ"/>
            </w:rPr>
            <w:drawing>
              <wp:inline distT="0" distB="0" distL="0" distR="0" wp14:anchorId="5664E116" wp14:editId="771BFF3A">
                <wp:extent cx="373711" cy="414082"/>
                <wp:effectExtent l="0" t="0" r="7620" b="5080"/>
                <wp:docPr id="2012883642" name="Picture 201288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D299D9" w14:textId="77777777" w:rsidR="001A3F3B" w:rsidRPr="00571223" w:rsidRDefault="001A3F3B"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76" w:type="pct"/>
      <w:tblCellMar>
        <w:left w:w="0" w:type="dxa"/>
        <w:right w:w="0" w:type="dxa"/>
      </w:tblCellMar>
      <w:tblLook w:val="04A0" w:firstRow="1" w:lastRow="0" w:firstColumn="1" w:lastColumn="0" w:noHBand="0" w:noVBand="1"/>
    </w:tblPr>
    <w:tblGrid>
      <w:gridCol w:w="847"/>
      <w:gridCol w:w="12176"/>
      <w:gridCol w:w="908"/>
    </w:tblGrid>
    <w:tr w:rsidR="00A2330D" w14:paraId="0791B9A1" w14:textId="77777777" w:rsidTr="00D4752B">
      <w:trPr>
        <w:cantSplit/>
      </w:trPr>
      <w:tc>
        <w:tcPr>
          <w:tcW w:w="304" w:type="pct"/>
          <w:vAlign w:val="center"/>
        </w:tcPr>
        <w:p w14:paraId="55D848E7" w14:textId="77777777" w:rsidR="00B82119" w:rsidRDefault="00B82119" w:rsidP="00120C4C">
          <w:pPr>
            <w:pStyle w:val="RectoFooter"/>
            <w:spacing w:before="120"/>
            <w:jc w:val="left"/>
          </w:pPr>
          <w:r>
            <w:rPr>
              <w:noProof/>
              <w:lang w:eastAsia="en-NZ"/>
            </w:rPr>
            <w:drawing>
              <wp:inline distT="0" distB="0" distL="0" distR="0" wp14:anchorId="7D4B38BE" wp14:editId="49CCD605">
                <wp:extent cx="373711" cy="414082"/>
                <wp:effectExtent l="0" t="0" r="7620" b="5080"/>
                <wp:docPr id="1495616500" name="Picture 14956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370" w:type="pct"/>
          <w:vAlign w:val="center"/>
        </w:tcPr>
        <w:p w14:paraId="6571B1F6" w14:textId="495880C9" w:rsidR="00B82119" w:rsidRDefault="00D916E7" w:rsidP="00120C4C">
          <w:pPr>
            <w:pStyle w:val="RectoFooter"/>
            <w:spacing w:before="120"/>
            <w:jc w:val="left"/>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 xml:space="preserve">: </w:t>
          </w:r>
          <w:r w:rsidRPr="00D916E7">
            <w:t>FULL REPORT</w:t>
          </w:r>
        </w:p>
      </w:tc>
      <w:tc>
        <w:tcPr>
          <w:tcW w:w="326" w:type="pct"/>
          <w:vAlign w:val="center"/>
        </w:tcPr>
        <w:p w14:paraId="55C527B9" w14:textId="77777777" w:rsidR="00B82119" w:rsidRPr="00931466" w:rsidRDefault="00B82119"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7C8B0BA8" w14:textId="77777777" w:rsidR="00B82119" w:rsidRPr="00581EB8" w:rsidRDefault="00B82119"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CellMar>
        <w:left w:w="0" w:type="dxa"/>
        <w:right w:w="0" w:type="dxa"/>
      </w:tblCellMar>
      <w:tblLook w:val="04A0" w:firstRow="1" w:lastRow="0" w:firstColumn="1" w:lastColumn="0" w:noHBand="0" w:noVBand="1"/>
    </w:tblPr>
    <w:tblGrid>
      <w:gridCol w:w="610"/>
      <w:gridCol w:w="7411"/>
      <w:gridCol w:w="768"/>
    </w:tblGrid>
    <w:tr w:rsidR="00B82119" w14:paraId="5E61CDE4" w14:textId="77777777" w:rsidTr="00BA139C">
      <w:trPr>
        <w:cantSplit/>
      </w:trPr>
      <w:tc>
        <w:tcPr>
          <w:tcW w:w="675" w:type="dxa"/>
          <w:vAlign w:val="center"/>
        </w:tcPr>
        <w:p w14:paraId="35A8F239" w14:textId="77777777" w:rsidR="00B82119" w:rsidRPr="00931466" w:rsidRDefault="00B82119"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2D61367F" w14:textId="030D2BF6" w:rsidR="00B82119" w:rsidRDefault="00D916E7"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850" w:type="dxa"/>
          <w:vAlign w:val="center"/>
        </w:tcPr>
        <w:p w14:paraId="05746C0C" w14:textId="77777777" w:rsidR="00B82119" w:rsidRDefault="00B82119" w:rsidP="00120C4C">
          <w:pPr>
            <w:pStyle w:val="RectoFooter"/>
            <w:spacing w:before="120"/>
            <w:ind w:left="-108"/>
          </w:pPr>
          <w:r>
            <w:rPr>
              <w:noProof/>
              <w:lang w:eastAsia="en-NZ"/>
            </w:rPr>
            <w:drawing>
              <wp:inline distT="0" distB="0" distL="0" distR="0" wp14:anchorId="3B31B58C" wp14:editId="7D0E97A5">
                <wp:extent cx="373711" cy="414082"/>
                <wp:effectExtent l="0" t="0" r="7620" b="5080"/>
                <wp:docPr id="1671390999" name="Picture 167139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24933F" w14:textId="77777777" w:rsidR="00B82119" w:rsidRPr="00571223" w:rsidRDefault="00B82119"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584749" w14:paraId="4718E447" w14:textId="77777777">
      <w:trPr>
        <w:cantSplit/>
      </w:trPr>
      <w:tc>
        <w:tcPr>
          <w:tcW w:w="709" w:type="dxa"/>
          <w:vAlign w:val="center"/>
        </w:tcPr>
        <w:p w14:paraId="116FAD98" w14:textId="77777777" w:rsidR="00584749" w:rsidRDefault="00584749" w:rsidP="00584749">
          <w:pPr>
            <w:pStyle w:val="RectoFooter"/>
            <w:spacing w:before="120"/>
            <w:jc w:val="left"/>
          </w:pPr>
          <w:r>
            <w:rPr>
              <w:noProof/>
              <w:lang w:eastAsia="en-NZ"/>
            </w:rPr>
            <w:drawing>
              <wp:inline distT="0" distB="0" distL="0" distR="0" wp14:anchorId="4092E912" wp14:editId="40F25060">
                <wp:extent cx="373711" cy="414082"/>
                <wp:effectExtent l="0" t="0" r="7620" b="5080"/>
                <wp:docPr id="985904781" name="Picture 98590478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46360F6" w14:textId="128F8A6E" w:rsidR="00584749" w:rsidRDefault="00584749" w:rsidP="00584749">
          <w:pPr>
            <w:pStyle w:val="RectoFooter"/>
            <w:spacing w:before="120"/>
            <w:jc w:val="left"/>
          </w:pPr>
          <w:r w:rsidRPr="00757919">
            <w:t>TE RERE O TE TOTO</w:t>
          </w:r>
          <w:r w:rsidR="00D657D9">
            <w:t xml:space="preserve"> – </w:t>
          </w:r>
          <w:r w:rsidRPr="00757919">
            <w:t xml:space="preserve">UNDERSTANDING BLOOD CANCER MEDICINE AVAILABILITY IN AOTEAROA </w:t>
          </w:r>
          <w:r w:rsidR="008C16F2" w:rsidRPr="008C16F2">
            <w:t>NEW</w:t>
          </w:r>
          <w:r w:rsidR="0034534A">
            <w:t> </w:t>
          </w:r>
          <w:r w:rsidR="008C16F2" w:rsidRPr="008C16F2">
            <w:t>ZEALAND</w:t>
          </w:r>
          <w:r w:rsidR="00D657D9">
            <w:t>:</w:t>
          </w:r>
          <w:r w:rsidRPr="00757919">
            <w:t xml:space="preserve"> FULL REPORT</w:t>
          </w:r>
        </w:p>
      </w:tc>
      <w:tc>
        <w:tcPr>
          <w:tcW w:w="709" w:type="dxa"/>
          <w:vAlign w:val="center"/>
        </w:tcPr>
        <w:p w14:paraId="738B6E71" w14:textId="77777777" w:rsidR="00584749" w:rsidRPr="00931466" w:rsidRDefault="00584749"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20FA621E" w14:textId="77777777" w:rsidR="00584749" w:rsidRPr="00581EB8" w:rsidRDefault="00584749" w:rsidP="00584749">
    <w:pPr>
      <w:pStyle w:val="Footer"/>
      <w:rPr>
        <w:sz w:val="2"/>
        <w:szCs w:val="2"/>
      </w:rPr>
    </w:pPr>
  </w:p>
  <w:p w14:paraId="69D60B73" w14:textId="77777777" w:rsidR="001A3F3B" w:rsidRPr="00584749" w:rsidRDefault="001A3F3B" w:rsidP="00584749">
    <w:pPr>
      <w:pStyle w:val="Footer"/>
      <w:rPr>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99" w:type="dxa"/>
      <w:tblCellMar>
        <w:left w:w="0" w:type="dxa"/>
        <w:right w:w="0" w:type="dxa"/>
      </w:tblCellMar>
      <w:tblLook w:val="04A0" w:firstRow="1" w:lastRow="0" w:firstColumn="1" w:lastColumn="0" w:noHBand="0" w:noVBand="1"/>
    </w:tblPr>
    <w:tblGrid>
      <w:gridCol w:w="968"/>
      <w:gridCol w:w="11810"/>
      <w:gridCol w:w="1221"/>
    </w:tblGrid>
    <w:tr w:rsidR="00D0264D" w14:paraId="401D8796" w14:textId="77777777" w:rsidTr="00BA139C">
      <w:trPr>
        <w:cantSplit/>
      </w:trPr>
      <w:tc>
        <w:tcPr>
          <w:tcW w:w="346" w:type="pct"/>
          <w:vAlign w:val="center"/>
        </w:tcPr>
        <w:p w14:paraId="3F62280E" w14:textId="5F909CFB" w:rsidR="00D0264D" w:rsidRPr="00931466" w:rsidRDefault="00D0264D"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4218" w:type="pct"/>
          <w:vAlign w:val="center"/>
        </w:tcPr>
        <w:p w14:paraId="33A78784" w14:textId="5FF2A67A" w:rsidR="00D0264D" w:rsidRDefault="00D0264D" w:rsidP="00120C4C">
          <w:pPr>
            <w:pStyle w:val="RectoFooter"/>
            <w:spacing w:before="120"/>
            <w:ind w:left="-108"/>
          </w:pPr>
          <w:r w:rsidRPr="00D916E7">
            <w:t>TE RERE O TE TOTO</w:t>
          </w:r>
          <w:r w:rsidR="00D657D9">
            <w:t xml:space="preserve"> –</w:t>
          </w:r>
          <w:r w:rsidRPr="00D916E7">
            <w:t xml:space="preserve"> UNDERSTANDING BLOOD CANCER MEDICINE AVAILABILITY IN AOTEAROA </w:t>
          </w:r>
          <w:r w:rsidR="008C16F2" w:rsidRPr="008C16F2">
            <w:t>NEW</w:t>
          </w:r>
          <w:r w:rsidR="0034534A">
            <w:t> </w:t>
          </w:r>
          <w:r w:rsidR="008C16F2" w:rsidRPr="008C16F2">
            <w:t>ZEALAND</w:t>
          </w:r>
          <w:r w:rsidR="00D657D9">
            <w:t>:</w:t>
          </w:r>
          <w:r w:rsidRPr="00D916E7">
            <w:t xml:space="preserve"> FULL REPORT</w:t>
          </w:r>
        </w:p>
      </w:tc>
      <w:tc>
        <w:tcPr>
          <w:tcW w:w="436" w:type="pct"/>
          <w:vAlign w:val="center"/>
        </w:tcPr>
        <w:p w14:paraId="3D06920B" w14:textId="77777777" w:rsidR="00D0264D" w:rsidRDefault="00D0264D" w:rsidP="00120C4C">
          <w:pPr>
            <w:pStyle w:val="RectoFooter"/>
            <w:spacing w:before="120"/>
            <w:ind w:left="-108"/>
          </w:pPr>
          <w:r>
            <w:rPr>
              <w:noProof/>
              <w:lang w:eastAsia="en-NZ"/>
            </w:rPr>
            <w:drawing>
              <wp:inline distT="0" distB="0" distL="0" distR="0" wp14:anchorId="14325B2E" wp14:editId="6AE0B6B2">
                <wp:extent cx="373711" cy="414082"/>
                <wp:effectExtent l="0" t="0" r="7620" b="5080"/>
                <wp:docPr id="1931705848" name="Picture 193170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7E76C4B" w14:textId="77777777" w:rsidR="00D0264D" w:rsidRPr="00571223" w:rsidRDefault="00D0264D"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709"/>
      <w:gridCol w:w="12161"/>
      <w:gridCol w:w="1128"/>
    </w:tblGrid>
    <w:tr w:rsidR="00F962E4" w14:paraId="10EDC453" w14:textId="77777777" w:rsidTr="00D0264D">
      <w:trPr>
        <w:cantSplit/>
      </w:trPr>
      <w:tc>
        <w:tcPr>
          <w:tcW w:w="253" w:type="pct"/>
          <w:vAlign w:val="center"/>
        </w:tcPr>
        <w:p w14:paraId="5DF8D251" w14:textId="77777777" w:rsidR="00F962E4" w:rsidRDefault="00F962E4" w:rsidP="00584749">
          <w:pPr>
            <w:pStyle w:val="RectoFooter"/>
            <w:spacing w:before="120"/>
            <w:jc w:val="left"/>
          </w:pPr>
          <w:r>
            <w:rPr>
              <w:noProof/>
              <w:lang w:eastAsia="en-NZ"/>
            </w:rPr>
            <w:drawing>
              <wp:inline distT="0" distB="0" distL="0" distR="0" wp14:anchorId="30ACD57B" wp14:editId="7186A998">
                <wp:extent cx="373711" cy="414082"/>
                <wp:effectExtent l="0" t="0" r="7620" b="5080"/>
                <wp:docPr id="380727738" name="Picture 38072773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344" w:type="pct"/>
          <w:vAlign w:val="center"/>
        </w:tcPr>
        <w:p w14:paraId="2DA95C79" w14:textId="1C37BBFB" w:rsidR="00F962E4" w:rsidRDefault="00F962E4" w:rsidP="00584749">
          <w:pPr>
            <w:pStyle w:val="RectoFooter"/>
            <w:spacing w:before="120"/>
            <w:jc w:val="left"/>
          </w:pPr>
          <w:r w:rsidRPr="00757919">
            <w:t>TE RERE O TE TOTO</w:t>
          </w:r>
          <w:r w:rsidR="00D657D9">
            <w:t xml:space="preserve"> –</w:t>
          </w:r>
          <w:r w:rsidRPr="00757919">
            <w:t xml:space="preserve"> UNDERSTANDING BLOOD CANCER MEDICINE AVAILABILITY IN AOTEAROA</w:t>
          </w:r>
          <w:r w:rsidR="008C16F2">
            <w:t xml:space="preserve"> </w:t>
          </w:r>
          <w:r w:rsidR="008C16F2" w:rsidRPr="008C16F2">
            <w:t>NEW</w:t>
          </w:r>
          <w:r w:rsidR="0034534A">
            <w:t> </w:t>
          </w:r>
          <w:r w:rsidR="008C16F2" w:rsidRPr="008C16F2">
            <w:t>ZEALAND</w:t>
          </w:r>
          <w:r w:rsidR="00D657D9">
            <w:t>:</w:t>
          </w:r>
          <w:r w:rsidRPr="00757919">
            <w:t xml:space="preserve"> FULL REPORT</w:t>
          </w:r>
        </w:p>
      </w:tc>
      <w:tc>
        <w:tcPr>
          <w:tcW w:w="403" w:type="pct"/>
          <w:vAlign w:val="center"/>
        </w:tcPr>
        <w:p w14:paraId="554D48C6" w14:textId="77777777" w:rsidR="00F962E4" w:rsidRPr="00931466" w:rsidRDefault="00F962E4"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0C916951" w14:textId="77777777" w:rsidR="00F962E4" w:rsidRPr="00581EB8" w:rsidRDefault="00F962E4" w:rsidP="00584749">
    <w:pPr>
      <w:pStyle w:val="Footer"/>
      <w:rPr>
        <w:sz w:val="2"/>
        <w:szCs w:val="2"/>
      </w:rPr>
    </w:pPr>
  </w:p>
  <w:p w14:paraId="4181EEA4" w14:textId="77777777" w:rsidR="00F962E4" w:rsidRPr="00584749" w:rsidRDefault="00F962E4" w:rsidP="00584749">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D6D01" w14:textId="77777777" w:rsidR="004B4717" w:rsidRPr="00A26E6B" w:rsidRDefault="004B4717" w:rsidP="00A26E6B">
      <w:r>
        <w:separator/>
      </w:r>
    </w:p>
  </w:footnote>
  <w:footnote w:type="continuationSeparator" w:id="0">
    <w:p w14:paraId="254F104A" w14:textId="77777777" w:rsidR="004B4717" w:rsidRDefault="004B4717">
      <w:r>
        <w:continuationSeparator/>
      </w:r>
    </w:p>
    <w:p w14:paraId="65309DCE" w14:textId="77777777" w:rsidR="004B4717" w:rsidRDefault="004B4717"/>
  </w:footnote>
  <w:footnote w:type="continuationNotice" w:id="1">
    <w:p w14:paraId="723EB213" w14:textId="77777777" w:rsidR="004B4717" w:rsidRDefault="004B4717">
      <w:pPr>
        <w:spacing w:line="240" w:lineRule="auto"/>
      </w:pPr>
    </w:p>
  </w:footnote>
  <w:footnote w:id="2">
    <w:p w14:paraId="70CECBE2" w14:textId="5DB34575" w:rsidR="00992972" w:rsidRDefault="00992972">
      <w:pPr>
        <w:pStyle w:val="FootnoteText"/>
      </w:pPr>
      <w:r>
        <w:rPr>
          <w:rStyle w:val="FootnoteReference"/>
        </w:rPr>
        <w:footnoteRef/>
      </w:r>
      <w:r>
        <w:t xml:space="preserve"> </w:t>
      </w:r>
      <w:r>
        <w:tab/>
        <w:t>In this report, ‘a</w:t>
      </w:r>
      <w:r w:rsidRPr="00992972">
        <w:t>vailable medicines</w:t>
      </w:r>
      <w:r>
        <w:t>’</w:t>
      </w:r>
      <w:r w:rsidRPr="00992972">
        <w:t xml:space="preserve"> </w:t>
      </w:r>
      <w:r>
        <w:t>r</w:t>
      </w:r>
      <w:r w:rsidRPr="00992972">
        <w:t>efers to publicly funded medicines. For Aotearoa, this means medicines funded by Pharmac</w:t>
      </w:r>
      <w:r>
        <w:t>.</w:t>
      </w:r>
    </w:p>
  </w:footnote>
  <w:footnote w:id="3">
    <w:p w14:paraId="24940935" w14:textId="09C626F2" w:rsidR="000D2E65" w:rsidRDefault="000D2E65" w:rsidP="00033002">
      <w:pPr>
        <w:pStyle w:val="FootnoteText"/>
      </w:pPr>
      <w:r w:rsidRPr="005E5456">
        <w:rPr>
          <w:rStyle w:val="FootnoteReference"/>
          <w:rFonts w:eastAsia="MS Gothic"/>
        </w:rPr>
        <w:footnoteRef/>
      </w:r>
      <w:r>
        <w:tab/>
        <w:t>An ESMO-MCBS score of A or B indicates a medicine-indication pair associated with substantial clinical benefit and used with curative intent.</w:t>
      </w:r>
      <w:r w:rsidRPr="009435AA">
        <w:t xml:space="preserve"> </w:t>
      </w:r>
      <w:r>
        <w:t>Curative intent treatments are used with the intent of curing the disease. The medicines are usually used in combination with surgery and/or radi</w:t>
      </w:r>
      <w:r w:rsidR="009C73E9">
        <w:t xml:space="preserve">ation </w:t>
      </w:r>
      <w:r>
        <w:t>therapy – they are given with the intention of stopping a tumour that was treated from recurring.</w:t>
      </w:r>
    </w:p>
  </w:footnote>
  <w:footnote w:id="4">
    <w:p w14:paraId="5E3208E6" w14:textId="46DE1B0F" w:rsidR="000D2E65" w:rsidRDefault="000D2E65" w:rsidP="00033002">
      <w:pPr>
        <w:pStyle w:val="FootnoteText"/>
      </w:pPr>
      <w:r w:rsidRPr="005E5456">
        <w:rPr>
          <w:rStyle w:val="FootnoteReference"/>
          <w:rFonts w:eastAsia="MS Gothic"/>
        </w:rPr>
        <w:footnoteRef/>
      </w:r>
      <w:r>
        <w:tab/>
        <w:t>An ESMO-MCBS score of 5 or 4 indicates a medicine-indication pair associated with substantial clinical benefit in the non-curative setting. Non-curative intent treatments are not used with the intent of curing the disease; instead, they are used with the intention of increasing the duration and/or quality of a person’s remaining life living with the cancer. Medicines used in this setting may be used alone or alongside palliative surgery or radi</w:t>
      </w:r>
      <w:r w:rsidR="009C73E9">
        <w:t xml:space="preserve">ation </w:t>
      </w:r>
      <w:r>
        <w:t>therapy.</w:t>
      </w:r>
    </w:p>
  </w:footnote>
  <w:footnote w:id="5">
    <w:p w14:paraId="5008C3A6" w14:textId="2F434B67" w:rsidR="001376F7" w:rsidRDefault="001376F7" w:rsidP="00033002">
      <w:pPr>
        <w:pStyle w:val="FootnoteText"/>
      </w:pPr>
      <w:r>
        <w:rPr>
          <w:rStyle w:val="FootnoteReference"/>
        </w:rPr>
        <w:footnoteRef/>
      </w:r>
      <w:r>
        <w:t xml:space="preserve"> </w:t>
      </w:r>
      <w:r w:rsidR="00F15082">
        <w:tab/>
      </w:r>
      <w:r w:rsidRPr="00190C7F">
        <w:rPr>
          <w:rStyle w:val="FootnoteTextChar"/>
        </w:rPr>
        <w:t>Survival data from Gurney</w:t>
      </w:r>
      <w:r w:rsidR="00653B78" w:rsidRPr="00653B78">
        <w:rPr>
          <w:rStyle w:val="FootnoteTextChar"/>
        </w:rPr>
        <w:t>, Stanley</w:t>
      </w:r>
      <w:r w:rsidRPr="00190C7F">
        <w:rPr>
          <w:rStyle w:val="FootnoteTextChar"/>
        </w:rPr>
        <w:t xml:space="preserve"> et al</w:t>
      </w:r>
      <w:r w:rsidR="00653B78" w:rsidRPr="00653B78">
        <w:rPr>
          <w:rStyle w:val="FootnoteTextChar"/>
        </w:rPr>
        <w:t xml:space="preserve"> </w:t>
      </w:r>
      <w:r w:rsidR="00653B78">
        <w:rPr>
          <w:rStyle w:val="FootnoteTextChar"/>
        </w:rPr>
        <w:t>(</w:t>
      </w:r>
      <w:r w:rsidR="00653B78" w:rsidRPr="00653B78">
        <w:rPr>
          <w:rStyle w:val="FootnoteTextChar"/>
        </w:rPr>
        <w:t>2020</w:t>
      </w:r>
      <w:r w:rsidR="00653B78">
        <w:rPr>
          <w:rStyle w:val="FootnoteTextChar"/>
        </w:rPr>
        <w:t>)</w:t>
      </w:r>
      <w:r w:rsidRPr="00190C7F">
        <w:rPr>
          <w:rStyle w:val="FootnoteTextChar"/>
        </w:rPr>
        <w:t xml:space="preserve"> used cause-specific survival analysis methods, while survival data from other sources used relative survival analysis methods.</w:t>
      </w:r>
      <w:r w:rsidR="004E0C7F">
        <w:rPr>
          <w:rStyle w:val="FootnoteTextChar"/>
        </w:rPr>
        <w:t xml:space="preserve"> </w:t>
      </w:r>
      <w:r w:rsidRPr="00190C7F">
        <w:rPr>
          <w:rStyle w:val="FootnoteTextChar"/>
        </w:rPr>
        <w:t>While both approaches can produce robust survival estimates and data should generally be comparable between the two, each has its own strengths and limitations (Sarfati</w:t>
      </w:r>
      <w:r w:rsidR="004E0C7F">
        <w:rPr>
          <w:rStyle w:val="FootnoteTextChar"/>
        </w:rPr>
        <w:t xml:space="preserve"> et al </w:t>
      </w:r>
      <w:r w:rsidRPr="00190C7F">
        <w:rPr>
          <w:rStyle w:val="FootnoteTextChar"/>
        </w:rPr>
        <w:t xml:space="preserve">2010). </w:t>
      </w:r>
    </w:p>
  </w:footnote>
  <w:footnote w:id="6">
    <w:p w14:paraId="1A4767D3" w14:textId="3164AA03" w:rsidR="00DF57C0" w:rsidRPr="00DA1A2C" w:rsidRDefault="00DF57C0" w:rsidP="00033002">
      <w:pPr>
        <w:pStyle w:val="FootnoteText"/>
      </w:pPr>
      <w:r w:rsidRPr="00DA1A2C">
        <w:rPr>
          <w:vertAlign w:val="superscript"/>
        </w:rPr>
        <w:footnoteRef/>
      </w:r>
      <w:r w:rsidRPr="00DA1A2C">
        <w:t xml:space="preserve"> </w:t>
      </w:r>
      <w:r w:rsidR="00F15082">
        <w:tab/>
      </w:r>
      <w:r w:rsidRPr="00DA1A2C">
        <w:t>Survival data from Gurney</w:t>
      </w:r>
      <w:r w:rsidR="00684730" w:rsidRPr="00684730">
        <w:t>, Stanley</w:t>
      </w:r>
      <w:r w:rsidRPr="00DA1A2C">
        <w:t xml:space="preserve"> et al</w:t>
      </w:r>
      <w:r w:rsidR="00684730">
        <w:t xml:space="preserve"> (2020)</w:t>
      </w:r>
      <w:r w:rsidRPr="00DA1A2C">
        <w:t xml:space="preserve"> used cause-specific survival analysis methods, while survival data from other sources used relative survival analysis methods.</w:t>
      </w:r>
      <w:r w:rsidR="004E0C7F">
        <w:t xml:space="preserve"> </w:t>
      </w:r>
      <w:r w:rsidRPr="00DA1A2C">
        <w:t>While both approaches can produce robust survival estimates and data should generally be comparable between the two, each has its own strengths and limitations.</w:t>
      </w:r>
    </w:p>
  </w:footnote>
  <w:footnote w:id="7">
    <w:p w14:paraId="43BF86A3" w14:textId="66B7989A" w:rsidR="00DF57C0" w:rsidRDefault="00DF57C0" w:rsidP="00033002">
      <w:pPr>
        <w:pStyle w:val="FootnoteText"/>
      </w:pPr>
      <w:r w:rsidRPr="00AB32DC">
        <w:rPr>
          <w:vertAlign w:val="superscript"/>
        </w:rPr>
        <w:footnoteRef/>
      </w:r>
      <w:r w:rsidRPr="00033002">
        <w:t xml:space="preserve"> </w:t>
      </w:r>
      <w:r w:rsidR="00F15082">
        <w:tab/>
      </w:r>
      <w:r w:rsidRPr="00033002">
        <w:t>Survival data from Gurney</w:t>
      </w:r>
      <w:r w:rsidR="00684730" w:rsidRPr="00684730">
        <w:t>, Stanley</w:t>
      </w:r>
      <w:r w:rsidRPr="00033002">
        <w:t xml:space="preserve"> et al</w:t>
      </w:r>
      <w:r w:rsidR="00684730">
        <w:t xml:space="preserve"> (2020)</w:t>
      </w:r>
      <w:r w:rsidRPr="00033002">
        <w:t xml:space="preserve"> used cause-specific survival analysis methods, while survival data from other sources used relative survival analysis methods.</w:t>
      </w:r>
      <w:r w:rsidR="004E0C7F">
        <w:t xml:space="preserve"> </w:t>
      </w:r>
      <w:r w:rsidRPr="00033002">
        <w:t>While both approaches can produce robust survival estimates and data should generally be comparable between the two, each has its own strengths and limitations (Sarfati et al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7A40" w14:textId="77777777" w:rsidR="00A8063B" w:rsidRDefault="00A8063B" w:rsidP="00533B9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704" w14:textId="1A7A4E20" w:rsidR="00E32D53" w:rsidRDefault="00E32D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EA88" w14:textId="6113ECC7" w:rsidR="00E32D53" w:rsidRDefault="00E32D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13B5" w14:textId="5D0B6DA6" w:rsidR="00E32D53" w:rsidRDefault="00E32D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E47E" w14:textId="520BC5BD" w:rsidR="00E32D53" w:rsidRDefault="00E32D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0D33" w14:textId="28ADB52F" w:rsidR="00E32D53" w:rsidRDefault="00E32D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B8D0" w14:textId="546F6F40" w:rsidR="00E32D53" w:rsidRDefault="00E32D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FA3E" w14:textId="1D1DEC83" w:rsidR="00E32D53" w:rsidRDefault="00E32D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76B7" w14:textId="20072898" w:rsidR="00E32D53" w:rsidRDefault="00E32D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CA8C" w14:textId="2B0C9787" w:rsidR="00E32D53" w:rsidRDefault="00E32D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8A36" w14:textId="060761E5" w:rsidR="00E32D53" w:rsidRDefault="00E32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5EA8" w14:textId="13377413" w:rsidR="00A8063B" w:rsidRDefault="00A8063B" w:rsidP="00E32D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4C54" w14:textId="64433899" w:rsidR="00E32D53" w:rsidRDefault="00E32D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0772" w14:textId="4DAD223D" w:rsidR="00E32D53" w:rsidRDefault="00E32D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9197" w14:textId="6C6B4E5D" w:rsidR="00E32D53" w:rsidRDefault="00E32D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403" w14:textId="6BAA3368" w:rsidR="00E32D53" w:rsidRDefault="00E32D5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117E" w14:textId="01DF3E72" w:rsidR="00E32D53" w:rsidRDefault="00E32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0E19" w14:textId="5D5EA6F2" w:rsidR="00E32D53" w:rsidRDefault="00E32D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BBFC" w14:textId="516C8E46" w:rsidR="00E32D53" w:rsidRDefault="00E32D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6527" w14:textId="4C9AE4E0" w:rsidR="00E32D53" w:rsidRDefault="00E32D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79F9" w14:textId="516CAE6E" w:rsidR="00E32D53" w:rsidRDefault="00E32D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CBCCA" w14:textId="7D51754B" w:rsidR="00E32D53" w:rsidRDefault="00E32D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F9EB" w14:textId="390DAF50" w:rsidR="00E32D53" w:rsidRDefault="00E32D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29E0" w14:textId="6D4B5038" w:rsidR="00E32D53" w:rsidRDefault="00E32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C9CE11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4761A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2C431E"/>
    <w:multiLevelType w:val="hybridMultilevel"/>
    <w:tmpl w:val="9F0E70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5" w15:restartNumberingAfterBreak="0">
    <w:nsid w:val="0B9E555A"/>
    <w:multiLevelType w:val="hybridMultilevel"/>
    <w:tmpl w:val="3C504152"/>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6" w15:restartNumberingAfterBreak="0">
    <w:nsid w:val="10D7362D"/>
    <w:multiLevelType w:val="hybridMultilevel"/>
    <w:tmpl w:val="30FCA3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6049BE"/>
    <w:multiLevelType w:val="hybridMultilevel"/>
    <w:tmpl w:val="A12CBFF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65A3577"/>
    <w:multiLevelType w:val="hybridMultilevel"/>
    <w:tmpl w:val="A9DA970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17375619"/>
    <w:multiLevelType w:val="hybridMultilevel"/>
    <w:tmpl w:val="A9302B78"/>
    <w:lvl w:ilvl="0" w:tplc="031CBA08">
      <w:start w:val="1"/>
      <w:numFmt w:val="bullet"/>
      <w:lvlText w:val=""/>
      <w:lvlJc w:val="left"/>
      <w:pPr>
        <w:ind w:left="720" w:hanging="360"/>
      </w:pPr>
      <w:rPr>
        <w:rFonts w:ascii="Symbol" w:hAnsi="Symbol" w:hint="default"/>
        <w:sz w:val="20"/>
        <w:szCs w:val="2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184F4A4A"/>
    <w:multiLevelType w:val="hybridMultilevel"/>
    <w:tmpl w:val="322E767C"/>
    <w:lvl w:ilvl="0" w:tplc="ED94EBBC">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8DC6CB0"/>
    <w:multiLevelType w:val="hybridMultilevel"/>
    <w:tmpl w:val="8C5E88E4"/>
    <w:lvl w:ilvl="0" w:tplc="232A7FC0">
      <w:start w:val="1"/>
      <w:numFmt w:val="bullet"/>
      <w:lvlText w:val=""/>
      <w:lvlJc w:val="left"/>
      <w:pPr>
        <w:ind w:left="1080" w:hanging="360"/>
      </w:pPr>
      <w:rPr>
        <w:rFonts w:ascii="Symbol" w:hAnsi="Symbol" w:hint="default"/>
        <w:color w:val="auto"/>
        <w:sz w:val="20"/>
        <w:szCs w:val="2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1D963065"/>
    <w:multiLevelType w:val="hybridMultilevel"/>
    <w:tmpl w:val="A7D641CE"/>
    <w:lvl w:ilvl="0" w:tplc="0D4A1CDC">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1FB80CBC"/>
    <w:multiLevelType w:val="hybridMultilevel"/>
    <w:tmpl w:val="60B8CE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23757879"/>
    <w:multiLevelType w:val="hybridMultilevel"/>
    <w:tmpl w:val="DEC4B050"/>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526557F"/>
    <w:multiLevelType w:val="hybridMultilevel"/>
    <w:tmpl w:val="1450AE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E8D11DC"/>
    <w:multiLevelType w:val="hybridMultilevel"/>
    <w:tmpl w:val="B64AB71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33383642"/>
    <w:multiLevelType w:val="hybridMultilevel"/>
    <w:tmpl w:val="3E84DF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35E42C40"/>
    <w:multiLevelType w:val="hybridMultilevel"/>
    <w:tmpl w:val="3914215E"/>
    <w:lvl w:ilvl="0" w:tplc="9D485352">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246A69"/>
    <w:multiLevelType w:val="hybridMultilevel"/>
    <w:tmpl w:val="F4DC4E1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53A65C8A"/>
    <w:multiLevelType w:val="hybridMultilevel"/>
    <w:tmpl w:val="D3CE15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605B5D61"/>
    <w:multiLevelType w:val="hybridMultilevel"/>
    <w:tmpl w:val="268042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61B63CA8"/>
    <w:multiLevelType w:val="hybridMultilevel"/>
    <w:tmpl w:val="577E15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3447976"/>
    <w:multiLevelType w:val="hybridMultilevel"/>
    <w:tmpl w:val="D054C1B4"/>
    <w:lvl w:ilvl="0" w:tplc="232A7FC0">
      <w:start w:val="1"/>
      <w:numFmt w:val="bullet"/>
      <w:lvlText w:val=""/>
      <w:lvlJc w:val="left"/>
      <w:pPr>
        <w:ind w:left="1080" w:hanging="360"/>
      </w:pPr>
      <w:rPr>
        <w:rFonts w:ascii="Symbol" w:hAnsi="Symbol" w:hint="default"/>
        <w:color w:val="auto"/>
        <w:sz w:val="20"/>
        <w:szCs w:val="2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67F912FA"/>
    <w:multiLevelType w:val="hybridMultilevel"/>
    <w:tmpl w:val="69C6637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7" w15:restartNumberingAfterBreak="0">
    <w:nsid w:val="699551F8"/>
    <w:multiLevelType w:val="hybridMultilevel"/>
    <w:tmpl w:val="9932B3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01B1050"/>
    <w:multiLevelType w:val="hybridMultilevel"/>
    <w:tmpl w:val="101091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9" w15:restartNumberingAfterBreak="0">
    <w:nsid w:val="70FC3798"/>
    <w:multiLevelType w:val="hybridMultilevel"/>
    <w:tmpl w:val="2B387F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71D25442"/>
    <w:multiLevelType w:val="hybridMultilevel"/>
    <w:tmpl w:val="D4960B40"/>
    <w:lvl w:ilvl="0" w:tplc="031CBA08">
      <w:start w:val="1"/>
      <w:numFmt w:val="bullet"/>
      <w:lvlText w:val=""/>
      <w:lvlJc w:val="left"/>
      <w:pPr>
        <w:ind w:left="1080" w:hanging="360"/>
      </w:pPr>
      <w:rPr>
        <w:rFonts w:ascii="Symbol" w:hAnsi="Symbol" w:hint="default"/>
        <w:sz w:val="20"/>
        <w:szCs w:val="20"/>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31" w15:restartNumberingAfterBreak="0">
    <w:nsid w:val="72160001"/>
    <w:multiLevelType w:val="hybridMultilevel"/>
    <w:tmpl w:val="C374EB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93A6DA2"/>
    <w:multiLevelType w:val="hybridMultilevel"/>
    <w:tmpl w:val="D45E9AA6"/>
    <w:lvl w:ilvl="0" w:tplc="031CBA08">
      <w:start w:val="1"/>
      <w:numFmt w:val="bullet"/>
      <w:lvlText w:val=""/>
      <w:lvlJc w:val="left"/>
      <w:pPr>
        <w:ind w:left="720" w:hanging="360"/>
      </w:pPr>
      <w:rPr>
        <w:rFonts w:ascii="Symbol" w:hAnsi="Symbol" w:hint="default"/>
        <w:sz w:val="20"/>
        <w:szCs w:val="2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3"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34" w15:restartNumberingAfterBreak="0">
    <w:nsid w:val="7F9846F5"/>
    <w:multiLevelType w:val="hybridMultilevel"/>
    <w:tmpl w:val="B3B6E2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670640086">
    <w:abstractNumId w:val="33"/>
  </w:num>
  <w:num w:numId="2" w16cid:durableId="519198743">
    <w:abstractNumId w:val="19"/>
  </w:num>
  <w:num w:numId="3" w16cid:durableId="1172260535">
    <w:abstractNumId w:val="20"/>
  </w:num>
  <w:num w:numId="4" w16cid:durableId="606153810">
    <w:abstractNumId w:val="4"/>
  </w:num>
  <w:num w:numId="5" w16cid:durableId="2044600032">
    <w:abstractNumId w:val="2"/>
  </w:num>
  <w:num w:numId="6" w16cid:durableId="2142965056">
    <w:abstractNumId w:val="0"/>
  </w:num>
  <w:num w:numId="7" w16cid:durableId="939601141">
    <w:abstractNumId w:val="5"/>
  </w:num>
  <w:num w:numId="8" w16cid:durableId="1015350668">
    <w:abstractNumId w:val="15"/>
  </w:num>
  <w:num w:numId="9" w16cid:durableId="1025524278">
    <w:abstractNumId w:val="21"/>
  </w:num>
  <w:num w:numId="10" w16cid:durableId="409691136">
    <w:abstractNumId w:val="30"/>
  </w:num>
  <w:num w:numId="11" w16cid:durableId="1925795913">
    <w:abstractNumId w:val="34"/>
  </w:num>
  <w:num w:numId="12" w16cid:durableId="266351955">
    <w:abstractNumId w:val="7"/>
  </w:num>
  <w:num w:numId="13" w16cid:durableId="409035958">
    <w:abstractNumId w:val="22"/>
  </w:num>
  <w:num w:numId="14" w16cid:durableId="222761957">
    <w:abstractNumId w:val="16"/>
  </w:num>
  <w:num w:numId="15" w16cid:durableId="66808788">
    <w:abstractNumId w:val="8"/>
  </w:num>
  <w:num w:numId="16" w16cid:durableId="2036300440">
    <w:abstractNumId w:val="11"/>
  </w:num>
  <w:num w:numId="17" w16cid:durableId="942763420">
    <w:abstractNumId w:val="12"/>
  </w:num>
  <w:num w:numId="18" w16cid:durableId="1173497872">
    <w:abstractNumId w:val="25"/>
  </w:num>
  <w:num w:numId="19" w16cid:durableId="266080283">
    <w:abstractNumId w:val="3"/>
  </w:num>
  <w:num w:numId="20" w16cid:durableId="1460999133">
    <w:abstractNumId w:val="14"/>
  </w:num>
  <w:num w:numId="21" w16cid:durableId="1670209898">
    <w:abstractNumId w:val="29"/>
  </w:num>
  <w:num w:numId="22" w16cid:durableId="1479762319">
    <w:abstractNumId w:val="9"/>
  </w:num>
  <w:num w:numId="23" w16cid:durableId="1769959060">
    <w:abstractNumId w:val="32"/>
  </w:num>
  <w:num w:numId="24" w16cid:durableId="592514998">
    <w:abstractNumId w:val="17"/>
  </w:num>
  <w:num w:numId="25" w16cid:durableId="740831748">
    <w:abstractNumId w:val="10"/>
  </w:num>
  <w:num w:numId="26" w16cid:durableId="487013372">
    <w:abstractNumId w:val="26"/>
  </w:num>
  <w:num w:numId="27" w16cid:durableId="1269584933">
    <w:abstractNumId w:val="23"/>
  </w:num>
  <w:num w:numId="28" w16cid:durableId="1922256597">
    <w:abstractNumId w:val="18"/>
  </w:num>
  <w:num w:numId="29" w16cid:durableId="1851555543">
    <w:abstractNumId w:val="28"/>
  </w:num>
  <w:num w:numId="30" w16cid:durableId="1357191599">
    <w:abstractNumId w:val="13"/>
  </w:num>
  <w:num w:numId="31" w16cid:durableId="1759251818">
    <w:abstractNumId w:val="4"/>
  </w:num>
  <w:num w:numId="32" w16cid:durableId="196548288">
    <w:abstractNumId w:val="4"/>
  </w:num>
  <w:num w:numId="33" w16cid:durableId="1648897224">
    <w:abstractNumId w:val="4"/>
  </w:num>
  <w:num w:numId="34" w16cid:durableId="669069215">
    <w:abstractNumId w:val="4"/>
  </w:num>
  <w:num w:numId="35" w16cid:durableId="792014381">
    <w:abstractNumId w:val="4"/>
  </w:num>
  <w:num w:numId="36" w16cid:durableId="642080749">
    <w:abstractNumId w:val="4"/>
  </w:num>
  <w:num w:numId="37" w16cid:durableId="1131482082">
    <w:abstractNumId w:val="4"/>
  </w:num>
  <w:num w:numId="38" w16cid:durableId="764496615">
    <w:abstractNumId w:val="4"/>
  </w:num>
  <w:num w:numId="39" w16cid:durableId="2012760621">
    <w:abstractNumId w:val="4"/>
  </w:num>
  <w:num w:numId="40" w16cid:durableId="712000019">
    <w:abstractNumId w:val="4"/>
  </w:num>
  <w:num w:numId="41" w16cid:durableId="742071577">
    <w:abstractNumId w:val="1"/>
  </w:num>
  <w:num w:numId="42" w16cid:durableId="1787388755">
    <w:abstractNumId w:val="4"/>
  </w:num>
  <w:num w:numId="43" w16cid:durableId="48261877">
    <w:abstractNumId w:val="4"/>
  </w:num>
  <w:num w:numId="44" w16cid:durableId="1175337373">
    <w:abstractNumId w:val="4"/>
  </w:num>
  <w:num w:numId="45" w16cid:durableId="970285536">
    <w:abstractNumId w:val="4"/>
  </w:num>
  <w:num w:numId="46" w16cid:durableId="742995151">
    <w:abstractNumId w:val="4"/>
  </w:num>
  <w:num w:numId="47" w16cid:durableId="1912276953">
    <w:abstractNumId w:val="4"/>
  </w:num>
  <w:num w:numId="48" w16cid:durableId="1640528017">
    <w:abstractNumId w:val="4"/>
  </w:num>
  <w:num w:numId="49" w16cid:durableId="937906741">
    <w:abstractNumId w:val="4"/>
  </w:num>
  <w:num w:numId="50" w16cid:durableId="2095662296">
    <w:abstractNumId w:val="4"/>
  </w:num>
  <w:num w:numId="51" w16cid:durableId="1382439534">
    <w:abstractNumId w:val="4"/>
  </w:num>
  <w:num w:numId="52" w16cid:durableId="2137017849">
    <w:abstractNumId w:val="4"/>
  </w:num>
  <w:num w:numId="53" w16cid:durableId="798764892">
    <w:abstractNumId w:val="4"/>
  </w:num>
  <w:num w:numId="54" w16cid:durableId="1508061879">
    <w:abstractNumId w:val="20"/>
  </w:num>
  <w:num w:numId="55" w16cid:durableId="803233531">
    <w:abstractNumId w:val="6"/>
  </w:num>
  <w:num w:numId="56" w16cid:durableId="77023735">
    <w:abstractNumId w:val="4"/>
  </w:num>
  <w:num w:numId="57" w16cid:durableId="809056388">
    <w:abstractNumId w:val="27"/>
  </w:num>
  <w:num w:numId="58" w16cid:durableId="1805076824">
    <w:abstractNumId w:val="4"/>
  </w:num>
  <w:num w:numId="59" w16cid:durableId="360011481">
    <w:abstractNumId w:val="4"/>
  </w:num>
  <w:num w:numId="60" w16cid:durableId="1375349368">
    <w:abstractNumId w:val="31"/>
  </w:num>
  <w:num w:numId="61" w16cid:durableId="591134865">
    <w:abstractNumId w:val="4"/>
  </w:num>
  <w:num w:numId="62" w16cid:durableId="1838305894">
    <w:abstractNumId w:val="24"/>
  </w:num>
  <w:num w:numId="63" w16cid:durableId="869994424">
    <w:abstractNumId w:val="33"/>
  </w:num>
  <w:num w:numId="64" w16cid:durableId="1249385707">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BA2"/>
    <w:rsid w:val="000013FC"/>
    <w:rsid w:val="00001DB4"/>
    <w:rsid w:val="00001DB9"/>
    <w:rsid w:val="000022D6"/>
    <w:rsid w:val="000025B8"/>
    <w:rsid w:val="0000270C"/>
    <w:rsid w:val="00003216"/>
    <w:rsid w:val="0000360D"/>
    <w:rsid w:val="0000372D"/>
    <w:rsid w:val="00004402"/>
    <w:rsid w:val="00004481"/>
    <w:rsid w:val="00005106"/>
    <w:rsid w:val="00005B54"/>
    <w:rsid w:val="00005BB5"/>
    <w:rsid w:val="00006B60"/>
    <w:rsid w:val="0001015F"/>
    <w:rsid w:val="00010420"/>
    <w:rsid w:val="00013A8B"/>
    <w:rsid w:val="000144DE"/>
    <w:rsid w:val="00014E8C"/>
    <w:rsid w:val="00015E36"/>
    <w:rsid w:val="000160F6"/>
    <w:rsid w:val="00016DA6"/>
    <w:rsid w:val="00017FC7"/>
    <w:rsid w:val="000203B5"/>
    <w:rsid w:val="000219A3"/>
    <w:rsid w:val="00024026"/>
    <w:rsid w:val="00025118"/>
    <w:rsid w:val="00025294"/>
    <w:rsid w:val="0002557A"/>
    <w:rsid w:val="00025A6F"/>
    <w:rsid w:val="00025D2A"/>
    <w:rsid w:val="0002618D"/>
    <w:rsid w:val="00026D45"/>
    <w:rsid w:val="00026F65"/>
    <w:rsid w:val="00027447"/>
    <w:rsid w:val="00027F4B"/>
    <w:rsid w:val="0003019E"/>
    <w:rsid w:val="000308C9"/>
    <w:rsid w:val="00030B26"/>
    <w:rsid w:val="00030E84"/>
    <w:rsid w:val="000326EF"/>
    <w:rsid w:val="00032C0A"/>
    <w:rsid w:val="00033002"/>
    <w:rsid w:val="0003425A"/>
    <w:rsid w:val="00035257"/>
    <w:rsid w:val="00035A68"/>
    <w:rsid w:val="00035D68"/>
    <w:rsid w:val="00036027"/>
    <w:rsid w:val="00036A02"/>
    <w:rsid w:val="00036EEF"/>
    <w:rsid w:val="00036F68"/>
    <w:rsid w:val="000419A9"/>
    <w:rsid w:val="000452E6"/>
    <w:rsid w:val="00045613"/>
    <w:rsid w:val="000458D9"/>
    <w:rsid w:val="00046002"/>
    <w:rsid w:val="00046F14"/>
    <w:rsid w:val="00047899"/>
    <w:rsid w:val="000517D5"/>
    <w:rsid w:val="00051ABD"/>
    <w:rsid w:val="00051C0A"/>
    <w:rsid w:val="0005253A"/>
    <w:rsid w:val="000527D2"/>
    <w:rsid w:val="00052AAF"/>
    <w:rsid w:val="00053921"/>
    <w:rsid w:val="00054876"/>
    <w:rsid w:val="00054AE9"/>
    <w:rsid w:val="00054B44"/>
    <w:rsid w:val="00055084"/>
    <w:rsid w:val="00055AE1"/>
    <w:rsid w:val="000573DB"/>
    <w:rsid w:val="000578DF"/>
    <w:rsid w:val="00057CD2"/>
    <w:rsid w:val="00057FA7"/>
    <w:rsid w:val="0006006B"/>
    <w:rsid w:val="0006094C"/>
    <w:rsid w:val="00061557"/>
    <w:rsid w:val="00061CCC"/>
    <w:rsid w:val="00061D05"/>
    <w:rsid w:val="0006228D"/>
    <w:rsid w:val="00062D1F"/>
    <w:rsid w:val="000631CA"/>
    <w:rsid w:val="00066A00"/>
    <w:rsid w:val="00070C66"/>
    <w:rsid w:val="00071129"/>
    <w:rsid w:val="0007224F"/>
    <w:rsid w:val="00072BD6"/>
    <w:rsid w:val="00075075"/>
    <w:rsid w:val="00075B78"/>
    <w:rsid w:val="000763E9"/>
    <w:rsid w:val="00076682"/>
    <w:rsid w:val="00081978"/>
    <w:rsid w:val="00082CD6"/>
    <w:rsid w:val="00082FCE"/>
    <w:rsid w:val="00082FE1"/>
    <w:rsid w:val="0008437D"/>
    <w:rsid w:val="0008476D"/>
    <w:rsid w:val="00084959"/>
    <w:rsid w:val="00085AFE"/>
    <w:rsid w:val="00086DDC"/>
    <w:rsid w:val="00087CF7"/>
    <w:rsid w:val="00087F59"/>
    <w:rsid w:val="00090E88"/>
    <w:rsid w:val="00091F37"/>
    <w:rsid w:val="00092878"/>
    <w:rsid w:val="00092AB6"/>
    <w:rsid w:val="00092DAE"/>
    <w:rsid w:val="00094800"/>
    <w:rsid w:val="0009494D"/>
    <w:rsid w:val="000964C3"/>
    <w:rsid w:val="000A0158"/>
    <w:rsid w:val="000A0CE8"/>
    <w:rsid w:val="000A2B03"/>
    <w:rsid w:val="000A2B7A"/>
    <w:rsid w:val="000A323D"/>
    <w:rsid w:val="000A373D"/>
    <w:rsid w:val="000A41ED"/>
    <w:rsid w:val="000A4AD6"/>
    <w:rsid w:val="000B0730"/>
    <w:rsid w:val="000B0F18"/>
    <w:rsid w:val="000B2F96"/>
    <w:rsid w:val="000B3A91"/>
    <w:rsid w:val="000B4505"/>
    <w:rsid w:val="000B4E6F"/>
    <w:rsid w:val="000B76AD"/>
    <w:rsid w:val="000C0E37"/>
    <w:rsid w:val="000C0EF6"/>
    <w:rsid w:val="000C17C0"/>
    <w:rsid w:val="000C2EBE"/>
    <w:rsid w:val="000C3F92"/>
    <w:rsid w:val="000C4A3C"/>
    <w:rsid w:val="000C5B4C"/>
    <w:rsid w:val="000C5C0B"/>
    <w:rsid w:val="000C6EB9"/>
    <w:rsid w:val="000C7496"/>
    <w:rsid w:val="000C7D25"/>
    <w:rsid w:val="000C7FED"/>
    <w:rsid w:val="000D066E"/>
    <w:rsid w:val="000D19EB"/>
    <w:rsid w:val="000D19F4"/>
    <w:rsid w:val="000D1AE6"/>
    <w:rsid w:val="000D21CB"/>
    <w:rsid w:val="000D2B7D"/>
    <w:rsid w:val="000D2BEC"/>
    <w:rsid w:val="000D2E65"/>
    <w:rsid w:val="000D58DD"/>
    <w:rsid w:val="000E0BD4"/>
    <w:rsid w:val="000E2076"/>
    <w:rsid w:val="000E2A68"/>
    <w:rsid w:val="000E40A9"/>
    <w:rsid w:val="000E51A7"/>
    <w:rsid w:val="000E58CE"/>
    <w:rsid w:val="000E6010"/>
    <w:rsid w:val="000E7B76"/>
    <w:rsid w:val="000F0F3E"/>
    <w:rsid w:val="000F1F42"/>
    <w:rsid w:val="000F2AE2"/>
    <w:rsid w:val="000F2BFF"/>
    <w:rsid w:val="000F2F68"/>
    <w:rsid w:val="000F4799"/>
    <w:rsid w:val="000F5F7F"/>
    <w:rsid w:val="000F68E7"/>
    <w:rsid w:val="000F6E1A"/>
    <w:rsid w:val="00100097"/>
    <w:rsid w:val="00100874"/>
    <w:rsid w:val="00100D9E"/>
    <w:rsid w:val="00102063"/>
    <w:rsid w:val="00102590"/>
    <w:rsid w:val="00103DAE"/>
    <w:rsid w:val="0010541C"/>
    <w:rsid w:val="00105770"/>
    <w:rsid w:val="001060B8"/>
    <w:rsid w:val="001063BB"/>
    <w:rsid w:val="001067C1"/>
    <w:rsid w:val="00106AD6"/>
    <w:rsid w:val="00106F93"/>
    <w:rsid w:val="00107232"/>
    <w:rsid w:val="00110E90"/>
    <w:rsid w:val="00111D50"/>
    <w:rsid w:val="00112A0C"/>
    <w:rsid w:val="0011385C"/>
    <w:rsid w:val="00113B8E"/>
    <w:rsid w:val="00113E7C"/>
    <w:rsid w:val="001170B0"/>
    <w:rsid w:val="00117244"/>
    <w:rsid w:val="00117F59"/>
    <w:rsid w:val="001200C0"/>
    <w:rsid w:val="0012053C"/>
    <w:rsid w:val="00120C4C"/>
    <w:rsid w:val="00120FD7"/>
    <w:rsid w:val="00121A51"/>
    <w:rsid w:val="00122363"/>
    <w:rsid w:val="00123C0A"/>
    <w:rsid w:val="00124C66"/>
    <w:rsid w:val="0012540C"/>
    <w:rsid w:val="00125D45"/>
    <w:rsid w:val="00126391"/>
    <w:rsid w:val="00126E8E"/>
    <w:rsid w:val="00131659"/>
    <w:rsid w:val="00132717"/>
    <w:rsid w:val="001342C7"/>
    <w:rsid w:val="00135084"/>
    <w:rsid w:val="0013585C"/>
    <w:rsid w:val="0013635A"/>
    <w:rsid w:val="001369C7"/>
    <w:rsid w:val="00136EDD"/>
    <w:rsid w:val="00137657"/>
    <w:rsid w:val="001376F7"/>
    <w:rsid w:val="00137FF1"/>
    <w:rsid w:val="00140BCE"/>
    <w:rsid w:val="0014111E"/>
    <w:rsid w:val="00141150"/>
    <w:rsid w:val="00142261"/>
    <w:rsid w:val="00142954"/>
    <w:rsid w:val="001437A6"/>
    <w:rsid w:val="001460E0"/>
    <w:rsid w:val="001470AB"/>
    <w:rsid w:val="001472F0"/>
    <w:rsid w:val="0014739A"/>
    <w:rsid w:val="00147F71"/>
    <w:rsid w:val="00150026"/>
    <w:rsid w:val="00150A6E"/>
    <w:rsid w:val="00150FF5"/>
    <w:rsid w:val="00152F26"/>
    <w:rsid w:val="00155074"/>
    <w:rsid w:val="001562C8"/>
    <w:rsid w:val="00156CDE"/>
    <w:rsid w:val="00157894"/>
    <w:rsid w:val="00157B6C"/>
    <w:rsid w:val="0016008E"/>
    <w:rsid w:val="00160495"/>
    <w:rsid w:val="00160810"/>
    <w:rsid w:val="00161D4C"/>
    <w:rsid w:val="00161F1C"/>
    <w:rsid w:val="001625B4"/>
    <w:rsid w:val="00162AAA"/>
    <w:rsid w:val="00162E0C"/>
    <w:rsid w:val="0016304B"/>
    <w:rsid w:val="0016318F"/>
    <w:rsid w:val="0016468A"/>
    <w:rsid w:val="00164AED"/>
    <w:rsid w:val="00165E76"/>
    <w:rsid w:val="001660C2"/>
    <w:rsid w:val="00167412"/>
    <w:rsid w:val="00167ABD"/>
    <w:rsid w:val="00170224"/>
    <w:rsid w:val="0017070E"/>
    <w:rsid w:val="00170735"/>
    <w:rsid w:val="001715DD"/>
    <w:rsid w:val="00171911"/>
    <w:rsid w:val="00171AAB"/>
    <w:rsid w:val="00173ADA"/>
    <w:rsid w:val="00173C10"/>
    <w:rsid w:val="00174E38"/>
    <w:rsid w:val="00174F02"/>
    <w:rsid w:val="00177E1D"/>
    <w:rsid w:val="00180A69"/>
    <w:rsid w:val="00180F5A"/>
    <w:rsid w:val="00181030"/>
    <w:rsid w:val="0018120C"/>
    <w:rsid w:val="001816EC"/>
    <w:rsid w:val="0018214B"/>
    <w:rsid w:val="00182354"/>
    <w:rsid w:val="001829FC"/>
    <w:rsid w:val="00183182"/>
    <w:rsid w:val="00183371"/>
    <w:rsid w:val="00183395"/>
    <w:rsid w:val="0018376C"/>
    <w:rsid w:val="0018662D"/>
    <w:rsid w:val="00186A2E"/>
    <w:rsid w:val="00186A85"/>
    <w:rsid w:val="00187411"/>
    <w:rsid w:val="001876E6"/>
    <w:rsid w:val="00187B98"/>
    <w:rsid w:val="00190C7F"/>
    <w:rsid w:val="00191B96"/>
    <w:rsid w:val="00192FCE"/>
    <w:rsid w:val="00192FFA"/>
    <w:rsid w:val="001955F8"/>
    <w:rsid w:val="00197427"/>
    <w:rsid w:val="001974B2"/>
    <w:rsid w:val="001978D9"/>
    <w:rsid w:val="001A0BE0"/>
    <w:rsid w:val="001A1BE8"/>
    <w:rsid w:val="001A21B4"/>
    <w:rsid w:val="001A3F3B"/>
    <w:rsid w:val="001A4024"/>
    <w:rsid w:val="001A5CF5"/>
    <w:rsid w:val="001A63E5"/>
    <w:rsid w:val="001A7ABE"/>
    <w:rsid w:val="001B0BFD"/>
    <w:rsid w:val="001B1552"/>
    <w:rsid w:val="001B1FFA"/>
    <w:rsid w:val="001B217B"/>
    <w:rsid w:val="001B27FE"/>
    <w:rsid w:val="001B3178"/>
    <w:rsid w:val="001B39D2"/>
    <w:rsid w:val="001B4A7B"/>
    <w:rsid w:val="001B4BF8"/>
    <w:rsid w:val="001B5ACF"/>
    <w:rsid w:val="001B7108"/>
    <w:rsid w:val="001B7B14"/>
    <w:rsid w:val="001C0502"/>
    <w:rsid w:val="001C0D46"/>
    <w:rsid w:val="001C1FE1"/>
    <w:rsid w:val="001C2638"/>
    <w:rsid w:val="001C2765"/>
    <w:rsid w:val="001C2EB2"/>
    <w:rsid w:val="001C4326"/>
    <w:rsid w:val="001C4AF3"/>
    <w:rsid w:val="001C5043"/>
    <w:rsid w:val="001C665E"/>
    <w:rsid w:val="001C6FC8"/>
    <w:rsid w:val="001C7AF8"/>
    <w:rsid w:val="001D17C3"/>
    <w:rsid w:val="001D2145"/>
    <w:rsid w:val="001D21F2"/>
    <w:rsid w:val="001D3541"/>
    <w:rsid w:val="001D3E4E"/>
    <w:rsid w:val="001D429D"/>
    <w:rsid w:val="001D58FE"/>
    <w:rsid w:val="001D6C5A"/>
    <w:rsid w:val="001D720F"/>
    <w:rsid w:val="001E254A"/>
    <w:rsid w:val="001E2FE1"/>
    <w:rsid w:val="001E3547"/>
    <w:rsid w:val="001E3899"/>
    <w:rsid w:val="001E3F34"/>
    <w:rsid w:val="001E7386"/>
    <w:rsid w:val="001E7C26"/>
    <w:rsid w:val="001E7F7A"/>
    <w:rsid w:val="001F1888"/>
    <w:rsid w:val="001F272B"/>
    <w:rsid w:val="001F45A7"/>
    <w:rsid w:val="001F53F0"/>
    <w:rsid w:val="001F5AD5"/>
    <w:rsid w:val="001F5E27"/>
    <w:rsid w:val="001F6B2D"/>
    <w:rsid w:val="001F7CBC"/>
    <w:rsid w:val="0020027C"/>
    <w:rsid w:val="00200906"/>
    <w:rsid w:val="00201A01"/>
    <w:rsid w:val="00201EC6"/>
    <w:rsid w:val="00204B6A"/>
    <w:rsid w:val="0020603C"/>
    <w:rsid w:val="002063E5"/>
    <w:rsid w:val="0020754B"/>
    <w:rsid w:val="00207897"/>
    <w:rsid w:val="002104D3"/>
    <w:rsid w:val="002104E6"/>
    <w:rsid w:val="00210946"/>
    <w:rsid w:val="0021094B"/>
    <w:rsid w:val="00211573"/>
    <w:rsid w:val="002129DB"/>
    <w:rsid w:val="00213591"/>
    <w:rsid w:val="00213A33"/>
    <w:rsid w:val="00213C1C"/>
    <w:rsid w:val="00214328"/>
    <w:rsid w:val="002153A3"/>
    <w:rsid w:val="00215C0E"/>
    <w:rsid w:val="0021763B"/>
    <w:rsid w:val="002208B6"/>
    <w:rsid w:val="00220A5C"/>
    <w:rsid w:val="00220F82"/>
    <w:rsid w:val="0022294F"/>
    <w:rsid w:val="00222D8B"/>
    <w:rsid w:val="00223508"/>
    <w:rsid w:val="00223BFD"/>
    <w:rsid w:val="002256E5"/>
    <w:rsid w:val="00227A7C"/>
    <w:rsid w:val="002305E9"/>
    <w:rsid w:val="0023062D"/>
    <w:rsid w:val="00231771"/>
    <w:rsid w:val="002317A1"/>
    <w:rsid w:val="00232E9F"/>
    <w:rsid w:val="00233381"/>
    <w:rsid w:val="00233D62"/>
    <w:rsid w:val="00234319"/>
    <w:rsid w:val="0023519F"/>
    <w:rsid w:val="002362CB"/>
    <w:rsid w:val="00236C9E"/>
    <w:rsid w:val="002440FC"/>
    <w:rsid w:val="00244355"/>
    <w:rsid w:val="00244C4D"/>
    <w:rsid w:val="0024531E"/>
    <w:rsid w:val="00245748"/>
    <w:rsid w:val="00245D5E"/>
    <w:rsid w:val="00246AF2"/>
    <w:rsid w:val="00246DB1"/>
    <w:rsid w:val="00247569"/>
    <w:rsid w:val="002476B5"/>
    <w:rsid w:val="002515CF"/>
    <w:rsid w:val="00251993"/>
    <w:rsid w:val="00251B87"/>
    <w:rsid w:val="00251BB9"/>
    <w:rsid w:val="002520A0"/>
    <w:rsid w:val="002520CC"/>
    <w:rsid w:val="00253452"/>
    <w:rsid w:val="00253ECF"/>
    <w:rsid w:val="00254044"/>
    <w:rsid w:val="002546A1"/>
    <w:rsid w:val="002575E8"/>
    <w:rsid w:val="00257EF1"/>
    <w:rsid w:val="0026082C"/>
    <w:rsid w:val="00260ACB"/>
    <w:rsid w:val="00261141"/>
    <w:rsid w:val="00262086"/>
    <w:rsid w:val="002620A3"/>
    <w:rsid w:val="002627FD"/>
    <w:rsid w:val="002628F4"/>
    <w:rsid w:val="00264266"/>
    <w:rsid w:val="00264684"/>
    <w:rsid w:val="00264A98"/>
    <w:rsid w:val="00265CAB"/>
    <w:rsid w:val="00266566"/>
    <w:rsid w:val="002671D9"/>
    <w:rsid w:val="00267965"/>
    <w:rsid w:val="00275B26"/>
    <w:rsid w:val="00275D08"/>
    <w:rsid w:val="00275E3E"/>
    <w:rsid w:val="0028153B"/>
    <w:rsid w:val="0028174A"/>
    <w:rsid w:val="0028188B"/>
    <w:rsid w:val="00281AD4"/>
    <w:rsid w:val="002828D1"/>
    <w:rsid w:val="00282A44"/>
    <w:rsid w:val="0028335E"/>
    <w:rsid w:val="002839AF"/>
    <w:rsid w:val="00284E12"/>
    <w:rsid w:val="00285080"/>
    <w:rsid w:val="002858E3"/>
    <w:rsid w:val="00285A97"/>
    <w:rsid w:val="0028625C"/>
    <w:rsid w:val="002867A7"/>
    <w:rsid w:val="002874C8"/>
    <w:rsid w:val="00287E63"/>
    <w:rsid w:val="002906A9"/>
    <w:rsid w:val="00291663"/>
    <w:rsid w:val="0029190A"/>
    <w:rsid w:val="00291E92"/>
    <w:rsid w:val="00292C5A"/>
    <w:rsid w:val="00292E07"/>
    <w:rsid w:val="0029358C"/>
    <w:rsid w:val="00293C52"/>
    <w:rsid w:val="00293D8E"/>
    <w:rsid w:val="002950CD"/>
    <w:rsid w:val="00295241"/>
    <w:rsid w:val="00295928"/>
    <w:rsid w:val="002967E7"/>
    <w:rsid w:val="002968D3"/>
    <w:rsid w:val="0029697E"/>
    <w:rsid w:val="002A1643"/>
    <w:rsid w:val="002A1984"/>
    <w:rsid w:val="002A1C92"/>
    <w:rsid w:val="002A2307"/>
    <w:rsid w:val="002A2CEF"/>
    <w:rsid w:val="002A4DFC"/>
    <w:rsid w:val="002B0055"/>
    <w:rsid w:val="002B047D"/>
    <w:rsid w:val="002B0C28"/>
    <w:rsid w:val="002B0C7C"/>
    <w:rsid w:val="002B386D"/>
    <w:rsid w:val="002B4531"/>
    <w:rsid w:val="002B4DB4"/>
    <w:rsid w:val="002B53E5"/>
    <w:rsid w:val="002B6685"/>
    <w:rsid w:val="002B732B"/>
    <w:rsid w:val="002B76A7"/>
    <w:rsid w:val="002B7BEC"/>
    <w:rsid w:val="002C1999"/>
    <w:rsid w:val="002C2219"/>
    <w:rsid w:val="002C2552"/>
    <w:rsid w:val="002C261E"/>
    <w:rsid w:val="002C37FC"/>
    <w:rsid w:val="002C380A"/>
    <w:rsid w:val="002C4DC9"/>
    <w:rsid w:val="002C5D2A"/>
    <w:rsid w:val="002C6992"/>
    <w:rsid w:val="002D0DF2"/>
    <w:rsid w:val="002D1E3C"/>
    <w:rsid w:val="002D23BD"/>
    <w:rsid w:val="002D35BA"/>
    <w:rsid w:val="002D3B12"/>
    <w:rsid w:val="002D4518"/>
    <w:rsid w:val="002D52D5"/>
    <w:rsid w:val="002D5803"/>
    <w:rsid w:val="002D692B"/>
    <w:rsid w:val="002E0313"/>
    <w:rsid w:val="002E055C"/>
    <w:rsid w:val="002E0929"/>
    <w:rsid w:val="002E0B47"/>
    <w:rsid w:val="002E0ED2"/>
    <w:rsid w:val="002E6156"/>
    <w:rsid w:val="002E6211"/>
    <w:rsid w:val="002E6215"/>
    <w:rsid w:val="002F06BB"/>
    <w:rsid w:val="002F0C45"/>
    <w:rsid w:val="002F15E6"/>
    <w:rsid w:val="002F35DD"/>
    <w:rsid w:val="002F3A0D"/>
    <w:rsid w:val="002F3BD5"/>
    <w:rsid w:val="002F4685"/>
    <w:rsid w:val="002F4F9F"/>
    <w:rsid w:val="002F7213"/>
    <w:rsid w:val="002F795E"/>
    <w:rsid w:val="002F79EF"/>
    <w:rsid w:val="002F7CE4"/>
    <w:rsid w:val="0030045C"/>
    <w:rsid w:val="00300C9A"/>
    <w:rsid w:val="003012AB"/>
    <w:rsid w:val="003015F4"/>
    <w:rsid w:val="003023BC"/>
    <w:rsid w:val="0030281E"/>
    <w:rsid w:val="0030324B"/>
    <w:rsid w:val="00303303"/>
    <w:rsid w:val="0030382F"/>
    <w:rsid w:val="00303C12"/>
    <w:rsid w:val="00303FC0"/>
    <w:rsid w:val="0030408D"/>
    <w:rsid w:val="0030496B"/>
    <w:rsid w:val="003054B5"/>
    <w:rsid w:val="00305517"/>
    <w:rsid w:val="003060E4"/>
    <w:rsid w:val="00306450"/>
    <w:rsid w:val="00306518"/>
    <w:rsid w:val="00306F26"/>
    <w:rsid w:val="00307FF0"/>
    <w:rsid w:val="003110F0"/>
    <w:rsid w:val="00311601"/>
    <w:rsid w:val="00311F60"/>
    <w:rsid w:val="00312578"/>
    <w:rsid w:val="003135F6"/>
    <w:rsid w:val="00313C8C"/>
    <w:rsid w:val="00313D02"/>
    <w:rsid w:val="003140CF"/>
    <w:rsid w:val="0031462E"/>
    <w:rsid w:val="00314D10"/>
    <w:rsid w:val="003160E7"/>
    <w:rsid w:val="00316AE7"/>
    <w:rsid w:val="0031739E"/>
    <w:rsid w:val="00317DA3"/>
    <w:rsid w:val="00321381"/>
    <w:rsid w:val="00321BB1"/>
    <w:rsid w:val="003230CF"/>
    <w:rsid w:val="00323569"/>
    <w:rsid w:val="003235C6"/>
    <w:rsid w:val="00324683"/>
    <w:rsid w:val="003257D2"/>
    <w:rsid w:val="00325F98"/>
    <w:rsid w:val="00326FF0"/>
    <w:rsid w:val="003309CA"/>
    <w:rsid w:val="00330C35"/>
    <w:rsid w:val="00331838"/>
    <w:rsid w:val="003324EB"/>
    <w:rsid w:val="003325AB"/>
    <w:rsid w:val="003331FD"/>
    <w:rsid w:val="003332D1"/>
    <w:rsid w:val="0033370F"/>
    <w:rsid w:val="00333A2E"/>
    <w:rsid w:val="0033412B"/>
    <w:rsid w:val="0033448B"/>
    <w:rsid w:val="0033452A"/>
    <w:rsid w:val="00334995"/>
    <w:rsid w:val="00335DB1"/>
    <w:rsid w:val="003361FD"/>
    <w:rsid w:val="00341161"/>
    <w:rsid w:val="00341426"/>
    <w:rsid w:val="00341CAF"/>
    <w:rsid w:val="00343365"/>
    <w:rsid w:val="003436CC"/>
    <w:rsid w:val="003445F4"/>
    <w:rsid w:val="0034534A"/>
    <w:rsid w:val="0034592A"/>
    <w:rsid w:val="00345CCB"/>
    <w:rsid w:val="00345D83"/>
    <w:rsid w:val="003466E6"/>
    <w:rsid w:val="00347962"/>
    <w:rsid w:val="00347A78"/>
    <w:rsid w:val="00353501"/>
    <w:rsid w:val="00353734"/>
    <w:rsid w:val="003538D4"/>
    <w:rsid w:val="0035534F"/>
    <w:rsid w:val="003603F5"/>
    <w:rsid w:val="003606F8"/>
    <w:rsid w:val="00361CE7"/>
    <w:rsid w:val="00364481"/>
    <w:rsid w:val="003648EF"/>
    <w:rsid w:val="00365005"/>
    <w:rsid w:val="00365F4B"/>
    <w:rsid w:val="003673E6"/>
    <w:rsid w:val="00367850"/>
    <w:rsid w:val="00367AA3"/>
    <w:rsid w:val="00371666"/>
    <w:rsid w:val="00371AF7"/>
    <w:rsid w:val="003737D0"/>
    <w:rsid w:val="00373B82"/>
    <w:rsid w:val="00373E0A"/>
    <w:rsid w:val="003771EE"/>
    <w:rsid w:val="00377264"/>
    <w:rsid w:val="00377402"/>
    <w:rsid w:val="00377686"/>
    <w:rsid w:val="00377982"/>
    <w:rsid w:val="003779D2"/>
    <w:rsid w:val="00377C94"/>
    <w:rsid w:val="0038070E"/>
    <w:rsid w:val="00380B9B"/>
    <w:rsid w:val="003819B2"/>
    <w:rsid w:val="00381B9D"/>
    <w:rsid w:val="00381F6E"/>
    <w:rsid w:val="003824BF"/>
    <w:rsid w:val="0038265F"/>
    <w:rsid w:val="00382C34"/>
    <w:rsid w:val="00382C62"/>
    <w:rsid w:val="00382C78"/>
    <w:rsid w:val="00382E2A"/>
    <w:rsid w:val="0038423D"/>
    <w:rsid w:val="0038492E"/>
    <w:rsid w:val="0038532E"/>
    <w:rsid w:val="00385E38"/>
    <w:rsid w:val="00391A4A"/>
    <w:rsid w:val="003920B3"/>
    <w:rsid w:val="003923CE"/>
    <w:rsid w:val="003924B2"/>
    <w:rsid w:val="00392624"/>
    <w:rsid w:val="00393E17"/>
    <w:rsid w:val="0039492A"/>
    <w:rsid w:val="003952F9"/>
    <w:rsid w:val="00395CAE"/>
    <w:rsid w:val="003971BE"/>
    <w:rsid w:val="003A1182"/>
    <w:rsid w:val="003A2175"/>
    <w:rsid w:val="003A26A5"/>
    <w:rsid w:val="003A3761"/>
    <w:rsid w:val="003A42DB"/>
    <w:rsid w:val="003A512D"/>
    <w:rsid w:val="003A578E"/>
    <w:rsid w:val="003A5FEA"/>
    <w:rsid w:val="003A710B"/>
    <w:rsid w:val="003B002D"/>
    <w:rsid w:val="003B1B5A"/>
    <w:rsid w:val="003B1D10"/>
    <w:rsid w:val="003B249D"/>
    <w:rsid w:val="003B2582"/>
    <w:rsid w:val="003B2C8A"/>
    <w:rsid w:val="003B42AA"/>
    <w:rsid w:val="003B45B1"/>
    <w:rsid w:val="003C0F6D"/>
    <w:rsid w:val="003C13E5"/>
    <w:rsid w:val="003C2F9D"/>
    <w:rsid w:val="003C310C"/>
    <w:rsid w:val="003C4B3E"/>
    <w:rsid w:val="003C5E92"/>
    <w:rsid w:val="003C76D4"/>
    <w:rsid w:val="003C77C3"/>
    <w:rsid w:val="003D137D"/>
    <w:rsid w:val="003D17F0"/>
    <w:rsid w:val="003D2CC5"/>
    <w:rsid w:val="003D3E5C"/>
    <w:rsid w:val="003D5324"/>
    <w:rsid w:val="003D59BB"/>
    <w:rsid w:val="003D6E35"/>
    <w:rsid w:val="003D7169"/>
    <w:rsid w:val="003D7956"/>
    <w:rsid w:val="003D7C2F"/>
    <w:rsid w:val="003E04C1"/>
    <w:rsid w:val="003E0611"/>
    <w:rsid w:val="003E0887"/>
    <w:rsid w:val="003E58E0"/>
    <w:rsid w:val="003E630F"/>
    <w:rsid w:val="003E712B"/>
    <w:rsid w:val="003E71A8"/>
    <w:rsid w:val="003E74C8"/>
    <w:rsid w:val="003E74E2"/>
    <w:rsid w:val="003E7C46"/>
    <w:rsid w:val="003F1925"/>
    <w:rsid w:val="003F2106"/>
    <w:rsid w:val="003F234C"/>
    <w:rsid w:val="003F2A3F"/>
    <w:rsid w:val="003F3474"/>
    <w:rsid w:val="003F39CD"/>
    <w:rsid w:val="003F3AB6"/>
    <w:rsid w:val="003F47C2"/>
    <w:rsid w:val="003F52A7"/>
    <w:rsid w:val="003F7013"/>
    <w:rsid w:val="003F72B9"/>
    <w:rsid w:val="003F7F67"/>
    <w:rsid w:val="003F7F6A"/>
    <w:rsid w:val="004005AE"/>
    <w:rsid w:val="00401C70"/>
    <w:rsid w:val="0040240C"/>
    <w:rsid w:val="004053EA"/>
    <w:rsid w:val="00406CDC"/>
    <w:rsid w:val="00406DA2"/>
    <w:rsid w:val="00407718"/>
    <w:rsid w:val="00410332"/>
    <w:rsid w:val="00411124"/>
    <w:rsid w:val="00412F48"/>
    <w:rsid w:val="00413021"/>
    <w:rsid w:val="00414923"/>
    <w:rsid w:val="00414C35"/>
    <w:rsid w:val="004171B7"/>
    <w:rsid w:val="00417B51"/>
    <w:rsid w:val="004224AD"/>
    <w:rsid w:val="00422972"/>
    <w:rsid w:val="00423568"/>
    <w:rsid w:val="00425635"/>
    <w:rsid w:val="00425878"/>
    <w:rsid w:val="00425E74"/>
    <w:rsid w:val="00427670"/>
    <w:rsid w:val="00427FED"/>
    <w:rsid w:val="004301C6"/>
    <w:rsid w:val="0043478F"/>
    <w:rsid w:val="00434D68"/>
    <w:rsid w:val="00435BD1"/>
    <w:rsid w:val="0043602B"/>
    <w:rsid w:val="004367D2"/>
    <w:rsid w:val="004374D1"/>
    <w:rsid w:val="00437A24"/>
    <w:rsid w:val="00437C30"/>
    <w:rsid w:val="00440A06"/>
    <w:rsid w:val="00440BE0"/>
    <w:rsid w:val="004414D8"/>
    <w:rsid w:val="00441B8C"/>
    <w:rsid w:val="00442314"/>
    <w:rsid w:val="00442A06"/>
    <w:rsid w:val="00442C1C"/>
    <w:rsid w:val="00443BA9"/>
    <w:rsid w:val="0044506B"/>
    <w:rsid w:val="004456A6"/>
    <w:rsid w:val="0044584B"/>
    <w:rsid w:val="00446083"/>
    <w:rsid w:val="00446410"/>
    <w:rsid w:val="00446E5A"/>
    <w:rsid w:val="00447C46"/>
    <w:rsid w:val="00447CB7"/>
    <w:rsid w:val="00447DD4"/>
    <w:rsid w:val="00450064"/>
    <w:rsid w:val="00451144"/>
    <w:rsid w:val="00451553"/>
    <w:rsid w:val="00451703"/>
    <w:rsid w:val="00451A33"/>
    <w:rsid w:val="004542C1"/>
    <w:rsid w:val="004545A3"/>
    <w:rsid w:val="00454AC1"/>
    <w:rsid w:val="00454BD9"/>
    <w:rsid w:val="00455CC9"/>
    <w:rsid w:val="004566C4"/>
    <w:rsid w:val="00456AED"/>
    <w:rsid w:val="0046055E"/>
    <w:rsid w:val="00460826"/>
    <w:rsid w:val="00460B1E"/>
    <w:rsid w:val="00460EA7"/>
    <w:rsid w:val="0046142F"/>
    <w:rsid w:val="0046195B"/>
    <w:rsid w:val="00461A84"/>
    <w:rsid w:val="00462C03"/>
    <w:rsid w:val="00462E57"/>
    <w:rsid w:val="004633B9"/>
    <w:rsid w:val="0046362D"/>
    <w:rsid w:val="004650A2"/>
    <w:rsid w:val="0046596D"/>
    <w:rsid w:val="00465B9A"/>
    <w:rsid w:val="00467BD2"/>
    <w:rsid w:val="004700DC"/>
    <w:rsid w:val="004715EF"/>
    <w:rsid w:val="004720BA"/>
    <w:rsid w:val="0047250F"/>
    <w:rsid w:val="00472D9B"/>
    <w:rsid w:val="00473A61"/>
    <w:rsid w:val="00474119"/>
    <w:rsid w:val="00474562"/>
    <w:rsid w:val="004753AC"/>
    <w:rsid w:val="00475BB0"/>
    <w:rsid w:val="00476839"/>
    <w:rsid w:val="00476F26"/>
    <w:rsid w:val="00477A3E"/>
    <w:rsid w:val="00481FF5"/>
    <w:rsid w:val="00483132"/>
    <w:rsid w:val="00484BC3"/>
    <w:rsid w:val="00484FD4"/>
    <w:rsid w:val="004852AB"/>
    <w:rsid w:val="00486053"/>
    <w:rsid w:val="00487204"/>
    <w:rsid w:val="00487C04"/>
    <w:rsid w:val="004907E1"/>
    <w:rsid w:val="00491B59"/>
    <w:rsid w:val="004921B7"/>
    <w:rsid w:val="00492973"/>
    <w:rsid w:val="004935C8"/>
    <w:rsid w:val="00494C8E"/>
    <w:rsid w:val="004957B2"/>
    <w:rsid w:val="00495E32"/>
    <w:rsid w:val="004976D3"/>
    <w:rsid w:val="004A035B"/>
    <w:rsid w:val="004A1F07"/>
    <w:rsid w:val="004A2108"/>
    <w:rsid w:val="004A38D7"/>
    <w:rsid w:val="004A570B"/>
    <w:rsid w:val="004A591C"/>
    <w:rsid w:val="004A5AF9"/>
    <w:rsid w:val="004A65D4"/>
    <w:rsid w:val="004A6624"/>
    <w:rsid w:val="004A6DF6"/>
    <w:rsid w:val="004A766C"/>
    <w:rsid w:val="004A778C"/>
    <w:rsid w:val="004A7BEC"/>
    <w:rsid w:val="004B12DD"/>
    <w:rsid w:val="004B14DD"/>
    <w:rsid w:val="004B1627"/>
    <w:rsid w:val="004B25AF"/>
    <w:rsid w:val="004B2656"/>
    <w:rsid w:val="004B3A98"/>
    <w:rsid w:val="004B3C44"/>
    <w:rsid w:val="004B3EE8"/>
    <w:rsid w:val="004B4717"/>
    <w:rsid w:val="004B48C7"/>
    <w:rsid w:val="004B51E7"/>
    <w:rsid w:val="004B584B"/>
    <w:rsid w:val="004B6DEB"/>
    <w:rsid w:val="004C0504"/>
    <w:rsid w:val="004C0ACB"/>
    <w:rsid w:val="004C2CF4"/>
    <w:rsid w:val="004C2E6A"/>
    <w:rsid w:val="004C32B9"/>
    <w:rsid w:val="004C3A12"/>
    <w:rsid w:val="004C4113"/>
    <w:rsid w:val="004C64B8"/>
    <w:rsid w:val="004C6888"/>
    <w:rsid w:val="004D159E"/>
    <w:rsid w:val="004D2423"/>
    <w:rsid w:val="004D2A2D"/>
    <w:rsid w:val="004D2E25"/>
    <w:rsid w:val="004D40E5"/>
    <w:rsid w:val="004D479F"/>
    <w:rsid w:val="004D510B"/>
    <w:rsid w:val="004D53FB"/>
    <w:rsid w:val="004D6689"/>
    <w:rsid w:val="004E025D"/>
    <w:rsid w:val="004E0C7F"/>
    <w:rsid w:val="004E1D1D"/>
    <w:rsid w:val="004E267E"/>
    <w:rsid w:val="004E2BBC"/>
    <w:rsid w:val="004E3BCC"/>
    <w:rsid w:val="004E50DF"/>
    <w:rsid w:val="004E5BEA"/>
    <w:rsid w:val="004E61CC"/>
    <w:rsid w:val="004E6FA8"/>
    <w:rsid w:val="004E7AC8"/>
    <w:rsid w:val="004F05F4"/>
    <w:rsid w:val="004F0615"/>
    <w:rsid w:val="004F0681"/>
    <w:rsid w:val="004F0C94"/>
    <w:rsid w:val="004F2171"/>
    <w:rsid w:val="004F2836"/>
    <w:rsid w:val="004F32C5"/>
    <w:rsid w:val="004F4718"/>
    <w:rsid w:val="004F4BBA"/>
    <w:rsid w:val="005019AE"/>
    <w:rsid w:val="005021A0"/>
    <w:rsid w:val="005025A0"/>
    <w:rsid w:val="005028E8"/>
    <w:rsid w:val="00503749"/>
    <w:rsid w:val="00503D59"/>
    <w:rsid w:val="00504761"/>
    <w:rsid w:val="00504CF4"/>
    <w:rsid w:val="0050587D"/>
    <w:rsid w:val="00505E67"/>
    <w:rsid w:val="0050635B"/>
    <w:rsid w:val="00506B17"/>
    <w:rsid w:val="005075B3"/>
    <w:rsid w:val="00507F29"/>
    <w:rsid w:val="0051095D"/>
    <w:rsid w:val="005111F9"/>
    <w:rsid w:val="00511B76"/>
    <w:rsid w:val="005123A6"/>
    <w:rsid w:val="00514150"/>
    <w:rsid w:val="005151C2"/>
    <w:rsid w:val="00515686"/>
    <w:rsid w:val="00515F1D"/>
    <w:rsid w:val="0051762A"/>
    <w:rsid w:val="005203EE"/>
    <w:rsid w:val="005205B8"/>
    <w:rsid w:val="00520F14"/>
    <w:rsid w:val="0052203A"/>
    <w:rsid w:val="00522299"/>
    <w:rsid w:val="00523119"/>
    <w:rsid w:val="005237B9"/>
    <w:rsid w:val="0052443B"/>
    <w:rsid w:val="00524BB1"/>
    <w:rsid w:val="00525A3F"/>
    <w:rsid w:val="00525CC4"/>
    <w:rsid w:val="00526492"/>
    <w:rsid w:val="005267C1"/>
    <w:rsid w:val="00526C97"/>
    <w:rsid w:val="005275E8"/>
    <w:rsid w:val="00527D25"/>
    <w:rsid w:val="00527D48"/>
    <w:rsid w:val="00527F16"/>
    <w:rsid w:val="0053055E"/>
    <w:rsid w:val="00530840"/>
    <w:rsid w:val="005309FE"/>
    <w:rsid w:val="005316C4"/>
    <w:rsid w:val="0053199F"/>
    <w:rsid w:val="00531E12"/>
    <w:rsid w:val="0053322F"/>
    <w:rsid w:val="00533B90"/>
    <w:rsid w:val="00534717"/>
    <w:rsid w:val="0053481E"/>
    <w:rsid w:val="005348BD"/>
    <w:rsid w:val="005351A5"/>
    <w:rsid w:val="005360C6"/>
    <w:rsid w:val="005364E8"/>
    <w:rsid w:val="00536E0E"/>
    <w:rsid w:val="00536F82"/>
    <w:rsid w:val="00537698"/>
    <w:rsid w:val="005377BA"/>
    <w:rsid w:val="005408B2"/>
    <w:rsid w:val="005410F8"/>
    <w:rsid w:val="00542C2D"/>
    <w:rsid w:val="00542DB1"/>
    <w:rsid w:val="00542E2E"/>
    <w:rsid w:val="00543516"/>
    <w:rsid w:val="00544262"/>
    <w:rsid w:val="005448EC"/>
    <w:rsid w:val="00544CD4"/>
    <w:rsid w:val="00545963"/>
    <w:rsid w:val="00547341"/>
    <w:rsid w:val="005501D9"/>
    <w:rsid w:val="00550256"/>
    <w:rsid w:val="00550DF7"/>
    <w:rsid w:val="00552B1F"/>
    <w:rsid w:val="00552CD3"/>
    <w:rsid w:val="00553165"/>
    <w:rsid w:val="00553958"/>
    <w:rsid w:val="00553C69"/>
    <w:rsid w:val="00556BB7"/>
    <w:rsid w:val="0055763D"/>
    <w:rsid w:val="00557AD8"/>
    <w:rsid w:val="00560174"/>
    <w:rsid w:val="00561516"/>
    <w:rsid w:val="00562018"/>
    <w:rsid w:val="005621F2"/>
    <w:rsid w:val="00563C68"/>
    <w:rsid w:val="005640D7"/>
    <w:rsid w:val="00565BB9"/>
    <w:rsid w:val="00565F09"/>
    <w:rsid w:val="00567B58"/>
    <w:rsid w:val="00567BBB"/>
    <w:rsid w:val="0057004A"/>
    <w:rsid w:val="005709A6"/>
    <w:rsid w:val="00570D9D"/>
    <w:rsid w:val="00571223"/>
    <w:rsid w:val="005718A6"/>
    <w:rsid w:val="005727CA"/>
    <w:rsid w:val="00572BC7"/>
    <w:rsid w:val="0057336D"/>
    <w:rsid w:val="00573592"/>
    <w:rsid w:val="005763E0"/>
    <w:rsid w:val="0057688D"/>
    <w:rsid w:val="005772C3"/>
    <w:rsid w:val="00581136"/>
    <w:rsid w:val="00581AB4"/>
    <w:rsid w:val="00581EB8"/>
    <w:rsid w:val="00583717"/>
    <w:rsid w:val="005839E7"/>
    <w:rsid w:val="0058437F"/>
    <w:rsid w:val="005845BD"/>
    <w:rsid w:val="00584749"/>
    <w:rsid w:val="0058487C"/>
    <w:rsid w:val="0058773A"/>
    <w:rsid w:val="00587C47"/>
    <w:rsid w:val="00590897"/>
    <w:rsid w:val="00591C03"/>
    <w:rsid w:val="005936AA"/>
    <w:rsid w:val="00594132"/>
    <w:rsid w:val="00594A9E"/>
    <w:rsid w:val="00594F18"/>
    <w:rsid w:val="00596856"/>
    <w:rsid w:val="00596F6E"/>
    <w:rsid w:val="005A0260"/>
    <w:rsid w:val="005A0A0D"/>
    <w:rsid w:val="005A14A8"/>
    <w:rsid w:val="005A1D05"/>
    <w:rsid w:val="005A208B"/>
    <w:rsid w:val="005A23CE"/>
    <w:rsid w:val="005A27CA"/>
    <w:rsid w:val="005A29C2"/>
    <w:rsid w:val="005A43BD"/>
    <w:rsid w:val="005A50A2"/>
    <w:rsid w:val="005A582D"/>
    <w:rsid w:val="005A6321"/>
    <w:rsid w:val="005A64D4"/>
    <w:rsid w:val="005A684F"/>
    <w:rsid w:val="005A6ADD"/>
    <w:rsid w:val="005A79E5"/>
    <w:rsid w:val="005B0420"/>
    <w:rsid w:val="005B0F85"/>
    <w:rsid w:val="005B0FC5"/>
    <w:rsid w:val="005B29A5"/>
    <w:rsid w:val="005B4200"/>
    <w:rsid w:val="005B42AD"/>
    <w:rsid w:val="005B4C16"/>
    <w:rsid w:val="005B5816"/>
    <w:rsid w:val="005B635E"/>
    <w:rsid w:val="005B6589"/>
    <w:rsid w:val="005B6D35"/>
    <w:rsid w:val="005B7B67"/>
    <w:rsid w:val="005C18C1"/>
    <w:rsid w:val="005C2A09"/>
    <w:rsid w:val="005C3799"/>
    <w:rsid w:val="005C3CF6"/>
    <w:rsid w:val="005C5201"/>
    <w:rsid w:val="005C578B"/>
    <w:rsid w:val="005C5D49"/>
    <w:rsid w:val="005C65E4"/>
    <w:rsid w:val="005C6CF4"/>
    <w:rsid w:val="005D034C"/>
    <w:rsid w:val="005D0C49"/>
    <w:rsid w:val="005D1C5A"/>
    <w:rsid w:val="005D39EF"/>
    <w:rsid w:val="005D41CC"/>
    <w:rsid w:val="005D4666"/>
    <w:rsid w:val="005D4D16"/>
    <w:rsid w:val="005D540A"/>
    <w:rsid w:val="005D6312"/>
    <w:rsid w:val="005D6C4A"/>
    <w:rsid w:val="005D7746"/>
    <w:rsid w:val="005D7950"/>
    <w:rsid w:val="005D79F4"/>
    <w:rsid w:val="005E026A"/>
    <w:rsid w:val="005E226E"/>
    <w:rsid w:val="005E2636"/>
    <w:rsid w:val="005E37F0"/>
    <w:rsid w:val="005E6339"/>
    <w:rsid w:val="005E667B"/>
    <w:rsid w:val="005F0734"/>
    <w:rsid w:val="005F0DC1"/>
    <w:rsid w:val="005F0EE1"/>
    <w:rsid w:val="005F0F1D"/>
    <w:rsid w:val="005F383E"/>
    <w:rsid w:val="005F3AEC"/>
    <w:rsid w:val="005F5137"/>
    <w:rsid w:val="005F6B8E"/>
    <w:rsid w:val="005F79B2"/>
    <w:rsid w:val="00600592"/>
    <w:rsid w:val="00600DC6"/>
    <w:rsid w:val="0060108D"/>
    <w:rsid w:val="006015C3"/>
    <w:rsid w:val="006015D7"/>
    <w:rsid w:val="00601B21"/>
    <w:rsid w:val="00602693"/>
    <w:rsid w:val="006030A4"/>
    <w:rsid w:val="00603B0B"/>
    <w:rsid w:val="00603B6C"/>
    <w:rsid w:val="006041F0"/>
    <w:rsid w:val="0060486F"/>
    <w:rsid w:val="00605B96"/>
    <w:rsid w:val="00605C6D"/>
    <w:rsid w:val="00607ACD"/>
    <w:rsid w:val="00610983"/>
    <w:rsid w:val="00610B8E"/>
    <w:rsid w:val="00610CD7"/>
    <w:rsid w:val="00611147"/>
    <w:rsid w:val="006120CA"/>
    <w:rsid w:val="006122DF"/>
    <w:rsid w:val="00612757"/>
    <w:rsid w:val="006127F2"/>
    <w:rsid w:val="00612D35"/>
    <w:rsid w:val="00613D82"/>
    <w:rsid w:val="0061443A"/>
    <w:rsid w:val="0061475E"/>
    <w:rsid w:val="006157EA"/>
    <w:rsid w:val="00615E9F"/>
    <w:rsid w:val="0061668C"/>
    <w:rsid w:val="00616864"/>
    <w:rsid w:val="00616E0F"/>
    <w:rsid w:val="00616E1E"/>
    <w:rsid w:val="006175A3"/>
    <w:rsid w:val="00623ADC"/>
    <w:rsid w:val="00624113"/>
    <w:rsid w:val="00624174"/>
    <w:rsid w:val="00624A3D"/>
    <w:rsid w:val="00625C92"/>
    <w:rsid w:val="006262F3"/>
    <w:rsid w:val="00626CF8"/>
    <w:rsid w:val="006270B9"/>
    <w:rsid w:val="00627C35"/>
    <w:rsid w:val="00630E6F"/>
    <w:rsid w:val="006314AF"/>
    <w:rsid w:val="0063231B"/>
    <w:rsid w:val="00634003"/>
    <w:rsid w:val="0063401D"/>
    <w:rsid w:val="00634ED8"/>
    <w:rsid w:val="006351BD"/>
    <w:rsid w:val="006358A9"/>
    <w:rsid w:val="00636D7D"/>
    <w:rsid w:val="00636EEE"/>
    <w:rsid w:val="00637408"/>
    <w:rsid w:val="006379AA"/>
    <w:rsid w:val="00640C39"/>
    <w:rsid w:val="00641F78"/>
    <w:rsid w:val="0064215A"/>
    <w:rsid w:val="00642868"/>
    <w:rsid w:val="006444D1"/>
    <w:rsid w:val="006479B0"/>
    <w:rsid w:val="00647AFE"/>
    <w:rsid w:val="00650417"/>
    <w:rsid w:val="00650559"/>
    <w:rsid w:val="0065077C"/>
    <w:rsid w:val="00650975"/>
    <w:rsid w:val="006512BC"/>
    <w:rsid w:val="00651384"/>
    <w:rsid w:val="00652D32"/>
    <w:rsid w:val="00653A5A"/>
    <w:rsid w:val="00653B78"/>
    <w:rsid w:val="006554AC"/>
    <w:rsid w:val="00655EEC"/>
    <w:rsid w:val="006566E8"/>
    <w:rsid w:val="00656F28"/>
    <w:rsid w:val="00657206"/>
    <w:rsid w:val="006575F4"/>
    <w:rsid w:val="006579E6"/>
    <w:rsid w:val="0066024B"/>
    <w:rsid w:val="00660682"/>
    <w:rsid w:val="00660F74"/>
    <w:rsid w:val="006622A0"/>
    <w:rsid w:val="006623FD"/>
    <w:rsid w:val="00662721"/>
    <w:rsid w:val="00663C63"/>
    <w:rsid w:val="00663EDC"/>
    <w:rsid w:val="0066423D"/>
    <w:rsid w:val="0066516C"/>
    <w:rsid w:val="00666190"/>
    <w:rsid w:val="0066640B"/>
    <w:rsid w:val="00667938"/>
    <w:rsid w:val="006709CC"/>
    <w:rsid w:val="00670D79"/>
    <w:rsid w:val="00671078"/>
    <w:rsid w:val="006741A5"/>
    <w:rsid w:val="00674D8F"/>
    <w:rsid w:val="006758CA"/>
    <w:rsid w:val="006759B2"/>
    <w:rsid w:val="00675A4B"/>
    <w:rsid w:val="0068046B"/>
    <w:rsid w:val="00680A04"/>
    <w:rsid w:val="00681571"/>
    <w:rsid w:val="00682B53"/>
    <w:rsid w:val="00684611"/>
    <w:rsid w:val="00684730"/>
    <w:rsid w:val="006847B9"/>
    <w:rsid w:val="00685325"/>
    <w:rsid w:val="006858ED"/>
    <w:rsid w:val="00685C68"/>
    <w:rsid w:val="00686D80"/>
    <w:rsid w:val="00690828"/>
    <w:rsid w:val="00690B63"/>
    <w:rsid w:val="0069253A"/>
    <w:rsid w:val="00692B97"/>
    <w:rsid w:val="0069375A"/>
    <w:rsid w:val="00694895"/>
    <w:rsid w:val="00694A03"/>
    <w:rsid w:val="0069520B"/>
    <w:rsid w:val="006954CA"/>
    <w:rsid w:val="00695A60"/>
    <w:rsid w:val="0069627C"/>
    <w:rsid w:val="00696917"/>
    <w:rsid w:val="00697E2E"/>
    <w:rsid w:val="00697FAD"/>
    <w:rsid w:val="006A25A2"/>
    <w:rsid w:val="006A2E4F"/>
    <w:rsid w:val="006A3694"/>
    <w:rsid w:val="006A3B87"/>
    <w:rsid w:val="006A461E"/>
    <w:rsid w:val="006A594C"/>
    <w:rsid w:val="006A5AFB"/>
    <w:rsid w:val="006A5DEE"/>
    <w:rsid w:val="006A6FE9"/>
    <w:rsid w:val="006A71BB"/>
    <w:rsid w:val="006B0A66"/>
    <w:rsid w:val="006B0A88"/>
    <w:rsid w:val="006B0E73"/>
    <w:rsid w:val="006B1E3D"/>
    <w:rsid w:val="006B2322"/>
    <w:rsid w:val="006B2496"/>
    <w:rsid w:val="006B3940"/>
    <w:rsid w:val="006B3B8D"/>
    <w:rsid w:val="006B4A4D"/>
    <w:rsid w:val="006B518B"/>
    <w:rsid w:val="006B5695"/>
    <w:rsid w:val="006B62E6"/>
    <w:rsid w:val="006B7B2E"/>
    <w:rsid w:val="006C10D6"/>
    <w:rsid w:val="006C3EB9"/>
    <w:rsid w:val="006C3F32"/>
    <w:rsid w:val="006C3FCB"/>
    <w:rsid w:val="006C4966"/>
    <w:rsid w:val="006C4DC0"/>
    <w:rsid w:val="006C5CB5"/>
    <w:rsid w:val="006C5D9E"/>
    <w:rsid w:val="006C6D72"/>
    <w:rsid w:val="006C78EB"/>
    <w:rsid w:val="006D01F7"/>
    <w:rsid w:val="006D1660"/>
    <w:rsid w:val="006D19D7"/>
    <w:rsid w:val="006D1B5C"/>
    <w:rsid w:val="006D28C9"/>
    <w:rsid w:val="006D4A57"/>
    <w:rsid w:val="006D5037"/>
    <w:rsid w:val="006D590E"/>
    <w:rsid w:val="006D5A54"/>
    <w:rsid w:val="006D63E5"/>
    <w:rsid w:val="006D6AD5"/>
    <w:rsid w:val="006D71F2"/>
    <w:rsid w:val="006E08A3"/>
    <w:rsid w:val="006E1234"/>
    <w:rsid w:val="006E1753"/>
    <w:rsid w:val="006E191F"/>
    <w:rsid w:val="006E1F5A"/>
    <w:rsid w:val="006E2740"/>
    <w:rsid w:val="006E2886"/>
    <w:rsid w:val="006E3911"/>
    <w:rsid w:val="006E5775"/>
    <w:rsid w:val="006E5C1C"/>
    <w:rsid w:val="006E6928"/>
    <w:rsid w:val="006E69F4"/>
    <w:rsid w:val="006E6A6E"/>
    <w:rsid w:val="006E7936"/>
    <w:rsid w:val="006E7BFF"/>
    <w:rsid w:val="006E7D34"/>
    <w:rsid w:val="006F0F0B"/>
    <w:rsid w:val="006F1115"/>
    <w:rsid w:val="006F1B67"/>
    <w:rsid w:val="006F3CA5"/>
    <w:rsid w:val="006F4989"/>
    <w:rsid w:val="006F4C13"/>
    <w:rsid w:val="006F4D9C"/>
    <w:rsid w:val="006F632F"/>
    <w:rsid w:val="006F7479"/>
    <w:rsid w:val="0070084B"/>
    <w:rsid w:val="0070091D"/>
    <w:rsid w:val="00701600"/>
    <w:rsid w:val="00701CFE"/>
    <w:rsid w:val="00701E40"/>
    <w:rsid w:val="00701F45"/>
    <w:rsid w:val="00702854"/>
    <w:rsid w:val="00703BE0"/>
    <w:rsid w:val="007051F7"/>
    <w:rsid w:val="007061B4"/>
    <w:rsid w:val="0070713A"/>
    <w:rsid w:val="00707E15"/>
    <w:rsid w:val="00710358"/>
    <w:rsid w:val="00710BED"/>
    <w:rsid w:val="00712148"/>
    <w:rsid w:val="00713D7C"/>
    <w:rsid w:val="00714EC0"/>
    <w:rsid w:val="0071652B"/>
    <w:rsid w:val="00717241"/>
    <w:rsid w:val="0071741C"/>
    <w:rsid w:val="0071771E"/>
    <w:rsid w:val="00717CBE"/>
    <w:rsid w:val="00721728"/>
    <w:rsid w:val="0072462A"/>
    <w:rsid w:val="007248C5"/>
    <w:rsid w:val="0072502F"/>
    <w:rsid w:val="00727002"/>
    <w:rsid w:val="00727D8B"/>
    <w:rsid w:val="00727E0F"/>
    <w:rsid w:val="007307A6"/>
    <w:rsid w:val="00733ABD"/>
    <w:rsid w:val="007345BC"/>
    <w:rsid w:val="007345F8"/>
    <w:rsid w:val="00734757"/>
    <w:rsid w:val="00735539"/>
    <w:rsid w:val="00735782"/>
    <w:rsid w:val="0073642C"/>
    <w:rsid w:val="00736BE6"/>
    <w:rsid w:val="007379D5"/>
    <w:rsid w:val="00740190"/>
    <w:rsid w:val="0074099F"/>
    <w:rsid w:val="007427A7"/>
    <w:rsid w:val="00742B90"/>
    <w:rsid w:val="0074434D"/>
    <w:rsid w:val="0074565C"/>
    <w:rsid w:val="00752E53"/>
    <w:rsid w:val="00753892"/>
    <w:rsid w:val="00753E1E"/>
    <w:rsid w:val="00755354"/>
    <w:rsid w:val="007570C4"/>
    <w:rsid w:val="00757129"/>
    <w:rsid w:val="00757919"/>
    <w:rsid w:val="007605B8"/>
    <w:rsid w:val="00760814"/>
    <w:rsid w:val="00760DD5"/>
    <w:rsid w:val="00761832"/>
    <w:rsid w:val="007629D4"/>
    <w:rsid w:val="00763872"/>
    <w:rsid w:val="00763F15"/>
    <w:rsid w:val="00763F4F"/>
    <w:rsid w:val="00764179"/>
    <w:rsid w:val="00764311"/>
    <w:rsid w:val="007643CB"/>
    <w:rsid w:val="007647BB"/>
    <w:rsid w:val="00764F95"/>
    <w:rsid w:val="007654A0"/>
    <w:rsid w:val="0076698F"/>
    <w:rsid w:val="0076702D"/>
    <w:rsid w:val="007670CE"/>
    <w:rsid w:val="007704B0"/>
    <w:rsid w:val="00770567"/>
    <w:rsid w:val="00771B1E"/>
    <w:rsid w:val="00773393"/>
    <w:rsid w:val="00773C95"/>
    <w:rsid w:val="00775A7A"/>
    <w:rsid w:val="00775D3E"/>
    <w:rsid w:val="00775FDC"/>
    <w:rsid w:val="0077625F"/>
    <w:rsid w:val="0078171E"/>
    <w:rsid w:val="0078242A"/>
    <w:rsid w:val="00782E8E"/>
    <w:rsid w:val="00783501"/>
    <w:rsid w:val="0078380A"/>
    <w:rsid w:val="007842CD"/>
    <w:rsid w:val="00784D00"/>
    <w:rsid w:val="00784F79"/>
    <w:rsid w:val="00786258"/>
    <w:rsid w:val="0078658E"/>
    <w:rsid w:val="00786E84"/>
    <w:rsid w:val="00787BA3"/>
    <w:rsid w:val="007902DC"/>
    <w:rsid w:val="007920E2"/>
    <w:rsid w:val="00792597"/>
    <w:rsid w:val="007934A4"/>
    <w:rsid w:val="007938C5"/>
    <w:rsid w:val="00794979"/>
    <w:rsid w:val="0079566E"/>
    <w:rsid w:val="00795B34"/>
    <w:rsid w:val="00795BCA"/>
    <w:rsid w:val="00796410"/>
    <w:rsid w:val="00797461"/>
    <w:rsid w:val="007979D9"/>
    <w:rsid w:val="007A0240"/>
    <w:rsid w:val="007A02ED"/>
    <w:rsid w:val="007A067F"/>
    <w:rsid w:val="007A1744"/>
    <w:rsid w:val="007A18B6"/>
    <w:rsid w:val="007A21BF"/>
    <w:rsid w:val="007A2945"/>
    <w:rsid w:val="007A3CF2"/>
    <w:rsid w:val="007A49B9"/>
    <w:rsid w:val="007A5B31"/>
    <w:rsid w:val="007A6A5F"/>
    <w:rsid w:val="007A7C4A"/>
    <w:rsid w:val="007B1770"/>
    <w:rsid w:val="007B19A3"/>
    <w:rsid w:val="007B286F"/>
    <w:rsid w:val="007B3035"/>
    <w:rsid w:val="007B3930"/>
    <w:rsid w:val="007B4D3E"/>
    <w:rsid w:val="007B5856"/>
    <w:rsid w:val="007B5918"/>
    <w:rsid w:val="007B63DE"/>
    <w:rsid w:val="007B68E4"/>
    <w:rsid w:val="007B71DE"/>
    <w:rsid w:val="007B7C70"/>
    <w:rsid w:val="007B7DEB"/>
    <w:rsid w:val="007C0449"/>
    <w:rsid w:val="007C1B03"/>
    <w:rsid w:val="007C3A78"/>
    <w:rsid w:val="007C3B0C"/>
    <w:rsid w:val="007C43B6"/>
    <w:rsid w:val="007C44DC"/>
    <w:rsid w:val="007C6B5B"/>
    <w:rsid w:val="007C6BFE"/>
    <w:rsid w:val="007D071A"/>
    <w:rsid w:val="007D11C7"/>
    <w:rsid w:val="007D124D"/>
    <w:rsid w:val="007D2151"/>
    <w:rsid w:val="007D24C5"/>
    <w:rsid w:val="007D3097"/>
    <w:rsid w:val="007D3B90"/>
    <w:rsid w:val="007D3C1F"/>
    <w:rsid w:val="007D41C1"/>
    <w:rsid w:val="007D42CC"/>
    <w:rsid w:val="007D4833"/>
    <w:rsid w:val="007D54F9"/>
    <w:rsid w:val="007D5DE4"/>
    <w:rsid w:val="007D6A24"/>
    <w:rsid w:val="007D7C3A"/>
    <w:rsid w:val="007E0583"/>
    <w:rsid w:val="007E0777"/>
    <w:rsid w:val="007E0801"/>
    <w:rsid w:val="007E1341"/>
    <w:rsid w:val="007E14E3"/>
    <w:rsid w:val="007E1B41"/>
    <w:rsid w:val="007E1EC4"/>
    <w:rsid w:val="007E2982"/>
    <w:rsid w:val="007E2E93"/>
    <w:rsid w:val="007E30B9"/>
    <w:rsid w:val="007E354E"/>
    <w:rsid w:val="007E3B97"/>
    <w:rsid w:val="007E5125"/>
    <w:rsid w:val="007E5306"/>
    <w:rsid w:val="007E60A5"/>
    <w:rsid w:val="007E73C3"/>
    <w:rsid w:val="007E74F1"/>
    <w:rsid w:val="007F0F0C"/>
    <w:rsid w:val="007F1191"/>
    <w:rsid w:val="007F1288"/>
    <w:rsid w:val="007F23FC"/>
    <w:rsid w:val="007F302E"/>
    <w:rsid w:val="007F33AF"/>
    <w:rsid w:val="007F385F"/>
    <w:rsid w:val="007F3E11"/>
    <w:rsid w:val="007F3ED0"/>
    <w:rsid w:val="007F44A5"/>
    <w:rsid w:val="007F5515"/>
    <w:rsid w:val="00800A8A"/>
    <w:rsid w:val="0080155C"/>
    <w:rsid w:val="00804937"/>
    <w:rsid w:val="0080513C"/>
    <w:rsid w:val="008052E1"/>
    <w:rsid w:val="00811197"/>
    <w:rsid w:val="00811293"/>
    <w:rsid w:val="00811EEB"/>
    <w:rsid w:val="00813891"/>
    <w:rsid w:val="00813899"/>
    <w:rsid w:val="0081501E"/>
    <w:rsid w:val="0081593D"/>
    <w:rsid w:val="00816C98"/>
    <w:rsid w:val="0082081A"/>
    <w:rsid w:val="0082275C"/>
    <w:rsid w:val="00822F2C"/>
    <w:rsid w:val="00823DEE"/>
    <w:rsid w:val="008252E6"/>
    <w:rsid w:val="008255CA"/>
    <w:rsid w:val="00825838"/>
    <w:rsid w:val="0082666E"/>
    <w:rsid w:val="00827659"/>
    <w:rsid w:val="008278EF"/>
    <w:rsid w:val="0083025D"/>
    <w:rsid w:val="008305E8"/>
    <w:rsid w:val="00830FE7"/>
    <w:rsid w:val="00831ED6"/>
    <w:rsid w:val="00831FD7"/>
    <w:rsid w:val="00832FF8"/>
    <w:rsid w:val="0083352C"/>
    <w:rsid w:val="008339B8"/>
    <w:rsid w:val="00835216"/>
    <w:rsid w:val="00835CAB"/>
    <w:rsid w:val="00836165"/>
    <w:rsid w:val="008365B2"/>
    <w:rsid w:val="00837979"/>
    <w:rsid w:val="008426D0"/>
    <w:rsid w:val="00842940"/>
    <w:rsid w:val="00842983"/>
    <w:rsid w:val="0084559F"/>
    <w:rsid w:val="00845B6B"/>
    <w:rsid w:val="0084640C"/>
    <w:rsid w:val="008471D0"/>
    <w:rsid w:val="00852C5D"/>
    <w:rsid w:val="00856088"/>
    <w:rsid w:val="008561BF"/>
    <w:rsid w:val="00856D4B"/>
    <w:rsid w:val="008571B2"/>
    <w:rsid w:val="00857CB9"/>
    <w:rsid w:val="00860826"/>
    <w:rsid w:val="00860E21"/>
    <w:rsid w:val="0086137D"/>
    <w:rsid w:val="00861432"/>
    <w:rsid w:val="00862318"/>
    <w:rsid w:val="00862FD7"/>
    <w:rsid w:val="00863117"/>
    <w:rsid w:val="0086317B"/>
    <w:rsid w:val="0086388B"/>
    <w:rsid w:val="008642E5"/>
    <w:rsid w:val="00864488"/>
    <w:rsid w:val="008666B3"/>
    <w:rsid w:val="00866A00"/>
    <w:rsid w:val="00870A36"/>
    <w:rsid w:val="008717A1"/>
    <w:rsid w:val="00872416"/>
    <w:rsid w:val="00872425"/>
    <w:rsid w:val="00872D93"/>
    <w:rsid w:val="008753D2"/>
    <w:rsid w:val="00875688"/>
    <w:rsid w:val="008769F1"/>
    <w:rsid w:val="008772BC"/>
    <w:rsid w:val="00880470"/>
    <w:rsid w:val="00880591"/>
    <w:rsid w:val="00880D94"/>
    <w:rsid w:val="00881410"/>
    <w:rsid w:val="008814E8"/>
    <w:rsid w:val="00883CAB"/>
    <w:rsid w:val="0088652F"/>
    <w:rsid w:val="0088654E"/>
    <w:rsid w:val="00886F64"/>
    <w:rsid w:val="00890375"/>
    <w:rsid w:val="00890D7A"/>
    <w:rsid w:val="00892262"/>
    <w:rsid w:val="008923AA"/>
    <w:rsid w:val="008924DE"/>
    <w:rsid w:val="008924EE"/>
    <w:rsid w:val="00893B45"/>
    <w:rsid w:val="008965D5"/>
    <w:rsid w:val="0089789B"/>
    <w:rsid w:val="008979AC"/>
    <w:rsid w:val="008A0A5F"/>
    <w:rsid w:val="008A3755"/>
    <w:rsid w:val="008A6A23"/>
    <w:rsid w:val="008A6D6C"/>
    <w:rsid w:val="008A759F"/>
    <w:rsid w:val="008A7626"/>
    <w:rsid w:val="008B01BB"/>
    <w:rsid w:val="008B19DC"/>
    <w:rsid w:val="008B2310"/>
    <w:rsid w:val="008B264F"/>
    <w:rsid w:val="008B2EA5"/>
    <w:rsid w:val="008B3013"/>
    <w:rsid w:val="008B315D"/>
    <w:rsid w:val="008B3659"/>
    <w:rsid w:val="008B3A7E"/>
    <w:rsid w:val="008B3EEA"/>
    <w:rsid w:val="008B4102"/>
    <w:rsid w:val="008B4AFD"/>
    <w:rsid w:val="008B4BA7"/>
    <w:rsid w:val="008B4F86"/>
    <w:rsid w:val="008B506F"/>
    <w:rsid w:val="008B5298"/>
    <w:rsid w:val="008B52FB"/>
    <w:rsid w:val="008B58FA"/>
    <w:rsid w:val="008B6F83"/>
    <w:rsid w:val="008B7FD8"/>
    <w:rsid w:val="008C0F00"/>
    <w:rsid w:val="008C11AC"/>
    <w:rsid w:val="008C16F2"/>
    <w:rsid w:val="008C1907"/>
    <w:rsid w:val="008C1BD2"/>
    <w:rsid w:val="008C2973"/>
    <w:rsid w:val="008C321E"/>
    <w:rsid w:val="008C4BED"/>
    <w:rsid w:val="008C5229"/>
    <w:rsid w:val="008C62E4"/>
    <w:rsid w:val="008C6324"/>
    <w:rsid w:val="008C64C4"/>
    <w:rsid w:val="008C6FF6"/>
    <w:rsid w:val="008D0AE6"/>
    <w:rsid w:val="008D1B18"/>
    <w:rsid w:val="008D1D30"/>
    <w:rsid w:val="008D2CDD"/>
    <w:rsid w:val="008D2DCF"/>
    <w:rsid w:val="008D3E77"/>
    <w:rsid w:val="008D4205"/>
    <w:rsid w:val="008D7384"/>
    <w:rsid w:val="008D74D5"/>
    <w:rsid w:val="008D7875"/>
    <w:rsid w:val="008D7C9F"/>
    <w:rsid w:val="008E04BA"/>
    <w:rsid w:val="008E0636"/>
    <w:rsid w:val="008E07C3"/>
    <w:rsid w:val="008E0CA7"/>
    <w:rsid w:val="008E0D24"/>
    <w:rsid w:val="008E0E0B"/>
    <w:rsid w:val="008E0ED1"/>
    <w:rsid w:val="008E1231"/>
    <w:rsid w:val="008E2083"/>
    <w:rsid w:val="008E2958"/>
    <w:rsid w:val="008E29C7"/>
    <w:rsid w:val="008E3A07"/>
    <w:rsid w:val="008E448D"/>
    <w:rsid w:val="008E44FE"/>
    <w:rsid w:val="008E537B"/>
    <w:rsid w:val="008E55D1"/>
    <w:rsid w:val="008E714B"/>
    <w:rsid w:val="008F12D2"/>
    <w:rsid w:val="008F29BE"/>
    <w:rsid w:val="008F2A34"/>
    <w:rsid w:val="008F3236"/>
    <w:rsid w:val="008F4AE5"/>
    <w:rsid w:val="008F51A5"/>
    <w:rsid w:val="008F51EB"/>
    <w:rsid w:val="008F5253"/>
    <w:rsid w:val="008F5334"/>
    <w:rsid w:val="008F55FE"/>
    <w:rsid w:val="008F79C5"/>
    <w:rsid w:val="008F7AFA"/>
    <w:rsid w:val="00900197"/>
    <w:rsid w:val="00902F55"/>
    <w:rsid w:val="00904921"/>
    <w:rsid w:val="0090510A"/>
    <w:rsid w:val="00905251"/>
    <w:rsid w:val="00905339"/>
    <w:rsid w:val="0090582B"/>
    <w:rsid w:val="009060C0"/>
    <w:rsid w:val="0090735C"/>
    <w:rsid w:val="00907B7B"/>
    <w:rsid w:val="00907D5C"/>
    <w:rsid w:val="00910046"/>
    <w:rsid w:val="009106A5"/>
    <w:rsid w:val="0091170B"/>
    <w:rsid w:val="009133F5"/>
    <w:rsid w:val="00913DF9"/>
    <w:rsid w:val="009149B4"/>
    <w:rsid w:val="00914CB6"/>
    <w:rsid w:val="00914E66"/>
    <w:rsid w:val="00915A69"/>
    <w:rsid w:val="00916098"/>
    <w:rsid w:val="009164AA"/>
    <w:rsid w:val="00916863"/>
    <w:rsid w:val="00916986"/>
    <w:rsid w:val="0091756F"/>
    <w:rsid w:val="00920A27"/>
    <w:rsid w:val="00920F27"/>
    <w:rsid w:val="00921216"/>
    <w:rsid w:val="009213D6"/>
    <w:rsid w:val="0092159F"/>
    <w:rsid w:val="009215C3"/>
    <w:rsid w:val="009216CC"/>
    <w:rsid w:val="009218EF"/>
    <w:rsid w:val="00922C48"/>
    <w:rsid w:val="00922E41"/>
    <w:rsid w:val="00924CF1"/>
    <w:rsid w:val="009251CD"/>
    <w:rsid w:val="00925892"/>
    <w:rsid w:val="00926083"/>
    <w:rsid w:val="009269EE"/>
    <w:rsid w:val="00926D08"/>
    <w:rsid w:val="009273A9"/>
    <w:rsid w:val="00927489"/>
    <w:rsid w:val="00930D08"/>
    <w:rsid w:val="00930F93"/>
    <w:rsid w:val="00930FB0"/>
    <w:rsid w:val="009312EC"/>
    <w:rsid w:val="00931409"/>
    <w:rsid w:val="00931466"/>
    <w:rsid w:val="009318E9"/>
    <w:rsid w:val="00932416"/>
    <w:rsid w:val="00932D69"/>
    <w:rsid w:val="00933F09"/>
    <w:rsid w:val="0093461B"/>
    <w:rsid w:val="009354FD"/>
    <w:rsid w:val="00935589"/>
    <w:rsid w:val="00935846"/>
    <w:rsid w:val="00937408"/>
    <w:rsid w:val="00937C92"/>
    <w:rsid w:val="009404CF"/>
    <w:rsid w:val="00940647"/>
    <w:rsid w:val="00940840"/>
    <w:rsid w:val="00941BB2"/>
    <w:rsid w:val="0094256A"/>
    <w:rsid w:val="009427FA"/>
    <w:rsid w:val="0094393A"/>
    <w:rsid w:val="00943DCF"/>
    <w:rsid w:val="00944647"/>
    <w:rsid w:val="009449A9"/>
    <w:rsid w:val="009469E2"/>
    <w:rsid w:val="00951F92"/>
    <w:rsid w:val="0095261B"/>
    <w:rsid w:val="0095565C"/>
    <w:rsid w:val="00960D41"/>
    <w:rsid w:val="00962170"/>
    <w:rsid w:val="00962D57"/>
    <w:rsid w:val="00963AAE"/>
    <w:rsid w:val="00964731"/>
    <w:rsid w:val="00964AB6"/>
    <w:rsid w:val="00966F9A"/>
    <w:rsid w:val="00971726"/>
    <w:rsid w:val="009729BC"/>
    <w:rsid w:val="00973674"/>
    <w:rsid w:val="00973F78"/>
    <w:rsid w:val="00974172"/>
    <w:rsid w:val="00974A2D"/>
    <w:rsid w:val="0097515D"/>
    <w:rsid w:val="00976030"/>
    <w:rsid w:val="00977300"/>
    <w:rsid w:val="00977B8A"/>
    <w:rsid w:val="009805A6"/>
    <w:rsid w:val="00980D01"/>
    <w:rsid w:val="009819EC"/>
    <w:rsid w:val="00981AF8"/>
    <w:rsid w:val="00982971"/>
    <w:rsid w:val="0098342A"/>
    <w:rsid w:val="0098396C"/>
    <w:rsid w:val="009844CC"/>
    <w:rsid w:val="009845AD"/>
    <w:rsid w:val="00984835"/>
    <w:rsid w:val="00984DF8"/>
    <w:rsid w:val="0098605E"/>
    <w:rsid w:val="00990155"/>
    <w:rsid w:val="00991252"/>
    <w:rsid w:val="00992972"/>
    <w:rsid w:val="00992D56"/>
    <w:rsid w:val="00992F40"/>
    <w:rsid w:val="009933EF"/>
    <w:rsid w:val="009935CF"/>
    <w:rsid w:val="00993832"/>
    <w:rsid w:val="0099393D"/>
    <w:rsid w:val="00993C91"/>
    <w:rsid w:val="009946BC"/>
    <w:rsid w:val="00995647"/>
    <w:rsid w:val="0099590D"/>
    <w:rsid w:val="00995BA0"/>
    <w:rsid w:val="00995F1A"/>
    <w:rsid w:val="009960D8"/>
    <w:rsid w:val="009966AA"/>
    <w:rsid w:val="00997C38"/>
    <w:rsid w:val="00997CC7"/>
    <w:rsid w:val="00997E07"/>
    <w:rsid w:val="009A0A15"/>
    <w:rsid w:val="009A2970"/>
    <w:rsid w:val="009A3110"/>
    <w:rsid w:val="009A3827"/>
    <w:rsid w:val="009A418B"/>
    <w:rsid w:val="009A426F"/>
    <w:rsid w:val="009A42D5"/>
    <w:rsid w:val="009A4473"/>
    <w:rsid w:val="009A6784"/>
    <w:rsid w:val="009A7A40"/>
    <w:rsid w:val="009A7BB9"/>
    <w:rsid w:val="009B05C9"/>
    <w:rsid w:val="009B11F5"/>
    <w:rsid w:val="009B1561"/>
    <w:rsid w:val="009B1E14"/>
    <w:rsid w:val="009B286C"/>
    <w:rsid w:val="009B456E"/>
    <w:rsid w:val="009B5538"/>
    <w:rsid w:val="009B7254"/>
    <w:rsid w:val="009B7971"/>
    <w:rsid w:val="009C0559"/>
    <w:rsid w:val="009C151C"/>
    <w:rsid w:val="009C35A5"/>
    <w:rsid w:val="009C440A"/>
    <w:rsid w:val="009C4BD5"/>
    <w:rsid w:val="009C4CD5"/>
    <w:rsid w:val="009C64E3"/>
    <w:rsid w:val="009C73E9"/>
    <w:rsid w:val="009D08AB"/>
    <w:rsid w:val="009D2D07"/>
    <w:rsid w:val="009D3974"/>
    <w:rsid w:val="009D3B01"/>
    <w:rsid w:val="009D4B4F"/>
    <w:rsid w:val="009D5125"/>
    <w:rsid w:val="009D60B8"/>
    <w:rsid w:val="009D63C9"/>
    <w:rsid w:val="009D76EA"/>
    <w:rsid w:val="009D7D4B"/>
    <w:rsid w:val="009E09CC"/>
    <w:rsid w:val="009E0EA0"/>
    <w:rsid w:val="009E36ED"/>
    <w:rsid w:val="009E3B47"/>
    <w:rsid w:val="009E3C8C"/>
    <w:rsid w:val="009E6127"/>
    <w:rsid w:val="009E6992"/>
    <w:rsid w:val="009E6B77"/>
    <w:rsid w:val="009F0083"/>
    <w:rsid w:val="009F0AC5"/>
    <w:rsid w:val="009F17D8"/>
    <w:rsid w:val="009F1B67"/>
    <w:rsid w:val="009F243B"/>
    <w:rsid w:val="009F271F"/>
    <w:rsid w:val="009F2FBA"/>
    <w:rsid w:val="009F3891"/>
    <w:rsid w:val="009F3BE0"/>
    <w:rsid w:val="009F4235"/>
    <w:rsid w:val="009F4372"/>
    <w:rsid w:val="009F460A"/>
    <w:rsid w:val="009F4CEB"/>
    <w:rsid w:val="009F59A4"/>
    <w:rsid w:val="009F7506"/>
    <w:rsid w:val="00A00689"/>
    <w:rsid w:val="00A00C50"/>
    <w:rsid w:val="00A03472"/>
    <w:rsid w:val="00A043D8"/>
    <w:rsid w:val="00A043FB"/>
    <w:rsid w:val="00A05BFB"/>
    <w:rsid w:val="00A061A4"/>
    <w:rsid w:val="00A06BE4"/>
    <w:rsid w:val="00A0729C"/>
    <w:rsid w:val="00A073CF"/>
    <w:rsid w:val="00A07779"/>
    <w:rsid w:val="00A10651"/>
    <w:rsid w:val="00A1110B"/>
    <w:rsid w:val="00A1166A"/>
    <w:rsid w:val="00A119C9"/>
    <w:rsid w:val="00A1372A"/>
    <w:rsid w:val="00A14FB3"/>
    <w:rsid w:val="00A16301"/>
    <w:rsid w:val="00A163A7"/>
    <w:rsid w:val="00A16993"/>
    <w:rsid w:val="00A1761D"/>
    <w:rsid w:val="00A20B2E"/>
    <w:rsid w:val="00A20D2A"/>
    <w:rsid w:val="00A20EEE"/>
    <w:rsid w:val="00A2330D"/>
    <w:rsid w:val="00A23D54"/>
    <w:rsid w:val="00A2413D"/>
    <w:rsid w:val="00A24F33"/>
    <w:rsid w:val="00A25069"/>
    <w:rsid w:val="00A26164"/>
    <w:rsid w:val="00A26541"/>
    <w:rsid w:val="00A26E6B"/>
    <w:rsid w:val="00A27844"/>
    <w:rsid w:val="00A3068F"/>
    <w:rsid w:val="00A3145B"/>
    <w:rsid w:val="00A319E4"/>
    <w:rsid w:val="00A31F74"/>
    <w:rsid w:val="00A32165"/>
    <w:rsid w:val="00A32C61"/>
    <w:rsid w:val="00A334CF"/>
    <w:rsid w:val="00A339D0"/>
    <w:rsid w:val="00A3415C"/>
    <w:rsid w:val="00A35990"/>
    <w:rsid w:val="00A40C34"/>
    <w:rsid w:val="00A41002"/>
    <w:rsid w:val="00A4133B"/>
    <w:rsid w:val="00A41599"/>
    <w:rsid w:val="00A4201A"/>
    <w:rsid w:val="00A4320C"/>
    <w:rsid w:val="00A44209"/>
    <w:rsid w:val="00A47C3D"/>
    <w:rsid w:val="00A47CBA"/>
    <w:rsid w:val="00A50B76"/>
    <w:rsid w:val="00A50DA9"/>
    <w:rsid w:val="00A51551"/>
    <w:rsid w:val="00A51BA1"/>
    <w:rsid w:val="00A53010"/>
    <w:rsid w:val="00A5385C"/>
    <w:rsid w:val="00A5465D"/>
    <w:rsid w:val="00A5526A"/>
    <w:rsid w:val="00A553CE"/>
    <w:rsid w:val="00A5590D"/>
    <w:rsid w:val="00A5677A"/>
    <w:rsid w:val="00A56DCC"/>
    <w:rsid w:val="00A56ED6"/>
    <w:rsid w:val="00A60BCE"/>
    <w:rsid w:val="00A625E8"/>
    <w:rsid w:val="00A63DFF"/>
    <w:rsid w:val="00A64496"/>
    <w:rsid w:val="00A6490D"/>
    <w:rsid w:val="00A649ED"/>
    <w:rsid w:val="00A64CA9"/>
    <w:rsid w:val="00A66807"/>
    <w:rsid w:val="00A67033"/>
    <w:rsid w:val="00A671B9"/>
    <w:rsid w:val="00A67554"/>
    <w:rsid w:val="00A70093"/>
    <w:rsid w:val="00A706F5"/>
    <w:rsid w:val="00A70B3E"/>
    <w:rsid w:val="00A71021"/>
    <w:rsid w:val="00A724B7"/>
    <w:rsid w:val="00A72D7B"/>
    <w:rsid w:val="00A72DA3"/>
    <w:rsid w:val="00A7415D"/>
    <w:rsid w:val="00A741F5"/>
    <w:rsid w:val="00A75568"/>
    <w:rsid w:val="00A75D35"/>
    <w:rsid w:val="00A765BF"/>
    <w:rsid w:val="00A76AFA"/>
    <w:rsid w:val="00A76B5B"/>
    <w:rsid w:val="00A76C1F"/>
    <w:rsid w:val="00A80363"/>
    <w:rsid w:val="00A8063B"/>
    <w:rsid w:val="00A80939"/>
    <w:rsid w:val="00A8112A"/>
    <w:rsid w:val="00A82BDD"/>
    <w:rsid w:val="00A83372"/>
    <w:rsid w:val="00A83BAE"/>
    <w:rsid w:val="00A83DA2"/>
    <w:rsid w:val="00A83E9D"/>
    <w:rsid w:val="00A84D15"/>
    <w:rsid w:val="00A8540D"/>
    <w:rsid w:val="00A856F2"/>
    <w:rsid w:val="00A85AB2"/>
    <w:rsid w:val="00A86EA1"/>
    <w:rsid w:val="00A87C05"/>
    <w:rsid w:val="00A900F3"/>
    <w:rsid w:val="00A9169D"/>
    <w:rsid w:val="00A921EB"/>
    <w:rsid w:val="00A93598"/>
    <w:rsid w:val="00A93AB1"/>
    <w:rsid w:val="00A94523"/>
    <w:rsid w:val="00A95374"/>
    <w:rsid w:val="00A956F6"/>
    <w:rsid w:val="00A95898"/>
    <w:rsid w:val="00A97A3A"/>
    <w:rsid w:val="00A97B86"/>
    <w:rsid w:val="00AA163A"/>
    <w:rsid w:val="00AA1A1F"/>
    <w:rsid w:val="00AA240C"/>
    <w:rsid w:val="00AA4036"/>
    <w:rsid w:val="00AA62C4"/>
    <w:rsid w:val="00AA674C"/>
    <w:rsid w:val="00AA6F1D"/>
    <w:rsid w:val="00AB0332"/>
    <w:rsid w:val="00AB1456"/>
    <w:rsid w:val="00AB163C"/>
    <w:rsid w:val="00AB32DC"/>
    <w:rsid w:val="00AB4026"/>
    <w:rsid w:val="00AB471D"/>
    <w:rsid w:val="00AB4739"/>
    <w:rsid w:val="00AB4F8A"/>
    <w:rsid w:val="00AB5296"/>
    <w:rsid w:val="00AB57C9"/>
    <w:rsid w:val="00AB6988"/>
    <w:rsid w:val="00AB6A47"/>
    <w:rsid w:val="00AC0783"/>
    <w:rsid w:val="00AC0D83"/>
    <w:rsid w:val="00AC0E90"/>
    <w:rsid w:val="00AC101C"/>
    <w:rsid w:val="00AC1522"/>
    <w:rsid w:val="00AC5093"/>
    <w:rsid w:val="00AC5BA0"/>
    <w:rsid w:val="00AC67E2"/>
    <w:rsid w:val="00AC6CC4"/>
    <w:rsid w:val="00AC79D4"/>
    <w:rsid w:val="00AC7CFF"/>
    <w:rsid w:val="00AD0A05"/>
    <w:rsid w:val="00AD19BF"/>
    <w:rsid w:val="00AD1D3B"/>
    <w:rsid w:val="00AD1FC3"/>
    <w:rsid w:val="00AD3A79"/>
    <w:rsid w:val="00AD4974"/>
    <w:rsid w:val="00AD4CF1"/>
    <w:rsid w:val="00AD5988"/>
    <w:rsid w:val="00AD5DF3"/>
    <w:rsid w:val="00AD6293"/>
    <w:rsid w:val="00AD7E8A"/>
    <w:rsid w:val="00AE0174"/>
    <w:rsid w:val="00AE0507"/>
    <w:rsid w:val="00AE0BA4"/>
    <w:rsid w:val="00AE1643"/>
    <w:rsid w:val="00AE16AF"/>
    <w:rsid w:val="00AE25C0"/>
    <w:rsid w:val="00AE2CAC"/>
    <w:rsid w:val="00AE36BC"/>
    <w:rsid w:val="00AE6F02"/>
    <w:rsid w:val="00AF03BC"/>
    <w:rsid w:val="00AF041C"/>
    <w:rsid w:val="00AF090F"/>
    <w:rsid w:val="00AF0CD9"/>
    <w:rsid w:val="00AF0DB9"/>
    <w:rsid w:val="00AF1EBE"/>
    <w:rsid w:val="00AF2B0E"/>
    <w:rsid w:val="00AF3718"/>
    <w:rsid w:val="00AF372E"/>
    <w:rsid w:val="00AF5595"/>
    <w:rsid w:val="00AF63B4"/>
    <w:rsid w:val="00AF6B4D"/>
    <w:rsid w:val="00AF7800"/>
    <w:rsid w:val="00B00700"/>
    <w:rsid w:val="00B00CF5"/>
    <w:rsid w:val="00B02454"/>
    <w:rsid w:val="00B026BC"/>
    <w:rsid w:val="00B058F6"/>
    <w:rsid w:val="00B05D17"/>
    <w:rsid w:val="00B067E1"/>
    <w:rsid w:val="00B06F43"/>
    <w:rsid w:val="00B06FFA"/>
    <w:rsid w:val="00B072E0"/>
    <w:rsid w:val="00B07C8A"/>
    <w:rsid w:val="00B1007E"/>
    <w:rsid w:val="00B1055C"/>
    <w:rsid w:val="00B1187B"/>
    <w:rsid w:val="00B11EE6"/>
    <w:rsid w:val="00B12D61"/>
    <w:rsid w:val="00B13488"/>
    <w:rsid w:val="00B13815"/>
    <w:rsid w:val="00B13B26"/>
    <w:rsid w:val="00B13C0B"/>
    <w:rsid w:val="00B13D41"/>
    <w:rsid w:val="00B1410A"/>
    <w:rsid w:val="00B1529D"/>
    <w:rsid w:val="00B1682D"/>
    <w:rsid w:val="00B16AF2"/>
    <w:rsid w:val="00B17E21"/>
    <w:rsid w:val="00B17EF6"/>
    <w:rsid w:val="00B206B2"/>
    <w:rsid w:val="00B21C15"/>
    <w:rsid w:val="00B22352"/>
    <w:rsid w:val="00B238CA"/>
    <w:rsid w:val="00B2479F"/>
    <w:rsid w:val="00B24D0E"/>
    <w:rsid w:val="00B253F6"/>
    <w:rsid w:val="00B25A81"/>
    <w:rsid w:val="00B25E45"/>
    <w:rsid w:val="00B26675"/>
    <w:rsid w:val="00B269EE"/>
    <w:rsid w:val="00B27897"/>
    <w:rsid w:val="00B27A44"/>
    <w:rsid w:val="00B27D33"/>
    <w:rsid w:val="00B27D4E"/>
    <w:rsid w:val="00B27EE1"/>
    <w:rsid w:val="00B305DB"/>
    <w:rsid w:val="00B30DDC"/>
    <w:rsid w:val="00B322B9"/>
    <w:rsid w:val="00B332F8"/>
    <w:rsid w:val="00B333A8"/>
    <w:rsid w:val="00B33A53"/>
    <w:rsid w:val="00B3455C"/>
    <w:rsid w:val="00B3492B"/>
    <w:rsid w:val="00B37217"/>
    <w:rsid w:val="00B40980"/>
    <w:rsid w:val="00B40E95"/>
    <w:rsid w:val="00B41844"/>
    <w:rsid w:val="00B41AA9"/>
    <w:rsid w:val="00B41CBE"/>
    <w:rsid w:val="00B42200"/>
    <w:rsid w:val="00B42CB3"/>
    <w:rsid w:val="00B42E9B"/>
    <w:rsid w:val="00B42F48"/>
    <w:rsid w:val="00B43851"/>
    <w:rsid w:val="00B441BC"/>
    <w:rsid w:val="00B44A0B"/>
    <w:rsid w:val="00B44C72"/>
    <w:rsid w:val="00B452B0"/>
    <w:rsid w:val="00B462C5"/>
    <w:rsid w:val="00B4646F"/>
    <w:rsid w:val="00B473B6"/>
    <w:rsid w:val="00B47C82"/>
    <w:rsid w:val="00B525FB"/>
    <w:rsid w:val="00B5474A"/>
    <w:rsid w:val="00B554ED"/>
    <w:rsid w:val="00B55A1C"/>
    <w:rsid w:val="00B55C7D"/>
    <w:rsid w:val="00B56717"/>
    <w:rsid w:val="00B570EC"/>
    <w:rsid w:val="00B604DA"/>
    <w:rsid w:val="00B619F9"/>
    <w:rsid w:val="00B63038"/>
    <w:rsid w:val="00B64903"/>
    <w:rsid w:val="00B64BD8"/>
    <w:rsid w:val="00B64EA2"/>
    <w:rsid w:val="00B65E05"/>
    <w:rsid w:val="00B67415"/>
    <w:rsid w:val="00B701D1"/>
    <w:rsid w:val="00B7211C"/>
    <w:rsid w:val="00B722EE"/>
    <w:rsid w:val="00B73AF2"/>
    <w:rsid w:val="00B73D79"/>
    <w:rsid w:val="00B742DE"/>
    <w:rsid w:val="00B74EE0"/>
    <w:rsid w:val="00B7551A"/>
    <w:rsid w:val="00B773F1"/>
    <w:rsid w:val="00B775F2"/>
    <w:rsid w:val="00B81238"/>
    <w:rsid w:val="00B8201A"/>
    <w:rsid w:val="00B82119"/>
    <w:rsid w:val="00B835E4"/>
    <w:rsid w:val="00B83E7B"/>
    <w:rsid w:val="00B85553"/>
    <w:rsid w:val="00B86AB1"/>
    <w:rsid w:val="00B86B45"/>
    <w:rsid w:val="00B87479"/>
    <w:rsid w:val="00B87726"/>
    <w:rsid w:val="00B91311"/>
    <w:rsid w:val="00B91B22"/>
    <w:rsid w:val="00B939C1"/>
    <w:rsid w:val="00B94979"/>
    <w:rsid w:val="00B9630B"/>
    <w:rsid w:val="00BA0C5F"/>
    <w:rsid w:val="00BA139C"/>
    <w:rsid w:val="00BA1589"/>
    <w:rsid w:val="00BA190E"/>
    <w:rsid w:val="00BA23F6"/>
    <w:rsid w:val="00BA3731"/>
    <w:rsid w:val="00BA4C20"/>
    <w:rsid w:val="00BA6545"/>
    <w:rsid w:val="00BA7EBA"/>
    <w:rsid w:val="00BB061F"/>
    <w:rsid w:val="00BB1530"/>
    <w:rsid w:val="00BB2A06"/>
    <w:rsid w:val="00BB2CBB"/>
    <w:rsid w:val="00BB4198"/>
    <w:rsid w:val="00BB41EA"/>
    <w:rsid w:val="00BB4336"/>
    <w:rsid w:val="00BB544E"/>
    <w:rsid w:val="00BB5789"/>
    <w:rsid w:val="00BB6E29"/>
    <w:rsid w:val="00BC03EE"/>
    <w:rsid w:val="00BC142D"/>
    <w:rsid w:val="00BC1441"/>
    <w:rsid w:val="00BC1EE3"/>
    <w:rsid w:val="00BC2AF4"/>
    <w:rsid w:val="00BC4AE5"/>
    <w:rsid w:val="00BC5334"/>
    <w:rsid w:val="00BC59F1"/>
    <w:rsid w:val="00BC6739"/>
    <w:rsid w:val="00BC675E"/>
    <w:rsid w:val="00BC6D6C"/>
    <w:rsid w:val="00BC6DFF"/>
    <w:rsid w:val="00BD03B7"/>
    <w:rsid w:val="00BD09E5"/>
    <w:rsid w:val="00BD0A0B"/>
    <w:rsid w:val="00BD3222"/>
    <w:rsid w:val="00BD488E"/>
    <w:rsid w:val="00BD4E8E"/>
    <w:rsid w:val="00BD4FCE"/>
    <w:rsid w:val="00BD6006"/>
    <w:rsid w:val="00BD6DF9"/>
    <w:rsid w:val="00BE1892"/>
    <w:rsid w:val="00BE3A28"/>
    <w:rsid w:val="00BE43C7"/>
    <w:rsid w:val="00BE4662"/>
    <w:rsid w:val="00BE536D"/>
    <w:rsid w:val="00BE5593"/>
    <w:rsid w:val="00BE7B9C"/>
    <w:rsid w:val="00BF3DE1"/>
    <w:rsid w:val="00BF3E5E"/>
    <w:rsid w:val="00BF40C3"/>
    <w:rsid w:val="00BF4843"/>
    <w:rsid w:val="00BF5205"/>
    <w:rsid w:val="00BF66EE"/>
    <w:rsid w:val="00BF6F95"/>
    <w:rsid w:val="00BF7923"/>
    <w:rsid w:val="00C0098A"/>
    <w:rsid w:val="00C02262"/>
    <w:rsid w:val="00C05132"/>
    <w:rsid w:val="00C05BD1"/>
    <w:rsid w:val="00C07131"/>
    <w:rsid w:val="00C1010A"/>
    <w:rsid w:val="00C109DC"/>
    <w:rsid w:val="00C12508"/>
    <w:rsid w:val="00C12A60"/>
    <w:rsid w:val="00C1304B"/>
    <w:rsid w:val="00C15176"/>
    <w:rsid w:val="00C15786"/>
    <w:rsid w:val="00C16B6E"/>
    <w:rsid w:val="00C17850"/>
    <w:rsid w:val="00C211F2"/>
    <w:rsid w:val="00C217A3"/>
    <w:rsid w:val="00C22DC4"/>
    <w:rsid w:val="00C23728"/>
    <w:rsid w:val="00C2419C"/>
    <w:rsid w:val="00C27C51"/>
    <w:rsid w:val="00C3026C"/>
    <w:rsid w:val="00C306B3"/>
    <w:rsid w:val="00C313A9"/>
    <w:rsid w:val="00C3152B"/>
    <w:rsid w:val="00C3265C"/>
    <w:rsid w:val="00C33677"/>
    <w:rsid w:val="00C347C8"/>
    <w:rsid w:val="00C358E4"/>
    <w:rsid w:val="00C37536"/>
    <w:rsid w:val="00C40AAE"/>
    <w:rsid w:val="00C418EE"/>
    <w:rsid w:val="00C42BB3"/>
    <w:rsid w:val="00C432F1"/>
    <w:rsid w:val="00C438DA"/>
    <w:rsid w:val="00C43BC8"/>
    <w:rsid w:val="00C441CF"/>
    <w:rsid w:val="00C45AA2"/>
    <w:rsid w:val="00C45E6C"/>
    <w:rsid w:val="00C45FC2"/>
    <w:rsid w:val="00C45FE5"/>
    <w:rsid w:val="00C46E65"/>
    <w:rsid w:val="00C472A1"/>
    <w:rsid w:val="00C4792C"/>
    <w:rsid w:val="00C47DF7"/>
    <w:rsid w:val="00C518C8"/>
    <w:rsid w:val="00C51FAF"/>
    <w:rsid w:val="00C529E6"/>
    <w:rsid w:val="00C52BD5"/>
    <w:rsid w:val="00C5488D"/>
    <w:rsid w:val="00C54A8F"/>
    <w:rsid w:val="00C5546D"/>
    <w:rsid w:val="00C55B37"/>
    <w:rsid w:val="00C55BEF"/>
    <w:rsid w:val="00C57365"/>
    <w:rsid w:val="00C57C00"/>
    <w:rsid w:val="00C601AF"/>
    <w:rsid w:val="00C613BD"/>
    <w:rsid w:val="00C6170B"/>
    <w:rsid w:val="00C61A63"/>
    <w:rsid w:val="00C6259D"/>
    <w:rsid w:val="00C62E21"/>
    <w:rsid w:val="00C637F9"/>
    <w:rsid w:val="00C63EC8"/>
    <w:rsid w:val="00C66296"/>
    <w:rsid w:val="00C6658C"/>
    <w:rsid w:val="00C66D13"/>
    <w:rsid w:val="00C7093C"/>
    <w:rsid w:val="00C715A8"/>
    <w:rsid w:val="00C7394D"/>
    <w:rsid w:val="00C755D9"/>
    <w:rsid w:val="00C756B7"/>
    <w:rsid w:val="00C75731"/>
    <w:rsid w:val="00C758FD"/>
    <w:rsid w:val="00C75FDB"/>
    <w:rsid w:val="00C77282"/>
    <w:rsid w:val="00C80CF6"/>
    <w:rsid w:val="00C813F5"/>
    <w:rsid w:val="00C83E04"/>
    <w:rsid w:val="00C84A6A"/>
    <w:rsid w:val="00C84DE5"/>
    <w:rsid w:val="00C86248"/>
    <w:rsid w:val="00C8641F"/>
    <w:rsid w:val="00C86655"/>
    <w:rsid w:val="00C86FFF"/>
    <w:rsid w:val="00C9025F"/>
    <w:rsid w:val="00C90736"/>
    <w:rsid w:val="00C90B31"/>
    <w:rsid w:val="00C91B77"/>
    <w:rsid w:val="00C92399"/>
    <w:rsid w:val="00C92494"/>
    <w:rsid w:val="00C93448"/>
    <w:rsid w:val="00C93A65"/>
    <w:rsid w:val="00C94550"/>
    <w:rsid w:val="00C9495F"/>
    <w:rsid w:val="00C9556D"/>
    <w:rsid w:val="00C95E95"/>
    <w:rsid w:val="00C96A88"/>
    <w:rsid w:val="00C975E5"/>
    <w:rsid w:val="00C97A17"/>
    <w:rsid w:val="00CA0552"/>
    <w:rsid w:val="00CA05B3"/>
    <w:rsid w:val="00CA0D24"/>
    <w:rsid w:val="00CA0D6F"/>
    <w:rsid w:val="00CA4C33"/>
    <w:rsid w:val="00CA6C36"/>
    <w:rsid w:val="00CA6F4A"/>
    <w:rsid w:val="00CB0054"/>
    <w:rsid w:val="00CB0AD0"/>
    <w:rsid w:val="00CB116D"/>
    <w:rsid w:val="00CB3483"/>
    <w:rsid w:val="00CB3508"/>
    <w:rsid w:val="00CB3638"/>
    <w:rsid w:val="00CB57C7"/>
    <w:rsid w:val="00CB6427"/>
    <w:rsid w:val="00CC00C9"/>
    <w:rsid w:val="00CC0299"/>
    <w:rsid w:val="00CC0CF8"/>
    <w:rsid w:val="00CC0FBE"/>
    <w:rsid w:val="00CC1914"/>
    <w:rsid w:val="00CC1FD3"/>
    <w:rsid w:val="00CC300B"/>
    <w:rsid w:val="00CC486B"/>
    <w:rsid w:val="00CC5105"/>
    <w:rsid w:val="00CC5399"/>
    <w:rsid w:val="00CC5856"/>
    <w:rsid w:val="00CC6ED4"/>
    <w:rsid w:val="00CD077C"/>
    <w:rsid w:val="00CD2118"/>
    <w:rsid w:val="00CD2119"/>
    <w:rsid w:val="00CD2290"/>
    <w:rsid w:val="00CD237A"/>
    <w:rsid w:val="00CD36AC"/>
    <w:rsid w:val="00CD4145"/>
    <w:rsid w:val="00CD5D1C"/>
    <w:rsid w:val="00CD7344"/>
    <w:rsid w:val="00CD76D3"/>
    <w:rsid w:val="00CD77AF"/>
    <w:rsid w:val="00CD7BAC"/>
    <w:rsid w:val="00CE07F2"/>
    <w:rsid w:val="00CE0F31"/>
    <w:rsid w:val="00CE13A3"/>
    <w:rsid w:val="00CE1903"/>
    <w:rsid w:val="00CE1A1A"/>
    <w:rsid w:val="00CE36BC"/>
    <w:rsid w:val="00CE38A3"/>
    <w:rsid w:val="00CE39F6"/>
    <w:rsid w:val="00CE439D"/>
    <w:rsid w:val="00CE4D33"/>
    <w:rsid w:val="00CE67B9"/>
    <w:rsid w:val="00CE70DC"/>
    <w:rsid w:val="00CE72D6"/>
    <w:rsid w:val="00CF15CF"/>
    <w:rsid w:val="00CF1747"/>
    <w:rsid w:val="00CF353C"/>
    <w:rsid w:val="00CF38A9"/>
    <w:rsid w:val="00CF60ED"/>
    <w:rsid w:val="00D0007E"/>
    <w:rsid w:val="00D01DF4"/>
    <w:rsid w:val="00D0264D"/>
    <w:rsid w:val="00D02935"/>
    <w:rsid w:val="00D02B72"/>
    <w:rsid w:val="00D030B2"/>
    <w:rsid w:val="00D03785"/>
    <w:rsid w:val="00D04C2C"/>
    <w:rsid w:val="00D05D74"/>
    <w:rsid w:val="00D061CA"/>
    <w:rsid w:val="00D0792F"/>
    <w:rsid w:val="00D10395"/>
    <w:rsid w:val="00D10A8F"/>
    <w:rsid w:val="00D1178C"/>
    <w:rsid w:val="00D118FC"/>
    <w:rsid w:val="00D12F66"/>
    <w:rsid w:val="00D14094"/>
    <w:rsid w:val="00D1481A"/>
    <w:rsid w:val="00D1482D"/>
    <w:rsid w:val="00D148C7"/>
    <w:rsid w:val="00D1593D"/>
    <w:rsid w:val="00D1611C"/>
    <w:rsid w:val="00D16852"/>
    <w:rsid w:val="00D172EE"/>
    <w:rsid w:val="00D1730D"/>
    <w:rsid w:val="00D2018A"/>
    <w:rsid w:val="00D2019C"/>
    <w:rsid w:val="00D20C59"/>
    <w:rsid w:val="00D2171F"/>
    <w:rsid w:val="00D22447"/>
    <w:rsid w:val="00D2248D"/>
    <w:rsid w:val="00D23323"/>
    <w:rsid w:val="00D2392A"/>
    <w:rsid w:val="00D24237"/>
    <w:rsid w:val="00D25FFE"/>
    <w:rsid w:val="00D26025"/>
    <w:rsid w:val="00D261D7"/>
    <w:rsid w:val="00D2721D"/>
    <w:rsid w:val="00D27922"/>
    <w:rsid w:val="00D27A64"/>
    <w:rsid w:val="00D306E5"/>
    <w:rsid w:val="00D31584"/>
    <w:rsid w:val="00D31FB1"/>
    <w:rsid w:val="00D32A0B"/>
    <w:rsid w:val="00D32D72"/>
    <w:rsid w:val="00D32F41"/>
    <w:rsid w:val="00D3323E"/>
    <w:rsid w:val="00D33C26"/>
    <w:rsid w:val="00D368C0"/>
    <w:rsid w:val="00D37D80"/>
    <w:rsid w:val="00D407B1"/>
    <w:rsid w:val="00D413D7"/>
    <w:rsid w:val="00D43C30"/>
    <w:rsid w:val="00D442F3"/>
    <w:rsid w:val="00D44483"/>
    <w:rsid w:val="00D444BE"/>
    <w:rsid w:val="00D4476F"/>
    <w:rsid w:val="00D448D6"/>
    <w:rsid w:val="00D46538"/>
    <w:rsid w:val="00D4752B"/>
    <w:rsid w:val="00D502AA"/>
    <w:rsid w:val="00D50573"/>
    <w:rsid w:val="00D50C17"/>
    <w:rsid w:val="00D50C47"/>
    <w:rsid w:val="00D525B1"/>
    <w:rsid w:val="00D5423C"/>
    <w:rsid w:val="00D542C6"/>
    <w:rsid w:val="00D54615"/>
    <w:rsid w:val="00D5488B"/>
    <w:rsid w:val="00D54D50"/>
    <w:rsid w:val="00D560B4"/>
    <w:rsid w:val="00D57AE0"/>
    <w:rsid w:val="00D57E15"/>
    <w:rsid w:val="00D603C3"/>
    <w:rsid w:val="00D61AFB"/>
    <w:rsid w:val="00D65536"/>
    <w:rsid w:val="00D657D9"/>
    <w:rsid w:val="00D6582B"/>
    <w:rsid w:val="00D65834"/>
    <w:rsid w:val="00D662F8"/>
    <w:rsid w:val="00D66797"/>
    <w:rsid w:val="00D67309"/>
    <w:rsid w:val="00D7087C"/>
    <w:rsid w:val="00D70A96"/>
    <w:rsid w:val="00D70C3C"/>
    <w:rsid w:val="00D714A8"/>
    <w:rsid w:val="00D71DF7"/>
    <w:rsid w:val="00D71FB7"/>
    <w:rsid w:val="00D72BE5"/>
    <w:rsid w:val="00D736E6"/>
    <w:rsid w:val="00D73DDD"/>
    <w:rsid w:val="00D743E7"/>
    <w:rsid w:val="00D74EFA"/>
    <w:rsid w:val="00D80137"/>
    <w:rsid w:val="00D81462"/>
    <w:rsid w:val="00D82269"/>
    <w:rsid w:val="00D82431"/>
    <w:rsid w:val="00D82F26"/>
    <w:rsid w:val="00D837FC"/>
    <w:rsid w:val="00D83E90"/>
    <w:rsid w:val="00D843A4"/>
    <w:rsid w:val="00D84658"/>
    <w:rsid w:val="00D8524B"/>
    <w:rsid w:val="00D8579C"/>
    <w:rsid w:val="00D85ED1"/>
    <w:rsid w:val="00D861BF"/>
    <w:rsid w:val="00D863D0"/>
    <w:rsid w:val="00D865F9"/>
    <w:rsid w:val="00D86B00"/>
    <w:rsid w:val="00D86FB9"/>
    <w:rsid w:val="00D87A1F"/>
    <w:rsid w:val="00D87C87"/>
    <w:rsid w:val="00D87DE3"/>
    <w:rsid w:val="00D90BB4"/>
    <w:rsid w:val="00D90E07"/>
    <w:rsid w:val="00D916E7"/>
    <w:rsid w:val="00D91C1A"/>
    <w:rsid w:val="00D91F55"/>
    <w:rsid w:val="00D929D4"/>
    <w:rsid w:val="00D92EDE"/>
    <w:rsid w:val="00D92EF2"/>
    <w:rsid w:val="00D932C2"/>
    <w:rsid w:val="00D96536"/>
    <w:rsid w:val="00D97390"/>
    <w:rsid w:val="00D97615"/>
    <w:rsid w:val="00DA0232"/>
    <w:rsid w:val="00DA0B5A"/>
    <w:rsid w:val="00DA117D"/>
    <w:rsid w:val="00DA19DC"/>
    <w:rsid w:val="00DA1A2C"/>
    <w:rsid w:val="00DA3A0D"/>
    <w:rsid w:val="00DA5F28"/>
    <w:rsid w:val="00DA6C46"/>
    <w:rsid w:val="00DA7F9E"/>
    <w:rsid w:val="00DB1A3D"/>
    <w:rsid w:val="00DB27DD"/>
    <w:rsid w:val="00DB2F14"/>
    <w:rsid w:val="00DB39CF"/>
    <w:rsid w:val="00DB4729"/>
    <w:rsid w:val="00DB4C9B"/>
    <w:rsid w:val="00DB4FC2"/>
    <w:rsid w:val="00DB532B"/>
    <w:rsid w:val="00DB5660"/>
    <w:rsid w:val="00DB6A8F"/>
    <w:rsid w:val="00DB7256"/>
    <w:rsid w:val="00DC0401"/>
    <w:rsid w:val="00DC06BC"/>
    <w:rsid w:val="00DC20BD"/>
    <w:rsid w:val="00DC239E"/>
    <w:rsid w:val="00DC2C65"/>
    <w:rsid w:val="00DC3D1C"/>
    <w:rsid w:val="00DC55D2"/>
    <w:rsid w:val="00DC5AE3"/>
    <w:rsid w:val="00DC6F44"/>
    <w:rsid w:val="00DD0697"/>
    <w:rsid w:val="00DD0BCD"/>
    <w:rsid w:val="00DD0DF5"/>
    <w:rsid w:val="00DD1BE5"/>
    <w:rsid w:val="00DD1CFE"/>
    <w:rsid w:val="00DD20DF"/>
    <w:rsid w:val="00DD447A"/>
    <w:rsid w:val="00DD450E"/>
    <w:rsid w:val="00DD460F"/>
    <w:rsid w:val="00DD532D"/>
    <w:rsid w:val="00DD644E"/>
    <w:rsid w:val="00DD6F49"/>
    <w:rsid w:val="00DD720F"/>
    <w:rsid w:val="00DE00C1"/>
    <w:rsid w:val="00DE05CA"/>
    <w:rsid w:val="00DE2860"/>
    <w:rsid w:val="00DE3B20"/>
    <w:rsid w:val="00DE5799"/>
    <w:rsid w:val="00DE65BF"/>
    <w:rsid w:val="00DE6C94"/>
    <w:rsid w:val="00DE6FD7"/>
    <w:rsid w:val="00DE7C89"/>
    <w:rsid w:val="00DF0C7C"/>
    <w:rsid w:val="00DF249F"/>
    <w:rsid w:val="00DF576A"/>
    <w:rsid w:val="00DF57C0"/>
    <w:rsid w:val="00DF65F3"/>
    <w:rsid w:val="00DF6B09"/>
    <w:rsid w:val="00DF79A7"/>
    <w:rsid w:val="00DF7D62"/>
    <w:rsid w:val="00E00234"/>
    <w:rsid w:val="00E01445"/>
    <w:rsid w:val="00E01908"/>
    <w:rsid w:val="00E03E91"/>
    <w:rsid w:val="00E062A5"/>
    <w:rsid w:val="00E06EB0"/>
    <w:rsid w:val="00E07115"/>
    <w:rsid w:val="00E10B18"/>
    <w:rsid w:val="00E10E0F"/>
    <w:rsid w:val="00E12A95"/>
    <w:rsid w:val="00E142AF"/>
    <w:rsid w:val="00E148DC"/>
    <w:rsid w:val="00E15B44"/>
    <w:rsid w:val="00E1600F"/>
    <w:rsid w:val="00E23271"/>
    <w:rsid w:val="00E2447C"/>
    <w:rsid w:val="00E24D1E"/>
    <w:rsid w:val="00E24F80"/>
    <w:rsid w:val="00E259F3"/>
    <w:rsid w:val="00E25D63"/>
    <w:rsid w:val="00E2620A"/>
    <w:rsid w:val="00E27C6E"/>
    <w:rsid w:val="00E30985"/>
    <w:rsid w:val="00E324AB"/>
    <w:rsid w:val="00E32D53"/>
    <w:rsid w:val="00E33238"/>
    <w:rsid w:val="00E33934"/>
    <w:rsid w:val="00E3436C"/>
    <w:rsid w:val="00E357B8"/>
    <w:rsid w:val="00E360F3"/>
    <w:rsid w:val="00E376B7"/>
    <w:rsid w:val="00E40307"/>
    <w:rsid w:val="00E40CD1"/>
    <w:rsid w:val="00E41ECE"/>
    <w:rsid w:val="00E426F2"/>
    <w:rsid w:val="00E42C59"/>
    <w:rsid w:val="00E42D98"/>
    <w:rsid w:val="00E42F5D"/>
    <w:rsid w:val="00E43FD6"/>
    <w:rsid w:val="00E445A6"/>
    <w:rsid w:val="00E4486C"/>
    <w:rsid w:val="00E44F3E"/>
    <w:rsid w:val="00E4595C"/>
    <w:rsid w:val="00E460B6"/>
    <w:rsid w:val="00E46473"/>
    <w:rsid w:val="00E46775"/>
    <w:rsid w:val="00E511D5"/>
    <w:rsid w:val="00E51884"/>
    <w:rsid w:val="00E51F06"/>
    <w:rsid w:val="00E52321"/>
    <w:rsid w:val="00E53220"/>
    <w:rsid w:val="00E53A9F"/>
    <w:rsid w:val="00E5417E"/>
    <w:rsid w:val="00E564A7"/>
    <w:rsid w:val="00E56C72"/>
    <w:rsid w:val="00E57349"/>
    <w:rsid w:val="00E6006E"/>
    <w:rsid w:val="00E60249"/>
    <w:rsid w:val="00E60306"/>
    <w:rsid w:val="00E61ABD"/>
    <w:rsid w:val="00E6204D"/>
    <w:rsid w:val="00E62238"/>
    <w:rsid w:val="00E62BC7"/>
    <w:rsid w:val="00E631F2"/>
    <w:rsid w:val="00E65269"/>
    <w:rsid w:val="00E67681"/>
    <w:rsid w:val="00E67CAB"/>
    <w:rsid w:val="00E71137"/>
    <w:rsid w:val="00E717D4"/>
    <w:rsid w:val="00E7196F"/>
    <w:rsid w:val="00E72E34"/>
    <w:rsid w:val="00E7550B"/>
    <w:rsid w:val="00E76D66"/>
    <w:rsid w:val="00E76E92"/>
    <w:rsid w:val="00E76ED4"/>
    <w:rsid w:val="00E77E30"/>
    <w:rsid w:val="00E80015"/>
    <w:rsid w:val="00E817E4"/>
    <w:rsid w:val="00E82F59"/>
    <w:rsid w:val="00E832F4"/>
    <w:rsid w:val="00E83BB9"/>
    <w:rsid w:val="00E85477"/>
    <w:rsid w:val="00E8710E"/>
    <w:rsid w:val="00E90E1F"/>
    <w:rsid w:val="00E93503"/>
    <w:rsid w:val="00E93F27"/>
    <w:rsid w:val="00E96828"/>
    <w:rsid w:val="00E97CC4"/>
    <w:rsid w:val="00E97DF9"/>
    <w:rsid w:val="00EA3AF0"/>
    <w:rsid w:val="00EA4A06"/>
    <w:rsid w:val="00EA4F83"/>
    <w:rsid w:val="00EA5878"/>
    <w:rsid w:val="00EA5E7E"/>
    <w:rsid w:val="00EA796A"/>
    <w:rsid w:val="00EB0A8D"/>
    <w:rsid w:val="00EB0B8C"/>
    <w:rsid w:val="00EB1040"/>
    <w:rsid w:val="00EB1856"/>
    <w:rsid w:val="00EB1A7B"/>
    <w:rsid w:val="00EB24C8"/>
    <w:rsid w:val="00EB29B8"/>
    <w:rsid w:val="00EB337A"/>
    <w:rsid w:val="00EB3EC2"/>
    <w:rsid w:val="00EC07C4"/>
    <w:rsid w:val="00EC1065"/>
    <w:rsid w:val="00EC15F6"/>
    <w:rsid w:val="00EC2E13"/>
    <w:rsid w:val="00EC464E"/>
    <w:rsid w:val="00EC50CE"/>
    <w:rsid w:val="00EC54F3"/>
    <w:rsid w:val="00EC5B34"/>
    <w:rsid w:val="00EC683C"/>
    <w:rsid w:val="00ED021E"/>
    <w:rsid w:val="00ED09B3"/>
    <w:rsid w:val="00ED323C"/>
    <w:rsid w:val="00ED351E"/>
    <w:rsid w:val="00ED3642"/>
    <w:rsid w:val="00ED3B3D"/>
    <w:rsid w:val="00ED40AD"/>
    <w:rsid w:val="00ED42AB"/>
    <w:rsid w:val="00ED5A4B"/>
    <w:rsid w:val="00ED6168"/>
    <w:rsid w:val="00EE1218"/>
    <w:rsid w:val="00EE2041"/>
    <w:rsid w:val="00EE290F"/>
    <w:rsid w:val="00EE2D5C"/>
    <w:rsid w:val="00EE2D97"/>
    <w:rsid w:val="00EE31FA"/>
    <w:rsid w:val="00EE4983"/>
    <w:rsid w:val="00EE4ADE"/>
    <w:rsid w:val="00EE4DE8"/>
    <w:rsid w:val="00EE5CB7"/>
    <w:rsid w:val="00EE6CBD"/>
    <w:rsid w:val="00EE6ED6"/>
    <w:rsid w:val="00EF0AD3"/>
    <w:rsid w:val="00EF1064"/>
    <w:rsid w:val="00EF2216"/>
    <w:rsid w:val="00EF24AB"/>
    <w:rsid w:val="00EF2786"/>
    <w:rsid w:val="00EF27FB"/>
    <w:rsid w:val="00EF2CC2"/>
    <w:rsid w:val="00EF33A2"/>
    <w:rsid w:val="00EF3FF4"/>
    <w:rsid w:val="00EF47EE"/>
    <w:rsid w:val="00EF5062"/>
    <w:rsid w:val="00EF51C3"/>
    <w:rsid w:val="00EF6173"/>
    <w:rsid w:val="00EF7C34"/>
    <w:rsid w:val="00F000BF"/>
    <w:rsid w:val="00F01E7C"/>
    <w:rsid w:val="00F01F5C"/>
    <w:rsid w:val="00F024FE"/>
    <w:rsid w:val="00F0262D"/>
    <w:rsid w:val="00F035C0"/>
    <w:rsid w:val="00F05AD4"/>
    <w:rsid w:val="00F064DD"/>
    <w:rsid w:val="00F07406"/>
    <w:rsid w:val="00F103BE"/>
    <w:rsid w:val="00F10EB6"/>
    <w:rsid w:val="00F10EEF"/>
    <w:rsid w:val="00F1131B"/>
    <w:rsid w:val="00F12620"/>
    <w:rsid w:val="00F1292A"/>
    <w:rsid w:val="00F1295E"/>
    <w:rsid w:val="00F1376C"/>
    <w:rsid w:val="00F13F07"/>
    <w:rsid w:val="00F140B2"/>
    <w:rsid w:val="00F14C80"/>
    <w:rsid w:val="00F15082"/>
    <w:rsid w:val="00F16595"/>
    <w:rsid w:val="00F16D32"/>
    <w:rsid w:val="00F1781A"/>
    <w:rsid w:val="00F2089D"/>
    <w:rsid w:val="00F20EEF"/>
    <w:rsid w:val="00F21A44"/>
    <w:rsid w:val="00F22F94"/>
    <w:rsid w:val="00F241D7"/>
    <w:rsid w:val="00F24E89"/>
    <w:rsid w:val="00F24EA4"/>
    <w:rsid w:val="00F25970"/>
    <w:rsid w:val="00F25C8C"/>
    <w:rsid w:val="00F27D51"/>
    <w:rsid w:val="00F300F5"/>
    <w:rsid w:val="00F30959"/>
    <w:rsid w:val="00F311A9"/>
    <w:rsid w:val="00F31343"/>
    <w:rsid w:val="00F3168A"/>
    <w:rsid w:val="00F32591"/>
    <w:rsid w:val="00F33433"/>
    <w:rsid w:val="00F33FA6"/>
    <w:rsid w:val="00F347F4"/>
    <w:rsid w:val="00F357A9"/>
    <w:rsid w:val="00F37315"/>
    <w:rsid w:val="00F37381"/>
    <w:rsid w:val="00F37BC0"/>
    <w:rsid w:val="00F40E5A"/>
    <w:rsid w:val="00F415EB"/>
    <w:rsid w:val="00F419C6"/>
    <w:rsid w:val="00F425C9"/>
    <w:rsid w:val="00F43312"/>
    <w:rsid w:val="00F43421"/>
    <w:rsid w:val="00F4420E"/>
    <w:rsid w:val="00F4460B"/>
    <w:rsid w:val="00F45591"/>
    <w:rsid w:val="00F45994"/>
    <w:rsid w:val="00F46B83"/>
    <w:rsid w:val="00F50DDA"/>
    <w:rsid w:val="00F5180D"/>
    <w:rsid w:val="00F52A03"/>
    <w:rsid w:val="00F53E61"/>
    <w:rsid w:val="00F54E74"/>
    <w:rsid w:val="00F5631A"/>
    <w:rsid w:val="00F57318"/>
    <w:rsid w:val="00F57A5D"/>
    <w:rsid w:val="00F60111"/>
    <w:rsid w:val="00F63272"/>
    <w:rsid w:val="00F63781"/>
    <w:rsid w:val="00F64019"/>
    <w:rsid w:val="00F64D01"/>
    <w:rsid w:val="00F65321"/>
    <w:rsid w:val="00F66491"/>
    <w:rsid w:val="00F665C5"/>
    <w:rsid w:val="00F67496"/>
    <w:rsid w:val="00F6755A"/>
    <w:rsid w:val="00F70907"/>
    <w:rsid w:val="00F70DF6"/>
    <w:rsid w:val="00F70FBF"/>
    <w:rsid w:val="00F71E15"/>
    <w:rsid w:val="00F72440"/>
    <w:rsid w:val="00F724E7"/>
    <w:rsid w:val="00F72DF0"/>
    <w:rsid w:val="00F72E0C"/>
    <w:rsid w:val="00F7421E"/>
    <w:rsid w:val="00F746C8"/>
    <w:rsid w:val="00F74CA4"/>
    <w:rsid w:val="00F77352"/>
    <w:rsid w:val="00F801BA"/>
    <w:rsid w:val="00F8045E"/>
    <w:rsid w:val="00F807AD"/>
    <w:rsid w:val="00F811DD"/>
    <w:rsid w:val="00F815D3"/>
    <w:rsid w:val="00F819FA"/>
    <w:rsid w:val="00F81D7D"/>
    <w:rsid w:val="00F81FCD"/>
    <w:rsid w:val="00F82578"/>
    <w:rsid w:val="00F82F18"/>
    <w:rsid w:val="00F83A48"/>
    <w:rsid w:val="00F8420E"/>
    <w:rsid w:val="00F85378"/>
    <w:rsid w:val="00F86262"/>
    <w:rsid w:val="00F8659B"/>
    <w:rsid w:val="00F8695E"/>
    <w:rsid w:val="00F87FB0"/>
    <w:rsid w:val="00F9223E"/>
    <w:rsid w:val="00F92769"/>
    <w:rsid w:val="00F9366A"/>
    <w:rsid w:val="00F946C9"/>
    <w:rsid w:val="00F959F6"/>
    <w:rsid w:val="00F95F43"/>
    <w:rsid w:val="00F961D7"/>
    <w:rsid w:val="00F962E4"/>
    <w:rsid w:val="00F963F3"/>
    <w:rsid w:val="00F96716"/>
    <w:rsid w:val="00F97200"/>
    <w:rsid w:val="00F978FB"/>
    <w:rsid w:val="00FA02A0"/>
    <w:rsid w:val="00FA0EA5"/>
    <w:rsid w:val="00FA2FDA"/>
    <w:rsid w:val="00FA3BA7"/>
    <w:rsid w:val="00FA515F"/>
    <w:rsid w:val="00FA57C7"/>
    <w:rsid w:val="00FA5DE4"/>
    <w:rsid w:val="00FA68C7"/>
    <w:rsid w:val="00FA74EE"/>
    <w:rsid w:val="00FA79DA"/>
    <w:rsid w:val="00FA7FCE"/>
    <w:rsid w:val="00FB048D"/>
    <w:rsid w:val="00FB0A5B"/>
    <w:rsid w:val="00FB1B8E"/>
    <w:rsid w:val="00FB37A4"/>
    <w:rsid w:val="00FB3898"/>
    <w:rsid w:val="00FB38ED"/>
    <w:rsid w:val="00FB440D"/>
    <w:rsid w:val="00FB513C"/>
    <w:rsid w:val="00FB54B2"/>
    <w:rsid w:val="00FB5FF9"/>
    <w:rsid w:val="00FB631A"/>
    <w:rsid w:val="00FB66FA"/>
    <w:rsid w:val="00FB7314"/>
    <w:rsid w:val="00FB75C9"/>
    <w:rsid w:val="00FC143D"/>
    <w:rsid w:val="00FC2C15"/>
    <w:rsid w:val="00FC3711"/>
    <w:rsid w:val="00FC3BFC"/>
    <w:rsid w:val="00FC4124"/>
    <w:rsid w:val="00FC42DD"/>
    <w:rsid w:val="00FC46E7"/>
    <w:rsid w:val="00FC5197"/>
    <w:rsid w:val="00FC5D25"/>
    <w:rsid w:val="00FC73D0"/>
    <w:rsid w:val="00FD01FF"/>
    <w:rsid w:val="00FD0D7E"/>
    <w:rsid w:val="00FD16C4"/>
    <w:rsid w:val="00FD29AA"/>
    <w:rsid w:val="00FD32ED"/>
    <w:rsid w:val="00FD362F"/>
    <w:rsid w:val="00FD3730"/>
    <w:rsid w:val="00FD3AF6"/>
    <w:rsid w:val="00FD4789"/>
    <w:rsid w:val="00FD47FE"/>
    <w:rsid w:val="00FD487B"/>
    <w:rsid w:val="00FD4FFB"/>
    <w:rsid w:val="00FD52B1"/>
    <w:rsid w:val="00FD62AA"/>
    <w:rsid w:val="00FD696C"/>
    <w:rsid w:val="00FE022F"/>
    <w:rsid w:val="00FE15EC"/>
    <w:rsid w:val="00FE3605"/>
    <w:rsid w:val="00FE452C"/>
    <w:rsid w:val="00FE6BC9"/>
    <w:rsid w:val="00FE6E13"/>
    <w:rsid w:val="00FE7220"/>
    <w:rsid w:val="00FE7996"/>
    <w:rsid w:val="00FE79B3"/>
    <w:rsid w:val="00FE7D38"/>
    <w:rsid w:val="00FF10C1"/>
    <w:rsid w:val="00FF15F6"/>
    <w:rsid w:val="00FF22D3"/>
    <w:rsid w:val="00FF2A10"/>
    <w:rsid w:val="00FF2B2A"/>
    <w:rsid w:val="00FF4572"/>
    <w:rsid w:val="00FF527C"/>
    <w:rsid w:val="00FF5A1B"/>
    <w:rsid w:val="00FF65CD"/>
    <w:rsid w:val="00FF7102"/>
    <w:rsid w:val="00FF720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27C7872C-F38C-43B7-A47B-A420F863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B206B2"/>
    <w:pPr>
      <w:keepNext/>
      <w:spacing w:before="480" w:after="180"/>
      <w:outlineLvl w:val="1"/>
    </w:pPr>
    <w:rPr>
      <w:rFonts w:ascii="Montserrat" w:hAnsi="Montserrat"/>
      <w:b/>
      <w:color w:val="2C463B"/>
      <w:spacing w:val="-5"/>
      <w:sz w:val="40"/>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2950CD"/>
    <w:pPr>
      <w:keepNext/>
      <w:spacing w:before="240" w:after="120"/>
      <w:outlineLvl w:val="3"/>
    </w:pPr>
    <w:rPr>
      <w:rFonts w:ascii="Montserrat" w:hAnsi="Montserrat"/>
      <w:i/>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B206B2"/>
    <w:rPr>
      <w:rFonts w:ascii="Montserrat" w:hAnsi="Montserrat"/>
      <w:b/>
      <w:color w:val="2C463B"/>
      <w:spacing w:val="-5"/>
      <w:sz w:val="40"/>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2950CD"/>
    <w:rPr>
      <w:rFonts w:ascii="Montserrat" w:hAnsi="Montserrat"/>
      <w:i/>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962D57"/>
    <w:pPr>
      <w:keepNext/>
      <w:tabs>
        <w:tab w:val="right" w:leader="dot" w:pos="8080"/>
      </w:tabs>
      <w:spacing w:before="240"/>
    </w:pPr>
    <w:rPr>
      <w:sz w:val="24"/>
    </w:rPr>
  </w:style>
  <w:style w:type="paragraph" w:styleId="TOC2">
    <w:name w:val="toc 2"/>
    <w:basedOn w:val="TableofFigures"/>
    <w:next w:val="Normal"/>
    <w:uiPriority w:val="39"/>
    <w:qFormat/>
    <w:rsid w:val="002627FD"/>
    <w:pPr>
      <w:tabs>
        <w:tab w:val="right" w:leader="dot" w:pos="8069"/>
      </w:tabs>
      <w:ind w:left="284"/>
    </w:pPr>
  </w:style>
  <w:style w:type="paragraph" w:styleId="TOC3">
    <w:name w:val="toc 3"/>
    <w:basedOn w:val="Normal"/>
    <w:next w:val="Normal"/>
    <w:uiPriority w:val="39"/>
    <w:rsid w:val="00D67309"/>
    <w:pPr>
      <w:tabs>
        <w:tab w:val="right" w:pos="8080"/>
      </w:tabs>
      <w:spacing w:before="120"/>
      <w:ind w:left="1134" w:right="567" w:hanging="1134"/>
    </w:pPr>
  </w:style>
  <w:style w:type="paragraph" w:customStyle="1" w:styleId="Bullet">
    <w:name w:val="Bullet"/>
    <w:basedOn w:val="Normal"/>
    <w:link w:val="BulletChar"/>
    <w:uiPriority w:val="99"/>
    <w:qFormat/>
    <w:rsid w:val="00FA0EA5"/>
    <w:pPr>
      <w:numPr>
        <w:numId w:val="1"/>
      </w:numPr>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1F272B"/>
    <w:pPr>
      <w:keepLines/>
      <w:spacing w:after="60" w:line="240" w:lineRule="auto"/>
      <w:ind w:left="227" w:hanging="227"/>
    </w:pPr>
    <w:rPr>
      <w:sz w:val="17"/>
    </w:rPr>
  </w:style>
  <w:style w:type="character" w:customStyle="1" w:styleId="FootnoteTextChar">
    <w:name w:val="Footnote Text Char"/>
    <w:link w:val="FootnoteText"/>
    <w:uiPriority w:val="99"/>
    <w:rsid w:val="001F272B"/>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E7550B"/>
    <w:pPr>
      <w:numPr>
        <w:numId w:val="4"/>
      </w:numPr>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38265F"/>
    <w:pPr>
      <w:spacing w:before="80"/>
      <w:ind w:left="170" w:hanging="170"/>
    </w:pPr>
    <w:rPr>
      <w:sz w:val="17"/>
      <w:lang w:eastAsia="en-US"/>
    </w:rPr>
  </w:style>
  <w:style w:type="character" w:customStyle="1" w:styleId="NoteChar">
    <w:name w:val="Note Char"/>
    <w:link w:val="Note"/>
    <w:rsid w:val="0038265F"/>
    <w:rPr>
      <w:rFonts w:ascii="Fira Sans" w:hAnsi="Fira Sans"/>
      <w:sz w:val="17"/>
      <w:lang w:eastAsia="en-US"/>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4A766C"/>
    <w:rPr>
      <w:b/>
      <w:color w:val="619A82"/>
      <w:u w:val="none"/>
    </w:rPr>
  </w:style>
  <w:style w:type="paragraph" w:customStyle="1" w:styleId="References">
    <w:name w:val="References"/>
    <w:basedOn w:val="Normal"/>
    <w:qFormat/>
    <w:rsid w:val="008278EF"/>
    <w:pPr>
      <w:keepLines/>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971726"/>
    <w:pPr>
      <w:keepNext/>
      <w:spacing w:after="120"/>
      <w:ind w:right="1134"/>
      <w:outlineLvl w:val="3"/>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82081A"/>
    <w:rPr>
      <w:sz w:val="48"/>
    </w:rPr>
  </w:style>
  <w:style w:type="character" w:customStyle="1" w:styleId="CommentTextChar">
    <w:name w:val="Comment Text Char"/>
    <w:basedOn w:val="DefaultParagraphFont"/>
    <w:link w:val="CommentText"/>
    <w:uiPriority w:val="99"/>
    <w:rsid w:val="0082081A"/>
    <w:rPr>
      <w:rFonts w:ascii="Segoe UI" w:hAnsi="Segoe UI"/>
      <w:sz w:val="48"/>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TableofFigures">
    <w:name w:val="table of figures"/>
    <w:basedOn w:val="Normal"/>
    <w:next w:val="Normal"/>
    <w:uiPriority w:val="99"/>
    <w:unhideWhenUsed/>
    <w:qFormat/>
    <w:rsid w:val="009A3110"/>
    <w:pPr>
      <w:spacing w:before="60"/>
      <w:ind w:right="567"/>
    </w:pPr>
  </w:style>
  <w:style w:type="character" w:customStyle="1" w:styleId="scxw17850753">
    <w:name w:val="scxw17850753"/>
    <w:basedOn w:val="DefaultParagraphFont"/>
    <w:rsid w:val="00CA0D24"/>
  </w:style>
  <w:style w:type="paragraph" w:styleId="ListParagraph">
    <w:name w:val="List Paragraph"/>
    <w:basedOn w:val="Normal"/>
    <w:uiPriority w:val="34"/>
    <w:qFormat/>
    <w:rsid w:val="001B1FFA"/>
    <w:pPr>
      <w:ind w:left="720"/>
      <w:contextualSpacing/>
    </w:pPr>
  </w:style>
  <w:style w:type="character" w:customStyle="1" w:styleId="cf01">
    <w:name w:val="cf01"/>
    <w:basedOn w:val="DefaultParagraphFont"/>
    <w:rsid w:val="00615E9F"/>
    <w:rPr>
      <w:rFonts w:ascii="Segoe UI" w:hAnsi="Segoe UI" w:cs="Segoe UI" w:hint="default"/>
      <w:sz w:val="18"/>
      <w:szCs w:val="18"/>
    </w:rPr>
  </w:style>
  <w:style w:type="paragraph" w:styleId="ListNumber">
    <w:name w:val="List Number"/>
    <w:basedOn w:val="Normal"/>
    <w:unhideWhenUsed/>
    <w:rsid w:val="00797461"/>
    <w:pPr>
      <w:numPr>
        <w:numId w:val="6"/>
      </w:numPr>
      <w:spacing w:before="90" w:after="90"/>
    </w:pPr>
  </w:style>
  <w:style w:type="paragraph" w:customStyle="1" w:styleId="Normalindent">
    <w:name w:val="Normal – indent"/>
    <w:basedOn w:val="Normal"/>
    <w:qFormat/>
    <w:rsid w:val="00797461"/>
    <w:pPr>
      <w:ind w:left="357"/>
    </w:pPr>
  </w:style>
  <w:style w:type="paragraph" w:customStyle="1" w:styleId="Part">
    <w:name w:val="Part"/>
    <w:basedOn w:val="Normal"/>
    <w:qFormat/>
    <w:rsid w:val="00082FE1"/>
    <w:pPr>
      <w:spacing w:before="360"/>
    </w:pPr>
    <w:rPr>
      <w:color w:val="2C463B"/>
      <w:sz w:val="46"/>
      <w:lang w:eastAsia="en-NZ"/>
    </w:rPr>
  </w:style>
  <w:style w:type="character" w:styleId="FollowedHyperlink">
    <w:name w:val="FollowedHyperlink"/>
    <w:basedOn w:val="DefaultParagraphFont"/>
    <w:uiPriority w:val="99"/>
    <w:semiHidden/>
    <w:unhideWhenUsed/>
    <w:rsid w:val="00082FE1"/>
    <w:rPr>
      <w:b/>
      <w:color w:val="595959" w:themeColor="text1" w:themeTint="A6"/>
      <w:u w:val="none"/>
    </w:rPr>
  </w:style>
  <w:style w:type="paragraph" w:styleId="BalloonText">
    <w:name w:val="Balloon Text"/>
    <w:basedOn w:val="Normal"/>
    <w:link w:val="BalloonTextChar"/>
    <w:uiPriority w:val="99"/>
    <w:semiHidden/>
    <w:unhideWhenUsed/>
    <w:rsid w:val="00082F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FE1"/>
    <w:rPr>
      <w:rFonts w:ascii="Tahoma" w:hAnsi="Tahoma" w:cs="Tahoma"/>
      <w:sz w:val="16"/>
      <w:szCs w:val="16"/>
      <w:lang w:eastAsia="en-GB"/>
    </w:rPr>
  </w:style>
  <w:style w:type="character" w:styleId="UnresolvedMention">
    <w:name w:val="Unresolved Mention"/>
    <w:basedOn w:val="DefaultParagraphFont"/>
    <w:uiPriority w:val="99"/>
    <w:unhideWhenUsed/>
    <w:rsid w:val="00082FE1"/>
    <w:rPr>
      <w:color w:val="605E5C"/>
      <w:shd w:val="clear" w:color="auto" w:fill="E1DFDD"/>
    </w:rPr>
  </w:style>
  <w:style w:type="character" w:styleId="Mention">
    <w:name w:val="Mention"/>
    <w:basedOn w:val="DefaultParagraphFont"/>
    <w:uiPriority w:val="99"/>
    <w:unhideWhenUsed/>
    <w:rsid w:val="00082FE1"/>
    <w:rPr>
      <w:color w:val="2B579A"/>
      <w:shd w:val="clear" w:color="auto" w:fill="E1DFDD"/>
    </w:rPr>
  </w:style>
  <w:style w:type="paragraph" w:customStyle="1" w:styleId="EndNoteBibliographyTitle">
    <w:name w:val="EndNote Bibliography Title"/>
    <w:basedOn w:val="Normal"/>
    <w:link w:val="EndNoteBibliographyTitleChar"/>
    <w:rsid w:val="00082FE1"/>
    <w:pPr>
      <w:jc w:val="center"/>
    </w:pPr>
    <w:rPr>
      <w:noProof/>
      <w:sz w:val="58"/>
      <w:lang w:val="en-GB"/>
    </w:rPr>
  </w:style>
  <w:style w:type="character" w:customStyle="1" w:styleId="EndNoteBibliographyTitleChar">
    <w:name w:val="EndNote Bibliography Title Char"/>
    <w:basedOn w:val="DefaultParagraphFont"/>
    <w:link w:val="EndNoteBibliographyTitle"/>
    <w:rsid w:val="00082FE1"/>
    <w:rPr>
      <w:rFonts w:ascii="Fira Sans" w:hAnsi="Fira Sans"/>
      <w:noProof/>
      <w:sz w:val="58"/>
      <w:lang w:val="en-GB" w:eastAsia="en-GB"/>
    </w:rPr>
  </w:style>
  <w:style w:type="paragraph" w:customStyle="1" w:styleId="EndNoteBibliography">
    <w:name w:val="EndNote Bibliography"/>
    <w:basedOn w:val="Normal"/>
    <w:link w:val="EndNoteBibliographyChar"/>
    <w:rsid w:val="00082FE1"/>
    <w:pPr>
      <w:spacing w:line="240" w:lineRule="auto"/>
    </w:pPr>
    <w:rPr>
      <w:noProof/>
      <w:sz w:val="58"/>
      <w:lang w:val="en-GB"/>
    </w:rPr>
  </w:style>
  <w:style w:type="character" w:customStyle="1" w:styleId="EndNoteBibliographyChar">
    <w:name w:val="EndNote Bibliography Char"/>
    <w:basedOn w:val="DefaultParagraphFont"/>
    <w:link w:val="EndNoteBibliography"/>
    <w:rsid w:val="00082FE1"/>
    <w:rPr>
      <w:rFonts w:ascii="Fira Sans" w:hAnsi="Fira Sans"/>
      <w:noProof/>
      <w:sz w:val="58"/>
      <w:lang w:val="en-GB" w:eastAsia="en-GB"/>
    </w:rPr>
  </w:style>
  <w:style w:type="character" w:customStyle="1" w:styleId="findhit">
    <w:name w:val="findhit"/>
    <w:basedOn w:val="DefaultParagraphFont"/>
    <w:rsid w:val="00082FE1"/>
  </w:style>
  <w:style w:type="character" w:customStyle="1" w:styleId="superscript">
    <w:name w:val="superscript"/>
    <w:basedOn w:val="DefaultParagraphFont"/>
    <w:rsid w:val="00082FE1"/>
  </w:style>
  <w:style w:type="table" w:customStyle="1" w:styleId="CCA">
    <w:name w:val="CCA"/>
    <w:basedOn w:val="TableNormal"/>
    <w:uiPriority w:val="99"/>
    <w:rsid w:val="008666B3"/>
    <w:pPr>
      <w:spacing w:before="60" w:after="60" w:line="264" w:lineRule="auto"/>
    </w:pPr>
    <w:rPr>
      <w:rFonts w:ascii="Fira Sans" w:hAnsi="Fira Sans"/>
      <w:sz w:val="18"/>
    </w:rPr>
    <w:tblPr>
      <w:tblBorders>
        <w:bottom w:val="single" w:sz="4" w:space="0" w:color="C2D9BA"/>
        <w:insideH w:val="single" w:sz="4" w:space="0" w:color="C2D9BA"/>
      </w:tblBorders>
    </w:tblPr>
    <w:tblStylePr w:type="firstRow">
      <w:tblPr/>
      <w:tcPr>
        <w:tcBorders>
          <w:top w:val="nil"/>
          <w:left w:val="nil"/>
          <w:bottom w:val="nil"/>
          <w:right w:val="nil"/>
          <w:insideH w:val="nil"/>
          <w:insideV w:val="nil"/>
          <w:tl2br w:val="nil"/>
          <w:tr2bl w:val="nil"/>
        </w:tcBorders>
        <w:shd w:val="clear" w:color="auto" w:fill="C2D9BA"/>
      </w:tcPr>
    </w:tblStylePr>
  </w:style>
  <w:style w:type="paragraph" w:customStyle="1" w:styleId="Default">
    <w:name w:val="Default"/>
    <w:rsid w:val="00C3265C"/>
    <w:pPr>
      <w:autoSpaceDE w:val="0"/>
      <w:autoSpaceDN w:val="0"/>
      <w:adjustRightInd w:val="0"/>
    </w:pPr>
    <w:rPr>
      <w:rFonts w:ascii="Fira Sans" w:eastAsiaTheme="minorHAnsi" w:hAnsi="Fira Sans" w:cs="Fira Sans"/>
      <w:color w:val="000000"/>
      <w:sz w:val="24"/>
      <w:szCs w:val="24"/>
      <w:lang w:eastAsia="en-US"/>
      <w14:ligatures w14:val="standardContextual"/>
    </w:rPr>
  </w:style>
  <w:style w:type="paragraph" w:styleId="ListBullet">
    <w:name w:val="List Bullet"/>
    <w:basedOn w:val="Normal"/>
    <w:unhideWhenUsed/>
    <w:rsid w:val="006566E8"/>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536981">
      <w:bodyDiv w:val="1"/>
      <w:marLeft w:val="0"/>
      <w:marRight w:val="0"/>
      <w:marTop w:val="0"/>
      <w:marBottom w:val="0"/>
      <w:divBdr>
        <w:top w:val="none" w:sz="0" w:space="0" w:color="auto"/>
        <w:left w:val="none" w:sz="0" w:space="0" w:color="auto"/>
        <w:bottom w:val="none" w:sz="0" w:space="0" w:color="auto"/>
        <w:right w:val="none" w:sz="0" w:space="0" w:color="auto"/>
      </w:divBdr>
    </w:div>
    <w:div w:id="1343118741">
      <w:bodyDiv w:val="1"/>
      <w:marLeft w:val="0"/>
      <w:marRight w:val="0"/>
      <w:marTop w:val="0"/>
      <w:marBottom w:val="0"/>
      <w:divBdr>
        <w:top w:val="none" w:sz="0" w:space="0" w:color="auto"/>
        <w:left w:val="none" w:sz="0" w:space="0" w:color="auto"/>
        <w:bottom w:val="none" w:sz="0" w:space="0" w:color="auto"/>
        <w:right w:val="none" w:sz="0" w:space="0" w:color="auto"/>
      </w:divBdr>
    </w:div>
    <w:div w:id="213486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36/jech-2019-212311" TargetMode="External"/><Relationship Id="rId42" Type="http://schemas.openxmlformats.org/officeDocument/2006/relationships/header" Target="header2.xml"/><Relationship Id="rId63" Type="http://schemas.openxmlformats.org/officeDocument/2006/relationships/hyperlink" Target="https://www.pbs.gov.au/browse/body-system" TargetMode="External"/><Relationship Id="rId84" Type="http://schemas.openxmlformats.org/officeDocument/2006/relationships/header" Target="header15.xml"/><Relationship Id="rId138" Type="http://schemas.openxmlformats.org/officeDocument/2006/relationships/hyperlink" Target="https://crukcancerintelligence.shinyapps.io/CancerStatsDataHub/" TargetMode="External"/><Relationship Id="rId159" Type="http://schemas.openxmlformats.org/officeDocument/2006/relationships/hyperlink" Target="https://doi.org/10.1200/jco.2017.76.5032" TargetMode="External"/><Relationship Id="rId170" Type="http://schemas.openxmlformats.org/officeDocument/2006/relationships/hyperlink" Target="https://doi.org/10.1056/NEJMoa2012971" TargetMode="External"/><Relationship Id="rId191" Type="http://schemas.openxmlformats.org/officeDocument/2006/relationships/hyperlink" Target="https://doi.org/10.1182/blood-2006-06-025999" TargetMode="External"/><Relationship Id="rId205" Type="http://schemas.openxmlformats.org/officeDocument/2006/relationships/header" Target="header22.xml"/><Relationship Id="rId16" Type="http://schemas.openxmlformats.org/officeDocument/2006/relationships/image" Target="media/image5.png"/><Relationship Id="rId107" Type="http://schemas.openxmlformats.org/officeDocument/2006/relationships/hyperlink" Target="http://www.health.govt.nz/our-work/populations/maori-health/he-korowai-oranga/key-threads/rangatiratanga" TargetMode="External"/><Relationship Id="rId11" Type="http://schemas.openxmlformats.org/officeDocument/2006/relationships/image" Target="media/image1.png"/><Relationship Id="rId32" Type="http://schemas.openxmlformats.org/officeDocument/2006/relationships/image" Target="media/image15.svg"/><Relationship Id="rId37" Type="http://schemas.openxmlformats.org/officeDocument/2006/relationships/image" Target="media/image19.png"/><Relationship Id="rId53" Type="http://schemas.openxmlformats.org/officeDocument/2006/relationships/footer" Target="footer3.xml"/><Relationship Id="rId58" Type="http://schemas.openxmlformats.org/officeDocument/2006/relationships/footer" Target="footer4.xml"/><Relationship Id="rId74" Type="http://schemas.openxmlformats.org/officeDocument/2006/relationships/header" Target="header10.xml"/><Relationship Id="rId79" Type="http://schemas.openxmlformats.org/officeDocument/2006/relationships/hyperlink" Target="https://connect.pharmac.govt.nz/apptracker/s/" TargetMode="External"/><Relationship Id="rId102" Type="http://schemas.openxmlformats.org/officeDocument/2006/relationships/hyperlink" Target="https://doi.org/10.1016/s1470-2045(20)30443-5" TargetMode="External"/><Relationship Id="rId123" Type="http://schemas.openxmlformats.org/officeDocument/2006/relationships/hyperlink" Target="https://doi.org/10.1056/NEJMoa1505654" TargetMode="External"/><Relationship Id="rId128" Type="http://schemas.openxmlformats.org/officeDocument/2006/relationships/hyperlink" Target="https://doi.org/10.1016/s1470-2045(19)30152-4" TargetMode="External"/><Relationship Id="rId144" Type="http://schemas.openxmlformats.org/officeDocument/2006/relationships/hyperlink" Target="https://doi.org/10.1016/s1470-2045(22)00293-5" TargetMode="External"/><Relationship Id="rId149" Type="http://schemas.openxmlformats.org/officeDocument/2006/relationships/hyperlink" Target="https://doi.org/10.1002/pds.1670" TargetMode="External"/><Relationship Id="rId5" Type="http://schemas.openxmlformats.org/officeDocument/2006/relationships/numbering" Target="numbering.xml"/><Relationship Id="rId90" Type="http://schemas.openxmlformats.org/officeDocument/2006/relationships/header" Target="header19.xml"/><Relationship Id="rId95" Type="http://schemas.openxmlformats.org/officeDocument/2006/relationships/hyperlink" Target="https://connect.pharmac.govt.nz/apptracker/s/application-public/a102P00000BQ7JF/p001762" TargetMode="External"/><Relationship Id="rId160" Type="http://schemas.openxmlformats.org/officeDocument/2006/relationships/hyperlink" Target="https://doi.org/10.1182/blood-2016-09-739086" TargetMode="External"/><Relationship Id="rId165" Type="http://schemas.openxmlformats.org/officeDocument/2006/relationships/hyperlink" Target="https://doi.org/10.1056/NEJMoa1902688" TargetMode="External"/><Relationship Id="rId181" Type="http://schemas.openxmlformats.org/officeDocument/2006/relationships/hyperlink" Target="https://doi.org/10.1182/blood-2017-08-798322" TargetMode="External"/><Relationship Id="rId186" Type="http://schemas.openxmlformats.org/officeDocument/2006/relationships/hyperlink" Target="https://doi.org/10.1016/s0140-6736(20)32292-3" TargetMode="External"/><Relationship Id="rId211" Type="http://schemas.openxmlformats.org/officeDocument/2006/relationships/theme" Target="theme/theme1.xml"/><Relationship Id="rId27" Type="http://schemas.openxmlformats.org/officeDocument/2006/relationships/image" Target="media/image10.png"/><Relationship Id="rId43" Type="http://schemas.openxmlformats.org/officeDocument/2006/relationships/footer" Target="footer1.xml"/><Relationship Id="rId48" Type="http://schemas.openxmlformats.org/officeDocument/2006/relationships/image" Target="media/image25.emf"/><Relationship Id="rId64" Type="http://schemas.openxmlformats.org/officeDocument/2006/relationships/hyperlink" Target="http://www.ebs.tga.gov.au/" TargetMode="External"/><Relationship Id="rId69" Type="http://schemas.openxmlformats.org/officeDocument/2006/relationships/hyperlink" Target="https://nzf.org.nz/regimens" TargetMode="External"/><Relationship Id="rId113" Type="http://schemas.openxmlformats.org/officeDocument/2006/relationships/hyperlink" Target="https://www.cancerresearchuk.org/health-professional/cancer-statistics/statistics-by-cancer-type" TargetMode="External"/><Relationship Id="rId118" Type="http://schemas.openxmlformats.org/officeDocument/2006/relationships/hyperlink" Target="https://doi.org/10.1016/j.annonc.2021.12.002" TargetMode="External"/><Relationship Id="rId134" Type="http://schemas.openxmlformats.org/officeDocument/2006/relationships/hyperlink" Target="https://doi.org/10.1080/03007995.2023.2262381" TargetMode="External"/><Relationship Id="rId139" Type="http://schemas.openxmlformats.org/officeDocument/2006/relationships/hyperlink" Target="https://doi.org/10.1200/jco.22.02830" TargetMode="External"/><Relationship Id="rId80" Type="http://schemas.openxmlformats.org/officeDocument/2006/relationships/header" Target="header13.xml"/><Relationship Id="rId85" Type="http://schemas.openxmlformats.org/officeDocument/2006/relationships/header" Target="header16.xml"/><Relationship Id="rId150" Type="http://schemas.openxmlformats.org/officeDocument/2006/relationships/hyperlink" Target="https://doi.org/10.1016/s0140-6736(17)33108-2" TargetMode="External"/><Relationship Id="rId155" Type="http://schemas.openxmlformats.org/officeDocument/2006/relationships/hyperlink" Target="https://www.pbs.gov.au/statistics/expenditure-prescriptions/2022-2023/PBS-Expenditure-prescriptions-report-2022-23.pdf" TargetMode="External"/><Relationship Id="rId171" Type="http://schemas.openxmlformats.org/officeDocument/2006/relationships/hyperlink" Target="https://doi.org/10.1182/blood-2018-99-112259" TargetMode="External"/><Relationship Id="rId176" Type="http://schemas.openxmlformats.org/officeDocument/2006/relationships/hyperlink" Target="https://doi.org/10.1111/ejh.13706" TargetMode="External"/><Relationship Id="rId192" Type="http://schemas.openxmlformats.org/officeDocument/2006/relationships/hyperlink" Target="https://doi.org/10.1371/journal.pone.0284051" TargetMode="External"/><Relationship Id="rId197" Type="http://schemas.openxmlformats.org/officeDocument/2006/relationships/hyperlink" Target="https://doi.org/10.1056/NEJMhpr0807774" TargetMode="External"/><Relationship Id="rId206" Type="http://schemas.openxmlformats.org/officeDocument/2006/relationships/header" Target="header23.xml"/><Relationship Id="rId201" Type="http://schemas.openxmlformats.org/officeDocument/2006/relationships/hyperlink" Target="https://doi.org/10.1016/j.canep.2015.10.018" TargetMode="External"/><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16.png"/><Relationship Id="rId38" Type="http://schemas.openxmlformats.org/officeDocument/2006/relationships/image" Target="media/image20.svg"/><Relationship Id="rId59" Type="http://schemas.openxmlformats.org/officeDocument/2006/relationships/footer" Target="footer5.xml"/><Relationship Id="rId103" Type="http://schemas.openxmlformats.org/officeDocument/2006/relationships/hyperlink" Target="https://doi.org/10.1016/s1470-2045(20)30139-x" TargetMode="External"/><Relationship Id="rId108" Type="http://schemas.openxmlformats.org/officeDocument/2006/relationships/hyperlink" Target="https://doi.org/10.1016/s0140-6736(20)30262-2" TargetMode="External"/><Relationship Id="rId124" Type="http://schemas.openxmlformats.org/officeDocument/2006/relationships/hyperlink" Target="https://doi.org/10.1016/s0140-6736(15)00667-4" TargetMode="External"/><Relationship Id="rId129" Type="http://schemas.openxmlformats.org/officeDocument/2006/relationships/hyperlink" Target="https://doi.org/10.1182/blood.2021014162" TargetMode="External"/><Relationship Id="rId54" Type="http://schemas.openxmlformats.org/officeDocument/2006/relationships/header" Target="header6.xml"/><Relationship Id="rId70" Type="http://schemas.openxmlformats.org/officeDocument/2006/relationships/hyperlink" Target="http://www.eviq.org.au/" TargetMode="External"/><Relationship Id="rId75" Type="http://schemas.openxmlformats.org/officeDocument/2006/relationships/header" Target="header11.xml"/><Relationship Id="rId91" Type="http://schemas.openxmlformats.org/officeDocument/2006/relationships/header" Target="header20.xml"/><Relationship Id="rId96" Type="http://schemas.openxmlformats.org/officeDocument/2006/relationships/hyperlink" Target="https://connect.pharmac.govt.nz/apptracker/s/application-public/a102P000008ptwH/p000276" TargetMode="External"/><Relationship Id="rId140" Type="http://schemas.openxmlformats.org/officeDocument/2006/relationships/hyperlink" Target="https://doi.org/10.1038/s41375-020-01021-3" TargetMode="External"/><Relationship Id="rId145" Type="http://schemas.openxmlformats.org/officeDocument/2006/relationships/hyperlink" Target="https://doi.org/10.1002/cncr.32116" TargetMode="External"/><Relationship Id="rId161" Type="http://schemas.openxmlformats.org/officeDocument/2006/relationships/hyperlink" Target="https://doi.org/10.1182/blood.2020006844" TargetMode="External"/><Relationship Id="rId166" Type="http://schemas.openxmlformats.org/officeDocument/2006/relationships/hyperlink" Target="https://doi.org/10.1056/NEJMoa1606038" TargetMode="External"/><Relationship Id="rId182" Type="http://schemas.openxmlformats.org/officeDocument/2006/relationships/hyperlink" Target="https://doi.org/10.1016/s1470-2045(17)30578-8" TargetMode="External"/><Relationship Id="rId187" Type="http://schemas.openxmlformats.org/officeDocument/2006/relationships/hyperlink" Target="https://doi.org/10.1200/jco.2016.66.9648" TargetMode="External"/><Relationship Id="rId1" Type="http://schemas.openxmlformats.org/officeDocument/2006/relationships/customXml" Target="../customXml/item1.xml"/><Relationship Id="rId6" Type="http://schemas.openxmlformats.org/officeDocument/2006/relationships/styles" Target="styles.xml"/><Relationship Id="rId28" Type="http://schemas.openxmlformats.org/officeDocument/2006/relationships/image" Target="media/image11.png"/><Relationship Id="rId49" Type="http://schemas.openxmlformats.org/officeDocument/2006/relationships/image" Target="media/image26.emf"/><Relationship Id="rId114" Type="http://schemas.openxmlformats.org/officeDocument/2006/relationships/hyperlink" Target="https://doi.org/10.1056/NEJMoa2211582" TargetMode="External"/><Relationship Id="rId119" Type="http://schemas.openxmlformats.org/officeDocument/2006/relationships/hyperlink" Target="https://doi.org/10.1056/NEJMoa1509277" TargetMode="External"/><Relationship Id="rId44" Type="http://schemas.openxmlformats.org/officeDocument/2006/relationships/footer" Target="footer2.xml"/><Relationship Id="rId60" Type="http://schemas.openxmlformats.org/officeDocument/2006/relationships/header" Target="header9.xml"/><Relationship Id="rId65" Type="http://schemas.openxmlformats.org/officeDocument/2006/relationships/hyperlink" Target="http://www.eviq.org.au/" TargetMode="External"/><Relationship Id="rId81" Type="http://schemas.openxmlformats.org/officeDocument/2006/relationships/header" Target="header14.xml"/><Relationship Id="rId86" Type="http://schemas.openxmlformats.org/officeDocument/2006/relationships/header" Target="header17.xml"/><Relationship Id="rId130" Type="http://schemas.openxmlformats.org/officeDocument/2006/relationships/hyperlink" Target="https://doi.org/10.1200/go.20.00028" TargetMode="External"/><Relationship Id="rId135" Type="http://schemas.openxmlformats.org/officeDocument/2006/relationships/hyperlink" Target="https://doi.org/10.1056/NEJMoa1306494" TargetMode="External"/><Relationship Id="rId151" Type="http://schemas.openxmlformats.org/officeDocument/2006/relationships/hyperlink" Target="https://doi.org/10.1097/hs9.0000000000000919" TargetMode="External"/><Relationship Id="rId156" Type="http://schemas.openxmlformats.org/officeDocument/2006/relationships/hyperlink" Target="https://doi.org/10.1200/jop.2016.014431" TargetMode="External"/><Relationship Id="rId177" Type="http://schemas.openxmlformats.org/officeDocument/2006/relationships/hyperlink" Target="https://doi.org/10.1038/s41375-018-0023-2" TargetMode="External"/><Relationship Id="rId198" Type="http://schemas.openxmlformats.org/officeDocument/2006/relationships/hyperlink" Target="https://publications.iarc.fr/580" TargetMode="External"/><Relationship Id="rId172" Type="http://schemas.openxmlformats.org/officeDocument/2006/relationships/hyperlink" Target="https://doi.org/10.1182/blood.2022019340" TargetMode="External"/><Relationship Id="rId193" Type="http://schemas.openxmlformats.org/officeDocument/2006/relationships/hyperlink" Target="https://doi.org/10.1182/blood.V128.22.1599.1599" TargetMode="External"/><Relationship Id="rId202" Type="http://schemas.openxmlformats.org/officeDocument/2006/relationships/hyperlink" Target="https://doi.org/10.1097/hs9.0000000000000801" TargetMode="External"/><Relationship Id="rId207" Type="http://schemas.openxmlformats.org/officeDocument/2006/relationships/footer" Target="footer14.xml"/><Relationship Id="rId13" Type="http://schemas.openxmlformats.org/officeDocument/2006/relationships/hyperlink" Target="https://doi.org/10.1002/ajh.27246" TargetMode="External"/><Relationship Id="rId18" Type="http://schemas.openxmlformats.org/officeDocument/2006/relationships/image" Target="media/image7.png"/><Relationship Id="rId39" Type="http://schemas.openxmlformats.org/officeDocument/2006/relationships/image" Target="media/image21.png"/><Relationship Id="rId109" Type="http://schemas.openxmlformats.org/officeDocument/2006/relationships/hyperlink" Target="http://www.teaho.govt.nz" TargetMode="External"/><Relationship Id="rId34" Type="http://schemas.openxmlformats.org/officeDocument/2006/relationships/image" Target="media/image17.png"/><Relationship Id="rId50" Type="http://schemas.openxmlformats.org/officeDocument/2006/relationships/image" Target="media/image27.emf"/><Relationship Id="rId55" Type="http://schemas.openxmlformats.org/officeDocument/2006/relationships/hyperlink" Target="https://connect.pharmac.govt.nz/apptracker/s/" TargetMode="External"/><Relationship Id="rId76" Type="http://schemas.openxmlformats.org/officeDocument/2006/relationships/footer" Target="footer6.xml"/><Relationship Id="rId97" Type="http://schemas.openxmlformats.org/officeDocument/2006/relationships/hyperlink" Target="https://connect.pharmac.govt.nz/apptracker/s/application-public/a102P00000B0gUX/p001654" TargetMode="External"/><Relationship Id="rId104" Type="http://schemas.openxmlformats.org/officeDocument/2006/relationships/hyperlink" Target="https://doi.org/10.1056/NEJMoa1400376" TargetMode="External"/><Relationship Id="rId120" Type="http://schemas.openxmlformats.org/officeDocument/2006/relationships/hyperlink" Target="https://doi.org/10.1056/NEJMoa1402551" TargetMode="External"/><Relationship Id="rId125" Type="http://schemas.openxmlformats.org/officeDocument/2006/relationships/hyperlink" Target="https://doi.org/10.1016/j.ejca.2020.04.010" TargetMode="External"/><Relationship Id="rId141" Type="http://schemas.openxmlformats.org/officeDocument/2006/relationships/hyperlink" Target="https://pharmac.govt.nz/assets/Annual-Report-2022-2023.pdf" TargetMode="External"/><Relationship Id="rId146" Type="http://schemas.openxmlformats.org/officeDocument/2006/relationships/hyperlink" Target="https://doi.org/10.1182/bloodadvances.2021004710" TargetMode="External"/><Relationship Id="rId167" Type="http://schemas.openxmlformats.org/officeDocument/2006/relationships/hyperlink" Target="https://www.aph.gov.au/About_Parliament/Parliamentary_departments/Parliamentary_Library/pubs/rp/rp2122/Quick_Guides/ThePharmaceuticalBenefitsScheme" TargetMode="External"/><Relationship Id="rId188" Type="http://schemas.openxmlformats.org/officeDocument/2006/relationships/hyperlink" Target="https://doi.org/10.1056/NEJMoa1411321" TargetMode="External"/><Relationship Id="rId7" Type="http://schemas.openxmlformats.org/officeDocument/2006/relationships/settings" Target="settings.xml"/><Relationship Id="rId71" Type="http://schemas.openxmlformats.org/officeDocument/2006/relationships/hyperlink" Target="https://nzf.org.nz/regimens" TargetMode="External"/><Relationship Id="rId92" Type="http://schemas.openxmlformats.org/officeDocument/2006/relationships/footer" Target="footer12.xml"/><Relationship Id="rId162" Type="http://schemas.openxmlformats.org/officeDocument/2006/relationships/hyperlink" Target="https://doi.org/10.1182/bloodadvances.2020004074" TargetMode="External"/><Relationship Id="rId183" Type="http://schemas.openxmlformats.org/officeDocument/2006/relationships/hyperlink" Target="https://seer.cancer.gov/statfacts/html/mulmy.html" TargetMode="External"/><Relationship Id="rId2" Type="http://schemas.openxmlformats.org/officeDocument/2006/relationships/customXml" Target="../customXml/item2.xml"/><Relationship Id="rId29" Type="http://schemas.openxmlformats.org/officeDocument/2006/relationships/image" Target="media/image12.png"/><Relationship Id="rId40" Type="http://schemas.openxmlformats.org/officeDocument/2006/relationships/image" Target="media/image22.svg"/><Relationship Id="rId45" Type="http://schemas.openxmlformats.org/officeDocument/2006/relationships/header" Target="header3.xml"/><Relationship Id="rId66" Type="http://schemas.openxmlformats.org/officeDocument/2006/relationships/hyperlink" Target="http://www.medsafe.govt.nz/Medicines/infoSearch.asp" TargetMode="External"/><Relationship Id="rId87" Type="http://schemas.openxmlformats.org/officeDocument/2006/relationships/footer" Target="footer10.xml"/><Relationship Id="rId110" Type="http://schemas.openxmlformats.org/officeDocument/2006/relationships/hyperlink" Target="https://doi.org/10.1200/jco.2010.29.9024" TargetMode="External"/><Relationship Id="rId115" Type="http://schemas.openxmlformats.org/officeDocument/2006/relationships/hyperlink" Target="https://doi.org/10.1056/NEJMoa1614359" TargetMode="External"/><Relationship Id="rId131" Type="http://schemas.openxmlformats.org/officeDocument/2006/relationships/hyperlink" Target="https://doi.org/10.1093/ije/dyp392" TargetMode="External"/><Relationship Id="rId136" Type="http://schemas.openxmlformats.org/officeDocument/2006/relationships/hyperlink" Target="https://tewhatuora.shinyapps.io/cancer-web-tool/" TargetMode="External"/><Relationship Id="rId157" Type="http://schemas.openxmlformats.org/officeDocument/2006/relationships/hyperlink" Target="https://doi.org/10.1038/s41408-019-0181-0" TargetMode="External"/><Relationship Id="rId178" Type="http://schemas.openxmlformats.org/officeDocument/2006/relationships/hyperlink" Target="https://doi.org/10.1182/blood-2011-01-330126" TargetMode="External"/><Relationship Id="rId61" Type="http://schemas.openxmlformats.org/officeDocument/2006/relationships/hyperlink" Target="https://schedule.pharmac.govt.nz/ScheduleOnline.php" TargetMode="External"/><Relationship Id="rId82" Type="http://schemas.openxmlformats.org/officeDocument/2006/relationships/footer" Target="footer8.xml"/><Relationship Id="rId152" Type="http://schemas.openxmlformats.org/officeDocument/2006/relationships/hyperlink" Target="https://doi.org/10.1056/NEJMoa2004444" TargetMode="External"/><Relationship Id="rId173" Type="http://schemas.openxmlformats.org/officeDocument/2006/relationships/hyperlink" Target="https://doi.org/10.1016/s1470-2045(15)00464-7" TargetMode="External"/><Relationship Id="rId194" Type="http://schemas.openxmlformats.org/officeDocument/2006/relationships/hyperlink" Target="https://doi.org/10.1182/blood.2021011583" TargetMode="External"/><Relationship Id="rId199" Type="http://schemas.openxmlformats.org/officeDocument/2006/relationships/hyperlink" Target="https://doi.org/10.1093/annonc/mdx053" TargetMode="External"/><Relationship Id="rId203" Type="http://schemas.openxmlformats.org/officeDocument/2006/relationships/hyperlink" Target="http://www.health.govt.nz/about-ministry/what-we-do/work-programme-2019-20/achieving-equity" TargetMode="External"/><Relationship Id="rId208" Type="http://schemas.openxmlformats.org/officeDocument/2006/relationships/footer" Target="footer15.xml"/><Relationship Id="rId14" Type="http://schemas.openxmlformats.org/officeDocument/2006/relationships/image" Target="media/image3.png"/><Relationship Id="rId30" Type="http://schemas.openxmlformats.org/officeDocument/2006/relationships/image" Target="media/image13.svg"/><Relationship Id="rId35" Type="http://schemas.openxmlformats.org/officeDocument/2006/relationships/image" Target="media/image18.png"/><Relationship Id="rId56" Type="http://schemas.openxmlformats.org/officeDocument/2006/relationships/header" Target="header7.xml"/><Relationship Id="rId77" Type="http://schemas.openxmlformats.org/officeDocument/2006/relationships/footer" Target="footer7.xml"/><Relationship Id="rId100" Type="http://schemas.openxmlformats.org/officeDocument/2006/relationships/hyperlink" Target="https://connect.pharmac.govt.nz/apptracker/s/application-public/a102P00000BIsCh/p001701" TargetMode="External"/><Relationship Id="rId105" Type="http://schemas.openxmlformats.org/officeDocument/2006/relationships/hyperlink" Target="https://doi.org/10.1016/j.sapharm.2018.04.006" TargetMode="External"/><Relationship Id="rId126" Type="http://schemas.openxmlformats.org/officeDocument/2006/relationships/hyperlink" Target="https://doi.org/10.1056/NEJMoa1300439" TargetMode="External"/><Relationship Id="rId147" Type="http://schemas.openxmlformats.org/officeDocument/2006/relationships/hyperlink" Target="https://doi.org/10.1111/bjh.17321" TargetMode="External"/><Relationship Id="rId168" Type="http://schemas.openxmlformats.org/officeDocument/2006/relationships/hyperlink" Target="https://doi.org/10.1200/jco.19.01389" TargetMode="External"/><Relationship Id="rId8" Type="http://schemas.openxmlformats.org/officeDocument/2006/relationships/webSettings" Target="webSettings.xml"/><Relationship Id="rId51" Type="http://schemas.openxmlformats.org/officeDocument/2006/relationships/header" Target="header4.xml"/><Relationship Id="rId72" Type="http://schemas.openxmlformats.org/officeDocument/2006/relationships/hyperlink" Target="http://www.eviq.org.au/" TargetMode="External"/><Relationship Id="rId93" Type="http://schemas.openxmlformats.org/officeDocument/2006/relationships/footer" Target="footer13.xml"/><Relationship Id="rId98" Type="http://schemas.openxmlformats.org/officeDocument/2006/relationships/hyperlink" Target="https://connect.pharmac.govt.nz/apptracker/s/application-public/a102P000008puXu/p001189" TargetMode="External"/><Relationship Id="rId121" Type="http://schemas.openxmlformats.org/officeDocument/2006/relationships/hyperlink" Target="https://doi.org/10.1056/NEJMoa2028631" TargetMode="External"/><Relationship Id="rId142" Type="http://schemas.openxmlformats.org/officeDocument/2006/relationships/hyperlink" Target="https://doi.org/10.1038/s41408-020-00357-4" TargetMode="External"/><Relationship Id="rId163" Type="http://schemas.openxmlformats.org/officeDocument/2006/relationships/hyperlink" Target="https://doi.org/10.1200/jco.19.03355" TargetMode="External"/><Relationship Id="rId184" Type="http://schemas.openxmlformats.org/officeDocument/2006/relationships/hyperlink" Target="https://doi.org/10.1016/s1470-2045(13)70380-2" TargetMode="External"/><Relationship Id="rId189" Type="http://schemas.openxmlformats.org/officeDocument/2006/relationships/hyperlink" Target="https://doi.org/10.1016/s0140-6736(16)31594-x" TargetMode="External"/><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hyperlink" Target="https://pharmac.govt.nz/medicine-funding-and-supply/the-funding-process" TargetMode="External"/><Relationship Id="rId67" Type="http://schemas.openxmlformats.org/officeDocument/2006/relationships/hyperlink" Target="http://www.esmo.org/guidelines/esmo-mcbs/esmo-mcbs-for-haematological-malignancies/esmo-mcbs-h-evaluation-forms" TargetMode="External"/><Relationship Id="rId116" Type="http://schemas.openxmlformats.org/officeDocument/2006/relationships/hyperlink" Target="https://doi.org/10.1016/j.genhosppsych.2015.06.003" TargetMode="External"/><Relationship Id="rId137" Type="http://schemas.openxmlformats.org/officeDocument/2006/relationships/hyperlink" Target="https://doi.org/10.1158/1078-0432.Ccr-19-3703" TargetMode="External"/><Relationship Id="rId158" Type="http://schemas.openxmlformats.org/officeDocument/2006/relationships/hyperlink" Target="https://doi.org/10.1056/NEJMoa1614598" TargetMode="External"/><Relationship Id="rId41" Type="http://schemas.openxmlformats.org/officeDocument/2006/relationships/header" Target="header1.xml"/><Relationship Id="rId62" Type="http://schemas.openxmlformats.org/officeDocument/2006/relationships/hyperlink" Target="https://schedule.pharmac.govt.nz/HMLOnline.php" TargetMode="External"/><Relationship Id="rId83" Type="http://schemas.openxmlformats.org/officeDocument/2006/relationships/footer" Target="footer9.xml"/><Relationship Id="rId88" Type="http://schemas.openxmlformats.org/officeDocument/2006/relationships/footer" Target="footer11.xml"/><Relationship Id="rId111" Type="http://schemas.openxmlformats.org/officeDocument/2006/relationships/hyperlink" Target="https://doi.org/10.1016/s0140-6736(18)32984-2" TargetMode="External"/><Relationship Id="rId132" Type="http://schemas.openxmlformats.org/officeDocument/2006/relationships/hyperlink" Target="https://doi.org/10.1200/jco.2006.10.2434" TargetMode="External"/><Relationship Id="rId153" Type="http://schemas.openxmlformats.org/officeDocument/2006/relationships/hyperlink" Target="https://doi.org/10.1182/blood-2017-07-795047" TargetMode="External"/><Relationship Id="rId174" Type="http://schemas.openxmlformats.org/officeDocument/2006/relationships/hyperlink" Target="https://doi.org/10.1056/NEJMoa1609783" TargetMode="External"/><Relationship Id="rId179" Type="http://schemas.openxmlformats.org/officeDocument/2006/relationships/hyperlink" Target="https://doi.org/10.1038/s41375-023-01829-9" TargetMode="External"/><Relationship Id="rId195" Type="http://schemas.openxmlformats.org/officeDocument/2006/relationships/hyperlink" Target="https://doi.org/10.1186/s12885-017-3797-0" TargetMode="External"/><Relationship Id="rId209" Type="http://schemas.openxmlformats.org/officeDocument/2006/relationships/header" Target="header24.xml"/><Relationship Id="rId190" Type="http://schemas.openxmlformats.org/officeDocument/2006/relationships/hyperlink" Target="https://doi.org/10.1038/s41375-023-01888-y" TargetMode="External"/><Relationship Id="rId204" Type="http://schemas.openxmlformats.org/officeDocument/2006/relationships/hyperlink" Target="https://doi.org/10.1002/ajh.25638" TargetMode="External"/><Relationship Id="rId15" Type="http://schemas.openxmlformats.org/officeDocument/2006/relationships/image" Target="media/image4.jpg"/><Relationship Id="rId36" Type="http://schemas.openxmlformats.org/officeDocument/2006/relationships/image" Target="media/image16.emf"/><Relationship Id="rId57" Type="http://schemas.openxmlformats.org/officeDocument/2006/relationships/header" Target="header8.xml"/><Relationship Id="rId106" Type="http://schemas.openxmlformats.org/officeDocument/2006/relationships/hyperlink" Target="https://doi.org/10.18773/austprescr.2014.059" TargetMode="External"/><Relationship Id="rId127" Type="http://schemas.openxmlformats.org/officeDocument/2006/relationships/hyperlink" Target="https://doi.org/10.1056/NEJMoa1815281" TargetMode="External"/><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header" Target="header5.xml"/><Relationship Id="rId73" Type="http://schemas.openxmlformats.org/officeDocument/2006/relationships/hyperlink" Target="http://www.medsafe.govt.nz/Medicines/infoSearch.asp" TargetMode="External"/><Relationship Id="rId78" Type="http://schemas.openxmlformats.org/officeDocument/2006/relationships/header" Target="header12.xml"/><Relationship Id="rId94" Type="http://schemas.openxmlformats.org/officeDocument/2006/relationships/header" Target="header21.xml"/><Relationship Id="rId99" Type="http://schemas.openxmlformats.org/officeDocument/2006/relationships/hyperlink" Target="https://connect.pharmac.govt.nz/apptracker/s/application-public/a102P000008pua9/p001248" TargetMode="External"/><Relationship Id="rId101" Type="http://schemas.openxmlformats.org/officeDocument/2006/relationships/hyperlink" Target="https://doi.org/10.1016/s1470-2045(21)00709-9" TargetMode="External"/><Relationship Id="rId122" Type="http://schemas.openxmlformats.org/officeDocument/2006/relationships/hyperlink" Target="https://doi.org/10.1016/j.jtct.2022.12.006" TargetMode="External"/><Relationship Id="rId143" Type="http://schemas.openxmlformats.org/officeDocument/2006/relationships/hyperlink" Target="https://doi.org/10.1200/op.21.00909" TargetMode="External"/><Relationship Id="rId148" Type="http://schemas.openxmlformats.org/officeDocument/2006/relationships/hyperlink" Target="https://doi.org/10.1016/s0140-6736(17)31266-7" TargetMode="External"/><Relationship Id="rId164" Type="http://schemas.openxmlformats.org/officeDocument/2006/relationships/hyperlink" Target="https://doi.org/10.3324/haematol.2014.120121" TargetMode="External"/><Relationship Id="rId169" Type="http://schemas.openxmlformats.org/officeDocument/2006/relationships/hyperlink" Target="https://doi.org/10.1038/s41408-020-0311-8" TargetMode="External"/><Relationship Id="rId185" Type="http://schemas.openxmlformats.org/officeDocument/2006/relationships/hyperlink" Target="https://doi.org/10.1056/NEJMoa1314583"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doi.org/10.1056/NEJMoa1315226" TargetMode="External"/><Relationship Id="rId210" Type="http://schemas.openxmlformats.org/officeDocument/2006/relationships/fontTable" Target="fontTable.xml"/><Relationship Id="rId26" Type="http://schemas.openxmlformats.org/officeDocument/2006/relationships/image" Target="media/image9.png"/><Relationship Id="rId47" Type="http://schemas.openxmlformats.org/officeDocument/2006/relationships/image" Target="media/image24.emf"/><Relationship Id="rId68" Type="http://schemas.openxmlformats.org/officeDocument/2006/relationships/hyperlink" Target="https://connect.pharmac.govt.nz/apptracker/s/" TargetMode="External"/><Relationship Id="rId89" Type="http://schemas.openxmlformats.org/officeDocument/2006/relationships/header" Target="header18.xml"/><Relationship Id="rId112" Type="http://schemas.openxmlformats.org/officeDocument/2006/relationships/hyperlink" Target="https://doi.org/10.1080/03007995.2023.2262378" TargetMode="External"/><Relationship Id="rId133" Type="http://schemas.openxmlformats.org/officeDocument/2006/relationships/hyperlink" Target="https://doi.org/10.1182/blood.2019004460" TargetMode="External"/><Relationship Id="rId154" Type="http://schemas.openxmlformats.org/officeDocument/2006/relationships/hyperlink" Target="https://doi.org/10.1002/ajh.26536" TargetMode="External"/><Relationship Id="rId175" Type="http://schemas.openxmlformats.org/officeDocument/2006/relationships/hyperlink" Target="https://doi.org/10.1038/s41375-019-0575-9" TargetMode="External"/><Relationship Id="rId196" Type="http://schemas.openxmlformats.org/officeDocument/2006/relationships/hyperlink" Target="https://doi.org/10.1016/s1470-2045(21)00005-x" TargetMode="External"/><Relationship Id="rId200" Type="http://schemas.openxmlformats.org/officeDocument/2006/relationships/hyperlink" Target="https://doi.org/10.3324/haematol.2019.23880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er10.xml.rels><?xml version="1.0" encoding="UTF-8" standalone="yes"?>
<Relationships xmlns="http://schemas.openxmlformats.org/package/2006/relationships"><Relationship Id="rId1" Type="http://schemas.openxmlformats.org/officeDocument/2006/relationships/image" Target="media/image23.png"/></Relationships>
</file>

<file path=word/_rels/footer11.xml.rels><?xml version="1.0" encoding="UTF-8" standalone="yes"?>
<Relationships xmlns="http://schemas.openxmlformats.org/package/2006/relationships"><Relationship Id="rId1" Type="http://schemas.openxmlformats.org/officeDocument/2006/relationships/image" Target="media/image23.png"/></Relationships>
</file>

<file path=word/_rels/footer12.xml.rels><?xml version="1.0" encoding="UTF-8" standalone="yes"?>
<Relationships xmlns="http://schemas.openxmlformats.org/package/2006/relationships"><Relationship Id="rId1" Type="http://schemas.openxmlformats.org/officeDocument/2006/relationships/image" Target="media/image23.png"/></Relationships>
</file>

<file path=word/_rels/footer13.xml.rels><?xml version="1.0" encoding="UTF-8" standalone="yes"?>
<Relationships xmlns="http://schemas.openxmlformats.org/package/2006/relationships"><Relationship Id="rId1" Type="http://schemas.openxmlformats.org/officeDocument/2006/relationships/image" Target="media/image23.png"/></Relationships>
</file>

<file path=word/_rels/footer14.xml.rels><?xml version="1.0" encoding="UTF-8" standalone="yes"?>
<Relationships xmlns="http://schemas.openxmlformats.org/package/2006/relationships"><Relationship Id="rId1" Type="http://schemas.openxmlformats.org/officeDocument/2006/relationships/image" Target="media/image23.png"/></Relationships>
</file>

<file path=word/_rels/footer15.xml.rels><?xml version="1.0" encoding="UTF-8" standalone="yes"?>
<Relationships xmlns="http://schemas.openxmlformats.org/package/2006/relationships"><Relationship Id="rId1"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footer4.xml.rels><?xml version="1.0" encoding="UTF-8" standalone="yes"?>
<Relationships xmlns="http://schemas.openxmlformats.org/package/2006/relationships"><Relationship Id="rId1" Type="http://schemas.openxmlformats.org/officeDocument/2006/relationships/image" Target="media/image23.png"/></Relationships>
</file>

<file path=word/_rels/footer5.xml.rels><?xml version="1.0" encoding="UTF-8" standalone="yes"?>
<Relationships xmlns="http://schemas.openxmlformats.org/package/2006/relationships"><Relationship Id="rId1" Type="http://schemas.openxmlformats.org/officeDocument/2006/relationships/image" Target="media/image23.png"/></Relationships>
</file>

<file path=word/_rels/footer6.xml.rels><?xml version="1.0" encoding="UTF-8" standalone="yes"?>
<Relationships xmlns="http://schemas.openxmlformats.org/package/2006/relationships"><Relationship Id="rId1" Type="http://schemas.openxmlformats.org/officeDocument/2006/relationships/image" Target="media/image23.png"/></Relationships>
</file>

<file path=word/_rels/footer7.xml.rels><?xml version="1.0" encoding="UTF-8" standalone="yes"?>
<Relationships xmlns="http://schemas.openxmlformats.org/package/2006/relationships"><Relationship Id="rId1" Type="http://schemas.openxmlformats.org/officeDocument/2006/relationships/image" Target="media/image23.png"/></Relationships>
</file>

<file path=word/_rels/footer8.xml.rels><?xml version="1.0" encoding="UTF-8" standalone="yes"?>
<Relationships xmlns="http://schemas.openxmlformats.org/package/2006/relationships"><Relationship Id="rId1" Type="http://schemas.openxmlformats.org/officeDocument/2006/relationships/image" Target="media/image23.png"/></Relationships>
</file>

<file path=word/_rels/footer9.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cffbe-180e-4030-8c1b-c6f4d70bb013">
      <Terms xmlns="http://schemas.microsoft.com/office/infopath/2007/PartnerControls"/>
    </lcf76f155ced4ddcb4097134ff3c332f>
    <TaxCatchAll xmlns="00a4df5b-51f4-4e7a-b755-8a381a6dfbc5" xsi:nil="true"/>
    <Dateandtime xmlns="c02cffbe-180e-4030-8c1b-c6f4d70bb0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66BBFF82759F488643FBA3C49367F4" ma:contentTypeVersion="17" ma:contentTypeDescription="Create a new document." ma:contentTypeScope="" ma:versionID="78922f898f1f4cb00bc5c7b34c56b1be">
  <xsd:schema xmlns:xsd="http://www.w3.org/2001/XMLSchema" xmlns:xs="http://www.w3.org/2001/XMLSchema" xmlns:p="http://schemas.microsoft.com/office/2006/metadata/properties" xmlns:ns2="c02cffbe-180e-4030-8c1b-c6f4d70bb013" xmlns:ns3="3fd381b6-4d67-40c4-ab3a-532c6af45e39" xmlns:ns4="00a4df5b-51f4-4e7a-b755-8a381a6dfbc5" targetNamespace="http://schemas.microsoft.com/office/2006/metadata/properties" ma:root="true" ma:fieldsID="886464fd5997c8fdc9c3154459f13b28" ns2:_="" ns3:_="" ns4:_="">
    <xsd:import namespace="c02cffbe-180e-4030-8c1b-c6f4d70bb013"/>
    <xsd:import namespace="3fd381b6-4d67-40c4-ab3a-532c6af45e39"/>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SearchProperties" minOccurs="0"/>
                <xsd:element ref="ns2:Dateand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cffbe-180e-4030-8c1b-c6f4d70b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 ma:format="DateOnly" ma:internalName="Dateandtime">
      <xsd:simpleType>
        <xsd:restriction base="dms:DateTim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381b6-4d67-40c4-ab3a-532c6af45e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d007d3-f1d8-4818-b362-eed84cb868d8}" ma:internalName="TaxCatchAll" ma:showField="CatchAllData" ma:web="3fd381b6-4d67-40c4-ab3a-532c6af45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0576E-E392-49B6-8533-9CFC101B411E}">
  <ds:schemaRefs>
    <ds:schemaRef ds:uri="http://schemas.microsoft.com/office/2006/metadata/properties"/>
    <ds:schemaRef ds:uri="http://schemas.microsoft.com/office/infopath/2007/PartnerControls"/>
    <ds:schemaRef ds:uri="c02cffbe-180e-4030-8c1b-c6f4d70bb013"/>
    <ds:schemaRef ds:uri="00a4df5b-51f4-4e7a-b755-8a381a6dfbc5"/>
  </ds:schemaRefs>
</ds:datastoreItem>
</file>

<file path=customXml/itemProps2.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3.xml><?xml version="1.0" encoding="utf-8"?>
<ds:datastoreItem xmlns:ds="http://schemas.openxmlformats.org/officeDocument/2006/customXml" ds:itemID="{37BB3028-03BC-4A2B-A78D-76A4D684FCF8}">
  <ds:schemaRefs>
    <ds:schemaRef ds:uri="http://schemas.microsoft.com/sharepoint/v3/contenttype/forms"/>
  </ds:schemaRefs>
</ds:datastoreItem>
</file>

<file path=customXml/itemProps4.xml><?xml version="1.0" encoding="utf-8"?>
<ds:datastoreItem xmlns:ds="http://schemas.openxmlformats.org/officeDocument/2006/customXml" ds:itemID="{7C101940-6728-4A52-A481-1363106C2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cffbe-180e-4030-8c1b-c6f4d70bb013"/>
    <ds:schemaRef ds:uri="3fd381b6-4d67-40c4-ab3a-532c6af45e39"/>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126</Pages>
  <Words>34567</Words>
  <Characters>197033</Characters>
  <Application>Microsoft Office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cp:lastModifiedBy>Debbie Caterer</cp:lastModifiedBy>
  <cp:revision>2</cp:revision>
  <cp:lastPrinted>2024-10-17T22:11:00Z</cp:lastPrinted>
  <dcterms:created xsi:type="dcterms:W3CDTF">2024-10-22T03:17:00Z</dcterms:created>
  <dcterms:modified xsi:type="dcterms:W3CDTF">2024-10-22T03:17:00Z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0x0101001666BBFF82759F488643FBA3C49367F4</vt:lpwstr>
  </property>
  <property fmtid="{D5CDD505-2E9C-101B-9397-08002B2CF9AE}" pid="3" name="MediaServiceImageTags">
    <vt:lpwstr/>
  </property>
</Properties>
</file>